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722FA" w14:textId="1C74F8F2" w:rsidR="00F06E14" w:rsidRDefault="00244971" w:rsidP="00F06E14">
      <w:pPr>
        <w:pStyle w:val="Reportsubtitle"/>
      </w:pPr>
      <w:r w:rsidRPr="00244971">
        <w:rPr>
          <w:b/>
          <w:color w:val="auto"/>
        </w:rPr>
        <w:t xml:space="preserve">Reducing the impact of scam calls </w:t>
      </w:r>
      <w:r>
        <w:rPr>
          <w:b/>
          <w:color w:val="auto"/>
        </w:rPr>
        <w:br/>
      </w:r>
      <w:r w:rsidRPr="00244971">
        <w:t>Regulation Impact Statement</w:t>
      </w:r>
    </w:p>
    <w:p w14:paraId="037585CC" w14:textId="46445FE2" w:rsidR="00C97736" w:rsidRPr="000D76E0" w:rsidRDefault="003E6C3F" w:rsidP="00EC2B68">
      <w:pPr>
        <w:pStyle w:val="Reportdate"/>
        <w:spacing w:after="720"/>
        <w:rPr>
          <w:rFonts w:cs="Arial"/>
        </w:rPr>
        <w:sectPr w:rsidR="00C97736" w:rsidRPr="000D76E0"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r>
        <w:t>DECEMBER</w:t>
      </w:r>
      <w:r w:rsidR="00BD4421">
        <w:t xml:space="preserve"> 20</w:t>
      </w:r>
      <w:r w:rsidR="000971BD">
        <w:t>20</w:t>
      </w:r>
    </w:p>
    <w:p w14:paraId="4E9AA6B2" w14:textId="77777777" w:rsidR="0005011A" w:rsidRPr="00F44F3A" w:rsidRDefault="0005011A" w:rsidP="00FC07B9">
      <w:pPr>
        <w:pStyle w:val="ACMACorporateAddressHeader"/>
      </w:pPr>
      <w:r w:rsidRPr="00F44F3A">
        <w:lastRenderedPageBreak/>
        <w:t>Canberra</w:t>
      </w:r>
    </w:p>
    <w:p w14:paraId="1DF9CE5D"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136E7525" w14:textId="77777777" w:rsidR="0005011A" w:rsidRPr="00FC07B9" w:rsidRDefault="0005011A" w:rsidP="00FC07B9">
      <w:pPr>
        <w:pStyle w:val="ACMACorporateAddresses"/>
      </w:pPr>
      <w:r w:rsidRPr="00FC07B9">
        <w:t>PO Box 78</w:t>
      </w:r>
      <w:r w:rsidRPr="00FC07B9">
        <w:br/>
        <w:t>Belconnen ACT 2616</w:t>
      </w:r>
    </w:p>
    <w:p w14:paraId="0F90B821"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3DF4797E" w14:textId="77777777" w:rsidR="0005011A" w:rsidRPr="00F44F3A" w:rsidRDefault="0005011A" w:rsidP="00FC07B9">
      <w:pPr>
        <w:pStyle w:val="ACMACorporateAddressHeader"/>
      </w:pPr>
      <w:r w:rsidRPr="00F44F3A">
        <w:t>Melbourne</w:t>
      </w:r>
    </w:p>
    <w:p w14:paraId="66E5B6C1"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15A0FE1B"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5C410C2D"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467D074B" w14:textId="77777777" w:rsidR="0005011A" w:rsidRPr="00F44F3A" w:rsidRDefault="0005011A" w:rsidP="00FC07B9">
      <w:pPr>
        <w:pStyle w:val="ACMACorporateAddressHeader"/>
      </w:pPr>
      <w:r w:rsidRPr="00F44F3A">
        <w:t>Sydney</w:t>
      </w:r>
    </w:p>
    <w:p w14:paraId="458DA622"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662B30AE"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21F7643F"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2ACD80FB" w14:textId="77777777" w:rsidR="00140318" w:rsidRPr="006D46E5" w:rsidRDefault="00140318" w:rsidP="00FC07B9">
      <w:pPr>
        <w:pStyle w:val="ACMACopyrightHeader"/>
      </w:pPr>
      <w:r w:rsidRPr="00140318">
        <w:t>Copyright notice</w:t>
      </w:r>
    </w:p>
    <w:p w14:paraId="28D9EA96" w14:textId="77777777" w:rsidR="00140318" w:rsidRPr="006D46E5" w:rsidRDefault="00623FF9" w:rsidP="00623FF9">
      <w:pPr>
        <w:pStyle w:val="ACMACClogo"/>
      </w:pPr>
      <w:r w:rsidRPr="00623FF9">
        <w:rPr>
          <w:noProof/>
        </w:rPr>
        <w:drawing>
          <wp:inline distT="0" distB="0" distL="0" distR="0" wp14:anchorId="26232472" wp14:editId="2D39E5CF">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4B094852" w14:textId="77777777" w:rsidR="00AA2DE5" w:rsidRDefault="002A2F5E" w:rsidP="00AA2DE5">
      <w:pPr>
        <w:pStyle w:val="ACMACorporateAddresses"/>
        <w:rPr>
          <w:rStyle w:val="Hyperlink"/>
        </w:rPr>
      </w:pPr>
      <w:hyperlink r:id="rId13" w:history="1">
        <w:r w:rsidR="00AA2DE5">
          <w:rPr>
            <w:rStyle w:val="Hyperlink"/>
          </w:rPr>
          <w:t>https://creativecommons.org/licenses/by/4.0/</w:t>
        </w:r>
      </w:hyperlink>
    </w:p>
    <w:p w14:paraId="3E2844BC"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29E1BD0F" w14:textId="77777777" w:rsidR="00AA2DE5" w:rsidRDefault="00AA2DE5" w:rsidP="00AA2DE5">
      <w:pPr>
        <w:pStyle w:val="ACMACorporateAddresses"/>
      </w:pPr>
      <w:r>
        <w:t>We request attribution as © Commonwealth of Australia (Australian Communications and Media Authority) 20</w:t>
      </w:r>
      <w:r w:rsidR="00BD7249">
        <w:t>20</w:t>
      </w:r>
      <w:r>
        <w:t>.</w:t>
      </w:r>
    </w:p>
    <w:p w14:paraId="541EBD58" w14:textId="77777777" w:rsidR="00AA2DE5" w:rsidRDefault="00AA2DE5" w:rsidP="00AA2DE5">
      <w:pPr>
        <w:pStyle w:val="ACMACorporateAddresses"/>
      </w:pPr>
      <w:r>
        <w:t>All other rights are reserved.</w:t>
      </w:r>
    </w:p>
    <w:p w14:paraId="3A52AB17"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107A6E32" w14:textId="77777777" w:rsidR="00AA2DE5" w:rsidRDefault="00AA2DE5" w:rsidP="00AA2DE5">
      <w:pPr>
        <w:pStyle w:val="ACMACorporateAddresses"/>
      </w:pPr>
      <w:r>
        <w:t>Written enquiries may be sent to:</w:t>
      </w:r>
    </w:p>
    <w:p w14:paraId="43E229AA"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56652CC2" w14:textId="77777777" w:rsidR="00D16FE3" w:rsidRDefault="00D16FE3" w:rsidP="00D16FE3">
      <w:pPr>
        <w:pStyle w:val="ACMACorporateAddresses"/>
        <w:rPr>
          <w:rStyle w:val="Hyperlink"/>
        </w:rPr>
      </w:pPr>
    </w:p>
    <w:p w14:paraId="0272EBB1"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4A5AF47D" w14:textId="1653E3BA" w:rsidR="006D7D56" w:rsidRDefault="00356363">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\h \z \t "Exec summary heading,1" </w:instrText>
      </w:r>
      <w:r>
        <w:rPr>
          <w:rFonts w:cs="Arial"/>
          <w:b w:val="0"/>
        </w:rPr>
        <w:fldChar w:fldCharType="separate"/>
      </w:r>
      <w:hyperlink w:anchor="_Toc56092930" w:history="1">
        <w:r w:rsidR="006D7D56" w:rsidRPr="006657D8">
          <w:rPr>
            <w:rStyle w:val="Hyperlink"/>
          </w:rPr>
          <w:t>Introduction</w:t>
        </w:r>
        <w:r w:rsidR="006D7D56">
          <w:rPr>
            <w:webHidden/>
          </w:rPr>
          <w:tab/>
        </w:r>
        <w:r w:rsidR="006D7D56">
          <w:rPr>
            <w:webHidden/>
          </w:rPr>
          <w:fldChar w:fldCharType="begin"/>
        </w:r>
        <w:r w:rsidR="006D7D56">
          <w:rPr>
            <w:webHidden/>
          </w:rPr>
          <w:instrText xml:space="preserve"> PAGEREF _Toc56092930 \h </w:instrText>
        </w:r>
        <w:r w:rsidR="006D7D56">
          <w:rPr>
            <w:webHidden/>
          </w:rPr>
        </w:r>
        <w:r w:rsidR="006D7D56">
          <w:rPr>
            <w:webHidden/>
          </w:rPr>
          <w:fldChar w:fldCharType="separate"/>
        </w:r>
        <w:r w:rsidR="0066040F">
          <w:rPr>
            <w:webHidden/>
          </w:rPr>
          <w:t>1</w:t>
        </w:r>
        <w:r w:rsidR="006D7D56">
          <w:rPr>
            <w:webHidden/>
          </w:rPr>
          <w:fldChar w:fldCharType="end"/>
        </w:r>
      </w:hyperlink>
    </w:p>
    <w:p w14:paraId="1E6241CB" w14:textId="044936E9" w:rsidR="006D7D56" w:rsidRDefault="002A2F5E">
      <w:pPr>
        <w:pStyle w:val="TOC1"/>
        <w:rPr>
          <w:rFonts w:asciiTheme="minorHAnsi" w:eastAsiaTheme="minorEastAsia" w:hAnsiTheme="minorHAnsi" w:cstheme="minorBidi"/>
          <w:b w:val="0"/>
          <w:spacing w:val="0"/>
          <w:sz w:val="22"/>
          <w:szCs w:val="22"/>
        </w:rPr>
      </w:pPr>
      <w:hyperlink w:anchor="_Toc56092931" w:history="1">
        <w:r w:rsidR="006D7D56" w:rsidRPr="006657D8">
          <w:rPr>
            <w:rStyle w:val="Hyperlink"/>
          </w:rPr>
          <w:t>Regulatory setting</w:t>
        </w:r>
        <w:r w:rsidR="006D7D56">
          <w:rPr>
            <w:webHidden/>
          </w:rPr>
          <w:tab/>
        </w:r>
        <w:r w:rsidR="006D7D56">
          <w:rPr>
            <w:webHidden/>
          </w:rPr>
          <w:fldChar w:fldCharType="begin"/>
        </w:r>
        <w:r w:rsidR="006D7D56">
          <w:rPr>
            <w:webHidden/>
          </w:rPr>
          <w:instrText xml:space="preserve"> PAGEREF _Toc56092931 \h </w:instrText>
        </w:r>
        <w:r w:rsidR="006D7D56">
          <w:rPr>
            <w:webHidden/>
          </w:rPr>
        </w:r>
        <w:r w:rsidR="006D7D56">
          <w:rPr>
            <w:webHidden/>
          </w:rPr>
          <w:fldChar w:fldCharType="separate"/>
        </w:r>
        <w:r w:rsidR="0066040F">
          <w:rPr>
            <w:webHidden/>
          </w:rPr>
          <w:t>2</w:t>
        </w:r>
        <w:r w:rsidR="006D7D56">
          <w:rPr>
            <w:webHidden/>
          </w:rPr>
          <w:fldChar w:fldCharType="end"/>
        </w:r>
      </w:hyperlink>
    </w:p>
    <w:p w14:paraId="3A82CF2E" w14:textId="41A11DA2" w:rsidR="006D7D56" w:rsidRDefault="002A2F5E">
      <w:pPr>
        <w:pStyle w:val="TOC2"/>
        <w:rPr>
          <w:rFonts w:asciiTheme="minorHAnsi" w:eastAsiaTheme="minorEastAsia" w:hAnsiTheme="minorHAnsi" w:cstheme="minorBidi"/>
          <w:spacing w:val="0"/>
          <w:sz w:val="22"/>
          <w:szCs w:val="22"/>
        </w:rPr>
      </w:pPr>
      <w:hyperlink w:anchor="_Toc56092932" w:history="1">
        <w:r w:rsidR="006D7D56" w:rsidRPr="006657D8">
          <w:rPr>
            <w:rStyle w:val="Hyperlink"/>
          </w:rPr>
          <w:t>Current measures for scam calls</w:t>
        </w:r>
        <w:r w:rsidR="006D7D56">
          <w:rPr>
            <w:webHidden/>
          </w:rPr>
          <w:tab/>
        </w:r>
        <w:r w:rsidR="006D7D56">
          <w:rPr>
            <w:webHidden/>
          </w:rPr>
          <w:fldChar w:fldCharType="begin"/>
        </w:r>
        <w:r w:rsidR="006D7D56">
          <w:rPr>
            <w:webHidden/>
          </w:rPr>
          <w:instrText xml:space="preserve"> PAGEREF _Toc56092932 \h </w:instrText>
        </w:r>
        <w:r w:rsidR="006D7D56">
          <w:rPr>
            <w:webHidden/>
          </w:rPr>
        </w:r>
        <w:r w:rsidR="006D7D56">
          <w:rPr>
            <w:webHidden/>
          </w:rPr>
          <w:fldChar w:fldCharType="separate"/>
        </w:r>
        <w:r w:rsidR="0066040F">
          <w:rPr>
            <w:webHidden/>
          </w:rPr>
          <w:t>2</w:t>
        </w:r>
        <w:r w:rsidR="006D7D56">
          <w:rPr>
            <w:webHidden/>
          </w:rPr>
          <w:fldChar w:fldCharType="end"/>
        </w:r>
      </w:hyperlink>
    </w:p>
    <w:p w14:paraId="4752E7A9" w14:textId="14E87886" w:rsidR="006D7D56" w:rsidRDefault="002A2F5E">
      <w:pPr>
        <w:pStyle w:val="TOC1"/>
        <w:tabs>
          <w:tab w:val="left" w:pos="885"/>
        </w:tabs>
        <w:rPr>
          <w:rFonts w:asciiTheme="minorHAnsi" w:eastAsiaTheme="minorEastAsia" w:hAnsiTheme="minorHAnsi" w:cstheme="minorBidi"/>
          <w:b w:val="0"/>
          <w:spacing w:val="0"/>
          <w:sz w:val="22"/>
          <w:szCs w:val="22"/>
        </w:rPr>
      </w:pPr>
      <w:hyperlink w:anchor="_Toc56092933" w:history="1">
        <w:r w:rsidR="006D7D56" w:rsidRPr="006657D8">
          <w:rPr>
            <w:rStyle w:val="Hyperlink"/>
          </w:rPr>
          <w:t>1.</w:t>
        </w:r>
        <w:r w:rsidR="006D7D56">
          <w:rPr>
            <w:rFonts w:asciiTheme="minorHAnsi" w:eastAsiaTheme="minorEastAsia" w:hAnsiTheme="minorHAnsi" w:cstheme="minorBidi"/>
            <w:b w:val="0"/>
            <w:spacing w:val="0"/>
            <w:sz w:val="22"/>
            <w:szCs w:val="22"/>
          </w:rPr>
          <w:t xml:space="preserve"> </w:t>
        </w:r>
        <w:r w:rsidR="006D7D56" w:rsidRPr="006657D8">
          <w:rPr>
            <w:rStyle w:val="Hyperlink"/>
          </w:rPr>
          <w:t>What is the policy problem?</w:t>
        </w:r>
        <w:r w:rsidR="006D7D56">
          <w:rPr>
            <w:webHidden/>
          </w:rPr>
          <w:tab/>
        </w:r>
        <w:r w:rsidR="006D7D56">
          <w:rPr>
            <w:webHidden/>
          </w:rPr>
          <w:fldChar w:fldCharType="begin"/>
        </w:r>
        <w:r w:rsidR="006D7D56">
          <w:rPr>
            <w:webHidden/>
          </w:rPr>
          <w:instrText xml:space="preserve"> PAGEREF _Toc56092933 \h </w:instrText>
        </w:r>
        <w:r w:rsidR="006D7D56">
          <w:rPr>
            <w:webHidden/>
          </w:rPr>
        </w:r>
        <w:r w:rsidR="006D7D56">
          <w:rPr>
            <w:webHidden/>
          </w:rPr>
          <w:fldChar w:fldCharType="separate"/>
        </w:r>
        <w:r w:rsidR="0066040F">
          <w:rPr>
            <w:webHidden/>
          </w:rPr>
          <w:t>5</w:t>
        </w:r>
        <w:r w:rsidR="006D7D56">
          <w:rPr>
            <w:webHidden/>
          </w:rPr>
          <w:fldChar w:fldCharType="end"/>
        </w:r>
      </w:hyperlink>
    </w:p>
    <w:p w14:paraId="528E10F7" w14:textId="660918DE" w:rsidR="006D7D56" w:rsidRDefault="002A2F5E">
      <w:pPr>
        <w:pStyle w:val="TOC2"/>
        <w:rPr>
          <w:rFonts w:asciiTheme="minorHAnsi" w:eastAsiaTheme="minorEastAsia" w:hAnsiTheme="minorHAnsi" w:cstheme="minorBidi"/>
          <w:spacing w:val="0"/>
          <w:sz w:val="22"/>
          <w:szCs w:val="22"/>
        </w:rPr>
      </w:pPr>
      <w:hyperlink w:anchor="_Toc56092934" w:history="1">
        <w:r w:rsidR="006D7D56" w:rsidRPr="006657D8">
          <w:rPr>
            <w:rStyle w:val="Hyperlink"/>
          </w:rPr>
          <w:t>Scam calls</w:t>
        </w:r>
        <w:r w:rsidR="006D7D56">
          <w:rPr>
            <w:webHidden/>
          </w:rPr>
          <w:tab/>
        </w:r>
        <w:r w:rsidR="006D7D56">
          <w:rPr>
            <w:webHidden/>
          </w:rPr>
          <w:fldChar w:fldCharType="begin"/>
        </w:r>
        <w:r w:rsidR="006D7D56">
          <w:rPr>
            <w:webHidden/>
          </w:rPr>
          <w:instrText xml:space="preserve"> PAGEREF _Toc56092934 \h </w:instrText>
        </w:r>
        <w:r w:rsidR="006D7D56">
          <w:rPr>
            <w:webHidden/>
          </w:rPr>
        </w:r>
        <w:r w:rsidR="006D7D56">
          <w:rPr>
            <w:webHidden/>
          </w:rPr>
          <w:fldChar w:fldCharType="separate"/>
        </w:r>
        <w:r w:rsidR="0066040F">
          <w:rPr>
            <w:webHidden/>
          </w:rPr>
          <w:t>5</w:t>
        </w:r>
        <w:r w:rsidR="006D7D56">
          <w:rPr>
            <w:webHidden/>
          </w:rPr>
          <w:fldChar w:fldCharType="end"/>
        </w:r>
      </w:hyperlink>
    </w:p>
    <w:p w14:paraId="2F2DB404" w14:textId="10415ECD" w:rsidR="006D7D56" w:rsidRDefault="002A2F5E">
      <w:pPr>
        <w:pStyle w:val="TOC2"/>
        <w:rPr>
          <w:rFonts w:asciiTheme="minorHAnsi" w:eastAsiaTheme="minorEastAsia" w:hAnsiTheme="minorHAnsi" w:cstheme="minorBidi"/>
          <w:spacing w:val="0"/>
          <w:sz w:val="22"/>
          <w:szCs w:val="22"/>
        </w:rPr>
      </w:pPr>
      <w:hyperlink w:anchor="_Toc56092935" w:history="1">
        <w:r w:rsidR="006D7D56" w:rsidRPr="006657D8">
          <w:rPr>
            <w:rStyle w:val="Hyperlink"/>
          </w:rPr>
          <w:t>Losses to scams</w:t>
        </w:r>
        <w:r w:rsidR="006D7D56">
          <w:rPr>
            <w:webHidden/>
          </w:rPr>
          <w:tab/>
        </w:r>
        <w:r w:rsidR="006D7D56">
          <w:rPr>
            <w:webHidden/>
          </w:rPr>
          <w:fldChar w:fldCharType="begin"/>
        </w:r>
        <w:r w:rsidR="006D7D56">
          <w:rPr>
            <w:webHidden/>
          </w:rPr>
          <w:instrText xml:space="preserve"> PAGEREF _Toc56092935 \h </w:instrText>
        </w:r>
        <w:r w:rsidR="006D7D56">
          <w:rPr>
            <w:webHidden/>
          </w:rPr>
        </w:r>
        <w:r w:rsidR="006D7D56">
          <w:rPr>
            <w:webHidden/>
          </w:rPr>
          <w:fldChar w:fldCharType="separate"/>
        </w:r>
        <w:r w:rsidR="0066040F">
          <w:rPr>
            <w:webHidden/>
          </w:rPr>
          <w:t>6</w:t>
        </w:r>
        <w:r w:rsidR="006D7D56">
          <w:rPr>
            <w:webHidden/>
          </w:rPr>
          <w:fldChar w:fldCharType="end"/>
        </w:r>
      </w:hyperlink>
    </w:p>
    <w:p w14:paraId="075FC098" w14:textId="1252D74F" w:rsidR="006D7D56" w:rsidRDefault="002A2F5E">
      <w:pPr>
        <w:pStyle w:val="TOC2"/>
        <w:rPr>
          <w:rFonts w:asciiTheme="minorHAnsi" w:eastAsiaTheme="minorEastAsia" w:hAnsiTheme="minorHAnsi" w:cstheme="minorBidi"/>
          <w:spacing w:val="0"/>
          <w:sz w:val="22"/>
          <w:szCs w:val="22"/>
        </w:rPr>
      </w:pPr>
      <w:hyperlink w:anchor="_Toc56092936" w:history="1">
        <w:r w:rsidR="006D7D56" w:rsidRPr="006657D8">
          <w:rPr>
            <w:rStyle w:val="Hyperlink"/>
          </w:rPr>
          <w:t>Losses via phones</w:t>
        </w:r>
        <w:r w:rsidR="006D7D56">
          <w:rPr>
            <w:webHidden/>
          </w:rPr>
          <w:tab/>
        </w:r>
        <w:r w:rsidR="006D7D56">
          <w:rPr>
            <w:webHidden/>
          </w:rPr>
          <w:fldChar w:fldCharType="begin"/>
        </w:r>
        <w:r w:rsidR="006D7D56">
          <w:rPr>
            <w:webHidden/>
          </w:rPr>
          <w:instrText xml:space="preserve"> PAGEREF _Toc56092936 \h </w:instrText>
        </w:r>
        <w:r w:rsidR="006D7D56">
          <w:rPr>
            <w:webHidden/>
          </w:rPr>
        </w:r>
        <w:r w:rsidR="006D7D56">
          <w:rPr>
            <w:webHidden/>
          </w:rPr>
          <w:fldChar w:fldCharType="separate"/>
        </w:r>
        <w:r w:rsidR="0066040F">
          <w:rPr>
            <w:webHidden/>
          </w:rPr>
          <w:t>7</w:t>
        </w:r>
        <w:r w:rsidR="006D7D56">
          <w:rPr>
            <w:webHidden/>
          </w:rPr>
          <w:fldChar w:fldCharType="end"/>
        </w:r>
      </w:hyperlink>
    </w:p>
    <w:p w14:paraId="7F6C311A" w14:textId="0BBE26D8" w:rsidR="006D7D56" w:rsidRDefault="002A2F5E">
      <w:pPr>
        <w:pStyle w:val="TOC2"/>
        <w:rPr>
          <w:rFonts w:asciiTheme="minorHAnsi" w:eastAsiaTheme="minorEastAsia" w:hAnsiTheme="minorHAnsi" w:cstheme="minorBidi"/>
          <w:spacing w:val="0"/>
          <w:sz w:val="22"/>
          <w:szCs w:val="22"/>
        </w:rPr>
      </w:pPr>
      <w:hyperlink w:anchor="_Toc56092937" w:history="1">
        <w:r w:rsidR="006D7D56" w:rsidRPr="006657D8">
          <w:rPr>
            <w:rStyle w:val="Hyperlink"/>
          </w:rPr>
          <w:t>Who is affected by scam calls?</w:t>
        </w:r>
        <w:r w:rsidR="006D7D56">
          <w:rPr>
            <w:webHidden/>
          </w:rPr>
          <w:tab/>
        </w:r>
        <w:r w:rsidR="006D7D56">
          <w:rPr>
            <w:webHidden/>
          </w:rPr>
          <w:fldChar w:fldCharType="begin"/>
        </w:r>
        <w:r w:rsidR="006D7D56">
          <w:rPr>
            <w:webHidden/>
          </w:rPr>
          <w:instrText xml:space="preserve"> PAGEREF _Toc56092937 \h </w:instrText>
        </w:r>
        <w:r w:rsidR="006D7D56">
          <w:rPr>
            <w:webHidden/>
          </w:rPr>
        </w:r>
        <w:r w:rsidR="006D7D56">
          <w:rPr>
            <w:webHidden/>
          </w:rPr>
          <w:fldChar w:fldCharType="separate"/>
        </w:r>
        <w:r w:rsidR="0066040F">
          <w:rPr>
            <w:webHidden/>
          </w:rPr>
          <w:t>8</w:t>
        </w:r>
        <w:r w:rsidR="006D7D56">
          <w:rPr>
            <w:webHidden/>
          </w:rPr>
          <w:fldChar w:fldCharType="end"/>
        </w:r>
      </w:hyperlink>
    </w:p>
    <w:p w14:paraId="74A4A0E3" w14:textId="1E6A845B" w:rsidR="006D7D56" w:rsidRDefault="002A2F5E">
      <w:pPr>
        <w:pStyle w:val="TOC1"/>
        <w:tabs>
          <w:tab w:val="left" w:pos="885"/>
        </w:tabs>
        <w:rPr>
          <w:rFonts w:asciiTheme="minorHAnsi" w:eastAsiaTheme="minorEastAsia" w:hAnsiTheme="minorHAnsi" w:cstheme="minorBidi"/>
          <w:b w:val="0"/>
          <w:spacing w:val="0"/>
          <w:sz w:val="22"/>
          <w:szCs w:val="22"/>
        </w:rPr>
      </w:pPr>
      <w:hyperlink w:anchor="_Toc56092938" w:history="1">
        <w:r w:rsidR="006D7D56" w:rsidRPr="006657D8">
          <w:rPr>
            <w:rStyle w:val="Hyperlink"/>
          </w:rPr>
          <w:t>2.</w:t>
        </w:r>
        <w:r w:rsidR="006D7D56">
          <w:rPr>
            <w:rFonts w:asciiTheme="minorHAnsi" w:eastAsiaTheme="minorEastAsia" w:hAnsiTheme="minorHAnsi" w:cstheme="minorBidi"/>
            <w:b w:val="0"/>
            <w:spacing w:val="0"/>
            <w:sz w:val="22"/>
            <w:szCs w:val="22"/>
          </w:rPr>
          <w:t xml:space="preserve"> </w:t>
        </w:r>
        <w:r w:rsidR="006D7D56" w:rsidRPr="006657D8">
          <w:rPr>
            <w:rStyle w:val="Hyperlink"/>
          </w:rPr>
          <w:t>Why is government action needed?</w:t>
        </w:r>
        <w:r w:rsidR="006D7D56">
          <w:rPr>
            <w:webHidden/>
          </w:rPr>
          <w:tab/>
        </w:r>
        <w:r w:rsidR="006D7D56">
          <w:rPr>
            <w:webHidden/>
          </w:rPr>
          <w:fldChar w:fldCharType="begin"/>
        </w:r>
        <w:r w:rsidR="006D7D56">
          <w:rPr>
            <w:webHidden/>
          </w:rPr>
          <w:instrText xml:space="preserve"> PAGEREF _Toc56092938 \h </w:instrText>
        </w:r>
        <w:r w:rsidR="006D7D56">
          <w:rPr>
            <w:webHidden/>
          </w:rPr>
        </w:r>
        <w:r w:rsidR="006D7D56">
          <w:rPr>
            <w:webHidden/>
          </w:rPr>
          <w:fldChar w:fldCharType="separate"/>
        </w:r>
        <w:r w:rsidR="0066040F">
          <w:rPr>
            <w:webHidden/>
          </w:rPr>
          <w:t>11</w:t>
        </w:r>
        <w:r w:rsidR="006D7D56">
          <w:rPr>
            <w:webHidden/>
          </w:rPr>
          <w:fldChar w:fldCharType="end"/>
        </w:r>
      </w:hyperlink>
    </w:p>
    <w:p w14:paraId="6ABD1AC6" w14:textId="61F028E0" w:rsidR="006D7D56" w:rsidRDefault="002A2F5E">
      <w:pPr>
        <w:pStyle w:val="TOC2"/>
        <w:rPr>
          <w:rFonts w:asciiTheme="minorHAnsi" w:eastAsiaTheme="minorEastAsia" w:hAnsiTheme="minorHAnsi" w:cstheme="minorBidi"/>
          <w:spacing w:val="0"/>
          <w:sz w:val="22"/>
          <w:szCs w:val="22"/>
        </w:rPr>
      </w:pPr>
      <w:hyperlink w:anchor="_Toc56092939" w:history="1">
        <w:r w:rsidR="006D7D56" w:rsidRPr="006657D8">
          <w:rPr>
            <w:rStyle w:val="Hyperlink"/>
          </w:rPr>
          <w:t>Combating scam calls</w:t>
        </w:r>
        <w:r w:rsidR="006D7D56">
          <w:rPr>
            <w:webHidden/>
          </w:rPr>
          <w:tab/>
        </w:r>
        <w:r w:rsidR="006D7D56">
          <w:rPr>
            <w:webHidden/>
          </w:rPr>
          <w:fldChar w:fldCharType="begin"/>
        </w:r>
        <w:r w:rsidR="006D7D56">
          <w:rPr>
            <w:webHidden/>
          </w:rPr>
          <w:instrText xml:space="preserve"> PAGEREF _Toc56092939 \h </w:instrText>
        </w:r>
        <w:r w:rsidR="006D7D56">
          <w:rPr>
            <w:webHidden/>
          </w:rPr>
        </w:r>
        <w:r w:rsidR="006D7D56">
          <w:rPr>
            <w:webHidden/>
          </w:rPr>
          <w:fldChar w:fldCharType="separate"/>
        </w:r>
        <w:r w:rsidR="0066040F">
          <w:rPr>
            <w:webHidden/>
          </w:rPr>
          <w:t>12</w:t>
        </w:r>
        <w:r w:rsidR="006D7D56">
          <w:rPr>
            <w:webHidden/>
          </w:rPr>
          <w:fldChar w:fldCharType="end"/>
        </w:r>
      </w:hyperlink>
    </w:p>
    <w:p w14:paraId="73B916F0" w14:textId="69DA176D" w:rsidR="006D7D56" w:rsidRDefault="002A2F5E">
      <w:pPr>
        <w:pStyle w:val="TOC3"/>
        <w:rPr>
          <w:rFonts w:asciiTheme="minorHAnsi" w:eastAsiaTheme="minorEastAsia" w:hAnsiTheme="minorHAnsi" w:cstheme="minorBidi"/>
        </w:rPr>
      </w:pPr>
      <w:hyperlink w:anchor="_Toc56092940" w:history="1">
        <w:r w:rsidR="006D7D56" w:rsidRPr="006657D8">
          <w:rPr>
            <w:rStyle w:val="Hyperlink"/>
          </w:rPr>
          <w:t>Enforceable obligations</w:t>
        </w:r>
        <w:r w:rsidR="006D7D56">
          <w:rPr>
            <w:webHidden/>
          </w:rPr>
          <w:tab/>
        </w:r>
        <w:r w:rsidR="006D7D56">
          <w:rPr>
            <w:webHidden/>
          </w:rPr>
          <w:fldChar w:fldCharType="begin"/>
        </w:r>
        <w:r w:rsidR="006D7D56">
          <w:rPr>
            <w:webHidden/>
          </w:rPr>
          <w:instrText xml:space="preserve"> PAGEREF _Toc56092940 \h </w:instrText>
        </w:r>
        <w:r w:rsidR="006D7D56">
          <w:rPr>
            <w:webHidden/>
          </w:rPr>
        </w:r>
        <w:r w:rsidR="006D7D56">
          <w:rPr>
            <w:webHidden/>
          </w:rPr>
          <w:fldChar w:fldCharType="separate"/>
        </w:r>
        <w:r w:rsidR="0066040F">
          <w:rPr>
            <w:webHidden/>
          </w:rPr>
          <w:t>12</w:t>
        </w:r>
        <w:r w:rsidR="006D7D56">
          <w:rPr>
            <w:webHidden/>
          </w:rPr>
          <w:fldChar w:fldCharType="end"/>
        </w:r>
      </w:hyperlink>
    </w:p>
    <w:p w14:paraId="1EB1DC71" w14:textId="158C1276" w:rsidR="006D7D56" w:rsidRDefault="002A2F5E">
      <w:pPr>
        <w:pStyle w:val="TOC1"/>
        <w:tabs>
          <w:tab w:val="left" w:pos="885"/>
        </w:tabs>
        <w:rPr>
          <w:rFonts w:asciiTheme="minorHAnsi" w:eastAsiaTheme="minorEastAsia" w:hAnsiTheme="minorHAnsi" w:cstheme="minorBidi"/>
          <w:b w:val="0"/>
          <w:spacing w:val="0"/>
          <w:sz w:val="22"/>
          <w:szCs w:val="22"/>
        </w:rPr>
      </w:pPr>
      <w:hyperlink w:anchor="_Toc56092941" w:history="1">
        <w:r w:rsidR="006D7D56" w:rsidRPr="006657D8">
          <w:rPr>
            <w:rStyle w:val="Hyperlink"/>
          </w:rPr>
          <w:t>3.</w:t>
        </w:r>
        <w:r w:rsidR="006D7D56">
          <w:rPr>
            <w:rFonts w:asciiTheme="minorHAnsi" w:eastAsiaTheme="minorEastAsia" w:hAnsiTheme="minorHAnsi" w:cstheme="minorBidi"/>
            <w:b w:val="0"/>
            <w:spacing w:val="0"/>
            <w:sz w:val="22"/>
            <w:szCs w:val="22"/>
          </w:rPr>
          <w:t xml:space="preserve"> </w:t>
        </w:r>
        <w:r w:rsidR="006D7D56" w:rsidRPr="006657D8">
          <w:rPr>
            <w:rStyle w:val="Hyperlink"/>
          </w:rPr>
          <w:t>What policy options have been considered?</w:t>
        </w:r>
        <w:r w:rsidR="006D7D56">
          <w:rPr>
            <w:webHidden/>
          </w:rPr>
          <w:tab/>
        </w:r>
        <w:r w:rsidR="006D7D56">
          <w:rPr>
            <w:webHidden/>
          </w:rPr>
          <w:fldChar w:fldCharType="begin"/>
        </w:r>
        <w:r w:rsidR="006D7D56">
          <w:rPr>
            <w:webHidden/>
          </w:rPr>
          <w:instrText xml:space="preserve"> PAGEREF _Toc56092941 \h </w:instrText>
        </w:r>
        <w:r w:rsidR="006D7D56">
          <w:rPr>
            <w:webHidden/>
          </w:rPr>
        </w:r>
        <w:r w:rsidR="006D7D56">
          <w:rPr>
            <w:webHidden/>
          </w:rPr>
          <w:fldChar w:fldCharType="separate"/>
        </w:r>
        <w:r w:rsidR="0066040F">
          <w:rPr>
            <w:webHidden/>
          </w:rPr>
          <w:t>14</w:t>
        </w:r>
        <w:r w:rsidR="006D7D56">
          <w:rPr>
            <w:webHidden/>
          </w:rPr>
          <w:fldChar w:fldCharType="end"/>
        </w:r>
      </w:hyperlink>
    </w:p>
    <w:p w14:paraId="28629A38" w14:textId="3B07B13A" w:rsidR="006D7D56" w:rsidRDefault="002A2F5E">
      <w:pPr>
        <w:pStyle w:val="TOC2"/>
        <w:rPr>
          <w:rFonts w:asciiTheme="minorHAnsi" w:eastAsiaTheme="minorEastAsia" w:hAnsiTheme="minorHAnsi" w:cstheme="minorBidi"/>
          <w:spacing w:val="0"/>
          <w:sz w:val="22"/>
          <w:szCs w:val="22"/>
        </w:rPr>
      </w:pPr>
      <w:hyperlink w:anchor="_Toc56092942" w:history="1">
        <w:r w:rsidR="006D7D56" w:rsidRPr="006657D8">
          <w:rPr>
            <w:rStyle w:val="Hyperlink"/>
          </w:rPr>
          <w:t>Option 1: Non-regulatory option (status quo)</w:t>
        </w:r>
        <w:r w:rsidR="006D7D56">
          <w:rPr>
            <w:webHidden/>
          </w:rPr>
          <w:tab/>
        </w:r>
        <w:r w:rsidR="006D7D56">
          <w:rPr>
            <w:webHidden/>
          </w:rPr>
          <w:fldChar w:fldCharType="begin"/>
        </w:r>
        <w:r w:rsidR="006D7D56">
          <w:rPr>
            <w:webHidden/>
          </w:rPr>
          <w:instrText xml:space="preserve"> PAGEREF _Toc56092942 \h </w:instrText>
        </w:r>
        <w:r w:rsidR="006D7D56">
          <w:rPr>
            <w:webHidden/>
          </w:rPr>
        </w:r>
        <w:r w:rsidR="006D7D56">
          <w:rPr>
            <w:webHidden/>
          </w:rPr>
          <w:fldChar w:fldCharType="separate"/>
        </w:r>
        <w:r w:rsidR="0066040F">
          <w:rPr>
            <w:webHidden/>
          </w:rPr>
          <w:t>14</w:t>
        </w:r>
        <w:r w:rsidR="006D7D56">
          <w:rPr>
            <w:webHidden/>
          </w:rPr>
          <w:fldChar w:fldCharType="end"/>
        </w:r>
      </w:hyperlink>
    </w:p>
    <w:p w14:paraId="69C30E8A" w14:textId="3858ACC9" w:rsidR="006D7D56" w:rsidRDefault="002A2F5E">
      <w:pPr>
        <w:pStyle w:val="TOC2"/>
        <w:rPr>
          <w:rFonts w:asciiTheme="minorHAnsi" w:eastAsiaTheme="minorEastAsia" w:hAnsiTheme="minorHAnsi" w:cstheme="minorBidi"/>
          <w:spacing w:val="0"/>
          <w:sz w:val="22"/>
          <w:szCs w:val="22"/>
        </w:rPr>
      </w:pPr>
      <w:hyperlink w:anchor="_Toc56092943" w:history="1">
        <w:r w:rsidR="006D7D56" w:rsidRPr="006657D8">
          <w:rPr>
            <w:rStyle w:val="Hyperlink"/>
          </w:rPr>
          <w:t>Option 2: Consumer education campaign</w:t>
        </w:r>
        <w:r w:rsidR="006D7D56">
          <w:rPr>
            <w:webHidden/>
          </w:rPr>
          <w:tab/>
        </w:r>
        <w:r w:rsidR="006D7D56">
          <w:rPr>
            <w:webHidden/>
          </w:rPr>
          <w:fldChar w:fldCharType="begin"/>
        </w:r>
        <w:r w:rsidR="006D7D56">
          <w:rPr>
            <w:webHidden/>
          </w:rPr>
          <w:instrText xml:space="preserve"> PAGEREF _Toc56092943 \h </w:instrText>
        </w:r>
        <w:r w:rsidR="006D7D56">
          <w:rPr>
            <w:webHidden/>
          </w:rPr>
        </w:r>
        <w:r w:rsidR="006D7D56">
          <w:rPr>
            <w:webHidden/>
          </w:rPr>
          <w:fldChar w:fldCharType="separate"/>
        </w:r>
        <w:r w:rsidR="0066040F">
          <w:rPr>
            <w:webHidden/>
          </w:rPr>
          <w:t>14</w:t>
        </w:r>
        <w:r w:rsidR="006D7D56">
          <w:rPr>
            <w:webHidden/>
          </w:rPr>
          <w:fldChar w:fldCharType="end"/>
        </w:r>
      </w:hyperlink>
    </w:p>
    <w:p w14:paraId="7B11A6CF" w14:textId="622C797D" w:rsidR="006D7D56" w:rsidRDefault="002A2F5E">
      <w:pPr>
        <w:pStyle w:val="TOC2"/>
        <w:rPr>
          <w:rFonts w:asciiTheme="minorHAnsi" w:eastAsiaTheme="minorEastAsia" w:hAnsiTheme="minorHAnsi" w:cstheme="minorBidi"/>
          <w:spacing w:val="0"/>
          <w:sz w:val="22"/>
          <w:szCs w:val="22"/>
        </w:rPr>
      </w:pPr>
      <w:hyperlink w:anchor="_Toc56092944" w:history="1">
        <w:r w:rsidR="006D7D56" w:rsidRPr="006657D8">
          <w:rPr>
            <w:rStyle w:val="Hyperlink"/>
          </w:rPr>
          <w:t>Option 3: Enforceable obligations</w:t>
        </w:r>
        <w:r w:rsidR="006D7D56">
          <w:rPr>
            <w:webHidden/>
          </w:rPr>
          <w:tab/>
        </w:r>
        <w:r w:rsidR="006D7D56">
          <w:rPr>
            <w:webHidden/>
          </w:rPr>
          <w:fldChar w:fldCharType="begin"/>
        </w:r>
        <w:r w:rsidR="006D7D56">
          <w:rPr>
            <w:webHidden/>
          </w:rPr>
          <w:instrText xml:space="preserve"> PAGEREF _Toc56092944 \h </w:instrText>
        </w:r>
        <w:r w:rsidR="006D7D56">
          <w:rPr>
            <w:webHidden/>
          </w:rPr>
        </w:r>
        <w:r w:rsidR="006D7D56">
          <w:rPr>
            <w:webHidden/>
          </w:rPr>
          <w:fldChar w:fldCharType="separate"/>
        </w:r>
        <w:r w:rsidR="0066040F">
          <w:rPr>
            <w:webHidden/>
          </w:rPr>
          <w:t>15</w:t>
        </w:r>
        <w:r w:rsidR="006D7D56">
          <w:rPr>
            <w:webHidden/>
          </w:rPr>
          <w:fldChar w:fldCharType="end"/>
        </w:r>
      </w:hyperlink>
    </w:p>
    <w:p w14:paraId="6F395BDE" w14:textId="5BEF913E" w:rsidR="006D7D56" w:rsidRDefault="002A2F5E">
      <w:pPr>
        <w:pStyle w:val="TOC1"/>
        <w:rPr>
          <w:rFonts w:asciiTheme="minorHAnsi" w:eastAsiaTheme="minorEastAsia" w:hAnsiTheme="minorHAnsi" w:cstheme="minorBidi"/>
          <w:b w:val="0"/>
          <w:spacing w:val="0"/>
          <w:sz w:val="22"/>
          <w:szCs w:val="22"/>
        </w:rPr>
      </w:pPr>
      <w:hyperlink w:anchor="_Toc56092945" w:history="1">
        <w:r w:rsidR="006D7D56" w:rsidRPr="006657D8">
          <w:rPr>
            <w:rStyle w:val="Hyperlink"/>
          </w:rPr>
          <w:t>4. What is the likely net benefit of each option?</w:t>
        </w:r>
        <w:r w:rsidR="006D7D56">
          <w:rPr>
            <w:webHidden/>
          </w:rPr>
          <w:tab/>
        </w:r>
        <w:r w:rsidR="006D7D56">
          <w:rPr>
            <w:webHidden/>
          </w:rPr>
          <w:fldChar w:fldCharType="begin"/>
        </w:r>
        <w:r w:rsidR="006D7D56">
          <w:rPr>
            <w:webHidden/>
          </w:rPr>
          <w:instrText xml:space="preserve"> PAGEREF _Toc56092945 \h </w:instrText>
        </w:r>
        <w:r w:rsidR="006D7D56">
          <w:rPr>
            <w:webHidden/>
          </w:rPr>
        </w:r>
        <w:r w:rsidR="006D7D56">
          <w:rPr>
            <w:webHidden/>
          </w:rPr>
          <w:fldChar w:fldCharType="separate"/>
        </w:r>
        <w:r w:rsidR="0066040F">
          <w:rPr>
            <w:webHidden/>
          </w:rPr>
          <w:t>17</w:t>
        </w:r>
        <w:r w:rsidR="006D7D56">
          <w:rPr>
            <w:webHidden/>
          </w:rPr>
          <w:fldChar w:fldCharType="end"/>
        </w:r>
      </w:hyperlink>
    </w:p>
    <w:p w14:paraId="0686397B" w14:textId="7816A948" w:rsidR="006D7D56" w:rsidRDefault="002A2F5E">
      <w:pPr>
        <w:pStyle w:val="TOC2"/>
        <w:rPr>
          <w:rFonts w:asciiTheme="minorHAnsi" w:eastAsiaTheme="minorEastAsia" w:hAnsiTheme="minorHAnsi" w:cstheme="minorBidi"/>
          <w:spacing w:val="0"/>
          <w:sz w:val="22"/>
          <w:szCs w:val="22"/>
        </w:rPr>
      </w:pPr>
      <w:hyperlink w:anchor="_Toc56092946" w:history="1">
        <w:r w:rsidR="006D7D56" w:rsidRPr="006657D8">
          <w:rPr>
            <w:rStyle w:val="Hyperlink"/>
          </w:rPr>
          <w:t>Option 1: Status quo</w:t>
        </w:r>
        <w:r w:rsidR="006D7D56">
          <w:rPr>
            <w:webHidden/>
          </w:rPr>
          <w:tab/>
        </w:r>
        <w:r w:rsidR="006D7D56">
          <w:rPr>
            <w:webHidden/>
          </w:rPr>
          <w:fldChar w:fldCharType="begin"/>
        </w:r>
        <w:r w:rsidR="006D7D56">
          <w:rPr>
            <w:webHidden/>
          </w:rPr>
          <w:instrText xml:space="preserve"> PAGEREF _Toc56092946 \h </w:instrText>
        </w:r>
        <w:r w:rsidR="006D7D56">
          <w:rPr>
            <w:webHidden/>
          </w:rPr>
        </w:r>
        <w:r w:rsidR="006D7D56">
          <w:rPr>
            <w:webHidden/>
          </w:rPr>
          <w:fldChar w:fldCharType="separate"/>
        </w:r>
        <w:r w:rsidR="0066040F">
          <w:rPr>
            <w:webHidden/>
          </w:rPr>
          <w:t>17</w:t>
        </w:r>
        <w:r w:rsidR="006D7D56">
          <w:rPr>
            <w:webHidden/>
          </w:rPr>
          <w:fldChar w:fldCharType="end"/>
        </w:r>
      </w:hyperlink>
    </w:p>
    <w:p w14:paraId="6657D176" w14:textId="1484829B" w:rsidR="006D7D56" w:rsidRDefault="002A2F5E">
      <w:pPr>
        <w:pStyle w:val="TOC3"/>
        <w:rPr>
          <w:rFonts w:asciiTheme="minorHAnsi" w:eastAsiaTheme="minorEastAsia" w:hAnsiTheme="minorHAnsi" w:cstheme="minorBidi"/>
        </w:rPr>
      </w:pPr>
      <w:hyperlink w:anchor="_Toc56092947" w:history="1">
        <w:r w:rsidR="006D7D56" w:rsidRPr="006657D8">
          <w:rPr>
            <w:rStyle w:val="Hyperlink"/>
          </w:rPr>
          <w:t>Benefits</w:t>
        </w:r>
        <w:r w:rsidR="006D7D56">
          <w:rPr>
            <w:webHidden/>
          </w:rPr>
          <w:tab/>
        </w:r>
        <w:r w:rsidR="006D7D56">
          <w:rPr>
            <w:webHidden/>
          </w:rPr>
          <w:fldChar w:fldCharType="begin"/>
        </w:r>
        <w:r w:rsidR="006D7D56">
          <w:rPr>
            <w:webHidden/>
          </w:rPr>
          <w:instrText xml:space="preserve"> PAGEREF _Toc56092947 \h </w:instrText>
        </w:r>
        <w:r w:rsidR="006D7D56">
          <w:rPr>
            <w:webHidden/>
          </w:rPr>
        </w:r>
        <w:r w:rsidR="006D7D56">
          <w:rPr>
            <w:webHidden/>
          </w:rPr>
          <w:fldChar w:fldCharType="separate"/>
        </w:r>
        <w:r w:rsidR="0066040F">
          <w:rPr>
            <w:webHidden/>
          </w:rPr>
          <w:t>17</w:t>
        </w:r>
        <w:r w:rsidR="006D7D56">
          <w:rPr>
            <w:webHidden/>
          </w:rPr>
          <w:fldChar w:fldCharType="end"/>
        </w:r>
      </w:hyperlink>
    </w:p>
    <w:p w14:paraId="520B9B65" w14:textId="3B3BF240" w:rsidR="006D7D56" w:rsidRDefault="002A2F5E">
      <w:pPr>
        <w:pStyle w:val="TOC3"/>
        <w:rPr>
          <w:rFonts w:asciiTheme="minorHAnsi" w:eastAsiaTheme="minorEastAsia" w:hAnsiTheme="minorHAnsi" w:cstheme="minorBidi"/>
        </w:rPr>
      </w:pPr>
      <w:hyperlink w:anchor="_Toc56092948" w:history="1">
        <w:r w:rsidR="006D7D56" w:rsidRPr="006657D8">
          <w:rPr>
            <w:rStyle w:val="Hyperlink"/>
          </w:rPr>
          <w:t>Costs</w:t>
        </w:r>
        <w:r w:rsidR="006D7D56">
          <w:rPr>
            <w:webHidden/>
          </w:rPr>
          <w:tab/>
        </w:r>
        <w:r w:rsidR="006D7D56">
          <w:rPr>
            <w:webHidden/>
          </w:rPr>
          <w:fldChar w:fldCharType="begin"/>
        </w:r>
        <w:r w:rsidR="006D7D56">
          <w:rPr>
            <w:webHidden/>
          </w:rPr>
          <w:instrText xml:space="preserve"> PAGEREF _Toc56092948 \h </w:instrText>
        </w:r>
        <w:r w:rsidR="006D7D56">
          <w:rPr>
            <w:webHidden/>
          </w:rPr>
        </w:r>
        <w:r w:rsidR="006D7D56">
          <w:rPr>
            <w:webHidden/>
          </w:rPr>
          <w:fldChar w:fldCharType="separate"/>
        </w:r>
        <w:r w:rsidR="0066040F">
          <w:rPr>
            <w:webHidden/>
          </w:rPr>
          <w:t>17</w:t>
        </w:r>
        <w:r w:rsidR="006D7D56">
          <w:rPr>
            <w:webHidden/>
          </w:rPr>
          <w:fldChar w:fldCharType="end"/>
        </w:r>
      </w:hyperlink>
    </w:p>
    <w:p w14:paraId="22555161" w14:textId="198FE955" w:rsidR="006D7D56" w:rsidRDefault="002A2F5E">
      <w:pPr>
        <w:pStyle w:val="TOC2"/>
        <w:rPr>
          <w:rFonts w:asciiTheme="minorHAnsi" w:eastAsiaTheme="minorEastAsia" w:hAnsiTheme="minorHAnsi" w:cstheme="minorBidi"/>
          <w:spacing w:val="0"/>
          <w:sz w:val="22"/>
          <w:szCs w:val="22"/>
        </w:rPr>
      </w:pPr>
      <w:hyperlink w:anchor="_Toc56092949" w:history="1">
        <w:r w:rsidR="006D7D56" w:rsidRPr="006657D8">
          <w:rPr>
            <w:rStyle w:val="Hyperlink"/>
          </w:rPr>
          <w:t>Option 2: Consumer education campaign</w:t>
        </w:r>
        <w:r w:rsidR="006D7D56">
          <w:rPr>
            <w:webHidden/>
          </w:rPr>
          <w:tab/>
        </w:r>
        <w:r w:rsidR="006D7D56">
          <w:rPr>
            <w:webHidden/>
          </w:rPr>
          <w:fldChar w:fldCharType="begin"/>
        </w:r>
        <w:r w:rsidR="006D7D56">
          <w:rPr>
            <w:webHidden/>
          </w:rPr>
          <w:instrText xml:space="preserve"> PAGEREF _Toc56092949 \h </w:instrText>
        </w:r>
        <w:r w:rsidR="006D7D56">
          <w:rPr>
            <w:webHidden/>
          </w:rPr>
        </w:r>
        <w:r w:rsidR="006D7D56">
          <w:rPr>
            <w:webHidden/>
          </w:rPr>
          <w:fldChar w:fldCharType="separate"/>
        </w:r>
        <w:r w:rsidR="0066040F">
          <w:rPr>
            <w:webHidden/>
          </w:rPr>
          <w:t>19</w:t>
        </w:r>
        <w:r w:rsidR="006D7D56">
          <w:rPr>
            <w:webHidden/>
          </w:rPr>
          <w:fldChar w:fldCharType="end"/>
        </w:r>
      </w:hyperlink>
    </w:p>
    <w:p w14:paraId="3E1FA7FE" w14:textId="61967A41" w:rsidR="006D7D56" w:rsidRDefault="002A2F5E">
      <w:pPr>
        <w:pStyle w:val="TOC3"/>
        <w:rPr>
          <w:rFonts w:asciiTheme="minorHAnsi" w:eastAsiaTheme="minorEastAsia" w:hAnsiTheme="minorHAnsi" w:cstheme="minorBidi"/>
        </w:rPr>
      </w:pPr>
      <w:hyperlink w:anchor="_Toc56092950" w:history="1">
        <w:r w:rsidR="006D7D56" w:rsidRPr="006657D8">
          <w:rPr>
            <w:rStyle w:val="Hyperlink"/>
          </w:rPr>
          <w:t>Benefits</w:t>
        </w:r>
        <w:r w:rsidR="006D7D56">
          <w:rPr>
            <w:webHidden/>
          </w:rPr>
          <w:tab/>
        </w:r>
        <w:r w:rsidR="006D7D56">
          <w:rPr>
            <w:webHidden/>
          </w:rPr>
          <w:fldChar w:fldCharType="begin"/>
        </w:r>
        <w:r w:rsidR="006D7D56">
          <w:rPr>
            <w:webHidden/>
          </w:rPr>
          <w:instrText xml:space="preserve"> PAGEREF _Toc56092950 \h </w:instrText>
        </w:r>
        <w:r w:rsidR="006D7D56">
          <w:rPr>
            <w:webHidden/>
          </w:rPr>
        </w:r>
        <w:r w:rsidR="006D7D56">
          <w:rPr>
            <w:webHidden/>
          </w:rPr>
          <w:fldChar w:fldCharType="separate"/>
        </w:r>
        <w:r w:rsidR="0066040F">
          <w:rPr>
            <w:webHidden/>
          </w:rPr>
          <w:t>19</w:t>
        </w:r>
        <w:r w:rsidR="006D7D56">
          <w:rPr>
            <w:webHidden/>
          </w:rPr>
          <w:fldChar w:fldCharType="end"/>
        </w:r>
      </w:hyperlink>
    </w:p>
    <w:p w14:paraId="5F7C8620" w14:textId="0E41C749" w:rsidR="006D7D56" w:rsidRDefault="002A2F5E">
      <w:pPr>
        <w:pStyle w:val="TOC3"/>
        <w:rPr>
          <w:rFonts w:asciiTheme="minorHAnsi" w:eastAsiaTheme="minorEastAsia" w:hAnsiTheme="minorHAnsi" w:cstheme="minorBidi"/>
        </w:rPr>
      </w:pPr>
      <w:hyperlink w:anchor="_Toc56092951" w:history="1">
        <w:r w:rsidR="006D7D56" w:rsidRPr="006657D8">
          <w:rPr>
            <w:rStyle w:val="Hyperlink"/>
          </w:rPr>
          <w:t>Costs</w:t>
        </w:r>
        <w:r w:rsidR="006D7D56">
          <w:rPr>
            <w:webHidden/>
          </w:rPr>
          <w:tab/>
        </w:r>
        <w:r w:rsidR="006D7D56">
          <w:rPr>
            <w:webHidden/>
          </w:rPr>
          <w:fldChar w:fldCharType="begin"/>
        </w:r>
        <w:r w:rsidR="006D7D56">
          <w:rPr>
            <w:webHidden/>
          </w:rPr>
          <w:instrText xml:space="preserve"> PAGEREF _Toc56092951 \h </w:instrText>
        </w:r>
        <w:r w:rsidR="006D7D56">
          <w:rPr>
            <w:webHidden/>
          </w:rPr>
        </w:r>
        <w:r w:rsidR="006D7D56">
          <w:rPr>
            <w:webHidden/>
          </w:rPr>
          <w:fldChar w:fldCharType="separate"/>
        </w:r>
        <w:r w:rsidR="0066040F">
          <w:rPr>
            <w:webHidden/>
          </w:rPr>
          <w:t>20</w:t>
        </w:r>
        <w:r w:rsidR="006D7D56">
          <w:rPr>
            <w:webHidden/>
          </w:rPr>
          <w:fldChar w:fldCharType="end"/>
        </w:r>
      </w:hyperlink>
    </w:p>
    <w:p w14:paraId="47326512" w14:textId="2EA86887" w:rsidR="006D7D56" w:rsidRDefault="002A2F5E">
      <w:pPr>
        <w:pStyle w:val="TOC2"/>
        <w:rPr>
          <w:rFonts w:asciiTheme="minorHAnsi" w:eastAsiaTheme="minorEastAsia" w:hAnsiTheme="minorHAnsi" w:cstheme="minorBidi"/>
          <w:spacing w:val="0"/>
          <w:sz w:val="22"/>
          <w:szCs w:val="22"/>
        </w:rPr>
      </w:pPr>
      <w:hyperlink w:anchor="_Toc56092952" w:history="1">
        <w:r w:rsidR="006D7D56" w:rsidRPr="006657D8">
          <w:rPr>
            <w:rStyle w:val="Hyperlink"/>
          </w:rPr>
          <w:t>Option 3: Enforceable obligations</w:t>
        </w:r>
        <w:r w:rsidR="006D7D56">
          <w:rPr>
            <w:webHidden/>
          </w:rPr>
          <w:tab/>
        </w:r>
        <w:r w:rsidR="006D7D56">
          <w:rPr>
            <w:webHidden/>
          </w:rPr>
          <w:fldChar w:fldCharType="begin"/>
        </w:r>
        <w:r w:rsidR="006D7D56">
          <w:rPr>
            <w:webHidden/>
          </w:rPr>
          <w:instrText xml:space="preserve"> PAGEREF _Toc56092952 \h </w:instrText>
        </w:r>
        <w:r w:rsidR="006D7D56">
          <w:rPr>
            <w:webHidden/>
          </w:rPr>
        </w:r>
        <w:r w:rsidR="006D7D56">
          <w:rPr>
            <w:webHidden/>
          </w:rPr>
          <w:fldChar w:fldCharType="separate"/>
        </w:r>
        <w:r w:rsidR="0066040F">
          <w:rPr>
            <w:webHidden/>
          </w:rPr>
          <w:t>21</w:t>
        </w:r>
        <w:r w:rsidR="006D7D56">
          <w:rPr>
            <w:webHidden/>
          </w:rPr>
          <w:fldChar w:fldCharType="end"/>
        </w:r>
      </w:hyperlink>
    </w:p>
    <w:p w14:paraId="735C4F82" w14:textId="6B275E8F" w:rsidR="006D7D56" w:rsidRDefault="002A2F5E">
      <w:pPr>
        <w:pStyle w:val="TOC3"/>
        <w:rPr>
          <w:rFonts w:asciiTheme="minorHAnsi" w:eastAsiaTheme="minorEastAsia" w:hAnsiTheme="minorHAnsi" w:cstheme="minorBidi"/>
        </w:rPr>
      </w:pPr>
      <w:hyperlink w:anchor="_Toc56092953" w:history="1">
        <w:r w:rsidR="006D7D56" w:rsidRPr="006657D8">
          <w:rPr>
            <w:rStyle w:val="Hyperlink"/>
          </w:rPr>
          <w:t>Benefits</w:t>
        </w:r>
        <w:r w:rsidR="006D7D56">
          <w:rPr>
            <w:webHidden/>
          </w:rPr>
          <w:tab/>
        </w:r>
        <w:r w:rsidR="006D7D56">
          <w:rPr>
            <w:webHidden/>
          </w:rPr>
          <w:fldChar w:fldCharType="begin"/>
        </w:r>
        <w:r w:rsidR="006D7D56">
          <w:rPr>
            <w:webHidden/>
          </w:rPr>
          <w:instrText xml:space="preserve"> PAGEREF _Toc56092953 \h </w:instrText>
        </w:r>
        <w:r w:rsidR="006D7D56">
          <w:rPr>
            <w:webHidden/>
          </w:rPr>
        </w:r>
        <w:r w:rsidR="006D7D56">
          <w:rPr>
            <w:webHidden/>
          </w:rPr>
          <w:fldChar w:fldCharType="separate"/>
        </w:r>
        <w:r w:rsidR="0066040F">
          <w:rPr>
            <w:webHidden/>
          </w:rPr>
          <w:t>21</w:t>
        </w:r>
        <w:r w:rsidR="006D7D56">
          <w:rPr>
            <w:webHidden/>
          </w:rPr>
          <w:fldChar w:fldCharType="end"/>
        </w:r>
      </w:hyperlink>
    </w:p>
    <w:p w14:paraId="3763249D" w14:textId="668DD578" w:rsidR="006D7D56" w:rsidRDefault="002A2F5E">
      <w:pPr>
        <w:pStyle w:val="TOC3"/>
        <w:rPr>
          <w:rFonts w:asciiTheme="minorHAnsi" w:eastAsiaTheme="minorEastAsia" w:hAnsiTheme="minorHAnsi" w:cstheme="minorBidi"/>
        </w:rPr>
      </w:pPr>
      <w:hyperlink w:anchor="_Toc56092954" w:history="1">
        <w:r w:rsidR="006D7D56" w:rsidRPr="006657D8">
          <w:rPr>
            <w:rStyle w:val="Hyperlink"/>
          </w:rPr>
          <w:t>Costs</w:t>
        </w:r>
        <w:r w:rsidR="006D7D56">
          <w:rPr>
            <w:webHidden/>
          </w:rPr>
          <w:tab/>
        </w:r>
        <w:r w:rsidR="006D7D56">
          <w:rPr>
            <w:webHidden/>
          </w:rPr>
          <w:fldChar w:fldCharType="begin"/>
        </w:r>
        <w:r w:rsidR="006D7D56">
          <w:rPr>
            <w:webHidden/>
          </w:rPr>
          <w:instrText xml:space="preserve"> PAGEREF _Toc56092954 \h </w:instrText>
        </w:r>
        <w:r w:rsidR="006D7D56">
          <w:rPr>
            <w:webHidden/>
          </w:rPr>
        </w:r>
        <w:r w:rsidR="006D7D56">
          <w:rPr>
            <w:webHidden/>
          </w:rPr>
          <w:fldChar w:fldCharType="separate"/>
        </w:r>
        <w:r w:rsidR="0066040F">
          <w:rPr>
            <w:webHidden/>
          </w:rPr>
          <w:t>22</w:t>
        </w:r>
        <w:r w:rsidR="006D7D56">
          <w:rPr>
            <w:webHidden/>
          </w:rPr>
          <w:fldChar w:fldCharType="end"/>
        </w:r>
      </w:hyperlink>
    </w:p>
    <w:p w14:paraId="71807492" w14:textId="316C1C66" w:rsidR="006D7D56" w:rsidRDefault="002A2F5E">
      <w:pPr>
        <w:pStyle w:val="TOC2"/>
        <w:rPr>
          <w:rFonts w:asciiTheme="minorHAnsi" w:eastAsiaTheme="minorEastAsia" w:hAnsiTheme="minorHAnsi" w:cstheme="minorBidi"/>
          <w:spacing w:val="0"/>
          <w:sz w:val="22"/>
          <w:szCs w:val="22"/>
        </w:rPr>
      </w:pPr>
      <w:hyperlink w:anchor="_Toc56092955" w:history="1">
        <w:r w:rsidR="006D7D56" w:rsidRPr="006657D8">
          <w:rPr>
            <w:rStyle w:val="Hyperlink"/>
          </w:rPr>
          <w:t>Regulatory burden measurement table</w:t>
        </w:r>
        <w:r w:rsidR="006D7D56">
          <w:rPr>
            <w:webHidden/>
          </w:rPr>
          <w:tab/>
        </w:r>
        <w:r w:rsidR="006D7D56">
          <w:rPr>
            <w:webHidden/>
          </w:rPr>
          <w:fldChar w:fldCharType="begin"/>
        </w:r>
        <w:r w:rsidR="006D7D56">
          <w:rPr>
            <w:webHidden/>
          </w:rPr>
          <w:instrText xml:space="preserve"> PAGEREF _Toc56092955 \h </w:instrText>
        </w:r>
        <w:r w:rsidR="006D7D56">
          <w:rPr>
            <w:webHidden/>
          </w:rPr>
        </w:r>
        <w:r w:rsidR="006D7D56">
          <w:rPr>
            <w:webHidden/>
          </w:rPr>
          <w:fldChar w:fldCharType="separate"/>
        </w:r>
        <w:r w:rsidR="0066040F">
          <w:rPr>
            <w:webHidden/>
          </w:rPr>
          <w:t>25</w:t>
        </w:r>
        <w:r w:rsidR="006D7D56">
          <w:rPr>
            <w:webHidden/>
          </w:rPr>
          <w:fldChar w:fldCharType="end"/>
        </w:r>
      </w:hyperlink>
    </w:p>
    <w:p w14:paraId="68050790" w14:textId="244955A2" w:rsidR="006D7D56" w:rsidRDefault="002A2F5E">
      <w:pPr>
        <w:pStyle w:val="TOC2"/>
        <w:rPr>
          <w:rFonts w:asciiTheme="minorHAnsi" w:eastAsiaTheme="minorEastAsia" w:hAnsiTheme="minorHAnsi" w:cstheme="minorBidi"/>
          <w:spacing w:val="0"/>
          <w:sz w:val="22"/>
          <w:szCs w:val="22"/>
        </w:rPr>
      </w:pPr>
      <w:hyperlink w:anchor="_Toc56092956" w:history="1">
        <w:r w:rsidR="006D7D56" w:rsidRPr="006657D8">
          <w:rPr>
            <w:rStyle w:val="Hyperlink"/>
          </w:rPr>
          <w:t>Likely annual net benefit over 10 years</w:t>
        </w:r>
        <w:r w:rsidR="006D7D56">
          <w:rPr>
            <w:webHidden/>
          </w:rPr>
          <w:tab/>
        </w:r>
        <w:r w:rsidR="006D7D56">
          <w:rPr>
            <w:webHidden/>
          </w:rPr>
          <w:fldChar w:fldCharType="begin"/>
        </w:r>
        <w:r w:rsidR="006D7D56">
          <w:rPr>
            <w:webHidden/>
          </w:rPr>
          <w:instrText xml:space="preserve"> PAGEREF _Toc56092956 \h </w:instrText>
        </w:r>
        <w:r w:rsidR="006D7D56">
          <w:rPr>
            <w:webHidden/>
          </w:rPr>
        </w:r>
        <w:r w:rsidR="006D7D56">
          <w:rPr>
            <w:webHidden/>
          </w:rPr>
          <w:fldChar w:fldCharType="separate"/>
        </w:r>
        <w:r w:rsidR="0066040F">
          <w:rPr>
            <w:webHidden/>
          </w:rPr>
          <w:t>26</w:t>
        </w:r>
        <w:r w:rsidR="006D7D56">
          <w:rPr>
            <w:webHidden/>
          </w:rPr>
          <w:fldChar w:fldCharType="end"/>
        </w:r>
      </w:hyperlink>
    </w:p>
    <w:p w14:paraId="24000957" w14:textId="02B68325" w:rsidR="006D7D56" w:rsidRDefault="002A2F5E" w:rsidP="006D7D56">
      <w:pPr>
        <w:pStyle w:val="TOC1"/>
        <w:keepNext/>
        <w:keepLines/>
        <w:rPr>
          <w:rFonts w:asciiTheme="minorHAnsi" w:eastAsiaTheme="minorEastAsia" w:hAnsiTheme="minorHAnsi" w:cstheme="minorBidi"/>
          <w:b w:val="0"/>
          <w:spacing w:val="0"/>
          <w:sz w:val="22"/>
          <w:szCs w:val="22"/>
        </w:rPr>
      </w:pPr>
      <w:hyperlink w:anchor="_Toc56092957" w:history="1">
        <w:r w:rsidR="006D7D56" w:rsidRPr="006657D8">
          <w:rPr>
            <w:rStyle w:val="Hyperlink"/>
          </w:rPr>
          <w:t>Who was consulted and what did they say?</w:t>
        </w:r>
        <w:r w:rsidR="006D7D56">
          <w:rPr>
            <w:webHidden/>
          </w:rPr>
          <w:tab/>
        </w:r>
        <w:r w:rsidR="006D7D56">
          <w:rPr>
            <w:webHidden/>
          </w:rPr>
          <w:fldChar w:fldCharType="begin"/>
        </w:r>
        <w:r w:rsidR="006D7D56">
          <w:rPr>
            <w:webHidden/>
          </w:rPr>
          <w:instrText xml:space="preserve"> PAGEREF _Toc56092957 \h </w:instrText>
        </w:r>
        <w:r w:rsidR="006D7D56">
          <w:rPr>
            <w:webHidden/>
          </w:rPr>
        </w:r>
        <w:r w:rsidR="006D7D56">
          <w:rPr>
            <w:webHidden/>
          </w:rPr>
          <w:fldChar w:fldCharType="separate"/>
        </w:r>
        <w:r w:rsidR="0066040F">
          <w:rPr>
            <w:webHidden/>
          </w:rPr>
          <w:t>27</w:t>
        </w:r>
        <w:r w:rsidR="006D7D56">
          <w:rPr>
            <w:webHidden/>
          </w:rPr>
          <w:fldChar w:fldCharType="end"/>
        </w:r>
      </w:hyperlink>
    </w:p>
    <w:p w14:paraId="307302E8" w14:textId="44F9B3AC" w:rsidR="006D7D56" w:rsidRDefault="002A2F5E" w:rsidP="006D7D56">
      <w:pPr>
        <w:pStyle w:val="TOC2"/>
        <w:keepNext/>
        <w:keepLines/>
        <w:rPr>
          <w:rFonts w:asciiTheme="minorHAnsi" w:eastAsiaTheme="minorEastAsia" w:hAnsiTheme="minorHAnsi" w:cstheme="minorBidi"/>
          <w:spacing w:val="0"/>
          <w:sz w:val="22"/>
          <w:szCs w:val="22"/>
        </w:rPr>
      </w:pPr>
      <w:hyperlink w:anchor="_Toc56092958" w:history="1">
        <w:r w:rsidR="006D7D56" w:rsidRPr="006657D8">
          <w:rPr>
            <w:rStyle w:val="Hyperlink"/>
          </w:rPr>
          <w:t>Consultation</w:t>
        </w:r>
        <w:r w:rsidR="006D7D56">
          <w:rPr>
            <w:webHidden/>
          </w:rPr>
          <w:tab/>
        </w:r>
        <w:r w:rsidR="006D7D56">
          <w:rPr>
            <w:webHidden/>
          </w:rPr>
          <w:fldChar w:fldCharType="begin"/>
        </w:r>
        <w:r w:rsidR="006D7D56">
          <w:rPr>
            <w:webHidden/>
          </w:rPr>
          <w:instrText xml:space="preserve"> PAGEREF _Toc56092958 \h </w:instrText>
        </w:r>
        <w:r w:rsidR="006D7D56">
          <w:rPr>
            <w:webHidden/>
          </w:rPr>
        </w:r>
        <w:r w:rsidR="006D7D56">
          <w:rPr>
            <w:webHidden/>
          </w:rPr>
          <w:fldChar w:fldCharType="separate"/>
        </w:r>
        <w:r w:rsidR="0066040F">
          <w:rPr>
            <w:webHidden/>
          </w:rPr>
          <w:t>27</w:t>
        </w:r>
        <w:r w:rsidR="006D7D56">
          <w:rPr>
            <w:webHidden/>
          </w:rPr>
          <w:fldChar w:fldCharType="end"/>
        </w:r>
      </w:hyperlink>
    </w:p>
    <w:p w14:paraId="47434FE1" w14:textId="421BAC91" w:rsidR="006D7D56" w:rsidRDefault="002A2F5E" w:rsidP="006D7D56">
      <w:pPr>
        <w:pStyle w:val="TOC3"/>
        <w:keepNext/>
        <w:keepLines/>
        <w:rPr>
          <w:rFonts w:asciiTheme="minorHAnsi" w:eastAsiaTheme="minorEastAsia" w:hAnsiTheme="minorHAnsi" w:cstheme="minorBidi"/>
        </w:rPr>
      </w:pPr>
      <w:hyperlink w:anchor="_Toc56092959" w:history="1">
        <w:r w:rsidR="006D7D56" w:rsidRPr="006657D8">
          <w:rPr>
            <w:rStyle w:val="Hyperlink"/>
            <w:rFonts w:eastAsia="Calibri"/>
          </w:rPr>
          <w:t>Release of industry code for public comment</w:t>
        </w:r>
        <w:r w:rsidR="006D7D56">
          <w:rPr>
            <w:webHidden/>
          </w:rPr>
          <w:tab/>
        </w:r>
        <w:r w:rsidR="006D7D56">
          <w:rPr>
            <w:webHidden/>
          </w:rPr>
          <w:fldChar w:fldCharType="begin"/>
        </w:r>
        <w:r w:rsidR="006D7D56">
          <w:rPr>
            <w:webHidden/>
          </w:rPr>
          <w:instrText xml:space="preserve"> PAGEREF _Toc56092959 \h </w:instrText>
        </w:r>
        <w:r w:rsidR="006D7D56">
          <w:rPr>
            <w:webHidden/>
          </w:rPr>
        </w:r>
        <w:r w:rsidR="006D7D56">
          <w:rPr>
            <w:webHidden/>
          </w:rPr>
          <w:fldChar w:fldCharType="separate"/>
        </w:r>
        <w:r w:rsidR="0066040F">
          <w:rPr>
            <w:webHidden/>
          </w:rPr>
          <w:t>27</w:t>
        </w:r>
        <w:r w:rsidR="006D7D56">
          <w:rPr>
            <w:webHidden/>
          </w:rPr>
          <w:fldChar w:fldCharType="end"/>
        </w:r>
      </w:hyperlink>
    </w:p>
    <w:p w14:paraId="7C5C3D28" w14:textId="4110F8A1" w:rsidR="006D7D56" w:rsidRDefault="002A2F5E" w:rsidP="006D7D56">
      <w:pPr>
        <w:pStyle w:val="TOC3"/>
        <w:keepNext/>
        <w:keepLines/>
        <w:rPr>
          <w:rFonts w:asciiTheme="minorHAnsi" w:eastAsiaTheme="minorEastAsia" w:hAnsiTheme="minorHAnsi" w:cstheme="minorBidi"/>
        </w:rPr>
      </w:pPr>
      <w:hyperlink w:anchor="_Toc56092960" w:history="1">
        <w:r w:rsidR="006D7D56" w:rsidRPr="006657D8">
          <w:rPr>
            <w:rStyle w:val="Hyperlink"/>
          </w:rPr>
          <w:t>Summary of stakeholder feedback</w:t>
        </w:r>
        <w:r w:rsidR="006D7D56">
          <w:rPr>
            <w:webHidden/>
          </w:rPr>
          <w:tab/>
        </w:r>
        <w:r w:rsidR="006D7D56">
          <w:rPr>
            <w:webHidden/>
          </w:rPr>
          <w:fldChar w:fldCharType="begin"/>
        </w:r>
        <w:r w:rsidR="006D7D56">
          <w:rPr>
            <w:webHidden/>
          </w:rPr>
          <w:instrText xml:space="preserve"> PAGEREF _Toc56092960 \h </w:instrText>
        </w:r>
        <w:r w:rsidR="006D7D56">
          <w:rPr>
            <w:webHidden/>
          </w:rPr>
        </w:r>
        <w:r w:rsidR="006D7D56">
          <w:rPr>
            <w:webHidden/>
          </w:rPr>
          <w:fldChar w:fldCharType="separate"/>
        </w:r>
        <w:r w:rsidR="0066040F">
          <w:rPr>
            <w:webHidden/>
          </w:rPr>
          <w:t>28</w:t>
        </w:r>
        <w:r w:rsidR="006D7D56">
          <w:rPr>
            <w:webHidden/>
          </w:rPr>
          <w:fldChar w:fldCharType="end"/>
        </w:r>
      </w:hyperlink>
    </w:p>
    <w:p w14:paraId="79A3203D" w14:textId="16E456A9" w:rsidR="006D7D56" w:rsidRDefault="002A2F5E" w:rsidP="006D7D56">
      <w:pPr>
        <w:pStyle w:val="TOC1"/>
        <w:keepNext/>
        <w:keepLines/>
        <w:rPr>
          <w:rFonts w:asciiTheme="minorHAnsi" w:eastAsiaTheme="minorEastAsia" w:hAnsiTheme="minorHAnsi" w:cstheme="minorBidi"/>
          <w:b w:val="0"/>
          <w:spacing w:val="0"/>
          <w:sz w:val="22"/>
          <w:szCs w:val="22"/>
        </w:rPr>
      </w:pPr>
      <w:hyperlink w:anchor="_Toc56092961" w:history="1">
        <w:r w:rsidR="006D7D56" w:rsidRPr="006657D8">
          <w:rPr>
            <w:rStyle w:val="Hyperlink"/>
          </w:rPr>
          <w:t>What is the best option from those considered?</w:t>
        </w:r>
        <w:r w:rsidR="006D7D56">
          <w:rPr>
            <w:webHidden/>
          </w:rPr>
          <w:tab/>
        </w:r>
        <w:r w:rsidR="006D7D56">
          <w:rPr>
            <w:webHidden/>
          </w:rPr>
          <w:fldChar w:fldCharType="begin"/>
        </w:r>
        <w:r w:rsidR="006D7D56">
          <w:rPr>
            <w:webHidden/>
          </w:rPr>
          <w:instrText xml:space="preserve"> PAGEREF _Toc56092961 \h </w:instrText>
        </w:r>
        <w:r w:rsidR="006D7D56">
          <w:rPr>
            <w:webHidden/>
          </w:rPr>
        </w:r>
        <w:r w:rsidR="006D7D56">
          <w:rPr>
            <w:webHidden/>
          </w:rPr>
          <w:fldChar w:fldCharType="separate"/>
        </w:r>
        <w:r w:rsidR="0066040F">
          <w:rPr>
            <w:webHidden/>
          </w:rPr>
          <w:t>29</w:t>
        </w:r>
        <w:r w:rsidR="006D7D56">
          <w:rPr>
            <w:webHidden/>
          </w:rPr>
          <w:fldChar w:fldCharType="end"/>
        </w:r>
      </w:hyperlink>
    </w:p>
    <w:p w14:paraId="0218B5FB" w14:textId="5545DE0F" w:rsidR="006D7D56" w:rsidRDefault="002A2F5E" w:rsidP="006D7D56">
      <w:pPr>
        <w:pStyle w:val="TOC1"/>
        <w:keepNext/>
        <w:keepLines/>
        <w:rPr>
          <w:rFonts w:asciiTheme="minorHAnsi" w:eastAsiaTheme="minorEastAsia" w:hAnsiTheme="minorHAnsi" w:cstheme="minorBidi"/>
          <w:b w:val="0"/>
          <w:spacing w:val="0"/>
          <w:sz w:val="22"/>
          <w:szCs w:val="22"/>
        </w:rPr>
      </w:pPr>
      <w:hyperlink w:anchor="_Toc56092962" w:history="1">
        <w:r w:rsidR="006D7D56" w:rsidRPr="006657D8">
          <w:rPr>
            <w:rStyle w:val="Hyperlink"/>
          </w:rPr>
          <w:t>How will you implement and evaluate your chosen option?</w:t>
        </w:r>
        <w:r w:rsidR="006D7D56">
          <w:rPr>
            <w:webHidden/>
          </w:rPr>
          <w:tab/>
        </w:r>
        <w:r w:rsidR="006D7D56">
          <w:rPr>
            <w:webHidden/>
          </w:rPr>
          <w:fldChar w:fldCharType="begin"/>
        </w:r>
        <w:r w:rsidR="006D7D56">
          <w:rPr>
            <w:webHidden/>
          </w:rPr>
          <w:instrText xml:space="preserve"> PAGEREF _Toc56092962 \h </w:instrText>
        </w:r>
        <w:r w:rsidR="006D7D56">
          <w:rPr>
            <w:webHidden/>
          </w:rPr>
        </w:r>
        <w:r w:rsidR="006D7D56">
          <w:rPr>
            <w:webHidden/>
          </w:rPr>
          <w:fldChar w:fldCharType="separate"/>
        </w:r>
        <w:r w:rsidR="0066040F">
          <w:rPr>
            <w:webHidden/>
          </w:rPr>
          <w:t>30</w:t>
        </w:r>
        <w:r w:rsidR="006D7D56">
          <w:rPr>
            <w:webHidden/>
          </w:rPr>
          <w:fldChar w:fldCharType="end"/>
        </w:r>
      </w:hyperlink>
    </w:p>
    <w:p w14:paraId="090A0E5E" w14:textId="5B07E927" w:rsidR="006D7D56" w:rsidRDefault="002A2F5E" w:rsidP="006D7D56">
      <w:pPr>
        <w:pStyle w:val="TOC2"/>
        <w:keepNext/>
        <w:keepLines/>
        <w:rPr>
          <w:rFonts w:asciiTheme="minorHAnsi" w:eastAsiaTheme="minorEastAsia" w:hAnsiTheme="minorHAnsi" w:cstheme="minorBidi"/>
          <w:spacing w:val="0"/>
          <w:sz w:val="22"/>
          <w:szCs w:val="22"/>
        </w:rPr>
      </w:pPr>
      <w:hyperlink w:anchor="_Toc56092963" w:history="1">
        <w:r w:rsidR="006D7D56" w:rsidRPr="006657D8">
          <w:rPr>
            <w:rStyle w:val="Hyperlink"/>
          </w:rPr>
          <w:t>Implementation</w:t>
        </w:r>
        <w:r w:rsidR="006D7D56">
          <w:rPr>
            <w:webHidden/>
          </w:rPr>
          <w:tab/>
        </w:r>
        <w:r w:rsidR="006D7D56">
          <w:rPr>
            <w:webHidden/>
          </w:rPr>
          <w:fldChar w:fldCharType="begin"/>
        </w:r>
        <w:r w:rsidR="006D7D56">
          <w:rPr>
            <w:webHidden/>
          </w:rPr>
          <w:instrText xml:space="preserve"> PAGEREF _Toc56092963 \h </w:instrText>
        </w:r>
        <w:r w:rsidR="006D7D56">
          <w:rPr>
            <w:webHidden/>
          </w:rPr>
        </w:r>
        <w:r w:rsidR="006D7D56">
          <w:rPr>
            <w:webHidden/>
          </w:rPr>
          <w:fldChar w:fldCharType="separate"/>
        </w:r>
        <w:r w:rsidR="0066040F">
          <w:rPr>
            <w:webHidden/>
          </w:rPr>
          <w:t>30</w:t>
        </w:r>
        <w:r w:rsidR="006D7D56">
          <w:rPr>
            <w:webHidden/>
          </w:rPr>
          <w:fldChar w:fldCharType="end"/>
        </w:r>
      </w:hyperlink>
    </w:p>
    <w:p w14:paraId="61D5D7C2" w14:textId="60E01DFB" w:rsidR="006D7D56" w:rsidRDefault="002A2F5E" w:rsidP="006D7D56">
      <w:pPr>
        <w:pStyle w:val="TOC3"/>
        <w:keepNext/>
        <w:keepLines/>
        <w:rPr>
          <w:rFonts w:asciiTheme="minorHAnsi" w:eastAsiaTheme="minorEastAsia" w:hAnsiTheme="minorHAnsi" w:cstheme="minorBidi"/>
        </w:rPr>
      </w:pPr>
      <w:hyperlink w:anchor="_Toc56092964" w:history="1">
        <w:r w:rsidR="006D7D56" w:rsidRPr="006657D8">
          <w:rPr>
            <w:rStyle w:val="Hyperlink"/>
          </w:rPr>
          <w:t>Engagement with stakeholders</w:t>
        </w:r>
        <w:r w:rsidR="006D7D56">
          <w:rPr>
            <w:webHidden/>
          </w:rPr>
          <w:tab/>
        </w:r>
        <w:r w:rsidR="006D7D56">
          <w:rPr>
            <w:webHidden/>
          </w:rPr>
          <w:fldChar w:fldCharType="begin"/>
        </w:r>
        <w:r w:rsidR="006D7D56">
          <w:rPr>
            <w:webHidden/>
          </w:rPr>
          <w:instrText xml:space="preserve"> PAGEREF _Toc56092964 \h </w:instrText>
        </w:r>
        <w:r w:rsidR="006D7D56">
          <w:rPr>
            <w:webHidden/>
          </w:rPr>
        </w:r>
        <w:r w:rsidR="006D7D56">
          <w:rPr>
            <w:webHidden/>
          </w:rPr>
          <w:fldChar w:fldCharType="separate"/>
        </w:r>
        <w:r w:rsidR="0066040F">
          <w:rPr>
            <w:webHidden/>
          </w:rPr>
          <w:t>30</w:t>
        </w:r>
        <w:r w:rsidR="006D7D56">
          <w:rPr>
            <w:webHidden/>
          </w:rPr>
          <w:fldChar w:fldCharType="end"/>
        </w:r>
      </w:hyperlink>
    </w:p>
    <w:p w14:paraId="63C3135E" w14:textId="23A8E9A1" w:rsidR="006D7D56" w:rsidRDefault="002A2F5E" w:rsidP="006D7D56">
      <w:pPr>
        <w:pStyle w:val="TOC1"/>
        <w:keepNext/>
        <w:keepLines/>
        <w:rPr>
          <w:rFonts w:asciiTheme="minorHAnsi" w:eastAsiaTheme="minorEastAsia" w:hAnsiTheme="minorHAnsi" w:cstheme="minorBidi"/>
          <w:b w:val="0"/>
          <w:spacing w:val="0"/>
          <w:sz w:val="22"/>
          <w:szCs w:val="22"/>
        </w:rPr>
      </w:pPr>
      <w:hyperlink w:anchor="_Toc56092965" w:history="1">
        <w:r w:rsidR="006D7D56" w:rsidRPr="006657D8">
          <w:rPr>
            <w:rStyle w:val="Hyperlink"/>
          </w:rPr>
          <w:t>Evaluation</w:t>
        </w:r>
        <w:r w:rsidR="006D7D56">
          <w:rPr>
            <w:webHidden/>
          </w:rPr>
          <w:tab/>
        </w:r>
        <w:r w:rsidR="006D7D56">
          <w:rPr>
            <w:webHidden/>
          </w:rPr>
          <w:fldChar w:fldCharType="begin"/>
        </w:r>
        <w:r w:rsidR="006D7D56">
          <w:rPr>
            <w:webHidden/>
          </w:rPr>
          <w:instrText xml:space="preserve"> PAGEREF _Toc56092965 \h </w:instrText>
        </w:r>
        <w:r w:rsidR="006D7D56">
          <w:rPr>
            <w:webHidden/>
          </w:rPr>
        </w:r>
        <w:r w:rsidR="006D7D56">
          <w:rPr>
            <w:webHidden/>
          </w:rPr>
          <w:fldChar w:fldCharType="separate"/>
        </w:r>
        <w:r w:rsidR="0066040F">
          <w:rPr>
            <w:webHidden/>
          </w:rPr>
          <w:t>32</w:t>
        </w:r>
        <w:r w:rsidR="006D7D56">
          <w:rPr>
            <w:webHidden/>
          </w:rPr>
          <w:fldChar w:fldCharType="end"/>
        </w:r>
      </w:hyperlink>
    </w:p>
    <w:p w14:paraId="4DCAEF44" w14:textId="7A856205" w:rsidR="006D7D56" w:rsidRDefault="002A2F5E" w:rsidP="006D7D56">
      <w:pPr>
        <w:pStyle w:val="TOC1"/>
        <w:keepNext/>
        <w:keepLines/>
        <w:rPr>
          <w:rFonts w:asciiTheme="minorHAnsi" w:eastAsiaTheme="minorEastAsia" w:hAnsiTheme="minorHAnsi" w:cstheme="minorBidi"/>
          <w:b w:val="0"/>
          <w:spacing w:val="0"/>
          <w:sz w:val="22"/>
          <w:szCs w:val="22"/>
        </w:rPr>
      </w:pPr>
      <w:hyperlink w:anchor="_Toc56092966" w:history="1">
        <w:r w:rsidR="006D7D56" w:rsidRPr="006657D8">
          <w:rPr>
            <w:rStyle w:val="Hyperlink"/>
          </w:rPr>
          <w:t>Appendix A: Table 1 – Calculations to inform the regulatory burden measurement</w:t>
        </w:r>
        <w:r w:rsidR="006D7D56">
          <w:rPr>
            <w:webHidden/>
          </w:rPr>
          <w:tab/>
        </w:r>
        <w:r w:rsidR="006D7D56">
          <w:rPr>
            <w:webHidden/>
          </w:rPr>
          <w:fldChar w:fldCharType="begin"/>
        </w:r>
        <w:r w:rsidR="006D7D56">
          <w:rPr>
            <w:webHidden/>
          </w:rPr>
          <w:instrText xml:space="preserve"> PAGEREF _Toc56092966 \h </w:instrText>
        </w:r>
        <w:r w:rsidR="006D7D56">
          <w:rPr>
            <w:webHidden/>
          </w:rPr>
        </w:r>
        <w:r w:rsidR="006D7D56">
          <w:rPr>
            <w:webHidden/>
          </w:rPr>
          <w:fldChar w:fldCharType="separate"/>
        </w:r>
        <w:r w:rsidR="0066040F">
          <w:rPr>
            <w:webHidden/>
          </w:rPr>
          <w:t>33</w:t>
        </w:r>
        <w:r w:rsidR="006D7D56">
          <w:rPr>
            <w:webHidden/>
          </w:rPr>
          <w:fldChar w:fldCharType="end"/>
        </w:r>
      </w:hyperlink>
    </w:p>
    <w:p w14:paraId="7D49CFAD" w14:textId="40F42258" w:rsidR="006D7D56" w:rsidRDefault="002A2F5E" w:rsidP="006D7D56">
      <w:pPr>
        <w:pStyle w:val="TOC3"/>
        <w:keepNext/>
        <w:keepLines/>
        <w:rPr>
          <w:rFonts w:asciiTheme="minorHAnsi" w:eastAsiaTheme="minorEastAsia" w:hAnsiTheme="minorHAnsi" w:cstheme="minorBidi"/>
        </w:rPr>
      </w:pPr>
      <w:hyperlink w:anchor="_Toc56092967" w:history="1">
        <w:r w:rsidR="006D7D56" w:rsidRPr="006657D8">
          <w:rPr>
            <w:rStyle w:val="Hyperlink"/>
          </w:rPr>
          <w:t>Relevant facts and assumptions</w:t>
        </w:r>
        <w:r w:rsidR="006D7D56">
          <w:rPr>
            <w:webHidden/>
          </w:rPr>
          <w:tab/>
        </w:r>
        <w:r w:rsidR="006D7D56">
          <w:rPr>
            <w:webHidden/>
          </w:rPr>
          <w:fldChar w:fldCharType="begin"/>
        </w:r>
        <w:r w:rsidR="006D7D56">
          <w:rPr>
            <w:webHidden/>
          </w:rPr>
          <w:instrText xml:space="preserve"> PAGEREF _Toc56092967 \h </w:instrText>
        </w:r>
        <w:r w:rsidR="006D7D56">
          <w:rPr>
            <w:webHidden/>
          </w:rPr>
        </w:r>
        <w:r w:rsidR="006D7D56">
          <w:rPr>
            <w:webHidden/>
          </w:rPr>
          <w:fldChar w:fldCharType="separate"/>
        </w:r>
        <w:r w:rsidR="0066040F">
          <w:rPr>
            <w:webHidden/>
          </w:rPr>
          <w:t>34</w:t>
        </w:r>
        <w:r w:rsidR="006D7D56">
          <w:rPr>
            <w:webHidden/>
          </w:rPr>
          <w:fldChar w:fldCharType="end"/>
        </w:r>
      </w:hyperlink>
    </w:p>
    <w:p w14:paraId="0534B1A8" w14:textId="13B12719" w:rsidR="004D56FF" w:rsidRPr="000D76E0" w:rsidRDefault="00356363">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51903AC5" w14:textId="0BA2F746" w:rsidR="009D6C71" w:rsidRPr="009174F3" w:rsidRDefault="00DB2B1C" w:rsidP="009174F3">
      <w:pPr>
        <w:pStyle w:val="Execsummaryheading"/>
      </w:pPr>
      <w:bookmarkStart w:id="0" w:name="_Toc56092930"/>
      <w:r>
        <w:lastRenderedPageBreak/>
        <w:t>Introduction</w:t>
      </w:r>
      <w:bookmarkEnd w:id="0"/>
      <w:r w:rsidR="009D6C71" w:rsidRPr="009174F3">
        <w:t xml:space="preserve"> </w:t>
      </w:r>
    </w:p>
    <w:p w14:paraId="7F92BF7B" w14:textId="3AAAB554" w:rsidR="00DB2B1C" w:rsidRDefault="00DB2B1C" w:rsidP="00DB2B1C">
      <w:pPr>
        <w:pStyle w:val="Paragraph"/>
      </w:pPr>
      <w:r w:rsidRPr="0015441B">
        <w:t>The Australian Government wants to minimise</w:t>
      </w:r>
      <w:r>
        <w:t xml:space="preserve"> scam calls</w:t>
      </w:r>
      <w:r w:rsidRPr="0015441B">
        <w:t xml:space="preserve"> and reduce associated financial loss and hardship to consumers.</w:t>
      </w:r>
      <w:r w:rsidRPr="00B60430">
        <w:rPr>
          <w:rFonts w:eastAsia="Calibri"/>
          <w:bCs/>
          <w:iCs/>
          <w:szCs w:val="20"/>
          <w:lang w:eastAsia="en-US"/>
        </w:rPr>
        <w:t xml:space="preserve"> </w:t>
      </w:r>
      <w:r w:rsidRPr="00B60430">
        <w:rPr>
          <w:bCs/>
          <w:iCs/>
        </w:rPr>
        <w:t>Scams are a whole-of-community problem</w:t>
      </w:r>
      <w:r w:rsidR="00244971">
        <w:rPr>
          <w:bCs/>
          <w:iCs/>
        </w:rPr>
        <w:t>,</w:t>
      </w:r>
      <w:r w:rsidRPr="00B60430">
        <w:rPr>
          <w:bCs/>
          <w:iCs/>
        </w:rPr>
        <w:t xml:space="preserve"> and government, industry and consumers all have a role in mitigating </w:t>
      </w:r>
      <w:r>
        <w:rPr>
          <w:bCs/>
          <w:iCs/>
        </w:rPr>
        <w:t xml:space="preserve">associated </w:t>
      </w:r>
      <w:r w:rsidRPr="00B60430">
        <w:rPr>
          <w:bCs/>
          <w:iCs/>
        </w:rPr>
        <w:t>detriments.</w:t>
      </w:r>
    </w:p>
    <w:p w14:paraId="3BC8BCAF" w14:textId="77777777" w:rsidR="00DB2B1C" w:rsidRDefault="00DB2B1C" w:rsidP="00DB2B1C">
      <w:pPr>
        <w:pStyle w:val="Paragraph"/>
      </w:pPr>
      <w:bookmarkStart w:id="1" w:name="_Hlk52546818"/>
      <w:r w:rsidRPr="0002151B">
        <w:t>Scammers perpetrate their crimes via a range of obfuscation techniques and scam types</w:t>
      </w:r>
      <w:r w:rsidRPr="00C7199B">
        <w:t xml:space="preserve"> such as try</w:t>
      </w:r>
      <w:r>
        <w:t>ing</w:t>
      </w:r>
      <w:r w:rsidRPr="00C7199B">
        <w:t xml:space="preserve"> to steal money or </w:t>
      </w:r>
      <w:r>
        <w:t>identity</w:t>
      </w:r>
      <w:r w:rsidRPr="00C7199B">
        <w:t xml:space="preserve"> through</w:t>
      </w:r>
      <w:r>
        <w:t xml:space="preserve"> </w:t>
      </w:r>
      <w:r w:rsidRPr="0002151B">
        <w:t>phone calls</w:t>
      </w:r>
      <w:r>
        <w:t xml:space="preserve"> </w:t>
      </w:r>
      <w:r w:rsidRPr="0002151B">
        <w:t xml:space="preserve">from </w:t>
      </w:r>
      <w:r>
        <w:t xml:space="preserve">live operators or </w:t>
      </w:r>
      <w:r w:rsidRPr="0002151B">
        <w:t>robocalls.</w:t>
      </w:r>
      <w:bookmarkEnd w:id="1"/>
    </w:p>
    <w:p w14:paraId="1EFB47BD" w14:textId="77777777" w:rsidR="00DB2B1C" w:rsidRDefault="00DB2B1C" w:rsidP="00DB2B1C">
      <w:pPr>
        <w:pStyle w:val="Paragraph"/>
      </w:pPr>
      <w:r w:rsidRPr="00172744">
        <w:rPr>
          <w:lang w:val="en-GB"/>
        </w:rPr>
        <w:t>Scams over tel</w:t>
      </w:r>
      <w:r>
        <w:rPr>
          <w:lang w:val="en-GB"/>
        </w:rPr>
        <w:t>e</w:t>
      </w:r>
      <w:r w:rsidRPr="00172744">
        <w:rPr>
          <w:lang w:val="en-GB"/>
        </w:rPr>
        <w:t>co</w:t>
      </w:r>
      <w:r>
        <w:rPr>
          <w:lang w:val="en-GB"/>
        </w:rPr>
        <w:t>mmunications</w:t>
      </w:r>
      <w:r w:rsidRPr="00172744">
        <w:rPr>
          <w:lang w:val="en-GB"/>
        </w:rPr>
        <w:t xml:space="preserve"> networks are a significant problem</w:t>
      </w:r>
      <w:r>
        <w:rPr>
          <w:lang w:val="en-GB"/>
        </w:rPr>
        <w:t xml:space="preserve"> – not only</w:t>
      </w:r>
      <w:r w:rsidRPr="00172744">
        <w:rPr>
          <w:lang w:val="en-GB"/>
        </w:rPr>
        <w:t xml:space="preserve"> </w:t>
      </w:r>
      <w:r w:rsidRPr="002B2AD1">
        <w:rPr>
          <w:lang w:val="en-GB"/>
        </w:rPr>
        <w:t xml:space="preserve">causing </w:t>
      </w:r>
      <w:r w:rsidRPr="002B2AD1">
        <w:t xml:space="preserve">financial and emotional harm to victims </w:t>
      </w:r>
      <w:r>
        <w:t>but also</w:t>
      </w:r>
      <w:r w:rsidRPr="002B2AD1">
        <w:t xml:space="preserve"> undermining confidence in telecommunications networks.</w:t>
      </w:r>
    </w:p>
    <w:p w14:paraId="28FBE00C" w14:textId="77777777" w:rsidR="00DB2B1C" w:rsidRDefault="00DB2B1C" w:rsidP="00DB2B1C">
      <w:pPr>
        <w:pStyle w:val="Paragraph"/>
      </w:pPr>
      <w:r w:rsidRPr="002106F1">
        <w:t xml:space="preserve">Scammers are finding </w:t>
      </w:r>
      <w:r>
        <w:t xml:space="preserve">new </w:t>
      </w:r>
      <w:r w:rsidRPr="002106F1">
        <w:t xml:space="preserve">ways to target Australian </w:t>
      </w:r>
      <w:r>
        <w:t>tele</w:t>
      </w:r>
      <w:r w:rsidRPr="002106F1">
        <w:t xml:space="preserve">phone customers. </w:t>
      </w:r>
      <w:r w:rsidRPr="002B2AD1">
        <w:t>They are technologically adept, increasingly sophisticated and show no signs of stopping.</w:t>
      </w:r>
    </w:p>
    <w:p w14:paraId="61CF03A6" w14:textId="77777777" w:rsidR="00DB2B1C" w:rsidRDefault="00DB2B1C" w:rsidP="00DB2B1C">
      <w:pPr>
        <w:pStyle w:val="Paragraph"/>
      </w:pPr>
      <w:r>
        <w:t>T</w:t>
      </w:r>
      <w:r w:rsidRPr="00233855">
        <w:t xml:space="preserve">he Australian Communications and Media Authority (the ACMA) is </w:t>
      </w:r>
      <w:bookmarkStart w:id="2" w:name="_Hlk32830990"/>
      <w:r>
        <w:t>seeking</w:t>
      </w:r>
      <w:r w:rsidRPr="00233855">
        <w:t xml:space="preserve"> </w:t>
      </w:r>
      <w:r>
        <w:t>to reduce</w:t>
      </w:r>
      <w:r w:rsidRPr="00A15DCD">
        <w:t xml:space="preserve"> the harm and loss to </w:t>
      </w:r>
      <w:r>
        <w:t>Australians caused</w:t>
      </w:r>
      <w:r w:rsidRPr="00A15DCD">
        <w:t xml:space="preserve"> by </w:t>
      </w:r>
      <w:r>
        <w:t>scam call</w:t>
      </w:r>
      <w:r w:rsidRPr="00A15DCD">
        <w:t>s.</w:t>
      </w:r>
    </w:p>
    <w:bookmarkEnd w:id="2"/>
    <w:p w14:paraId="5DCBE898" w14:textId="77777777" w:rsidR="00DB2B1C" w:rsidRPr="00A15DCD" w:rsidRDefault="00DB2B1C" w:rsidP="00DB2B1C">
      <w:pPr>
        <w:pStyle w:val="Paragraph"/>
      </w:pPr>
      <w:r>
        <w:t>This will help prevent financial loss to Australian consumers and promote greater confidence in telecommunication services – no matter which phone provider a customer uses.</w:t>
      </w:r>
    </w:p>
    <w:p w14:paraId="72E46D80" w14:textId="77777777" w:rsidR="005E250B" w:rsidRDefault="005E250B">
      <w:pPr>
        <w:spacing w:after="0" w:line="240" w:lineRule="auto"/>
        <w:rPr>
          <w:rFonts w:cs="Arial"/>
          <w:bCs/>
          <w:color w:val="323232"/>
          <w:kern w:val="32"/>
          <w:sz w:val="53"/>
          <w:szCs w:val="32"/>
        </w:rPr>
      </w:pPr>
      <w:r>
        <w:br w:type="page"/>
      </w:r>
    </w:p>
    <w:p w14:paraId="4049C814" w14:textId="273C38A3" w:rsidR="005E250B" w:rsidRPr="00C35CCE" w:rsidRDefault="00DB2B1C" w:rsidP="005E250B">
      <w:pPr>
        <w:pStyle w:val="Heading1"/>
      </w:pPr>
      <w:bookmarkStart w:id="3" w:name="_Toc56092931"/>
      <w:r>
        <w:lastRenderedPageBreak/>
        <w:t>Regulatory setting</w:t>
      </w:r>
      <w:bookmarkEnd w:id="3"/>
      <w:r w:rsidR="005E250B" w:rsidRPr="00C35CCE">
        <w:t xml:space="preserve"> </w:t>
      </w:r>
    </w:p>
    <w:p w14:paraId="663DE478" w14:textId="77777777" w:rsidR="00DB2B1C" w:rsidRDefault="00DB2B1C" w:rsidP="00DB758F">
      <w:pPr>
        <w:pStyle w:val="Paragraph"/>
      </w:pPr>
      <w:r>
        <w:t>The ACMA is</w:t>
      </w:r>
      <w:r w:rsidRPr="008B5193">
        <w:t xml:space="preserve"> an independent Commonwealth statutory authority. We regulate communications and media services in Australia to maximise the economic and social benefits for Australia.</w:t>
      </w:r>
      <w:r>
        <w:t xml:space="preserve"> This includes regulating telecommunications providers.</w:t>
      </w:r>
    </w:p>
    <w:p w14:paraId="6F72CA2D" w14:textId="77777777" w:rsidR="00DB2B1C" w:rsidRPr="005845DA" w:rsidRDefault="00DB2B1C" w:rsidP="00DB2B1C">
      <w:pPr>
        <w:pStyle w:val="Paragraph"/>
        <w:rPr>
          <w:b/>
          <w:bCs/>
          <w:szCs w:val="20"/>
        </w:rPr>
      </w:pPr>
      <w:r w:rsidRPr="00784EA4">
        <w:rPr>
          <w:color w:val="000000" w:themeColor="text1"/>
          <w:szCs w:val="20"/>
        </w:rPr>
        <w:t>The ACMA regulates in accordance with four principal acts</w:t>
      </w:r>
      <w:r>
        <w:rPr>
          <w:color w:val="000000" w:themeColor="text1"/>
          <w:szCs w:val="20"/>
        </w:rPr>
        <w:t xml:space="preserve"> – </w:t>
      </w:r>
      <w:r w:rsidRPr="00784EA4">
        <w:rPr>
          <w:color w:val="000000" w:themeColor="text1"/>
          <w:szCs w:val="20"/>
        </w:rPr>
        <w:t xml:space="preserve">the </w:t>
      </w:r>
      <w:r w:rsidRPr="0079077F">
        <w:rPr>
          <w:i/>
          <w:color w:val="000000" w:themeColor="text1"/>
          <w:szCs w:val="20"/>
        </w:rPr>
        <w:t>Radiocommunications Act 1992</w:t>
      </w:r>
      <w:r w:rsidRPr="00784EA4">
        <w:rPr>
          <w:color w:val="000000" w:themeColor="text1"/>
          <w:szCs w:val="20"/>
        </w:rPr>
        <w:t xml:space="preserve">, </w:t>
      </w:r>
      <w:r w:rsidRPr="0079077F">
        <w:rPr>
          <w:i/>
          <w:color w:val="000000" w:themeColor="text1"/>
          <w:szCs w:val="20"/>
        </w:rPr>
        <w:t>Telecommunications (Consumer Protection and Service Standards) Act 1999</w:t>
      </w:r>
      <w:r w:rsidRPr="00784EA4">
        <w:rPr>
          <w:color w:val="000000" w:themeColor="text1"/>
          <w:szCs w:val="20"/>
        </w:rPr>
        <w:t xml:space="preserve">, </w:t>
      </w:r>
      <w:r w:rsidRPr="0079077F">
        <w:rPr>
          <w:i/>
          <w:color w:val="000000" w:themeColor="text1"/>
          <w:szCs w:val="20"/>
        </w:rPr>
        <w:t>Broadcasting Services Act 1992</w:t>
      </w:r>
      <w:r w:rsidRPr="00784EA4">
        <w:rPr>
          <w:color w:val="000000" w:themeColor="text1"/>
          <w:szCs w:val="20"/>
        </w:rPr>
        <w:t xml:space="preserve">, and the </w:t>
      </w:r>
      <w:hyperlink r:id="rId24" w:history="1">
        <w:r w:rsidRPr="0079077F">
          <w:rPr>
            <w:i/>
            <w:color w:val="000000" w:themeColor="text1"/>
          </w:rPr>
          <w:t>Telecommunications Act 1997</w:t>
        </w:r>
      </w:hyperlink>
      <w:r w:rsidRPr="00784EA4">
        <w:rPr>
          <w:color w:val="000000" w:themeColor="text1"/>
          <w:szCs w:val="20"/>
        </w:rPr>
        <w:t xml:space="preserve"> (the Act).</w:t>
      </w:r>
      <w:bookmarkStart w:id="4" w:name="_Toc32833679"/>
      <w:bookmarkStart w:id="5" w:name="_Toc32833736"/>
      <w:bookmarkStart w:id="6" w:name="_Toc32833809"/>
      <w:bookmarkStart w:id="7" w:name="_Toc33176361"/>
      <w:r w:rsidRPr="00E5382C">
        <w:rPr>
          <w:color w:val="000000" w:themeColor="text1"/>
          <w:szCs w:val="20"/>
        </w:rPr>
        <w:t xml:space="preserve"> The ACMA</w:t>
      </w:r>
      <w:r>
        <w:rPr>
          <w:color w:val="000000" w:themeColor="text1"/>
          <w:szCs w:val="20"/>
        </w:rPr>
        <w:t xml:space="preserve"> also has responsibilities under the </w:t>
      </w:r>
      <w:r w:rsidRPr="00326593">
        <w:rPr>
          <w:i/>
          <w:iCs/>
          <w:color w:val="000000" w:themeColor="text1"/>
          <w:szCs w:val="20"/>
        </w:rPr>
        <w:t>Interactive Gambling Act 2001</w:t>
      </w:r>
      <w:r>
        <w:rPr>
          <w:i/>
          <w:iCs/>
          <w:color w:val="000000" w:themeColor="text1"/>
          <w:szCs w:val="20"/>
        </w:rPr>
        <w:t xml:space="preserve">, </w:t>
      </w:r>
      <w:r w:rsidRPr="00CF76A3">
        <w:rPr>
          <w:color w:val="000000" w:themeColor="text1"/>
          <w:szCs w:val="20"/>
        </w:rPr>
        <w:t>the</w:t>
      </w:r>
      <w:r w:rsidRPr="00CF76A3">
        <w:rPr>
          <w:i/>
          <w:iCs/>
          <w:color w:val="000000" w:themeColor="text1"/>
          <w:szCs w:val="20"/>
        </w:rPr>
        <w:t xml:space="preserve"> </w:t>
      </w:r>
      <w:r w:rsidRPr="00326593">
        <w:rPr>
          <w:i/>
          <w:iCs/>
          <w:color w:val="000000" w:themeColor="text1"/>
          <w:szCs w:val="20"/>
        </w:rPr>
        <w:t>Spam Act 2003</w:t>
      </w:r>
      <w:r>
        <w:rPr>
          <w:i/>
          <w:iCs/>
          <w:color w:val="000000" w:themeColor="text1"/>
          <w:szCs w:val="20"/>
        </w:rPr>
        <w:t xml:space="preserve"> </w:t>
      </w:r>
      <w:r w:rsidRPr="00CF76A3">
        <w:rPr>
          <w:color w:val="000000" w:themeColor="text1"/>
          <w:szCs w:val="20"/>
        </w:rPr>
        <w:t>and the</w:t>
      </w:r>
      <w:r>
        <w:rPr>
          <w:color w:val="000000" w:themeColor="text1"/>
          <w:szCs w:val="20"/>
        </w:rPr>
        <w:t xml:space="preserve"> </w:t>
      </w:r>
      <w:r w:rsidRPr="00326593">
        <w:rPr>
          <w:i/>
          <w:iCs/>
          <w:color w:val="000000" w:themeColor="text1"/>
          <w:szCs w:val="20"/>
        </w:rPr>
        <w:t>Do Not Call Register Act 2006</w:t>
      </w:r>
      <w:r>
        <w:rPr>
          <w:color w:val="000000" w:themeColor="text1"/>
          <w:szCs w:val="20"/>
        </w:rPr>
        <w:t>.</w:t>
      </w:r>
    </w:p>
    <w:p w14:paraId="21C3007C" w14:textId="77777777" w:rsidR="00DB2B1C" w:rsidRPr="00784EA4" w:rsidRDefault="00DB2B1C" w:rsidP="00DB2B1C">
      <w:pPr>
        <w:pStyle w:val="Heading2"/>
      </w:pPr>
      <w:bookmarkStart w:id="8" w:name="_Toc55546896"/>
      <w:bookmarkStart w:id="9" w:name="_Toc56092932"/>
      <w:r w:rsidRPr="00784EA4">
        <w:t>Current measures for scam calls</w:t>
      </w:r>
      <w:bookmarkEnd w:id="4"/>
      <w:bookmarkEnd w:id="5"/>
      <w:bookmarkEnd w:id="6"/>
      <w:bookmarkEnd w:id="7"/>
      <w:bookmarkEnd w:id="8"/>
      <w:bookmarkEnd w:id="9"/>
    </w:p>
    <w:p w14:paraId="50F64A52" w14:textId="41FB2418" w:rsidR="00DB2B1C" w:rsidRDefault="00DB2B1C" w:rsidP="00DB758F">
      <w:pPr>
        <w:pStyle w:val="Paragraph"/>
      </w:pPr>
      <w:r w:rsidRPr="001115FC">
        <w:t xml:space="preserve">Under the Act, </w:t>
      </w:r>
      <w:r>
        <w:t>two</w:t>
      </w:r>
      <w:r w:rsidRPr="001115FC">
        <w:t xml:space="preserve"> main types of organisations are involved in the provision of services to the public –</w:t>
      </w:r>
      <w:r>
        <w:t xml:space="preserve"> carriers and carriage service providers </w:t>
      </w:r>
      <w:r w:rsidRPr="00F72FAF">
        <w:t>(C/C</w:t>
      </w:r>
      <w:r>
        <w:t>SPs).</w:t>
      </w:r>
      <w:r w:rsidRPr="001115FC">
        <w:rPr>
          <w:vertAlign w:val="superscript"/>
        </w:rPr>
        <w:footnoteReference w:id="1"/>
      </w:r>
      <w:r>
        <w:t xml:space="preserve"> They</w:t>
      </w:r>
      <w:r w:rsidRPr="00272E83">
        <w:t xml:space="preserve"> play a frontline role in current </w:t>
      </w:r>
      <w:r>
        <w:t xml:space="preserve">phone scam </w:t>
      </w:r>
      <w:r w:rsidRPr="00272E83">
        <w:t>disruption approaches.</w:t>
      </w:r>
      <w:r>
        <w:t xml:space="preserve"> </w:t>
      </w:r>
    </w:p>
    <w:p w14:paraId="138E0B40" w14:textId="77777777" w:rsidR="00DB2B1C" w:rsidRDefault="00DB2B1C" w:rsidP="00DB758F">
      <w:pPr>
        <w:pStyle w:val="Paragraph"/>
      </w:pPr>
      <w:r w:rsidRPr="00784EA4">
        <w:t>There are no specific regulatory obligations</w:t>
      </w:r>
      <w:r>
        <w:t xml:space="preserve"> on</w:t>
      </w:r>
      <w:r w:rsidRPr="00784EA4">
        <w:t xml:space="preserve"> </w:t>
      </w:r>
      <w:r>
        <w:t>C/CSPs</w:t>
      </w:r>
      <w:r w:rsidRPr="00784EA4">
        <w:rPr>
          <w:vertAlign w:val="superscript"/>
        </w:rPr>
        <w:footnoteReference w:id="2"/>
      </w:r>
      <w:r w:rsidRPr="00784EA4">
        <w:t xml:space="preserve"> to reduce scam calls; however, they have an obligation under Part </w:t>
      </w:r>
      <w:r>
        <w:t>13</w:t>
      </w:r>
      <w:r w:rsidRPr="00784EA4">
        <w:t xml:space="preserve"> of the Act to do their best to prevent their networks or facilities being used in the commission of offences against the laws of the Commonwealth, states and territories.</w:t>
      </w:r>
    </w:p>
    <w:p w14:paraId="4B525976" w14:textId="2887D35C" w:rsidR="00DB2B1C" w:rsidRPr="001115FC" w:rsidRDefault="00DB2B1C" w:rsidP="00DB2B1C">
      <w:pPr>
        <w:pStyle w:val="Paragraph"/>
      </w:pPr>
      <w:r>
        <w:t>Carriers</w:t>
      </w:r>
      <w:r w:rsidRPr="001115FC">
        <w:t xml:space="preserve"> have complex infrastructure and systems. They own network units that deliver carriage services. Their facilities may include transmission infrastructure</w:t>
      </w:r>
      <w:r w:rsidR="00D95207">
        <w:t>,</w:t>
      </w:r>
      <w:r w:rsidRPr="001115FC">
        <w:t xml:space="preserve"> cabling</w:t>
      </w:r>
      <w:r w:rsidR="00D95207">
        <w:t>,</w:t>
      </w:r>
      <w:r w:rsidRPr="001115FC">
        <w:t xml:space="preserve"> wireless networks and satellite facilities. Carriers have a large customer base and high traffic volumes and operate international gateways that carry network traffic originating overseas and terminating in Australia.</w:t>
      </w:r>
      <w:r>
        <w:rPr>
          <w:rStyle w:val="FootnoteReference"/>
        </w:rPr>
        <w:footnoteReference w:id="3"/>
      </w:r>
    </w:p>
    <w:p w14:paraId="313EDB16" w14:textId="69D87242" w:rsidR="00DB2B1C" w:rsidRDefault="00DB2B1C" w:rsidP="00DB2B1C">
      <w:pPr>
        <w:pStyle w:val="Paragraph"/>
      </w:pPr>
      <w:r w:rsidRPr="001115FC">
        <w:t>A CSP does not have its own network units – it provides telecommunication services over network units that a licensed carrier owns, and network units covered by a nominated carrier declaration. A CSP can include organisations that resell time on a carrier network for phone calls</w:t>
      </w:r>
      <w:r w:rsidR="00D95207">
        <w:t>,</w:t>
      </w:r>
      <w:r w:rsidRPr="001115FC">
        <w:t xml:space="preserve"> provide access to the internet (internet service providers) and provide phone services over the internet (VoIP service providers).</w:t>
      </w:r>
      <w:r>
        <w:rPr>
          <w:rStyle w:val="FootnoteReference"/>
        </w:rPr>
        <w:footnoteReference w:id="4"/>
      </w:r>
    </w:p>
    <w:p w14:paraId="53679EF4" w14:textId="567118A5" w:rsidR="00DB2B1C" w:rsidRDefault="00DB2B1C" w:rsidP="00DB2B1C">
      <w:pPr>
        <w:pStyle w:val="Paragraph"/>
      </w:pPr>
      <w:r>
        <w:t>C</w:t>
      </w:r>
      <w:r w:rsidRPr="00B2431F">
        <w:t xml:space="preserve">onsultation with the telecommunications industry indicated that </w:t>
      </w:r>
      <w:r>
        <w:t>C/CSP</w:t>
      </w:r>
      <w:r w:rsidRPr="00B2431F">
        <w:t xml:space="preserve">s undertake a range of provider-specific scam reduction activities to block </w:t>
      </w:r>
      <w:r>
        <w:t xml:space="preserve">calls and text messages where scam activity can be </w:t>
      </w:r>
      <w:r w:rsidRPr="00B2431F">
        <w:t>verified.</w:t>
      </w:r>
    </w:p>
    <w:p w14:paraId="53ED0962" w14:textId="13D8255D" w:rsidR="00DB2B1C" w:rsidRDefault="00DB2B1C" w:rsidP="002A2F5E">
      <w:pPr>
        <w:pStyle w:val="Paragraph"/>
        <w:keepNext/>
        <w:keepLines/>
      </w:pPr>
      <w:r w:rsidRPr="00B2431F">
        <w:lastRenderedPageBreak/>
        <w:t>Communications Alliance</w:t>
      </w:r>
      <w:r>
        <w:t xml:space="preserve"> Ltd (Communications Alliance),</w:t>
      </w:r>
      <w:r w:rsidRPr="00B2431F">
        <w:t xml:space="preserve"> as </w:t>
      </w:r>
      <w:r>
        <w:t>Australia’s</w:t>
      </w:r>
      <w:r w:rsidRPr="00B2431F">
        <w:t xml:space="preserve"> peak communications industry body</w:t>
      </w:r>
      <w:r>
        <w:t>,</w:t>
      </w:r>
      <w:r w:rsidRPr="00B2431F">
        <w:t xml:space="preserve"> </w:t>
      </w:r>
      <w:r>
        <w:t xml:space="preserve">has </w:t>
      </w:r>
      <w:r w:rsidRPr="00272E83">
        <w:t>undertak</w:t>
      </w:r>
      <w:r>
        <w:t>en</w:t>
      </w:r>
      <w:r w:rsidRPr="00272E83">
        <w:t xml:space="preserve"> initiatives </w:t>
      </w:r>
      <w:r>
        <w:t xml:space="preserve">to address the proliferation of scams on telecommunications networks. In 2016, it published an </w:t>
      </w:r>
      <w:r w:rsidRPr="00B2431F">
        <w:t>industry guidance note</w:t>
      </w:r>
      <w:r w:rsidRPr="00B2431F">
        <w:rPr>
          <w:vertAlign w:val="superscript"/>
        </w:rPr>
        <w:footnoteReference w:id="5"/>
      </w:r>
      <w:r>
        <w:t xml:space="preserve"> </w:t>
      </w:r>
      <w:r w:rsidRPr="00B2431F">
        <w:t>to clarify the range of uses and abuses of calling line identification</w:t>
      </w:r>
      <w:r>
        <w:rPr>
          <w:rStyle w:val="FootnoteReference"/>
        </w:rPr>
        <w:footnoteReference w:id="6"/>
      </w:r>
      <w:r w:rsidRPr="00B2431F">
        <w:t xml:space="preserve"> (CLI) and how to tackle inappropriate or malicious CLI </w:t>
      </w:r>
      <w:r>
        <w:t xml:space="preserve">over-stamping or </w:t>
      </w:r>
      <w:r w:rsidRPr="00B2431F">
        <w:t>spoofing</w:t>
      </w:r>
      <w:r w:rsidRPr="00B2431F">
        <w:rPr>
          <w:bCs/>
          <w:vertAlign w:val="superscript"/>
        </w:rPr>
        <w:footnoteReference w:id="7"/>
      </w:r>
      <w:r w:rsidRPr="00B2431F">
        <w:t xml:space="preserve"> as a first step in addressing scams.</w:t>
      </w:r>
    </w:p>
    <w:p w14:paraId="29A8EF46" w14:textId="77777777" w:rsidR="00DB2B1C" w:rsidRPr="0033539B" w:rsidRDefault="00DB2B1C" w:rsidP="002A2F5E">
      <w:pPr>
        <w:pStyle w:val="Paragraph"/>
        <w:keepNext/>
        <w:keepLines/>
      </w:pPr>
      <w:r w:rsidRPr="0033539B">
        <w:t>Scam calls may over-stamp the CLI of a call (which would generally display the number from which the call originates) to display a number that may be more familiar or recognisable to the person receiving the call. This makes it more likely that the call will be answered.</w:t>
      </w:r>
    </w:p>
    <w:p w14:paraId="50F01D61" w14:textId="77777777" w:rsidR="00DB2B1C" w:rsidRPr="0033539B" w:rsidRDefault="00DB2B1C" w:rsidP="00DB2B1C">
      <w:pPr>
        <w:pStyle w:val="Paragraph"/>
      </w:pPr>
      <w:r w:rsidRPr="0033539B">
        <w:t xml:space="preserve">A prominent recent example of this are scam calls that have a CLI displayed that is associated with the </w:t>
      </w:r>
      <w:hyperlink r:id="rId25" w:history="1">
        <w:r w:rsidRPr="0033539B">
          <w:rPr>
            <w:rStyle w:val="Hyperlink"/>
          </w:rPr>
          <w:t>Australian Taxation Office</w:t>
        </w:r>
      </w:hyperlink>
      <w:r w:rsidRPr="0033539B">
        <w:rPr>
          <w:u w:val="single"/>
        </w:rPr>
        <w:t>,</w:t>
      </w:r>
      <w:r w:rsidRPr="0033539B">
        <w:t xml:space="preserve"> despite not originating from that number. This scam involves contacting potential victims, with the scammer pretending to represent the ATO and claiming that the person owes money.</w:t>
      </w:r>
    </w:p>
    <w:p w14:paraId="26A400FC" w14:textId="151CAE6F" w:rsidR="00DB2B1C" w:rsidRDefault="00DB2B1C" w:rsidP="00EA7EC6">
      <w:pPr>
        <w:pStyle w:val="Paragraph"/>
      </w:pPr>
      <w:r w:rsidRPr="0033539B">
        <w:t>It is relatively easy and straightforward to over-stamp the originating number of a call with any number that the caller would like to be displayed. For example, an overseas caller may over-stamp their number with an Australian number.</w:t>
      </w:r>
      <w:r>
        <w:t xml:space="preserve"> </w:t>
      </w:r>
      <w:r w:rsidRPr="0033539B">
        <w:t>While CLI over-stamping has legitimate purposes (</w:t>
      </w:r>
      <w:r w:rsidR="00F72FAF">
        <w:t>for example,</w:t>
      </w:r>
      <w:r w:rsidRPr="0033539B">
        <w:t xml:space="preserve"> providing a centralised call-back for a call centre, or a doctor who wishes to call a patient from a personal phone but have the practice number displayed), the capability is exploited by criminals.</w:t>
      </w:r>
    </w:p>
    <w:p w14:paraId="7CC688DA" w14:textId="085C9CE3" w:rsidR="00DB2B1C" w:rsidRDefault="00DB2B1C" w:rsidP="00DB2B1C">
      <w:pPr>
        <w:pStyle w:val="Paragraph"/>
      </w:pPr>
      <w:r>
        <w:t>Over the past few years, large C/CSPs</w:t>
      </w:r>
      <w:r w:rsidRPr="001115FC">
        <w:rPr>
          <w:rFonts w:cs="Times New Roman"/>
        </w:rPr>
        <w:t xml:space="preserve"> </w:t>
      </w:r>
      <w:r w:rsidRPr="001115FC">
        <w:t>representing around 90% of the market share</w:t>
      </w:r>
      <w:r w:rsidRPr="001115FC">
        <w:rPr>
          <w:vertAlign w:val="superscript"/>
        </w:rPr>
        <w:footnoteReference w:id="8"/>
      </w:r>
      <w:r>
        <w:t xml:space="preserve"> </w:t>
      </w:r>
      <w:r w:rsidRPr="008C0D6F">
        <w:t xml:space="preserve">have </w:t>
      </w:r>
      <w:r>
        <w:t xml:space="preserve">voluntarily committed to </w:t>
      </w:r>
      <w:r w:rsidRPr="008C0D6F">
        <w:t>introduc</w:t>
      </w:r>
      <w:r>
        <w:t>ing</w:t>
      </w:r>
      <w:r w:rsidRPr="008C0D6F">
        <w:t xml:space="preserve"> </w:t>
      </w:r>
      <w:r>
        <w:t>scam reduction initiatives (including implementation of the CLI guidance note) to reduce the volume of telecommunications scams reaching their customers</w:t>
      </w:r>
      <w:r w:rsidRPr="008C0D6F">
        <w:t>.</w:t>
      </w:r>
      <w:r>
        <w:t xml:space="preserve"> However, this commitment has not translated to consistent and coordinated action from all providers, nor has it addressed the impact of </w:t>
      </w:r>
      <w:r w:rsidR="00F72FAF">
        <w:t xml:space="preserve">scams </w:t>
      </w:r>
      <w:r>
        <w:t>at a network</w:t>
      </w:r>
      <w:r w:rsidR="00F72FAF">
        <w:t xml:space="preserve"> </w:t>
      </w:r>
      <w:r>
        <w:t>level.</w:t>
      </w:r>
    </w:p>
    <w:p w14:paraId="677D1412" w14:textId="77777777" w:rsidR="00DB2B1C" w:rsidRDefault="00DB2B1C" w:rsidP="00DB2B1C">
      <w:pPr>
        <w:pStyle w:val="Paragraph"/>
      </w:pPr>
      <w:bookmarkStart w:id="11" w:name="_Hlk55990125"/>
      <w:r w:rsidRPr="00D4594B">
        <w:t xml:space="preserve">The remaining </w:t>
      </w:r>
      <w:r>
        <w:t>smaller CSP</w:t>
      </w:r>
      <w:r w:rsidRPr="008C0D6F">
        <w:t>s</w:t>
      </w:r>
      <w:r>
        <w:t xml:space="preserve"> – </w:t>
      </w:r>
      <w:r w:rsidRPr="00D4594B">
        <w:t>represent</w:t>
      </w:r>
      <w:r>
        <w:t xml:space="preserve">ing approximately 10% </w:t>
      </w:r>
      <w:r w:rsidRPr="00F5795B">
        <w:t xml:space="preserve">of </w:t>
      </w:r>
      <w:r>
        <w:t xml:space="preserve">all fixed-line and mobile </w:t>
      </w:r>
      <w:r w:rsidRPr="00F5795B">
        <w:t>services</w:t>
      </w:r>
      <w:r>
        <w:t xml:space="preserve"> – </w:t>
      </w:r>
      <w:r w:rsidRPr="004D0F8A">
        <w:t>provid</w:t>
      </w:r>
      <w:r>
        <w:t>e</w:t>
      </w:r>
      <w:r w:rsidRPr="004D0F8A">
        <w:t xml:space="preserve"> services to customers but </w:t>
      </w:r>
      <w:r>
        <w:t xml:space="preserve">do </w:t>
      </w:r>
      <w:r w:rsidRPr="004D0F8A">
        <w:t>not operat</w:t>
      </w:r>
      <w:r>
        <w:t xml:space="preserve">e </w:t>
      </w:r>
      <w:r w:rsidRPr="004D0F8A">
        <w:t>network</w:t>
      </w:r>
      <w:r>
        <w:t xml:space="preserve">s. Some of these very small CSPs have as few as one service issued to a customer. </w:t>
      </w:r>
      <w:r w:rsidRPr="004D0F8A">
        <w:t xml:space="preserve">These </w:t>
      </w:r>
      <w:r>
        <w:t>CSPs</w:t>
      </w:r>
      <w:r w:rsidRPr="004D0F8A">
        <w:t xml:space="preserve"> </w:t>
      </w:r>
      <w:bookmarkStart w:id="12" w:name="_Hlk54884691"/>
      <w:r w:rsidRPr="004D0F8A">
        <w:t>purchase network capacity from carriers to provide services to their customers.</w:t>
      </w:r>
    </w:p>
    <w:bookmarkEnd w:id="12"/>
    <w:p w14:paraId="0E1C7F64" w14:textId="1C1E85EA" w:rsidR="00F72FAF" w:rsidRPr="004D7575" w:rsidRDefault="00DB2B1C" w:rsidP="002A2F5E">
      <w:pPr>
        <w:pStyle w:val="Paragraphbeforelist"/>
        <w:keepNext/>
        <w:keepLines/>
      </w:pPr>
      <w:r w:rsidRPr="004D7575">
        <w:lastRenderedPageBreak/>
        <w:t xml:space="preserve">It is unlikely </w:t>
      </w:r>
      <w:r w:rsidR="00F6725B">
        <w:t>smaller CSPs</w:t>
      </w:r>
      <w:r w:rsidR="00F6725B" w:rsidRPr="004D7575">
        <w:t xml:space="preserve"> </w:t>
      </w:r>
      <w:r w:rsidRPr="004D7575">
        <w:t>will voluntarily adopt measures because they are:</w:t>
      </w:r>
    </w:p>
    <w:p w14:paraId="45EECEFA" w14:textId="77777777" w:rsidR="00DB2B1C" w:rsidRPr="00DF3843" w:rsidRDefault="00DB2B1C" w:rsidP="002A2F5E">
      <w:pPr>
        <w:keepNext/>
        <w:keepLines/>
        <w:numPr>
          <w:ilvl w:val="0"/>
          <w:numId w:val="76"/>
        </w:numPr>
        <w:spacing w:after="80"/>
        <w:ind w:left="426" w:hanging="426"/>
      </w:pPr>
      <w:r w:rsidRPr="00DF3843">
        <w:rPr>
          <w:rFonts w:cs="Arial"/>
        </w:rPr>
        <w:t>smaller in size and capability</w:t>
      </w:r>
    </w:p>
    <w:p w14:paraId="75871E6A" w14:textId="77777777" w:rsidR="00DB2B1C" w:rsidRPr="00185992" w:rsidRDefault="00DB2B1C" w:rsidP="002A2F5E">
      <w:pPr>
        <w:keepNext/>
        <w:keepLines/>
        <w:numPr>
          <w:ilvl w:val="0"/>
          <w:numId w:val="77"/>
        </w:numPr>
        <w:spacing w:after="80"/>
        <w:ind w:left="426" w:hanging="426"/>
      </w:pPr>
      <w:r w:rsidRPr="00185992">
        <w:rPr>
          <w:rFonts w:cs="Arial"/>
        </w:rPr>
        <w:t>not actively engaged with Communications Alliance and the industry guidance it provides</w:t>
      </w:r>
    </w:p>
    <w:bookmarkEnd w:id="11"/>
    <w:p w14:paraId="5BA6C14A" w14:textId="77777777" w:rsidR="00DB2B1C" w:rsidRPr="00977AC8" w:rsidRDefault="00DB2B1C" w:rsidP="002A2F5E">
      <w:pPr>
        <w:pStyle w:val="Bulletlevel1last"/>
        <w:keepNext/>
        <w:keepLines/>
        <w:rPr>
          <w:szCs w:val="20"/>
        </w:rPr>
      </w:pPr>
      <w:r w:rsidRPr="00977AC8">
        <w:rPr>
          <w:rFonts w:cs="Arial"/>
          <w:szCs w:val="20"/>
        </w:rPr>
        <w:t>potentially unaware of their obligations under the Act.</w:t>
      </w:r>
    </w:p>
    <w:p w14:paraId="27522C98" w14:textId="77777777" w:rsidR="00DB2B1C" w:rsidRDefault="00DB2B1C" w:rsidP="00DB758F">
      <w:pPr>
        <w:pStyle w:val="Paragraphbeforelist"/>
      </w:pPr>
      <w:r w:rsidRPr="000959C0">
        <w:t xml:space="preserve">The ACMA is aware that several </w:t>
      </w:r>
      <w:r>
        <w:t>C/CSPs</w:t>
      </w:r>
      <w:r w:rsidRPr="000959C0">
        <w:t xml:space="preserve"> have adopted, or are in the process of adopting, measures to disrupt or </w:t>
      </w:r>
      <w:r>
        <w:t xml:space="preserve">reduce </w:t>
      </w:r>
      <w:r w:rsidRPr="000959C0">
        <w:t xml:space="preserve">scam calls. These measures include: </w:t>
      </w:r>
    </w:p>
    <w:p w14:paraId="16858E99" w14:textId="77777777" w:rsidR="00DB2B1C" w:rsidRPr="00A06EE1" w:rsidRDefault="00DB2B1C" w:rsidP="00222F81">
      <w:pPr>
        <w:numPr>
          <w:ilvl w:val="0"/>
          <w:numId w:val="76"/>
        </w:numPr>
        <w:spacing w:after="80"/>
        <w:ind w:left="426" w:hanging="426"/>
      </w:pPr>
      <w:r w:rsidRPr="00A06EE1">
        <w:t xml:space="preserve">using a range of data sources to identify scam calls </w:t>
      </w:r>
    </w:p>
    <w:p w14:paraId="1CBC5315" w14:textId="77777777" w:rsidR="00DB2B1C" w:rsidRPr="00A06EE1" w:rsidRDefault="00DB2B1C" w:rsidP="00222F81">
      <w:pPr>
        <w:numPr>
          <w:ilvl w:val="0"/>
          <w:numId w:val="76"/>
        </w:numPr>
        <w:spacing w:after="80"/>
        <w:ind w:left="426" w:hanging="426"/>
      </w:pPr>
      <w:r w:rsidRPr="00A06EE1">
        <w:t xml:space="preserve">using </w:t>
      </w:r>
      <w:r w:rsidRPr="001165D8">
        <w:rPr>
          <w:rFonts w:cs="Arial"/>
        </w:rPr>
        <w:t>network</w:t>
      </w:r>
      <w:r w:rsidRPr="00A06EE1">
        <w:t xml:space="preserve"> traffic analysis to identify scam calls</w:t>
      </w:r>
    </w:p>
    <w:p w14:paraId="7FCC1BC0" w14:textId="77777777" w:rsidR="00DB2B1C" w:rsidRPr="003F1A99" w:rsidRDefault="00DB2B1C" w:rsidP="00D047A9">
      <w:pPr>
        <w:pStyle w:val="Bulletlevel1last"/>
        <w:rPr>
          <w:szCs w:val="20"/>
        </w:rPr>
      </w:pPr>
      <w:r w:rsidRPr="00977AC8">
        <w:rPr>
          <w:rFonts w:cs="Arial"/>
          <w:szCs w:val="20"/>
        </w:rPr>
        <w:t>voluntarily implementing innovative action around disruption of spe</w:t>
      </w:r>
      <w:r w:rsidRPr="003F1A99">
        <w:rPr>
          <w:rFonts w:cs="Arial"/>
          <w:szCs w:val="20"/>
        </w:rPr>
        <w:t>cific scam call types, such as blocking ‘Wangiri’</w:t>
      </w:r>
      <w:r w:rsidRPr="003F1A99">
        <w:rPr>
          <w:rStyle w:val="FootnoteReference"/>
          <w:rFonts w:cs="Arial"/>
          <w:szCs w:val="20"/>
        </w:rPr>
        <w:footnoteReference w:id="9"/>
      </w:r>
      <w:r w:rsidRPr="003F1A99">
        <w:rPr>
          <w:rFonts w:cs="Arial"/>
          <w:szCs w:val="20"/>
        </w:rPr>
        <w:t xml:space="preserve"> call-back scam calls from global networks.</w:t>
      </w:r>
    </w:p>
    <w:p w14:paraId="661E0B6B" w14:textId="77777777" w:rsidR="00DB2B1C" w:rsidRDefault="00DB2B1C" w:rsidP="00DB2B1C">
      <w:pPr>
        <w:pStyle w:val="Paragraph"/>
      </w:pPr>
    </w:p>
    <w:p w14:paraId="4BCB5E4A" w14:textId="77777777" w:rsidR="00DB2B1C" w:rsidRDefault="00DB2B1C" w:rsidP="00DB2B1C">
      <w:pPr>
        <w:pStyle w:val="Paragraph"/>
      </w:pPr>
    </w:p>
    <w:p w14:paraId="44A5C2B2" w14:textId="77777777" w:rsidR="00DB2B1C" w:rsidRDefault="00DB2B1C" w:rsidP="00DB2B1C">
      <w:pPr>
        <w:pStyle w:val="Heading1"/>
      </w:pPr>
      <w:bookmarkStart w:id="13" w:name="_Toc55546897"/>
      <w:bookmarkStart w:id="14" w:name="_Toc56092933"/>
      <w:r>
        <w:lastRenderedPageBreak/>
        <w:t>1.</w:t>
      </w:r>
      <w:r>
        <w:tab/>
        <w:t>What is the policy problem?</w:t>
      </w:r>
      <w:bookmarkEnd w:id="13"/>
      <w:bookmarkEnd w:id="14"/>
    </w:p>
    <w:p w14:paraId="262AFF02" w14:textId="77777777" w:rsidR="00DB2B1C" w:rsidRDefault="00DB2B1C" w:rsidP="00DB2B1C">
      <w:pPr>
        <w:pStyle w:val="Heading2"/>
      </w:pPr>
      <w:bookmarkStart w:id="15" w:name="_Toc55546898"/>
      <w:bookmarkStart w:id="16" w:name="_Toc56092934"/>
      <w:bookmarkStart w:id="17" w:name="_Toc32833686"/>
      <w:bookmarkStart w:id="18" w:name="_Toc32833741"/>
      <w:bookmarkStart w:id="19" w:name="_Toc32833814"/>
      <w:bookmarkStart w:id="20" w:name="_Toc33176369"/>
      <w:r>
        <w:t>Scam calls</w:t>
      </w:r>
      <w:bookmarkEnd w:id="15"/>
      <w:bookmarkEnd w:id="16"/>
    </w:p>
    <w:p w14:paraId="5A85A91F" w14:textId="77777777" w:rsidR="00DB2B1C" w:rsidRDefault="00DB2B1C" w:rsidP="00DB758F">
      <w:pPr>
        <w:pStyle w:val="Paragraph"/>
        <w:keepNext/>
        <w:keepLines/>
      </w:pPr>
      <w:r w:rsidRPr="00E05242">
        <w:t>Scam activity</w:t>
      </w:r>
      <w:r>
        <w:t xml:space="preserve"> on Australian telecommunications networks</w:t>
      </w:r>
      <w:r w:rsidRPr="00E05242">
        <w:t xml:space="preserve"> is increasingly sophisticated and hard to detect. It </w:t>
      </w:r>
      <w:r>
        <w:t>generally</w:t>
      </w:r>
      <w:r w:rsidRPr="00E05242">
        <w:t xml:space="preserve"> originates offshore, readily adapts to disruption measures and ruthlessly exploits new opportunities and vulnerabilities. Australia, along with Canada, the United States and Europe, is targeted by scammers on </w:t>
      </w:r>
      <w:r>
        <w:t xml:space="preserve">what is effectively </w:t>
      </w:r>
      <w:r w:rsidRPr="00E05242">
        <w:t>an industrial scale.</w:t>
      </w:r>
    </w:p>
    <w:p w14:paraId="54B5E958" w14:textId="524BF2E6" w:rsidR="00DB2B1C" w:rsidRDefault="00DB2B1C" w:rsidP="00DB758F">
      <w:pPr>
        <w:pStyle w:val="Paragraph"/>
        <w:keepNext/>
        <w:keepLines/>
      </w:pPr>
      <w:r w:rsidRPr="00CE51CF">
        <w:t xml:space="preserve">Scammers perpetrate their crimes via a range of </w:t>
      </w:r>
      <w:r>
        <w:t xml:space="preserve">obfuscation techniques and </w:t>
      </w:r>
      <w:r w:rsidRPr="00CE51CF">
        <w:t>scam types</w:t>
      </w:r>
      <w:r>
        <w:t xml:space="preserve"> such as phishing</w:t>
      </w:r>
      <w:r>
        <w:rPr>
          <w:rStyle w:val="FootnoteReference"/>
        </w:rPr>
        <w:footnoteReference w:id="10"/>
      </w:r>
      <w:r w:rsidR="001165D8">
        <w:t>,</w:t>
      </w:r>
      <w:r>
        <w:t xml:space="preserve"> dating and romance</w:t>
      </w:r>
      <w:r w:rsidR="001165D8">
        <w:t>,</w:t>
      </w:r>
      <w:r>
        <w:t xml:space="preserve"> investment and false billing</w:t>
      </w:r>
      <w:r w:rsidR="001165D8">
        <w:t>,</w:t>
      </w:r>
      <w:r>
        <w:t xml:space="preserve"> threats to life or of arrest</w:t>
      </w:r>
      <w:r w:rsidR="001165D8">
        <w:t>,</w:t>
      </w:r>
      <w:r>
        <w:t xml:space="preserve"> unexpected prize or lottery</w:t>
      </w:r>
      <w:r w:rsidR="001165D8">
        <w:t>,</w:t>
      </w:r>
      <w:r>
        <w:t xml:space="preserve"> and online shopping scams. </w:t>
      </w:r>
      <w:r w:rsidRPr="005F1E7F">
        <w:t xml:space="preserve">These </w:t>
      </w:r>
      <w:r>
        <w:t>scam</w:t>
      </w:r>
      <w:r w:rsidRPr="005F1E7F">
        <w:t xml:space="preserve">s </w:t>
      </w:r>
      <w:r>
        <w:t>rely</w:t>
      </w:r>
      <w:r w:rsidRPr="00027203">
        <w:t xml:space="preserve"> on what is essentially ‘safety in numbers’ high-volume calling</w:t>
      </w:r>
      <w:r>
        <w:t xml:space="preserve"> and can</w:t>
      </w:r>
      <w:r w:rsidRPr="00027203">
        <w:t xml:space="preserve"> </w:t>
      </w:r>
      <w:r w:rsidRPr="005F1E7F">
        <w:t xml:space="preserve">be </w:t>
      </w:r>
      <w:r>
        <w:t>perpetrated via voice</w:t>
      </w:r>
      <w:r w:rsidRPr="005F1E7F">
        <w:t xml:space="preserve"> call</w:t>
      </w:r>
      <w:r>
        <w:t>s</w:t>
      </w:r>
      <w:r w:rsidRPr="005F1E7F">
        <w:t>, SMS, instant message, voicemail, or even voice chatbots that will speak back to the victim.</w:t>
      </w:r>
    </w:p>
    <w:p w14:paraId="61C5C210" w14:textId="77777777" w:rsidR="00DB2B1C" w:rsidRDefault="00DB2B1C" w:rsidP="00DB758F">
      <w:pPr>
        <w:pStyle w:val="Paragraph"/>
        <w:keepNext/>
        <w:keepLines/>
        <w:spacing w:after="80"/>
      </w:pPr>
      <w:r>
        <w:t>Scams calls are perpetrated in two ways:</w:t>
      </w:r>
    </w:p>
    <w:p w14:paraId="7AB2CBA2" w14:textId="77777777" w:rsidR="00DB2B1C" w:rsidRPr="00DF3843" w:rsidRDefault="00DB2B1C" w:rsidP="00DB758F">
      <w:pPr>
        <w:pStyle w:val="Bulletlevel1"/>
        <w:keepNext/>
        <w:keepLines/>
        <w:ind w:left="426" w:hanging="426"/>
      </w:pPr>
      <w:r w:rsidRPr="00DF3843">
        <w:t xml:space="preserve">scams that rely on a </w:t>
      </w:r>
      <w:r w:rsidRPr="00DB758F">
        <w:t>call back</w:t>
      </w:r>
      <w:r w:rsidRPr="00DF3843">
        <w:t xml:space="preserve"> </w:t>
      </w:r>
    </w:p>
    <w:p w14:paraId="383AEE4D" w14:textId="77777777" w:rsidR="00DB2B1C" w:rsidRDefault="00DB2B1C" w:rsidP="00DB758F">
      <w:pPr>
        <w:pStyle w:val="Bulletlevel1last"/>
        <w:keepNext/>
        <w:keepLines/>
      </w:pPr>
      <w:r>
        <w:t>cold calls where the scam activity occurs during the call, or subsequent calls.</w:t>
      </w:r>
    </w:p>
    <w:p w14:paraId="47D4E1E7" w14:textId="77777777" w:rsidR="00DB2B1C" w:rsidRDefault="00DB2B1C" w:rsidP="00DB758F">
      <w:pPr>
        <w:pStyle w:val="Paragraph"/>
        <w:keepNext/>
        <w:keepLines/>
        <w:ind w:left="60"/>
      </w:pPr>
      <w:r>
        <w:t>While it is difficult to estimate the percentages of scams delivered in these ways, scams that rely on a call back do not generally involve CLI spoofing. For the scam to work, the number must be legitimately allocated to a C/CSP and issued to a customer for a return call to be made and connect to the scammer.</w:t>
      </w:r>
    </w:p>
    <w:p w14:paraId="4CEB4444" w14:textId="77777777" w:rsidR="00DB2B1C" w:rsidRPr="00C77160" w:rsidRDefault="00DB2B1C" w:rsidP="00DB2B1C">
      <w:pPr>
        <w:pStyle w:val="Paragraph"/>
      </w:pPr>
      <w:r w:rsidRPr="00C77160">
        <w:t xml:space="preserve">Scammers seek to steal money, </w:t>
      </w:r>
      <w:r>
        <w:t>and</w:t>
      </w:r>
      <w:r w:rsidRPr="00C77160">
        <w:t xml:space="preserve"> often their methods involve the collection of personal information and data to commit identity fraud. Scammers </w:t>
      </w:r>
      <w:r>
        <w:t>fraudulently obtain</w:t>
      </w:r>
      <w:r w:rsidRPr="00C77160">
        <w:t xml:space="preserve"> this through phone calls from live operators or </w:t>
      </w:r>
      <w:r w:rsidRPr="00DB758F">
        <w:t>robocalls</w:t>
      </w:r>
      <w:r w:rsidRPr="00C77160">
        <w:t xml:space="preserve">. Callers often make false promises – such as opportunities to buy products, invest money, or receive free product trials – and the numbers may appear </w:t>
      </w:r>
      <w:r>
        <w:t xml:space="preserve">to be </w:t>
      </w:r>
      <w:r w:rsidRPr="00C77160">
        <w:t>from Australia</w:t>
      </w:r>
      <w:r>
        <w:t>n number ranges;</w:t>
      </w:r>
      <w:r w:rsidRPr="00C77160">
        <w:t xml:space="preserve"> </w:t>
      </w:r>
      <w:r>
        <w:t>however, they</w:t>
      </w:r>
      <w:r w:rsidRPr="00C77160">
        <w:t xml:space="preserve"> will likely be routed from offshore</w:t>
      </w:r>
      <w:r>
        <w:t xml:space="preserve"> and/or involved over-stamped CLI numbers</w:t>
      </w:r>
      <w:r w:rsidRPr="00C77160">
        <w:t>.</w:t>
      </w:r>
    </w:p>
    <w:p w14:paraId="78A6CD60" w14:textId="46B24F2D" w:rsidR="00DB2B1C" w:rsidRPr="00C77160" w:rsidRDefault="00DB2B1C" w:rsidP="00DB2B1C">
      <w:pPr>
        <w:pStyle w:val="Paragraph"/>
      </w:pPr>
      <w:r w:rsidRPr="00C77160">
        <w:t>Scammers will look to incentivise individuals to act on something, for example a prize, a grant, unpaid tax, or a computer virus. Some may even threaten legal action or money loss. Scammers will ask the individual to ‘prove’ who they are or ask for access to their device. The A</w:t>
      </w:r>
      <w:r>
        <w:t xml:space="preserve">ustralian </w:t>
      </w:r>
      <w:r w:rsidRPr="00C77160">
        <w:t>C</w:t>
      </w:r>
      <w:r>
        <w:t xml:space="preserve">ompetition and </w:t>
      </w:r>
      <w:r w:rsidRPr="00C77160">
        <w:t>C</w:t>
      </w:r>
      <w:r>
        <w:t xml:space="preserve">onsumer </w:t>
      </w:r>
      <w:r w:rsidRPr="00C77160">
        <w:t>C</w:t>
      </w:r>
      <w:r>
        <w:t>ommission’s (ACCC) Scamwatch</w:t>
      </w:r>
      <w:r>
        <w:rPr>
          <w:rStyle w:val="FootnoteReference"/>
        </w:rPr>
        <w:footnoteReference w:id="11"/>
      </w:r>
      <w:r w:rsidRPr="00C77160">
        <w:t xml:space="preserve"> reports that losses to identity theft scams increased by 193</w:t>
      </w:r>
      <w:r>
        <w:t>%</w:t>
      </w:r>
      <w:r w:rsidRPr="00C77160">
        <w:t xml:space="preserve"> over 2018</w:t>
      </w:r>
      <w:r w:rsidR="00D55BD7">
        <w:t>,</w:t>
      </w:r>
      <w:r w:rsidRPr="00C77160">
        <w:t xml:space="preserve"> with the </w:t>
      </w:r>
      <w:r>
        <w:t>highest</w:t>
      </w:r>
      <w:r w:rsidRPr="00C77160">
        <w:t xml:space="preserve"> </w:t>
      </w:r>
      <w:r>
        <w:t xml:space="preserve">single reported </w:t>
      </w:r>
      <w:r w:rsidRPr="00C77160">
        <w:t xml:space="preserve">loss for identity theft </w:t>
      </w:r>
      <w:r>
        <w:t>being</w:t>
      </w:r>
      <w:r w:rsidRPr="00C77160">
        <w:t xml:space="preserve"> $800</w:t>
      </w:r>
      <w:r>
        <w:t>,</w:t>
      </w:r>
      <w:r w:rsidRPr="00C77160">
        <w:t>000 to a phone porting scam</w:t>
      </w:r>
      <w:r>
        <w:t>.</w:t>
      </w:r>
      <w:r w:rsidRPr="00C77160">
        <w:rPr>
          <w:vertAlign w:val="superscript"/>
        </w:rPr>
        <w:footnoteReference w:id="12"/>
      </w:r>
    </w:p>
    <w:p w14:paraId="3221D290" w14:textId="6A38F457" w:rsidR="00DB2B1C" w:rsidRPr="00C77160" w:rsidRDefault="00DB2B1C" w:rsidP="00DB2B1C">
      <w:pPr>
        <w:pStyle w:val="Paragraph"/>
      </w:pPr>
      <w:r w:rsidRPr="00C77160">
        <w:t xml:space="preserve">Scammers will use personal data to steal identities, open loans, and steal or launder money. Identity crime is a key enabler of serious and organised crime and </w:t>
      </w:r>
      <w:r>
        <w:t>s</w:t>
      </w:r>
      <w:r w:rsidRPr="00B866BE">
        <w:t xml:space="preserve">urveys conducted by the Australian Institute of Criminology (AIC), beginning in 2013, have </w:t>
      </w:r>
      <w:r w:rsidRPr="00B866BE">
        <w:lastRenderedPageBreak/>
        <w:t>consistently found that over 20</w:t>
      </w:r>
      <w:r w:rsidR="00D55BD7">
        <w:t xml:space="preserve">% </w:t>
      </w:r>
      <w:r w:rsidRPr="00B866BE">
        <w:t>of respondents’ report having experienced misuse of their personal information at some time during their lives.</w:t>
      </w:r>
      <w:r>
        <w:rPr>
          <w:rStyle w:val="FootnoteReference"/>
        </w:rPr>
        <w:footnoteReference w:id="13"/>
      </w:r>
    </w:p>
    <w:p w14:paraId="5697AD5C" w14:textId="77777777" w:rsidR="00DB2B1C" w:rsidRPr="00C77160" w:rsidRDefault="00DB2B1C" w:rsidP="00DB758F">
      <w:pPr>
        <w:pStyle w:val="Paragraph"/>
        <w:spacing w:after="80"/>
      </w:pPr>
      <w:r w:rsidRPr="00C77160">
        <w:t>Criminals use false identities for a variety of reasons, including to:</w:t>
      </w:r>
    </w:p>
    <w:p w14:paraId="13E29477" w14:textId="77777777" w:rsidR="00DB2B1C" w:rsidRPr="00C77160" w:rsidRDefault="00DB2B1C" w:rsidP="00DB758F">
      <w:pPr>
        <w:pStyle w:val="Bulletlevel1"/>
      </w:pPr>
      <w:r w:rsidRPr="00C77160">
        <w:t>perpetrate frauds, including for financial gain such as removing funds from bank accounts</w:t>
      </w:r>
    </w:p>
    <w:p w14:paraId="76665E3D" w14:textId="2AEE58EC" w:rsidR="00DB2B1C" w:rsidRPr="00C77160" w:rsidRDefault="00DB2B1C" w:rsidP="00DB758F">
      <w:pPr>
        <w:pStyle w:val="Bulletlevel1last"/>
      </w:pPr>
      <w:r w:rsidRPr="00C77160">
        <w:t>establish business structures and companies to facilitate other crimes such as money laundering or importing illicit commodities</w:t>
      </w:r>
      <w:r w:rsidR="00C47DA4">
        <w:t>.</w:t>
      </w:r>
    </w:p>
    <w:p w14:paraId="63303267" w14:textId="77777777" w:rsidR="00DB2B1C" w:rsidRDefault="00DB2B1C" w:rsidP="00DB2B1C">
      <w:pPr>
        <w:pStyle w:val="Heading2"/>
      </w:pPr>
      <w:bookmarkStart w:id="22" w:name="_Toc55546899"/>
      <w:bookmarkStart w:id="23" w:name="_Toc56092935"/>
      <w:r>
        <w:t>Losses to scams</w:t>
      </w:r>
      <w:bookmarkEnd w:id="22"/>
      <w:bookmarkEnd w:id="23"/>
    </w:p>
    <w:p w14:paraId="4B0A7295" w14:textId="77777777" w:rsidR="00DB2B1C" w:rsidRPr="00E4595B" w:rsidRDefault="00DB2B1C" w:rsidP="00DB2B1C">
      <w:pPr>
        <w:pStyle w:val="Paragraph"/>
      </w:pPr>
      <w:r>
        <w:rPr>
          <w:noProof/>
        </w:rPr>
        <w:drawing>
          <wp:inline distT="0" distB="0" distL="0" distR="0" wp14:anchorId="4D00738B" wp14:editId="149A6C04">
            <wp:extent cx="4661535" cy="2630051"/>
            <wp:effectExtent l="0" t="0" r="5715"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6"/>
                    <a:stretch>
                      <a:fillRect/>
                    </a:stretch>
                  </pic:blipFill>
                  <pic:spPr>
                    <a:xfrm>
                      <a:off x="0" y="0"/>
                      <a:ext cx="4665471" cy="2632271"/>
                    </a:xfrm>
                    <a:prstGeom prst="rect">
                      <a:avLst/>
                    </a:prstGeom>
                  </pic:spPr>
                </pic:pic>
              </a:graphicData>
            </a:graphic>
          </wp:inline>
        </w:drawing>
      </w:r>
    </w:p>
    <w:p w14:paraId="6ADA9DCF" w14:textId="13F2AA8D" w:rsidR="00DB2B1C" w:rsidRPr="003467BE" w:rsidRDefault="00DB2B1C" w:rsidP="00DB758F">
      <w:pPr>
        <w:pStyle w:val="Tableorfigurenote"/>
      </w:pPr>
      <w:r w:rsidRPr="00DB758F">
        <w:t>Source:</w:t>
      </w:r>
      <w:r w:rsidRPr="003467BE">
        <w:t xml:space="preserve"> ACCC Scamwatch</w:t>
      </w:r>
      <w:r w:rsidR="003F1A99">
        <w:t>,</w:t>
      </w:r>
      <w:r w:rsidRPr="003467BE">
        <w:t xml:space="preserve"> Targeting scams 2019: A review of scam activity since 2009</w:t>
      </w:r>
      <w:r w:rsidR="00EB6F41">
        <w:t>.</w:t>
      </w:r>
    </w:p>
    <w:p w14:paraId="5FE50CAD" w14:textId="6EC213EB" w:rsidR="00DB2B1C" w:rsidRDefault="00DB2B1C" w:rsidP="00DB2B1C">
      <w:pPr>
        <w:pStyle w:val="Paragraph"/>
      </w:pPr>
      <w:r w:rsidRPr="00E4595B">
        <w:t>According to Scamwatch, Australians lost over $634 million to scams in 2019</w:t>
      </w:r>
      <w:r>
        <w:t xml:space="preserve"> – and </w:t>
      </w:r>
      <w:r w:rsidRPr="00E4595B">
        <w:t xml:space="preserve">there were more than 353,000 combined reports to </w:t>
      </w:r>
      <w:r>
        <w:t>it</w:t>
      </w:r>
      <w:r w:rsidRPr="00E4595B">
        <w:t xml:space="preserve">, other government agencies and the big </w:t>
      </w:r>
      <w:r w:rsidR="00DC4C25">
        <w:t>4</w:t>
      </w:r>
      <w:r w:rsidRPr="00E4595B">
        <w:t xml:space="preserve"> banks. These losses are a 3</w:t>
      </w:r>
      <w:r>
        <w:t>4</w:t>
      </w:r>
      <w:r w:rsidRPr="00E4595B">
        <w:t>% increase on the previous year.</w:t>
      </w:r>
      <w:r w:rsidRPr="00E4595B">
        <w:rPr>
          <w:vertAlign w:val="superscript"/>
        </w:rPr>
        <w:footnoteReference w:id="14"/>
      </w:r>
    </w:p>
    <w:p w14:paraId="71243A10" w14:textId="77777777" w:rsidR="00DB2B1C" w:rsidRDefault="00DB2B1C" w:rsidP="00DB758F">
      <w:pPr>
        <w:pStyle w:val="Paragraph"/>
        <w:spacing w:after="80"/>
      </w:pPr>
      <w:r w:rsidRPr="003467BE">
        <w:t xml:space="preserve">Based on the combined data, the </w:t>
      </w:r>
      <w:bookmarkStart w:id="24" w:name="_Hlk54881065"/>
      <w:r w:rsidRPr="003467BE">
        <w:t xml:space="preserve">greatest losses in 2019 by type of scam </w:t>
      </w:r>
      <w:bookmarkEnd w:id="24"/>
      <w:r w:rsidRPr="003467BE">
        <w:t>were:</w:t>
      </w:r>
    </w:p>
    <w:p w14:paraId="15D46343" w14:textId="77777777" w:rsidR="00DB2B1C" w:rsidRDefault="00DB2B1C" w:rsidP="00DB758F">
      <w:pPr>
        <w:pStyle w:val="Paragraph"/>
        <w:numPr>
          <w:ilvl w:val="0"/>
          <w:numId w:val="21"/>
        </w:numPr>
        <w:spacing w:after="80"/>
        <w:ind w:left="426" w:hanging="426"/>
      </w:pPr>
      <w:r w:rsidRPr="003467BE">
        <w:t>$132 million lost to business email compromise scams</w:t>
      </w:r>
    </w:p>
    <w:p w14:paraId="0FF0C71A" w14:textId="77777777" w:rsidR="00DB2B1C" w:rsidRDefault="00DB2B1C" w:rsidP="00DB758F">
      <w:pPr>
        <w:pStyle w:val="Paragraph"/>
        <w:numPr>
          <w:ilvl w:val="0"/>
          <w:numId w:val="21"/>
        </w:numPr>
        <w:spacing w:after="80"/>
        <w:ind w:left="426" w:hanging="426"/>
      </w:pPr>
      <w:r w:rsidRPr="003467BE">
        <w:t>$126 million lost to investment scams</w:t>
      </w:r>
    </w:p>
    <w:p w14:paraId="2312E80B" w14:textId="77777777" w:rsidR="00DB2B1C" w:rsidRDefault="00DB2B1C" w:rsidP="00DB758F">
      <w:pPr>
        <w:pStyle w:val="Paragraph"/>
        <w:numPr>
          <w:ilvl w:val="0"/>
          <w:numId w:val="21"/>
        </w:numPr>
        <w:ind w:left="426" w:hanging="426"/>
      </w:pPr>
      <w:r w:rsidRPr="003467BE">
        <w:t>$83 million lost to dating and romance scams.</w:t>
      </w:r>
      <w:r w:rsidRPr="00DC3092">
        <w:rPr>
          <w:vertAlign w:val="superscript"/>
        </w:rPr>
        <w:footnoteReference w:id="15"/>
      </w:r>
    </w:p>
    <w:p w14:paraId="275CBF4C" w14:textId="719E5CD1" w:rsidR="00DB2B1C" w:rsidRDefault="00DB2B1C" w:rsidP="00DB2B1C">
      <w:pPr>
        <w:pStyle w:val="Paragraph"/>
        <w:rPr>
          <w:iCs/>
        </w:rPr>
      </w:pPr>
      <w:r>
        <w:t xml:space="preserve">In 2019, </w:t>
      </w:r>
      <w:r>
        <w:rPr>
          <w:iCs/>
        </w:rPr>
        <w:t>t</w:t>
      </w:r>
      <w:r w:rsidRPr="00DC3092">
        <w:rPr>
          <w:iCs/>
        </w:rPr>
        <w:t xml:space="preserve">he </w:t>
      </w:r>
      <w:r>
        <w:rPr>
          <w:iCs/>
        </w:rPr>
        <w:t xml:space="preserve">number of scam reports to one agency (Scamwatch) was </w:t>
      </w:r>
      <w:r w:rsidRPr="004F1122">
        <w:rPr>
          <w:iCs/>
        </w:rPr>
        <w:t>167,795</w:t>
      </w:r>
      <w:r>
        <w:rPr>
          <w:iCs/>
        </w:rPr>
        <w:t xml:space="preserve"> – with losses of $143 million. The average </w:t>
      </w:r>
      <w:r w:rsidRPr="00DC3092">
        <w:rPr>
          <w:iCs/>
        </w:rPr>
        <w:t>reported to Scamwatch increased by 20</w:t>
      </w:r>
      <w:r>
        <w:rPr>
          <w:iCs/>
        </w:rPr>
        <w:t xml:space="preserve">% to </w:t>
      </w:r>
      <w:bookmarkStart w:id="25" w:name="_Hlk54883431"/>
      <w:r w:rsidRPr="00DC3092">
        <w:rPr>
          <w:iCs/>
        </w:rPr>
        <w:t>$7</w:t>
      </w:r>
      <w:r>
        <w:rPr>
          <w:iCs/>
        </w:rPr>
        <w:t>,</w:t>
      </w:r>
      <w:r w:rsidRPr="00DC3092">
        <w:rPr>
          <w:iCs/>
        </w:rPr>
        <w:t>224</w:t>
      </w:r>
      <w:bookmarkEnd w:id="25"/>
      <w:r w:rsidR="00977AC8">
        <w:rPr>
          <w:iCs/>
        </w:rPr>
        <w:t xml:space="preserve">, </w:t>
      </w:r>
      <w:r w:rsidRPr="00DC3092">
        <w:rPr>
          <w:iCs/>
        </w:rPr>
        <w:t>up from to $5</w:t>
      </w:r>
      <w:r>
        <w:rPr>
          <w:iCs/>
        </w:rPr>
        <w:t>,</w:t>
      </w:r>
      <w:r w:rsidRPr="00DC3092">
        <w:rPr>
          <w:iCs/>
        </w:rPr>
        <w:t>997 in 2018.</w:t>
      </w:r>
      <w:r>
        <w:rPr>
          <w:rStyle w:val="FootnoteReference"/>
          <w:iCs/>
        </w:rPr>
        <w:footnoteReference w:id="16"/>
      </w:r>
    </w:p>
    <w:p w14:paraId="2C237D29" w14:textId="5954B251" w:rsidR="00DB2B1C" w:rsidRDefault="00DB2B1C" w:rsidP="00DB2B1C">
      <w:pPr>
        <w:pStyle w:val="Paragraph"/>
        <w:rPr>
          <w:iCs/>
        </w:rPr>
      </w:pPr>
      <w:r w:rsidRPr="003048B5">
        <w:rPr>
          <w:iCs/>
        </w:rPr>
        <w:t xml:space="preserve">This year has </w:t>
      </w:r>
      <w:r>
        <w:rPr>
          <w:iCs/>
        </w:rPr>
        <w:t xml:space="preserve">also </w:t>
      </w:r>
      <w:r w:rsidRPr="003048B5">
        <w:rPr>
          <w:iCs/>
        </w:rPr>
        <w:t>seen scammers use events such as the</w:t>
      </w:r>
      <w:r>
        <w:rPr>
          <w:iCs/>
        </w:rPr>
        <w:t xml:space="preserve"> Australian </w:t>
      </w:r>
      <w:r w:rsidR="00FC2D89">
        <w:rPr>
          <w:iCs/>
        </w:rPr>
        <w:t>b</w:t>
      </w:r>
      <w:r>
        <w:rPr>
          <w:iCs/>
        </w:rPr>
        <w:t>ushfires and</w:t>
      </w:r>
      <w:r w:rsidRPr="003048B5">
        <w:rPr>
          <w:iCs/>
        </w:rPr>
        <w:t xml:space="preserve"> coronavirus</w:t>
      </w:r>
      <w:r w:rsidR="00B52875">
        <w:rPr>
          <w:iCs/>
        </w:rPr>
        <w:t xml:space="preserve"> (</w:t>
      </w:r>
      <w:r w:rsidR="00B52875" w:rsidRPr="003048B5">
        <w:rPr>
          <w:iCs/>
        </w:rPr>
        <w:t>COVID-19</w:t>
      </w:r>
      <w:r w:rsidR="00B52875">
        <w:rPr>
          <w:iCs/>
        </w:rPr>
        <w:t>)</w:t>
      </w:r>
      <w:r w:rsidRPr="003048B5">
        <w:rPr>
          <w:iCs/>
        </w:rPr>
        <w:t xml:space="preserve"> pandemic to target Australians. </w:t>
      </w:r>
      <w:r>
        <w:rPr>
          <w:iCs/>
        </w:rPr>
        <w:t>Since March 2020, o</w:t>
      </w:r>
      <w:r w:rsidRPr="003048B5">
        <w:rPr>
          <w:iCs/>
        </w:rPr>
        <w:t xml:space="preserve">ver </w:t>
      </w:r>
      <w:r w:rsidRPr="003048B5">
        <w:rPr>
          <w:iCs/>
        </w:rPr>
        <w:lastRenderedPageBreak/>
        <w:t xml:space="preserve">4,560 scam reports referencing </w:t>
      </w:r>
      <w:r w:rsidR="00EB6F41">
        <w:rPr>
          <w:iCs/>
        </w:rPr>
        <w:t>COVID-19</w:t>
      </w:r>
      <w:r w:rsidRPr="003048B5">
        <w:rPr>
          <w:iCs/>
        </w:rPr>
        <w:t xml:space="preserve"> have been reported to Scamwatch</w:t>
      </w:r>
      <w:r w:rsidR="00977AC8">
        <w:rPr>
          <w:iCs/>
        </w:rPr>
        <w:t xml:space="preserve">, </w:t>
      </w:r>
      <w:r w:rsidRPr="003048B5">
        <w:rPr>
          <w:iCs/>
        </w:rPr>
        <w:t>with over $5.1 million in reported losses.</w:t>
      </w:r>
      <w:r w:rsidRPr="003048B5">
        <w:rPr>
          <w:iCs/>
          <w:vertAlign w:val="superscript"/>
        </w:rPr>
        <w:footnoteReference w:id="17"/>
      </w:r>
      <w:r w:rsidRPr="00C64C30">
        <w:rPr>
          <w:iCs/>
        </w:rPr>
        <w:t xml:space="preserve"> </w:t>
      </w:r>
    </w:p>
    <w:p w14:paraId="68854A5C" w14:textId="2149A133" w:rsidR="00DB2B1C" w:rsidRDefault="00DB2B1C" w:rsidP="00DB2B1C">
      <w:pPr>
        <w:pStyle w:val="Paragraph"/>
        <w:rPr>
          <w:iCs/>
        </w:rPr>
      </w:pPr>
      <w:r>
        <w:rPr>
          <w:iCs/>
        </w:rPr>
        <w:t xml:space="preserve">As of September 2020, Scamwatch data shows it received </w:t>
      </w:r>
      <w:r w:rsidRPr="003048B5">
        <w:rPr>
          <w:iCs/>
        </w:rPr>
        <w:t>147</w:t>
      </w:r>
      <w:r>
        <w:rPr>
          <w:iCs/>
        </w:rPr>
        <w:t>,</w:t>
      </w:r>
      <w:r w:rsidRPr="003048B5">
        <w:rPr>
          <w:iCs/>
        </w:rPr>
        <w:t xml:space="preserve"> 294</w:t>
      </w:r>
      <w:r>
        <w:rPr>
          <w:iCs/>
        </w:rPr>
        <w:t xml:space="preserve"> reports of scams from the Australian community</w:t>
      </w:r>
      <w:r w:rsidR="00EB6F41">
        <w:rPr>
          <w:iCs/>
        </w:rPr>
        <w:t>,</w:t>
      </w:r>
      <w:r>
        <w:rPr>
          <w:iCs/>
        </w:rPr>
        <w:t xml:space="preserve"> with over $</w:t>
      </w:r>
      <w:r w:rsidRPr="003048B5">
        <w:rPr>
          <w:iCs/>
        </w:rPr>
        <w:t>116</w:t>
      </w:r>
      <w:r>
        <w:rPr>
          <w:iCs/>
        </w:rPr>
        <w:t>.5 million</w:t>
      </w:r>
      <w:r w:rsidRPr="003048B5">
        <w:rPr>
          <w:iCs/>
        </w:rPr>
        <w:t xml:space="preserve"> </w:t>
      </w:r>
      <w:r>
        <w:rPr>
          <w:iCs/>
        </w:rPr>
        <w:t>in reported losses – suggesting the figure is on track to surpass 2019.</w:t>
      </w:r>
      <w:r>
        <w:rPr>
          <w:rStyle w:val="FootnoteReference"/>
          <w:iCs/>
        </w:rPr>
        <w:footnoteReference w:id="18"/>
      </w:r>
    </w:p>
    <w:p w14:paraId="5C829BAA" w14:textId="77777777" w:rsidR="00DB2B1C" w:rsidRDefault="00DB2B1C" w:rsidP="00DB2B1C">
      <w:pPr>
        <w:pStyle w:val="Heading2"/>
      </w:pPr>
      <w:bookmarkStart w:id="26" w:name="_Toc55546900"/>
      <w:bookmarkStart w:id="27" w:name="_Toc56092936"/>
      <w:r w:rsidRPr="00437909">
        <w:t>Losses via phones</w:t>
      </w:r>
      <w:bookmarkEnd w:id="26"/>
      <w:bookmarkEnd w:id="27"/>
    </w:p>
    <w:p w14:paraId="199AA659" w14:textId="04ADD2B2" w:rsidR="00DB2B1C" w:rsidRPr="004D4B24" w:rsidRDefault="00DB2B1C" w:rsidP="00DB2B1C">
      <w:pPr>
        <w:pStyle w:val="Paragraph"/>
      </w:pPr>
      <w:r w:rsidRPr="004D4B24">
        <w:t xml:space="preserve">Scams occur via several contact methods, but </w:t>
      </w:r>
      <w:r>
        <w:t xml:space="preserve">via </w:t>
      </w:r>
      <w:r w:rsidRPr="004D4B24">
        <w:t>phone remain</w:t>
      </w:r>
      <w:r w:rsidR="00EB6F41">
        <w:t>s</w:t>
      </w:r>
      <w:r w:rsidRPr="004D4B24">
        <w:t xml:space="preserve"> the preferred contact method of scammers.</w:t>
      </w:r>
    </w:p>
    <w:p w14:paraId="5CEC52C9" w14:textId="77777777" w:rsidR="00DB2B1C" w:rsidRDefault="00DB2B1C" w:rsidP="00DB2B1C">
      <w:pPr>
        <w:pStyle w:val="Paragraph"/>
      </w:pPr>
      <w:r>
        <w:rPr>
          <w:noProof/>
        </w:rPr>
        <w:drawing>
          <wp:inline distT="0" distB="0" distL="0" distR="0" wp14:anchorId="0CF27B59" wp14:editId="032EA15C">
            <wp:extent cx="4303957" cy="1781175"/>
            <wp:effectExtent l="0" t="0" r="190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27"/>
                    <a:srcRect l="4670" t="5068" r="6348" b="13685"/>
                    <a:stretch/>
                  </pic:blipFill>
                  <pic:spPr bwMode="auto">
                    <a:xfrm>
                      <a:off x="0" y="0"/>
                      <a:ext cx="4311014" cy="1784095"/>
                    </a:xfrm>
                    <a:prstGeom prst="rect">
                      <a:avLst/>
                    </a:prstGeom>
                    <a:ln>
                      <a:noFill/>
                    </a:ln>
                    <a:extLst>
                      <a:ext uri="{53640926-AAD7-44D8-BBD7-CCE9431645EC}">
                        <a14:shadowObscured xmlns:a14="http://schemas.microsoft.com/office/drawing/2010/main"/>
                      </a:ext>
                    </a:extLst>
                  </pic:spPr>
                </pic:pic>
              </a:graphicData>
            </a:graphic>
          </wp:inline>
        </w:drawing>
      </w:r>
    </w:p>
    <w:p w14:paraId="7130DA89" w14:textId="5137D58F" w:rsidR="00DB2B1C" w:rsidRPr="004D4B24" w:rsidRDefault="00DB2B1C" w:rsidP="00DB758F">
      <w:pPr>
        <w:pStyle w:val="Tableorfigurenote"/>
      </w:pPr>
      <w:bookmarkStart w:id="28" w:name="_Hlk54773541"/>
      <w:r w:rsidRPr="00DB758F">
        <w:t xml:space="preserve">Source: </w:t>
      </w:r>
      <w:r w:rsidRPr="00416580">
        <w:t>ACCC Scamwatch</w:t>
      </w:r>
      <w:r w:rsidR="00EB6F41">
        <w:t>,</w:t>
      </w:r>
      <w:r w:rsidRPr="00416580">
        <w:t xml:space="preserve"> Targeting scams</w:t>
      </w:r>
      <w:r>
        <w:t xml:space="preserve"> 2019:</w:t>
      </w:r>
      <w:r w:rsidRPr="00416580">
        <w:t xml:space="preserve"> </w:t>
      </w:r>
      <w:r w:rsidRPr="0072716E">
        <w:t>A review of scam activity since 2009.</w:t>
      </w:r>
    </w:p>
    <w:p w14:paraId="7A3C9AB9" w14:textId="5FF77F2D" w:rsidR="00DB2B1C" w:rsidRPr="00346B49" w:rsidRDefault="00DB2B1C" w:rsidP="00DB758F">
      <w:pPr>
        <w:pStyle w:val="Paragraph"/>
        <w:numPr>
          <w:ilvl w:val="0"/>
          <w:numId w:val="22"/>
        </w:numPr>
        <w:spacing w:after="80"/>
        <w:ind w:left="426" w:hanging="426"/>
      </w:pPr>
      <w:bookmarkStart w:id="29" w:name="_Hlk54866820"/>
      <w:bookmarkEnd w:id="28"/>
      <w:r>
        <w:t>Over</w:t>
      </w:r>
      <w:r w:rsidRPr="00A77965">
        <w:t xml:space="preserve"> 41</w:t>
      </w:r>
      <w:r>
        <w:t>%</w:t>
      </w:r>
      <w:r w:rsidRPr="00A77965">
        <w:t xml:space="preserve"> of </w:t>
      </w:r>
      <w:r>
        <w:t xml:space="preserve">all </w:t>
      </w:r>
      <w:r w:rsidRPr="00A77965">
        <w:t xml:space="preserve">Scamwatch reports </w:t>
      </w:r>
      <w:r>
        <w:t xml:space="preserve">in 2019 </w:t>
      </w:r>
      <w:r w:rsidRPr="00A77965">
        <w:t>involv</w:t>
      </w:r>
      <w:r>
        <w:t>e</w:t>
      </w:r>
      <w:r w:rsidR="007208F4">
        <w:t>d</w:t>
      </w:r>
      <w:r>
        <w:t xml:space="preserve"> scammers </w:t>
      </w:r>
      <w:r w:rsidRPr="00A77965">
        <w:t>contact</w:t>
      </w:r>
      <w:r>
        <w:t xml:space="preserve">ing </w:t>
      </w:r>
      <w:r w:rsidRPr="00346B49">
        <w:t>Australians via phone – 69,522 reports.</w:t>
      </w:r>
    </w:p>
    <w:p w14:paraId="0208AD36" w14:textId="1A92C908" w:rsidR="00DB2B1C" w:rsidRPr="00346B49" w:rsidRDefault="00DB2B1C" w:rsidP="00DB758F">
      <w:pPr>
        <w:pStyle w:val="ListNumber2Last"/>
        <w:numPr>
          <w:ilvl w:val="0"/>
          <w:numId w:val="22"/>
        </w:numPr>
        <w:spacing w:after="80"/>
        <w:ind w:left="851" w:hanging="426"/>
      </w:pPr>
      <w:r w:rsidRPr="00346B49">
        <w:t>1</w:t>
      </w:r>
      <w:r>
        <w:t>,</w:t>
      </w:r>
      <w:r w:rsidRPr="00346B49">
        <w:t xml:space="preserve">856 (2.67%) </w:t>
      </w:r>
      <w:r w:rsidR="007208F4">
        <w:t>reports</w:t>
      </w:r>
      <w:r w:rsidRPr="00346B49">
        <w:t xml:space="preserve"> were made by businesses</w:t>
      </w:r>
      <w:r>
        <w:t>.</w:t>
      </w:r>
      <w:r>
        <w:rPr>
          <w:rStyle w:val="FootnoteReference"/>
        </w:rPr>
        <w:footnoteReference w:id="19"/>
      </w:r>
    </w:p>
    <w:p w14:paraId="21E9A9CA" w14:textId="4DB5DBEF" w:rsidR="00DB2B1C" w:rsidRDefault="00DB2B1C" w:rsidP="00DB758F">
      <w:pPr>
        <w:pStyle w:val="ListNumber2Last"/>
        <w:numPr>
          <w:ilvl w:val="0"/>
          <w:numId w:val="22"/>
        </w:numPr>
        <w:spacing w:after="80"/>
        <w:ind w:left="426" w:hanging="426"/>
      </w:pPr>
      <w:r>
        <w:t xml:space="preserve">Scams via phone generated </w:t>
      </w:r>
      <w:r w:rsidRPr="00C62502">
        <w:t>more than $32</w:t>
      </w:r>
      <w:r>
        <w:t>.6</w:t>
      </w:r>
      <w:r w:rsidRPr="00C62502">
        <w:t xml:space="preserve"> million in reported losses </w:t>
      </w:r>
      <w:r>
        <w:t>in 2019</w:t>
      </w:r>
      <w:r w:rsidR="00EB6F41">
        <w:t>.</w:t>
      </w:r>
      <w:r>
        <w:t xml:space="preserve"> </w:t>
      </w:r>
    </w:p>
    <w:p w14:paraId="1C237491" w14:textId="12912F68" w:rsidR="00DB2B1C" w:rsidRPr="006277A7" w:rsidRDefault="007208F4" w:rsidP="00DB758F">
      <w:pPr>
        <w:pStyle w:val="Bulletlevel1"/>
        <w:numPr>
          <w:ilvl w:val="0"/>
          <w:numId w:val="22"/>
        </w:numPr>
        <w:ind w:left="426" w:hanging="426"/>
      </w:pPr>
      <w:r>
        <w:t xml:space="preserve">Of the </w:t>
      </w:r>
      <w:r w:rsidRPr="007208F4">
        <w:t>69,522 reports</w:t>
      </w:r>
      <w:r>
        <w:t xml:space="preserve"> of scammers contacting Australians via phone, </w:t>
      </w:r>
      <w:r w:rsidRPr="007208F4">
        <w:t xml:space="preserve">2,776 </w:t>
      </w:r>
      <w:r>
        <w:t xml:space="preserve">reports cited financial </w:t>
      </w:r>
      <w:r w:rsidR="00DB2B1C" w:rsidRPr="00C62502">
        <w:t>losses occurred</w:t>
      </w:r>
      <w:bookmarkStart w:id="30" w:name="_Hlk54873746"/>
      <w:r>
        <w:rPr>
          <w:shd w:val="clear" w:color="auto" w:fill="FFFFFF" w:themeFill="background1"/>
        </w:rPr>
        <w:t xml:space="preserve"> </w:t>
      </w:r>
      <w:bookmarkEnd w:id="30"/>
      <w:r>
        <w:rPr>
          <w:shd w:val="clear" w:color="auto" w:fill="FFFFFF" w:themeFill="background1"/>
        </w:rPr>
        <w:t xml:space="preserve">with an </w:t>
      </w:r>
      <w:r w:rsidR="00DB2B1C" w:rsidRPr="007208F4">
        <w:rPr>
          <w:shd w:val="clear" w:color="auto" w:fill="FFFFFF" w:themeFill="background1"/>
        </w:rPr>
        <w:t>average loss of $</w:t>
      </w:r>
      <w:bookmarkStart w:id="31" w:name="_Hlk53580422"/>
      <w:r w:rsidR="00DB2B1C" w:rsidRPr="007208F4">
        <w:rPr>
          <w:shd w:val="clear" w:color="auto" w:fill="FFFFFF" w:themeFill="background1"/>
        </w:rPr>
        <w:t>11,737</w:t>
      </w:r>
      <w:bookmarkEnd w:id="31"/>
      <w:r w:rsidR="00DB2B1C" w:rsidRPr="00EF05FF">
        <w:rPr>
          <w:shd w:val="clear" w:color="auto" w:fill="FFFFFF" w:themeFill="background1"/>
        </w:rPr>
        <w:t>.</w:t>
      </w:r>
      <w:r w:rsidR="00DB2B1C" w:rsidRPr="00930FF7">
        <w:rPr>
          <w:vertAlign w:val="superscript"/>
        </w:rPr>
        <w:footnoteReference w:id="20"/>
      </w:r>
      <w:r w:rsidR="00DB2B1C">
        <w:t xml:space="preserve"> </w:t>
      </w:r>
      <w:r>
        <w:t>Of</w:t>
      </w:r>
      <w:r w:rsidR="002A2F5E">
        <w:t> </w:t>
      </w:r>
      <w:r>
        <w:t>these</w:t>
      </w:r>
      <w:r w:rsidR="00DB2B1C">
        <w:t>:</w:t>
      </w:r>
    </w:p>
    <w:p w14:paraId="173BA26A" w14:textId="49FD2542" w:rsidR="00DB2B1C" w:rsidRDefault="00DB2B1C" w:rsidP="00DB758F">
      <w:pPr>
        <w:pStyle w:val="Bulletlevel1"/>
        <w:numPr>
          <w:ilvl w:val="0"/>
          <w:numId w:val="22"/>
        </w:numPr>
        <w:ind w:left="851" w:hanging="426"/>
      </w:pPr>
      <w:r>
        <w:t>2,684 reports were made by individuals (or non-business)</w:t>
      </w:r>
      <w:r w:rsidR="00977AC8">
        <w:t>, with an</w:t>
      </w:r>
      <w:r>
        <w:t xml:space="preserve"> average loss of $11,724 per reported scam</w:t>
      </w:r>
    </w:p>
    <w:p w14:paraId="65D277C6" w14:textId="0F8B4376" w:rsidR="00DB2B1C" w:rsidRDefault="00DB2B1C" w:rsidP="00DB758F">
      <w:pPr>
        <w:numPr>
          <w:ilvl w:val="0"/>
          <w:numId w:val="22"/>
        </w:numPr>
        <w:ind w:left="851" w:hanging="426"/>
      </w:pPr>
      <w:r>
        <w:t xml:space="preserve">92 </w:t>
      </w:r>
      <w:r w:rsidRPr="00EB6F41">
        <w:rPr>
          <w:rFonts w:cs="Arial"/>
        </w:rPr>
        <w:t>reports</w:t>
      </w:r>
      <w:r>
        <w:t xml:space="preserve"> were made </w:t>
      </w:r>
      <w:r w:rsidR="007208F4">
        <w:t xml:space="preserve">by </w:t>
      </w:r>
      <w:r>
        <w:t>business</w:t>
      </w:r>
      <w:r w:rsidR="007208F4">
        <w:t>es</w:t>
      </w:r>
      <w:r>
        <w:t xml:space="preserve"> and resulted in losses totalling </w:t>
      </w:r>
      <w:r w:rsidRPr="00F2721B">
        <w:t>over $1.1m</w:t>
      </w:r>
      <w:r w:rsidR="00977AC8">
        <w:t>illion,</w:t>
      </w:r>
      <w:r>
        <w:t xml:space="preserve"> averaging </w:t>
      </w:r>
      <w:bookmarkStart w:id="32" w:name="_Hlk54866985"/>
      <w:r>
        <w:t xml:space="preserve">$11,957 </w:t>
      </w:r>
      <w:bookmarkEnd w:id="32"/>
      <w:r>
        <w:t>per reported scam</w:t>
      </w:r>
      <w:r w:rsidRPr="00F2721B">
        <w:t>.</w:t>
      </w:r>
      <w:r w:rsidRPr="00F2721B">
        <w:rPr>
          <w:vertAlign w:val="superscript"/>
        </w:rPr>
        <w:footnoteReference w:id="21"/>
      </w:r>
      <w:r w:rsidRPr="00650C70">
        <w:t xml:space="preserve"> </w:t>
      </w:r>
    </w:p>
    <w:bookmarkEnd w:id="29"/>
    <w:p w14:paraId="5649DAC5" w14:textId="7B6400C8" w:rsidR="00DB2B1C" w:rsidRDefault="00DB2B1C" w:rsidP="00DB2B1C">
      <w:pPr>
        <w:pStyle w:val="Paragraph"/>
      </w:pPr>
      <w:r w:rsidRPr="00945734">
        <w:t>ACMA data further confirms that Australians are being targeted by scammers on a</w:t>
      </w:r>
      <w:r>
        <w:t xml:space="preserve"> significant</w:t>
      </w:r>
      <w:r w:rsidRPr="00945734">
        <w:t xml:space="preserve"> scale. In 2019–20, there were over 11,000 </w:t>
      </w:r>
      <w:r>
        <w:t xml:space="preserve">known </w:t>
      </w:r>
      <w:r w:rsidRPr="00945734">
        <w:t>scams reported to the ACMA</w:t>
      </w:r>
      <w:r w:rsidR="00977AC8">
        <w:t xml:space="preserve">, </w:t>
      </w:r>
      <w:r w:rsidRPr="00945734">
        <w:t>a</w:t>
      </w:r>
      <w:r>
        <w:t>n</w:t>
      </w:r>
      <w:r w:rsidRPr="00945734">
        <w:t xml:space="preserve"> 11</w:t>
      </w:r>
      <w:r w:rsidR="00977AC8">
        <w:t xml:space="preserve">% </w:t>
      </w:r>
      <w:r w:rsidRPr="00945734">
        <w:t>increase on 2018–20 (9,903</w:t>
      </w:r>
      <w:r w:rsidR="00EB6F41">
        <w:t xml:space="preserve"> scams reported</w:t>
      </w:r>
      <w:r w:rsidRPr="00945734">
        <w:t>).</w:t>
      </w:r>
      <w:r w:rsidRPr="00945734">
        <w:rPr>
          <w:vertAlign w:val="superscript"/>
        </w:rPr>
        <w:footnoteReference w:id="22"/>
      </w:r>
      <w:r>
        <w:t xml:space="preserve"> </w:t>
      </w:r>
      <w:r w:rsidRPr="00945734">
        <w:t xml:space="preserve">Scam calls also constitute the </w:t>
      </w:r>
      <w:r w:rsidRPr="00DB758F">
        <w:t>largest category of consumer complaints made to the ACMA across its remit by a significant margin.</w:t>
      </w:r>
      <w:r w:rsidRPr="00DB758F">
        <w:rPr>
          <w:vertAlign w:val="superscript"/>
        </w:rPr>
        <w:footnoteReference w:id="23"/>
      </w:r>
      <w:r w:rsidRPr="00945734">
        <w:t xml:space="preserve"> </w:t>
      </w:r>
    </w:p>
    <w:p w14:paraId="6A5A8A5C" w14:textId="77777777" w:rsidR="00DB2B1C" w:rsidRPr="00F0574E" w:rsidRDefault="00DB2B1C" w:rsidP="00DB758F">
      <w:pPr>
        <w:pStyle w:val="Paragraph"/>
        <w:spacing w:after="80"/>
      </w:pPr>
      <w:r w:rsidRPr="00F0574E">
        <w:lastRenderedPageBreak/>
        <w:t xml:space="preserve">ACCC’s Scamwatch data </w:t>
      </w:r>
      <w:r>
        <w:t xml:space="preserve">for 2020 </w:t>
      </w:r>
      <w:r w:rsidRPr="00F0574E">
        <w:t xml:space="preserve">shows that as of September 2020, </w:t>
      </w:r>
      <w:r>
        <w:t>42</w:t>
      </w:r>
      <w:r w:rsidRPr="00F0574E">
        <w:t>% of all scam reports and 2</w:t>
      </w:r>
      <w:r>
        <w:t>6</w:t>
      </w:r>
      <w:r w:rsidRPr="00F0574E">
        <w:t>% of all losses have been from scams received by phone</w:t>
      </w:r>
      <w:r>
        <w:t>:</w:t>
      </w:r>
    </w:p>
    <w:p w14:paraId="2E7AE09C" w14:textId="2C11120B" w:rsidR="00DB2B1C" w:rsidRPr="00F0574E" w:rsidRDefault="00DB2B1C" w:rsidP="00DB758F">
      <w:pPr>
        <w:pStyle w:val="Bulletlevel1"/>
      </w:pPr>
      <w:r>
        <w:t xml:space="preserve">62,434 </w:t>
      </w:r>
      <w:r w:rsidRPr="00F0574E">
        <w:t xml:space="preserve">reports of phone scams </w:t>
      </w:r>
      <w:r>
        <w:t>(</w:t>
      </w:r>
      <w:r w:rsidR="0058495F">
        <w:t xml:space="preserve">147,294 </w:t>
      </w:r>
      <w:r w:rsidRPr="00F0574E">
        <w:t>total scams reported</w:t>
      </w:r>
      <w:r>
        <w:t>)</w:t>
      </w:r>
    </w:p>
    <w:p w14:paraId="3B079DCF" w14:textId="77777777" w:rsidR="00DB2B1C" w:rsidRPr="00F0574E" w:rsidRDefault="00DB2B1C" w:rsidP="00DB758F">
      <w:pPr>
        <w:pStyle w:val="Bulletlevel1last"/>
      </w:pPr>
      <w:r w:rsidRPr="00F0574E">
        <w:t>$</w:t>
      </w:r>
      <w:r>
        <w:t xml:space="preserve">31.977 </w:t>
      </w:r>
      <w:r w:rsidRPr="00F0574E">
        <w:t>million of the $1</w:t>
      </w:r>
      <w:r>
        <w:t xml:space="preserve">16.5 </w:t>
      </w:r>
      <w:r w:rsidRPr="00F0574E">
        <w:t xml:space="preserve">million </w:t>
      </w:r>
      <w:r>
        <w:t xml:space="preserve">reported </w:t>
      </w:r>
      <w:r w:rsidRPr="00F0574E">
        <w:t>in financial losses.</w:t>
      </w:r>
      <w:r w:rsidRPr="00F0574E">
        <w:rPr>
          <w:vertAlign w:val="superscript"/>
        </w:rPr>
        <w:footnoteReference w:id="24"/>
      </w:r>
    </w:p>
    <w:p w14:paraId="2E3DDF93" w14:textId="25EDF96E" w:rsidR="00DB2B1C" w:rsidRDefault="00DB2B1C" w:rsidP="00DB2B1C">
      <w:pPr>
        <w:pStyle w:val="Paragraph"/>
      </w:pPr>
      <w:r w:rsidRPr="00F0574E">
        <w:t xml:space="preserve">This demonstrates that scams </w:t>
      </w:r>
      <w:r w:rsidR="0058495F">
        <w:t xml:space="preserve">via phone </w:t>
      </w:r>
      <w:r>
        <w:t>reported remain</w:t>
      </w:r>
      <w:r w:rsidRPr="00F0574E">
        <w:t xml:space="preserve"> a </w:t>
      </w:r>
      <w:r>
        <w:t xml:space="preserve">significant and growing </w:t>
      </w:r>
      <w:r w:rsidRPr="00F0574E">
        <w:t>problem.</w:t>
      </w:r>
    </w:p>
    <w:p w14:paraId="16B6C7EC" w14:textId="77777777" w:rsidR="00DB2B1C" w:rsidRPr="00D60999" w:rsidRDefault="00DB2B1C" w:rsidP="00E6067C">
      <w:pPr>
        <w:pStyle w:val="Heading2"/>
      </w:pPr>
      <w:bookmarkStart w:id="33" w:name="_Toc55546901"/>
      <w:bookmarkStart w:id="34" w:name="_Toc56092937"/>
      <w:r w:rsidRPr="00D60999">
        <w:t xml:space="preserve">Who is affected by </w:t>
      </w:r>
      <w:r>
        <w:t>s</w:t>
      </w:r>
      <w:r w:rsidRPr="00D60999">
        <w:t>cam</w:t>
      </w:r>
      <w:r>
        <w:t xml:space="preserve"> call</w:t>
      </w:r>
      <w:r w:rsidRPr="00D60999">
        <w:t>s?</w:t>
      </w:r>
      <w:bookmarkEnd w:id="33"/>
      <w:bookmarkEnd w:id="34"/>
    </w:p>
    <w:p w14:paraId="7D206114" w14:textId="6F1B15BA" w:rsidR="00DB2B1C" w:rsidRDefault="00DB2B1C" w:rsidP="00DB2B1C">
      <w:pPr>
        <w:pStyle w:val="Paragraph"/>
      </w:pPr>
      <w:r>
        <w:t>Anyone</w:t>
      </w:r>
      <w:r w:rsidRPr="00DE567C">
        <w:t xml:space="preserve"> can fall prey to a scam, regardless of age, gender, education or economic background</w:t>
      </w:r>
      <w:r>
        <w:t>.</w:t>
      </w:r>
      <w:r w:rsidRPr="00DE567C">
        <w:t xml:space="preserve"> </w:t>
      </w:r>
      <w:r>
        <w:rPr>
          <w:rFonts w:cs="Times New Roman"/>
        </w:rPr>
        <w:t>Being scammed via a call</w:t>
      </w:r>
      <w:r w:rsidRPr="00FD28B1">
        <w:rPr>
          <w:rFonts w:cs="Times New Roman"/>
        </w:rPr>
        <w:t xml:space="preserve"> can happen to anyone </w:t>
      </w:r>
      <w:r>
        <w:rPr>
          <w:rFonts w:cs="Times New Roman"/>
        </w:rPr>
        <w:t>who has been issued</w:t>
      </w:r>
      <w:r w:rsidRPr="00FD28B1">
        <w:rPr>
          <w:rFonts w:cs="Times New Roman"/>
        </w:rPr>
        <w:t xml:space="preserve"> a </w:t>
      </w:r>
      <w:r>
        <w:rPr>
          <w:rFonts w:cs="Times New Roman"/>
        </w:rPr>
        <w:t>local or mobile phone</w:t>
      </w:r>
      <w:r w:rsidRPr="00FD28B1">
        <w:rPr>
          <w:rFonts w:cs="Times New Roman"/>
        </w:rPr>
        <w:t xml:space="preserve"> number</w:t>
      </w:r>
      <w:r>
        <w:rPr>
          <w:rStyle w:val="FootnoteReference"/>
          <w:rFonts w:cs="Times New Roman"/>
        </w:rPr>
        <w:footnoteReference w:id="25"/>
      </w:r>
      <w:r w:rsidR="0058495F">
        <w:rPr>
          <w:rFonts w:cs="Times New Roman"/>
        </w:rPr>
        <w:t>,</w:t>
      </w:r>
      <w:r>
        <w:rPr>
          <w:rFonts w:cs="Times New Roman"/>
        </w:rPr>
        <w:t xml:space="preserve"> meaning a</w:t>
      </w:r>
      <w:r w:rsidRPr="00DE567C">
        <w:rPr>
          <w:rFonts w:cs="Times New Roman"/>
        </w:rPr>
        <w:t xml:space="preserve">ll Australian telephone users are at risk of financial and associated losses from scam calls. </w:t>
      </w:r>
    </w:p>
    <w:p w14:paraId="5E392CE2" w14:textId="08487D6F" w:rsidR="00DB2B1C" w:rsidRDefault="00DB2B1C" w:rsidP="00DB2B1C">
      <w:pPr>
        <w:pStyle w:val="Paragraph"/>
      </w:pPr>
      <w:r>
        <w:t>Access to telecommunications</w:t>
      </w:r>
      <w:r w:rsidRPr="00C75766">
        <w:t xml:space="preserve"> </w:t>
      </w:r>
      <w:r>
        <w:t>is</w:t>
      </w:r>
      <w:r w:rsidRPr="00C75766">
        <w:t xml:space="preserve"> </w:t>
      </w:r>
      <w:r>
        <w:t>deeply ingrained in the way Australians live, work and play. It is a constant of</w:t>
      </w:r>
      <w:r w:rsidRPr="00C75766">
        <w:t xml:space="preserve"> modern technology. </w:t>
      </w:r>
      <w:r>
        <w:t>In</w:t>
      </w:r>
      <w:r w:rsidRPr="00A855C6">
        <w:t xml:space="preserve"> June 2019, </w:t>
      </w:r>
      <w:r>
        <w:t>t</w:t>
      </w:r>
      <w:r w:rsidRPr="00AE4D78">
        <w:t>here were 7.82</w:t>
      </w:r>
      <w:r>
        <w:t xml:space="preserve"> </w:t>
      </w:r>
      <w:r w:rsidRPr="00AE4D78">
        <w:t>million fixed-line phone services</w:t>
      </w:r>
      <w:r>
        <w:t xml:space="preserve"> and </w:t>
      </w:r>
      <w:r w:rsidRPr="00AE4D78">
        <w:t>35.82</w:t>
      </w:r>
      <w:r>
        <w:t xml:space="preserve"> </w:t>
      </w:r>
      <w:r w:rsidRPr="00AE4D78">
        <w:t>million mobile voice services in operation</w:t>
      </w:r>
      <w:r>
        <w:t xml:space="preserve"> in Australia.</w:t>
      </w:r>
      <w:r w:rsidRPr="00A855C6">
        <w:rPr>
          <w:vertAlign w:val="superscript"/>
        </w:rPr>
        <w:footnoteReference w:id="26"/>
      </w:r>
      <w:r w:rsidRPr="000A35F2">
        <w:t xml:space="preserve"> </w:t>
      </w:r>
      <w:r>
        <w:t>In</w:t>
      </w:r>
      <w:r w:rsidRPr="00A855C6">
        <w:t xml:space="preserve"> the first half of 20</w:t>
      </w:r>
      <w:r>
        <w:t>20</w:t>
      </w:r>
      <w:r w:rsidRPr="00A855C6">
        <w:t xml:space="preserve">, </w:t>
      </w:r>
      <w:r w:rsidRPr="00D36D50">
        <w:t xml:space="preserve">ACMA consumer survey data showed that </w:t>
      </w:r>
      <w:r w:rsidRPr="00A855C6">
        <w:t>9</w:t>
      </w:r>
      <w:r>
        <w:t>8%</w:t>
      </w:r>
      <w:r w:rsidRPr="00A855C6">
        <w:t xml:space="preserve"> of Australian adults had used a mobile phone to make a call, </w:t>
      </w:r>
      <w:r>
        <w:t xml:space="preserve">92% </w:t>
      </w:r>
      <w:r w:rsidRPr="00A855C6">
        <w:t xml:space="preserve">had sent a text message and </w:t>
      </w:r>
      <w:r>
        <w:t xml:space="preserve">77% </w:t>
      </w:r>
      <w:r w:rsidRPr="00A855C6">
        <w:t>had used a messaging/calling application</w:t>
      </w:r>
      <w:r>
        <w:t>.</w:t>
      </w:r>
      <w:r>
        <w:rPr>
          <w:rStyle w:val="FootnoteReference"/>
        </w:rPr>
        <w:footnoteReference w:id="27"/>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532"/>
      </w:tblGrid>
      <w:tr w:rsidR="00CF1B8D" w14:paraId="005B922E" w14:textId="77777777" w:rsidTr="00CF1B8D">
        <w:tc>
          <w:tcPr>
            <w:tcW w:w="1129" w:type="dxa"/>
          </w:tcPr>
          <w:p w14:paraId="29CD089C" w14:textId="2BF93C28" w:rsidR="00CF1B8D" w:rsidRDefault="00CF1B8D" w:rsidP="00CF1B8D">
            <w:pPr>
              <w:pStyle w:val="Paragraph"/>
              <w:spacing w:after="0"/>
            </w:pPr>
            <w:r w:rsidRPr="003A0B11">
              <w:rPr>
                <w:noProof/>
                <w:color w:val="215868" w:themeColor="accent5" w:themeShade="80"/>
              </w:rPr>
              <w:drawing>
                <wp:inline distT="0" distB="0" distL="0" distR="0" wp14:anchorId="13858D5F" wp14:editId="55DB0356">
                  <wp:extent cx="550800" cy="367200"/>
                  <wp:effectExtent l="0" t="0" r="1905" b="0"/>
                  <wp:docPr id="12" name="Graphic 12" descr="Right pointing backhand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Right pointing backhand index"/>
                          <pic:cNvPicPr/>
                        </pic:nvPicPr>
                        <pic:blipFill rotWithShape="1">
                          <a:blip r:embed="rId28">
                            <a:extLst>
                              <a:ext uri="{96DAC541-7B7A-43D3-8B79-37D633B846F1}">
                                <asvg:svgBlip xmlns:asvg="http://schemas.microsoft.com/office/drawing/2016/SVG/main" r:embed="rId29"/>
                              </a:ext>
                            </a:extLst>
                          </a:blip>
                          <a:srcRect t="16667" b="16667"/>
                          <a:stretch/>
                        </pic:blipFill>
                        <pic:spPr bwMode="auto">
                          <a:xfrm>
                            <a:off x="0" y="0"/>
                            <a:ext cx="550800" cy="367200"/>
                          </a:xfrm>
                          <a:prstGeom prst="rect">
                            <a:avLst/>
                          </a:prstGeom>
                          <a:ln>
                            <a:noFill/>
                          </a:ln>
                          <a:extLst>
                            <a:ext uri="{53640926-AAD7-44D8-BBD7-CCE9431645EC}">
                              <a14:shadowObscured xmlns:a14="http://schemas.microsoft.com/office/drawing/2010/main"/>
                            </a:ext>
                          </a:extLst>
                        </pic:spPr>
                      </pic:pic>
                    </a:graphicData>
                  </a:graphic>
                </wp:inline>
              </w:drawing>
            </w:r>
          </w:p>
        </w:tc>
        <w:tc>
          <w:tcPr>
            <w:tcW w:w="6532" w:type="dxa"/>
          </w:tcPr>
          <w:p w14:paraId="39D01FAA" w14:textId="446C122F" w:rsidR="00CF1B8D" w:rsidRDefault="00CF1B8D" w:rsidP="00CF1B8D">
            <w:pPr>
              <w:pStyle w:val="Paragraph"/>
              <w:spacing w:after="0"/>
              <w:rPr>
                <w:noProof/>
              </w:rPr>
            </w:pPr>
            <w:r w:rsidRPr="003A0B11">
              <w:rPr>
                <w:color w:val="215868" w:themeColor="accent5" w:themeShade="80"/>
              </w:rPr>
              <w:t xml:space="preserve">While </w:t>
            </w:r>
            <w:hyperlink r:id="rId30" w:history="1">
              <w:r w:rsidRPr="003A0B11">
                <w:rPr>
                  <w:rStyle w:val="Hyperlink"/>
                  <w:color w:val="215868" w:themeColor="accent5" w:themeShade="80"/>
                </w:rPr>
                <w:t>Scamwatch</w:t>
              </w:r>
            </w:hyperlink>
            <w:r w:rsidRPr="003A0B11">
              <w:rPr>
                <w:color w:val="215868" w:themeColor="accent5" w:themeShade="80"/>
              </w:rPr>
              <w:t xml:space="preserve"> is the primary government website used by Australians to report scams, it is estimated only around 13% of all victims of scams will make a report to Scamwatch.</w:t>
            </w:r>
            <w:r>
              <w:rPr>
                <w:rStyle w:val="FootnoteReference"/>
              </w:rPr>
              <w:footnoteReference w:id="28"/>
            </w:r>
          </w:p>
        </w:tc>
      </w:tr>
    </w:tbl>
    <w:p w14:paraId="6EBE75B4" w14:textId="55E01458" w:rsidR="00DB2B1C" w:rsidRDefault="00DB2B1C" w:rsidP="005D0D5E">
      <w:pPr>
        <w:pStyle w:val="Paragraph"/>
        <w:spacing w:before="240"/>
      </w:pPr>
      <w:r w:rsidRPr="00DD7429">
        <w:t xml:space="preserve">Consumer losses are almost certainly under-reported as many victims are embarrassed by falling victim to scams. </w:t>
      </w:r>
      <w:r>
        <w:t>Scam v</w:t>
      </w:r>
      <w:r w:rsidRPr="00A4437C">
        <w:t xml:space="preserve">ictims </w:t>
      </w:r>
      <w:r>
        <w:t xml:space="preserve">may </w:t>
      </w:r>
      <w:r w:rsidRPr="00A4437C">
        <w:t>report their experiences</w:t>
      </w:r>
      <w:r w:rsidR="0058495F">
        <w:t xml:space="preserve"> in many ways – from</w:t>
      </w:r>
      <w:r>
        <w:t xml:space="preserve"> </w:t>
      </w:r>
      <w:r w:rsidRPr="00A4437C">
        <w:t>discussing what occurred with family an</w:t>
      </w:r>
      <w:r w:rsidRPr="00B53BBB">
        <w:t>d friends</w:t>
      </w:r>
      <w:r w:rsidR="0058495F" w:rsidRPr="007208F4">
        <w:t>,</w:t>
      </w:r>
      <w:r w:rsidRPr="00B53BBB">
        <w:t xml:space="preserve"> through to rep</w:t>
      </w:r>
      <w:r w:rsidRPr="00A4437C">
        <w:t>orting to consumer protection agencies and business organisations, and to official reporting to police and regulators</w:t>
      </w:r>
      <w:r>
        <w:t xml:space="preserve">. Victims </w:t>
      </w:r>
      <w:r w:rsidRPr="000A35F2">
        <w:t>may report to one or all the government or consumer agencies that take reports</w:t>
      </w:r>
      <w:r w:rsidR="0058495F">
        <w:t xml:space="preserve">, </w:t>
      </w:r>
      <w:r w:rsidRPr="000A35F2">
        <w:t>such as the ACMA, ACCC, Telecommunications Industry Ombudsman (TIO), IDCARE</w:t>
      </w:r>
      <w:r>
        <w:rPr>
          <w:rStyle w:val="FootnoteReference"/>
        </w:rPr>
        <w:footnoteReference w:id="29"/>
      </w:r>
      <w:r w:rsidRPr="000A35F2">
        <w:t xml:space="preserve"> and the Australian Cyber Security Centre (ACSC).</w:t>
      </w:r>
      <w:r>
        <w:rPr>
          <w:rStyle w:val="FootnoteReference"/>
        </w:rPr>
        <w:footnoteReference w:id="30"/>
      </w:r>
      <w:r>
        <w:t xml:space="preserve"> Or victims </w:t>
      </w:r>
      <w:r w:rsidRPr="00A4437C">
        <w:t>can be so overwhelmed by the available options that they decide to do nothing, and ‘exit’ the painful experience without reporting at all.</w:t>
      </w:r>
      <w:r w:rsidRPr="00327692">
        <w:rPr>
          <w:rStyle w:val="FootnoteReference"/>
        </w:rPr>
        <w:t xml:space="preserve"> </w:t>
      </w:r>
      <w:r>
        <w:rPr>
          <w:rStyle w:val="FootnoteReference"/>
        </w:rPr>
        <w:footnoteReference w:id="31"/>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6585"/>
      </w:tblGrid>
      <w:tr w:rsidR="00CF1B8D" w14:paraId="2814AD4C" w14:textId="77777777" w:rsidTr="00CF1B8D">
        <w:tc>
          <w:tcPr>
            <w:tcW w:w="851" w:type="dxa"/>
          </w:tcPr>
          <w:p w14:paraId="5B1CDD1A" w14:textId="7A9A53DD" w:rsidR="00CF1B8D" w:rsidRDefault="00CF1B8D" w:rsidP="00EC7D20">
            <w:pPr>
              <w:pStyle w:val="Paragraph"/>
              <w:keepNext/>
              <w:keepLines/>
              <w:spacing w:after="0"/>
            </w:pPr>
            <w:r w:rsidRPr="003A0B11">
              <w:rPr>
                <w:noProof/>
                <w:color w:val="215868" w:themeColor="accent5" w:themeShade="80"/>
              </w:rPr>
              <w:lastRenderedPageBreak/>
              <w:drawing>
                <wp:inline distT="0" distB="0" distL="0" distR="0" wp14:anchorId="0D904737" wp14:editId="1EFCC046">
                  <wp:extent cx="550800" cy="367200"/>
                  <wp:effectExtent l="0" t="0" r="1905" b="0"/>
                  <wp:docPr id="8" name="Graphic 8" descr="Right pointing backhand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Right pointing backhand index"/>
                          <pic:cNvPicPr/>
                        </pic:nvPicPr>
                        <pic:blipFill rotWithShape="1">
                          <a:blip r:embed="rId28">
                            <a:extLst>
                              <a:ext uri="{96DAC541-7B7A-43D3-8B79-37D633B846F1}">
                                <asvg:svgBlip xmlns:asvg="http://schemas.microsoft.com/office/drawing/2016/SVG/main" r:embed="rId29"/>
                              </a:ext>
                            </a:extLst>
                          </a:blip>
                          <a:srcRect t="16667" b="16667"/>
                          <a:stretch/>
                        </pic:blipFill>
                        <pic:spPr bwMode="auto">
                          <a:xfrm>
                            <a:off x="0" y="0"/>
                            <a:ext cx="550800" cy="367200"/>
                          </a:xfrm>
                          <a:prstGeom prst="rect">
                            <a:avLst/>
                          </a:prstGeom>
                          <a:ln>
                            <a:noFill/>
                          </a:ln>
                          <a:extLst>
                            <a:ext uri="{53640926-AAD7-44D8-BBD7-CCE9431645EC}">
                              <a14:shadowObscured xmlns:a14="http://schemas.microsoft.com/office/drawing/2010/main"/>
                            </a:ext>
                          </a:extLst>
                        </pic:spPr>
                      </pic:pic>
                    </a:graphicData>
                  </a:graphic>
                </wp:inline>
              </w:drawing>
            </w:r>
          </w:p>
        </w:tc>
        <w:tc>
          <w:tcPr>
            <w:tcW w:w="6810" w:type="dxa"/>
          </w:tcPr>
          <w:p w14:paraId="7D5B067C" w14:textId="65C77BCF" w:rsidR="00CF1B8D" w:rsidRPr="00CF1B8D" w:rsidRDefault="00CF1B8D" w:rsidP="00EC7D20">
            <w:pPr>
              <w:pStyle w:val="Paragraph"/>
              <w:keepNext/>
              <w:keepLines/>
              <w:spacing w:after="0"/>
              <w:rPr>
                <w:iCs/>
                <w:color w:val="215868" w:themeColor="accent5" w:themeShade="80"/>
              </w:rPr>
            </w:pPr>
            <w:r w:rsidRPr="003A0B11">
              <w:rPr>
                <w:color w:val="215868" w:themeColor="accent5" w:themeShade="80"/>
              </w:rPr>
              <w:t>Around 33% of people who had lost money to scams in the previous 5 years did not report that loss to any organisation – resulting in financial losses to scams being grossly understated.</w:t>
            </w:r>
            <w:r w:rsidRPr="003A0B11">
              <w:rPr>
                <w:color w:val="215868" w:themeColor="accent5" w:themeShade="80"/>
                <w:vertAlign w:val="superscript"/>
              </w:rPr>
              <w:footnoteReference w:id="32"/>
            </w:r>
            <w:r w:rsidRPr="003A0B11">
              <w:rPr>
                <w:iCs/>
                <w:color w:val="215868" w:themeColor="accent5" w:themeShade="80"/>
              </w:rPr>
              <w:t xml:space="preserve"> </w:t>
            </w:r>
          </w:p>
        </w:tc>
      </w:tr>
    </w:tbl>
    <w:p w14:paraId="40004832" w14:textId="77777777" w:rsidR="00DB2B1C" w:rsidRDefault="00DB2B1C" w:rsidP="005D0D5E">
      <w:pPr>
        <w:pStyle w:val="Paragraph"/>
        <w:keepNext/>
        <w:keepLines/>
        <w:spacing w:before="240"/>
      </w:pPr>
      <w:r w:rsidRPr="00D23354">
        <w:t xml:space="preserve">This means the true scale of </w:t>
      </w:r>
      <w:r>
        <w:t xml:space="preserve">the impact of </w:t>
      </w:r>
      <w:r w:rsidRPr="00D23354">
        <w:t xml:space="preserve">scams in Australia is likely far higher than thought because </w:t>
      </w:r>
      <w:r>
        <w:t xml:space="preserve">a third of all scams </w:t>
      </w:r>
      <w:r w:rsidRPr="00D23354">
        <w:t>go unreported</w:t>
      </w:r>
      <w:r>
        <w:t xml:space="preserve"> to any organisation</w:t>
      </w:r>
      <w:r w:rsidRPr="00D23354">
        <w:t>.</w:t>
      </w:r>
    </w:p>
    <w:p w14:paraId="65DE6ACC" w14:textId="77777777" w:rsidR="00DB2B1C" w:rsidRPr="000A35F2" w:rsidRDefault="00DB2B1C" w:rsidP="00DB2B1C">
      <w:pPr>
        <w:pStyle w:val="Paragraph"/>
      </w:pPr>
      <w:r>
        <w:t>In addition, t</w:t>
      </w:r>
      <w:r w:rsidRPr="00B449C7">
        <w:t>here is no uniform terminology when it comes to scams. Government agencies and other organisations all use different terms to describe different types of scams, which can make comparing data challenging.</w:t>
      </w:r>
      <w:r>
        <w:rPr>
          <w:rStyle w:val="FootnoteReference"/>
        </w:rPr>
        <w:footnoteReference w:id="33"/>
      </w:r>
      <w:r w:rsidRPr="00B449C7">
        <w:t xml:space="preserve"> </w:t>
      </w:r>
    </w:p>
    <w:p w14:paraId="20B3FCA3" w14:textId="77777777" w:rsidR="00DB2B1C" w:rsidRDefault="00DB2B1C" w:rsidP="00DB2B1C">
      <w:pPr>
        <w:pStyle w:val="Paragraph"/>
      </w:pPr>
      <w:r w:rsidRPr="000A35F2">
        <w:t>As the telecommunications regulator, the ACMA’s focus is identifying and addressing solutions to voice and/or robocall phone scams received by Australians on their fixed-line or mobile phone.</w:t>
      </w:r>
    </w:p>
    <w:p w14:paraId="33EFBB9A" w14:textId="165E8FE1" w:rsidR="00DB2B1C" w:rsidRDefault="00DB2B1C" w:rsidP="00DB2B1C">
      <w:pPr>
        <w:pStyle w:val="Paragraph"/>
        <w:rPr>
          <w:rFonts w:cs="Times New Roman"/>
        </w:rPr>
      </w:pPr>
      <w:r w:rsidRPr="00B379B3">
        <w:rPr>
          <w:rFonts w:cs="Times New Roman"/>
        </w:rPr>
        <w:t xml:space="preserve">Businesses, especially small to medium-sized businesses, face all the same scam risks as individuals. However, several scams specifically target businesses. The most common of these </w:t>
      </w:r>
      <w:r>
        <w:rPr>
          <w:rFonts w:cs="Times New Roman"/>
        </w:rPr>
        <w:t>reported to Scamwatch are</w:t>
      </w:r>
      <w:r w:rsidRPr="00B379B3">
        <w:rPr>
          <w:rFonts w:cs="Times New Roman"/>
        </w:rPr>
        <w:t xml:space="preserve"> false billing and phishing scams</w:t>
      </w:r>
      <w:r w:rsidR="00E26A27">
        <w:rPr>
          <w:rFonts w:cs="Times New Roman"/>
        </w:rPr>
        <w:t>,</w:t>
      </w:r>
      <w:r>
        <w:rPr>
          <w:rFonts w:cs="Times New Roman"/>
        </w:rPr>
        <w:t xml:space="preserve"> while</w:t>
      </w:r>
      <w:r w:rsidRPr="007A5F36">
        <w:rPr>
          <w:rFonts w:cs="Times New Roman"/>
        </w:rPr>
        <w:t xml:space="preserve"> </w:t>
      </w:r>
      <w:r>
        <w:rPr>
          <w:rFonts w:cs="Times New Roman"/>
        </w:rPr>
        <w:t>b</w:t>
      </w:r>
      <w:r w:rsidRPr="007A5F36">
        <w:rPr>
          <w:rFonts w:cs="Times New Roman"/>
        </w:rPr>
        <w:t>usiness email compromise scams are the most financially harmful scam affecting Australian businesses.</w:t>
      </w:r>
      <w:r>
        <w:rPr>
          <w:rStyle w:val="FootnoteReference"/>
          <w:rFonts w:cs="Times New Roman"/>
        </w:rPr>
        <w:footnoteReference w:id="34"/>
      </w:r>
    </w:p>
    <w:p w14:paraId="0EFCDA3D" w14:textId="54CAD8CF" w:rsidR="00DB2B1C" w:rsidRDefault="00DB2B1C" w:rsidP="00DB2B1C">
      <w:pPr>
        <w:pStyle w:val="Paragraph"/>
        <w:rPr>
          <w:rFonts w:cs="Times New Roman"/>
        </w:rPr>
      </w:pPr>
      <w:r>
        <w:rPr>
          <w:rFonts w:cs="Times New Roman"/>
        </w:rPr>
        <w:t xml:space="preserve">In 2019, </w:t>
      </w:r>
      <w:r w:rsidRPr="00FF4667">
        <w:rPr>
          <w:rFonts w:cs="Times New Roman"/>
        </w:rPr>
        <w:t xml:space="preserve">Scamwatch data indicates </w:t>
      </w:r>
      <w:r>
        <w:rPr>
          <w:rFonts w:cs="Times New Roman"/>
        </w:rPr>
        <w:t xml:space="preserve">the </w:t>
      </w:r>
      <w:r w:rsidRPr="00FF4667">
        <w:rPr>
          <w:rFonts w:cs="Times New Roman"/>
        </w:rPr>
        <w:t xml:space="preserve">greatest losses by type of scam </w:t>
      </w:r>
      <w:r>
        <w:rPr>
          <w:rFonts w:cs="Times New Roman"/>
        </w:rPr>
        <w:t xml:space="preserve">was business </w:t>
      </w:r>
      <w:r>
        <w:t>–</w:t>
      </w:r>
      <w:r>
        <w:rPr>
          <w:rFonts w:cs="Times New Roman"/>
        </w:rPr>
        <w:t xml:space="preserve"> with</w:t>
      </w:r>
      <w:r w:rsidRPr="00FF4667">
        <w:rPr>
          <w:rFonts w:cs="Times New Roman"/>
        </w:rPr>
        <w:t xml:space="preserve"> combined losses of $132 million.</w:t>
      </w:r>
      <w:r>
        <w:rPr>
          <w:rStyle w:val="FootnoteReference"/>
          <w:rFonts w:cs="Times New Roman"/>
        </w:rPr>
        <w:footnoteReference w:id="35"/>
      </w:r>
      <w:r>
        <w:rPr>
          <w:rFonts w:cs="Times New Roman"/>
        </w:rPr>
        <w:t xml:space="preserve"> However, the </w:t>
      </w:r>
      <w:r w:rsidRPr="00B379B3">
        <w:rPr>
          <w:rFonts w:cs="Times New Roman"/>
        </w:rPr>
        <w:t xml:space="preserve">losses </w:t>
      </w:r>
      <w:r>
        <w:rPr>
          <w:rFonts w:cs="Times New Roman"/>
        </w:rPr>
        <w:t xml:space="preserve">reported directly to Scamwatch </w:t>
      </w:r>
      <w:r w:rsidRPr="00B379B3">
        <w:rPr>
          <w:rFonts w:cs="Times New Roman"/>
        </w:rPr>
        <w:t>dropped by 27</w:t>
      </w:r>
      <w:r>
        <w:rPr>
          <w:rFonts w:cs="Times New Roman"/>
        </w:rPr>
        <w:t>% in 2019</w:t>
      </w:r>
      <w:r w:rsidR="00E26A27">
        <w:rPr>
          <w:rFonts w:cs="Times New Roman"/>
        </w:rPr>
        <w:t xml:space="preserve">, </w:t>
      </w:r>
      <w:r>
        <w:rPr>
          <w:rFonts w:cs="Times New Roman"/>
        </w:rPr>
        <w:t>which could be because b</w:t>
      </w:r>
      <w:r w:rsidRPr="00B379B3">
        <w:rPr>
          <w:rFonts w:cs="Times New Roman"/>
        </w:rPr>
        <w:t xml:space="preserve">usinesses that sustain substantial losses from scams are likely to report the matter directly to </w:t>
      </w:r>
      <w:r>
        <w:rPr>
          <w:rFonts w:cs="Times New Roman"/>
        </w:rPr>
        <w:t xml:space="preserve">the </w:t>
      </w:r>
      <w:r w:rsidRPr="00B379B3">
        <w:rPr>
          <w:rFonts w:cs="Times New Roman"/>
        </w:rPr>
        <w:t xml:space="preserve">police and/or their banks.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6585"/>
      </w:tblGrid>
      <w:tr w:rsidR="00CF1B8D" w14:paraId="742D0FA5" w14:textId="77777777" w:rsidTr="007337B9">
        <w:tc>
          <w:tcPr>
            <w:tcW w:w="851" w:type="dxa"/>
          </w:tcPr>
          <w:p w14:paraId="610DF6E1" w14:textId="77777777" w:rsidR="00CF1B8D" w:rsidRDefault="00CF1B8D" w:rsidP="007337B9">
            <w:pPr>
              <w:pStyle w:val="Paragraph"/>
              <w:spacing w:after="0"/>
            </w:pPr>
            <w:r w:rsidRPr="003A0B11">
              <w:rPr>
                <w:noProof/>
                <w:color w:val="215868" w:themeColor="accent5" w:themeShade="80"/>
              </w:rPr>
              <w:drawing>
                <wp:inline distT="0" distB="0" distL="0" distR="0" wp14:anchorId="7FBE30BD" wp14:editId="15054264">
                  <wp:extent cx="550800" cy="367200"/>
                  <wp:effectExtent l="0" t="0" r="1905" b="0"/>
                  <wp:docPr id="13" name="Graphic 13" descr="Right pointing backhand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Right pointing backhand index"/>
                          <pic:cNvPicPr/>
                        </pic:nvPicPr>
                        <pic:blipFill rotWithShape="1">
                          <a:blip r:embed="rId28">
                            <a:extLst>
                              <a:ext uri="{96DAC541-7B7A-43D3-8B79-37D633B846F1}">
                                <asvg:svgBlip xmlns:asvg="http://schemas.microsoft.com/office/drawing/2016/SVG/main" r:embed="rId29"/>
                              </a:ext>
                            </a:extLst>
                          </a:blip>
                          <a:srcRect t="16667" b="16667"/>
                          <a:stretch/>
                        </pic:blipFill>
                        <pic:spPr bwMode="auto">
                          <a:xfrm>
                            <a:off x="0" y="0"/>
                            <a:ext cx="550800" cy="367200"/>
                          </a:xfrm>
                          <a:prstGeom prst="rect">
                            <a:avLst/>
                          </a:prstGeom>
                          <a:ln>
                            <a:noFill/>
                          </a:ln>
                          <a:extLst>
                            <a:ext uri="{53640926-AAD7-44D8-BBD7-CCE9431645EC}">
                              <a14:shadowObscured xmlns:a14="http://schemas.microsoft.com/office/drawing/2010/main"/>
                            </a:ext>
                          </a:extLst>
                        </pic:spPr>
                      </pic:pic>
                    </a:graphicData>
                  </a:graphic>
                </wp:inline>
              </w:drawing>
            </w:r>
          </w:p>
        </w:tc>
        <w:tc>
          <w:tcPr>
            <w:tcW w:w="6810" w:type="dxa"/>
          </w:tcPr>
          <w:p w14:paraId="6FC503BB" w14:textId="429A0184" w:rsidR="00CF1B8D" w:rsidRPr="00EC7D20" w:rsidRDefault="00EC7D20" w:rsidP="005D0D5E">
            <w:pPr>
              <w:pStyle w:val="Paragraph"/>
              <w:spacing w:after="120"/>
              <w:rPr>
                <w:color w:val="215868" w:themeColor="accent5" w:themeShade="80"/>
              </w:rPr>
            </w:pPr>
            <w:r w:rsidRPr="003A0B11">
              <w:rPr>
                <w:color w:val="215868" w:themeColor="accent5" w:themeShade="80"/>
              </w:rPr>
              <w:t>For the 92 businesses that did report losing money from scams via phones, losses totalled over $1.1 million, with an average loss of $11,957.</w:t>
            </w:r>
          </w:p>
        </w:tc>
      </w:tr>
    </w:tbl>
    <w:p w14:paraId="4AFB3B68" w14:textId="08313FA0" w:rsidR="00DB2B1C" w:rsidRPr="003708DF" w:rsidRDefault="00DB2B1C" w:rsidP="00EC7D20">
      <w:pPr>
        <w:pStyle w:val="Paragraph"/>
        <w:spacing w:before="120"/>
      </w:pPr>
      <w:r>
        <w:t>Alongside financial losses from scams, i</w:t>
      </w:r>
      <w:r w:rsidRPr="003708DF">
        <w:t>dentity crime continues to affect a large number of Australians, as well as businesses and government agencies. The estimated direct and indirect cost of identity crime in Australia in 2018–19 was $3.</w:t>
      </w:r>
      <w:r w:rsidR="00E26A27" w:rsidRPr="003708DF">
        <w:t>1</w:t>
      </w:r>
      <w:r w:rsidR="00E26A27">
        <w:t> </w:t>
      </w:r>
      <w:r w:rsidRPr="003708DF">
        <w:t>b</w:t>
      </w:r>
      <w:r>
        <w:t>illion</w:t>
      </w:r>
      <w:r w:rsidRPr="003708DF">
        <w:t xml:space="preserve"> –</w:t>
      </w:r>
      <w:r w:rsidR="00E26A27">
        <w:t xml:space="preserve"> an increase of </w:t>
      </w:r>
      <w:r w:rsidRPr="003708DF">
        <w:t xml:space="preserve">17% </w:t>
      </w:r>
      <w:r w:rsidR="00E26A27">
        <w:t>from</w:t>
      </w:r>
      <w:r w:rsidRPr="003708DF">
        <w:t xml:space="preserve"> 2015</w:t>
      </w:r>
      <w:r w:rsidR="003A0B11" w:rsidRPr="003708DF">
        <w:t>–</w:t>
      </w:r>
      <w:r w:rsidRPr="003708DF">
        <w:t>16.</w:t>
      </w:r>
      <w:r w:rsidRPr="003708DF">
        <w:rPr>
          <w:vertAlign w:val="superscript"/>
        </w:rPr>
        <w:footnoteReference w:id="36"/>
      </w:r>
    </w:p>
    <w:p w14:paraId="2322ECA2" w14:textId="2E892D89" w:rsidR="00DB2B1C" w:rsidRPr="00E15168" w:rsidRDefault="00DB2B1C" w:rsidP="00DB2B1C">
      <w:pPr>
        <w:pStyle w:val="Paragraph"/>
      </w:pPr>
      <w:r>
        <w:rPr>
          <w:rFonts w:cs="Times New Roman"/>
        </w:rPr>
        <w:t>Consumers</w:t>
      </w:r>
      <w:r w:rsidRPr="00906621">
        <w:t xml:space="preserve"> who are the victim of identity theft typically suffer both financial loss and psychological harms</w:t>
      </w:r>
      <w:r w:rsidR="00E26A27">
        <w:t>.</w:t>
      </w:r>
      <w:r>
        <w:t xml:space="preserve"> </w:t>
      </w:r>
      <w:r w:rsidR="00E26A27">
        <w:t>T</w:t>
      </w:r>
      <w:r w:rsidRPr="00906621">
        <w:t>he effects can be life-altering, impacting health, emotional wellbeing, and relationships with others.</w:t>
      </w:r>
      <w:r w:rsidRPr="00906621">
        <w:rPr>
          <w:vertAlign w:val="superscript"/>
        </w:rPr>
        <w:footnoteReference w:id="37"/>
      </w:r>
    </w:p>
    <w:p w14:paraId="0DDCD341" w14:textId="27DE9345" w:rsidR="00DB2B1C" w:rsidRDefault="00DB2B1C" w:rsidP="00DB2B1C">
      <w:pPr>
        <w:pStyle w:val="Paragraph"/>
      </w:pPr>
      <w:r w:rsidRPr="005C1FCE">
        <w:t xml:space="preserve">IDCARE found that its clients took, on average, 33.7 days to detect the compromise of their personal information. In comparison, it took only </w:t>
      </w:r>
      <w:r w:rsidR="00E26A27">
        <w:t xml:space="preserve">an average of </w:t>
      </w:r>
      <w:r w:rsidRPr="005C1FCE">
        <w:t>6.9 days from the initial theft of personal and account information for criminals to commit multiple identity crimes with that information.</w:t>
      </w:r>
      <w:r>
        <w:rPr>
          <w:rStyle w:val="FootnoteReference"/>
        </w:rPr>
        <w:footnoteReference w:id="38"/>
      </w:r>
      <w:r w:rsidRPr="005C1FCE">
        <w:t xml:space="preserve"> </w:t>
      </w:r>
      <w:r w:rsidRPr="00F44600">
        <w:t>In figures for 2017–18, IDCARE estimated that an average of 32 hours is spent by customers to address identity theft.</w:t>
      </w:r>
      <w:r w:rsidRPr="00F44600">
        <w:rPr>
          <w:vertAlign w:val="superscript"/>
        </w:rPr>
        <w:footnoteReference w:id="39"/>
      </w:r>
      <w:r w:rsidRPr="00F44600">
        <w:t xml:space="preserve"> </w:t>
      </w:r>
      <w:r w:rsidRPr="00077907">
        <w:t xml:space="preserve">These figures do </w:t>
      </w:r>
      <w:r w:rsidRPr="00077907">
        <w:lastRenderedPageBreak/>
        <w:t>not include lost productivity</w:t>
      </w:r>
      <w:r w:rsidR="00E26A27">
        <w:t>,</w:t>
      </w:r>
      <w:r w:rsidRPr="00077907">
        <w:t xml:space="preserve"> where a customer has taken time off work to address identity theft</w:t>
      </w:r>
      <w:r>
        <w:t>. T</w:t>
      </w:r>
      <w:r w:rsidRPr="00E15168">
        <w:t xml:space="preserve">he emotional distress caused by scams can also be devastating. </w:t>
      </w:r>
    </w:p>
    <w:p w14:paraId="6BA11444" w14:textId="5301772B" w:rsidR="00DB2B1C" w:rsidRPr="00E15168" w:rsidRDefault="00DB2B1C" w:rsidP="00B53BBB">
      <w:pPr>
        <w:pStyle w:val="Paragraph"/>
        <w:keepNext/>
        <w:keepLines/>
        <w:spacing w:after="120"/>
      </w:pPr>
      <w:r w:rsidRPr="00E15168">
        <w:t xml:space="preserve">As support charity Life After Scams states: </w:t>
      </w:r>
    </w:p>
    <w:p w14:paraId="1D9362A0" w14:textId="77777777" w:rsidR="00DB2B1C" w:rsidRDefault="00DB2B1C" w:rsidP="00B53BBB">
      <w:pPr>
        <w:pStyle w:val="Paragraph"/>
        <w:keepNext/>
        <w:keepLines/>
        <w:ind w:left="720"/>
      </w:pPr>
      <w:r w:rsidRPr="00B235D1">
        <w:rPr>
          <w:sz w:val="18"/>
          <w:szCs w:val="18"/>
        </w:rPr>
        <w:t>Behind these mind-boggling statistics are real human beings, who are crippled by debt, traumatised by their ordeal and stuck wondering how to rebuild their lives.</w:t>
      </w:r>
      <w:r>
        <w:rPr>
          <w:rStyle w:val="FootnoteReference"/>
        </w:rPr>
        <w:footnoteReference w:id="40"/>
      </w:r>
    </w:p>
    <w:p w14:paraId="3A3B5996" w14:textId="501757BE" w:rsidR="00DB2B1C" w:rsidRDefault="00DB2B1C" w:rsidP="00DB2B1C">
      <w:pPr>
        <w:pStyle w:val="Paragraph"/>
        <w:rPr>
          <w:iCs/>
        </w:rPr>
      </w:pPr>
      <w:r w:rsidRPr="0023215F">
        <w:rPr>
          <w:iCs/>
        </w:rPr>
        <w:t xml:space="preserve">The government’s policy objective is to </w:t>
      </w:r>
      <w:r>
        <w:rPr>
          <w:iCs/>
        </w:rPr>
        <w:t>reduce</w:t>
      </w:r>
      <w:r w:rsidRPr="0023215F">
        <w:rPr>
          <w:iCs/>
        </w:rPr>
        <w:t xml:space="preserve"> scam calls occurring</w:t>
      </w:r>
      <w:r w:rsidR="00E10A23">
        <w:rPr>
          <w:iCs/>
        </w:rPr>
        <w:t xml:space="preserve">, </w:t>
      </w:r>
      <w:r w:rsidRPr="0023215F">
        <w:rPr>
          <w:iCs/>
        </w:rPr>
        <w:t xml:space="preserve">given the </w:t>
      </w:r>
      <w:r w:rsidR="00E10A23" w:rsidRPr="0023215F">
        <w:rPr>
          <w:iCs/>
        </w:rPr>
        <w:t xml:space="preserve">significant </w:t>
      </w:r>
      <w:r w:rsidRPr="0023215F">
        <w:rPr>
          <w:iCs/>
        </w:rPr>
        <w:t>potential for consumer harm.</w:t>
      </w:r>
      <w:r>
        <w:rPr>
          <w:iCs/>
        </w:rPr>
        <w:t xml:space="preserve"> Scam</w:t>
      </w:r>
      <w:r w:rsidRPr="00D60999">
        <w:rPr>
          <w:iCs/>
        </w:rPr>
        <w:t xml:space="preserve"> activity impacts directly on the financial and emotional wellbeing of many Australians. It also undermines confidence in our telecommunications services. In this sense, </w:t>
      </w:r>
      <w:r>
        <w:rPr>
          <w:iCs/>
        </w:rPr>
        <w:t>C/CSP</w:t>
      </w:r>
      <w:r w:rsidRPr="00D60999">
        <w:rPr>
          <w:iCs/>
        </w:rPr>
        <w:t xml:space="preserve">s and the broader community </w:t>
      </w:r>
      <w:r>
        <w:rPr>
          <w:iCs/>
        </w:rPr>
        <w:t xml:space="preserve">(beyond victims of scams themselves) </w:t>
      </w:r>
      <w:r w:rsidRPr="00D60999">
        <w:rPr>
          <w:iCs/>
        </w:rPr>
        <w:t>are also impacted by scam activity, even where they have not been direct</w:t>
      </w:r>
      <w:r>
        <w:rPr>
          <w:iCs/>
        </w:rPr>
        <w:t>ly</w:t>
      </w:r>
      <w:r w:rsidRPr="00D60999">
        <w:rPr>
          <w:iCs/>
        </w:rPr>
        <w:t xml:space="preserve"> </w:t>
      </w:r>
      <w:r>
        <w:rPr>
          <w:iCs/>
        </w:rPr>
        <w:t>involved in a scam</w:t>
      </w:r>
      <w:r w:rsidRPr="00D60999">
        <w:rPr>
          <w:iCs/>
        </w:rPr>
        <w:t>.</w:t>
      </w:r>
    </w:p>
    <w:p w14:paraId="11E89195" w14:textId="77777777" w:rsidR="00DB2B1C" w:rsidRPr="00A7032A" w:rsidRDefault="00DB2B1C" w:rsidP="00DB2B1C">
      <w:pPr>
        <w:pStyle w:val="Heading1"/>
      </w:pPr>
      <w:bookmarkStart w:id="38" w:name="_Toc55546902"/>
      <w:bookmarkStart w:id="39" w:name="_Toc56092938"/>
      <w:r w:rsidRPr="00A7032A">
        <w:lastRenderedPageBreak/>
        <w:t>2.</w:t>
      </w:r>
      <w:r w:rsidRPr="00A7032A">
        <w:tab/>
        <w:t>Why is government action needed?</w:t>
      </w:r>
      <w:bookmarkEnd w:id="17"/>
      <w:bookmarkEnd w:id="18"/>
      <w:bookmarkEnd w:id="19"/>
      <w:bookmarkEnd w:id="20"/>
      <w:bookmarkEnd w:id="38"/>
      <w:bookmarkEnd w:id="39"/>
    </w:p>
    <w:p w14:paraId="2225BC8D" w14:textId="33FC68FC" w:rsidR="00DB2B1C" w:rsidRPr="007B73B4" w:rsidRDefault="00DB2B1C" w:rsidP="00B53BBB">
      <w:pPr>
        <w:pStyle w:val="Paragraph"/>
      </w:pPr>
      <w:r w:rsidRPr="007B73B4">
        <w:t xml:space="preserve">Australians rely on </w:t>
      </w:r>
      <w:r>
        <w:t>tele</w:t>
      </w:r>
      <w:r w:rsidRPr="007B73B4">
        <w:t>communications network</w:t>
      </w:r>
      <w:r>
        <w:t>s</w:t>
      </w:r>
      <w:r w:rsidRPr="007B73B4">
        <w:t xml:space="preserve"> to access information and essential services. In the past decade</w:t>
      </w:r>
      <w:r w:rsidR="003E7D80">
        <w:t>,</w:t>
      </w:r>
      <w:r w:rsidRPr="007B73B4">
        <w:t xml:space="preserve"> developments in digital products and services have reshaped business models, global markets, consumer experience and expectations.</w:t>
      </w:r>
    </w:p>
    <w:p w14:paraId="1CBF2246" w14:textId="77777777" w:rsidR="00DB2B1C" w:rsidRPr="00F9518D" w:rsidRDefault="00DB2B1C" w:rsidP="00B53BBB">
      <w:pPr>
        <w:pStyle w:val="Paragraph"/>
      </w:pPr>
      <w:r w:rsidRPr="00BB555A">
        <w:t xml:space="preserve">Emerging technologies have also resulted in </w:t>
      </w:r>
      <w:r>
        <w:t>a greater</w:t>
      </w:r>
      <w:r w:rsidRPr="00BB555A">
        <w:t xml:space="preserve"> consumer expectation </w:t>
      </w:r>
      <w:r>
        <w:t>that</w:t>
      </w:r>
      <w:r w:rsidRPr="00BB555A">
        <w:t xml:space="preserve"> access to those technologies and services</w:t>
      </w:r>
      <w:r>
        <w:t xml:space="preserve"> is</w:t>
      </w:r>
      <w:r w:rsidRPr="00BB555A">
        <w:t xml:space="preserve"> appropriately safeguarded from harms.</w:t>
      </w:r>
    </w:p>
    <w:p w14:paraId="6B92A1FB" w14:textId="28F24AF7" w:rsidR="00DB2B1C" w:rsidRDefault="00DB2B1C" w:rsidP="00DB2B1C">
      <w:pPr>
        <w:pStyle w:val="Paragraph"/>
        <w:rPr>
          <w:szCs w:val="20"/>
        </w:rPr>
      </w:pPr>
      <w:r w:rsidRPr="00F9518D">
        <w:rPr>
          <w:szCs w:val="20"/>
        </w:rPr>
        <w:t>Consultation with the tel</w:t>
      </w:r>
      <w:r>
        <w:rPr>
          <w:szCs w:val="20"/>
        </w:rPr>
        <w:t>e</w:t>
      </w:r>
      <w:r w:rsidRPr="00F9518D">
        <w:rPr>
          <w:szCs w:val="20"/>
        </w:rPr>
        <w:t>co</w:t>
      </w:r>
      <w:r>
        <w:rPr>
          <w:szCs w:val="20"/>
        </w:rPr>
        <w:t>mmunications</w:t>
      </w:r>
      <w:r w:rsidRPr="00F9518D">
        <w:rPr>
          <w:szCs w:val="20"/>
        </w:rPr>
        <w:t xml:space="preserve"> industry has indicated a range of </w:t>
      </w:r>
      <w:r>
        <w:rPr>
          <w:szCs w:val="20"/>
        </w:rPr>
        <w:t>C/CSP</w:t>
      </w:r>
      <w:r w:rsidRPr="00F9518D">
        <w:rPr>
          <w:szCs w:val="20"/>
        </w:rPr>
        <w:t xml:space="preserve">-level scam reduction activities are undertaken on a regular basis. These </w:t>
      </w:r>
      <w:r w:rsidR="003E7D80">
        <w:rPr>
          <w:szCs w:val="20"/>
        </w:rPr>
        <w:t>involve</w:t>
      </w:r>
      <w:r w:rsidRPr="00F9518D">
        <w:rPr>
          <w:szCs w:val="20"/>
        </w:rPr>
        <w:t xml:space="preserve"> blocking scam calls where they can be verified, primarily via customer complaints indicating calls are scam activity.</w:t>
      </w:r>
    </w:p>
    <w:p w14:paraId="735D101E" w14:textId="249804C0" w:rsidR="00DB2B1C" w:rsidRDefault="00DB2B1C" w:rsidP="00DB2B1C">
      <w:pPr>
        <w:pStyle w:val="Paragraph"/>
        <w:rPr>
          <w:szCs w:val="20"/>
        </w:rPr>
      </w:pPr>
      <w:r w:rsidRPr="00F9518D">
        <w:rPr>
          <w:szCs w:val="20"/>
        </w:rPr>
        <w:t xml:space="preserve">Some </w:t>
      </w:r>
      <w:r>
        <w:rPr>
          <w:szCs w:val="20"/>
        </w:rPr>
        <w:t>C/CSP</w:t>
      </w:r>
      <w:r w:rsidRPr="00F9518D">
        <w:rPr>
          <w:szCs w:val="20"/>
        </w:rPr>
        <w:t>s are undertaking innovative action arou</w:t>
      </w:r>
      <w:r w:rsidRPr="00F9518D">
        <w:rPr>
          <w:szCs w:val="20"/>
        </w:rPr>
        <w:t xml:space="preserve">nd disruption of specific scam call types, such as blocking Wangiri </w:t>
      </w:r>
      <w:bookmarkStart w:id="40" w:name="_Hlk53566980"/>
      <w:r w:rsidRPr="00F9518D">
        <w:rPr>
          <w:szCs w:val="20"/>
        </w:rPr>
        <w:t>call-back scam calls</w:t>
      </w:r>
      <w:r>
        <w:rPr>
          <w:szCs w:val="20"/>
        </w:rPr>
        <w:t xml:space="preserve">, </w:t>
      </w:r>
      <w:bookmarkEnd w:id="40"/>
      <w:r w:rsidRPr="007B6807">
        <w:rPr>
          <w:szCs w:val="20"/>
        </w:rPr>
        <w:t>identifying and blocking high volume call activity</w:t>
      </w:r>
      <w:r>
        <w:rPr>
          <w:szCs w:val="20"/>
        </w:rPr>
        <w:t xml:space="preserve"> and working with government agencies (like the Australian Tax Office) to reduce the impact of scams targeting the particular government brand.</w:t>
      </w:r>
      <w:r>
        <w:rPr>
          <w:rStyle w:val="FootnoteReference"/>
          <w:szCs w:val="20"/>
        </w:rPr>
        <w:footnoteReference w:id="41"/>
      </w:r>
    </w:p>
    <w:p w14:paraId="54404B81" w14:textId="61DC9BAD" w:rsidR="00DB2B1C" w:rsidRPr="00F9518D" w:rsidRDefault="00DB2B1C" w:rsidP="00DB2B1C">
      <w:pPr>
        <w:pStyle w:val="Paragraph"/>
        <w:rPr>
          <w:szCs w:val="20"/>
        </w:rPr>
      </w:pPr>
      <w:r w:rsidRPr="00F9518D">
        <w:rPr>
          <w:szCs w:val="20"/>
        </w:rPr>
        <w:t xml:space="preserve">While these </w:t>
      </w:r>
      <w:r>
        <w:rPr>
          <w:szCs w:val="20"/>
        </w:rPr>
        <w:t>C/CSP</w:t>
      </w:r>
      <w:r w:rsidRPr="00F9518D">
        <w:rPr>
          <w:szCs w:val="20"/>
        </w:rPr>
        <w:t xml:space="preserve">-level approaches are </w:t>
      </w:r>
      <w:r>
        <w:rPr>
          <w:szCs w:val="20"/>
        </w:rPr>
        <w:t>laudable</w:t>
      </w:r>
      <w:r w:rsidRPr="00F9518D">
        <w:rPr>
          <w:szCs w:val="20"/>
        </w:rPr>
        <w:t xml:space="preserve">, they are largely </w:t>
      </w:r>
      <w:r w:rsidRPr="003D1B76">
        <w:rPr>
          <w:szCs w:val="20"/>
        </w:rPr>
        <w:t>ad hoc</w:t>
      </w:r>
      <w:r w:rsidRPr="00F9518D">
        <w:rPr>
          <w:i/>
          <w:iCs/>
          <w:szCs w:val="20"/>
        </w:rPr>
        <w:t xml:space="preserve"> </w:t>
      </w:r>
      <w:r w:rsidRPr="00F9518D">
        <w:rPr>
          <w:szCs w:val="20"/>
        </w:rPr>
        <w:t>and relatively small scale</w:t>
      </w:r>
      <w:r w:rsidR="003E7D80">
        <w:rPr>
          <w:szCs w:val="20"/>
        </w:rPr>
        <w:t>,</w:t>
      </w:r>
      <w:r w:rsidRPr="00F9518D">
        <w:rPr>
          <w:szCs w:val="20"/>
        </w:rPr>
        <w:t xml:space="preserve"> given the volume of scam traffic </w:t>
      </w:r>
      <w:r>
        <w:rPr>
          <w:szCs w:val="20"/>
        </w:rPr>
        <w:t xml:space="preserve">reported as </w:t>
      </w:r>
      <w:r w:rsidRPr="00F9518D">
        <w:rPr>
          <w:szCs w:val="20"/>
        </w:rPr>
        <w:t xml:space="preserve">being carried on Australian telecommunication networks and the harm it causes. </w:t>
      </w:r>
      <w:r>
        <w:rPr>
          <w:szCs w:val="20"/>
        </w:rPr>
        <w:t xml:space="preserve">In addition, </w:t>
      </w:r>
      <w:r>
        <w:t>not</w:t>
      </w:r>
      <w:r w:rsidRPr="00AB679A">
        <w:t xml:space="preserve"> all </w:t>
      </w:r>
      <w:r>
        <w:t>providers</w:t>
      </w:r>
      <w:r w:rsidRPr="00AB679A">
        <w:t xml:space="preserve"> have acted to adopt </w:t>
      </w:r>
      <w:r>
        <w:t>measures</w:t>
      </w:r>
      <w:r w:rsidRPr="00AB679A">
        <w:t xml:space="preserve"> to </w:t>
      </w:r>
      <w:r>
        <w:t>reduce scam calls, a</w:t>
      </w:r>
      <w:r w:rsidRPr="00AB679A">
        <w:t xml:space="preserve">nd that gap creates </w:t>
      </w:r>
      <w:r>
        <w:t xml:space="preserve">further </w:t>
      </w:r>
      <w:r w:rsidRPr="00AB679A">
        <w:t>opportunit</w:t>
      </w:r>
      <w:r>
        <w:t>ies</w:t>
      </w:r>
      <w:r w:rsidRPr="00AB679A">
        <w:t xml:space="preserve"> for scammers</w:t>
      </w:r>
      <w:r w:rsidR="003E7D80">
        <w:t xml:space="preserve">, </w:t>
      </w:r>
      <w:r w:rsidRPr="00AB679A">
        <w:t xml:space="preserve">which has consequences for all </w:t>
      </w:r>
      <w:r>
        <w:t>consumer</w:t>
      </w:r>
      <w:r w:rsidRPr="00AB679A">
        <w:t>s.</w:t>
      </w:r>
    </w:p>
    <w:p w14:paraId="573708AA" w14:textId="75544569" w:rsidR="00B304DD" w:rsidRDefault="00DB2B1C" w:rsidP="00DB2B1C">
      <w:pPr>
        <w:pStyle w:val="Paragraph"/>
        <w:rPr>
          <w:noProof/>
        </w:rPr>
      </w:pPr>
      <w:r>
        <w:t>As the following ACCC data indicates, reports of scam activity have been increasing over the 10 years since 2010, demonstrating market failure. Government action is required to address the growing consumer detriment.</w:t>
      </w:r>
    </w:p>
    <w:p w14:paraId="4FEDDF68" w14:textId="068FD6FB" w:rsidR="00DB2B1C" w:rsidRDefault="00DB2B1C" w:rsidP="00DB2B1C">
      <w:pPr>
        <w:pStyle w:val="Paragraph"/>
      </w:pPr>
      <w:r>
        <w:rPr>
          <w:noProof/>
        </w:rPr>
        <w:drawing>
          <wp:inline distT="0" distB="0" distL="0" distR="0" wp14:anchorId="48088DC3" wp14:editId="2EF0F9F9">
            <wp:extent cx="5171100" cy="185310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31"/>
                    <a:srcRect t="3850" b="6070"/>
                    <a:stretch/>
                  </pic:blipFill>
                  <pic:spPr bwMode="auto">
                    <a:xfrm>
                      <a:off x="0" y="0"/>
                      <a:ext cx="5179945" cy="1856275"/>
                    </a:xfrm>
                    <a:prstGeom prst="rect">
                      <a:avLst/>
                    </a:prstGeom>
                    <a:ln>
                      <a:noFill/>
                    </a:ln>
                    <a:extLst>
                      <a:ext uri="{53640926-AAD7-44D8-BBD7-CCE9431645EC}">
                        <a14:shadowObscured xmlns:a14="http://schemas.microsoft.com/office/drawing/2010/main"/>
                      </a:ext>
                    </a:extLst>
                  </pic:spPr>
                </pic:pic>
              </a:graphicData>
            </a:graphic>
          </wp:inline>
        </w:drawing>
      </w:r>
    </w:p>
    <w:p w14:paraId="73A07743" w14:textId="35DD8DA5" w:rsidR="00DB2B1C" w:rsidRPr="00AB679A" w:rsidRDefault="00DB2B1C" w:rsidP="00B53BBB">
      <w:pPr>
        <w:pStyle w:val="Paragraph"/>
        <w:spacing w:before="360"/>
      </w:pPr>
      <w:r>
        <w:t>Putting</w:t>
      </w:r>
      <w:r w:rsidRPr="00B6438A">
        <w:t xml:space="preserve"> clear and enforceable information/data sharing obligations in place </w:t>
      </w:r>
      <w:r>
        <w:t xml:space="preserve">will support coordinated </w:t>
      </w:r>
      <w:r w:rsidRPr="00B6438A">
        <w:t>scam reduction initiatives</w:t>
      </w:r>
      <w:r>
        <w:t>.</w:t>
      </w:r>
      <w:r w:rsidRPr="00DF7103">
        <w:t xml:space="preserve"> </w:t>
      </w:r>
      <w:r>
        <w:t xml:space="preserve">Currently, it is generally easier for </w:t>
      </w:r>
      <w:r w:rsidR="007F3ECB">
        <w:t xml:space="preserve">C/CSPs </w:t>
      </w:r>
      <w:r>
        <w:t xml:space="preserve">to share information with a government agency than it is for </w:t>
      </w:r>
      <w:r w:rsidR="007F3ECB">
        <w:t>them</w:t>
      </w:r>
      <w:r>
        <w:t xml:space="preserve"> to share between each other. C/CSPs have obligations to protect information under the </w:t>
      </w:r>
      <w:r w:rsidRPr="00002EF3">
        <w:rPr>
          <w:i/>
          <w:iCs/>
        </w:rPr>
        <w:t>Privacy Act 1988</w:t>
      </w:r>
      <w:r>
        <w:t xml:space="preserve"> as well </w:t>
      </w:r>
      <w:r w:rsidR="007F3ECB">
        <w:t xml:space="preserve">as </w:t>
      </w:r>
      <w:r>
        <w:t>under Part 6 of the Act. C/CSPs also view the relationship with their customers as commercially sensitive and want to protect their customer base.</w:t>
      </w:r>
    </w:p>
    <w:p w14:paraId="6E0C476A" w14:textId="77777777" w:rsidR="00DB2B1C" w:rsidRPr="00625BA3" w:rsidRDefault="00DB2B1C" w:rsidP="00DB2B1C">
      <w:r>
        <w:rPr>
          <w:rFonts w:cs="Arial"/>
        </w:rPr>
        <w:lastRenderedPageBreak/>
        <w:t>M</w:t>
      </w:r>
      <w:r w:rsidRPr="0072220F">
        <w:rPr>
          <w:rFonts w:cs="Arial"/>
        </w:rPr>
        <w:t xml:space="preserve">otivated </w:t>
      </w:r>
      <w:r>
        <w:rPr>
          <w:rFonts w:cs="Arial"/>
        </w:rPr>
        <w:t>scammers</w:t>
      </w:r>
      <w:r w:rsidRPr="0072220F">
        <w:rPr>
          <w:rFonts w:cs="Arial"/>
        </w:rPr>
        <w:t xml:space="preserve"> will always find ways to exploit new and existing business processes and technologies.</w:t>
      </w:r>
      <w:r>
        <w:rPr>
          <w:rFonts w:cs="Arial"/>
        </w:rPr>
        <w:t xml:space="preserve"> </w:t>
      </w:r>
      <w:r w:rsidRPr="00625BA3">
        <w:t xml:space="preserve">The potential for scam traffic to circumvent </w:t>
      </w:r>
      <w:r>
        <w:t>C/CSP</w:t>
      </w:r>
      <w:r w:rsidRPr="00625BA3">
        <w:t xml:space="preserve"> level blocks</w:t>
      </w:r>
      <w:r>
        <w:t xml:space="preserve"> (including by moving activity to another provider)</w:t>
      </w:r>
      <w:r w:rsidRPr="00625BA3">
        <w:t>, means there is a need for industry-wide solutions to be developed and adopted.</w:t>
      </w:r>
    </w:p>
    <w:p w14:paraId="681C93EF" w14:textId="77777777" w:rsidR="00DB2B1C" w:rsidRPr="00594F1C" w:rsidRDefault="00DB2B1C" w:rsidP="00DB2B1C">
      <w:r>
        <w:rPr>
          <w:rFonts w:cs="Arial"/>
        </w:rPr>
        <w:t>M</w:t>
      </w:r>
      <w:r w:rsidRPr="00AB679A">
        <w:rPr>
          <w:rFonts w:cs="Arial"/>
        </w:rPr>
        <w:t xml:space="preserve">ore can be done to address the problem of </w:t>
      </w:r>
      <w:r>
        <w:rPr>
          <w:rFonts w:cs="Arial"/>
        </w:rPr>
        <w:t xml:space="preserve">scam calls – requiring C/CSPs to collaborate, cooperate and share information to disrupt scam calls </w:t>
      </w:r>
      <w:r w:rsidRPr="00AB679A">
        <w:rPr>
          <w:rFonts w:cs="Arial"/>
        </w:rPr>
        <w:t>provide</w:t>
      </w:r>
      <w:r>
        <w:rPr>
          <w:rFonts w:cs="Arial"/>
        </w:rPr>
        <w:t>s</w:t>
      </w:r>
      <w:r w:rsidRPr="00AB679A">
        <w:rPr>
          <w:rFonts w:cs="Arial"/>
        </w:rPr>
        <w:t xml:space="preserve"> the strongest incentive to achiev</w:t>
      </w:r>
      <w:r>
        <w:rPr>
          <w:rFonts w:cs="Arial"/>
        </w:rPr>
        <w:t>ing</w:t>
      </w:r>
      <w:r w:rsidRPr="00AB679A">
        <w:rPr>
          <w:rFonts w:cs="Arial"/>
        </w:rPr>
        <w:t xml:space="preserve"> the best outcome for the Australian community.</w:t>
      </w:r>
    </w:p>
    <w:p w14:paraId="2B641D5B" w14:textId="77777777" w:rsidR="00DB2B1C" w:rsidRPr="00431402" w:rsidRDefault="00DB2B1C" w:rsidP="00DB2B1C">
      <w:pPr>
        <w:pStyle w:val="Heading2"/>
      </w:pPr>
      <w:bookmarkStart w:id="41" w:name="_Toc55546903"/>
      <w:bookmarkStart w:id="42" w:name="_Toc56092939"/>
      <w:r w:rsidRPr="00431402">
        <w:t>Combating scam calls</w:t>
      </w:r>
      <w:bookmarkEnd w:id="41"/>
      <w:bookmarkEnd w:id="42"/>
    </w:p>
    <w:p w14:paraId="3AC6E441" w14:textId="77777777" w:rsidR="00DB2B1C" w:rsidRDefault="00DB2B1C" w:rsidP="00DB2B1C">
      <w:pPr>
        <w:rPr>
          <w:iCs/>
        </w:rPr>
      </w:pPr>
      <w:r w:rsidRPr="00B80308">
        <w:t xml:space="preserve">Combating telecommunications scams is a government priority, and multiple government and law enforcement agencies receive reports of scam activity. </w:t>
      </w:r>
      <w:r w:rsidRPr="00B80308">
        <w:rPr>
          <w:iCs/>
        </w:rPr>
        <w:t xml:space="preserve">The ACMA has a key role as the regulator of the </w:t>
      </w:r>
      <w:r>
        <w:rPr>
          <w:iCs/>
        </w:rPr>
        <w:t>tele</w:t>
      </w:r>
      <w:r w:rsidRPr="00B80308">
        <w:rPr>
          <w:iCs/>
        </w:rPr>
        <w:t>communications industry and unsolicited communications (</w:t>
      </w:r>
      <w:r>
        <w:rPr>
          <w:iCs/>
        </w:rPr>
        <w:t>commercial electronic marketing</w:t>
      </w:r>
      <w:r w:rsidRPr="00B80308">
        <w:rPr>
          <w:iCs/>
        </w:rPr>
        <w:t xml:space="preserve"> and telemarketing).</w:t>
      </w:r>
    </w:p>
    <w:p w14:paraId="7B2F744A" w14:textId="77777777" w:rsidR="00DB2B1C" w:rsidRPr="00B80308" w:rsidRDefault="00DB2B1C" w:rsidP="00DB2B1C">
      <w:pPr>
        <w:rPr>
          <w:iCs/>
          <w:szCs w:val="20"/>
        </w:rPr>
      </w:pPr>
      <w:r w:rsidRPr="00B80308">
        <w:rPr>
          <w:iCs/>
          <w:szCs w:val="20"/>
        </w:rPr>
        <w:t>Other key agencies include the ACCC as the competition regulator, the ACSC as the Australian Government lead on cyber security issues, and the Australian Federal Police and other law enforcement agencies in relation to perpetrated scams.</w:t>
      </w:r>
    </w:p>
    <w:p w14:paraId="668D438D" w14:textId="77777777" w:rsidR="00DB2B1C" w:rsidRDefault="00DB2B1C" w:rsidP="00B53BBB">
      <w:pPr>
        <w:pStyle w:val="Paragraph"/>
      </w:pPr>
      <w:r w:rsidRPr="00FC0B2D">
        <w:t>ACMA consumer research confirms scams over telecommunications networks are a significant problem, and consumers expect more to be done by government.</w:t>
      </w:r>
      <w:r w:rsidRPr="00FC0B2D">
        <w:rPr>
          <w:vertAlign w:val="superscript"/>
        </w:rPr>
        <w:footnoteReference w:id="42"/>
      </w:r>
      <w:r w:rsidRPr="00FC0B2D">
        <w:t xml:space="preserve"> </w:t>
      </w:r>
      <w:bookmarkStart w:id="43" w:name="_Hlk29281180"/>
      <w:r w:rsidRPr="00B80308">
        <w:t xml:space="preserve">International experience and submissions to the ACMA’s Scam Technology Project </w:t>
      </w:r>
      <w:hyperlink r:id="rId32" w:history="1">
        <w:r w:rsidRPr="00B80308">
          <w:rPr>
            <w:rStyle w:val="Hyperlink"/>
            <w:bCs/>
            <w:iCs/>
            <w:szCs w:val="20"/>
          </w:rPr>
          <w:t>discussion paper</w:t>
        </w:r>
      </w:hyperlink>
      <w:r>
        <w:t xml:space="preserve"> </w:t>
      </w:r>
      <w:r w:rsidRPr="00B80308">
        <w:t xml:space="preserve">indicate that there is no single or simple solution to combating phone scams. For example, basic </w:t>
      </w:r>
      <w:r>
        <w:t xml:space="preserve">provider-level </w:t>
      </w:r>
      <w:r w:rsidRPr="00B80308">
        <w:t>call blocking is a reactive, ‘whack-a-mole’ exercise where scammers often immediately present a new maliciously spoofed CLI.</w:t>
      </w:r>
      <w:r w:rsidRPr="00F12C94">
        <w:rPr>
          <w:vertAlign w:val="superscript"/>
        </w:rPr>
        <w:t xml:space="preserve"> </w:t>
      </w:r>
      <w:r w:rsidRPr="00B80308">
        <w:rPr>
          <w:vertAlign w:val="superscript"/>
        </w:rPr>
        <w:footnoteReference w:id="43"/>
      </w:r>
    </w:p>
    <w:p w14:paraId="54655E0D" w14:textId="77777777" w:rsidR="00DB2B1C" w:rsidRPr="008D3912" w:rsidRDefault="00DB2B1C" w:rsidP="00DB2B1C">
      <w:pPr>
        <w:rPr>
          <w:rFonts w:cs="Arial"/>
        </w:rPr>
      </w:pPr>
      <w:r w:rsidRPr="0010638A">
        <w:t>Analysis of stakeholder feedback, the domestic context and international approaches indicates that technological solutions to scam disruption</w:t>
      </w:r>
      <w:r>
        <w:t xml:space="preserve"> </w:t>
      </w:r>
      <w:r w:rsidRPr="0010638A">
        <w:t>need to sit within a broader framework to be effective.</w:t>
      </w:r>
    </w:p>
    <w:p w14:paraId="4FD5ECCB" w14:textId="44AFD4F3" w:rsidR="00DB2B1C" w:rsidRPr="0010638A" w:rsidRDefault="00DB2B1C" w:rsidP="00B53BBB">
      <w:pPr>
        <w:pStyle w:val="Paragraphbeforelist"/>
      </w:pPr>
      <w:r w:rsidRPr="00466892">
        <w:t xml:space="preserve">In November 2019, the </w:t>
      </w:r>
      <w:hyperlink r:id="rId33" w:history="1">
        <w:r w:rsidRPr="00466892">
          <w:rPr>
            <w:rStyle w:val="Hyperlink"/>
            <w:iCs/>
          </w:rPr>
          <w:t>Minister for Communications, Cyber Safety and the Arts</w:t>
        </w:r>
      </w:hyperlink>
      <w:r w:rsidRPr="00466892">
        <w:t xml:space="preserve"> </w:t>
      </w:r>
      <w:r>
        <w:t>endorsed the ACMA’s</w:t>
      </w:r>
      <w:r w:rsidRPr="00466892">
        <w:t xml:space="preserve"> </w:t>
      </w:r>
      <w:hyperlink r:id="rId34" w:history="1">
        <w:r w:rsidRPr="00466892">
          <w:rPr>
            <w:rStyle w:val="Hyperlink"/>
            <w:i/>
          </w:rPr>
          <w:t>Combating scams</w:t>
        </w:r>
        <w:r w:rsidRPr="009811F7">
          <w:rPr>
            <w:rStyle w:val="Hyperlink"/>
            <w:i/>
          </w:rPr>
          <w:t xml:space="preserve"> </w:t>
        </w:r>
        <w:r w:rsidRPr="006C4EDE">
          <w:rPr>
            <w:rStyle w:val="Hyperlink"/>
            <w:i/>
          </w:rPr>
          <w:t>action plan</w:t>
        </w:r>
      </w:hyperlink>
      <w:r w:rsidRPr="00466892">
        <w:t xml:space="preserve">. One of the key recommendations of the action plan was </w:t>
      </w:r>
      <w:r>
        <w:t xml:space="preserve">for the </w:t>
      </w:r>
      <w:r w:rsidRPr="008C211F">
        <w:rPr>
          <w:szCs w:val="20"/>
        </w:rPr>
        <w:t>develop</w:t>
      </w:r>
      <w:r>
        <w:rPr>
          <w:szCs w:val="20"/>
        </w:rPr>
        <w:t>ment of</w:t>
      </w:r>
      <w:r w:rsidRPr="008C211F">
        <w:rPr>
          <w:szCs w:val="20"/>
        </w:rPr>
        <w:t xml:space="preserve"> enforceable obligations for </w:t>
      </w:r>
      <w:r>
        <w:rPr>
          <w:szCs w:val="20"/>
        </w:rPr>
        <w:t>C/CSP</w:t>
      </w:r>
      <w:r w:rsidRPr="008C211F">
        <w:rPr>
          <w:szCs w:val="20"/>
        </w:rPr>
        <w:t>s to:</w:t>
      </w:r>
    </w:p>
    <w:p w14:paraId="5CE9F9F1" w14:textId="77777777" w:rsidR="00DB2B1C" w:rsidRPr="00287946" w:rsidRDefault="00DB2B1C" w:rsidP="00B53BBB">
      <w:pPr>
        <w:pStyle w:val="Bulletlevel1"/>
      </w:pPr>
      <w:r w:rsidRPr="00287946">
        <w:t>share scam call data across industry</w:t>
      </w:r>
    </w:p>
    <w:p w14:paraId="1726765C" w14:textId="77777777" w:rsidR="00DB2B1C" w:rsidRPr="00287946" w:rsidRDefault="00DB2B1C" w:rsidP="00B53BBB">
      <w:pPr>
        <w:pStyle w:val="Bulletlevel1"/>
      </w:pPr>
      <w:r w:rsidRPr="00287946">
        <w:t>verify, trace and block scam calls</w:t>
      </w:r>
    </w:p>
    <w:p w14:paraId="399758CD" w14:textId="77777777" w:rsidR="00DB2B1C" w:rsidRPr="00287946" w:rsidRDefault="00DB2B1C" w:rsidP="00B53BBB">
      <w:pPr>
        <w:pStyle w:val="Bulletlevel1"/>
      </w:pPr>
      <w:r w:rsidRPr="00287946">
        <w:t>prevent carriage of domestic originating calls where the caller does not hold the rights of use to the number</w:t>
      </w:r>
    </w:p>
    <w:p w14:paraId="7E367ED8" w14:textId="77777777" w:rsidR="00DB2B1C" w:rsidRPr="00287946" w:rsidRDefault="00DB2B1C" w:rsidP="00B53BBB">
      <w:pPr>
        <w:pStyle w:val="Bulletlevel1"/>
      </w:pPr>
      <w:r w:rsidRPr="00287946">
        <w:t>minimise carriage of international originating calls using illegitimate CLI</w:t>
      </w:r>
    </w:p>
    <w:p w14:paraId="0BAD2486" w14:textId="77777777" w:rsidR="00DB2B1C" w:rsidRPr="00287946" w:rsidRDefault="00DB2B1C" w:rsidP="00B53BBB">
      <w:pPr>
        <w:pStyle w:val="Bulletlevel1last"/>
      </w:pPr>
      <w:r w:rsidRPr="00287946">
        <w:t>refer scam calls and/or perpetrators to authorities.</w:t>
      </w:r>
    </w:p>
    <w:p w14:paraId="0C5EEC7E" w14:textId="77777777" w:rsidR="00DB2B1C" w:rsidRDefault="00DB2B1C" w:rsidP="00DB2B1C">
      <w:pPr>
        <w:pStyle w:val="Heading3"/>
      </w:pPr>
      <w:bookmarkStart w:id="44" w:name="_Toc55546904"/>
      <w:bookmarkStart w:id="45" w:name="_Toc56092940"/>
      <w:r w:rsidRPr="008C211F">
        <w:t>Enforceable obligations</w:t>
      </w:r>
      <w:bookmarkEnd w:id="44"/>
      <w:bookmarkEnd w:id="45"/>
    </w:p>
    <w:p w14:paraId="30A36003" w14:textId="77777777" w:rsidR="00DB2B1C" w:rsidRDefault="00DB2B1C" w:rsidP="00DB2B1C">
      <w:pPr>
        <w:pStyle w:val="Paragraph"/>
      </w:pPr>
      <w:r>
        <w:t>U</w:t>
      </w:r>
      <w:r w:rsidRPr="000E075E">
        <w:t xml:space="preserve">nder Part 6 of the Act, </w:t>
      </w:r>
      <w:r>
        <w:t>the enforceable obligations options available to the ACMA are either an industry code or an industry standard.</w:t>
      </w:r>
    </w:p>
    <w:p w14:paraId="06A71C73" w14:textId="70A2F259" w:rsidR="00DB2B1C" w:rsidRDefault="00DB2B1C" w:rsidP="00B304DD">
      <w:pPr>
        <w:pStyle w:val="Paragraph"/>
        <w:keepNext/>
        <w:keepLines/>
      </w:pPr>
      <w:r>
        <w:lastRenderedPageBreak/>
        <w:t xml:space="preserve">The ACMA </w:t>
      </w:r>
      <w:r w:rsidRPr="00874B49">
        <w:t xml:space="preserve">may call for an industry code to be made </w:t>
      </w:r>
      <w:r>
        <w:t>providing</w:t>
      </w:r>
      <w:r w:rsidRPr="00874B49">
        <w:t xml:space="preserve"> certain threshold conditions are met</w:t>
      </w:r>
      <w:r w:rsidR="000E615A">
        <w:t>,</w:t>
      </w:r>
      <w:r>
        <w:t xml:space="preserve"> or</w:t>
      </w:r>
      <w:r w:rsidRPr="00874B49">
        <w:t xml:space="preserve"> register an industry code if submitted by a body representing the industry (if certain matters are satisfied)</w:t>
      </w:r>
      <w:r>
        <w:t>. It may</w:t>
      </w:r>
      <w:r w:rsidRPr="00874B49">
        <w:t xml:space="preserve"> determine a standard where a code has been called for and not provided</w:t>
      </w:r>
      <w:r w:rsidR="00D75F84">
        <w:t>,</w:t>
      </w:r>
      <w:r>
        <w:t xml:space="preserve"> where</w:t>
      </w:r>
      <w:r w:rsidRPr="00874B49">
        <w:t xml:space="preserve"> a code fails</w:t>
      </w:r>
      <w:r w:rsidR="00D75F84">
        <w:t>,</w:t>
      </w:r>
      <w:r w:rsidRPr="00874B49">
        <w:t xml:space="preserve"> or</w:t>
      </w:r>
      <w:r>
        <w:t>,</w:t>
      </w:r>
      <w:r w:rsidRPr="00874B49">
        <w:t xml:space="preserve"> </w:t>
      </w:r>
      <w:r>
        <w:t xml:space="preserve">where </w:t>
      </w:r>
      <w:r w:rsidRPr="00874B49">
        <w:t xml:space="preserve">the ACMA is directed to make such an instrument by the </w:t>
      </w:r>
      <w:r w:rsidR="00D75F84">
        <w:t>m</w:t>
      </w:r>
      <w:r w:rsidRPr="00AC6553">
        <w:t>inister administering the</w:t>
      </w:r>
      <w:r>
        <w:t xml:space="preserve"> </w:t>
      </w:r>
      <w:r w:rsidRPr="00383784">
        <w:t>Act.</w:t>
      </w:r>
    </w:p>
    <w:p w14:paraId="53FB1495" w14:textId="306C3F78" w:rsidR="00DB2B1C" w:rsidRDefault="00DB2B1C" w:rsidP="00B304DD">
      <w:pPr>
        <w:pStyle w:val="Paragraph"/>
        <w:keepNext/>
        <w:keepLines/>
      </w:pPr>
      <w:r w:rsidRPr="004B3702">
        <w:t>Plac</w:t>
      </w:r>
      <w:r>
        <w:t>ing</w:t>
      </w:r>
      <w:r w:rsidRPr="004B3702">
        <w:t xml:space="preserve"> obligations in an industry code provide</w:t>
      </w:r>
      <w:r>
        <w:t>s</w:t>
      </w:r>
      <w:r w:rsidRPr="004B3702">
        <w:t xml:space="preserve"> the ACMA with lower-level enforcement powers </w:t>
      </w:r>
      <w:r w:rsidR="00DB510C">
        <w:t>if</w:t>
      </w:r>
      <w:r w:rsidR="00DB510C" w:rsidRPr="004B3702">
        <w:t xml:space="preserve"> </w:t>
      </w:r>
      <w:r>
        <w:t xml:space="preserve">C/CSP </w:t>
      </w:r>
      <w:r w:rsidRPr="004B3702">
        <w:t xml:space="preserve">non-compliance </w:t>
      </w:r>
      <w:r w:rsidR="00DB510C">
        <w:t>is</w:t>
      </w:r>
      <w:r w:rsidR="00DB510C" w:rsidRPr="004B3702">
        <w:t xml:space="preserve"> </w:t>
      </w:r>
      <w:r w:rsidRPr="004B3702">
        <w:t>found</w:t>
      </w:r>
      <w:r w:rsidR="00DB510C">
        <w:t>;</w:t>
      </w:r>
      <w:r>
        <w:t xml:space="preserve"> </w:t>
      </w:r>
      <w:r w:rsidR="00DB510C">
        <w:t>that is,</w:t>
      </w:r>
      <w:r>
        <w:t xml:space="preserve"> </w:t>
      </w:r>
      <w:r w:rsidR="00DB510C">
        <w:t xml:space="preserve">a </w:t>
      </w:r>
      <w:r>
        <w:t>formal warning or direction to comply with the code</w:t>
      </w:r>
      <w:r w:rsidRPr="004B3702">
        <w:t>.</w:t>
      </w:r>
    </w:p>
    <w:p w14:paraId="625189CB" w14:textId="77777777" w:rsidR="00DB2B1C" w:rsidRDefault="00DB2B1C" w:rsidP="00DB2B1C">
      <w:pPr>
        <w:pStyle w:val="Paragraph"/>
      </w:pPr>
      <w:r>
        <w:t>C</w:t>
      </w:r>
      <w:r w:rsidRPr="004B3702">
        <w:t>ivil penalties could be pursued through the Federal Court or an infringement notice</w:t>
      </w:r>
      <w:r>
        <w:t xml:space="preserve"> issued</w:t>
      </w:r>
      <w:r w:rsidRPr="004B3702">
        <w:t xml:space="preserve"> if </w:t>
      </w:r>
      <w:r>
        <w:t>a</w:t>
      </w:r>
      <w:r w:rsidRPr="004B3702">
        <w:t xml:space="preserve"> direction to comply is then breached (under Part 31 of the Act).</w:t>
      </w:r>
    </w:p>
    <w:p w14:paraId="6D201FA3" w14:textId="7D8A8BA2" w:rsidR="00DB2B1C" w:rsidRDefault="00DB510C" w:rsidP="00DB2B1C">
      <w:pPr>
        <w:pStyle w:val="Paragraph"/>
      </w:pPr>
      <w:r>
        <w:rPr>
          <w:szCs w:val="20"/>
        </w:rPr>
        <w:t xml:space="preserve">If </w:t>
      </w:r>
      <w:r w:rsidR="00DB2B1C" w:rsidRPr="00AE2A63">
        <w:rPr>
          <w:szCs w:val="20"/>
        </w:rPr>
        <w:t>an industry code prove</w:t>
      </w:r>
      <w:r>
        <w:rPr>
          <w:szCs w:val="20"/>
        </w:rPr>
        <w:t>s</w:t>
      </w:r>
      <w:r w:rsidR="00DB2B1C" w:rsidRPr="00AE2A63">
        <w:rPr>
          <w:szCs w:val="20"/>
        </w:rPr>
        <w:t xml:space="preserve"> deficient, then a</w:t>
      </w:r>
      <w:r w:rsidR="00DB2B1C">
        <w:rPr>
          <w:szCs w:val="20"/>
        </w:rPr>
        <w:t xml:space="preserve">n industry </w:t>
      </w:r>
      <w:r w:rsidR="00DB2B1C" w:rsidRPr="00AE2A63">
        <w:rPr>
          <w:szCs w:val="20"/>
        </w:rPr>
        <w:t>standard could be considered (s</w:t>
      </w:r>
      <w:r w:rsidR="00DB2B1C">
        <w:rPr>
          <w:szCs w:val="20"/>
        </w:rPr>
        <w:t xml:space="preserve">ection </w:t>
      </w:r>
      <w:r w:rsidR="00DB2B1C" w:rsidRPr="00AE2A63">
        <w:rPr>
          <w:szCs w:val="20"/>
        </w:rPr>
        <w:t>125)</w:t>
      </w:r>
      <w:r>
        <w:rPr>
          <w:szCs w:val="20"/>
        </w:rPr>
        <w:t xml:space="preserve">, </w:t>
      </w:r>
      <w:r w:rsidR="00DB2B1C" w:rsidRPr="00AE2A63">
        <w:rPr>
          <w:szCs w:val="20"/>
        </w:rPr>
        <w:t xml:space="preserve">including under ministerial </w:t>
      </w:r>
      <w:r w:rsidR="00DB2B1C">
        <w:rPr>
          <w:szCs w:val="20"/>
        </w:rPr>
        <w:t>d</w:t>
      </w:r>
      <w:r w:rsidR="00DB2B1C" w:rsidRPr="00AE2A63">
        <w:rPr>
          <w:szCs w:val="20"/>
        </w:rPr>
        <w:t>irection (s</w:t>
      </w:r>
      <w:r w:rsidR="00DB2B1C">
        <w:rPr>
          <w:szCs w:val="20"/>
        </w:rPr>
        <w:t>ubsection</w:t>
      </w:r>
      <w:r w:rsidR="00DB2B1C" w:rsidRPr="00AE2A63">
        <w:rPr>
          <w:szCs w:val="20"/>
        </w:rPr>
        <w:t xml:space="preserve"> 125AA (4)</w:t>
      </w:r>
      <w:r w:rsidR="00DB2B1C">
        <w:rPr>
          <w:szCs w:val="20"/>
        </w:rPr>
        <w:t xml:space="preserve"> of the Act</w:t>
      </w:r>
      <w:r w:rsidR="00DB2B1C" w:rsidRPr="00AE2A63">
        <w:rPr>
          <w:szCs w:val="20"/>
        </w:rPr>
        <w:t>).</w:t>
      </w:r>
    </w:p>
    <w:p w14:paraId="046AA9D4" w14:textId="471BBB1D" w:rsidR="00DB2B1C" w:rsidRPr="00FF2F8F" w:rsidRDefault="00DB2B1C" w:rsidP="00B53BBB">
      <w:pPr>
        <w:pStyle w:val="Paragraphbeforelist"/>
        <w:rPr>
          <w:rFonts w:ascii="Calibri" w:hAnsi="Calibri"/>
          <w:szCs w:val="22"/>
        </w:rPr>
      </w:pPr>
      <w:r w:rsidRPr="00C568C8">
        <w:t>Compliance with an industry standard is mandatory</w:t>
      </w:r>
      <w:r w:rsidRPr="00900B5E">
        <w:t xml:space="preserve">. </w:t>
      </w:r>
      <w:r w:rsidRPr="00FF2F8F">
        <w:t xml:space="preserve">An industry standard requires the section of the industry to </w:t>
      </w:r>
      <w:r w:rsidR="00DB510C">
        <w:t>which</w:t>
      </w:r>
      <w:r w:rsidR="00DB510C" w:rsidRPr="00FF2F8F">
        <w:t xml:space="preserve"> </w:t>
      </w:r>
      <w:r w:rsidRPr="00FF2F8F">
        <w:t>the code applies to meet obligations. If a C/CSP contravenes a standard, the ACMA may:</w:t>
      </w:r>
    </w:p>
    <w:p w14:paraId="0B01D601" w14:textId="77777777" w:rsidR="00DB2B1C" w:rsidRPr="008D09B6" w:rsidRDefault="00DB2B1C" w:rsidP="00B53BBB">
      <w:pPr>
        <w:pStyle w:val="Bulletlevel1"/>
      </w:pPr>
      <w:r w:rsidRPr="008D09B6">
        <w:t xml:space="preserve">issue a formal warning (section 129) </w:t>
      </w:r>
    </w:p>
    <w:p w14:paraId="607B8960" w14:textId="77777777" w:rsidR="00DB2B1C" w:rsidRPr="008D09B6" w:rsidRDefault="00DB2B1C" w:rsidP="00B53BBB">
      <w:pPr>
        <w:pStyle w:val="Bulletlevel1"/>
      </w:pPr>
      <w:r w:rsidRPr="008D09B6">
        <w:t>give a remedial direction (sub-section 69/102)</w:t>
      </w:r>
    </w:p>
    <w:p w14:paraId="7E521DBC" w14:textId="77777777" w:rsidR="00DB2B1C" w:rsidRPr="008D09B6" w:rsidRDefault="00DB2B1C" w:rsidP="00B53BBB">
      <w:pPr>
        <w:pStyle w:val="Bulletlevel1"/>
      </w:pPr>
      <w:r w:rsidRPr="008D09B6">
        <w:t>accept an enforceable undertaking (Part 31A)</w:t>
      </w:r>
    </w:p>
    <w:p w14:paraId="2F4BAAC9" w14:textId="77777777" w:rsidR="00DB2B1C" w:rsidRPr="008D09B6" w:rsidRDefault="00DB2B1C" w:rsidP="00B53BBB">
      <w:pPr>
        <w:pStyle w:val="Bulletlevel1"/>
      </w:pPr>
      <w:r w:rsidRPr="008D09B6">
        <w:t>give an infringement notice (Part 31B)</w:t>
      </w:r>
    </w:p>
    <w:p w14:paraId="04E3B3AB" w14:textId="77777777" w:rsidR="00DB2B1C" w:rsidRPr="008D09B6" w:rsidRDefault="00DB2B1C" w:rsidP="00B53BBB">
      <w:pPr>
        <w:pStyle w:val="Bulletlevel1"/>
      </w:pPr>
      <w:r w:rsidRPr="008D09B6">
        <w:t>seek an injunction in the Federal Court which would compel the person to act or refrain from acting in a particular way (Part 30)</w:t>
      </w:r>
    </w:p>
    <w:p w14:paraId="2E706803" w14:textId="77777777" w:rsidR="00DB2B1C" w:rsidRPr="008D09B6" w:rsidRDefault="00DB2B1C" w:rsidP="00B53BBB">
      <w:pPr>
        <w:pStyle w:val="Bulletlevel1last"/>
      </w:pPr>
      <w:r w:rsidRPr="008D09B6">
        <w:t>seek civil penalties via Federal Court proceedings (up to $50,000 for a person and $250,000 for a body corporate per contravention) (Part 31).</w:t>
      </w:r>
    </w:p>
    <w:p w14:paraId="2952FA1B" w14:textId="77777777" w:rsidR="00DB2B1C" w:rsidRPr="00F4483B" w:rsidRDefault="00DB2B1C" w:rsidP="00DB2B1C">
      <w:pPr>
        <w:pStyle w:val="Heading1"/>
      </w:pPr>
      <w:bookmarkStart w:id="46" w:name="_Toc32833688"/>
      <w:bookmarkStart w:id="47" w:name="_Toc32833743"/>
      <w:bookmarkStart w:id="48" w:name="_Toc32833816"/>
      <w:bookmarkStart w:id="49" w:name="_Toc33176371"/>
      <w:bookmarkStart w:id="50" w:name="_Toc55546905"/>
      <w:bookmarkStart w:id="51" w:name="_Toc56092941"/>
      <w:bookmarkStart w:id="52" w:name="_Hlk29987546"/>
      <w:bookmarkEnd w:id="43"/>
      <w:r w:rsidRPr="00F4483B">
        <w:lastRenderedPageBreak/>
        <w:t>3.</w:t>
      </w:r>
      <w:r w:rsidRPr="00F4483B">
        <w:tab/>
        <w:t>What policy options have been considered?</w:t>
      </w:r>
      <w:bookmarkEnd w:id="46"/>
      <w:bookmarkEnd w:id="47"/>
      <w:bookmarkEnd w:id="48"/>
      <w:bookmarkEnd w:id="49"/>
      <w:bookmarkEnd w:id="50"/>
      <w:bookmarkEnd w:id="51"/>
    </w:p>
    <w:p w14:paraId="6F51AE6E" w14:textId="77777777" w:rsidR="00DB2B1C" w:rsidRDefault="00DB2B1C" w:rsidP="00DB2B1C">
      <w:pPr>
        <w:pStyle w:val="Paragraph"/>
      </w:pPr>
      <w:r>
        <w:t xml:space="preserve">The policy options below are consistent with regulatory options available in accordance with the </w:t>
      </w:r>
      <w:r w:rsidRPr="00BF30F1">
        <w:t>Act.</w:t>
      </w:r>
    </w:p>
    <w:p w14:paraId="2B9D9CE3" w14:textId="7F5746FE" w:rsidR="00DB2B1C" w:rsidRPr="00F4483B" w:rsidRDefault="00DB2B1C" w:rsidP="00DB2B1C">
      <w:pPr>
        <w:pStyle w:val="Heading2"/>
      </w:pPr>
      <w:bookmarkStart w:id="53" w:name="_Toc32833689"/>
      <w:bookmarkStart w:id="54" w:name="_Toc32833744"/>
      <w:bookmarkStart w:id="55" w:name="_Toc32833817"/>
      <w:bookmarkStart w:id="56" w:name="_Toc33176372"/>
      <w:bookmarkStart w:id="57" w:name="_Toc55546906"/>
      <w:bookmarkStart w:id="58" w:name="_Toc56092942"/>
      <w:r w:rsidRPr="00F4483B">
        <w:t>Option 1: Non-regulatory option (</w:t>
      </w:r>
      <w:r w:rsidR="00DB510C">
        <w:t>s</w:t>
      </w:r>
      <w:r w:rsidRPr="00F4483B">
        <w:t>tatus quo</w:t>
      </w:r>
      <w:bookmarkEnd w:id="53"/>
      <w:bookmarkEnd w:id="54"/>
      <w:bookmarkEnd w:id="55"/>
      <w:bookmarkEnd w:id="56"/>
      <w:r w:rsidRPr="00F4483B">
        <w:t>)</w:t>
      </w:r>
      <w:bookmarkEnd w:id="57"/>
      <w:bookmarkEnd w:id="58"/>
    </w:p>
    <w:p w14:paraId="58986BBB" w14:textId="4E518F8E" w:rsidR="00DB2B1C" w:rsidRPr="00F24768" w:rsidRDefault="00DB2B1C" w:rsidP="00DB2B1C">
      <w:pPr>
        <w:pStyle w:val="Paragraph"/>
      </w:pPr>
      <w:r>
        <w:t>The government continues to e</w:t>
      </w:r>
      <w:r w:rsidRPr="009918AF">
        <w:t>ncourage</w:t>
      </w:r>
      <w:r>
        <w:t xml:space="preserve"> the</w:t>
      </w:r>
      <w:r w:rsidRPr="009918AF">
        <w:t xml:space="preserve"> </w:t>
      </w:r>
      <w:r>
        <w:t xml:space="preserve">telecommunications </w:t>
      </w:r>
      <w:r w:rsidRPr="009918AF">
        <w:t xml:space="preserve">industry to </w:t>
      </w:r>
      <w:r>
        <w:t>implement scam call mitigation measures</w:t>
      </w:r>
      <w:r w:rsidRPr="00A062D8">
        <w:t xml:space="preserve"> and </w:t>
      </w:r>
      <w:r>
        <w:t>provides</w:t>
      </w:r>
      <w:r w:rsidRPr="00A062D8">
        <w:t xml:space="preserve"> general advice</w:t>
      </w:r>
      <w:r w:rsidR="00B53BBB">
        <w:t xml:space="preserve"> to consumers</w:t>
      </w:r>
      <w:r w:rsidRPr="00A062D8">
        <w:t xml:space="preserve"> on avoiding scams (for example</w:t>
      </w:r>
      <w:r w:rsidR="00A91FB7">
        <w:t>,</w:t>
      </w:r>
      <w:r>
        <w:t xml:space="preserve"> through</w:t>
      </w:r>
      <w:r w:rsidRPr="00A062D8">
        <w:t xml:space="preserve"> </w:t>
      </w:r>
      <w:hyperlink r:id="rId35" w:history="1">
        <w:r>
          <w:rPr>
            <w:rStyle w:val="Hyperlink"/>
          </w:rPr>
          <w:t>S</w:t>
        </w:r>
        <w:r w:rsidRPr="00A062D8">
          <w:rPr>
            <w:rStyle w:val="Hyperlink"/>
          </w:rPr>
          <w:t>camwatch</w:t>
        </w:r>
      </w:hyperlink>
      <w:r w:rsidRPr="00A062D8">
        <w:t xml:space="preserve"> and </w:t>
      </w:r>
      <w:r w:rsidRPr="00410C45">
        <w:rPr>
          <w:u w:color="0000FF"/>
        </w:rPr>
        <w:t>ACMA resource</w:t>
      </w:r>
      <w:r>
        <w:t>s setting out how consumers can protect themselves</w:t>
      </w:r>
      <w:r w:rsidRPr="00A062D8">
        <w:t>)</w:t>
      </w:r>
      <w:r>
        <w:t>.</w:t>
      </w:r>
      <w:r w:rsidRPr="00A062D8">
        <w:t xml:space="preserve"> </w:t>
      </w:r>
      <w:r>
        <w:t xml:space="preserve">The </w:t>
      </w:r>
      <w:bookmarkStart w:id="59" w:name="_Hlk31624105"/>
      <w:r w:rsidRPr="00F24768">
        <w:t xml:space="preserve">existing legislation and regulations </w:t>
      </w:r>
      <w:r>
        <w:t xml:space="preserve">for C/CSPs </w:t>
      </w:r>
      <w:r w:rsidRPr="00F24768">
        <w:t>remain</w:t>
      </w:r>
      <w:r>
        <w:t xml:space="preserve"> – including obligations under Part 13 of the Act</w:t>
      </w:r>
      <w:r w:rsidRPr="00F24768">
        <w:t>.</w:t>
      </w:r>
    </w:p>
    <w:bookmarkEnd w:id="59"/>
    <w:p w14:paraId="6A69D8C5" w14:textId="43C8A6F7" w:rsidR="00DB2B1C" w:rsidRPr="00F24768" w:rsidRDefault="00DB2B1C" w:rsidP="00DB2B1C">
      <w:pPr>
        <w:pStyle w:val="Paragraph"/>
      </w:pPr>
      <w:r w:rsidRPr="00F24768">
        <w:t>Communications Alliance encourage</w:t>
      </w:r>
      <w:r>
        <w:t>s</w:t>
      </w:r>
      <w:r w:rsidRPr="00F24768">
        <w:t xml:space="preserve"> </w:t>
      </w:r>
      <w:r>
        <w:t>C/CSPs</w:t>
      </w:r>
      <w:r w:rsidRPr="00F24768">
        <w:t xml:space="preserve"> to act in accordance with the industry </w:t>
      </w:r>
      <w:r>
        <w:t xml:space="preserve">CLI </w:t>
      </w:r>
      <w:r w:rsidRPr="00F24768">
        <w:t>guidance note</w:t>
      </w:r>
      <w:r w:rsidR="00A91FB7">
        <w:t>,</w:t>
      </w:r>
      <w:r>
        <w:t xml:space="preserve"> </w:t>
      </w:r>
      <w:r w:rsidRPr="00F24768">
        <w:t xml:space="preserve">with members deciding whether to </w:t>
      </w:r>
      <w:r>
        <w:t xml:space="preserve">voluntarily </w:t>
      </w:r>
      <w:r w:rsidRPr="00F24768">
        <w:t>comply. Those</w:t>
      </w:r>
      <w:r>
        <w:t xml:space="preserve"> providers</w:t>
      </w:r>
      <w:r w:rsidRPr="00F24768">
        <w:t xml:space="preserve"> </w:t>
      </w:r>
      <w:r>
        <w:t>deploying scam mitigation measures continue to use</w:t>
      </w:r>
      <w:r w:rsidRPr="00F24768">
        <w:t xml:space="preserve"> them in addition to existing laws and regulations to help </w:t>
      </w:r>
      <w:r>
        <w:t>reduce</w:t>
      </w:r>
      <w:r w:rsidRPr="00F24768">
        <w:t xml:space="preserve"> instances of </w:t>
      </w:r>
      <w:r>
        <w:t>scam calls</w:t>
      </w:r>
      <w:r w:rsidRPr="00F24768">
        <w:t>.</w:t>
      </w:r>
    </w:p>
    <w:p w14:paraId="79ADF6B9" w14:textId="77777777" w:rsidR="00DB2B1C" w:rsidRPr="004A42C5" w:rsidRDefault="00DB2B1C" w:rsidP="00DB2B1C">
      <w:pPr>
        <w:pStyle w:val="Paragraph"/>
      </w:pPr>
      <w:r w:rsidRPr="004A42C5">
        <w:t>Under this option, C/CSPs would continue with the disparate (and larger provider level) operational approaches currently employed to reduce scam activity over telecommunications networks. Consumers will experience varying levels of protection from scammers and scammers will continue to exploit, and target, weak links, and ineffective processes.</w:t>
      </w:r>
    </w:p>
    <w:p w14:paraId="21DF0C66" w14:textId="77777777" w:rsidR="00DB2B1C" w:rsidRPr="00DC353A" w:rsidRDefault="00DB2B1C" w:rsidP="00DB2B1C">
      <w:pPr>
        <w:pStyle w:val="Paragraph"/>
      </w:pPr>
      <w:r w:rsidRPr="004A42C5">
        <w:t>No compliance requirements or enforcement options would apply. Scam calls will still reach consumers and it is likely the volume of calls and harms escalate as no coordinated, industry-wide technological or network strategies have been deployed.</w:t>
      </w:r>
    </w:p>
    <w:p w14:paraId="04EB5BD5" w14:textId="77777777" w:rsidR="00DB2B1C" w:rsidRPr="00605E88" w:rsidRDefault="00DB2B1C" w:rsidP="00DB2B1C">
      <w:pPr>
        <w:pStyle w:val="Heading2"/>
      </w:pPr>
      <w:bookmarkStart w:id="60" w:name="_Toc55546907"/>
      <w:bookmarkStart w:id="61" w:name="_Toc56092943"/>
      <w:bookmarkStart w:id="62" w:name="_Toc32833690"/>
      <w:bookmarkStart w:id="63" w:name="_Toc32833745"/>
      <w:bookmarkStart w:id="64" w:name="_Toc32833818"/>
      <w:bookmarkStart w:id="65" w:name="_Toc33176373"/>
      <w:r w:rsidRPr="00605E88">
        <w:t>Option 2: Consumer education campaign</w:t>
      </w:r>
      <w:bookmarkEnd w:id="60"/>
      <w:bookmarkEnd w:id="61"/>
      <w:r w:rsidRPr="00605E88">
        <w:t xml:space="preserve"> </w:t>
      </w:r>
      <w:bookmarkEnd w:id="62"/>
      <w:bookmarkEnd w:id="63"/>
      <w:bookmarkEnd w:id="64"/>
      <w:bookmarkEnd w:id="65"/>
    </w:p>
    <w:p w14:paraId="542EA563" w14:textId="4596B099" w:rsidR="00DB2B1C" w:rsidRDefault="00DB2B1C" w:rsidP="00DB2B1C">
      <w:pPr>
        <w:pStyle w:val="Paragraph"/>
      </w:pPr>
      <w:r>
        <w:t xml:space="preserve">The government does not introduce any new form of regulation but conducts a targeted public </w:t>
      </w:r>
      <w:r w:rsidRPr="00DF7981">
        <w:t>education campaign</w:t>
      </w:r>
      <w:r>
        <w:t xml:space="preserve"> that provides clear and accessible information to assist consumers to better ma</w:t>
      </w:r>
      <w:r>
        <w:t xml:space="preserve">nage </w:t>
      </w:r>
      <w:r w:rsidR="0038283E">
        <w:t xml:space="preserve">and </w:t>
      </w:r>
      <w:r>
        <w:t>avoid scam calls. The existing legislation and regulations governing C/CSPs remain.</w:t>
      </w:r>
    </w:p>
    <w:p w14:paraId="1C8BAAD9" w14:textId="77777777" w:rsidR="00DB2B1C" w:rsidRDefault="00DB2B1C" w:rsidP="00DB2B1C">
      <w:pPr>
        <w:pStyle w:val="Paragraph"/>
      </w:pPr>
      <w:r>
        <w:t>The campaign advises customers how to improve their phone security and what to do if they become a victim of a scam call – including where to report it.</w:t>
      </w:r>
    </w:p>
    <w:p w14:paraId="3525FF2E" w14:textId="77777777" w:rsidR="00DB2B1C" w:rsidRDefault="00DB2B1C" w:rsidP="00DB2B1C">
      <w:pPr>
        <w:pStyle w:val="Paragraph"/>
      </w:pPr>
      <w:r>
        <w:t>Information is provided to C/CSPs to further support their understanding of the current regulatory framework so they act in a manner that will minimise the need for further regulatory intervention. Better informed customers pressure C/CSPs to go beyond existing regulation and voluntarily implement additional protections.</w:t>
      </w:r>
    </w:p>
    <w:p w14:paraId="0DBB51F8" w14:textId="4E0B00A9" w:rsidR="00DB2B1C" w:rsidRDefault="00DB2B1C" w:rsidP="00DB2B1C">
      <w:pPr>
        <w:pStyle w:val="Paragraph"/>
      </w:pPr>
      <w:r w:rsidRPr="00BF5B6A">
        <w:t xml:space="preserve">Campaign activities are also undertaken in collaboration with other government agencies, consumer advocacy groups and </w:t>
      </w:r>
      <w:r>
        <w:t>C/CSPs</w:t>
      </w:r>
      <w:r w:rsidRPr="00BF5B6A">
        <w:t>. These</w:t>
      </w:r>
      <w:r>
        <w:t xml:space="preserve"> activities</w:t>
      </w:r>
      <w:r w:rsidRPr="00BF5B6A">
        <w:t xml:space="preserve"> include </w:t>
      </w:r>
      <w:r>
        <w:t>leveraging off</w:t>
      </w:r>
      <w:r>
        <w:t xml:space="preserve"> existing </w:t>
      </w:r>
      <w:r w:rsidRPr="00BF5B6A">
        <w:t xml:space="preserve">websites and social media channels, issuing emails/letters/bulletins, and </w:t>
      </w:r>
      <w:r w:rsidR="00A91FB7">
        <w:t xml:space="preserve">establishing </w:t>
      </w:r>
      <w:r w:rsidRPr="00BF5B6A">
        <w:t>stakeholder and community forums.</w:t>
      </w:r>
    </w:p>
    <w:p w14:paraId="66444ACB" w14:textId="77777777" w:rsidR="00DB2B1C" w:rsidRDefault="00DB2B1C" w:rsidP="00DB2B1C">
      <w:pPr>
        <w:pStyle w:val="Paragraph"/>
      </w:pPr>
      <w:r w:rsidRPr="00BF5B6A">
        <w:t xml:space="preserve">Information is </w:t>
      </w:r>
      <w:r>
        <w:t xml:space="preserve">also designed for </w:t>
      </w:r>
      <w:r w:rsidRPr="00BF5B6A">
        <w:t xml:space="preserve">culturally and linguistically diverse communities and vulnerable </w:t>
      </w:r>
      <w:r>
        <w:t>consumers (such as older Australians and First Nations Australians) to inform and help them better manage scam calls</w:t>
      </w:r>
      <w:r w:rsidRPr="00BF5B6A">
        <w:t>.</w:t>
      </w:r>
      <w:r w:rsidRPr="00252F6D">
        <w:t xml:space="preserve"> However, some members of the community may still not receive nor understand the campaign information.</w:t>
      </w:r>
    </w:p>
    <w:p w14:paraId="64F63452" w14:textId="46E9DA28" w:rsidR="00DB2B1C" w:rsidRDefault="00DB2B1C" w:rsidP="00B53BBB">
      <w:pPr>
        <w:pStyle w:val="Paragraphbeforelist"/>
      </w:pPr>
      <w:r>
        <w:lastRenderedPageBreak/>
        <w:t xml:space="preserve">The </w:t>
      </w:r>
      <w:r w:rsidRPr="001C6EC8">
        <w:t xml:space="preserve">campaign is run annually for </w:t>
      </w:r>
      <w:r w:rsidR="00A91FB7">
        <w:t>10</w:t>
      </w:r>
      <w:r w:rsidR="00A91FB7" w:rsidRPr="001C6EC8">
        <w:t xml:space="preserve"> </w:t>
      </w:r>
      <w:r w:rsidRPr="001C6EC8">
        <w:t>years by</w:t>
      </w:r>
      <w:r>
        <w:t xml:space="preserve"> the ACMA in accordance with usual practice and builds on other campaigns. A campaign based upon the below steps will </w:t>
      </w:r>
      <w:r w:rsidRPr="00725535">
        <w:t>cost on average $30,000</w:t>
      </w:r>
      <w:r>
        <w:t xml:space="preserve"> per annum</w:t>
      </w:r>
      <w:r w:rsidRPr="00725535">
        <w:t xml:space="preserve"> (depending on the size of the intended audience):</w:t>
      </w:r>
    </w:p>
    <w:p w14:paraId="5442212D" w14:textId="77777777" w:rsidR="00DB2B1C" w:rsidRDefault="00DB2B1C" w:rsidP="00B53BBB">
      <w:pPr>
        <w:pStyle w:val="Bulletlevel1"/>
      </w:pPr>
      <w:r>
        <w:t>information on the ACMA and other government websites</w:t>
      </w:r>
    </w:p>
    <w:p w14:paraId="07FFB110" w14:textId="77777777" w:rsidR="00DB2B1C" w:rsidRDefault="00DB2B1C" w:rsidP="00B53BBB">
      <w:pPr>
        <w:pStyle w:val="Bulletlevel1"/>
      </w:pPr>
      <w:r>
        <w:t>a short, engaging video providing individuals and business with relevant information in an accessible format</w:t>
      </w:r>
    </w:p>
    <w:p w14:paraId="773873FF" w14:textId="77777777" w:rsidR="00DB2B1C" w:rsidRDefault="00DB2B1C" w:rsidP="00B53BBB">
      <w:pPr>
        <w:pStyle w:val="Bulletlevel1"/>
      </w:pPr>
      <w:r>
        <w:t xml:space="preserve">poster campaign focusing on information for vulnerable communities including translations into multiple languages </w:t>
      </w:r>
    </w:p>
    <w:p w14:paraId="4BC6FEE3" w14:textId="77777777" w:rsidR="00DB2B1C" w:rsidRDefault="00DB2B1C" w:rsidP="00B53BBB">
      <w:pPr>
        <w:pStyle w:val="Bulletlevel1"/>
      </w:pPr>
      <w:r>
        <w:t xml:space="preserve">design targeted to First Nations Australians audience </w:t>
      </w:r>
    </w:p>
    <w:p w14:paraId="2C2D310B" w14:textId="14631610" w:rsidR="00DB2B1C" w:rsidRDefault="00DB2B1C" w:rsidP="00B53BBB">
      <w:pPr>
        <w:pStyle w:val="Bulletlevel1"/>
      </w:pPr>
      <w:r>
        <w:t>targeted ads on Facebook to reach consumers (</w:t>
      </w:r>
      <w:r w:rsidR="00A91FB7">
        <w:t xml:space="preserve">including </w:t>
      </w:r>
      <w:r>
        <w:t>an image, content and link back to the ACMA website)</w:t>
      </w:r>
    </w:p>
    <w:p w14:paraId="5CBF4005" w14:textId="77777777" w:rsidR="00DB2B1C" w:rsidRDefault="00DB2B1C" w:rsidP="00B53BBB">
      <w:pPr>
        <w:pStyle w:val="Bulletlevel1"/>
      </w:pPr>
      <w:r>
        <w:t>use of LinkedIn to reach business and C/CSPs</w:t>
      </w:r>
    </w:p>
    <w:p w14:paraId="3007F588" w14:textId="77777777" w:rsidR="00DB2B1C" w:rsidRDefault="00DB2B1C" w:rsidP="00B53BBB">
      <w:pPr>
        <w:pStyle w:val="Bulletlevel1"/>
      </w:pPr>
      <w:r>
        <w:t>use of direct email lists and line area industry contacts</w:t>
      </w:r>
    </w:p>
    <w:p w14:paraId="3C632398" w14:textId="77777777" w:rsidR="00DB2B1C" w:rsidRDefault="00DB2B1C" w:rsidP="00B53BBB">
      <w:pPr>
        <w:pStyle w:val="Bulletlevel1last"/>
      </w:pPr>
      <w:r>
        <w:t>boosting impressions of the social media content</w:t>
      </w:r>
      <w:r w:rsidRPr="00223B6E">
        <w:t xml:space="preserve"> </w:t>
      </w:r>
      <w:r>
        <w:t xml:space="preserve">(potentially </w:t>
      </w:r>
      <w:r w:rsidRPr="00223B6E">
        <w:t>reaching 7.7m people</w:t>
      </w:r>
      <w:r>
        <w:t>).</w:t>
      </w:r>
    </w:p>
    <w:p w14:paraId="4259591B" w14:textId="77777777" w:rsidR="00DB2B1C" w:rsidRPr="006C533E" w:rsidRDefault="00DB2B1C" w:rsidP="00DB2B1C">
      <w:pPr>
        <w:pStyle w:val="Paragraph"/>
      </w:pPr>
      <w:r w:rsidRPr="00DC353A">
        <w:t>Th</w:t>
      </w:r>
      <w:r>
        <w:t>is</w:t>
      </w:r>
      <w:r w:rsidRPr="00DC353A">
        <w:t xml:space="preserve"> option relies </w:t>
      </w:r>
      <w:r>
        <w:t xml:space="preserve">entirely </w:t>
      </w:r>
      <w:r w:rsidRPr="00DC353A">
        <w:t xml:space="preserve">on better informed consumers reacting appropriately to </w:t>
      </w:r>
      <w:r>
        <w:t xml:space="preserve">identify and manage </w:t>
      </w:r>
      <w:r w:rsidRPr="00DC353A">
        <w:t>scam calls.</w:t>
      </w:r>
    </w:p>
    <w:p w14:paraId="78BC474F" w14:textId="77777777" w:rsidR="00DB2B1C" w:rsidRPr="00405DFC" w:rsidRDefault="00DB2B1C" w:rsidP="00DB2B1C">
      <w:pPr>
        <w:pStyle w:val="Heading2"/>
      </w:pPr>
      <w:bookmarkStart w:id="66" w:name="_Toc55546908"/>
      <w:bookmarkStart w:id="67" w:name="_Toc56092944"/>
      <w:bookmarkStart w:id="68" w:name="_Toc32833691"/>
      <w:bookmarkStart w:id="69" w:name="_Toc32833746"/>
      <w:bookmarkStart w:id="70" w:name="_Toc32833819"/>
      <w:bookmarkStart w:id="71" w:name="_Toc33176374"/>
      <w:r w:rsidRPr="00405DFC">
        <w:t>Option 3: Enforceable obligations</w:t>
      </w:r>
      <w:bookmarkEnd w:id="66"/>
      <w:bookmarkEnd w:id="67"/>
    </w:p>
    <w:p w14:paraId="6A088E1E" w14:textId="77777777" w:rsidR="00DB2B1C" w:rsidRPr="0015539D" w:rsidRDefault="00DB2B1C" w:rsidP="00DB2B1C">
      <w:pPr>
        <w:pStyle w:val="Paragraph"/>
      </w:pPr>
      <w:r>
        <w:t>T</w:t>
      </w:r>
      <w:r w:rsidRPr="00AF592F">
        <w:t>h</w:t>
      </w:r>
      <w:r>
        <w:t>e government introduces enforceable obligations under Part 6 of the Act to reduce scam calls. This includes establishing industry-level consistent, flexible, and operationally-sound processes for C/CSPs to use to</w:t>
      </w:r>
      <w:r w:rsidRPr="00CE1F2C">
        <w:rPr>
          <w:rFonts w:cs="Times New Roman"/>
        </w:rPr>
        <w:t xml:space="preserve"> </w:t>
      </w:r>
      <w:r w:rsidRPr="00CE1F2C">
        <w:t>verif</w:t>
      </w:r>
      <w:r>
        <w:t>y</w:t>
      </w:r>
      <w:r w:rsidRPr="00CE1F2C">
        <w:t>, trac</w:t>
      </w:r>
      <w:r>
        <w:t>e</w:t>
      </w:r>
      <w:r w:rsidRPr="00CE1F2C">
        <w:t xml:space="preserve"> and block scam calls</w:t>
      </w:r>
      <w:r>
        <w:t xml:space="preserve"> by all C/CSPs.</w:t>
      </w:r>
    </w:p>
    <w:p w14:paraId="65410ECE" w14:textId="77777777" w:rsidR="00DB2B1C" w:rsidRPr="00610CD5" w:rsidRDefault="00DB2B1C" w:rsidP="00B53BBB">
      <w:pPr>
        <w:pStyle w:val="Paragraphbeforelist"/>
      </w:pPr>
      <w:r w:rsidRPr="00610CD5">
        <w:t>A C/CSP would be required to:</w:t>
      </w:r>
    </w:p>
    <w:p w14:paraId="0BE1E2FC" w14:textId="38521C02" w:rsidR="00DB2B1C" w:rsidRPr="008D09B6" w:rsidRDefault="00A91FB7" w:rsidP="00B53BBB">
      <w:pPr>
        <w:pStyle w:val="Bulletlevel1"/>
      </w:pPr>
      <w:r>
        <w:t xml:space="preserve">provide </w:t>
      </w:r>
      <w:r w:rsidR="00DB2B1C" w:rsidRPr="008D09B6">
        <w:t xml:space="preserve">up-to-date guidance material </w:t>
      </w:r>
      <w:r>
        <w:t xml:space="preserve">on its website </w:t>
      </w:r>
      <w:r w:rsidR="00DB2B1C" w:rsidRPr="008D09B6">
        <w:t>to assist its customers better manage scam calls</w:t>
      </w:r>
    </w:p>
    <w:p w14:paraId="73CD9178" w14:textId="77777777" w:rsidR="00DB2B1C" w:rsidRPr="008D09B6" w:rsidRDefault="00DB2B1C" w:rsidP="00B53BBB">
      <w:pPr>
        <w:pStyle w:val="Bulletlevel1"/>
      </w:pPr>
      <w:r w:rsidRPr="008D09B6">
        <w:t>interrogate its systems to:</w:t>
      </w:r>
    </w:p>
    <w:p w14:paraId="3052A414" w14:textId="0BBF3CD3" w:rsidR="00DB2B1C" w:rsidRPr="008D09B6" w:rsidRDefault="00DB2B1C" w:rsidP="00B53BBB">
      <w:pPr>
        <w:pStyle w:val="Bulletlevel2"/>
      </w:pPr>
      <w:r w:rsidRPr="008D09B6">
        <w:t>identify high-volume, short duration calls from a particular CLI or range of CLIs</w:t>
      </w:r>
    </w:p>
    <w:p w14:paraId="6D6D53ED" w14:textId="41095B68" w:rsidR="00DB2B1C" w:rsidRPr="008D09B6" w:rsidRDefault="00DB2B1C" w:rsidP="00B53BBB">
      <w:pPr>
        <w:pStyle w:val="Bulletlevel2"/>
      </w:pPr>
      <w:r w:rsidRPr="008D09B6">
        <w:t>block calls presenting with problematic CLI (</w:t>
      </w:r>
      <w:r w:rsidR="00A91FB7">
        <w:t>for example,</w:t>
      </w:r>
      <w:r w:rsidRPr="008D09B6">
        <w:t xml:space="preserve"> use of number</w:t>
      </w:r>
      <w:r w:rsidR="00A91FB7">
        <w:t>s</w:t>
      </w:r>
      <w:r w:rsidRPr="008D09B6">
        <w:t xml:space="preserve"> inconsistent with the Telecommunications Numbering Plan 2015)</w:t>
      </w:r>
    </w:p>
    <w:p w14:paraId="1639A1F0" w14:textId="1F048717" w:rsidR="00DB2B1C" w:rsidRPr="008D09B6" w:rsidRDefault="00DB2B1C" w:rsidP="00B53BBB">
      <w:pPr>
        <w:pStyle w:val="Bulletlevel2"/>
      </w:pPr>
      <w:r w:rsidRPr="008D09B6">
        <w:t>ensure its customers are presenting calls with the CLI legitimately issued to them (</w:t>
      </w:r>
      <w:r w:rsidR="00A91FB7">
        <w:t>instead of</w:t>
      </w:r>
      <w:r w:rsidRPr="008D09B6">
        <w:t xml:space="preserve"> CLI spoofing)</w:t>
      </w:r>
    </w:p>
    <w:p w14:paraId="3C062AF6" w14:textId="77777777" w:rsidR="00DB2B1C" w:rsidRPr="008D09B6" w:rsidRDefault="00DB2B1C" w:rsidP="00B53BBB">
      <w:pPr>
        <w:pStyle w:val="Bulletlevel2"/>
      </w:pPr>
      <w:r w:rsidRPr="008D09B6">
        <w:t>block internationally originating calls presenting with Australian numbers (except in limited circumstances)</w:t>
      </w:r>
    </w:p>
    <w:p w14:paraId="53AAF0BD" w14:textId="77777777" w:rsidR="00DB2B1C" w:rsidRPr="008D09B6" w:rsidRDefault="00DB2B1C" w:rsidP="00B53BBB">
      <w:pPr>
        <w:pStyle w:val="Bulletlevel2"/>
      </w:pPr>
      <w:r w:rsidRPr="008D09B6">
        <w:t>trace scam calls originating from its customers when referred by another C/CSP</w:t>
      </w:r>
    </w:p>
    <w:p w14:paraId="5FE2668A" w14:textId="77777777" w:rsidR="00DB2B1C" w:rsidRPr="008D09B6" w:rsidRDefault="00DB2B1C" w:rsidP="00B53BBB">
      <w:pPr>
        <w:pStyle w:val="Bulletlevel2"/>
      </w:pPr>
      <w:r w:rsidRPr="008D09B6">
        <w:t xml:space="preserve">share information in an agreed format with other C/CSPs to reduce scam calls </w:t>
      </w:r>
    </w:p>
    <w:p w14:paraId="0B849AD8" w14:textId="30CCF5C3" w:rsidR="00DB2B1C" w:rsidRPr="008D09B6" w:rsidRDefault="00DB2B1C" w:rsidP="00B53BBB">
      <w:pPr>
        <w:pStyle w:val="Bulletlevel2"/>
        <w:spacing w:after="240"/>
      </w:pPr>
      <w:r w:rsidRPr="008D09B6">
        <w:t>use contractual arrangements with international operators to block internationally</w:t>
      </w:r>
      <w:r w:rsidR="00A91FB7">
        <w:t>-</w:t>
      </w:r>
      <w:r w:rsidRPr="008D09B6">
        <w:t>originating scam calls reaching Australia.</w:t>
      </w:r>
    </w:p>
    <w:p w14:paraId="79351AB8" w14:textId="7D368BE1" w:rsidR="00DB2B1C" w:rsidRPr="004301FA" w:rsidRDefault="00DB2B1C" w:rsidP="00DB2B1C">
      <w:pPr>
        <w:pStyle w:val="Paragraph"/>
      </w:pPr>
      <w:r w:rsidRPr="004301FA">
        <w:t>This option proposes enforceable obligations be principle or outcomes-based to avoid providing sensitive information to scammers, while ensuring they permit adaptive and flexible initiatives to address scams and/or do not stifle potential innovation.</w:t>
      </w:r>
    </w:p>
    <w:p w14:paraId="054F0546" w14:textId="77777777" w:rsidR="00DB2B1C" w:rsidRDefault="00DB2B1C" w:rsidP="00DB2B1C">
      <w:r w:rsidRPr="004301FA">
        <w:rPr>
          <w:rFonts w:cs="Arial"/>
        </w:rPr>
        <w:t>Th</w:t>
      </w:r>
      <w:r>
        <w:rPr>
          <w:rFonts w:cs="Arial"/>
        </w:rPr>
        <w:t>is option provides the</w:t>
      </w:r>
      <w:r w:rsidRPr="004301FA">
        <w:rPr>
          <w:rFonts w:cs="Arial"/>
        </w:rPr>
        <w:t xml:space="preserve"> ACMA </w:t>
      </w:r>
      <w:r>
        <w:rPr>
          <w:rFonts w:cs="Arial"/>
        </w:rPr>
        <w:t>with</w:t>
      </w:r>
      <w:r w:rsidRPr="004301FA">
        <w:rPr>
          <w:rFonts w:cs="Arial"/>
        </w:rPr>
        <w:t xml:space="preserve"> powers under Part 6 of the Act to take action</w:t>
      </w:r>
      <w:r w:rsidRPr="0047233D">
        <w:rPr>
          <w:rFonts w:cs="Arial"/>
        </w:rPr>
        <w:t xml:space="preserve"> </w:t>
      </w:r>
      <w:r w:rsidRPr="004301FA">
        <w:t xml:space="preserve">to ensure </w:t>
      </w:r>
      <w:r>
        <w:t>C/CSPs</w:t>
      </w:r>
      <w:r w:rsidRPr="004301FA">
        <w:t xml:space="preserve"> comply with enforceable obligations.</w:t>
      </w:r>
    </w:p>
    <w:p w14:paraId="438A0ECB" w14:textId="77777777" w:rsidR="00DB2B1C" w:rsidRPr="0015539D" w:rsidRDefault="00DB2B1C" w:rsidP="00DB2B1C">
      <w:pPr>
        <w:pStyle w:val="Paragraph"/>
      </w:pPr>
      <w:r w:rsidRPr="0015539D">
        <w:lastRenderedPageBreak/>
        <w:t>Enforcement action against overseas scammers may be achieved where quality intelligence can be provided to relevant law enforcement agencies through appropriate channels.</w:t>
      </w:r>
    </w:p>
    <w:p w14:paraId="22665CB6" w14:textId="77777777" w:rsidR="00DB2B1C" w:rsidRPr="0015539D" w:rsidRDefault="00DB2B1C" w:rsidP="00DB2B1C">
      <w:pPr>
        <w:rPr>
          <w:rFonts w:cs="Arial"/>
        </w:rPr>
      </w:pPr>
    </w:p>
    <w:p w14:paraId="4BFF7939" w14:textId="77777777" w:rsidR="00DB2B1C" w:rsidRDefault="00DB2B1C" w:rsidP="00DB2B1C">
      <w:pPr>
        <w:pStyle w:val="Paragraph"/>
      </w:pPr>
    </w:p>
    <w:p w14:paraId="22DA6802" w14:textId="77777777" w:rsidR="00DB2B1C" w:rsidRDefault="00DB2B1C" w:rsidP="00DB2B1C">
      <w:pPr>
        <w:pStyle w:val="Heading1"/>
      </w:pPr>
      <w:bookmarkStart w:id="72" w:name="_Toc32833692"/>
      <w:bookmarkStart w:id="73" w:name="_Toc32833747"/>
      <w:bookmarkStart w:id="74" w:name="_Toc32833820"/>
      <w:bookmarkStart w:id="75" w:name="_Toc33176375"/>
      <w:bookmarkStart w:id="76" w:name="_Toc55546909"/>
      <w:bookmarkStart w:id="77" w:name="_Toc56092945"/>
      <w:bookmarkStart w:id="78" w:name="_Hlk30167323"/>
      <w:bookmarkEnd w:id="52"/>
      <w:bookmarkEnd w:id="68"/>
      <w:bookmarkEnd w:id="69"/>
      <w:bookmarkEnd w:id="70"/>
      <w:bookmarkEnd w:id="71"/>
      <w:r w:rsidRPr="000A3902">
        <w:lastRenderedPageBreak/>
        <w:t>4. What is the likely net benefit of each option?</w:t>
      </w:r>
      <w:bookmarkEnd w:id="72"/>
      <w:bookmarkEnd w:id="73"/>
      <w:bookmarkEnd w:id="74"/>
      <w:bookmarkEnd w:id="75"/>
      <w:bookmarkEnd w:id="76"/>
      <w:bookmarkEnd w:id="77"/>
    </w:p>
    <w:p w14:paraId="2FD4E893" w14:textId="77777777" w:rsidR="00DB2B1C" w:rsidRPr="00FF2F8F" w:rsidRDefault="00DB2B1C" w:rsidP="00B53BBB">
      <w:pPr>
        <w:pStyle w:val="Paragraphbeforelist"/>
      </w:pPr>
      <w:r>
        <w:t>The assessment of net benefit is informed by the following assumptions:</w:t>
      </w:r>
    </w:p>
    <w:p w14:paraId="15EB0CB2" w14:textId="77CBCB8C" w:rsidR="00DB2B1C" w:rsidRPr="00CA68FD" w:rsidRDefault="00110968" w:rsidP="00B53BBB">
      <w:pPr>
        <w:pStyle w:val="Bulletlevel1"/>
      </w:pPr>
      <w:r>
        <w:t>c</w:t>
      </w:r>
      <w:r w:rsidR="00DB2B1C" w:rsidRPr="00CA68FD">
        <w:t>osts and benefits for all options are projected forward for 10 years</w:t>
      </w:r>
    </w:p>
    <w:p w14:paraId="7552D277" w14:textId="604CBE2E" w:rsidR="00DB2B1C" w:rsidRPr="00CA68FD" w:rsidRDefault="00110968" w:rsidP="00B53BBB">
      <w:pPr>
        <w:pStyle w:val="Bulletlevel1"/>
      </w:pPr>
      <w:r>
        <w:t>f</w:t>
      </w:r>
      <w:r w:rsidR="00DB2B1C" w:rsidRPr="00CA68FD">
        <w:t>uture costs/benefits are discounted to present value using a discount rate of 7%</w:t>
      </w:r>
    </w:p>
    <w:p w14:paraId="05611C37" w14:textId="7B28E285" w:rsidR="00DB2B1C" w:rsidRPr="00CA68FD" w:rsidRDefault="00110968" w:rsidP="00B53BBB">
      <w:pPr>
        <w:pStyle w:val="Bulletlevel1last"/>
      </w:pPr>
      <w:r>
        <w:t>c</w:t>
      </w:r>
      <w:r w:rsidR="00DB2B1C" w:rsidRPr="00CA68FD">
        <w:t>osts and benefits are reported in average annual figures.</w:t>
      </w:r>
    </w:p>
    <w:p w14:paraId="79841C8E" w14:textId="758C0996" w:rsidR="00DB2B1C" w:rsidRPr="000A3902" w:rsidRDefault="00110968" w:rsidP="00DB2B1C">
      <w:pPr>
        <w:pStyle w:val="Heading2"/>
      </w:pPr>
      <w:bookmarkStart w:id="79" w:name="_Toc32833693"/>
      <w:bookmarkStart w:id="80" w:name="_Toc32833748"/>
      <w:bookmarkStart w:id="81" w:name="_Toc32833821"/>
      <w:bookmarkStart w:id="82" w:name="_Toc33176376"/>
      <w:bookmarkStart w:id="83" w:name="_Toc55546910"/>
      <w:bookmarkStart w:id="84" w:name="_Toc56092946"/>
      <w:r>
        <w:t xml:space="preserve">Option 1: </w:t>
      </w:r>
      <w:r w:rsidR="00DB2B1C" w:rsidRPr="000A3902">
        <w:t>Status quo</w:t>
      </w:r>
      <w:bookmarkEnd w:id="79"/>
      <w:bookmarkEnd w:id="80"/>
      <w:bookmarkEnd w:id="81"/>
      <w:bookmarkEnd w:id="82"/>
      <w:bookmarkEnd w:id="83"/>
      <w:bookmarkEnd w:id="84"/>
    </w:p>
    <w:p w14:paraId="5C4864BA" w14:textId="77777777" w:rsidR="00DB2B1C" w:rsidRPr="000A3902" w:rsidRDefault="00DB2B1C" w:rsidP="00DB2B1C">
      <w:pPr>
        <w:pStyle w:val="Heading3"/>
      </w:pPr>
      <w:bookmarkStart w:id="85" w:name="_Toc55546911"/>
      <w:bookmarkStart w:id="86" w:name="_Toc56092947"/>
      <w:r w:rsidRPr="000A3902">
        <w:t>Benefits</w:t>
      </w:r>
      <w:bookmarkEnd w:id="85"/>
      <w:bookmarkEnd w:id="86"/>
    </w:p>
    <w:p w14:paraId="604D1833" w14:textId="6BE0AC99" w:rsidR="00DB2B1C" w:rsidRDefault="00DB2B1C" w:rsidP="00DB2B1C">
      <w:pPr>
        <w:pStyle w:val="Paragraph"/>
        <w:rPr>
          <w:rFonts w:eastAsiaTheme="minorHAnsi"/>
          <w:lang w:eastAsia="en-US"/>
        </w:rPr>
      </w:pPr>
      <w:r>
        <w:t>If the status quo is maintained, the Australian community will continue to be subject to scam calls</w:t>
      </w:r>
      <w:r w:rsidR="00110968">
        <w:t>,</w:t>
      </w:r>
      <w:r>
        <w:t xml:space="preserve"> as</w:t>
      </w:r>
      <w:r w:rsidRPr="001215D5">
        <w:t xml:space="preserve"> </w:t>
      </w:r>
      <w:r>
        <w:t>scammers</w:t>
      </w:r>
      <w:r w:rsidRPr="001215D5">
        <w:t xml:space="preserve"> can target any </w:t>
      </w:r>
      <w:r>
        <w:t xml:space="preserve">Australian </w:t>
      </w:r>
      <w:r w:rsidRPr="001215D5">
        <w:t xml:space="preserve">mobile, landline or business </w:t>
      </w:r>
      <w:r>
        <w:t xml:space="preserve">service </w:t>
      </w:r>
      <w:r w:rsidRPr="001215D5">
        <w:t>number</w:t>
      </w:r>
      <w:r>
        <w:t>.</w:t>
      </w:r>
    </w:p>
    <w:p w14:paraId="08A63432" w14:textId="5DA8A285" w:rsidR="00DB2B1C" w:rsidRPr="000179D0" w:rsidDel="00F84468" w:rsidRDefault="00DB2B1C" w:rsidP="00B53BBB">
      <w:pPr>
        <w:pStyle w:val="Paragraph"/>
        <w:rPr>
          <w:rFonts w:eastAsiaTheme="minorHAnsi"/>
        </w:rPr>
      </w:pPr>
      <w:r>
        <w:t>C/CSP</w:t>
      </w:r>
      <w:r w:rsidRPr="000179D0">
        <w:t xml:space="preserve">s </w:t>
      </w:r>
      <w:r>
        <w:t>that have not</w:t>
      </w:r>
      <w:r w:rsidRPr="000179D0">
        <w:t xml:space="preserve"> implement</w:t>
      </w:r>
      <w:r>
        <w:t>ed</w:t>
      </w:r>
      <w:r w:rsidRPr="000179D0" w:rsidDel="00513131">
        <w:rPr>
          <w:rFonts w:eastAsiaTheme="minorHAnsi"/>
        </w:rPr>
        <w:t xml:space="preserve"> </w:t>
      </w:r>
      <w:r w:rsidRPr="000179D0">
        <w:rPr>
          <w:rFonts w:eastAsiaTheme="minorHAnsi"/>
        </w:rPr>
        <w:t>monitoring, verifying, tracing and scam call data</w:t>
      </w:r>
      <w:r w:rsidR="00110968">
        <w:rPr>
          <w:rFonts w:eastAsiaTheme="minorHAnsi"/>
        </w:rPr>
        <w:t>-</w:t>
      </w:r>
      <w:r w:rsidRPr="000179D0">
        <w:rPr>
          <w:rFonts w:eastAsiaTheme="minorHAnsi"/>
        </w:rPr>
        <w:t>sharing may benefit from choosing not to implement any additional processes beyond what is currently required to meet existing obligations under Part 13 of the Act</w:t>
      </w:r>
      <w:r>
        <w:rPr>
          <w:rFonts w:eastAsiaTheme="minorHAnsi"/>
        </w:rPr>
        <w:t>, although it is noted that such a provider may be subject to reputational and lack of consumer confidence issues.</w:t>
      </w:r>
    </w:p>
    <w:p w14:paraId="6B2D2992" w14:textId="77777777" w:rsidR="00DB2B1C" w:rsidRPr="000A3902" w:rsidRDefault="00DB2B1C" w:rsidP="00DB2B1C">
      <w:pPr>
        <w:pStyle w:val="Heading3"/>
      </w:pPr>
      <w:bookmarkStart w:id="87" w:name="_Toc55546912"/>
      <w:bookmarkStart w:id="88" w:name="_Toc56092948"/>
      <w:bookmarkStart w:id="89" w:name="_Hlk52801182"/>
      <w:r w:rsidRPr="000A3902">
        <w:t>Costs</w:t>
      </w:r>
      <w:bookmarkEnd w:id="87"/>
      <w:bookmarkEnd w:id="88"/>
    </w:p>
    <w:bookmarkEnd w:id="89"/>
    <w:p w14:paraId="3EA0A3DA" w14:textId="77777777" w:rsidR="00DB2B1C" w:rsidRPr="000179D0" w:rsidRDefault="00DB2B1C" w:rsidP="00B53BBB">
      <w:pPr>
        <w:pStyle w:val="Paragraph"/>
      </w:pPr>
      <w:r w:rsidRPr="000179D0">
        <w:t xml:space="preserve">This option does not generally impose any additional regulatory costs on consumers, businesses, or </w:t>
      </w:r>
      <w:r>
        <w:t>C/CSPs</w:t>
      </w:r>
      <w:r w:rsidRPr="000179D0">
        <w:t>.</w:t>
      </w:r>
    </w:p>
    <w:p w14:paraId="33BAA58F" w14:textId="296FB68A" w:rsidR="00DB2B1C" w:rsidRPr="007F08AE" w:rsidRDefault="00DB2B1C" w:rsidP="00B53BBB">
      <w:pPr>
        <w:pStyle w:val="Paragraph"/>
      </w:pPr>
      <w:r w:rsidRPr="00740A56">
        <w:rPr>
          <w:rFonts w:eastAsia="Calibri"/>
          <w:lang w:eastAsia="en-US"/>
        </w:rPr>
        <w:t xml:space="preserve">The </w:t>
      </w:r>
      <w:r>
        <w:rPr>
          <w:rFonts w:eastAsia="Calibri"/>
          <w:lang w:eastAsia="en-US"/>
        </w:rPr>
        <w:t>impact of</w:t>
      </w:r>
      <w:r w:rsidRPr="00740A56">
        <w:rPr>
          <w:rFonts w:eastAsia="Calibri"/>
          <w:lang w:eastAsia="en-US"/>
        </w:rPr>
        <w:t xml:space="preserve"> scam calls </w:t>
      </w:r>
      <w:r>
        <w:rPr>
          <w:rFonts w:eastAsia="Calibri"/>
          <w:lang w:eastAsia="en-US"/>
        </w:rPr>
        <w:t>on</w:t>
      </w:r>
      <w:r w:rsidRPr="00740A56">
        <w:rPr>
          <w:rFonts w:eastAsia="Calibri"/>
          <w:lang w:eastAsia="en-US"/>
        </w:rPr>
        <w:t xml:space="preserve"> the Australian community </w:t>
      </w:r>
      <w:r>
        <w:rPr>
          <w:rFonts w:eastAsia="Calibri"/>
          <w:lang w:eastAsia="en-US"/>
        </w:rPr>
        <w:t>is</w:t>
      </w:r>
      <w:r w:rsidRPr="00740A56">
        <w:rPr>
          <w:rFonts w:eastAsia="Calibri"/>
          <w:lang w:eastAsia="en-US"/>
        </w:rPr>
        <w:t xml:space="preserve"> serious and include</w:t>
      </w:r>
      <w:r>
        <w:rPr>
          <w:rFonts w:eastAsia="Calibri"/>
          <w:lang w:eastAsia="en-US"/>
        </w:rPr>
        <w:t>s</w:t>
      </w:r>
      <w:r w:rsidRPr="00740A56">
        <w:rPr>
          <w:rFonts w:eastAsia="Calibri"/>
          <w:lang w:eastAsia="en-US"/>
        </w:rPr>
        <w:t xml:space="preserve"> (but </w:t>
      </w:r>
      <w:r w:rsidR="00110968">
        <w:rPr>
          <w:rFonts w:eastAsia="Calibri"/>
          <w:lang w:eastAsia="en-US"/>
        </w:rPr>
        <w:t>is</w:t>
      </w:r>
      <w:r w:rsidR="00110968" w:rsidRPr="00740A56">
        <w:rPr>
          <w:rFonts w:eastAsia="Calibri"/>
          <w:lang w:eastAsia="en-US"/>
        </w:rPr>
        <w:t xml:space="preserve"> </w:t>
      </w:r>
      <w:r w:rsidRPr="00740A56">
        <w:rPr>
          <w:rFonts w:eastAsia="Calibri"/>
          <w:lang w:eastAsia="en-US"/>
        </w:rPr>
        <w:t xml:space="preserve">not limited to) financial loss, negative credit ratings, psychological harm and emotional stress. </w:t>
      </w:r>
      <w:r w:rsidRPr="00E45F33">
        <w:rPr>
          <w:rFonts w:eastAsia="Calibri"/>
          <w:lang w:eastAsia="en-US"/>
        </w:rPr>
        <w:t xml:space="preserve">If the status quo is maintained, it can be assumed that the levels of harm attributed to </w:t>
      </w:r>
      <w:r>
        <w:rPr>
          <w:rFonts w:eastAsia="Calibri"/>
          <w:lang w:eastAsia="en-US"/>
        </w:rPr>
        <w:t xml:space="preserve">the impact of </w:t>
      </w:r>
      <w:r w:rsidRPr="00E45F33">
        <w:rPr>
          <w:rFonts w:eastAsia="Calibri"/>
          <w:lang w:eastAsia="en-US"/>
        </w:rPr>
        <w:t>scam</w:t>
      </w:r>
      <w:r>
        <w:rPr>
          <w:rFonts w:eastAsia="Calibri"/>
          <w:lang w:eastAsia="en-US"/>
        </w:rPr>
        <w:t xml:space="preserve"> call</w:t>
      </w:r>
      <w:r w:rsidRPr="00E45F33">
        <w:rPr>
          <w:rFonts w:eastAsia="Calibri"/>
          <w:lang w:eastAsia="en-US"/>
        </w:rPr>
        <w:t>s will continue to increase as scammers become more efficient at targeting customers.</w:t>
      </w:r>
    </w:p>
    <w:p w14:paraId="1A6E1DBE" w14:textId="37DAE88B" w:rsidR="00DB2B1C" w:rsidRDefault="00DB2B1C" w:rsidP="00B53BBB">
      <w:pPr>
        <w:pStyle w:val="Paragraphbeforelist"/>
        <w:rPr>
          <w:szCs w:val="20"/>
        </w:rPr>
      </w:pPr>
      <w:r>
        <w:t xml:space="preserve">As reported by Scamwatch, in 2019, </w:t>
      </w:r>
      <w:r w:rsidRPr="00F665B1">
        <w:t>Australians made 167</w:t>
      </w:r>
      <w:r>
        <w:t>,</w:t>
      </w:r>
      <w:r w:rsidRPr="00F665B1">
        <w:t>797</w:t>
      </w:r>
      <w:r>
        <w:t xml:space="preserve"> scam</w:t>
      </w:r>
      <w:r w:rsidRPr="00F665B1">
        <w:t xml:space="preserve"> reports</w:t>
      </w:r>
      <w:r w:rsidR="00110968">
        <w:t>,</w:t>
      </w:r>
      <w:r w:rsidRPr="00F665B1">
        <w:t xml:space="preserve"> and</w:t>
      </w:r>
      <w:r>
        <w:t xml:space="preserve"> </w:t>
      </w:r>
      <w:r w:rsidRPr="00F665B1">
        <w:t xml:space="preserve">financial losses </w:t>
      </w:r>
      <w:r w:rsidRPr="009B4FA2">
        <w:rPr>
          <w:szCs w:val="20"/>
        </w:rPr>
        <w:t>increased by 34</w:t>
      </w:r>
      <w:r>
        <w:rPr>
          <w:szCs w:val="20"/>
        </w:rPr>
        <w:t xml:space="preserve">% from 2018: </w:t>
      </w:r>
    </w:p>
    <w:p w14:paraId="0D77BDBF" w14:textId="029A9DBA" w:rsidR="00DB2B1C" w:rsidRPr="00833A37" w:rsidRDefault="00DB2B1C" w:rsidP="00B53BBB">
      <w:pPr>
        <w:pStyle w:val="Bulletlevel1"/>
      </w:pPr>
      <w:r w:rsidRPr="00833A37">
        <w:t xml:space="preserve">Of these, </w:t>
      </w:r>
      <w:bookmarkStart w:id="90" w:name="_Hlk54171517"/>
      <w:r w:rsidRPr="00833A37">
        <w:t xml:space="preserve">scams </w:t>
      </w:r>
      <w:r>
        <w:t xml:space="preserve">via phone </w:t>
      </w:r>
      <w:r w:rsidRPr="00833A37">
        <w:t xml:space="preserve">accounted for 41% of all </w:t>
      </w:r>
      <w:bookmarkEnd w:id="90"/>
      <w:r w:rsidRPr="00833A37">
        <w:t xml:space="preserve">scams (69,522 reports) and more than $32.6 million in reported losses. </w:t>
      </w:r>
    </w:p>
    <w:p w14:paraId="45B6F2F2" w14:textId="77777777" w:rsidR="00DB2B1C" w:rsidRPr="00833A37" w:rsidRDefault="00DB2B1C" w:rsidP="00B53BBB">
      <w:pPr>
        <w:pStyle w:val="Bulletlevel1last"/>
      </w:pPr>
      <w:r w:rsidRPr="00833A37">
        <w:t xml:space="preserve">This is an increase of over 7% on losses to scams </w:t>
      </w:r>
      <w:r>
        <w:t xml:space="preserve">via phone </w:t>
      </w:r>
      <w:r w:rsidRPr="00833A37">
        <w:t>in 2018.</w:t>
      </w:r>
      <w:r w:rsidRPr="00833A37">
        <w:rPr>
          <w:rStyle w:val="FootnoteReference"/>
          <w:szCs w:val="20"/>
        </w:rPr>
        <w:footnoteReference w:id="44"/>
      </w:r>
    </w:p>
    <w:p w14:paraId="16930E5A" w14:textId="77777777" w:rsidR="00DB2B1C" w:rsidRDefault="00DB2B1C" w:rsidP="00DB2B1C">
      <w:r>
        <w:t>It is important to note that these reports and losses continue despite some C/CSPs</w:t>
      </w:r>
      <w:r w:rsidRPr="003449E6">
        <w:t xml:space="preserve"> </w:t>
      </w:r>
      <w:r>
        <w:t>voluntarily implementing</w:t>
      </w:r>
      <w:r w:rsidRPr="003449E6">
        <w:t xml:space="preserve"> scam disruption </w:t>
      </w:r>
      <w:r>
        <w:t xml:space="preserve">measures. </w:t>
      </w:r>
    </w:p>
    <w:p w14:paraId="229A3D68" w14:textId="77777777" w:rsidR="00DB2B1C" w:rsidRDefault="00DB2B1C" w:rsidP="00B53BBB">
      <w:pPr>
        <w:pStyle w:val="Paragraph"/>
      </w:pPr>
      <w:r>
        <w:t>Scamwatch r</w:t>
      </w:r>
      <w:r w:rsidRPr="00A857C2">
        <w:t xml:space="preserve">esearch </w:t>
      </w:r>
      <w:r>
        <w:t xml:space="preserve">also </w:t>
      </w:r>
      <w:r w:rsidRPr="00A857C2">
        <w:t xml:space="preserve">shows that scams are both under-reported </w:t>
      </w:r>
      <w:r>
        <w:t xml:space="preserve">(by approximately 33%) </w:t>
      </w:r>
      <w:r w:rsidRPr="00A857C2">
        <w:t xml:space="preserve">and inconsistently reported </w:t>
      </w:r>
      <w:r>
        <w:t>–</w:t>
      </w:r>
      <w:r w:rsidRPr="00A857C2">
        <w:t xml:space="preserve"> victims may report to none, one or all the government or consumer agencies that take</w:t>
      </w:r>
      <w:r>
        <w:t xml:space="preserve"> reports</w:t>
      </w:r>
      <w:r w:rsidRPr="00A857C2">
        <w:t xml:space="preserve">. </w:t>
      </w:r>
    </w:p>
    <w:p w14:paraId="123286CA" w14:textId="7B9E156D" w:rsidR="00DB2B1C" w:rsidRDefault="00DB2B1C" w:rsidP="00DB2B1C">
      <w:r>
        <w:t>Therefore, for the purposes of this RIS,</w:t>
      </w:r>
      <w:r w:rsidRPr="00631BA5">
        <w:t xml:space="preserve"> </w:t>
      </w:r>
      <w:r>
        <w:t>a conservative average annual increase of 7% has been applied. This considers that from 2018 to 2019, there was an increase in reports of losses from scams via phone of 7%</w:t>
      </w:r>
      <w:r w:rsidR="00110968">
        <w:t>,</w:t>
      </w:r>
      <w:r>
        <w:t xml:space="preserve"> </w:t>
      </w:r>
      <w:r>
        <w:rPr>
          <w:rFonts w:cs="Arial"/>
          <w:szCs w:val="20"/>
        </w:rPr>
        <w:t xml:space="preserve">while reported </w:t>
      </w:r>
      <w:r w:rsidRPr="00326889">
        <w:rPr>
          <w:rFonts w:cs="Arial"/>
        </w:rPr>
        <w:t xml:space="preserve">scams </w:t>
      </w:r>
      <w:r>
        <w:rPr>
          <w:rFonts w:cs="Arial"/>
        </w:rPr>
        <w:t xml:space="preserve">via phone </w:t>
      </w:r>
      <w:r w:rsidRPr="00326889">
        <w:rPr>
          <w:rFonts w:cs="Arial"/>
        </w:rPr>
        <w:t>accounted for 41% of all</w:t>
      </w:r>
      <w:r>
        <w:t xml:space="preserve"> losses in 2019.</w:t>
      </w:r>
      <w:r w:rsidRPr="00326889">
        <w:t xml:space="preserve"> As of September 2020, 42% of all reports to Scamwatch </w:t>
      </w:r>
      <w:r>
        <w:t xml:space="preserve">in 2020 </w:t>
      </w:r>
      <w:r w:rsidRPr="00326889">
        <w:t>have been about scams received by phone –</w:t>
      </w:r>
      <w:r>
        <w:t xml:space="preserve"> this is </w:t>
      </w:r>
      <w:r w:rsidRPr="00326889">
        <w:t xml:space="preserve">up slightly </w:t>
      </w:r>
      <w:r w:rsidRPr="00326889">
        <w:lastRenderedPageBreak/>
        <w:t xml:space="preserve">from 2019 </w:t>
      </w:r>
      <w:r>
        <w:t xml:space="preserve">and accounts for nearly the same in losses </w:t>
      </w:r>
      <w:r>
        <w:rPr>
          <w:rFonts w:cs="Arial"/>
        </w:rPr>
        <w:t xml:space="preserve">– yet </w:t>
      </w:r>
      <w:r>
        <w:t>with 3 months of the year to go.</w:t>
      </w:r>
    </w:p>
    <w:p w14:paraId="3769BC37" w14:textId="43BB1AED" w:rsidR="00DB2B1C" w:rsidRPr="00FF1DF0" w:rsidRDefault="00DB2B1C" w:rsidP="00DB2B1C">
      <w:r w:rsidRPr="00952D69">
        <w:t xml:space="preserve">It can be anticipated that if the status quo remained, </w:t>
      </w:r>
      <w:r>
        <w:t xml:space="preserve">losses from reported </w:t>
      </w:r>
      <w:r w:rsidRPr="00952D69">
        <w:t xml:space="preserve">scam calls </w:t>
      </w:r>
      <w:r>
        <w:t>to consumers and business</w:t>
      </w:r>
      <w:r w:rsidRPr="00952D69">
        <w:t xml:space="preserve"> would continue to increase, and there would be</w:t>
      </w:r>
      <w:r w:rsidR="008E6015">
        <w:t>,</w:t>
      </w:r>
      <w:r w:rsidRPr="00952D69">
        <w:t xml:space="preserve"> on </w:t>
      </w:r>
      <w:r w:rsidRPr="0048778C">
        <w:t>average</w:t>
      </w:r>
      <w:r w:rsidR="008E6015">
        <w:t>,</w:t>
      </w:r>
      <w:r w:rsidRPr="0048778C">
        <w:t xml:space="preserve"> $35.3 million in</w:t>
      </w:r>
      <w:r w:rsidRPr="00952D69">
        <w:t xml:space="preserve"> direct financial losses each year over a 10-year period.</w:t>
      </w:r>
      <w:r w:rsidRPr="00952D69">
        <w:rPr>
          <w:vertAlign w:val="superscript"/>
        </w:rPr>
        <w:footnoteReference w:id="45"/>
      </w:r>
    </w:p>
    <w:p w14:paraId="6E6652BC" w14:textId="77777777" w:rsidR="00DB2B1C" w:rsidRDefault="00DB2B1C" w:rsidP="00DB2B1C">
      <w:r w:rsidRPr="0026660E">
        <w:t>Assuming customers quickly notify their financial institution, the financial cost of fraud may be borne by those institutions</w:t>
      </w:r>
      <w:r>
        <w:t xml:space="preserve"> – </w:t>
      </w:r>
      <w:r w:rsidRPr="0026660E">
        <w:t>with customers recovering money lost through fraud protection policies.</w:t>
      </w:r>
      <w:r>
        <w:t xml:space="preserve"> </w:t>
      </w:r>
      <w:r w:rsidRPr="00037497">
        <w:t>However, the costs borne by financial institutions will either increase insurance costs and/or be recovered across the customer base.</w:t>
      </w:r>
    </w:p>
    <w:p w14:paraId="6680DE72" w14:textId="77777777" w:rsidR="00DB2B1C" w:rsidRPr="00A80D58" w:rsidRDefault="00DB2B1C" w:rsidP="00DB2B1C">
      <w:r>
        <w:t>In addition, w</w:t>
      </w:r>
      <w:r w:rsidRPr="00A80D58">
        <w:t xml:space="preserve">hile </w:t>
      </w:r>
      <w:r>
        <w:t xml:space="preserve">scam </w:t>
      </w:r>
      <w:r w:rsidRPr="00A80D58">
        <w:t>victims may, ultimately, recoup financial losses, identity theft victims may experience similar emotional effects as victims of violent crimes, ranging from anxiety to emotional volatility.</w:t>
      </w:r>
      <w:r w:rsidRPr="00626A39">
        <w:t xml:space="preserve"> Once someone has had their identity stolen, it can be very difficult and time-consuming to reverse the effects.</w:t>
      </w:r>
      <w:r>
        <w:rPr>
          <w:rStyle w:val="FootnoteReference"/>
        </w:rPr>
        <w:footnoteReference w:id="46"/>
      </w:r>
    </w:p>
    <w:p w14:paraId="78E2A7D5" w14:textId="77777777" w:rsidR="00DB2B1C" w:rsidRPr="00A80D58" w:rsidRDefault="00DB2B1C" w:rsidP="00DB2B1C">
      <w:r w:rsidRPr="00A80D58">
        <w:t xml:space="preserve">Customers who have had their identity stolen need to spend time addressing their losses (both financial and of their identity) and may use support services to assist them. For example, they may seek advice from IDCARE before contacting government services that might be compromised (such as myGov, ATO, Medicare), their financial institutions (banks, superannuation, investment firms) and their </w:t>
      </w:r>
      <w:r>
        <w:t>C/CSP</w:t>
      </w:r>
      <w:r w:rsidRPr="00A80D58">
        <w:t>.</w:t>
      </w:r>
    </w:p>
    <w:p w14:paraId="7CA24EF1" w14:textId="39B29376" w:rsidR="00DB2B1C" w:rsidRPr="00EA1F2D" w:rsidRDefault="00DB2B1C" w:rsidP="00362642">
      <w:pPr>
        <w:pStyle w:val="Paragraph"/>
      </w:pPr>
      <w:r>
        <w:t>Taking the</w:t>
      </w:r>
      <w:r w:rsidRPr="00A80D58">
        <w:t xml:space="preserve"> IDCARE </w:t>
      </w:r>
      <w:r>
        <w:t>figures for 2017</w:t>
      </w:r>
      <w:r w:rsidR="008E6015">
        <w:t>–</w:t>
      </w:r>
      <w:r>
        <w:t xml:space="preserve">18 that </w:t>
      </w:r>
      <w:r w:rsidRPr="00A80D58">
        <w:t xml:space="preserve">estimate an average of 32 hours is spent by </w:t>
      </w:r>
      <w:r>
        <w:t>people</w:t>
      </w:r>
      <w:r w:rsidRPr="00A80D58">
        <w:t xml:space="preserve"> to address identity theft</w:t>
      </w:r>
      <w:r w:rsidR="00DF4607">
        <w:t xml:space="preserve">, </w:t>
      </w:r>
      <w:r w:rsidR="00DF4607" w:rsidRPr="00EA1F2D">
        <w:t>this represents a minimum cost of $1,024 per victim – or total losses of $2,748,416 per year</w:t>
      </w:r>
      <w:r w:rsidR="00DF4607">
        <w:t xml:space="preserve"> (c</w:t>
      </w:r>
      <w:r w:rsidRPr="00EA1F2D">
        <w:t>alculated at the OBPR leisure labour rate of $32 per hour for private citizens and based on an estimate of 2,684 reports in 2020).</w:t>
      </w:r>
    </w:p>
    <w:p w14:paraId="79BB5FE5" w14:textId="687907F7" w:rsidR="00DB2B1C" w:rsidRPr="00A80D58" w:rsidRDefault="00DB2B1C" w:rsidP="00DB2B1C">
      <w:r w:rsidRPr="00A80D58">
        <w:t>Victims of identity theft can also experience multiple instances of fraud over months or years.</w:t>
      </w:r>
      <w:r w:rsidRPr="00A80D58">
        <w:rPr>
          <w:vertAlign w:val="superscript"/>
        </w:rPr>
        <w:footnoteReference w:id="47"/>
      </w:r>
      <w:r w:rsidRPr="00A80D58">
        <w:t xml:space="preserve"> Support service </w:t>
      </w:r>
      <w:hyperlink r:id="rId36" w:history="1">
        <w:r>
          <w:rPr>
            <w:rStyle w:val="Hyperlink"/>
          </w:rPr>
          <w:t>IDCARE recommends</w:t>
        </w:r>
      </w:hyperlink>
      <w:r w:rsidRPr="00A80D58">
        <w:t xml:space="preserve"> victims set up yearly reporting to allow for continual monitoring. Identity theft has long-term, unquantifiable repercussions for victims.</w:t>
      </w:r>
    </w:p>
    <w:p w14:paraId="245AC735" w14:textId="77777777" w:rsidR="00DB2B1C" w:rsidRPr="00A80D58" w:rsidDel="00181D8D" w:rsidRDefault="00DB2B1C" w:rsidP="00DB2B1C">
      <w:r w:rsidRPr="00A80D58" w:rsidDel="00181D8D">
        <w:t xml:space="preserve">But the impact </w:t>
      </w:r>
      <w:r>
        <w:t>phone scams</w:t>
      </w:r>
      <w:r w:rsidRPr="00A80D58" w:rsidDel="00181D8D">
        <w:t xml:space="preserve"> </w:t>
      </w:r>
      <w:r>
        <w:t xml:space="preserve">have </w:t>
      </w:r>
      <w:r w:rsidRPr="00A80D58" w:rsidDel="00181D8D">
        <w:t xml:space="preserve">on </w:t>
      </w:r>
      <w:r>
        <w:t>individuals</w:t>
      </w:r>
      <w:r w:rsidRPr="00A80D58" w:rsidDel="00181D8D">
        <w:t xml:space="preserve"> whose identity is stolen goes beyond economic losses suffered. Identity theft affects more than just any single individual. The fraud </w:t>
      </w:r>
      <w:r w:rsidRPr="00A80D58">
        <w:t>can impact</w:t>
      </w:r>
      <w:r w:rsidRPr="00A80D58" w:rsidDel="00181D8D">
        <w:t xml:space="preserve"> those close to victims, with financial and psychological stress i</w:t>
      </w:r>
      <w:r w:rsidRPr="00A80D58">
        <w:t>nvolved</w:t>
      </w:r>
      <w:r>
        <w:t>.</w:t>
      </w:r>
      <w:r w:rsidRPr="00A80D58" w:rsidDel="00181D8D">
        <w:rPr>
          <w:vertAlign w:val="superscript"/>
        </w:rPr>
        <w:footnoteReference w:id="48"/>
      </w:r>
      <w:r w:rsidRPr="00A80D58" w:rsidDel="00181D8D">
        <w:t xml:space="preserve"> In some </w:t>
      </w:r>
      <w:r w:rsidRPr="00A80D58">
        <w:t xml:space="preserve">extreme </w:t>
      </w:r>
      <w:r w:rsidRPr="00A80D58" w:rsidDel="00181D8D">
        <w:t>cases, victims have difficulties in finding employment, are refused services, or are refused credit due to the fraud.</w:t>
      </w:r>
      <w:r w:rsidRPr="00A80D58" w:rsidDel="00181D8D">
        <w:rPr>
          <w:vertAlign w:val="superscript"/>
        </w:rPr>
        <w:footnoteReference w:id="49"/>
      </w:r>
    </w:p>
    <w:p w14:paraId="49990F33" w14:textId="77777777" w:rsidR="00DB2B1C" w:rsidRPr="004A05FC" w:rsidRDefault="00DB2B1C" w:rsidP="00DB2B1C">
      <w:r w:rsidRPr="00A80D58">
        <w:t xml:space="preserve">In a survey conducted by the </w:t>
      </w:r>
      <w:hyperlink r:id="rId37" w:history="1">
        <w:r w:rsidRPr="00A80D58">
          <w:rPr>
            <w:rStyle w:val="Hyperlink"/>
          </w:rPr>
          <w:t>Identity Theft Resource Centre</w:t>
        </w:r>
      </w:hyperlink>
      <w:r w:rsidRPr="00A80D58">
        <w:t>, victims reported significant distress well beyond the initial instance of fraud. They reported feelings of anxiety, anger and frustration, violation, powerlessness and sadness. These feelings result in physical consequences including problems with sleep, increased stress levels, concentration issues, persistent aches, pains or headaches and fatigue.</w:t>
      </w:r>
      <w:bookmarkStart w:id="93" w:name="_Hlk52883751"/>
    </w:p>
    <w:bookmarkEnd w:id="93"/>
    <w:p w14:paraId="0FE8F44B" w14:textId="49E126A3" w:rsidR="00DB2B1C" w:rsidRPr="005C673E" w:rsidRDefault="00DB2B1C" w:rsidP="00B53BBB">
      <w:pPr>
        <w:pStyle w:val="Paragraph"/>
      </w:pPr>
      <w:r>
        <w:t>As scam calls can target any landline or business number,</w:t>
      </w:r>
      <w:r w:rsidRPr="00B62B5E">
        <w:t xml:space="preserve"> the costs to business from financial losses from scam calls</w:t>
      </w:r>
      <w:r w:rsidRPr="00B62B5E" w:rsidDel="00C023DE">
        <w:t xml:space="preserve"> </w:t>
      </w:r>
      <w:r w:rsidRPr="00B62B5E">
        <w:t>is generally considered to be higher.</w:t>
      </w:r>
      <w:r>
        <w:t xml:space="preserve"> The 92 r</w:t>
      </w:r>
      <w:r w:rsidRPr="00755F07">
        <w:t>eports</w:t>
      </w:r>
      <w:r>
        <w:t xml:space="preserve"> of losses from scams</w:t>
      </w:r>
      <w:r w:rsidRPr="00755F07">
        <w:t xml:space="preserve"> via phone made by businesses </w:t>
      </w:r>
      <w:r>
        <w:t xml:space="preserve">in 2019 totalled </w:t>
      </w:r>
      <w:r w:rsidRPr="00437A62">
        <w:t>$1</w:t>
      </w:r>
      <w:r>
        <w:t>.1 million</w:t>
      </w:r>
      <w:r w:rsidR="008E6015">
        <w:t xml:space="preserve">, with </w:t>
      </w:r>
      <w:r>
        <w:t>an average loss of $</w:t>
      </w:r>
      <w:r w:rsidRPr="00755F07">
        <w:t xml:space="preserve"> 11,957</w:t>
      </w:r>
      <w:r>
        <w:t xml:space="preserve">. This is significantly higher than the average loss reported </w:t>
      </w:r>
      <w:r>
        <w:lastRenderedPageBreak/>
        <w:t>to Scamwatch in 2019 across all contact methods (</w:t>
      </w:r>
      <w:r w:rsidRPr="00755F07">
        <w:rPr>
          <w:iCs/>
        </w:rPr>
        <w:t>$7,224</w:t>
      </w:r>
      <w:r>
        <w:rPr>
          <w:iCs/>
        </w:rPr>
        <w:t>).</w:t>
      </w:r>
      <w:r>
        <w:rPr>
          <w:rStyle w:val="FootnoteReference"/>
          <w:iCs/>
        </w:rPr>
        <w:footnoteReference w:id="50"/>
      </w:r>
      <w:r w:rsidRPr="00F70940">
        <w:t xml:space="preserve"> </w:t>
      </w:r>
      <w:r w:rsidRPr="00F70940">
        <w:rPr>
          <w:iCs/>
        </w:rPr>
        <w:t xml:space="preserve">Scamwatch data </w:t>
      </w:r>
      <w:r>
        <w:rPr>
          <w:iCs/>
        </w:rPr>
        <w:t xml:space="preserve">also </w:t>
      </w:r>
      <w:r w:rsidRPr="00F70940">
        <w:rPr>
          <w:iCs/>
        </w:rPr>
        <w:t xml:space="preserve">indicates </w:t>
      </w:r>
      <w:r>
        <w:rPr>
          <w:iCs/>
        </w:rPr>
        <w:t xml:space="preserve">the </w:t>
      </w:r>
      <w:r w:rsidRPr="00F70940">
        <w:rPr>
          <w:iCs/>
        </w:rPr>
        <w:t xml:space="preserve">businesses had </w:t>
      </w:r>
      <w:r>
        <w:rPr>
          <w:iCs/>
        </w:rPr>
        <w:t xml:space="preserve">the highest </w:t>
      </w:r>
      <w:r w:rsidRPr="00F70940">
        <w:rPr>
          <w:iCs/>
        </w:rPr>
        <w:t>combined losses of $132 million in 2019.</w:t>
      </w:r>
      <w:r w:rsidRPr="00F70940">
        <w:rPr>
          <w:iCs/>
          <w:vertAlign w:val="superscript"/>
        </w:rPr>
        <w:footnoteReference w:id="51"/>
      </w:r>
    </w:p>
    <w:p w14:paraId="76F08FC6" w14:textId="5D941248" w:rsidR="00DB2B1C" w:rsidRPr="00940A75" w:rsidRDefault="00DB2B1C" w:rsidP="00DB2B1C">
      <w:pPr>
        <w:rPr>
          <w:rFonts w:eastAsiaTheme="minorHAnsi"/>
        </w:rPr>
      </w:pPr>
      <w:r>
        <w:t>There is evidence that a business</w:t>
      </w:r>
      <w:r w:rsidR="008E6015">
        <w:t>,</w:t>
      </w:r>
      <w:r>
        <w:t xml:space="preserve"> which has its legitimately</w:t>
      </w:r>
      <w:r w:rsidR="008E6015">
        <w:t>-</w:t>
      </w:r>
      <w:r>
        <w:t>issued number illegally spoofed by scammers, will lose time and money rectifying the issue.</w:t>
      </w:r>
      <w:r>
        <w:rPr>
          <w:rStyle w:val="FootnoteReference"/>
        </w:rPr>
        <w:footnoteReference w:id="52"/>
      </w:r>
      <w:r>
        <w:t xml:space="preserve"> In some cases, a business may need to arrange a new telephone number with their provider</w:t>
      </w:r>
      <w:r w:rsidR="008E6015">
        <w:t>,</w:t>
      </w:r>
      <w:r>
        <w:t xml:space="preserve"> which has flow-on effects for their business (including changing marketing materials, systems and informing existing customers).</w:t>
      </w:r>
    </w:p>
    <w:p w14:paraId="05C8976B" w14:textId="504E8D96" w:rsidR="00DB2B1C" w:rsidRPr="001F0E27" w:rsidRDefault="008E6015" w:rsidP="00DB2B1C">
      <w:pPr>
        <w:pStyle w:val="Heading2"/>
      </w:pPr>
      <w:bookmarkStart w:id="94" w:name="_Toc55546913"/>
      <w:bookmarkStart w:id="95" w:name="_Toc56092949"/>
      <w:r>
        <w:t xml:space="preserve">Option 2: </w:t>
      </w:r>
      <w:r w:rsidR="00DB2B1C" w:rsidRPr="001F0E27">
        <w:t>Consumer education campaign</w:t>
      </w:r>
      <w:bookmarkEnd w:id="94"/>
      <w:bookmarkEnd w:id="95"/>
    </w:p>
    <w:p w14:paraId="7B659A57" w14:textId="77777777" w:rsidR="00DB2B1C" w:rsidRPr="001F0E27" w:rsidRDefault="00DB2B1C" w:rsidP="00DB2B1C">
      <w:pPr>
        <w:pStyle w:val="Heading3"/>
      </w:pPr>
      <w:bookmarkStart w:id="96" w:name="_Toc32833700"/>
      <w:bookmarkStart w:id="97" w:name="_Toc33176383"/>
      <w:bookmarkStart w:id="98" w:name="_Toc55546914"/>
      <w:bookmarkStart w:id="99" w:name="_Toc56092950"/>
      <w:r w:rsidRPr="001F0E27">
        <w:t>Benefits</w:t>
      </w:r>
      <w:bookmarkEnd w:id="96"/>
      <w:bookmarkEnd w:id="97"/>
      <w:bookmarkEnd w:id="98"/>
      <w:bookmarkEnd w:id="99"/>
    </w:p>
    <w:p w14:paraId="03DEFDD6" w14:textId="77777777" w:rsidR="00DB2B1C" w:rsidRDefault="00DB2B1C" w:rsidP="00DB2B1C">
      <w:r w:rsidRPr="002332A9">
        <w:t xml:space="preserve">There are no direct costs to individuals or business from </w:t>
      </w:r>
      <w:r>
        <w:t xml:space="preserve">an education campaign. </w:t>
      </w:r>
      <w:r w:rsidRPr="002332A9">
        <w:t xml:space="preserve">An education campaign will support </w:t>
      </w:r>
      <w:r>
        <w:t>the Australian community</w:t>
      </w:r>
      <w:r w:rsidRPr="002332A9">
        <w:t xml:space="preserve"> to be </w:t>
      </w:r>
      <w:r>
        <w:t xml:space="preserve">more </w:t>
      </w:r>
      <w:r w:rsidRPr="002332A9">
        <w:t xml:space="preserve">aware of </w:t>
      </w:r>
      <w:r>
        <w:t>how to identify and manage scam calls</w:t>
      </w:r>
      <w:r w:rsidRPr="002332A9">
        <w:t>.</w:t>
      </w:r>
    </w:p>
    <w:p w14:paraId="1CBCA288" w14:textId="25513B67" w:rsidR="00DB2B1C" w:rsidRPr="002332A9" w:rsidRDefault="00DB2B1C" w:rsidP="00DB2B1C">
      <w:r w:rsidRPr="002332A9">
        <w:t>Informed c</w:t>
      </w:r>
      <w:r>
        <w:t>onsumers</w:t>
      </w:r>
      <w:r w:rsidRPr="002332A9">
        <w:t xml:space="preserve"> are more likely to better protect their personal information, which will help prevent </w:t>
      </w:r>
      <w:r>
        <w:t xml:space="preserve">harms being perpetrated, including </w:t>
      </w:r>
      <w:r w:rsidRPr="002332A9">
        <w:t>identity theft</w:t>
      </w:r>
      <w:r>
        <w:t xml:space="preserve"> – </w:t>
      </w:r>
      <w:r w:rsidRPr="002332A9">
        <w:t xml:space="preserve">and reduce the significant distress, trauma and suffering that occurs due to </w:t>
      </w:r>
      <w:r>
        <w:t>scammers</w:t>
      </w:r>
      <w:r w:rsidRPr="002332A9">
        <w:t>.</w:t>
      </w:r>
      <w:r w:rsidRPr="00B04DC4">
        <w:t xml:space="preserve"> In 2019</w:t>
      </w:r>
      <w:r w:rsidR="003E4D4C">
        <w:t>,</w:t>
      </w:r>
      <w:r w:rsidRPr="00B04DC4">
        <w:t xml:space="preserve"> Scamwatch heard from many scam targets who avoided becoming victims simply because they told someone about their experience, and that person advised them that it sounded like a scam</w:t>
      </w:r>
      <w:r>
        <w:t>.</w:t>
      </w:r>
      <w:r>
        <w:rPr>
          <w:rStyle w:val="FootnoteReference"/>
        </w:rPr>
        <w:footnoteReference w:id="53"/>
      </w:r>
    </w:p>
    <w:p w14:paraId="0BB40032" w14:textId="77777777" w:rsidR="00DB2B1C" w:rsidRDefault="00DB2B1C" w:rsidP="00DB2B1C">
      <w:r w:rsidRPr="002332A9">
        <w:t>C</w:t>
      </w:r>
      <w:r>
        <w:t>onsumer</w:t>
      </w:r>
      <w:r w:rsidRPr="002332A9">
        <w:t xml:space="preserve">s will be empowered to protect themselves from </w:t>
      </w:r>
      <w:r>
        <w:t>scam calls</w:t>
      </w:r>
      <w:r w:rsidRPr="002332A9">
        <w:t xml:space="preserve"> and know how to respond in the event of </w:t>
      </w:r>
      <w:r>
        <w:t xml:space="preserve">receiving one – </w:t>
      </w:r>
      <w:r w:rsidRPr="002332A9">
        <w:t xml:space="preserve">for example, by taking control of how they share their personal information in public and quickly contacting their financial institution </w:t>
      </w:r>
      <w:r>
        <w:t>or reporting it to Scamwatch</w:t>
      </w:r>
      <w:r w:rsidRPr="002332A9">
        <w:t>.</w:t>
      </w:r>
    </w:p>
    <w:p w14:paraId="137827E7" w14:textId="0C4C1261" w:rsidR="00DB2B1C" w:rsidRPr="00C41B19" w:rsidRDefault="00DB2B1C" w:rsidP="00B53BBB">
      <w:pPr>
        <w:pStyle w:val="Paragraph"/>
      </w:pPr>
      <w:r w:rsidRPr="00C41B19">
        <w:t>The continuation of education and awareness campaigns about phone scams may increase reports as more people learn from government campaigns</w:t>
      </w:r>
      <w:r w:rsidRPr="008F70B9">
        <w:t xml:space="preserve"> </w:t>
      </w:r>
      <w:r w:rsidRPr="00C41B19">
        <w:t>how to spot and stop a scam call. Over time</w:t>
      </w:r>
      <w:r w:rsidR="003E4D4C">
        <w:t>,</w:t>
      </w:r>
      <w:r w:rsidRPr="00C41B19">
        <w:t xml:space="preserve"> there has been a shift from reports of scams seeking money to reports about scams seeking information</w:t>
      </w:r>
      <w:r>
        <w:t>.</w:t>
      </w:r>
      <w:r w:rsidRPr="00C41B19">
        <w:rPr>
          <w:vertAlign w:val="superscript"/>
        </w:rPr>
        <w:footnoteReference w:id="54"/>
      </w:r>
      <w:r w:rsidRPr="00C41B19">
        <w:t xml:space="preserve"> An informed individual is more likely to better protect their personal information, which will help </w:t>
      </w:r>
      <w:r>
        <w:t>reduce the harms associated with scam calls</w:t>
      </w:r>
      <w:r w:rsidRPr="00C41B19">
        <w:t>.</w:t>
      </w:r>
    </w:p>
    <w:p w14:paraId="039F8311" w14:textId="77777777" w:rsidR="00DB2B1C" w:rsidRPr="002332A9" w:rsidRDefault="00DB2B1C" w:rsidP="00DB2B1C">
      <w:r w:rsidRPr="00C41B19">
        <w:t xml:space="preserve">Well-informed decisions are vital in encouraging competition and driving providers to operate efficiently. Informed customers will actively seek the best protection for themselves and may ask providers what they are doing to </w:t>
      </w:r>
      <w:r>
        <w:t>reduce</w:t>
      </w:r>
      <w:r w:rsidRPr="00C41B19">
        <w:t xml:space="preserve"> scam calls before choosing their provider.</w:t>
      </w:r>
    </w:p>
    <w:p w14:paraId="1973D4DB" w14:textId="1E96BCE7" w:rsidR="00DB2B1C" w:rsidRDefault="00DB2B1C" w:rsidP="00DB2B1C">
      <w:pPr>
        <w:rPr>
          <w:noProof/>
        </w:rPr>
      </w:pPr>
      <w:r w:rsidRPr="002332A9">
        <w:t xml:space="preserve">This may incentivise </w:t>
      </w:r>
      <w:r>
        <w:t>C/CSP</w:t>
      </w:r>
      <w:r w:rsidRPr="002332A9">
        <w:t>s to voluntarily increase protections</w:t>
      </w:r>
      <w:r>
        <w:t xml:space="preserve"> in accordance with the status quo</w:t>
      </w:r>
      <w:r w:rsidRPr="002332A9">
        <w:t xml:space="preserve">, which may also reduce instances of </w:t>
      </w:r>
      <w:r>
        <w:t>scam calls</w:t>
      </w:r>
      <w:r w:rsidRPr="002332A9">
        <w:t>.</w:t>
      </w:r>
      <w:r w:rsidRPr="001E5639">
        <w:t xml:space="preserve"> </w:t>
      </w:r>
      <w:r>
        <w:t>Better informed consumers will drive m</w:t>
      </w:r>
      <w:r w:rsidRPr="001E5639">
        <w:t>ore providers</w:t>
      </w:r>
      <w:r>
        <w:t xml:space="preserve"> to</w:t>
      </w:r>
      <w:r w:rsidRPr="001E5639">
        <w:t xml:space="preserve"> view voluntary additional protections </w:t>
      </w:r>
      <w:r>
        <w:t>as aligned to their existing obligations</w:t>
      </w:r>
      <w:r w:rsidR="006117D0">
        <w:t>, that is,</w:t>
      </w:r>
      <w:r>
        <w:t xml:space="preserve"> </w:t>
      </w:r>
      <w:r w:rsidRPr="001E5639">
        <w:t>part of their duty to do their best to prevent their networks or facilities being used in commission of criminal activity.</w:t>
      </w:r>
      <w:r w:rsidRPr="002332A9">
        <w:t xml:space="preserve"> For example, a provider </w:t>
      </w:r>
      <w:r w:rsidR="006117D0">
        <w:t>that</w:t>
      </w:r>
      <w:r w:rsidR="006117D0" w:rsidRPr="002332A9">
        <w:t xml:space="preserve"> </w:t>
      </w:r>
      <w:r w:rsidRPr="002332A9">
        <w:t xml:space="preserve">voluntarily implements </w:t>
      </w:r>
      <w:r>
        <w:t>scam disruption measures by blocking suspicious call activity may stop thousands of consumers being targeted</w:t>
      </w:r>
      <w:r w:rsidRPr="002332A9">
        <w:t>.</w:t>
      </w:r>
      <w:r w:rsidRPr="00824176">
        <w:rPr>
          <w:noProof/>
        </w:rPr>
        <w:t xml:space="preserve"> </w:t>
      </w:r>
    </w:p>
    <w:p w14:paraId="0BB99972" w14:textId="17D9A890" w:rsidR="00DB2B1C" w:rsidRDefault="00DB2B1C" w:rsidP="00DB2B1C">
      <w:r w:rsidRPr="00824176">
        <w:lastRenderedPageBreak/>
        <w:t xml:space="preserve">An educational campaign would have reputational benefits for the telecommunications industry – particularly for providers that can demonstrate their commitment to protections for their customers. C/CSPs </w:t>
      </w:r>
      <w:r w:rsidR="006117D0">
        <w:t>that</w:t>
      </w:r>
      <w:r w:rsidR="006117D0" w:rsidRPr="00824176">
        <w:t xml:space="preserve"> </w:t>
      </w:r>
      <w:r w:rsidRPr="00824176">
        <w:t>adopt good practices have a competitive advantage by being able to advertise themselves as being the provider that protects consumers.</w:t>
      </w:r>
    </w:p>
    <w:p w14:paraId="6A40739E" w14:textId="77777777" w:rsidR="00DB2B1C" w:rsidRDefault="00DB2B1C" w:rsidP="00DB2B1C">
      <w:r w:rsidRPr="002332A9">
        <w:t xml:space="preserve">Education campaign activities will enhance </w:t>
      </w:r>
      <w:r>
        <w:t>a provider’s</w:t>
      </w:r>
      <w:r w:rsidRPr="002332A9">
        <w:t xml:space="preserve"> (particularly smaller providers) understanding of their regulatory responsibilities to both c</w:t>
      </w:r>
      <w:r>
        <w:t>onsumer</w:t>
      </w:r>
      <w:r w:rsidRPr="002332A9">
        <w:t xml:space="preserve"> and the regulator. Stronger application of existing </w:t>
      </w:r>
      <w:r>
        <w:t xml:space="preserve">industry CLI </w:t>
      </w:r>
      <w:r w:rsidRPr="002332A9">
        <w:t xml:space="preserve">guidelines may </w:t>
      </w:r>
      <w:r>
        <w:t>also reduce</w:t>
      </w:r>
      <w:r w:rsidRPr="002332A9">
        <w:t xml:space="preserve"> instances of </w:t>
      </w:r>
      <w:r>
        <w:t>identity theft.</w:t>
      </w:r>
    </w:p>
    <w:p w14:paraId="45A05FFF" w14:textId="4F3B53E2" w:rsidR="00DB2B1C" w:rsidRPr="00DE20F2" w:rsidRDefault="00DB2B1C" w:rsidP="00B53BBB">
      <w:pPr>
        <w:pStyle w:val="Paragraph"/>
      </w:pPr>
      <w:r w:rsidRPr="00DE20F2">
        <w:t>The practical impact of an education campaign could result in an estimated 20</w:t>
      </w:r>
      <w:r w:rsidR="006117D0">
        <w:t xml:space="preserve"> to </w:t>
      </w:r>
      <w:r w:rsidRPr="00DE20F2">
        <w:t>30</w:t>
      </w:r>
      <w:r>
        <w:t xml:space="preserve">% </w:t>
      </w:r>
      <w:r w:rsidRPr="00DE20F2">
        <w:t>reduction in</w:t>
      </w:r>
      <w:r>
        <w:t xml:space="preserve"> the impact of</w:t>
      </w:r>
      <w:r w:rsidRPr="00DE20F2">
        <w:t xml:space="preserve"> </w:t>
      </w:r>
      <w:r>
        <w:t>scam calls</w:t>
      </w:r>
      <w:r w:rsidRPr="00DE20F2">
        <w:t xml:space="preserve"> compared to the status quo. This reduction is due to the increase in voluntary protections and the impact of informed </w:t>
      </w:r>
      <w:r>
        <w:t xml:space="preserve">and proactive </w:t>
      </w:r>
      <w:r w:rsidRPr="00DE20F2">
        <w:t>c</w:t>
      </w:r>
      <w:r>
        <w:t>onsume</w:t>
      </w:r>
      <w:r w:rsidRPr="00DE20F2">
        <w:t>rs</w:t>
      </w:r>
      <w:r>
        <w:t xml:space="preserve"> in reducing the impact of scam calls</w:t>
      </w:r>
      <w:r w:rsidRPr="00DE20F2">
        <w:t>.</w:t>
      </w:r>
      <w:r>
        <w:t xml:space="preserve"> However, information</w:t>
      </w:r>
      <w:r w:rsidR="006117D0">
        <w:t xml:space="preserve"> </w:t>
      </w:r>
      <w:r>
        <w:t>provision alone does not create long-lasting behaviour change, and the campaign would have to be re-run multiple times for it to have sustained benefit.</w:t>
      </w:r>
    </w:p>
    <w:p w14:paraId="348F8D2F" w14:textId="77777777" w:rsidR="00DB2B1C" w:rsidRDefault="00DB2B1C" w:rsidP="00B53BBB">
      <w:pPr>
        <w:pStyle w:val="Paragraphbeforelist"/>
      </w:pPr>
      <w:bookmarkStart w:id="101" w:name="_Hlk32851502"/>
      <w:bookmarkStart w:id="102" w:name="_Hlk53583976"/>
      <w:r>
        <w:t>The initial benefits of this reduction represent:</w:t>
      </w:r>
    </w:p>
    <w:p w14:paraId="02280BDC" w14:textId="320DE4C9" w:rsidR="00DB2B1C" w:rsidRDefault="00DB2B1C" w:rsidP="00B53BBB">
      <w:pPr>
        <w:pStyle w:val="Bulletlevel1"/>
      </w:pPr>
      <w:r>
        <w:t>a decrease of 20</w:t>
      </w:r>
      <w:r w:rsidR="006117D0">
        <w:t xml:space="preserve"> to </w:t>
      </w:r>
      <w:r>
        <w:t>30% in instances of psychological harm caused by identity theft from scam calls, and the need for consumers to seek support services</w:t>
      </w:r>
    </w:p>
    <w:p w14:paraId="555BAAD9" w14:textId="0493C892" w:rsidR="00DB2B1C" w:rsidRPr="0086696A" w:rsidRDefault="00DB2B1C" w:rsidP="00B53BBB">
      <w:pPr>
        <w:pStyle w:val="Bulletlevel1"/>
      </w:pPr>
      <w:r>
        <w:t xml:space="preserve">prevention of financial losses to scam calls of </w:t>
      </w:r>
      <w:r w:rsidRPr="0086696A">
        <w:t>between $5.2</w:t>
      </w:r>
      <w:r w:rsidR="00DF4607">
        <w:t xml:space="preserve"> </w:t>
      </w:r>
      <w:r w:rsidRPr="0086696A">
        <w:t>m</w:t>
      </w:r>
      <w:r w:rsidR="00DF4607">
        <w:t>illion</w:t>
      </w:r>
      <w:r w:rsidRPr="0086696A">
        <w:t xml:space="preserve"> </w:t>
      </w:r>
      <w:r w:rsidR="002C2A4F">
        <w:t>and</w:t>
      </w:r>
      <w:r w:rsidR="002C2A4F" w:rsidRPr="0086696A">
        <w:t xml:space="preserve"> </w:t>
      </w:r>
      <w:r w:rsidRPr="0086696A">
        <w:t>$7.9</w:t>
      </w:r>
      <w:r w:rsidR="00DF4607">
        <w:t> </w:t>
      </w:r>
      <w:r w:rsidRPr="0086696A">
        <w:t>m</w:t>
      </w:r>
      <w:r w:rsidR="00DF4607">
        <w:t>illion</w:t>
      </w:r>
      <w:r w:rsidRPr="0086696A">
        <w:t xml:space="preserve"> each year comprising:</w:t>
      </w:r>
    </w:p>
    <w:p w14:paraId="38B61BF4" w14:textId="05FBE73D" w:rsidR="00DB2B1C" w:rsidRPr="0086696A" w:rsidRDefault="00DB2B1C" w:rsidP="00B53BBB">
      <w:pPr>
        <w:pStyle w:val="Bulletlevel2"/>
      </w:pPr>
      <w:r w:rsidRPr="0086696A">
        <w:t>direct savings to consumers of between $4.7</w:t>
      </w:r>
      <w:r w:rsidR="00DF4607">
        <w:t xml:space="preserve"> </w:t>
      </w:r>
      <w:r w:rsidRPr="0086696A">
        <w:t>m</w:t>
      </w:r>
      <w:r w:rsidR="00DF4607">
        <w:t>illion</w:t>
      </w:r>
      <w:r w:rsidRPr="0086696A">
        <w:t xml:space="preserve"> </w:t>
      </w:r>
      <w:r w:rsidR="002C2A4F">
        <w:t xml:space="preserve">and </w:t>
      </w:r>
      <w:r w:rsidRPr="0086696A">
        <w:t>$</w:t>
      </w:r>
      <w:r w:rsidRPr="00DF4607">
        <w:t>7</w:t>
      </w:r>
      <w:r w:rsidR="00DF4607" w:rsidRPr="00B87A8D">
        <w:t xml:space="preserve"> </w:t>
      </w:r>
      <w:r w:rsidRPr="00DF4607">
        <w:t>m</w:t>
      </w:r>
      <w:r w:rsidR="00DF4607">
        <w:t>illion</w:t>
      </w:r>
      <w:r w:rsidRPr="0086696A">
        <w:rPr>
          <w:rStyle w:val="FootnoteReference"/>
        </w:rPr>
        <w:footnoteReference w:id="55"/>
      </w:r>
    </w:p>
    <w:p w14:paraId="3D5B374F" w14:textId="2D26862E" w:rsidR="00DB2B1C" w:rsidRPr="0086696A" w:rsidRDefault="00DB2B1C" w:rsidP="00B53BBB">
      <w:pPr>
        <w:pStyle w:val="Bulletlevel2"/>
      </w:pPr>
      <w:r w:rsidRPr="0086696A">
        <w:t>savings in time spent by customers responding to identity theft of between $413</w:t>
      </w:r>
      <w:r w:rsidR="00DF4607">
        <w:t>,000</w:t>
      </w:r>
      <w:r w:rsidRPr="0086696A">
        <w:t xml:space="preserve"> </w:t>
      </w:r>
      <w:r w:rsidR="002C2A4F">
        <w:t>and</w:t>
      </w:r>
      <w:r w:rsidR="002C2A4F" w:rsidRPr="0086696A">
        <w:t xml:space="preserve"> </w:t>
      </w:r>
      <w:r w:rsidRPr="0086696A">
        <w:t>$619</w:t>
      </w:r>
      <w:r w:rsidR="00DF4607">
        <w:t>,000</w:t>
      </w:r>
      <w:r w:rsidRPr="0086696A">
        <w:rPr>
          <w:vertAlign w:val="superscript"/>
        </w:rPr>
        <w:footnoteReference w:id="56"/>
      </w:r>
    </w:p>
    <w:p w14:paraId="6F65991A" w14:textId="26AF9D2A" w:rsidR="00DB2B1C" w:rsidRPr="0086696A" w:rsidRDefault="00DB2B1C" w:rsidP="00B53BBB">
      <w:pPr>
        <w:pStyle w:val="Bulletlevel2"/>
      </w:pPr>
      <w:r w:rsidRPr="0086696A">
        <w:t xml:space="preserve">reduction in losses to business of between </w:t>
      </w:r>
      <w:r w:rsidR="00DF4607">
        <w:t>$</w:t>
      </w:r>
      <w:r w:rsidRPr="0086696A">
        <w:t>165</w:t>
      </w:r>
      <w:r w:rsidR="00DF4607">
        <w:t>,000</w:t>
      </w:r>
      <w:r w:rsidRPr="0086696A">
        <w:t xml:space="preserve"> </w:t>
      </w:r>
      <w:r w:rsidR="002C2A4F">
        <w:t>and</w:t>
      </w:r>
      <w:r w:rsidR="002C2A4F" w:rsidRPr="0086696A">
        <w:t xml:space="preserve"> </w:t>
      </w:r>
      <w:r w:rsidRPr="0086696A">
        <w:t>$</w:t>
      </w:r>
      <w:r w:rsidR="00DF4607" w:rsidRPr="0086696A">
        <w:t>248</w:t>
      </w:r>
      <w:r w:rsidR="00DF4607">
        <w:t>,000</w:t>
      </w:r>
      <w:r>
        <w:t>.</w:t>
      </w:r>
      <w:r w:rsidRPr="0086696A">
        <w:rPr>
          <w:rStyle w:val="FootnoteReference"/>
        </w:rPr>
        <w:footnoteReference w:id="57"/>
      </w:r>
    </w:p>
    <w:p w14:paraId="27AF7E9F" w14:textId="7114F4D9" w:rsidR="00DB2B1C" w:rsidRDefault="00DB2B1C" w:rsidP="00B53BBB">
      <w:pPr>
        <w:pStyle w:val="Bulletlevel1"/>
      </w:pPr>
      <w:bookmarkStart w:id="103" w:name="_Hlk54957580"/>
      <w:r>
        <w:t>freeing up of financial institution and/or telecommunication fraud team</w:t>
      </w:r>
      <w:r>
        <w:rPr>
          <w:rStyle w:val="FootnoteReference"/>
        </w:rPr>
        <w:footnoteReference w:id="58"/>
      </w:r>
      <w:r>
        <w:t xml:space="preserve"> resources </w:t>
      </w:r>
      <w:r w:rsidR="002C2A4F">
        <w:t xml:space="preserve">by </w:t>
      </w:r>
      <w:r>
        <w:t>20</w:t>
      </w:r>
      <w:r w:rsidR="002C2A4F">
        <w:t xml:space="preserve"> to </w:t>
      </w:r>
      <w:r>
        <w:t>30% each year to assist customers on other matters</w:t>
      </w:r>
    </w:p>
    <w:bookmarkEnd w:id="103"/>
    <w:p w14:paraId="12995D20" w14:textId="1EAE0A64" w:rsidR="00DB2B1C" w:rsidRPr="00B417B2" w:rsidRDefault="00DB2B1C" w:rsidP="00B53BBB">
      <w:pPr>
        <w:pStyle w:val="Bulletlevel1last"/>
      </w:pPr>
      <w:r w:rsidRPr="00EC5AF6">
        <w:t xml:space="preserve">a reduction in the resources required by community organisations (such as IDCARE) </w:t>
      </w:r>
      <w:r w:rsidR="002C2A4F">
        <w:t>to assist</w:t>
      </w:r>
      <w:r w:rsidR="002C2A4F" w:rsidRPr="00EC5AF6">
        <w:t xml:space="preserve"> </w:t>
      </w:r>
      <w:r w:rsidRPr="00EC5AF6">
        <w:t>customers who have experienced identity theft relating to scam calls (equivalent savings of 20</w:t>
      </w:r>
      <w:r w:rsidR="002C2A4F">
        <w:t xml:space="preserve"> to </w:t>
      </w:r>
      <w:r w:rsidRPr="00EC5AF6">
        <w:t>30%).</w:t>
      </w:r>
      <w:bookmarkEnd w:id="101"/>
      <w:bookmarkEnd w:id="102"/>
    </w:p>
    <w:p w14:paraId="2096536B" w14:textId="77777777" w:rsidR="00DB2B1C" w:rsidRPr="001F0E27" w:rsidRDefault="00DB2B1C" w:rsidP="00DB2B1C">
      <w:pPr>
        <w:pStyle w:val="Heading3"/>
      </w:pPr>
      <w:bookmarkStart w:id="104" w:name="_Toc32833701"/>
      <w:bookmarkStart w:id="105" w:name="_Toc33176384"/>
      <w:bookmarkStart w:id="106" w:name="_Toc55546915"/>
      <w:bookmarkStart w:id="107" w:name="_Toc56092951"/>
      <w:r w:rsidRPr="001F0E27">
        <w:t>Costs</w:t>
      </w:r>
      <w:bookmarkEnd w:id="104"/>
      <w:bookmarkEnd w:id="105"/>
      <w:bookmarkEnd w:id="106"/>
      <w:bookmarkEnd w:id="107"/>
    </w:p>
    <w:p w14:paraId="420AEB97" w14:textId="6750B57A" w:rsidR="00DB2B1C" w:rsidRPr="007175FC" w:rsidRDefault="00DB2B1C" w:rsidP="00B53BBB">
      <w:pPr>
        <w:pStyle w:val="Paragraph"/>
        <w:rPr>
          <w:rFonts w:eastAsia="Calibri"/>
          <w:lang w:eastAsia="en-US"/>
        </w:rPr>
      </w:pPr>
      <w:r w:rsidRPr="007175FC">
        <w:rPr>
          <w:rFonts w:eastAsia="Calibri"/>
          <w:lang w:eastAsia="en-US"/>
        </w:rPr>
        <w:t>Better informed customers may also increase workloads for fraud teams</w:t>
      </w:r>
      <w:r>
        <w:rPr>
          <w:rFonts w:eastAsia="Calibri"/>
          <w:lang w:eastAsia="en-US"/>
        </w:rPr>
        <w:t xml:space="preserve"> – </w:t>
      </w:r>
      <w:r w:rsidRPr="007175FC">
        <w:rPr>
          <w:rFonts w:eastAsia="Calibri"/>
          <w:lang w:eastAsia="en-US"/>
        </w:rPr>
        <w:t xml:space="preserve">as customers will be more responsive to the signs of </w:t>
      </w:r>
      <w:r>
        <w:rPr>
          <w:rFonts w:eastAsia="Calibri"/>
          <w:lang w:eastAsia="en-US"/>
        </w:rPr>
        <w:t>scam calls</w:t>
      </w:r>
      <w:r w:rsidRPr="007175FC">
        <w:rPr>
          <w:rFonts w:eastAsia="Calibri"/>
          <w:lang w:eastAsia="en-US"/>
        </w:rPr>
        <w:t xml:space="preserve">. </w:t>
      </w:r>
      <w:r>
        <w:rPr>
          <w:rFonts w:eastAsia="Calibri"/>
          <w:lang w:eastAsia="en-US"/>
        </w:rPr>
        <w:t xml:space="preserve">Financial institutions and C/CSPs </w:t>
      </w:r>
      <w:r w:rsidRPr="007175FC">
        <w:rPr>
          <w:rFonts w:eastAsia="Calibri"/>
          <w:lang w:eastAsia="en-US"/>
        </w:rPr>
        <w:t xml:space="preserve">will continue to need to spend time and resources responding to </w:t>
      </w:r>
      <w:r>
        <w:rPr>
          <w:rFonts w:eastAsia="Calibri"/>
          <w:lang w:eastAsia="en-US"/>
        </w:rPr>
        <w:t>scam calls</w:t>
      </w:r>
      <w:r w:rsidR="002C2A4F">
        <w:rPr>
          <w:rFonts w:eastAsia="Calibri"/>
          <w:lang w:eastAsia="en-US"/>
        </w:rPr>
        <w:t>,</w:t>
      </w:r>
      <w:r w:rsidRPr="007175FC">
        <w:rPr>
          <w:rFonts w:eastAsia="Calibri"/>
          <w:lang w:eastAsia="en-US"/>
        </w:rPr>
        <w:t xml:space="preserve"> as well as assisting </w:t>
      </w:r>
      <w:r>
        <w:rPr>
          <w:rFonts w:eastAsia="Calibri"/>
          <w:lang w:eastAsia="en-US"/>
        </w:rPr>
        <w:t>consumers</w:t>
      </w:r>
      <w:r w:rsidRPr="007175FC">
        <w:rPr>
          <w:rFonts w:eastAsia="Calibri"/>
          <w:lang w:eastAsia="en-US"/>
        </w:rPr>
        <w:t xml:space="preserve"> to manage the impact.</w:t>
      </w:r>
    </w:p>
    <w:p w14:paraId="37FCD0C7" w14:textId="77777777" w:rsidR="00DB2B1C" w:rsidRPr="00B53257" w:rsidRDefault="00DB2B1C" w:rsidP="00B53BBB">
      <w:pPr>
        <w:pStyle w:val="Paragraph"/>
        <w:rPr>
          <w:rFonts w:eastAsia="Calibri"/>
          <w:lang w:eastAsia="en-US"/>
        </w:rPr>
      </w:pPr>
      <w:r>
        <w:rPr>
          <w:rFonts w:eastAsia="Calibri"/>
          <w:lang w:eastAsia="en-US"/>
        </w:rPr>
        <w:t>C/CSP</w:t>
      </w:r>
      <w:r w:rsidRPr="00B53257">
        <w:rPr>
          <w:rFonts w:eastAsia="Calibri"/>
          <w:lang w:eastAsia="en-US"/>
        </w:rPr>
        <w:t>s may need to direct resources towards implementing additional stakeholder engagement activities and updating existing information to align with campaign activities.</w:t>
      </w:r>
      <w:r w:rsidRPr="00BE0A98">
        <w:rPr>
          <w:rFonts w:eastAsia="Calibri"/>
          <w:lang w:eastAsia="en-US"/>
        </w:rPr>
        <w:t xml:space="preserve"> This includes additional time spent on training frontline staff or resourcing specialist fraud teams on how to identify and address potential scam calls</w:t>
      </w:r>
      <w:r>
        <w:rPr>
          <w:rFonts w:eastAsia="Calibri"/>
          <w:lang w:eastAsia="en-US"/>
        </w:rPr>
        <w:t>.</w:t>
      </w:r>
    </w:p>
    <w:p w14:paraId="78E242B9" w14:textId="6D1EB78D" w:rsidR="00DB2B1C" w:rsidRPr="001F0E27" w:rsidRDefault="002C2A4F" w:rsidP="007F3519">
      <w:pPr>
        <w:pStyle w:val="Heading2"/>
        <w:keepLines/>
      </w:pPr>
      <w:bookmarkStart w:id="108" w:name="_Toc55546916"/>
      <w:bookmarkStart w:id="109" w:name="_Toc56092952"/>
      <w:r>
        <w:lastRenderedPageBreak/>
        <w:t xml:space="preserve">Option 3: </w:t>
      </w:r>
      <w:r w:rsidR="00DB2B1C" w:rsidRPr="001F0E27">
        <w:t>Enforceable obligations</w:t>
      </w:r>
      <w:bookmarkEnd w:id="108"/>
      <w:bookmarkEnd w:id="109"/>
    </w:p>
    <w:p w14:paraId="1B26AAA5" w14:textId="77777777" w:rsidR="00DB2B1C" w:rsidRPr="001F0E27" w:rsidRDefault="00DB2B1C" w:rsidP="007F3519">
      <w:pPr>
        <w:pStyle w:val="Heading3"/>
        <w:keepLines/>
      </w:pPr>
      <w:bookmarkStart w:id="110" w:name="_Toc55546917"/>
      <w:bookmarkStart w:id="111" w:name="_Toc56092953"/>
      <w:r w:rsidRPr="001F0E27">
        <w:t>Benefits</w:t>
      </w:r>
      <w:bookmarkEnd w:id="110"/>
      <w:bookmarkEnd w:id="111"/>
    </w:p>
    <w:p w14:paraId="356D4419" w14:textId="77777777" w:rsidR="00DB2B1C" w:rsidRDefault="00DB2B1C" w:rsidP="007F3519">
      <w:pPr>
        <w:pStyle w:val="Heading4"/>
        <w:keepNext/>
        <w:keepLines/>
      </w:pPr>
      <w:bookmarkStart w:id="112" w:name="_Toc55546918"/>
      <w:r>
        <w:t>Consumers</w:t>
      </w:r>
      <w:bookmarkEnd w:id="112"/>
    </w:p>
    <w:p w14:paraId="3BDA49D9" w14:textId="49D4575A" w:rsidR="00DB2B1C" w:rsidRDefault="00DB2B1C" w:rsidP="007F3519">
      <w:pPr>
        <w:keepNext/>
        <w:keepLines/>
        <w:rPr>
          <w:iCs/>
        </w:rPr>
      </w:pPr>
      <w:r>
        <w:t>The Australian community</w:t>
      </w:r>
      <w:r w:rsidRPr="00C15659">
        <w:t xml:space="preserve"> can expect to benefit from </w:t>
      </w:r>
      <w:r>
        <w:t>the option to introduce enforceable obligations that</w:t>
      </w:r>
      <w:r w:rsidRPr="00C15659">
        <w:t xml:space="preserve"> mandates </w:t>
      </w:r>
      <w:r>
        <w:t>action to address scam calls and provide</w:t>
      </w:r>
      <w:r w:rsidR="000373F0">
        <w:t>s</w:t>
      </w:r>
      <w:r>
        <w:t xml:space="preserve"> increased consumer safeguards.</w:t>
      </w:r>
    </w:p>
    <w:p w14:paraId="404FF0B5" w14:textId="041A2BD7" w:rsidR="00DB2B1C" w:rsidRPr="00D82BBF" w:rsidRDefault="00DB2B1C" w:rsidP="00B53BBB">
      <w:pPr>
        <w:pStyle w:val="Paragraph"/>
      </w:pPr>
      <w:r w:rsidRPr="00D82BBF">
        <w:t xml:space="preserve">The most significant benefit </w:t>
      </w:r>
      <w:r>
        <w:t>from enforceable obligations</w:t>
      </w:r>
      <w:r w:rsidRPr="00D82BBF">
        <w:t xml:space="preserve"> would be a reduction </w:t>
      </w:r>
      <w:r>
        <w:t>in the financial impact of</w:t>
      </w:r>
      <w:r w:rsidRPr="00D82BBF">
        <w:t xml:space="preserve"> scam calls reaching </w:t>
      </w:r>
      <w:r>
        <w:t>consumers</w:t>
      </w:r>
      <w:r w:rsidRPr="00D82BBF">
        <w:t xml:space="preserve">. </w:t>
      </w:r>
      <w:r w:rsidR="000373F0">
        <w:t>F</w:t>
      </w:r>
      <w:r w:rsidRPr="00FC6B6A">
        <w:t>or this assessment</w:t>
      </w:r>
      <w:r w:rsidR="000373F0">
        <w:t>,</w:t>
      </w:r>
      <w:r w:rsidRPr="00FC6B6A">
        <w:t xml:space="preserve"> it is conservatively estimated that enforceable obligations will result in 70% reduction in </w:t>
      </w:r>
      <w:r>
        <w:t xml:space="preserve">the impact of </w:t>
      </w:r>
      <w:r w:rsidRPr="00FC6B6A">
        <w:t>scam</w:t>
      </w:r>
      <w:r>
        <w:t>s</w:t>
      </w:r>
      <w:r w:rsidRPr="00FC6B6A">
        <w:t xml:space="preserve"> – depending on the mechanism used to set obligations</w:t>
      </w:r>
      <w:r>
        <w:t>.</w:t>
      </w:r>
    </w:p>
    <w:p w14:paraId="55D238A7" w14:textId="15553B85" w:rsidR="00DB2B1C" w:rsidRDefault="00DB2B1C" w:rsidP="00B53BBB">
      <w:pPr>
        <w:pStyle w:val="Paragraph"/>
      </w:pPr>
      <w:r w:rsidRPr="00DC66ED">
        <w:t>Enforceable obligations have the potential to provide significant positive impacts by reducing the financial and emotional harms that an individual may face from scam calls</w:t>
      </w:r>
      <w:r w:rsidR="000373F0">
        <w:t>.</w:t>
      </w:r>
      <w:r>
        <w:t xml:space="preserve"> </w:t>
      </w:r>
      <w:r w:rsidR="000373F0">
        <w:t>T</w:t>
      </w:r>
      <w:r>
        <w:t>hey</w:t>
      </w:r>
      <w:r w:rsidRPr="00AE02AB">
        <w:t xml:space="preserve"> </w:t>
      </w:r>
      <w:r w:rsidR="000373F0">
        <w:t>could</w:t>
      </w:r>
      <w:r w:rsidRPr="00AE02AB">
        <w:t xml:space="preserve"> reduce </w:t>
      </w:r>
      <w:r>
        <w:t>reported losses from scams via phone</w:t>
      </w:r>
      <w:r w:rsidRPr="00AE02AB">
        <w:t xml:space="preserve"> by around 2</w:t>
      </w:r>
      <w:r>
        <w:t>,</w:t>
      </w:r>
      <w:r w:rsidRPr="00AE02AB">
        <w:t xml:space="preserve">500 </w:t>
      </w:r>
      <w:r w:rsidR="00095D40">
        <w:t>calls</w:t>
      </w:r>
      <w:r w:rsidR="00AC34CB">
        <w:t xml:space="preserve"> </w:t>
      </w:r>
      <w:r w:rsidRPr="00AE02AB">
        <w:t>annually over the next 10 years</w:t>
      </w:r>
      <w:r w:rsidR="000373F0">
        <w:t>,</w:t>
      </w:r>
      <w:r w:rsidRPr="00AE02AB">
        <w:t xml:space="preserve"> relative to the status quo</w:t>
      </w:r>
      <w:r>
        <w:t>.</w:t>
      </w:r>
    </w:p>
    <w:p w14:paraId="7CD443E5" w14:textId="77777777" w:rsidR="00DB2B1C" w:rsidRDefault="00DB2B1C" w:rsidP="00B53BBB">
      <w:pPr>
        <w:pStyle w:val="Paragraph"/>
      </w:pPr>
      <w:r w:rsidRPr="005D713C">
        <w:t xml:space="preserve">Individuals can expect to benefit from enforceable obligations that enable a flexible, </w:t>
      </w:r>
      <w:r>
        <w:t xml:space="preserve">coordinated, and </w:t>
      </w:r>
      <w:r w:rsidRPr="005D713C">
        <w:t>practical approach for industry to adopt actions to address scam calls. Scammers will adapt to technology as quickly as it changes and build knowledge of local environments to impersonate trusted organisations. Scammers are also quick to take advantage of local events and crises.</w:t>
      </w:r>
      <w:r>
        <w:t xml:space="preserve"> Placing obligations on C/CSPs to collaborate to disrupt scam calls will also provide improved opportunities for </w:t>
      </w:r>
      <w:r w:rsidRPr="005D713C">
        <w:t>referral for regulatory or law enforcement action</w:t>
      </w:r>
      <w:r>
        <w:t>.</w:t>
      </w:r>
    </w:p>
    <w:p w14:paraId="763D913D" w14:textId="77777777" w:rsidR="00DB2B1C" w:rsidRPr="00FF779E" w:rsidRDefault="00DB2B1C" w:rsidP="00B53BBB">
      <w:pPr>
        <w:pStyle w:val="Paragraphbeforelist"/>
      </w:pPr>
      <w:r w:rsidRPr="00FF779E">
        <w:t xml:space="preserve">Multiple government and law enforcement agencies receive reports of scam activity. Sharing this scam report data would help </w:t>
      </w:r>
      <w:r>
        <w:t>C/CSP</w:t>
      </w:r>
      <w:r w:rsidRPr="00FF779E">
        <w:t xml:space="preserve">s improve scam call identification and blocking. As one </w:t>
      </w:r>
      <w:r>
        <w:t>C/CSP</w:t>
      </w:r>
      <w:r w:rsidRPr="00FF779E">
        <w:t xml:space="preserve"> consulted explained: </w:t>
      </w:r>
    </w:p>
    <w:p w14:paraId="32F9C47A" w14:textId="77777777" w:rsidR="00DB2B1C" w:rsidRPr="00B53BBB" w:rsidRDefault="00DB2B1C" w:rsidP="00A91FBE">
      <w:pPr>
        <w:spacing w:line="240" w:lineRule="auto"/>
        <w:ind w:left="720"/>
        <w:rPr>
          <w:sz w:val="18"/>
          <w:szCs w:val="18"/>
        </w:rPr>
      </w:pPr>
      <w:r w:rsidRPr="00A91FBE">
        <w:rPr>
          <w:sz w:val="18"/>
          <w:szCs w:val="18"/>
        </w:rPr>
        <w:t>We believe there will also be benefit in regulators (and consumer protection agencies) sharing the pertinent details of reported scams with network operators. This would give carriers better evidence of what calls are scams, improving the effectiveness of tracing the source of the scam by reducing false positives.</w:t>
      </w:r>
    </w:p>
    <w:p w14:paraId="32F344C7" w14:textId="77777777" w:rsidR="00DB2B1C" w:rsidRDefault="00DB2B1C" w:rsidP="00A91FBE">
      <w:pPr>
        <w:pStyle w:val="Heading4"/>
      </w:pPr>
      <w:bookmarkStart w:id="113" w:name="_Toc55546919"/>
      <w:r>
        <w:t>C/CSPs</w:t>
      </w:r>
      <w:bookmarkEnd w:id="113"/>
    </w:p>
    <w:p w14:paraId="39A25292" w14:textId="77777777" w:rsidR="00DB2B1C" w:rsidRPr="005E516E" w:rsidRDefault="00DB2B1C" w:rsidP="00B53BBB">
      <w:pPr>
        <w:pStyle w:val="Paragraph"/>
      </w:pPr>
      <w:r>
        <w:t>Enforceable obligations</w:t>
      </w:r>
      <w:r w:rsidRPr="005E516E">
        <w:t xml:space="preserve"> provide </w:t>
      </w:r>
      <w:r>
        <w:t xml:space="preserve">the opportunity to encourage </w:t>
      </w:r>
      <w:r w:rsidRPr="005E516E">
        <w:t>consistent, community-wide approach</w:t>
      </w:r>
      <w:r>
        <w:t>es</w:t>
      </w:r>
      <w:r w:rsidRPr="005E516E">
        <w:t xml:space="preserve"> </w:t>
      </w:r>
      <w:r>
        <w:t xml:space="preserve">to combating scam calls </w:t>
      </w:r>
      <w:r w:rsidRPr="005E516E">
        <w:t xml:space="preserve">by establishing processes and protections that provide certainty for </w:t>
      </w:r>
      <w:r>
        <w:t>C/CSPs</w:t>
      </w:r>
      <w:r w:rsidRPr="005E516E">
        <w:t xml:space="preserve"> and their customers. With all </w:t>
      </w:r>
      <w:r>
        <w:t>C/CSP</w:t>
      </w:r>
      <w:r w:rsidRPr="005E516E">
        <w:t>s treated the same, there is a competition benefit</w:t>
      </w:r>
      <w:r>
        <w:t xml:space="preserve"> as providers can promote themselves as having responsive fraud detection and customer protection services in place</w:t>
      </w:r>
      <w:r w:rsidRPr="005E516E">
        <w:t>.</w:t>
      </w:r>
    </w:p>
    <w:p w14:paraId="2346816F" w14:textId="27880473" w:rsidR="00DB2B1C" w:rsidRDefault="00DB2B1C" w:rsidP="00B53BBB">
      <w:pPr>
        <w:pStyle w:val="Paragraph"/>
      </w:pPr>
      <w:r>
        <w:t>C/CSPs</w:t>
      </w:r>
      <w:r w:rsidRPr="005E516E">
        <w:t xml:space="preserve"> can expect to benefit from improved scam call data</w:t>
      </w:r>
      <w:r w:rsidR="000373F0">
        <w:t>-</w:t>
      </w:r>
      <w:r w:rsidRPr="005E516E">
        <w:t>sharing across industry, particularly where the provider itself is the victim of an impersonation scam</w:t>
      </w:r>
      <w:r>
        <w:t>.</w:t>
      </w:r>
      <w:r w:rsidRPr="005E516E">
        <w:rPr>
          <w:vertAlign w:val="superscript"/>
        </w:rPr>
        <w:footnoteReference w:id="59"/>
      </w:r>
    </w:p>
    <w:p w14:paraId="62E0435B" w14:textId="409F0020" w:rsidR="00DB2B1C" w:rsidRPr="005E516E" w:rsidRDefault="00DB2B1C" w:rsidP="00B53BBB">
      <w:pPr>
        <w:pStyle w:val="Paragraph"/>
      </w:pPr>
      <w:r w:rsidRPr="005E516E">
        <w:t xml:space="preserve">Indirectly, </w:t>
      </w:r>
      <w:r>
        <w:t>C/CSPs</w:t>
      </w:r>
      <w:r w:rsidRPr="005E516E">
        <w:t xml:space="preserve"> </w:t>
      </w:r>
      <w:r>
        <w:t>and financial institutions will</w:t>
      </w:r>
      <w:r w:rsidRPr="005E516E">
        <w:t xml:space="preserve"> benefit from</w:t>
      </w:r>
      <w:r>
        <w:t xml:space="preserve"> spending</w:t>
      </w:r>
      <w:r w:rsidRPr="005E516E">
        <w:t xml:space="preserve"> less time </w:t>
      </w:r>
      <w:r>
        <w:t xml:space="preserve">and resources responding to </w:t>
      </w:r>
      <w:r w:rsidRPr="005E516E">
        <w:t>complaints about scam calls</w:t>
      </w:r>
      <w:r w:rsidR="00FC0FFE">
        <w:t>,</w:t>
      </w:r>
      <w:r>
        <w:t xml:space="preserve"> </w:t>
      </w:r>
      <w:r w:rsidRPr="004060D6">
        <w:t>as well as assisting consumers to manage the impact.</w:t>
      </w:r>
    </w:p>
    <w:p w14:paraId="5084F790" w14:textId="2CE16596" w:rsidR="00DB2B1C" w:rsidRPr="00664E71" w:rsidRDefault="00DB2B1C" w:rsidP="00B53BBB">
      <w:pPr>
        <w:pStyle w:val="Paragraph"/>
      </w:pPr>
      <w:r w:rsidRPr="005E516E">
        <w:t xml:space="preserve">Additional action by </w:t>
      </w:r>
      <w:r>
        <w:t>C/CSP</w:t>
      </w:r>
      <w:r w:rsidRPr="005E516E">
        <w:t xml:space="preserve">s to act against scam calls and share information about scam calls with other providers </w:t>
      </w:r>
      <w:r w:rsidR="00FC0FFE">
        <w:t xml:space="preserve">will </w:t>
      </w:r>
      <w:r w:rsidRPr="005E516E">
        <w:t xml:space="preserve">become more effective as </w:t>
      </w:r>
      <w:r>
        <w:t>the market is covered by protections</w:t>
      </w:r>
      <w:r w:rsidRPr="005E516E">
        <w:t>. If all providers are working cooperatively to address scam calls, the Australian communications ecosystem is better protected.</w:t>
      </w:r>
    </w:p>
    <w:p w14:paraId="181A32AC" w14:textId="77777777" w:rsidR="00DB2B1C" w:rsidRPr="002551CB" w:rsidRDefault="00DB2B1C" w:rsidP="00B53BBB">
      <w:pPr>
        <w:pStyle w:val="Paragraphbeforelist"/>
      </w:pPr>
      <w:r>
        <w:lastRenderedPageBreak/>
        <w:t>The</w:t>
      </w:r>
      <w:r w:rsidRPr="002551CB">
        <w:t xml:space="preserve"> benefits of this reduction represent:</w:t>
      </w:r>
    </w:p>
    <w:p w14:paraId="40169E6A" w14:textId="41B3BD60" w:rsidR="00DB2B1C" w:rsidRPr="00A04411" w:rsidRDefault="00DB2B1C" w:rsidP="00B53BBB">
      <w:pPr>
        <w:pStyle w:val="Bulletlevel1"/>
      </w:pPr>
      <w:r w:rsidRPr="00A04411">
        <w:t xml:space="preserve">a 70% </w:t>
      </w:r>
      <w:r w:rsidR="00FC0FFE">
        <w:t xml:space="preserve">decrease </w:t>
      </w:r>
      <w:r w:rsidRPr="00A04411">
        <w:t>in instances of psychological harm caused by identity theft from scam calls, and the need for consumers to seek support services</w:t>
      </w:r>
    </w:p>
    <w:p w14:paraId="3EC82F9C" w14:textId="2774E56B" w:rsidR="00DB2B1C" w:rsidRDefault="00DB2B1C" w:rsidP="00B53BBB">
      <w:pPr>
        <w:pStyle w:val="Bulletlevel1"/>
      </w:pPr>
      <w:r w:rsidRPr="00A04411">
        <w:t xml:space="preserve">annual savings from financial losses to scam calls of </w:t>
      </w:r>
      <w:r w:rsidRPr="000B578E">
        <w:t>approximately $1</w:t>
      </w:r>
      <w:r>
        <w:t>8</w:t>
      </w:r>
      <w:r w:rsidR="00DF4607">
        <w:t xml:space="preserve"> </w:t>
      </w:r>
      <w:r w:rsidRPr="000B578E">
        <w:t>m</w:t>
      </w:r>
      <w:r w:rsidR="00DF4607">
        <w:t>illion</w:t>
      </w:r>
      <w:r>
        <w:t xml:space="preserve"> comprising:</w:t>
      </w:r>
    </w:p>
    <w:p w14:paraId="20D74B1E" w14:textId="67B44EAD" w:rsidR="00DB2B1C" w:rsidRPr="00A04411" w:rsidRDefault="00DB2B1C" w:rsidP="00B53BBB">
      <w:pPr>
        <w:pStyle w:val="Bulletlevel2"/>
      </w:pPr>
      <w:r>
        <w:t>direct savings to consumers of around $16</w:t>
      </w:r>
      <w:r w:rsidR="00DF4607">
        <w:t xml:space="preserve"> </w:t>
      </w:r>
      <w:r>
        <w:t>m</w:t>
      </w:r>
      <w:r w:rsidR="00DF4607">
        <w:t>illion</w:t>
      </w:r>
      <w:r w:rsidRPr="00A04411">
        <w:rPr>
          <w:vertAlign w:val="superscript"/>
        </w:rPr>
        <w:footnoteReference w:id="60"/>
      </w:r>
      <w:r w:rsidRPr="00A04411">
        <w:t xml:space="preserve"> </w:t>
      </w:r>
    </w:p>
    <w:p w14:paraId="7E697066" w14:textId="3B08A8DF" w:rsidR="00DB2B1C" w:rsidRDefault="00DB2B1C" w:rsidP="00B53BBB">
      <w:pPr>
        <w:pStyle w:val="Bulletlevel2"/>
      </w:pPr>
      <w:r w:rsidRPr="00A04411">
        <w:t xml:space="preserve">annual savings in time spent by customers responding to identity theft of approximately </w:t>
      </w:r>
      <w:r w:rsidRPr="004E745E">
        <w:t>$1.4</w:t>
      </w:r>
      <w:r w:rsidR="00DF4607">
        <w:t xml:space="preserve"> </w:t>
      </w:r>
      <w:r w:rsidRPr="004E745E">
        <w:t>m</w:t>
      </w:r>
      <w:r w:rsidR="00DF4607">
        <w:t>illion</w:t>
      </w:r>
      <w:r w:rsidRPr="000B578E">
        <w:rPr>
          <w:vertAlign w:val="superscript"/>
        </w:rPr>
        <w:footnoteReference w:id="61"/>
      </w:r>
      <w:r w:rsidRPr="00A04411">
        <w:t xml:space="preserve"> </w:t>
      </w:r>
    </w:p>
    <w:p w14:paraId="2E09E33B" w14:textId="5BA45CFE" w:rsidR="00DB2B1C" w:rsidRPr="00A04411" w:rsidRDefault="00DB2B1C" w:rsidP="00B53BBB">
      <w:pPr>
        <w:pStyle w:val="Bulletlevel2"/>
      </w:pPr>
      <w:r>
        <w:t>reduction in losses to business of around $600</w:t>
      </w:r>
      <w:r w:rsidR="00DF4607">
        <w:t>,000</w:t>
      </w:r>
      <w:r>
        <w:rPr>
          <w:rStyle w:val="FootnoteReference"/>
        </w:rPr>
        <w:footnoteReference w:id="62"/>
      </w:r>
    </w:p>
    <w:p w14:paraId="4C5F10BF" w14:textId="2B8004BA" w:rsidR="00DB2B1C" w:rsidRPr="00A04411" w:rsidRDefault="00DB2B1C" w:rsidP="00B53BBB">
      <w:pPr>
        <w:pStyle w:val="Bulletlevel1"/>
      </w:pPr>
      <w:r w:rsidRPr="00A04411">
        <w:t xml:space="preserve">freeing up of financial institution or telecommunication fraud team resources </w:t>
      </w:r>
      <w:r>
        <w:t>to</w:t>
      </w:r>
      <w:r w:rsidRPr="00A04411">
        <w:t xml:space="preserve"> assist customers on other matters</w:t>
      </w:r>
      <w:r>
        <w:t xml:space="preserve"> (equivalent </w:t>
      </w:r>
      <w:r w:rsidR="00FC0FFE">
        <w:t xml:space="preserve">to </w:t>
      </w:r>
      <w:r>
        <w:t>savings</w:t>
      </w:r>
      <w:r w:rsidR="00FC0FFE">
        <w:t xml:space="preserve"> of</w:t>
      </w:r>
      <w:r>
        <w:t xml:space="preserve"> 70%)</w:t>
      </w:r>
    </w:p>
    <w:p w14:paraId="76123FB5" w14:textId="4B906F5D" w:rsidR="00DB2B1C" w:rsidRPr="00A04411" w:rsidRDefault="00DB2B1C" w:rsidP="00B53BBB">
      <w:pPr>
        <w:pStyle w:val="Bulletlevel1last"/>
      </w:pPr>
      <w:r w:rsidRPr="00A04411">
        <w:t xml:space="preserve">a reduction in the resources required by community organisations (such as IDCARE) </w:t>
      </w:r>
      <w:r w:rsidR="00FC0FFE">
        <w:t xml:space="preserve">to </w:t>
      </w:r>
      <w:r w:rsidRPr="00A04411">
        <w:t xml:space="preserve">assist customers who have experienced identity theft relating to scam calls (equivalent </w:t>
      </w:r>
      <w:r w:rsidR="00FC0FFE">
        <w:t xml:space="preserve">to </w:t>
      </w:r>
      <w:r w:rsidRPr="00A04411">
        <w:t>savings of 70%).</w:t>
      </w:r>
    </w:p>
    <w:p w14:paraId="3522F82B" w14:textId="77777777" w:rsidR="00DB2B1C" w:rsidRDefault="00DB2B1C" w:rsidP="00DB2B1C">
      <w:pPr>
        <w:pStyle w:val="Paragraph"/>
      </w:pPr>
      <w:r>
        <w:t>A collaborative approach to addressing scam calls provides a reputational benefit for C/CSPs. It demonstrates to consumers that C/CSPs are taking concerted, industry-wide steps to improve consumer safeguards and disrupt scam calls.</w:t>
      </w:r>
    </w:p>
    <w:p w14:paraId="19975560" w14:textId="53DA3C30" w:rsidR="00DB2B1C" w:rsidRDefault="00DB2B1C" w:rsidP="00DB2B1C">
      <w:pPr>
        <w:pStyle w:val="Paragraph"/>
        <w:rPr>
          <w:iCs/>
        </w:rPr>
      </w:pPr>
      <w:r w:rsidRPr="004636CF">
        <w:rPr>
          <w:iCs/>
        </w:rPr>
        <w:t xml:space="preserve">Collaborating to reduce scam activity provides positive benefits for </w:t>
      </w:r>
      <w:r>
        <w:rPr>
          <w:iCs/>
        </w:rPr>
        <w:t>providers</w:t>
      </w:r>
      <w:r w:rsidRPr="004636CF">
        <w:rPr>
          <w:iCs/>
        </w:rPr>
        <w:t xml:space="preserve"> when their networks and services are viewed as more safe and secure. This</w:t>
      </w:r>
      <w:r>
        <w:t xml:space="preserve"> benefit </w:t>
      </w:r>
      <w:r w:rsidRPr="004636CF">
        <w:rPr>
          <w:iCs/>
        </w:rPr>
        <w:t>accrues from customers who are satisfied with extra protections</w:t>
      </w:r>
      <w:r w:rsidR="00FC0FFE">
        <w:rPr>
          <w:iCs/>
        </w:rPr>
        <w:t>,</w:t>
      </w:r>
      <w:r w:rsidRPr="004636CF">
        <w:rPr>
          <w:iCs/>
        </w:rPr>
        <w:t xml:space="preserve"> as well as businesses who appreciate the secondary protections afforded to their customers through </w:t>
      </w:r>
      <w:r>
        <w:rPr>
          <w:iCs/>
        </w:rPr>
        <w:t>enforceable obligations</w:t>
      </w:r>
      <w:r w:rsidRPr="00592263">
        <w:rPr>
          <w:iCs/>
        </w:rPr>
        <w:t>.</w:t>
      </w:r>
      <w:r w:rsidRPr="00CB7C81">
        <w:rPr>
          <w:iCs/>
        </w:rPr>
        <w:t xml:space="preserve"> </w:t>
      </w:r>
      <w:r>
        <w:rPr>
          <w:iCs/>
        </w:rPr>
        <w:t xml:space="preserve">In addition, </w:t>
      </w:r>
      <w:r w:rsidRPr="00592263">
        <w:rPr>
          <w:iCs/>
        </w:rPr>
        <w:t>C/CSPs</w:t>
      </w:r>
      <w:r>
        <w:rPr>
          <w:iCs/>
        </w:rPr>
        <w:t xml:space="preserve"> –</w:t>
      </w:r>
      <w:r w:rsidRPr="00592263">
        <w:rPr>
          <w:iCs/>
        </w:rPr>
        <w:t xml:space="preserve"> </w:t>
      </w:r>
      <w:r>
        <w:rPr>
          <w:iCs/>
        </w:rPr>
        <w:t xml:space="preserve">which are </w:t>
      </w:r>
      <w:r w:rsidRPr="00592263">
        <w:rPr>
          <w:iCs/>
        </w:rPr>
        <w:t xml:space="preserve">relentlessly targeted by scammers impersonating their brands and attempting to steal </w:t>
      </w:r>
      <w:r w:rsidRPr="00592263" w:rsidDel="00112D10">
        <w:rPr>
          <w:iCs/>
        </w:rPr>
        <w:t xml:space="preserve">the </w:t>
      </w:r>
      <w:r w:rsidRPr="00592263">
        <w:rPr>
          <w:iCs/>
        </w:rPr>
        <w:t>identity of their customers</w:t>
      </w:r>
      <w:r w:rsidRPr="00CE5A68">
        <w:rPr>
          <w:iCs/>
        </w:rPr>
        <w:t xml:space="preserve"> </w:t>
      </w:r>
      <w:r>
        <w:rPr>
          <w:iCs/>
        </w:rPr>
        <w:t>– benefit from the extra protections.</w:t>
      </w:r>
    </w:p>
    <w:p w14:paraId="5DB30FDA" w14:textId="24616810" w:rsidR="00DB2B1C" w:rsidRDefault="00DB2B1C" w:rsidP="00DB2B1C">
      <w:pPr>
        <w:pStyle w:val="Paragraph"/>
      </w:pPr>
      <w:r>
        <w:t>Providers</w:t>
      </w:r>
      <w:r w:rsidRPr="000C4E51">
        <w:t xml:space="preserve"> </w:t>
      </w:r>
      <w:r>
        <w:t>that</w:t>
      </w:r>
      <w:r w:rsidRPr="000C4E51">
        <w:t xml:space="preserve"> have </w:t>
      </w:r>
      <w:r>
        <w:t>tested the proposed obligations can share their experience and expertise to enable a more practicable, robust and technically</w:t>
      </w:r>
      <w:r w:rsidR="00FC0FFE">
        <w:t>-</w:t>
      </w:r>
      <w:r>
        <w:t>feasible requirements to be implemented.</w:t>
      </w:r>
    </w:p>
    <w:p w14:paraId="3973FF14" w14:textId="77777777" w:rsidR="00DB2B1C" w:rsidRDefault="00DB2B1C" w:rsidP="00DB2B1C">
      <w:pPr>
        <w:pStyle w:val="Heading3"/>
      </w:pPr>
      <w:bookmarkStart w:id="114" w:name="_Toc32833704"/>
      <w:bookmarkStart w:id="115" w:name="_Toc33176387"/>
      <w:bookmarkStart w:id="116" w:name="_Toc55546920"/>
      <w:bookmarkStart w:id="117" w:name="_Toc56092954"/>
      <w:r w:rsidRPr="001F0E27">
        <w:t>Costs</w:t>
      </w:r>
      <w:bookmarkEnd w:id="114"/>
      <w:bookmarkEnd w:id="115"/>
      <w:bookmarkEnd w:id="116"/>
      <w:bookmarkEnd w:id="117"/>
    </w:p>
    <w:p w14:paraId="320D76C9" w14:textId="77777777" w:rsidR="00DB2B1C" w:rsidRPr="007E3114" w:rsidRDefault="00DB2B1C" w:rsidP="00B304DD">
      <w:pPr>
        <w:pStyle w:val="Heading4"/>
        <w:spacing w:before="0"/>
      </w:pPr>
      <w:bookmarkStart w:id="118" w:name="_Toc55546921"/>
      <w:r>
        <w:t>Consumers</w:t>
      </w:r>
      <w:bookmarkEnd w:id="118"/>
    </w:p>
    <w:p w14:paraId="4992D2AA" w14:textId="77777777" w:rsidR="00DB2B1C" w:rsidRDefault="00DB2B1C" w:rsidP="00DB2B1C">
      <w:r>
        <w:t>There are no direct costs to consumers from enforceable obligations; however, the Australian community</w:t>
      </w:r>
      <w:r w:rsidRPr="00C15659">
        <w:t xml:space="preserve"> can expect to benefit from </w:t>
      </w:r>
      <w:r>
        <w:t>collaborative and coordinated action to address scam calls.</w:t>
      </w:r>
    </w:p>
    <w:p w14:paraId="20A88ED7" w14:textId="0A255F97" w:rsidR="00DB2B1C" w:rsidRDefault="00DB2B1C" w:rsidP="00DB2B1C">
      <w:r>
        <w:t>Experience has shown there is no ‘silver bullet’ to address scam calls. Scam calls are difficult to distinguish from legitimate calls as the characteristics of scam calls (</w:t>
      </w:r>
      <w:r w:rsidR="00FC0FFE">
        <w:t>such as</w:t>
      </w:r>
      <w:r>
        <w:t xml:space="preserve"> high volume and short duration) can represent legitimate telecommunication activity (</w:t>
      </w:r>
      <w:r w:rsidR="00FC0FFE">
        <w:t>for example,</w:t>
      </w:r>
      <w:r>
        <w:t xml:space="preserve"> telemarketing calls). Scammers are also able to</w:t>
      </w:r>
      <w:r w:rsidRPr="00003E80">
        <w:t xml:space="preserve"> </w:t>
      </w:r>
      <w:r>
        <w:t xml:space="preserve">quickly adapt to changing environments </w:t>
      </w:r>
      <w:r>
        <w:rPr>
          <w:rFonts w:cs="Arial"/>
        </w:rPr>
        <w:t>–</w:t>
      </w:r>
      <w:r>
        <w:t xml:space="preserve"> as seen most recently with scammers taking advantage of the Australian bushfires and then the coronavirus pandemic. F</w:t>
      </w:r>
      <w:r w:rsidRPr="00003E80">
        <w:t xml:space="preserve">or scams involving CLI spoofing, scammers regularly change the calling number displayed, </w:t>
      </w:r>
      <w:r w:rsidR="00FC0FFE">
        <w:t xml:space="preserve">which </w:t>
      </w:r>
      <w:r w:rsidRPr="00003E80">
        <w:t>mak</w:t>
      </w:r>
      <w:r w:rsidR="00FC0FFE">
        <w:t xml:space="preserve">es </w:t>
      </w:r>
      <w:r w:rsidRPr="00003E80">
        <w:t>verifying, tracking and blocking difficult and/or ineffective.</w:t>
      </w:r>
      <w:r w:rsidRPr="00FA3561">
        <w:t xml:space="preserve"> </w:t>
      </w:r>
    </w:p>
    <w:p w14:paraId="7D7C81BA" w14:textId="72238E3D" w:rsidR="00DB2B1C" w:rsidRDefault="00DB2B1C" w:rsidP="00DB2B1C">
      <w:r w:rsidRPr="00FA3561">
        <w:t xml:space="preserve">Costs </w:t>
      </w:r>
      <w:r>
        <w:t xml:space="preserve">to the community </w:t>
      </w:r>
      <w:r w:rsidRPr="00FA3561">
        <w:t xml:space="preserve">come from </w:t>
      </w:r>
      <w:r>
        <w:t>the residual</w:t>
      </w:r>
      <w:r w:rsidRPr="00FA3561">
        <w:t xml:space="preserve"> instances of scam calls</w:t>
      </w:r>
      <w:r w:rsidR="00FC0FFE">
        <w:t>, that is,</w:t>
      </w:r>
      <w:r>
        <w:t xml:space="preserve"> those not reduced by the enforceable obligations, </w:t>
      </w:r>
      <w:r w:rsidRPr="00FA3561">
        <w:t xml:space="preserve">including from </w:t>
      </w:r>
      <w:r>
        <w:t xml:space="preserve">the impact from </w:t>
      </w:r>
      <w:r w:rsidRPr="00FA3561">
        <w:lastRenderedPageBreak/>
        <w:t xml:space="preserve">psychological harm and distress </w:t>
      </w:r>
      <w:r>
        <w:t xml:space="preserve">experienced by each victim of a </w:t>
      </w:r>
      <w:r w:rsidRPr="00FA3561">
        <w:t xml:space="preserve">scam call and </w:t>
      </w:r>
      <w:r>
        <w:t xml:space="preserve">the </w:t>
      </w:r>
      <w:r w:rsidRPr="00FA3561">
        <w:t>ongoing repercussions of identity theft.</w:t>
      </w:r>
    </w:p>
    <w:p w14:paraId="2C89C28B" w14:textId="77777777" w:rsidR="00DB2B1C" w:rsidRDefault="00DB2B1C" w:rsidP="00EC62C1">
      <w:pPr>
        <w:pStyle w:val="Heading4"/>
      </w:pPr>
      <w:bookmarkStart w:id="119" w:name="_Toc55546922"/>
      <w:r>
        <w:t>C/CSPs</w:t>
      </w:r>
      <w:bookmarkEnd w:id="119"/>
    </w:p>
    <w:p w14:paraId="3BF91FA5" w14:textId="51CB0214" w:rsidR="00DB2B1C" w:rsidRDefault="00DB2B1C" w:rsidP="00DB2B1C">
      <w:pPr>
        <w:pStyle w:val="Paragraph"/>
      </w:pPr>
      <w:r>
        <w:t>Ensuring enforceable obligations are outcomes-based will provide</w:t>
      </w:r>
      <w:r w:rsidRPr="009D77B0">
        <w:rPr>
          <w:rFonts w:eastAsia="Calibri"/>
          <w:szCs w:val="20"/>
          <w:lang w:eastAsia="en-US"/>
        </w:rPr>
        <w:t xml:space="preserve"> </w:t>
      </w:r>
      <w:r w:rsidRPr="009D77B0">
        <w:t xml:space="preserve">flexibility for </w:t>
      </w:r>
      <w:r>
        <w:t>C/CSPs</w:t>
      </w:r>
      <w:r w:rsidRPr="009D77B0">
        <w:t xml:space="preserve"> in complying. For example, it may be more efficient for carriers and larger </w:t>
      </w:r>
      <w:r>
        <w:t>carriage service providers</w:t>
      </w:r>
      <w:r w:rsidRPr="009D77B0">
        <w:t xml:space="preserve"> to automate their systems</w:t>
      </w:r>
      <w:r w:rsidR="002D198A">
        <w:t>,</w:t>
      </w:r>
      <w:r w:rsidRPr="009D77B0">
        <w:t xml:space="preserve"> but for a smaller </w:t>
      </w:r>
      <w:r>
        <w:t>carriage service provider</w:t>
      </w:r>
      <w:r w:rsidRPr="009D77B0">
        <w:t xml:space="preserve"> with less customers, the necessary activities could be conducted manually.</w:t>
      </w:r>
    </w:p>
    <w:p w14:paraId="5F3FCBEA" w14:textId="20EC776C" w:rsidR="00DB2B1C" w:rsidRDefault="00DB2B1C" w:rsidP="00DB2B1C">
      <w:pPr>
        <w:pStyle w:val="Paragraph"/>
        <w:rPr>
          <w:rFonts w:eastAsia="Calibri"/>
          <w:szCs w:val="20"/>
          <w:lang w:eastAsia="en-US"/>
        </w:rPr>
      </w:pPr>
      <w:r>
        <w:rPr>
          <w:rFonts w:eastAsia="Calibri"/>
          <w:szCs w:val="20"/>
          <w:lang w:eastAsia="en-US"/>
        </w:rPr>
        <w:t xml:space="preserve">Each C/CSP </w:t>
      </w:r>
      <w:r w:rsidRPr="0038181B">
        <w:rPr>
          <w:rFonts w:eastAsia="Calibri"/>
          <w:szCs w:val="20"/>
          <w:lang w:eastAsia="en-US"/>
        </w:rPr>
        <w:t>is responsible for determining how they monitor their network to detect and act against scam calls.</w:t>
      </w:r>
      <w:r>
        <w:rPr>
          <w:rFonts w:eastAsia="Calibri"/>
          <w:szCs w:val="20"/>
          <w:lang w:eastAsia="en-US"/>
        </w:rPr>
        <w:t xml:space="preserve"> </w:t>
      </w:r>
      <w:r w:rsidRPr="0038181B">
        <w:rPr>
          <w:rFonts w:eastAsia="Calibri"/>
          <w:szCs w:val="20"/>
          <w:lang w:eastAsia="en-US"/>
        </w:rPr>
        <w:t xml:space="preserve">Communications Alliance has indicated </w:t>
      </w:r>
      <w:bookmarkStart w:id="120" w:name="_Hlk54175486"/>
      <w:r w:rsidRPr="0038181B">
        <w:rPr>
          <w:rFonts w:eastAsia="Calibri"/>
          <w:szCs w:val="20"/>
          <w:lang w:eastAsia="en-US"/>
        </w:rPr>
        <w:t xml:space="preserve">that 30% </w:t>
      </w:r>
      <w:r w:rsidR="002A54B2">
        <w:rPr>
          <w:rFonts w:eastAsia="Calibri"/>
          <w:szCs w:val="20"/>
          <w:lang w:eastAsia="en-US"/>
        </w:rPr>
        <w:t xml:space="preserve">of costs for </w:t>
      </w:r>
      <w:r w:rsidRPr="0038181B">
        <w:rPr>
          <w:rFonts w:eastAsia="Calibri"/>
          <w:szCs w:val="20"/>
          <w:lang w:eastAsia="en-US"/>
        </w:rPr>
        <w:t>systems automation would have accrued to comply with existing obligations.</w:t>
      </w:r>
      <w:r>
        <w:rPr>
          <w:rFonts w:eastAsia="Calibri"/>
          <w:szCs w:val="20"/>
          <w:lang w:eastAsia="en-US"/>
        </w:rPr>
        <w:t xml:space="preserve"> </w:t>
      </w:r>
    </w:p>
    <w:p w14:paraId="2D7EBB15" w14:textId="10CA8CBB" w:rsidR="00DB2B1C" w:rsidRDefault="00DB2B1C" w:rsidP="00DB2B1C">
      <w:pPr>
        <w:pStyle w:val="Paragraph"/>
        <w:rPr>
          <w:rFonts w:eastAsia="Calibri"/>
          <w:szCs w:val="20"/>
          <w:lang w:eastAsia="en-US"/>
        </w:rPr>
      </w:pPr>
      <w:r w:rsidRPr="0038181B">
        <w:rPr>
          <w:rFonts w:eastAsia="Calibri"/>
          <w:szCs w:val="20"/>
          <w:lang w:eastAsia="en-US"/>
        </w:rPr>
        <w:t xml:space="preserve">Where costs accrue under </w:t>
      </w:r>
      <w:r>
        <w:rPr>
          <w:rFonts w:eastAsia="Calibri"/>
          <w:szCs w:val="20"/>
          <w:lang w:eastAsia="en-US"/>
        </w:rPr>
        <w:t>enforceable obligations,</w:t>
      </w:r>
      <w:r w:rsidRPr="0038181B">
        <w:rPr>
          <w:rFonts w:eastAsia="Calibri"/>
          <w:szCs w:val="20"/>
          <w:lang w:eastAsia="en-US"/>
        </w:rPr>
        <w:t xml:space="preserve"> costs will be higher for carriers (including carriers operating both fixed and mobile services)</w:t>
      </w:r>
      <w:r>
        <w:rPr>
          <w:rFonts w:eastAsia="Calibri"/>
          <w:szCs w:val="20"/>
          <w:lang w:eastAsia="en-US"/>
        </w:rPr>
        <w:t xml:space="preserve"> due to their role in the telecommunications ecosystem</w:t>
      </w:r>
      <w:r w:rsidR="002A54B2">
        <w:rPr>
          <w:rFonts w:eastAsia="Calibri"/>
          <w:szCs w:val="20"/>
          <w:lang w:eastAsia="en-US"/>
        </w:rPr>
        <w:t>,</w:t>
      </w:r>
      <w:r>
        <w:rPr>
          <w:rFonts w:eastAsia="Calibri"/>
          <w:szCs w:val="20"/>
          <w:lang w:eastAsia="en-US"/>
        </w:rPr>
        <w:t xml:space="preserve"> as c</w:t>
      </w:r>
      <w:r w:rsidRPr="00912F3E">
        <w:rPr>
          <w:rFonts w:eastAsia="Calibri"/>
          <w:szCs w:val="20"/>
          <w:lang w:eastAsia="en-US"/>
        </w:rPr>
        <w:t>arriers provide the basic transmission infrastructure on which carriage and content services are supplied to the public</w:t>
      </w:r>
      <w:r w:rsidRPr="0038181B">
        <w:rPr>
          <w:rFonts w:eastAsia="Calibri"/>
          <w:szCs w:val="20"/>
          <w:lang w:eastAsia="en-US"/>
        </w:rPr>
        <w:t>.</w:t>
      </w:r>
      <w:r>
        <w:rPr>
          <w:rFonts w:eastAsia="Calibri"/>
          <w:szCs w:val="20"/>
          <w:lang w:eastAsia="en-US"/>
        </w:rPr>
        <w:t xml:space="preserve"> In addition, carriers operate international gateways carrying internationally-originating traffic (including scam calls) onto domestic networks. Obligations to work with international carriers to reduce scam calls should lessen the burden on the Australian telecommunications industry as a whole.</w:t>
      </w:r>
    </w:p>
    <w:bookmarkEnd w:id="120"/>
    <w:p w14:paraId="71DBDDC2" w14:textId="77777777" w:rsidR="00DB2B1C" w:rsidRPr="00095568" w:rsidRDefault="00DB2B1C" w:rsidP="00B53BBB">
      <w:pPr>
        <w:pStyle w:val="Paragraphbeforelist"/>
        <w:rPr>
          <w:rFonts w:eastAsia="Calibri"/>
          <w:lang w:eastAsia="en-US"/>
        </w:rPr>
      </w:pPr>
      <w:r w:rsidRPr="00095568">
        <w:rPr>
          <w:rFonts w:eastAsia="Calibri"/>
          <w:lang w:eastAsia="en-US"/>
        </w:rPr>
        <w:t xml:space="preserve">For the purposes of this RIS, </w:t>
      </w:r>
      <w:r>
        <w:rPr>
          <w:rFonts w:eastAsia="Calibri"/>
          <w:lang w:eastAsia="en-US"/>
        </w:rPr>
        <w:t>C/CSP</w:t>
      </w:r>
      <w:r w:rsidRPr="00095568">
        <w:rPr>
          <w:rFonts w:eastAsia="Calibri"/>
          <w:lang w:eastAsia="en-US"/>
        </w:rPr>
        <w:t xml:space="preserve">s have been characterised as follows (based on the volume of local and mobile </w:t>
      </w:r>
      <w:r>
        <w:rPr>
          <w:rFonts w:eastAsia="Calibri"/>
          <w:lang w:eastAsia="en-US"/>
        </w:rPr>
        <w:t xml:space="preserve">service </w:t>
      </w:r>
      <w:r w:rsidRPr="00095568">
        <w:rPr>
          <w:rFonts w:eastAsia="Calibri"/>
          <w:lang w:eastAsia="en-US"/>
        </w:rPr>
        <w:t>number</w:t>
      </w:r>
      <w:r>
        <w:rPr>
          <w:rFonts w:eastAsia="Calibri"/>
          <w:lang w:eastAsia="en-US"/>
        </w:rPr>
        <w:t>s</w:t>
      </w:r>
      <w:r w:rsidRPr="00095568">
        <w:rPr>
          <w:rFonts w:eastAsia="Calibri"/>
          <w:lang w:eastAsia="en-US"/>
        </w:rPr>
        <w:t xml:space="preserve"> allocated by the ACMA):</w:t>
      </w:r>
    </w:p>
    <w:p w14:paraId="1AD7401C" w14:textId="28CBB444" w:rsidR="00DB2B1C" w:rsidRPr="00095568" w:rsidRDefault="002A54B2" w:rsidP="00B53BBB">
      <w:pPr>
        <w:pStyle w:val="Bulletlevel1"/>
        <w:rPr>
          <w:rFonts w:eastAsia="Calibri"/>
          <w:lang w:eastAsia="en-US"/>
        </w:rPr>
      </w:pPr>
      <w:r>
        <w:rPr>
          <w:rFonts w:eastAsia="Calibri"/>
          <w:lang w:eastAsia="en-US"/>
        </w:rPr>
        <w:t>l</w:t>
      </w:r>
      <w:r w:rsidR="00DB2B1C">
        <w:rPr>
          <w:rFonts w:eastAsia="Calibri"/>
          <w:lang w:eastAsia="en-US"/>
        </w:rPr>
        <w:t>arge carriers</w:t>
      </w:r>
      <w:r w:rsidR="00DB2B1C" w:rsidRPr="00095568">
        <w:rPr>
          <w:rFonts w:eastAsia="Calibri"/>
          <w:lang w:eastAsia="en-US"/>
        </w:rPr>
        <w:t xml:space="preserve">: </w:t>
      </w:r>
      <w:r w:rsidR="00DB2B1C">
        <w:rPr>
          <w:rFonts w:eastAsia="Calibri"/>
          <w:lang w:eastAsia="en-US"/>
        </w:rPr>
        <w:t>4</w:t>
      </w:r>
      <w:r w:rsidR="00DB2B1C" w:rsidRPr="00095568">
        <w:rPr>
          <w:rFonts w:eastAsia="Calibri"/>
          <w:lang w:eastAsia="en-US"/>
        </w:rPr>
        <w:t xml:space="preserve"> (over </w:t>
      </w:r>
      <w:r w:rsidR="00DB2B1C">
        <w:rPr>
          <w:rFonts w:eastAsia="Calibri"/>
          <w:lang w:eastAsia="en-US"/>
        </w:rPr>
        <w:t>10</w:t>
      </w:r>
      <w:r w:rsidR="00DB2B1C" w:rsidRPr="00095568">
        <w:rPr>
          <w:rFonts w:eastAsia="Calibri"/>
          <w:lang w:eastAsia="en-US"/>
        </w:rPr>
        <w:t xml:space="preserve"> million</w:t>
      </w:r>
      <w:r w:rsidR="00DB2B1C">
        <w:rPr>
          <w:rFonts w:eastAsia="Calibri"/>
          <w:lang w:eastAsia="en-US"/>
        </w:rPr>
        <w:t xml:space="preserve"> numbers</w:t>
      </w:r>
      <w:r w:rsidR="00DB2B1C" w:rsidRPr="00095568">
        <w:rPr>
          <w:rFonts w:eastAsia="Calibri"/>
          <w:lang w:eastAsia="en-US"/>
        </w:rPr>
        <w:t>)</w:t>
      </w:r>
    </w:p>
    <w:p w14:paraId="4EC3238D" w14:textId="29CF4EC6" w:rsidR="00DB2B1C" w:rsidRPr="00095568" w:rsidRDefault="002A54B2" w:rsidP="00B53BBB">
      <w:pPr>
        <w:pStyle w:val="Bulletlevel1"/>
        <w:rPr>
          <w:rFonts w:eastAsia="Calibri"/>
          <w:lang w:eastAsia="en-US"/>
        </w:rPr>
      </w:pPr>
      <w:r>
        <w:rPr>
          <w:rFonts w:eastAsia="Calibri"/>
          <w:lang w:eastAsia="en-US"/>
        </w:rPr>
        <w:t>m</w:t>
      </w:r>
      <w:r w:rsidR="00DB2B1C">
        <w:rPr>
          <w:rFonts w:eastAsia="Calibri"/>
          <w:lang w:eastAsia="en-US"/>
        </w:rPr>
        <w:t>edium CSPs</w:t>
      </w:r>
      <w:r w:rsidR="00DB2B1C" w:rsidRPr="00095568">
        <w:rPr>
          <w:rFonts w:eastAsia="Calibri"/>
          <w:lang w:eastAsia="en-US"/>
        </w:rPr>
        <w:t>:</w:t>
      </w:r>
      <w:r w:rsidR="00DB2B1C">
        <w:rPr>
          <w:rFonts w:eastAsia="Calibri"/>
          <w:lang w:eastAsia="en-US"/>
        </w:rPr>
        <w:t xml:space="preserve"> 18 </w:t>
      </w:r>
      <w:r w:rsidR="00DB2B1C" w:rsidRPr="00095568">
        <w:rPr>
          <w:rFonts w:eastAsia="Calibri"/>
          <w:lang w:eastAsia="en-US"/>
        </w:rPr>
        <w:t xml:space="preserve">(1 million to </w:t>
      </w:r>
      <w:r w:rsidR="00DB2B1C">
        <w:rPr>
          <w:rFonts w:eastAsia="Calibri"/>
          <w:lang w:eastAsia="en-US"/>
        </w:rPr>
        <w:t>10</w:t>
      </w:r>
      <w:r w:rsidR="00DB2B1C" w:rsidRPr="00095568">
        <w:rPr>
          <w:rFonts w:eastAsia="Calibri"/>
          <w:lang w:eastAsia="en-US"/>
        </w:rPr>
        <w:t xml:space="preserve"> million</w:t>
      </w:r>
      <w:r w:rsidR="00DB2B1C">
        <w:rPr>
          <w:rFonts w:eastAsia="Calibri"/>
          <w:lang w:eastAsia="en-US"/>
        </w:rPr>
        <w:t xml:space="preserve"> numbers</w:t>
      </w:r>
      <w:r w:rsidR="00DB2B1C" w:rsidRPr="00095568">
        <w:rPr>
          <w:rFonts w:eastAsia="Calibri"/>
          <w:lang w:eastAsia="en-US"/>
        </w:rPr>
        <w:t>)</w:t>
      </w:r>
    </w:p>
    <w:p w14:paraId="2F37A699" w14:textId="110DD301" w:rsidR="00DB2B1C" w:rsidRPr="00095568" w:rsidRDefault="002A54B2" w:rsidP="00B53BBB">
      <w:pPr>
        <w:pStyle w:val="Bulletlevel1"/>
        <w:rPr>
          <w:rFonts w:eastAsia="Calibri"/>
          <w:lang w:eastAsia="en-US"/>
        </w:rPr>
      </w:pPr>
      <w:r>
        <w:rPr>
          <w:rFonts w:eastAsia="Calibri"/>
          <w:lang w:eastAsia="en-US"/>
        </w:rPr>
        <w:t>s</w:t>
      </w:r>
      <w:r w:rsidR="00DB2B1C">
        <w:rPr>
          <w:rFonts w:eastAsia="Calibri"/>
          <w:lang w:eastAsia="en-US"/>
        </w:rPr>
        <w:t>mall CSPs</w:t>
      </w:r>
      <w:r w:rsidR="00DB2B1C" w:rsidRPr="00095568">
        <w:rPr>
          <w:rFonts w:eastAsia="Calibri"/>
          <w:lang w:eastAsia="en-US"/>
        </w:rPr>
        <w:t xml:space="preserve">: </w:t>
      </w:r>
      <w:r w:rsidR="00DB2B1C">
        <w:rPr>
          <w:rFonts w:eastAsia="Calibri"/>
          <w:lang w:eastAsia="en-US"/>
        </w:rPr>
        <w:t xml:space="preserve">150 </w:t>
      </w:r>
      <w:r w:rsidR="00DB2B1C" w:rsidRPr="00095568">
        <w:rPr>
          <w:rFonts w:eastAsia="Calibri"/>
          <w:lang w:eastAsia="en-US"/>
        </w:rPr>
        <w:t xml:space="preserve">(100,000 to 1 </w:t>
      </w:r>
      <w:r w:rsidR="00DB2B1C" w:rsidRPr="00DF4607">
        <w:rPr>
          <w:rFonts w:eastAsia="Calibri"/>
          <w:lang w:eastAsia="en-US"/>
        </w:rPr>
        <w:t>million</w:t>
      </w:r>
      <w:r w:rsidR="00DB2B1C">
        <w:rPr>
          <w:rFonts w:eastAsia="Calibri"/>
          <w:lang w:eastAsia="en-US"/>
        </w:rPr>
        <w:t xml:space="preserve"> numbers</w:t>
      </w:r>
      <w:r w:rsidR="00DB2B1C" w:rsidRPr="00095568">
        <w:rPr>
          <w:rFonts w:eastAsia="Calibri"/>
          <w:lang w:eastAsia="en-US"/>
        </w:rPr>
        <w:t>)</w:t>
      </w:r>
    </w:p>
    <w:p w14:paraId="04FF1546" w14:textId="5A64955E" w:rsidR="00DB2B1C" w:rsidRPr="00E63826" w:rsidRDefault="002A54B2" w:rsidP="00B53BBB">
      <w:pPr>
        <w:pStyle w:val="Bulletlevel1last"/>
      </w:pPr>
      <w:r>
        <w:rPr>
          <w:rFonts w:eastAsia="Calibri"/>
        </w:rPr>
        <w:t>v</w:t>
      </w:r>
      <w:r w:rsidR="00DB2B1C" w:rsidRPr="001E5D0B">
        <w:rPr>
          <w:rFonts w:eastAsia="Calibri"/>
        </w:rPr>
        <w:t>ery small:</w:t>
      </w:r>
      <w:r w:rsidR="00DB2B1C">
        <w:rPr>
          <w:rFonts w:eastAsia="Calibri"/>
        </w:rPr>
        <w:t xml:space="preserve"> 241</w:t>
      </w:r>
      <w:r w:rsidR="00DB2B1C" w:rsidRPr="001E5D0B">
        <w:rPr>
          <w:rFonts w:eastAsia="Calibri"/>
        </w:rPr>
        <w:t xml:space="preserve"> (1</w:t>
      </w:r>
      <w:r w:rsidR="00DB2B1C">
        <w:rPr>
          <w:rFonts w:eastAsia="Calibri"/>
        </w:rPr>
        <w:t xml:space="preserve"> </w:t>
      </w:r>
      <w:r w:rsidR="00DB2B1C" w:rsidRPr="001E5D0B">
        <w:rPr>
          <w:rFonts w:eastAsia="Calibri"/>
        </w:rPr>
        <w:t>to 10</w:t>
      </w:r>
      <w:r w:rsidR="00DB2B1C">
        <w:rPr>
          <w:rFonts w:eastAsia="Calibri"/>
        </w:rPr>
        <w:t>0</w:t>
      </w:r>
      <w:r w:rsidR="00DB2B1C" w:rsidRPr="001E5D0B">
        <w:rPr>
          <w:rFonts w:eastAsia="Calibri"/>
        </w:rPr>
        <w:t>,000</w:t>
      </w:r>
      <w:r w:rsidR="00DB2B1C">
        <w:rPr>
          <w:rFonts w:eastAsia="Calibri"/>
        </w:rPr>
        <w:t xml:space="preserve"> numbers</w:t>
      </w:r>
      <w:r w:rsidR="00DB2B1C" w:rsidRPr="001E5D0B">
        <w:rPr>
          <w:rFonts w:eastAsia="Calibri"/>
        </w:rPr>
        <w:t>).</w:t>
      </w:r>
    </w:p>
    <w:p w14:paraId="48DFE22A" w14:textId="5FC32657" w:rsidR="00DB2B1C" w:rsidRDefault="00DB2B1C" w:rsidP="00DB2B1C">
      <w:pPr>
        <w:pStyle w:val="Paragraph"/>
      </w:pPr>
      <w:r>
        <w:rPr>
          <w:rFonts w:eastAsia="Calibri"/>
          <w:szCs w:val="20"/>
          <w:lang w:eastAsia="en-US"/>
        </w:rPr>
        <w:t>The number of C/CSPs</w:t>
      </w:r>
      <w:r w:rsidRPr="00632D1A">
        <w:rPr>
          <w:rFonts w:eastAsia="Calibri"/>
          <w:szCs w:val="20"/>
          <w:lang w:eastAsia="en-US"/>
        </w:rPr>
        <w:t xml:space="preserve"> </w:t>
      </w:r>
      <w:r w:rsidR="002A54B2">
        <w:rPr>
          <w:rFonts w:eastAsia="Calibri"/>
          <w:szCs w:val="20"/>
          <w:lang w:eastAsia="en-US"/>
        </w:rPr>
        <w:t xml:space="preserve">that </w:t>
      </w:r>
      <w:r>
        <w:rPr>
          <w:rFonts w:eastAsia="Calibri"/>
          <w:szCs w:val="20"/>
          <w:lang w:eastAsia="en-US"/>
        </w:rPr>
        <w:t>will be covered by enforceable obligations has been</w:t>
      </w:r>
      <w:r w:rsidRPr="00632D1A">
        <w:rPr>
          <w:rFonts w:eastAsia="Calibri"/>
          <w:szCs w:val="20"/>
          <w:lang w:eastAsia="en-US"/>
        </w:rPr>
        <w:t xml:space="preserve"> conservative</w:t>
      </w:r>
      <w:r>
        <w:rPr>
          <w:rFonts w:eastAsia="Calibri"/>
          <w:szCs w:val="20"/>
          <w:lang w:eastAsia="en-US"/>
        </w:rPr>
        <w:t>ly</w:t>
      </w:r>
      <w:r w:rsidRPr="00632D1A">
        <w:rPr>
          <w:rFonts w:eastAsia="Calibri"/>
          <w:szCs w:val="20"/>
          <w:lang w:eastAsia="en-US"/>
        </w:rPr>
        <w:t xml:space="preserve"> </w:t>
      </w:r>
      <w:r>
        <w:rPr>
          <w:rFonts w:eastAsia="Calibri"/>
          <w:szCs w:val="20"/>
          <w:lang w:eastAsia="en-US"/>
        </w:rPr>
        <w:t>estimated at a maximum of 413. This maximum includes each C/CSP; however, there are a number of partnerships and carrier relationships in place. For example, some smaller CSPs</w:t>
      </w:r>
      <w:r w:rsidRPr="00A65E00">
        <w:rPr>
          <w:rFonts w:eastAsia="Calibri"/>
          <w:szCs w:val="20"/>
          <w:lang w:eastAsia="en-US"/>
        </w:rPr>
        <w:t xml:space="preserve"> </w:t>
      </w:r>
      <w:r>
        <w:rPr>
          <w:rFonts w:eastAsia="Calibri"/>
          <w:szCs w:val="20"/>
          <w:lang w:eastAsia="en-US"/>
        </w:rPr>
        <w:t>are owned</w:t>
      </w:r>
      <w:r w:rsidRPr="00A65E00">
        <w:rPr>
          <w:rFonts w:eastAsia="Calibri"/>
          <w:szCs w:val="20"/>
          <w:lang w:eastAsia="en-US"/>
        </w:rPr>
        <w:t xml:space="preserve"> </w:t>
      </w:r>
      <w:r>
        <w:rPr>
          <w:rFonts w:eastAsia="Calibri"/>
          <w:szCs w:val="20"/>
          <w:lang w:eastAsia="en-US"/>
        </w:rPr>
        <w:t>by</w:t>
      </w:r>
      <w:r w:rsidRPr="00A65E00">
        <w:rPr>
          <w:rFonts w:eastAsia="Calibri"/>
          <w:szCs w:val="20"/>
          <w:lang w:eastAsia="en-US"/>
        </w:rPr>
        <w:t xml:space="preserve"> larger </w:t>
      </w:r>
      <w:r>
        <w:rPr>
          <w:rFonts w:eastAsia="Calibri"/>
          <w:szCs w:val="20"/>
          <w:lang w:eastAsia="en-US"/>
        </w:rPr>
        <w:t>C/CSPs</w:t>
      </w:r>
      <w:r w:rsidR="002A54B2">
        <w:rPr>
          <w:rFonts w:eastAsia="Calibri"/>
          <w:szCs w:val="20"/>
          <w:lang w:eastAsia="en-US"/>
        </w:rPr>
        <w:t>,</w:t>
      </w:r>
      <w:r>
        <w:rPr>
          <w:rFonts w:eastAsia="Calibri"/>
          <w:szCs w:val="20"/>
          <w:lang w:eastAsia="en-US"/>
        </w:rPr>
        <w:t xml:space="preserve"> while others </w:t>
      </w:r>
      <w:r w:rsidRPr="005A6750">
        <w:rPr>
          <w:rFonts w:eastAsia="Calibri"/>
          <w:szCs w:val="20"/>
          <w:lang w:eastAsia="en-US"/>
        </w:rPr>
        <w:t>purchas</w:t>
      </w:r>
      <w:r>
        <w:rPr>
          <w:rFonts w:eastAsia="Calibri"/>
          <w:szCs w:val="20"/>
          <w:lang w:eastAsia="en-US"/>
        </w:rPr>
        <w:t>e</w:t>
      </w:r>
      <w:r w:rsidRPr="005A6750">
        <w:rPr>
          <w:rFonts w:eastAsia="Calibri"/>
          <w:szCs w:val="20"/>
          <w:lang w:eastAsia="en-US"/>
        </w:rPr>
        <w:t xml:space="preserve"> network capacity to provide services to their customers</w:t>
      </w:r>
      <w:r>
        <w:rPr>
          <w:rFonts w:eastAsia="Calibri"/>
          <w:szCs w:val="20"/>
          <w:lang w:eastAsia="en-US"/>
        </w:rPr>
        <w:t>.</w:t>
      </w:r>
      <w:r w:rsidRPr="00E72C36">
        <w:t xml:space="preserve"> </w:t>
      </w:r>
    </w:p>
    <w:p w14:paraId="4FF446E4" w14:textId="23518E2D" w:rsidR="00DB2B1C" w:rsidRDefault="00DB2B1C" w:rsidP="00DB2B1C">
      <w:pPr>
        <w:pStyle w:val="Paragraph"/>
      </w:pPr>
      <w:r>
        <w:t>I</w:t>
      </w:r>
      <w:r w:rsidRPr="00E72C36">
        <w:t>t is</w:t>
      </w:r>
      <w:r>
        <w:t xml:space="preserve"> anticipated</w:t>
      </w:r>
      <w:r w:rsidRPr="00E72C36">
        <w:t xml:space="preserve"> that while all C/CSPs need to have processes to comply with </w:t>
      </w:r>
      <w:r>
        <w:t>enforceable obligations</w:t>
      </w:r>
      <w:r w:rsidRPr="00E72C36">
        <w:t xml:space="preserve">, </w:t>
      </w:r>
      <w:r>
        <w:t xml:space="preserve">some </w:t>
      </w:r>
      <w:r w:rsidRPr="00E72C36">
        <w:t xml:space="preserve">provisions </w:t>
      </w:r>
      <w:r>
        <w:t>(for example</w:t>
      </w:r>
      <w:r w:rsidR="002A54B2">
        <w:t>,</w:t>
      </w:r>
      <w:r>
        <w:t xml:space="preserve"> on</w:t>
      </w:r>
      <w:r w:rsidRPr="002150ED">
        <w:t xml:space="preserve"> information sharing</w:t>
      </w:r>
      <w:r>
        <w:t>)</w:t>
      </w:r>
      <w:r w:rsidRPr="002150ED">
        <w:t xml:space="preserve"> </w:t>
      </w:r>
      <w:r>
        <w:t>would</w:t>
      </w:r>
      <w:r w:rsidRPr="00E72C36">
        <w:t xml:space="preserve"> only </w:t>
      </w:r>
      <w:r>
        <w:t xml:space="preserve">be </w:t>
      </w:r>
      <w:r w:rsidRPr="00E72C36">
        <w:t xml:space="preserve">enlivened when the volume of calls trigger materiality provisions. Similarly, </w:t>
      </w:r>
      <w:r w:rsidRPr="00397C1A">
        <w:t>C/CSPs are expected to incur ongoing costs associated with sharing scam call information with other providers and to relevant government agencies.</w:t>
      </w:r>
      <w:r>
        <w:t xml:space="preserve"> But </w:t>
      </w:r>
      <w:r w:rsidRPr="00E72C36">
        <w:t xml:space="preserve">the requirement to share information with the ACMA and other regulators </w:t>
      </w:r>
      <w:r>
        <w:t>may</w:t>
      </w:r>
      <w:r w:rsidRPr="00E72C36">
        <w:t xml:space="preserve"> only </w:t>
      </w:r>
      <w:r>
        <w:t xml:space="preserve">be </w:t>
      </w:r>
      <w:r w:rsidRPr="00E72C36">
        <w:t xml:space="preserve">enlivened where a C/CSP does not respond the notifying C/CSP. </w:t>
      </w:r>
    </w:p>
    <w:p w14:paraId="6950664D" w14:textId="77777777" w:rsidR="00DB2B1C" w:rsidRDefault="00DB2B1C" w:rsidP="00DB2B1C">
      <w:pPr>
        <w:pStyle w:val="Paragraph"/>
        <w:rPr>
          <w:rFonts w:eastAsia="Calibri"/>
          <w:szCs w:val="20"/>
          <w:lang w:eastAsia="en-US"/>
        </w:rPr>
      </w:pPr>
      <w:r>
        <w:t>I</w:t>
      </w:r>
      <w:r w:rsidRPr="00E72C36">
        <w:t xml:space="preserve">t is </w:t>
      </w:r>
      <w:r>
        <w:t xml:space="preserve">also </w:t>
      </w:r>
      <w:r w:rsidRPr="00E72C36">
        <w:t>assumed (based on current practice) that while monitoring activities continue in real time, tracing and verifying activities (including information-sharing with other providers) will occur on a weekly basis for large carriers and medium C/CSPs</w:t>
      </w:r>
      <w:r>
        <w:t>.</w:t>
      </w:r>
    </w:p>
    <w:p w14:paraId="4C719122" w14:textId="3C99AEF4" w:rsidR="00DB2B1C" w:rsidRDefault="00DB2B1C" w:rsidP="00DB2B1C">
      <w:pPr>
        <w:pStyle w:val="Paragraph"/>
        <w:rPr>
          <w:rFonts w:eastAsia="Calibri"/>
          <w:szCs w:val="20"/>
          <w:lang w:eastAsia="en-US"/>
        </w:rPr>
      </w:pPr>
      <w:r w:rsidRPr="00BD6C53">
        <w:rPr>
          <w:rFonts w:eastAsia="Calibri"/>
          <w:szCs w:val="20"/>
          <w:lang w:eastAsia="en-US"/>
        </w:rPr>
        <w:t xml:space="preserve">As </w:t>
      </w:r>
      <w:r w:rsidR="00B304DD">
        <w:rPr>
          <w:rFonts w:eastAsia="Calibri"/>
          <w:szCs w:val="20"/>
          <w:lang w:eastAsia="en-US"/>
        </w:rPr>
        <w:t>T</w:t>
      </w:r>
      <w:r w:rsidRPr="00BD6C53">
        <w:rPr>
          <w:rFonts w:eastAsia="Calibri"/>
          <w:szCs w:val="20"/>
          <w:lang w:eastAsia="en-US"/>
        </w:rPr>
        <w:t>able</w:t>
      </w:r>
      <w:r w:rsidR="00B304DD">
        <w:rPr>
          <w:rFonts w:eastAsia="Calibri"/>
          <w:szCs w:val="20"/>
          <w:lang w:eastAsia="en-US"/>
        </w:rPr>
        <w:t xml:space="preserve"> 1</w:t>
      </w:r>
      <w:r w:rsidRPr="00BD6C53">
        <w:rPr>
          <w:rFonts w:eastAsia="Calibri"/>
          <w:szCs w:val="20"/>
          <w:lang w:eastAsia="en-US"/>
        </w:rPr>
        <w:t xml:space="preserve"> </w:t>
      </w:r>
      <w:r>
        <w:rPr>
          <w:rFonts w:eastAsia="Calibri"/>
          <w:szCs w:val="20"/>
          <w:lang w:eastAsia="en-US"/>
        </w:rPr>
        <w:t>below</w:t>
      </w:r>
      <w:r w:rsidRPr="00BD6C53">
        <w:rPr>
          <w:rFonts w:eastAsia="Calibri"/>
          <w:szCs w:val="20"/>
          <w:lang w:eastAsia="en-US"/>
        </w:rPr>
        <w:t xml:space="preserve">, costs from </w:t>
      </w:r>
      <w:r w:rsidR="00DF4607">
        <w:rPr>
          <w:rFonts w:eastAsia="Calibri"/>
          <w:szCs w:val="20"/>
          <w:lang w:eastAsia="en-US"/>
        </w:rPr>
        <w:t>Y</w:t>
      </w:r>
      <w:r w:rsidRPr="00BD6C53">
        <w:rPr>
          <w:rFonts w:eastAsia="Calibri"/>
          <w:szCs w:val="20"/>
          <w:lang w:eastAsia="en-US"/>
        </w:rPr>
        <w:t xml:space="preserve">ear </w:t>
      </w:r>
      <w:r w:rsidR="002A54B2">
        <w:rPr>
          <w:rFonts w:eastAsia="Calibri"/>
          <w:szCs w:val="20"/>
          <w:lang w:eastAsia="en-US"/>
        </w:rPr>
        <w:t>2</w:t>
      </w:r>
      <w:r w:rsidR="002A54B2" w:rsidRPr="00BD6C53">
        <w:rPr>
          <w:rFonts w:eastAsia="Calibri"/>
          <w:szCs w:val="20"/>
          <w:lang w:eastAsia="en-US"/>
        </w:rPr>
        <w:t xml:space="preserve"> </w:t>
      </w:r>
      <w:r w:rsidRPr="00BD6C53">
        <w:rPr>
          <w:rFonts w:eastAsia="Calibri"/>
          <w:szCs w:val="20"/>
          <w:lang w:eastAsia="en-US"/>
        </w:rPr>
        <w:t>drop significantly and mainly reflect the activity involved in responding to other C/CSPs identifying scam calls delivered by that provider.</w:t>
      </w:r>
    </w:p>
    <w:p w14:paraId="6793519F" w14:textId="703F35E9" w:rsidR="002A54B2" w:rsidRDefault="002A54B2" w:rsidP="002A54B2">
      <w:pPr>
        <w:pStyle w:val="Tableheading"/>
        <w:rPr>
          <w:rFonts w:eastAsia="Calibri"/>
          <w:lang w:eastAsia="en-US"/>
        </w:rPr>
      </w:pPr>
      <w:r w:rsidRPr="003308A1">
        <w:rPr>
          <w:rFonts w:eastAsia="Calibri"/>
          <w:lang w:eastAsia="en-US"/>
        </w:rPr>
        <w:lastRenderedPageBreak/>
        <w:t>Costs to all C/CSPs to comply with enforceable obligations over 10</w:t>
      </w:r>
      <w:r>
        <w:rPr>
          <w:rFonts w:eastAsia="Calibri"/>
          <w:lang w:eastAsia="en-US"/>
        </w:rPr>
        <w:t> </w:t>
      </w:r>
      <w:r w:rsidRPr="003308A1">
        <w:rPr>
          <w:rFonts w:eastAsia="Calibri"/>
          <w:lang w:eastAsia="en-US"/>
        </w:rPr>
        <w:t>years</w:t>
      </w:r>
      <w:r w:rsidRPr="003308A1">
        <w:rPr>
          <w:rFonts w:eastAsia="Calibri"/>
          <w:vertAlign w:val="superscript"/>
          <w:lang w:eastAsia="en-US"/>
        </w:rPr>
        <w:footnoteReference w:id="63"/>
      </w:r>
    </w:p>
    <w:tbl>
      <w:tblPr>
        <w:tblStyle w:val="TableGrid"/>
        <w:tblW w:w="4807" w:type="pct"/>
        <w:tblCellMar>
          <w:top w:w="85" w:type="dxa"/>
          <w:left w:w="85" w:type="dxa"/>
          <w:bottom w:w="85" w:type="dxa"/>
          <w:right w:w="85" w:type="dxa"/>
        </w:tblCellMar>
        <w:tblLook w:val="04A0" w:firstRow="1" w:lastRow="0" w:firstColumn="1" w:lastColumn="0" w:noHBand="0" w:noVBand="1"/>
      </w:tblPr>
      <w:tblGrid>
        <w:gridCol w:w="2690"/>
        <w:gridCol w:w="2408"/>
        <w:gridCol w:w="2267"/>
      </w:tblGrid>
      <w:tr w:rsidR="00DB2B1C" w:rsidRPr="003308A1" w14:paraId="2851E61F" w14:textId="77777777" w:rsidTr="002B7F29">
        <w:trPr>
          <w:cantSplit/>
          <w:tblHeader/>
        </w:trPr>
        <w:tc>
          <w:tcPr>
            <w:tcW w:w="1826" w:type="pct"/>
            <w:shd w:val="clear" w:color="auto" w:fill="404040" w:themeFill="text1" w:themeFillTint="BF"/>
          </w:tcPr>
          <w:p w14:paraId="6659E96B" w14:textId="77777777" w:rsidR="00DB2B1C" w:rsidRPr="006C1066" w:rsidRDefault="00DB2B1C" w:rsidP="002A54B2">
            <w:pPr>
              <w:pStyle w:val="Paragraph"/>
              <w:keepNext/>
              <w:keepLines/>
              <w:spacing w:after="0"/>
              <w:rPr>
                <w:rFonts w:eastAsia="Calibri"/>
                <w:b/>
                <w:color w:val="FFFFFF" w:themeColor="background1"/>
                <w:szCs w:val="20"/>
                <w:lang w:eastAsia="en-US"/>
              </w:rPr>
            </w:pPr>
            <w:r w:rsidRPr="006C1066">
              <w:rPr>
                <w:rFonts w:eastAsia="Calibri"/>
                <w:b/>
                <w:color w:val="FFFFFF" w:themeColor="background1"/>
                <w:szCs w:val="20"/>
                <w:lang w:eastAsia="en-US"/>
              </w:rPr>
              <w:t>Category</w:t>
            </w:r>
          </w:p>
        </w:tc>
        <w:tc>
          <w:tcPr>
            <w:tcW w:w="1635" w:type="pct"/>
            <w:shd w:val="clear" w:color="auto" w:fill="404040" w:themeFill="text1" w:themeFillTint="BF"/>
          </w:tcPr>
          <w:p w14:paraId="225C91C1" w14:textId="5D5E4507" w:rsidR="00DB2B1C" w:rsidRPr="006C1066" w:rsidRDefault="00DB2B1C" w:rsidP="002A54B2">
            <w:pPr>
              <w:pStyle w:val="Paragraph"/>
              <w:keepNext/>
              <w:keepLines/>
              <w:spacing w:after="0"/>
              <w:rPr>
                <w:rFonts w:eastAsia="Calibri"/>
                <w:b/>
                <w:color w:val="FFFFFF" w:themeColor="background1"/>
                <w:szCs w:val="20"/>
                <w:lang w:eastAsia="en-US"/>
              </w:rPr>
            </w:pPr>
            <w:r w:rsidRPr="006C1066">
              <w:rPr>
                <w:rFonts w:eastAsia="Calibri"/>
                <w:b/>
                <w:color w:val="FFFFFF" w:themeColor="background1"/>
                <w:szCs w:val="20"/>
                <w:lang w:eastAsia="en-US"/>
              </w:rPr>
              <w:t>Costs</w:t>
            </w:r>
            <w:r w:rsidR="002A54B2" w:rsidRPr="006C1066">
              <w:rPr>
                <w:rFonts w:eastAsia="Calibri"/>
                <w:b/>
                <w:color w:val="FFFFFF" w:themeColor="background1"/>
                <w:szCs w:val="20"/>
                <w:lang w:eastAsia="en-US"/>
              </w:rPr>
              <w:t>:</w:t>
            </w:r>
            <w:r w:rsidRPr="006C1066">
              <w:rPr>
                <w:rFonts w:eastAsia="Calibri"/>
                <w:b/>
                <w:color w:val="FFFFFF" w:themeColor="background1"/>
                <w:szCs w:val="20"/>
                <w:lang w:eastAsia="en-US"/>
              </w:rPr>
              <w:t xml:space="preserve"> Year 1 </w:t>
            </w:r>
          </w:p>
        </w:tc>
        <w:tc>
          <w:tcPr>
            <w:tcW w:w="1539" w:type="pct"/>
            <w:shd w:val="clear" w:color="auto" w:fill="404040" w:themeFill="text1" w:themeFillTint="BF"/>
          </w:tcPr>
          <w:p w14:paraId="54505175" w14:textId="5E73C1CC" w:rsidR="00DB2B1C" w:rsidRPr="006C1066" w:rsidRDefault="00DB2B1C" w:rsidP="002A54B2">
            <w:pPr>
              <w:pStyle w:val="Paragraph"/>
              <w:keepNext/>
              <w:keepLines/>
              <w:spacing w:after="0"/>
              <w:rPr>
                <w:rFonts w:eastAsia="Calibri"/>
                <w:b/>
                <w:color w:val="FFFFFF" w:themeColor="background1"/>
                <w:szCs w:val="20"/>
                <w:lang w:eastAsia="en-US"/>
              </w:rPr>
            </w:pPr>
            <w:r w:rsidRPr="006C1066">
              <w:rPr>
                <w:rFonts w:eastAsia="Calibri"/>
                <w:b/>
                <w:color w:val="FFFFFF" w:themeColor="background1"/>
                <w:szCs w:val="20"/>
                <w:lang w:eastAsia="en-US"/>
              </w:rPr>
              <w:t>Cost</w:t>
            </w:r>
            <w:r w:rsidR="002A54B2" w:rsidRPr="006C1066">
              <w:rPr>
                <w:rFonts w:eastAsia="Calibri"/>
                <w:b/>
                <w:color w:val="FFFFFF" w:themeColor="background1"/>
                <w:szCs w:val="20"/>
                <w:lang w:eastAsia="en-US"/>
              </w:rPr>
              <w:t>:</w:t>
            </w:r>
            <w:r w:rsidRPr="006C1066">
              <w:rPr>
                <w:rFonts w:eastAsia="Calibri"/>
                <w:b/>
                <w:color w:val="FFFFFF" w:themeColor="background1"/>
                <w:szCs w:val="20"/>
                <w:lang w:eastAsia="en-US"/>
              </w:rPr>
              <w:t xml:space="preserve"> Year 2 onwards</w:t>
            </w:r>
          </w:p>
        </w:tc>
      </w:tr>
      <w:tr w:rsidR="00DB2B1C" w:rsidRPr="003308A1" w14:paraId="2B8ABDB8" w14:textId="77777777" w:rsidTr="002B7F29">
        <w:trPr>
          <w:cantSplit/>
        </w:trPr>
        <w:tc>
          <w:tcPr>
            <w:tcW w:w="1826" w:type="pct"/>
          </w:tcPr>
          <w:p w14:paraId="68F60D53" w14:textId="77777777" w:rsidR="00DB2B1C" w:rsidRPr="002A54B2" w:rsidRDefault="00DB2B1C" w:rsidP="002A54B2">
            <w:pPr>
              <w:pStyle w:val="Paragraph"/>
              <w:keepNext/>
              <w:keepLines/>
              <w:spacing w:after="0"/>
              <w:rPr>
                <w:rFonts w:eastAsia="Calibri"/>
                <w:bCs/>
                <w:szCs w:val="20"/>
                <w:lang w:eastAsia="en-US"/>
              </w:rPr>
            </w:pPr>
            <w:r w:rsidRPr="002A54B2">
              <w:rPr>
                <w:rFonts w:eastAsia="Calibri"/>
                <w:bCs/>
                <w:szCs w:val="20"/>
                <w:lang w:eastAsia="en-US"/>
              </w:rPr>
              <w:t>Large</w:t>
            </w:r>
          </w:p>
        </w:tc>
        <w:tc>
          <w:tcPr>
            <w:tcW w:w="1635" w:type="pct"/>
          </w:tcPr>
          <w:p w14:paraId="426A0FBB" w14:textId="77777777" w:rsidR="00DB2B1C" w:rsidRPr="003308A1" w:rsidRDefault="00DB2B1C" w:rsidP="002A54B2">
            <w:pPr>
              <w:pStyle w:val="Paragraph"/>
              <w:keepNext/>
              <w:keepLines/>
              <w:spacing w:after="0"/>
              <w:rPr>
                <w:rFonts w:eastAsia="Calibri"/>
                <w:szCs w:val="20"/>
                <w:lang w:eastAsia="en-US"/>
              </w:rPr>
            </w:pPr>
            <w:r w:rsidRPr="003308A1">
              <w:rPr>
                <w:rFonts w:eastAsia="Calibri"/>
                <w:szCs w:val="20"/>
                <w:lang w:eastAsia="en-US"/>
              </w:rPr>
              <w:t>$618,116</w:t>
            </w:r>
          </w:p>
        </w:tc>
        <w:tc>
          <w:tcPr>
            <w:tcW w:w="1539" w:type="pct"/>
          </w:tcPr>
          <w:p w14:paraId="79EA45F5" w14:textId="77777777" w:rsidR="00DB2B1C" w:rsidRPr="003308A1" w:rsidRDefault="00DB2B1C" w:rsidP="002A54B2">
            <w:pPr>
              <w:pStyle w:val="Paragraph"/>
              <w:keepNext/>
              <w:keepLines/>
              <w:spacing w:after="0"/>
              <w:rPr>
                <w:rFonts w:eastAsia="Calibri"/>
                <w:szCs w:val="20"/>
                <w:lang w:eastAsia="en-US"/>
              </w:rPr>
            </w:pPr>
            <w:r w:rsidRPr="003308A1">
              <w:rPr>
                <w:rFonts w:eastAsia="Calibri"/>
                <w:szCs w:val="20"/>
                <w:lang w:eastAsia="en-US"/>
              </w:rPr>
              <w:t>$118,116</w:t>
            </w:r>
          </w:p>
        </w:tc>
      </w:tr>
      <w:tr w:rsidR="00DB2B1C" w:rsidRPr="003308A1" w14:paraId="7FA59D82" w14:textId="77777777" w:rsidTr="002B7F29">
        <w:trPr>
          <w:cantSplit/>
        </w:trPr>
        <w:tc>
          <w:tcPr>
            <w:tcW w:w="1826" w:type="pct"/>
          </w:tcPr>
          <w:p w14:paraId="049CFD1C" w14:textId="77777777" w:rsidR="00DB2B1C" w:rsidRPr="002A54B2" w:rsidRDefault="00DB2B1C" w:rsidP="002A54B2">
            <w:pPr>
              <w:pStyle w:val="Paragraph"/>
              <w:keepNext/>
              <w:keepLines/>
              <w:spacing w:after="0"/>
              <w:rPr>
                <w:rFonts w:eastAsia="Calibri"/>
                <w:bCs/>
                <w:szCs w:val="20"/>
                <w:lang w:eastAsia="en-US"/>
              </w:rPr>
            </w:pPr>
            <w:r w:rsidRPr="002A54B2">
              <w:rPr>
                <w:rFonts w:eastAsia="Calibri"/>
                <w:bCs/>
                <w:szCs w:val="20"/>
                <w:lang w:eastAsia="en-US"/>
              </w:rPr>
              <w:t>Medium</w:t>
            </w:r>
          </w:p>
        </w:tc>
        <w:tc>
          <w:tcPr>
            <w:tcW w:w="1635" w:type="pct"/>
          </w:tcPr>
          <w:p w14:paraId="15A6D6AB" w14:textId="77777777" w:rsidR="00DB2B1C" w:rsidRPr="003308A1" w:rsidRDefault="00DB2B1C" w:rsidP="002A54B2">
            <w:pPr>
              <w:pStyle w:val="Paragraph"/>
              <w:keepNext/>
              <w:keepLines/>
              <w:spacing w:after="0"/>
              <w:rPr>
                <w:rFonts w:eastAsia="Calibri"/>
                <w:szCs w:val="20"/>
                <w:lang w:eastAsia="en-US"/>
              </w:rPr>
            </w:pPr>
            <w:r w:rsidRPr="003308A1">
              <w:rPr>
                <w:rFonts w:eastAsia="Calibri"/>
                <w:szCs w:val="20"/>
                <w:lang w:eastAsia="en-US"/>
              </w:rPr>
              <w:t>$801,524</w:t>
            </w:r>
          </w:p>
        </w:tc>
        <w:tc>
          <w:tcPr>
            <w:tcW w:w="1539" w:type="pct"/>
          </w:tcPr>
          <w:p w14:paraId="3C861A24" w14:textId="77777777" w:rsidR="00DB2B1C" w:rsidRPr="003308A1" w:rsidRDefault="00DB2B1C" w:rsidP="002A54B2">
            <w:pPr>
              <w:pStyle w:val="Paragraph"/>
              <w:keepNext/>
              <w:keepLines/>
              <w:spacing w:after="0"/>
              <w:rPr>
                <w:rFonts w:eastAsia="Calibri"/>
                <w:szCs w:val="20"/>
                <w:lang w:eastAsia="en-US"/>
              </w:rPr>
            </w:pPr>
            <w:r w:rsidRPr="003308A1">
              <w:rPr>
                <w:rFonts w:eastAsia="Calibri"/>
                <w:szCs w:val="20"/>
                <w:lang w:eastAsia="en-US"/>
              </w:rPr>
              <w:t>$225,524</w:t>
            </w:r>
          </w:p>
        </w:tc>
      </w:tr>
      <w:tr w:rsidR="00DB2B1C" w:rsidRPr="003308A1" w14:paraId="5534D0E0" w14:textId="77777777" w:rsidTr="002B7F29">
        <w:trPr>
          <w:cantSplit/>
        </w:trPr>
        <w:tc>
          <w:tcPr>
            <w:tcW w:w="1826" w:type="pct"/>
          </w:tcPr>
          <w:p w14:paraId="0F987A8B" w14:textId="77777777" w:rsidR="00DB2B1C" w:rsidRPr="002A54B2" w:rsidRDefault="00DB2B1C" w:rsidP="002A54B2">
            <w:pPr>
              <w:pStyle w:val="Paragraph"/>
              <w:keepNext/>
              <w:keepLines/>
              <w:spacing w:after="0"/>
              <w:rPr>
                <w:rFonts w:eastAsia="Calibri"/>
                <w:bCs/>
                <w:szCs w:val="20"/>
                <w:lang w:eastAsia="en-US"/>
              </w:rPr>
            </w:pPr>
            <w:r w:rsidRPr="002A54B2">
              <w:rPr>
                <w:rFonts w:eastAsia="Calibri"/>
                <w:bCs/>
                <w:szCs w:val="20"/>
                <w:lang w:eastAsia="en-US"/>
              </w:rPr>
              <w:t>Small</w:t>
            </w:r>
          </w:p>
        </w:tc>
        <w:tc>
          <w:tcPr>
            <w:tcW w:w="1635" w:type="pct"/>
          </w:tcPr>
          <w:p w14:paraId="67A1D2C7" w14:textId="77777777" w:rsidR="00DB2B1C" w:rsidRPr="003308A1" w:rsidRDefault="00DB2B1C" w:rsidP="002A54B2">
            <w:pPr>
              <w:pStyle w:val="Paragraph"/>
              <w:keepNext/>
              <w:keepLines/>
              <w:spacing w:after="0"/>
              <w:rPr>
                <w:rFonts w:eastAsia="Calibri"/>
                <w:szCs w:val="20"/>
                <w:lang w:eastAsia="en-US"/>
              </w:rPr>
            </w:pPr>
            <w:r w:rsidRPr="003308A1">
              <w:rPr>
                <w:rFonts w:eastAsia="Calibri"/>
                <w:szCs w:val="20"/>
                <w:lang w:eastAsia="en-US"/>
              </w:rPr>
              <w:t>$1,144,470</w:t>
            </w:r>
          </w:p>
        </w:tc>
        <w:tc>
          <w:tcPr>
            <w:tcW w:w="1539" w:type="pct"/>
          </w:tcPr>
          <w:p w14:paraId="4620038B" w14:textId="77777777" w:rsidR="00DB2B1C" w:rsidRPr="003308A1" w:rsidRDefault="00DB2B1C" w:rsidP="002A54B2">
            <w:pPr>
              <w:pStyle w:val="Paragraph"/>
              <w:keepNext/>
              <w:keepLines/>
              <w:spacing w:after="0"/>
              <w:rPr>
                <w:rFonts w:eastAsia="Calibri"/>
                <w:szCs w:val="20"/>
                <w:lang w:eastAsia="en-US"/>
              </w:rPr>
            </w:pPr>
            <w:r w:rsidRPr="003308A1">
              <w:rPr>
                <w:rFonts w:eastAsia="Calibri"/>
                <w:szCs w:val="20"/>
                <w:lang w:eastAsia="en-US"/>
              </w:rPr>
              <w:t>$509,895</w:t>
            </w:r>
          </w:p>
        </w:tc>
      </w:tr>
      <w:tr w:rsidR="00DB2B1C" w:rsidRPr="003308A1" w14:paraId="4E5092E2" w14:textId="77777777" w:rsidTr="002B7F29">
        <w:trPr>
          <w:cantSplit/>
        </w:trPr>
        <w:tc>
          <w:tcPr>
            <w:tcW w:w="1826" w:type="pct"/>
          </w:tcPr>
          <w:p w14:paraId="663DF1FF" w14:textId="77777777" w:rsidR="00DB2B1C" w:rsidRPr="002A54B2" w:rsidRDefault="00DB2B1C" w:rsidP="002A54B2">
            <w:pPr>
              <w:pStyle w:val="Paragraph"/>
              <w:keepNext/>
              <w:keepLines/>
              <w:spacing w:after="0"/>
              <w:rPr>
                <w:rFonts w:eastAsia="Calibri"/>
                <w:bCs/>
                <w:szCs w:val="20"/>
                <w:lang w:eastAsia="en-US"/>
              </w:rPr>
            </w:pPr>
            <w:r w:rsidRPr="002A54B2">
              <w:rPr>
                <w:rFonts w:eastAsia="Calibri"/>
                <w:bCs/>
                <w:szCs w:val="20"/>
                <w:lang w:eastAsia="en-US"/>
              </w:rPr>
              <w:t>Very small</w:t>
            </w:r>
          </w:p>
        </w:tc>
        <w:tc>
          <w:tcPr>
            <w:tcW w:w="1635" w:type="pct"/>
          </w:tcPr>
          <w:p w14:paraId="7179AE8F" w14:textId="77777777" w:rsidR="00DB2B1C" w:rsidRPr="003308A1" w:rsidRDefault="00DB2B1C" w:rsidP="002A54B2">
            <w:pPr>
              <w:pStyle w:val="Paragraph"/>
              <w:keepNext/>
              <w:keepLines/>
              <w:spacing w:after="0"/>
              <w:rPr>
                <w:rFonts w:eastAsia="Calibri"/>
                <w:szCs w:val="20"/>
                <w:lang w:eastAsia="en-US"/>
              </w:rPr>
            </w:pPr>
            <w:r w:rsidRPr="003308A1">
              <w:rPr>
                <w:rFonts w:eastAsia="Calibri"/>
                <w:szCs w:val="20"/>
                <w:lang w:eastAsia="en-US"/>
              </w:rPr>
              <w:t>$1,236,282</w:t>
            </w:r>
          </w:p>
        </w:tc>
        <w:tc>
          <w:tcPr>
            <w:tcW w:w="1539" w:type="pct"/>
          </w:tcPr>
          <w:p w14:paraId="642A8581" w14:textId="77777777" w:rsidR="00DB2B1C" w:rsidRPr="003308A1" w:rsidRDefault="00DB2B1C" w:rsidP="002A54B2">
            <w:pPr>
              <w:pStyle w:val="Paragraph"/>
              <w:keepNext/>
              <w:keepLines/>
              <w:spacing w:after="0"/>
              <w:rPr>
                <w:rFonts w:eastAsia="Calibri"/>
                <w:szCs w:val="20"/>
                <w:lang w:eastAsia="en-US"/>
              </w:rPr>
            </w:pPr>
            <w:r w:rsidRPr="003308A1">
              <w:rPr>
                <w:rFonts w:eastAsia="Calibri"/>
                <w:szCs w:val="20"/>
                <w:lang w:eastAsia="en-US"/>
              </w:rPr>
              <w:t>$935,032</w:t>
            </w:r>
          </w:p>
        </w:tc>
      </w:tr>
      <w:tr w:rsidR="00DB2B1C" w:rsidRPr="003308A1" w14:paraId="44C55B1D" w14:textId="77777777" w:rsidTr="002B7F29">
        <w:trPr>
          <w:cantSplit/>
        </w:trPr>
        <w:tc>
          <w:tcPr>
            <w:tcW w:w="1826" w:type="pct"/>
          </w:tcPr>
          <w:p w14:paraId="041FCCF6" w14:textId="77777777" w:rsidR="00DB2B1C" w:rsidRPr="003308A1" w:rsidRDefault="00DB2B1C" w:rsidP="002A54B2">
            <w:pPr>
              <w:pStyle w:val="Paragraph"/>
              <w:keepNext/>
              <w:keepLines/>
              <w:spacing w:after="0"/>
              <w:rPr>
                <w:rFonts w:eastAsia="Calibri"/>
                <w:b/>
                <w:szCs w:val="20"/>
                <w:lang w:eastAsia="en-US"/>
              </w:rPr>
            </w:pPr>
            <w:r w:rsidRPr="003308A1">
              <w:rPr>
                <w:rFonts w:eastAsia="Calibri"/>
                <w:b/>
                <w:szCs w:val="20"/>
                <w:lang w:eastAsia="en-US"/>
              </w:rPr>
              <w:t>Sub-total</w:t>
            </w:r>
          </w:p>
        </w:tc>
        <w:tc>
          <w:tcPr>
            <w:tcW w:w="1635" w:type="pct"/>
          </w:tcPr>
          <w:p w14:paraId="53069936" w14:textId="77777777" w:rsidR="00DB2B1C" w:rsidRPr="003308A1" w:rsidRDefault="00DB2B1C" w:rsidP="002A54B2">
            <w:pPr>
              <w:pStyle w:val="Paragraph"/>
              <w:keepNext/>
              <w:keepLines/>
              <w:spacing w:after="0"/>
              <w:rPr>
                <w:rFonts w:eastAsia="Calibri"/>
                <w:szCs w:val="20"/>
                <w:lang w:eastAsia="en-US"/>
              </w:rPr>
            </w:pPr>
            <w:r w:rsidRPr="003308A1">
              <w:rPr>
                <w:rFonts w:eastAsia="Calibri"/>
                <w:szCs w:val="20"/>
                <w:lang w:eastAsia="en-US"/>
              </w:rPr>
              <w:t>$3,800,392</w:t>
            </w:r>
          </w:p>
        </w:tc>
        <w:tc>
          <w:tcPr>
            <w:tcW w:w="1539" w:type="pct"/>
          </w:tcPr>
          <w:p w14:paraId="3F308E06" w14:textId="77777777" w:rsidR="00DB2B1C" w:rsidRPr="003308A1" w:rsidRDefault="00DB2B1C" w:rsidP="002A54B2">
            <w:pPr>
              <w:pStyle w:val="Paragraph"/>
              <w:keepNext/>
              <w:keepLines/>
              <w:spacing w:after="0"/>
              <w:rPr>
                <w:rFonts w:eastAsia="Calibri"/>
                <w:szCs w:val="20"/>
                <w:lang w:eastAsia="en-US"/>
              </w:rPr>
            </w:pPr>
            <w:r w:rsidRPr="003308A1">
              <w:rPr>
                <w:rFonts w:eastAsia="Calibri"/>
                <w:szCs w:val="20"/>
                <w:lang w:eastAsia="en-US"/>
              </w:rPr>
              <w:t>$1,808,567</w:t>
            </w:r>
          </w:p>
        </w:tc>
      </w:tr>
      <w:tr w:rsidR="00DB2B1C" w:rsidRPr="003308A1" w14:paraId="28E4C0E0" w14:textId="77777777" w:rsidTr="002B7F29">
        <w:trPr>
          <w:cantSplit/>
        </w:trPr>
        <w:tc>
          <w:tcPr>
            <w:tcW w:w="1826" w:type="pct"/>
          </w:tcPr>
          <w:p w14:paraId="624546B1" w14:textId="391FADB9" w:rsidR="00DB2B1C" w:rsidRPr="002A54B2" w:rsidRDefault="00DB2B1C" w:rsidP="002A54B2">
            <w:pPr>
              <w:pStyle w:val="Paragraph"/>
              <w:keepNext/>
              <w:keepLines/>
              <w:spacing w:after="0"/>
              <w:rPr>
                <w:rFonts w:eastAsia="Calibri"/>
                <w:bCs/>
                <w:szCs w:val="20"/>
                <w:lang w:eastAsia="en-US"/>
              </w:rPr>
            </w:pPr>
            <w:r w:rsidRPr="002A54B2">
              <w:rPr>
                <w:rFonts w:eastAsia="Calibri"/>
                <w:bCs/>
                <w:szCs w:val="20"/>
                <w:lang w:eastAsia="en-US"/>
              </w:rPr>
              <w:t>Less 30% Year 1 systems automation costs incurred</w:t>
            </w:r>
            <w:r w:rsidR="00DF4607">
              <w:rPr>
                <w:rFonts w:eastAsia="Calibri"/>
                <w:bCs/>
                <w:szCs w:val="20"/>
                <w:lang w:eastAsia="en-US"/>
              </w:rPr>
              <w:t>,</w:t>
            </w:r>
            <w:r w:rsidRPr="002A54B2">
              <w:rPr>
                <w:rFonts w:eastAsia="Calibri"/>
                <w:bCs/>
                <w:szCs w:val="20"/>
                <w:lang w:eastAsia="en-US"/>
              </w:rPr>
              <w:t xml:space="preserve"> irrespective of ongoing obligations</w:t>
            </w:r>
          </w:p>
        </w:tc>
        <w:tc>
          <w:tcPr>
            <w:tcW w:w="1635" w:type="pct"/>
          </w:tcPr>
          <w:p w14:paraId="16B5E85E" w14:textId="77777777" w:rsidR="00DB2B1C" w:rsidRPr="003308A1" w:rsidRDefault="00DB2B1C" w:rsidP="002A54B2">
            <w:pPr>
              <w:pStyle w:val="Paragraph"/>
              <w:keepNext/>
              <w:keepLines/>
              <w:spacing w:after="0"/>
              <w:rPr>
                <w:rFonts w:eastAsia="Calibri"/>
                <w:szCs w:val="20"/>
                <w:lang w:eastAsia="en-US"/>
              </w:rPr>
            </w:pPr>
            <w:r w:rsidRPr="003308A1">
              <w:rPr>
                <w:rFonts w:eastAsia="Calibri"/>
                <w:szCs w:val="20"/>
                <w:lang w:eastAsia="en-US"/>
              </w:rPr>
              <w:t>$1,478,217</w:t>
            </w:r>
          </w:p>
        </w:tc>
        <w:tc>
          <w:tcPr>
            <w:tcW w:w="1539" w:type="pct"/>
          </w:tcPr>
          <w:p w14:paraId="5BA01F7C" w14:textId="77777777" w:rsidR="00DB2B1C" w:rsidRPr="003308A1" w:rsidRDefault="00DB2B1C" w:rsidP="002A54B2">
            <w:pPr>
              <w:pStyle w:val="Paragraph"/>
              <w:keepNext/>
              <w:keepLines/>
              <w:spacing w:after="0"/>
              <w:rPr>
                <w:rFonts w:eastAsia="Calibri"/>
                <w:szCs w:val="20"/>
                <w:lang w:eastAsia="en-US"/>
              </w:rPr>
            </w:pPr>
          </w:p>
        </w:tc>
      </w:tr>
      <w:tr w:rsidR="00DB2B1C" w:rsidRPr="003308A1" w14:paraId="2A26FFB2" w14:textId="77777777" w:rsidTr="002B7F29">
        <w:trPr>
          <w:cantSplit/>
        </w:trPr>
        <w:tc>
          <w:tcPr>
            <w:tcW w:w="1826" w:type="pct"/>
            <w:shd w:val="clear" w:color="auto" w:fill="F2F2F2" w:themeFill="background1" w:themeFillShade="F2"/>
          </w:tcPr>
          <w:p w14:paraId="6AC80945" w14:textId="77777777" w:rsidR="00DB2B1C" w:rsidRPr="003308A1" w:rsidRDefault="00DB2B1C" w:rsidP="002A54B2">
            <w:pPr>
              <w:pStyle w:val="Paragraph"/>
              <w:keepNext/>
              <w:keepLines/>
              <w:spacing w:after="0"/>
              <w:rPr>
                <w:rFonts w:eastAsia="Calibri"/>
                <w:b/>
                <w:szCs w:val="20"/>
                <w:lang w:eastAsia="en-US"/>
              </w:rPr>
            </w:pPr>
            <w:r w:rsidRPr="003308A1">
              <w:rPr>
                <w:rFonts w:eastAsia="Calibri"/>
                <w:b/>
                <w:szCs w:val="20"/>
                <w:lang w:eastAsia="en-US"/>
              </w:rPr>
              <w:t>Total</w:t>
            </w:r>
          </w:p>
        </w:tc>
        <w:tc>
          <w:tcPr>
            <w:tcW w:w="1635" w:type="pct"/>
            <w:shd w:val="clear" w:color="auto" w:fill="F2F2F2" w:themeFill="background1" w:themeFillShade="F2"/>
          </w:tcPr>
          <w:p w14:paraId="1718893D" w14:textId="77777777" w:rsidR="00DB2B1C" w:rsidRPr="003308A1" w:rsidRDefault="00DB2B1C" w:rsidP="002A54B2">
            <w:pPr>
              <w:pStyle w:val="Paragraph"/>
              <w:keepNext/>
              <w:keepLines/>
              <w:spacing w:after="0"/>
              <w:rPr>
                <w:rFonts w:eastAsia="Calibri"/>
                <w:b/>
                <w:szCs w:val="20"/>
                <w:lang w:eastAsia="en-US"/>
              </w:rPr>
            </w:pPr>
            <w:r w:rsidRPr="003308A1">
              <w:rPr>
                <w:rFonts w:eastAsia="Calibri"/>
                <w:b/>
                <w:szCs w:val="20"/>
                <w:lang w:eastAsia="en-US"/>
              </w:rPr>
              <w:t>$2,322,175</w:t>
            </w:r>
          </w:p>
        </w:tc>
        <w:tc>
          <w:tcPr>
            <w:tcW w:w="1539" w:type="pct"/>
            <w:shd w:val="clear" w:color="auto" w:fill="F2F2F2" w:themeFill="background1" w:themeFillShade="F2"/>
          </w:tcPr>
          <w:p w14:paraId="2355B5AA" w14:textId="77777777" w:rsidR="00DB2B1C" w:rsidRPr="003308A1" w:rsidRDefault="00DB2B1C" w:rsidP="002A54B2">
            <w:pPr>
              <w:pStyle w:val="Paragraph"/>
              <w:keepNext/>
              <w:keepLines/>
              <w:spacing w:after="0"/>
              <w:rPr>
                <w:rFonts w:eastAsia="Calibri"/>
                <w:b/>
                <w:szCs w:val="20"/>
                <w:lang w:eastAsia="en-US"/>
              </w:rPr>
            </w:pPr>
            <w:r w:rsidRPr="003308A1">
              <w:rPr>
                <w:rFonts w:eastAsia="Calibri"/>
                <w:b/>
                <w:szCs w:val="20"/>
                <w:lang w:eastAsia="en-US"/>
              </w:rPr>
              <w:t>$</w:t>
            </w:r>
            <w:r w:rsidRPr="00AF391F">
              <w:rPr>
                <w:rFonts w:eastAsia="Calibri"/>
                <w:b/>
                <w:bCs/>
                <w:szCs w:val="20"/>
                <w:lang w:eastAsia="en-US"/>
              </w:rPr>
              <w:t>1,808,567</w:t>
            </w:r>
          </w:p>
        </w:tc>
      </w:tr>
    </w:tbl>
    <w:p w14:paraId="352C0756" w14:textId="77777777" w:rsidR="00DB2B1C" w:rsidRDefault="00DB2B1C" w:rsidP="002A54B2">
      <w:pPr>
        <w:pStyle w:val="Paragraph"/>
        <w:spacing w:after="120"/>
        <w:rPr>
          <w:rFonts w:eastAsia="Calibri"/>
          <w:szCs w:val="20"/>
          <w:lang w:eastAsia="en-US"/>
        </w:rPr>
      </w:pPr>
    </w:p>
    <w:p w14:paraId="75224681" w14:textId="641F5B62" w:rsidR="00DB2B1C" w:rsidRDefault="00DB2B1C" w:rsidP="00DB2B1C">
      <w:pPr>
        <w:pStyle w:val="Paragraph"/>
        <w:rPr>
          <w:rFonts w:eastAsia="Calibri"/>
          <w:szCs w:val="20"/>
          <w:lang w:eastAsia="en-US"/>
        </w:rPr>
      </w:pPr>
      <w:r w:rsidRPr="000D1FC2">
        <w:rPr>
          <w:rFonts w:eastAsia="Calibri"/>
          <w:szCs w:val="20"/>
          <w:lang w:eastAsia="en-US"/>
        </w:rPr>
        <w:t xml:space="preserve">Given the work undertaken in </w:t>
      </w:r>
      <w:r w:rsidR="002B7F29">
        <w:rPr>
          <w:rFonts w:eastAsia="Calibri"/>
          <w:szCs w:val="20"/>
          <w:lang w:eastAsia="en-US"/>
        </w:rPr>
        <w:t>Y</w:t>
      </w:r>
      <w:r w:rsidRPr="000D1FC2">
        <w:rPr>
          <w:rFonts w:eastAsia="Calibri"/>
          <w:szCs w:val="20"/>
          <w:lang w:eastAsia="en-US"/>
        </w:rPr>
        <w:t xml:space="preserve">ear </w:t>
      </w:r>
      <w:r w:rsidR="002A54B2">
        <w:rPr>
          <w:rFonts w:eastAsia="Calibri"/>
          <w:szCs w:val="20"/>
          <w:lang w:eastAsia="en-US"/>
        </w:rPr>
        <w:t>1</w:t>
      </w:r>
      <w:r w:rsidRPr="000D1FC2">
        <w:rPr>
          <w:rFonts w:eastAsia="Calibri"/>
          <w:szCs w:val="20"/>
          <w:lang w:eastAsia="en-US"/>
        </w:rPr>
        <w:t>, it is assumed the processes will improve with staff being more experienced, and that the volume of calls requiring tracing action decreases.</w:t>
      </w:r>
    </w:p>
    <w:p w14:paraId="3EF7C204" w14:textId="77777777" w:rsidR="00DB2B1C" w:rsidRPr="00A2039B" w:rsidRDefault="00DB2B1C" w:rsidP="002A54B2">
      <w:pPr>
        <w:pStyle w:val="Paragraph"/>
      </w:pPr>
      <w:r w:rsidRPr="00A65E00">
        <w:rPr>
          <w:rFonts w:eastAsia="Calibri"/>
        </w:rPr>
        <w:t>Where costs accrue in complying with enforceable obligations, the costs are predominately</w:t>
      </w:r>
      <w:r>
        <w:rPr>
          <w:rFonts w:eastAsia="Calibri"/>
        </w:rPr>
        <w:t xml:space="preserve"> </w:t>
      </w:r>
      <w:r w:rsidRPr="00A65E00">
        <w:rPr>
          <w:rFonts w:eastAsia="Calibri"/>
        </w:rPr>
        <w:t>one-off system development costs such as the implementation of potential new IT systems or procedures, and training staff in those systems.</w:t>
      </w:r>
    </w:p>
    <w:p w14:paraId="41DAF6BC" w14:textId="0BD3B80B" w:rsidR="00DB2B1C" w:rsidRDefault="00DB2B1C" w:rsidP="002A54B2">
      <w:pPr>
        <w:pStyle w:val="Paragraph"/>
      </w:pPr>
      <w:r w:rsidRPr="004C11F5">
        <w:t>Scams are an international problem that challenge industry and regulators across the globe.</w:t>
      </w:r>
      <w:r>
        <w:t xml:space="preserve"> Putting in place scam call disruption measures may potentially divert scammers to other markets or services. However, these other platforms (</w:t>
      </w:r>
      <w:r w:rsidR="002A54B2">
        <w:t>such as</w:t>
      </w:r>
      <w:r>
        <w:t xml:space="preserve"> social networking site</w:t>
      </w:r>
      <w:r w:rsidR="002A54B2">
        <w:t>s</w:t>
      </w:r>
      <w:r>
        <w:t>) are also the subject of government action. For example,</w:t>
      </w:r>
      <w:r w:rsidRPr="00004F8F">
        <w:t xml:space="preserve"> </w:t>
      </w:r>
      <w:r>
        <w:t xml:space="preserve">the </w:t>
      </w:r>
      <w:r w:rsidRPr="00942D16">
        <w:rPr>
          <w:u w:color="0000FF"/>
        </w:rPr>
        <w:t>ACCC is conducting an inquiry</w:t>
      </w:r>
      <w:r>
        <w:t xml:space="preserve"> into markets for the supply of digital platform services</w:t>
      </w:r>
      <w:r w:rsidR="002A54B2">
        <w:t>,</w:t>
      </w:r>
      <w:r>
        <w:t xml:space="preserve"> which includes segments such as online private messaging services, social media services and digital content aggregation platform services.</w:t>
      </w:r>
      <w:r>
        <w:rPr>
          <w:rStyle w:val="FootnoteReference"/>
        </w:rPr>
        <w:footnoteReference w:id="64"/>
      </w:r>
      <w:r>
        <w:t xml:space="preserve"> In addition, the </w:t>
      </w:r>
      <w:r w:rsidR="002A54B2" w:rsidRPr="000A35F2">
        <w:t>Australian Cyber Security Centre</w:t>
      </w:r>
      <w:r w:rsidR="002A54B2">
        <w:t xml:space="preserve"> (</w:t>
      </w:r>
      <w:r>
        <w:t>ACSC</w:t>
      </w:r>
      <w:r w:rsidR="002A54B2">
        <w:t>)</w:t>
      </w:r>
      <w:r>
        <w:t xml:space="preserve"> has carriage for actions to create a more secure online world for Australians, their businesses and essential services through </w:t>
      </w:r>
      <w:hyperlink r:id="rId38" w:history="1">
        <w:r w:rsidRPr="00BA40A5">
          <w:rPr>
            <w:rStyle w:val="Hyperlink"/>
          </w:rPr>
          <w:t>Australia’s Cyber Security Strategy 2020</w:t>
        </w:r>
        <w:r>
          <w:rPr>
            <w:rStyle w:val="Hyperlink"/>
          </w:rPr>
          <w:t>.</w:t>
        </w:r>
        <w:r w:rsidRPr="00BA40A5" w:rsidDel="00ED66A8">
          <w:rPr>
            <w:rStyle w:val="Hyperlink"/>
            <w:vertAlign w:val="superscript"/>
          </w:rPr>
          <w:t xml:space="preserve"> </w:t>
        </w:r>
      </w:hyperlink>
    </w:p>
    <w:p w14:paraId="083857A0" w14:textId="22A5D5F4" w:rsidR="00DB2B1C" w:rsidRDefault="00365514" w:rsidP="00DB2B1C">
      <w:pPr>
        <w:spacing w:after="160" w:line="259" w:lineRule="auto"/>
      </w:pPr>
      <w:r>
        <w:t>A</w:t>
      </w:r>
      <w:r w:rsidR="00DB2B1C">
        <w:t xml:space="preserve">ddressing scam calls through enforceable obligations, </w:t>
      </w:r>
      <w:r w:rsidR="00DB2B1C" w:rsidRPr="009C1DED">
        <w:rPr>
          <w:rFonts w:cs="Arial"/>
        </w:rPr>
        <w:t xml:space="preserve">will make Australia a </w:t>
      </w:r>
      <w:r w:rsidR="00DB2B1C" w:rsidRPr="009C1DED">
        <w:t>harder target</w:t>
      </w:r>
      <w:r w:rsidR="00DB2B1C" w:rsidRPr="009C1DED">
        <w:rPr>
          <w:rFonts w:cs="Arial"/>
        </w:rPr>
        <w:t xml:space="preserve"> </w:t>
      </w:r>
      <w:r w:rsidR="00DB2B1C">
        <w:t xml:space="preserve">for scammers </w:t>
      </w:r>
      <w:r w:rsidR="00DB2B1C" w:rsidRPr="009C1DED">
        <w:rPr>
          <w:rFonts w:cs="Arial"/>
        </w:rPr>
        <w:t xml:space="preserve">overall and have specific benefits such as restoring confidence in </w:t>
      </w:r>
      <w:r w:rsidR="00DB2B1C" w:rsidRPr="009C1DED">
        <w:rPr>
          <w:rFonts w:cs="Arial"/>
        </w:rPr>
        <w:t xml:space="preserve">the telecommunication networks that underpin the way Australians engage in the modern world. </w:t>
      </w:r>
      <w:r w:rsidR="00DB2B1C" w:rsidRPr="00231EA6">
        <w:t>It mu</w:t>
      </w:r>
      <w:r w:rsidR="00DB2B1C" w:rsidRPr="00DF4607">
        <w:t xml:space="preserve">st be a coordinated approach, or the weakest link will be targeted, which, to this point, is </w:t>
      </w:r>
      <w:r w:rsidR="00F80705">
        <w:t xml:space="preserve">Australians targeted by </w:t>
      </w:r>
      <w:r w:rsidR="00DB2B1C" w:rsidRPr="00DF4607">
        <w:t>scam calls.</w:t>
      </w:r>
    </w:p>
    <w:p w14:paraId="748659FB" w14:textId="77777777" w:rsidR="00DB2B1C" w:rsidRPr="001C7B5E" w:rsidRDefault="00DB2B1C" w:rsidP="00532406">
      <w:pPr>
        <w:pStyle w:val="Heading2"/>
        <w:spacing w:after="120"/>
      </w:pPr>
      <w:bookmarkStart w:id="121" w:name="_Toc32833705"/>
      <w:bookmarkStart w:id="122" w:name="_Toc32833751"/>
      <w:bookmarkStart w:id="123" w:name="_Toc32833824"/>
      <w:bookmarkStart w:id="124" w:name="_Toc33176388"/>
      <w:bookmarkStart w:id="125" w:name="_Toc55546923"/>
      <w:bookmarkStart w:id="126" w:name="_Toc56092955"/>
      <w:r w:rsidRPr="001C7B5E">
        <w:lastRenderedPageBreak/>
        <w:t>Regulatory burden measurement table</w:t>
      </w:r>
      <w:bookmarkEnd w:id="121"/>
      <w:bookmarkEnd w:id="122"/>
      <w:bookmarkEnd w:id="123"/>
      <w:bookmarkEnd w:id="124"/>
      <w:bookmarkEnd w:id="125"/>
      <w:bookmarkEnd w:id="126"/>
    </w:p>
    <w:tbl>
      <w:tblPr>
        <w:tblW w:w="5000" w:type="pct"/>
        <w:tblBorders>
          <w:top w:val="single" w:sz="8" w:space="0" w:color="A3A3A3"/>
          <w:left w:val="single" w:sz="8" w:space="0" w:color="A3A3A3"/>
          <w:bottom w:val="single" w:sz="8" w:space="0" w:color="A3A3A3"/>
          <w:right w:val="single" w:sz="8" w:space="0" w:color="A3A3A3"/>
          <w:insideH w:val="single" w:sz="8" w:space="0" w:color="A3A3A3"/>
          <w:insideV w:val="single" w:sz="8" w:space="0" w:color="A3A3A3"/>
        </w:tblBorders>
        <w:tblCellMar>
          <w:top w:w="85" w:type="dxa"/>
          <w:left w:w="57" w:type="dxa"/>
          <w:bottom w:w="85" w:type="dxa"/>
          <w:right w:w="57" w:type="dxa"/>
        </w:tblCellMar>
        <w:tblLook w:val="04A0" w:firstRow="1" w:lastRow="0" w:firstColumn="1" w:lastColumn="0" w:noHBand="0" w:noVBand="1"/>
      </w:tblPr>
      <w:tblGrid>
        <w:gridCol w:w="4214"/>
        <w:gridCol w:w="3437"/>
      </w:tblGrid>
      <w:tr w:rsidR="00DB2B1C" w14:paraId="11A16565" w14:textId="77777777" w:rsidTr="006C1066">
        <w:trPr>
          <w:trHeight w:val="225"/>
        </w:trPr>
        <w:tc>
          <w:tcPr>
            <w:tcW w:w="2754" w:type="pct"/>
            <w:shd w:val="clear" w:color="auto" w:fill="404040" w:themeFill="text1" w:themeFillTint="BF"/>
          </w:tcPr>
          <w:p w14:paraId="6136EF9D" w14:textId="77777777" w:rsidR="00DB2B1C" w:rsidRPr="006C1066" w:rsidRDefault="00DB2B1C" w:rsidP="00977AC8">
            <w:pPr>
              <w:keepNext/>
              <w:keepLines/>
              <w:spacing w:after="0"/>
              <w:rPr>
                <w:b/>
                <w:color w:val="FFFFFF" w:themeColor="background1"/>
              </w:rPr>
            </w:pPr>
            <w:r w:rsidRPr="006C1066">
              <w:rPr>
                <w:b/>
                <w:color w:val="FFFFFF" w:themeColor="background1"/>
              </w:rPr>
              <w:t>Option</w:t>
            </w:r>
          </w:p>
        </w:tc>
        <w:tc>
          <w:tcPr>
            <w:tcW w:w="2246" w:type="pct"/>
            <w:shd w:val="clear" w:color="auto" w:fill="404040" w:themeFill="text1" w:themeFillTint="BF"/>
          </w:tcPr>
          <w:p w14:paraId="13933693" w14:textId="77777777" w:rsidR="00DB2B1C" w:rsidRPr="006C1066" w:rsidRDefault="00DB2B1C" w:rsidP="00977AC8">
            <w:pPr>
              <w:keepNext/>
              <w:keepLines/>
              <w:spacing w:after="0"/>
              <w:rPr>
                <w:b/>
                <w:color w:val="FFFFFF" w:themeColor="background1"/>
              </w:rPr>
            </w:pPr>
            <w:r w:rsidRPr="006C1066">
              <w:rPr>
                <w:b/>
                <w:color w:val="FFFFFF" w:themeColor="background1"/>
              </w:rPr>
              <w:t>Regulatory cost (annual)</w:t>
            </w:r>
          </w:p>
        </w:tc>
      </w:tr>
      <w:tr w:rsidR="00DB2B1C" w14:paraId="2FFF11DC" w14:textId="77777777" w:rsidTr="00977AC8">
        <w:trPr>
          <w:trHeight w:val="62"/>
        </w:trPr>
        <w:tc>
          <w:tcPr>
            <w:tcW w:w="2754" w:type="pct"/>
            <w:tcMar>
              <w:top w:w="80" w:type="dxa"/>
              <w:left w:w="80" w:type="dxa"/>
              <w:bottom w:w="80" w:type="dxa"/>
              <w:right w:w="80" w:type="dxa"/>
            </w:tcMar>
            <w:hideMark/>
          </w:tcPr>
          <w:p w14:paraId="77BB8BCF" w14:textId="77777777" w:rsidR="00DB2B1C" w:rsidRDefault="00DB2B1C" w:rsidP="00977AC8">
            <w:pPr>
              <w:keepNext/>
              <w:keepLines/>
              <w:spacing w:after="0"/>
            </w:pPr>
            <w:r>
              <w:t>Status quo</w:t>
            </w:r>
          </w:p>
        </w:tc>
        <w:tc>
          <w:tcPr>
            <w:tcW w:w="2246" w:type="pct"/>
            <w:tcMar>
              <w:top w:w="80" w:type="dxa"/>
              <w:left w:w="80" w:type="dxa"/>
              <w:bottom w:w="80" w:type="dxa"/>
              <w:right w:w="80" w:type="dxa"/>
            </w:tcMar>
            <w:hideMark/>
          </w:tcPr>
          <w:p w14:paraId="70EF8646" w14:textId="77777777" w:rsidR="00DB2B1C" w:rsidRDefault="00DB2B1C" w:rsidP="00977AC8">
            <w:pPr>
              <w:keepNext/>
              <w:keepLines/>
              <w:spacing w:after="0"/>
            </w:pPr>
            <w:r>
              <w:t>n/a</w:t>
            </w:r>
          </w:p>
        </w:tc>
      </w:tr>
      <w:tr w:rsidR="00DB2B1C" w:rsidRPr="00CA2DCA" w14:paraId="2E8049E8" w14:textId="77777777" w:rsidTr="00977AC8">
        <w:tc>
          <w:tcPr>
            <w:tcW w:w="2754" w:type="pct"/>
            <w:shd w:val="clear" w:color="auto" w:fill="auto"/>
            <w:tcMar>
              <w:top w:w="80" w:type="dxa"/>
              <w:left w:w="80" w:type="dxa"/>
              <w:bottom w:w="80" w:type="dxa"/>
              <w:right w:w="80" w:type="dxa"/>
            </w:tcMar>
            <w:hideMark/>
          </w:tcPr>
          <w:p w14:paraId="675CE416" w14:textId="77777777" w:rsidR="00DB2B1C" w:rsidRPr="00CA2DCA" w:rsidRDefault="00DB2B1C" w:rsidP="00977AC8">
            <w:pPr>
              <w:keepNext/>
              <w:keepLines/>
              <w:spacing w:after="0"/>
            </w:pPr>
            <w:r w:rsidRPr="00CA2DCA">
              <w:t>Consumer education campaign</w:t>
            </w:r>
          </w:p>
        </w:tc>
        <w:tc>
          <w:tcPr>
            <w:tcW w:w="2246" w:type="pct"/>
            <w:shd w:val="clear" w:color="auto" w:fill="auto"/>
            <w:tcMar>
              <w:top w:w="80" w:type="dxa"/>
              <w:left w:w="80" w:type="dxa"/>
              <w:bottom w:w="80" w:type="dxa"/>
              <w:right w:w="80" w:type="dxa"/>
            </w:tcMar>
            <w:hideMark/>
          </w:tcPr>
          <w:p w14:paraId="71A6FE8D" w14:textId="77777777" w:rsidR="00DB2B1C" w:rsidRPr="00CA2DCA" w:rsidRDefault="00DB2B1C" w:rsidP="00977AC8">
            <w:pPr>
              <w:keepNext/>
              <w:keepLines/>
              <w:spacing w:after="0"/>
            </w:pPr>
            <w:r w:rsidRPr="00CA2DCA">
              <w:t>n/a</w:t>
            </w:r>
          </w:p>
        </w:tc>
      </w:tr>
      <w:tr w:rsidR="00DB2B1C" w14:paraId="452662BB" w14:textId="77777777" w:rsidTr="00977AC8">
        <w:tc>
          <w:tcPr>
            <w:tcW w:w="2754" w:type="pct"/>
            <w:shd w:val="clear" w:color="auto" w:fill="auto"/>
            <w:tcMar>
              <w:top w:w="80" w:type="dxa"/>
              <w:left w:w="80" w:type="dxa"/>
              <w:bottom w:w="80" w:type="dxa"/>
              <w:right w:w="80" w:type="dxa"/>
            </w:tcMar>
            <w:hideMark/>
          </w:tcPr>
          <w:p w14:paraId="0AA0054D" w14:textId="77777777" w:rsidR="00DB2B1C" w:rsidRPr="00CA2DCA" w:rsidRDefault="00DB2B1C" w:rsidP="00977AC8">
            <w:pPr>
              <w:keepNext/>
              <w:keepLines/>
              <w:spacing w:after="0"/>
            </w:pPr>
            <w:r w:rsidRPr="00CA2DCA">
              <w:t>Enforceable obligations</w:t>
            </w:r>
          </w:p>
        </w:tc>
        <w:tc>
          <w:tcPr>
            <w:tcW w:w="2246" w:type="pct"/>
            <w:shd w:val="clear" w:color="auto" w:fill="auto"/>
            <w:tcMar>
              <w:top w:w="80" w:type="dxa"/>
              <w:left w:w="80" w:type="dxa"/>
              <w:bottom w:w="80" w:type="dxa"/>
              <w:right w:w="80" w:type="dxa"/>
            </w:tcMar>
            <w:hideMark/>
          </w:tcPr>
          <w:p w14:paraId="37F82168" w14:textId="77777777" w:rsidR="00DB2B1C" w:rsidRDefault="00DB2B1C" w:rsidP="00977AC8">
            <w:pPr>
              <w:keepNext/>
              <w:keepLines/>
              <w:spacing w:after="0"/>
            </w:pPr>
            <w:r w:rsidRPr="00CA2DCA">
              <w:t>$1,410,541</w:t>
            </w:r>
          </w:p>
        </w:tc>
      </w:tr>
      <w:bookmarkEnd w:id="78"/>
    </w:tbl>
    <w:p w14:paraId="6CA67281" w14:textId="77777777" w:rsidR="00DB2B1C" w:rsidRDefault="00DB2B1C" w:rsidP="00DB2B1C">
      <w:pPr>
        <w:spacing w:after="160" w:line="259" w:lineRule="auto"/>
      </w:pPr>
    </w:p>
    <w:p w14:paraId="48839F25" w14:textId="350CCD44" w:rsidR="00DB2B1C" w:rsidRDefault="00DB2B1C" w:rsidP="00DB2B1C">
      <w:pPr>
        <w:spacing w:after="160" w:line="259" w:lineRule="auto"/>
      </w:pPr>
      <w:r>
        <w:t>We anticipate</w:t>
      </w:r>
      <w:r w:rsidRPr="000E0356">
        <w:t xml:space="preserve"> that </w:t>
      </w:r>
      <w:r>
        <w:t xml:space="preserve">the regulatory burden for all C/CSPs to comply with enforceable </w:t>
      </w:r>
      <w:r w:rsidRPr="00CA2DCA">
        <w:t>obligations is around $1.41</w:t>
      </w:r>
      <w:r w:rsidR="00365514">
        <w:t xml:space="preserve"> </w:t>
      </w:r>
      <w:r w:rsidRPr="00CA2DCA">
        <w:t>m</w:t>
      </w:r>
      <w:r w:rsidR="00365514">
        <w:t>illion</w:t>
      </w:r>
      <w:r w:rsidRPr="00CA2DCA">
        <w:t xml:space="preserve"> annually for 10 years.</w:t>
      </w:r>
      <w:r w:rsidRPr="000E0356">
        <w:t xml:space="preserve"> </w:t>
      </w:r>
    </w:p>
    <w:p w14:paraId="6D80CFAE" w14:textId="77777777" w:rsidR="00365514" w:rsidRDefault="00DB2B1C" w:rsidP="006C1066">
      <w:pPr>
        <w:pStyle w:val="Paragraphbeforelist"/>
      </w:pPr>
      <w:r>
        <w:t xml:space="preserve">This assumes </w:t>
      </w:r>
      <w:r w:rsidRPr="004C412F">
        <w:t>that</w:t>
      </w:r>
      <w:r w:rsidR="00365514">
        <w:t>:</w:t>
      </w:r>
      <w:r w:rsidRPr="004C412F">
        <w:t xml:space="preserve"> </w:t>
      </w:r>
    </w:p>
    <w:p w14:paraId="06AE7E41" w14:textId="38E18410" w:rsidR="00365514" w:rsidRDefault="00DB2B1C" w:rsidP="006C1066">
      <w:pPr>
        <w:pStyle w:val="Bulletlevel1"/>
      </w:pPr>
      <w:r w:rsidRPr="004C412F">
        <w:t xml:space="preserve">30% </w:t>
      </w:r>
      <w:r w:rsidR="00365514">
        <w:t xml:space="preserve">of costs for </w:t>
      </w:r>
      <w:r w:rsidRPr="004C412F">
        <w:t>systems automation would have accrued to comply with existing obligations</w:t>
      </w:r>
    </w:p>
    <w:p w14:paraId="241F015D" w14:textId="0AE763CF" w:rsidR="00365514" w:rsidRDefault="00DB2B1C" w:rsidP="006C1066">
      <w:pPr>
        <w:pStyle w:val="Bulletlevel1"/>
      </w:pPr>
      <w:r w:rsidRPr="004C412F">
        <w:t>costs will be higher for</w:t>
      </w:r>
      <w:r>
        <w:t xml:space="preserve"> the </w:t>
      </w:r>
      <w:r w:rsidR="006C2D98">
        <w:t>4</w:t>
      </w:r>
      <w:r w:rsidR="006C2D98" w:rsidRPr="004C412F">
        <w:t xml:space="preserve"> </w:t>
      </w:r>
      <w:r w:rsidRPr="004C412F">
        <w:t>carriers (including carriers operating both fixed and mobile services</w:t>
      </w:r>
      <w:r w:rsidR="00365514" w:rsidRPr="004C412F">
        <w:t>)</w:t>
      </w:r>
    </w:p>
    <w:p w14:paraId="35C02981" w14:textId="3E942A10" w:rsidR="00365514" w:rsidRDefault="00DB2B1C" w:rsidP="006C1066">
      <w:pPr>
        <w:pStyle w:val="Bulletlevel1"/>
      </w:pPr>
      <w:r>
        <w:t>IT and systems costs will be predominately one-off</w:t>
      </w:r>
    </w:p>
    <w:p w14:paraId="7C7D3803" w14:textId="7BCAFFB1" w:rsidR="00DB2B1C" w:rsidRDefault="00DB2B1C" w:rsidP="006C1066">
      <w:pPr>
        <w:pStyle w:val="Bulletlevel1last"/>
      </w:pPr>
      <w:r>
        <w:t>costs will decrease as processes improve over time.</w:t>
      </w:r>
    </w:p>
    <w:p w14:paraId="6ADAC8AB" w14:textId="77777777" w:rsidR="00DB2B1C" w:rsidRDefault="00DB2B1C" w:rsidP="00DB2B1C">
      <w:pPr>
        <w:pStyle w:val="Paragraph"/>
      </w:pPr>
      <w:r>
        <w:br w:type="page"/>
      </w:r>
    </w:p>
    <w:p w14:paraId="66513271" w14:textId="77777777" w:rsidR="00DB2B1C" w:rsidRDefault="00DB2B1C" w:rsidP="00DB2B1C">
      <w:pPr>
        <w:pStyle w:val="Heading2"/>
      </w:pPr>
      <w:bookmarkStart w:id="127" w:name="_Toc55546924"/>
      <w:bookmarkStart w:id="128" w:name="_Toc56092956"/>
      <w:bookmarkStart w:id="129" w:name="_Hlk54885974"/>
      <w:r>
        <w:lastRenderedPageBreak/>
        <w:t>Likely annual net benefit over 10 years</w:t>
      </w:r>
      <w:bookmarkEnd w:id="127"/>
      <w:bookmarkEnd w:id="128"/>
    </w:p>
    <w:bookmarkEnd w:id="129"/>
    <w:p w14:paraId="54090FA9" w14:textId="3DE3647E" w:rsidR="00DB2B1C" w:rsidRDefault="00DB2B1C" w:rsidP="00DB2B1C">
      <w:r>
        <w:t xml:space="preserve">Factoring in the regulatory burden measurement, we anticipate that the option that will provide the best net benefit for the Australian community is </w:t>
      </w:r>
      <w:r w:rsidR="009E694D">
        <w:t>O</w:t>
      </w:r>
      <w:r>
        <w:t xml:space="preserve">ption </w:t>
      </w:r>
      <w:r w:rsidRPr="00DF4607">
        <w:t>3</w:t>
      </w:r>
      <w:r w:rsidR="009E694D" w:rsidRPr="00DF4607">
        <w:t xml:space="preserve">: </w:t>
      </w:r>
      <w:r w:rsidRPr="00DF4607">
        <w:t>enforceab</w:t>
      </w:r>
      <w:r>
        <w:t>le obligations (see Appendix B).</w:t>
      </w:r>
    </w:p>
    <w:tbl>
      <w:tblPr>
        <w:tblStyle w:val="TableGrid"/>
        <w:tblW w:w="7933" w:type="dxa"/>
        <w:tblCellMar>
          <w:top w:w="85" w:type="dxa"/>
          <w:left w:w="57" w:type="dxa"/>
          <w:bottom w:w="85" w:type="dxa"/>
          <w:right w:w="57" w:type="dxa"/>
        </w:tblCellMar>
        <w:tblLook w:val="04A0" w:firstRow="1" w:lastRow="0" w:firstColumn="1" w:lastColumn="0" w:noHBand="0" w:noVBand="1"/>
      </w:tblPr>
      <w:tblGrid>
        <w:gridCol w:w="964"/>
        <w:gridCol w:w="1352"/>
        <w:gridCol w:w="1484"/>
        <w:gridCol w:w="1217"/>
        <w:gridCol w:w="1217"/>
        <w:gridCol w:w="1699"/>
      </w:tblGrid>
      <w:tr w:rsidR="00DB2B1C" w:rsidRPr="000415E4" w14:paraId="3EA71F0D" w14:textId="77777777" w:rsidTr="008819DA">
        <w:trPr>
          <w:trHeight w:val="315"/>
        </w:trPr>
        <w:tc>
          <w:tcPr>
            <w:tcW w:w="2316" w:type="dxa"/>
            <w:gridSpan w:val="2"/>
            <w:shd w:val="clear" w:color="auto" w:fill="404040" w:themeFill="text1" w:themeFillTint="BF"/>
            <w:noWrap/>
            <w:hideMark/>
          </w:tcPr>
          <w:p w14:paraId="7AAAB4D6" w14:textId="40A9B5E5" w:rsidR="00DB2B1C" w:rsidRPr="009E694D" w:rsidRDefault="00DB2B1C" w:rsidP="009E694D">
            <w:pPr>
              <w:pStyle w:val="Paragraph"/>
              <w:spacing w:after="0"/>
              <w:rPr>
                <w:color w:val="FFFFFF" w:themeColor="background1"/>
              </w:rPr>
            </w:pPr>
            <w:r w:rsidRPr="009E694D">
              <w:rPr>
                <w:b/>
                <w:bCs/>
                <w:color w:val="FFFFFF" w:themeColor="background1"/>
              </w:rPr>
              <w:t>Options summary</w:t>
            </w:r>
            <w:r w:rsidRPr="009E694D">
              <w:rPr>
                <w:b/>
                <w:bCs/>
                <w:color w:val="FFFFFF" w:themeColor="background1"/>
                <w:szCs w:val="20"/>
              </w:rPr>
              <w:t>*</w:t>
            </w:r>
          </w:p>
        </w:tc>
        <w:tc>
          <w:tcPr>
            <w:tcW w:w="1484" w:type="dxa"/>
            <w:shd w:val="clear" w:color="auto" w:fill="404040" w:themeFill="text1" w:themeFillTint="BF"/>
            <w:noWrap/>
            <w:hideMark/>
          </w:tcPr>
          <w:p w14:paraId="01E86BE9" w14:textId="20F1776A" w:rsidR="00DB2B1C" w:rsidRPr="009E694D" w:rsidRDefault="009E694D" w:rsidP="001459CB">
            <w:pPr>
              <w:pStyle w:val="Paragraph"/>
              <w:spacing w:after="0"/>
              <w:jc w:val="right"/>
              <w:rPr>
                <w:b/>
                <w:bCs/>
                <w:color w:val="FFFFFF" w:themeColor="background1"/>
              </w:rPr>
            </w:pPr>
            <w:r w:rsidRPr="009E694D">
              <w:rPr>
                <w:b/>
                <w:bCs/>
                <w:color w:val="FFFFFF" w:themeColor="background1"/>
              </w:rPr>
              <w:t xml:space="preserve">Option 1: </w:t>
            </w:r>
            <w:r w:rsidR="00DB2B1C" w:rsidRPr="009E694D">
              <w:rPr>
                <w:b/>
                <w:bCs/>
                <w:color w:val="FFFFFF" w:themeColor="background1"/>
              </w:rPr>
              <w:t>Status quo</w:t>
            </w:r>
          </w:p>
        </w:tc>
        <w:tc>
          <w:tcPr>
            <w:tcW w:w="2434" w:type="dxa"/>
            <w:gridSpan w:val="2"/>
            <w:shd w:val="clear" w:color="auto" w:fill="404040" w:themeFill="text1" w:themeFillTint="BF"/>
            <w:noWrap/>
            <w:hideMark/>
          </w:tcPr>
          <w:p w14:paraId="4C8067FD" w14:textId="62B613E6" w:rsidR="00DB2B1C" w:rsidRPr="009E694D" w:rsidRDefault="009E694D" w:rsidP="001459CB">
            <w:pPr>
              <w:pStyle w:val="Paragraph"/>
              <w:spacing w:after="0"/>
              <w:jc w:val="right"/>
              <w:rPr>
                <w:b/>
                <w:bCs/>
                <w:color w:val="FFFFFF" w:themeColor="background1"/>
              </w:rPr>
            </w:pPr>
            <w:r w:rsidRPr="009E694D">
              <w:rPr>
                <w:b/>
                <w:bCs/>
                <w:color w:val="FFFFFF" w:themeColor="background1"/>
              </w:rPr>
              <w:t xml:space="preserve">Option 2: </w:t>
            </w:r>
            <w:r w:rsidRPr="009E694D">
              <w:rPr>
                <w:b/>
                <w:bCs/>
                <w:color w:val="FFFFFF" w:themeColor="background1"/>
              </w:rPr>
              <w:br/>
            </w:r>
            <w:r w:rsidR="00DB2B1C" w:rsidRPr="009E694D">
              <w:rPr>
                <w:b/>
                <w:bCs/>
                <w:color w:val="FFFFFF" w:themeColor="background1"/>
              </w:rPr>
              <w:t>Education campaign</w:t>
            </w:r>
          </w:p>
        </w:tc>
        <w:tc>
          <w:tcPr>
            <w:tcW w:w="1699" w:type="dxa"/>
            <w:shd w:val="clear" w:color="auto" w:fill="404040" w:themeFill="text1" w:themeFillTint="BF"/>
            <w:noWrap/>
            <w:hideMark/>
          </w:tcPr>
          <w:p w14:paraId="75224467" w14:textId="0A63C1D2" w:rsidR="00DB2B1C" w:rsidRPr="009E694D" w:rsidRDefault="009E694D" w:rsidP="001459CB">
            <w:pPr>
              <w:pStyle w:val="Paragraph"/>
              <w:spacing w:after="0"/>
              <w:jc w:val="right"/>
              <w:rPr>
                <w:b/>
                <w:bCs/>
                <w:color w:val="FFFFFF" w:themeColor="background1"/>
              </w:rPr>
            </w:pPr>
            <w:r w:rsidRPr="009E694D">
              <w:rPr>
                <w:b/>
                <w:bCs/>
                <w:color w:val="FFFFFF" w:themeColor="background1"/>
              </w:rPr>
              <w:t>Option 3:</w:t>
            </w:r>
            <w:r w:rsidRPr="009E694D">
              <w:rPr>
                <w:b/>
                <w:bCs/>
                <w:color w:val="FFFFFF" w:themeColor="background1"/>
              </w:rPr>
              <w:br/>
            </w:r>
            <w:r w:rsidR="00DB2B1C" w:rsidRPr="009E694D">
              <w:rPr>
                <w:b/>
                <w:bCs/>
                <w:color w:val="FFFFFF" w:themeColor="background1"/>
              </w:rPr>
              <w:t>Enforceable obligations</w:t>
            </w:r>
          </w:p>
        </w:tc>
      </w:tr>
      <w:tr w:rsidR="00DB2B1C" w:rsidRPr="000415E4" w14:paraId="098C6F2B" w14:textId="77777777" w:rsidTr="008819DA">
        <w:trPr>
          <w:trHeight w:val="300"/>
        </w:trPr>
        <w:tc>
          <w:tcPr>
            <w:tcW w:w="2316" w:type="dxa"/>
            <w:gridSpan w:val="2"/>
            <w:noWrap/>
            <w:hideMark/>
          </w:tcPr>
          <w:p w14:paraId="2C5F0479" w14:textId="77777777" w:rsidR="00DB2B1C" w:rsidRPr="000415E4" w:rsidRDefault="00DB2B1C" w:rsidP="009E694D">
            <w:pPr>
              <w:pStyle w:val="Paragraph"/>
              <w:spacing w:after="0"/>
            </w:pPr>
          </w:p>
        </w:tc>
        <w:tc>
          <w:tcPr>
            <w:tcW w:w="1484" w:type="dxa"/>
            <w:noWrap/>
            <w:hideMark/>
          </w:tcPr>
          <w:p w14:paraId="543B6C20" w14:textId="77777777" w:rsidR="00DB2B1C" w:rsidRPr="000415E4" w:rsidRDefault="00DB2B1C" w:rsidP="006C1066">
            <w:pPr>
              <w:pStyle w:val="Paragraph"/>
              <w:spacing w:after="0"/>
              <w:jc w:val="right"/>
            </w:pPr>
          </w:p>
        </w:tc>
        <w:tc>
          <w:tcPr>
            <w:tcW w:w="1217" w:type="dxa"/>
            <w:noWrap/>
            <w:hideMark/>
          </w:tcPr>
          <w:p w14:paraId="06AFDD1F" w14:textId="49B3DDA5" w:rsidR="00DB2B1C" w:rsidRPr="000415E4" w:rsidRDefault="009E694D" w:rsidP="006C1066">
            <w:pPr>
              <w:pStyle w:val="Paragraph"/>
              <w:spacing w:after="0"/>
              <w:jc w:val="right"/>
            </w:pPr>
            <w:r>
              <w:t>L</w:t>
            </w:r>
            <w:r w:rsidR="00DB2B1C" w:rsidRPr="000415E4">
              <w:t>ow</w:t>
            </w:r>
          </w:p>
        </w:tc>
        <w:tc>
          <w:tcPr>
            <w:tcW w:w="1217" w:type="dxa"/>
            <w:noWrap/>
            <w:hideMark/>
          </w:tcPr>
          <w:p w14:paraId="23C2AB68" w14:textId="144AD969" w:rsidR="00DB2B1C" w:rsidRPr="000415E4" w:rsidRDefault="009E694D" w:rsidP="006C1066">
            <w:pPr>
              <w:pStyle w:val="Paragraph"/>
              <w:spacing w:after="0"/>
              <w:jc w:val="right"/>
            </w:pPr>
            <w:r>
              <w:t>H</w:t>
            </w:r>
            <w:r w:rsidR="00DB2B1C" w:rsidRPr="000415E4">
              <w:t>igh</w:t>
            </w:r>
          </w:p>
        </w:tc>
        <w:tc>
          <w:tcPr>
            <w:tcW w:w="1699" w:type="dxa"/>
            <w:noWrap/>
          </w:tcPr>
          <w:p w14:paraId="7E3670A5" w14:textId="16835C27" w:rsidR="00DB2B1C" w:rsidRPr="000415E4" w:rsidRDefault="009E694D" w:rsidP="006C1066">
            <w:pPr>
              <w:pStyle w:val="Paragraph"/>
              <w:spacing w:after="0"/>
              <w:jc w:val="right"/>
            </w:pPr>
            <w:r>
              <w:t>H</w:t>
            </w:r>
            <w:r w:rsidR="00DB2B1C" w:rsidRPr="000415E4">
              <w:t>igh</w:t>
            </w:r>
          </w:p>
        </w:tc>
      </w:tr>
      <w:tr w:rsidR="00DB2B1C" w:rsidRPr="000415E4" w14:paraId="1FD3E681" w14:textId="77777777" w:rsidTr="008819DA">
        <w:trPr>
          <w:trHeight w:val="300"/>
        </w:trPr>
        <w:tc>
          <w:tcPr>
            <w:tcW w:w="2316" w:type="dxa"/>
            <w:gridSpan w:val="2"/>
            <w:noWrap/>
            <w:hideMark/>
          </w:tcPr>
          <w:p w14:paraId="6B917699" w14:textId="77777777" w:rsidR="00DB2B1C" w:rsidRPr="000415E4" w:rsidRDefault="00DB2B1C" w:rsidP="009E694D">
            <w:pPr>
              <w:pStyle w:val="Paragraph"/>
              <w:spacing w:after="0"/>
            </w:pPr>
            <w:r w:rsidRPr="000415E4">
              <w:t>Effectiveness of intervention - % reduction in scam calls</w:t>
            </w:r>
          </w:p>
        </w:tc>
        <w:tc>
          <w:tcPr>
            <w:tcW w:w="1484" w:type="dxa"/>
            <w:noWrap/>
            <w:hideMark/>
          </w:tcPr>
          <w:p w14:paraId="467FAB57" w14:textId="77777777" w:rsidR="00DB2B1C" w:rsidRPr="000415E4" w:rsidRDefault="00DB2B1C" w:rsidP="008819DA">
            <w:pPr>
              <w:pStyle w:val="Paragraph"/>
              <w:spacing w:after="0"/>
              <w:jc w:val="right"/>
            </w:pPr>
            <w:r>
              <w:t>0</w:t>
            </w:r>
          </w:p>
        </w:tc>
        <w:tc>
          <w:tcPr>
            <w:tcW w:w="1217" w:type="dxa"/>
            <w:noWrap/>
            <w:hideMark/>
          </w:tcPr>
          <w:p w14:paraId="2ADD07D7" w14:textId="77777777" w:rsidR="00DB2B1C" w:rsidRPr="000415E4" w:rsidRDefault="00DB2B1C" w:rsidP="008819DA">
            <w:pPr>
              <w:pStyle w:val="Paragraph"/>
              <w:spacing w:after="0"/>
              <w:jc w:val="right"/>
            </w:pPr>
            <w:r w:rsidRPr="000415E4">
              <w:t>0.2</w:t>
            </w:r>
          </w:p>
        </w:tc>
        <w:tc>
          <w:tcPr>
            <w:tcW w:w="1217" w:type="dxa"/>
            <w:noWrap/>
            <w:hideMark/>
          </w:tcPr>
          <w:p w14:paraId="7C8297C5" w14:textId="77777777" w:rsidR="00DB2B1C" w:rsidRPr="000415E4" w:rsidRDefault="00DB2B1C" w:rsidP="008819DA">
            <w:pPr>
              <w:pStyle w:val="Paragraph"/>
              <w:spacing w:after="0"/>
              <w:jc w:val="right"/>
            </w:pPr>
            <w:r w:rsidRPr="000415E4">
              <w:t>0.3</w:t>
            </w:r>
          </w:p>
        </w:tc>
        <w:tc>
          <w:tcPr>
            <w:tcW w:w="1699" w:type="dxa"/>
            <w:noWrap/>
          </w:tcPr>
          <w:p w14:paraId="39056A83" w14:textId="77777777" w:rsidR="00DB2B1C" w:rsidRPr="000415E4" w:rsidRDefault="00DB2B1C" w:rsidP="008819DA">
            <w:pPr>
              <w:pStyle w:val="Paragraph"/>
              <w:spacing w:after="0"/>
              <w:jc w:val="right"/>
            </w:pPr>
            <w:r w:rsidRPr="000415E4">
              <w:t>0.7</w:t>
            </w:r>
          </w:p>
        </w:tc>
      </w:tr>
      <w:tr w:rsidR="00DB2B1C" w:rsidRPr="000415E4" w14:paraId="7DCC36F5" w14:textId="77777777" w:rsidTr="008819DA">
        <w:trPr>
          <w:trHeight w:val="300"/>
        </w:trPr>
        <w:tc>
          <w:tcPr>
            <w:tcW w:w="964" w:type="dxa"/>
            <w:noWrap/>
            <w:hideMark/>
          </w:tcPr>
          <w:p w14:paraId="1F3E9E35" w14:textId="77777777" w:rsidR="00DB2B1C" w:rsidRPr="000415E4" w:rsidRDefault="00DB2B1C" w:rsidP="009E694D">
            <w:pPr>
              <w:pStyle w:val="Paragraph"/>
              <w:spacing w:after="0"/>
            </w:pPr>
            <w:r w:rsidRPr="000415E4">
              <w:t>Cost</w:t>
            </w:r>
          </w:p>
        </w:tc>
        <w:tc>
          <w:tcPr>
            <w:tcW w:w="1352" w:type="dxa"/>
            <w:noWrap/>
            <w:hideMark/>
          </w:tcPr>
          <w:p w14:paraId="40482BB3" w14:textId="77777777" w:rsidR="00DB2B1C" w:rsidRPr="000415E4" w:rsidRDefault="00DB2B1C" w:rsidP="009E694D">
            <w:pPr>
              <w:pStyle w:val="Paragraph"/>
              <w:spacing w:after="0"/>
            </w:pPr>
            <w:r>
              <w:t>C</w:t>
            </w:r>
            <w:r w:rsidRPr="000415E4">
              <w:t>osts to customers (direct)</w:t>
            </w:r>
          </w:p>
        </w:tc>
        <w:tc>
          <w:tcPr>
            <w:tcW w:w="1484" w:type="dxa"/>
            <w:noWrap/>
            <w:hideMark/>
          </w:tcPr>
          <w:p w14:paraId="2BC140B4" w14:textId="767E5532" w:rsidR="00DB2B1C" w:rsidRPr="000415E4" w:rsidRDefault="009E694D" w:rsidP="006C1066">
            <w:pPr>
              <w:pStyle w:val="Paragraph"/>
              <w:spacing w:after="0"/>
              <w:jc w:val="right"/>
            </w:pPr>
            <w:r>
              <w:t>–</w:t>
            </w:r>
            <w:r w:rsidR="00DB2B1C" w:rsidRPr="000415E4">
              <w:t>$31,467,269</w:t>
            </w:r>
          </w:p>
        </w:tc>
        <w:tc>
          <w:tcPr>
            <w:tcW w:w="1217" w:type="dxa"/>
            <w:noWrap/>
            <w:hideMark/>
          </w:tcPr>
          <w:p w14:paraId="2FDC0897" w14:textId="77777777" w:rsidR="00DB2B1C" w:rsidRPr="000415E4" w:rsidRDefault="00DB2B1C" w:rsidP="006C1066">
            <w:pPr>
              <w:pStyle w:val="Paragraph"/>
              <w:spacing w:after="0"/>
              <w:jc w:val="right"/>
            </w:pPr>
          </w:p>
        </w:tc>
        <w:tc>
          <w:tcPr>
            <w:tcW w:w="1217" w:type="dxa"/>
            <w:noWrap/>
            <w:hideMark/>
          </w:tcPr>
          <w:p w14:paraId="27426279" w14:textId="77777777" w:rsidR="00DB2B1C" w:rsidRPr="000415E4" w:rsidRDefault="00DB2B1C" w:rsidP="006C1066">
            <w:pPr>
              <w:pStyle w:val="Paragraph"/>
              <w:spacing w:after="0"/>
              <w:jc w:val="right"/>
            </w:pPr>
          </w:p>
        </w:tc>
        <w:tc>
          <w:tcPr>
            <w:tcW w:w="1699" w:type="dxa"/>
            <w:noWrap/>
          </w:tcPr>
          <w:p w14:paraId="38C878BA" w14:textId="77777777" w:rsidR="00DB2B1C" w:rsidRPr="000415E4" w:rsidRDefault="00DB2B1C" w:rsidP="006C1066">
            <w:pPr>
              <w:pStyle w:val="Paragraph"/>
              <w:spacing w:after="0"/>
              <w:jc w:val="right"/>
            </w:pPr>
          </w:p>
        </w:tc>
      </w:tr>
      <w:tr w:rsidR="00DB2B1C" w:rsidRPr="000415E4" w14:paraId="061B1313" w14:textId="77777777" w:rsidTr="008819DA">
        <w:trPr>
          <w:trHeight w:val="300"/>
        </w:trPr>
        <w:tc>
          <w:tcPr>
            <w:tcW w:w="964" w:type="dxa"/>
            <w:noWrap/>
            <w:hideMark/>
          </w:tcPr>
          <w:p w14:paraId="1E654879" w14:textId="77777777" w:rsidR="00DB2B1C" w:rsidRPr="000415E4" w:rsidRDefault="00DB2B1C" w:rsidP="009E694D">
            <w:pPr>
              <w:pStyle w:val="Paragraph"/>
              <w:spacing w:after="0"/>
            </w:pPr>
            <w:r w:rsidRPr="000415E4">
              <w:t>Cost</w:t>
            </w:r>
          </w:p>
        </w:tc>
        <w:tc>
          <w:tcPr>
            <w:tcW w:w="1352" w:type="dxa"/>
            <w:noWrap/>
            <w:hideMark/>
          </w:tcPr>
          <w:p w14:paraId="2E99F9FD" w14:textId="77777777" w:rsidR="00DB2B1C" w:rsidRPr="000415E4" w:rsidRDefault="00DB2B1C" w:rsidP="009E694D">
            <w:pPr>
              <w:pStyle w:val="Paragraph"/>
              <w:spacing w:after="0"/>
            </w:pPr>
            <w:r>
              <w:t>C</w:t>
            </w:r>
            <w:r w:rsidRPr="000415E4">
              <w:t>osts to customers (time)</w:t>
            </w:r>
          </w:p>
        </w:tc>
        <w:tc>
          <w:tcPr>
            <w:tcW w:w="1484" w:type="dxa"/>
            <w:noWrap/>
            <w:hideMark/>
          </w:tcPr>
          <w:p w14:paraId="641822F1" w14:textId="7A825EDE" w:rsidR="00DB2B1C" w:rsidRPr="000415E4" w:rsidRDefault="009E694D" w:rsidP="008819DA">
            <w:pPr>
              <w:pStyle w:val="Paragraph"/>
              <w:spacing w:after="0"/>
              <w:jc w:val="right"/>
            </w:pPr>
            <w:r>
              <w:t>–</w:t>
            </w:r>
            <w:r w:rsidR="00DB2B1C" w:rsidRPr="000415E4">
              <w:t>$2,748,416</w:t>
            </w:r>
          </w:p>
        </w:tc>
        <w:tc>
          <w:tcPr>
            <w:tcW w:w="1217" w:type="dxa"/>
            <w:noWrap/>
            <w:hideMark/>
          </w:tcPr>
          <w:p w14:paraId="0D01750F" w14:textId="77777777" w:rsidR="00DB2B1C" w:rsidRPr="000415E4" w:rsidRDefault="00DB2B1C" w:rsidP="008819DA">
            <w:pPr>
              <w:pStyle w:val="Paragraph"/>
              <w:spacing w:after="0"/>
              <w:jc w:val="right"/>
            </w:pPr>
          </w:p>
        </w:tc>
        <w:tc>
          <w:tcPr>
            <w:tcW w:w="1217" w:type="dxa"/>
            <w:noWrap/>
            <w:hideMark/>
          </w:tcPr>
          <w:p w14:paraId="0BF47D72" w14:textId="77777777" w:rsidR="00DB2B1C" w:rsidRPr="000415E4" w:rsidRDefault="00DB2B1C" w:rsidP="008819DA">
            <w:pPr>
              <w:pStyle w:val="Paragraph"/>
              <w:spacing w:after="0"/>
              <w:jc w:val="right"/>
            </w:pPr>
          </w:p>
        </w:tc>
        <w:tc>
          <w:tcPr>
            <w:tcW w:w="1699" w:type="dxa"/>
            <w:noWrap/>
          </w:tcPr>
          <w:p w14:paraId="3D7D2C58" w14:textId="77777777" w:rsidR="00DB2B1C" w:rsidRPr="000415E4" w:rsidRDefault="00DB2B1C" w:rsidP="008819DA">
            <w:pPr>
              <w:pStyle w:val="Paragraph"/>
              <w:spacing w:after="0"/>
              <w:jc w:val="right"/>
            </w:pPr>
          </w:p>
        </w:tc>
      </w:tr>
      <w:tr w:rsidR="00DB2B1C" w:rsidRPr="000415E4" w14:paraId="254917ED" w14:textId="77777777" w:rsidTr="008819DA">
        <w:trPr>
          <w:trHeight w:val="300"/>
        </w:trPr>
        <w:tc>
          <w:tcPr>
            <w:tcW w:w="964" w:type="dxa"/>
            <w:noWrap/>
            <w:hideMark/>
          </w:tcPr>
          <w:p w14:paraId="57B770FB" w14:textId="77777777" w:rsidR="00DB2B1C" w:rsidRPr="000415E4" w:rsidRDefault="00DB2B1C" w:rsidP="009E694D">
            <w:pPr>
              <w:pStyle w:val="Paragraph"/>
              <w:spacing w:after="0"/>
            </w:pPr>
            <w:r w:rsidRPr="000415E4">
              <w:t>Cost</w:t>
            </w:r>
          </w:p>
        </w:tc>
        <w:tc>
          <w:tcPr>
            <w:tcW w:w="1352" w:type="dxa"/>
            <w:noWrap/>
            <w:hideMark/>
          </w:tcPr>
          <w:p w14:paraId="3376260D" w14:textId="77777777" w:rsidR="00DB2B1C" w:rsidRPr="000415E4" w:rsidRDefault="00DB2B1C" w:rsidP="009E694D">
            <w:pPr>
              <w:pStyle w:val="Paragraph"/>
              <w:spacing w:after="0"/>
            </w:pPr>
            <w:r>
              <w:t>C</w:t>
            </w:r>
            <w:r w:rsidRPr="000415E4">
              <w:t>osts to business</w:t>
            </w:r>
          </w:p>
        </w:tc>
        <w:tc>
          <w:tcPr>
            <w:tcW w:w="1484" w:type="dxa"/>
            <w:noWrap/>
            <w:hideMark/>
          </w:tcPr>
          <w:p w14:paraId="569E8488" w14:textId="67974464" w:rsidR="00DB2B1C" w:rsidRPr="000415E4" w:rsidRDefault="009E694D" w:rsidP="006C1066">
            <w:pPr>
              <w:pStyle w:val="Paragraph"/>
              <w:spacing w:after="0"/>
              <w:jc w:val="right"/>
            </w:pPr>
            <w:r>
              <w:t>–</w:t>
            </w:r>
            <w:r w:rsidR="00DB2B1C" w:rsidRPr="000415E4">
              <w:t>$1,100,366</w:t>
            </w:r>
          </w:p>
        </w:tc>
        <w:tc>
          <w:tcPr>
            <w:tcW w:w="1217" w:type="dxa"/>
            <w:noWrap/>
            <w:hideMark/>
          </w:tcPr>
          <w:p w14:paraId="1A4F3E02" w14:textId="77777777" w:rsidR="00DB2B1C" w:rsidRPr="000415E4" w:rsidRDefault="00DB2B1C" w:rsidP="006C1066">
            <w:pPr>
              <w:pStyle w:val="Paragraph"/>
              <w:spacing w:after="0"/>
              <w:jc w:val="right"/>
            </w:pPr>
          </w:p>
        </w:tc>
        <w:tc>
          <w:tcPr>
            <w:tcW w:w="1217" w:type="dxa"/>
            <w:noWrap/>
            <w:hideMark/>
          </w:tcPr>
          <w:p w14:paraId="6D0A9C14" w14:textId="77777777" w:rsidR="00DB2B1C" w:rsidRPr="000415E4" w:rsidRDefault="00DB2B1C" w:rsidP="006C1066">
            <w:pPr>
              <w:pStyle w:val="Paragraph"/>
              <w:spacing w:after="0"/>
              <w:jc w:val="right"/>
            </w:pPr>
          </w:p>
        </w:tc>
        <w:tc>
          <w:tcPr>
            <w:tcW w:w="1699" w:type="dxa"/>
            <w:noWrap/>
          </w:tcPr>
          <w:p w14:paraId="4B12A4CD" w14:textId="77777777" w:rsidR="00DB2B1C" w:rsidRPr="000415E4" w:rsidRDefault="00DB2B1C" w:rsidP="006C1066">
            <w:pPr>
              <w:pStyle w:val="Paragraph"/>
              <w:spacing w:after="0"/>
              <w:jc w:val="right"/>
            </w:pPr>
          </w:p>
        </w:tc>
      </w:tr>
      <w:tr w:rsidR="00DB2B1C" w:rsidRPr="000415E4" w14:paraId="006B1B96" w14:textId="77777777" w:rsidTr="008819DA">
        <w:trPr>
          <w:trHeight w:val="300"/>
        </w:trPr>
        <w:tc>
          <w:tcPr>
            <w:tcW w:w="964" w:type="dxa"/>
            <w:noWrap/>
            <w:hideMark/>
          </w:tcPr>
          <w:p w14:paraId="0027B592" w14:textId="77777777" w:rsidR="00DB2B1C" w:rsidRPr="000415E4" w:rsidRDefault="00DB2B1C" w:rsidP="009E694D">
            <w:pPr>
              <w:pStyle w:val="Paragraph"/>
              <w:spacing w:after="0"/>
            </w:pPr>
            <w:r w:rsidRPr="000415E4">
              <w:t>Cost</w:t>
            </w:r>
          </w:p>
        </w:tc>
        <w:tc>
          <w:tcPr>
            <w:tcW w:w="1352" w:type="dxa"/>
            <w:noWrap/>
            <w:hideMark/>
          </w:tcPr>
          <w:p w14:paraId="0E6D46AF" w14:textId="77777777" w:rsidR="00DB2B1C" w:rsidRPr="000415E4" w:rsidRDefault="00DB2B1C" w:rsidP="009E694D">
            <w:pPr>
              <w:pStyle w:val="Paragraph"/>
              <w:spacing w:after="0"/>
            </w:pPr>
            <w:r>
              <w:t>C</w:t>
            </w:r>
            <w:r w:rsidRPr="000415E4">
              <w:t>ost of education campaign</w:t>
            </w:r>
          </w:p>
        </w:tc>
        <w:tc>
          <w:tcPr>
            <w:tcW w:w="1484" w:type="dxa"/>
            <w:noWrap/>
            <w:hideMark/>
          </w:tcPr>
          <w:p w14:paraId="113D543C" w14:textId="77777777" w:rsidR="00DB2B1C" w:rsidRPr="000415E4" w:rsidRDefault="00DB2B1C" w:rsidP="006C1066">
            <w:pPr>
              <w:pStyle w:val="Paragraph"/>
              <w:spacing w:after="0"/>
              <w:jc w:val="right"/>
            </w:pPr>
          </w:p>
        </w:tc>
        <w:tc>
          <w:tcPr>
            <w:tcW w:w="1217" w:type="dxa"/>
            <w:noWrap/>
            <w:hideMark/>
          </w:tcPr>
          <w:p w14:paraId="78D54D87" w14:textId="5931E5E6" w:rsidR="00DB2B1C" w:rsidRPr="000415E4" w:rsidRDefault="009E694D" w:rsidP="006C1066">
            <w:pPr>
              <w:pStyle w:val="Paragraph"/>
              <w:spacing w:after="0"/>
              <w:jc w:val="right"/>
            </w:pPr>
            <w:r>
              <w:t>–</w:t>
            </w:r>
            <w:r w:rsidR="00DB2B1C" w:rsidRPr="000415E4">
              <w:t>$30,061</w:t>
            </w:r>
          </w:p>
        </w:tc>
        <w:tc>
          <w:tcPr>
            <w:tcW w:w="1217" w:type="dxa"/>
            <w:noWrap/>
            <w:hideMark/>
          </w:tcPr>
          <w:p w14:paraId="2A0C2E3C" w14:textId="6A4D7C8C" w:rsidR="00DB2B1C" w:rsidRPr="000415E4" w:rsidRDefault="009E694D" w:rsidP="006C1066">
            <w:pPr>
              <w:pStyle w:val="Paragraph"/>
              <w:spacing w:after="0"/>
              <w:jc w:val="right"/>
            </w:pPr>
            <w:r>
              <w:t>–</w:t>
            </w:r>
            <w:r w:rsidR="00DB2B1C" w:rsidRPr="000415E4">
              <w:t>$30,061</w:t>
            </w:r>
          </w:p>
        </w:tc>
        <w:tc>
          <w:tcPr>
            <w:tcW w:w="1699" w:type="dxa"/>
            <w:noWrap/>
          </w:tcPr>
          <w:p w14:paraId="305678F5" w14:textId="77777777" w:rsidR="00DB2B1C" w:rsidRPr="000415E4" w:rsidRDefault="00DB2B1C" w:rsidP="006C1066">
            <w:pPr>
              <w:pStyle w:val="Paragraph"/>
              <w:spacing w:after="0"/>
              <w:jc w:val="right"/>
            </w:pPr>
          </w:p>
        </w:tc>
      </w:tr>
      <w:tr w:rsidR="00DB2B1C" w:rsidRPr="000415E4" w14:paraId="4D95EAFA" w14:textId="77777777" w:rsidTr="008819DA">
        <w:trPr>
          <w:trHeight w:val="300"/>
        </w:trPr>
        <w:tc>
          <w:tcPr>
            <w:tcW w:w="964" w:type="dxa"/>
            <w:noWrap/>
            <w:hideMark/>
          </w:tcPr>
          <w:p w14:paraId="280DEF08" w14:textId="77777777" w:rsidR="00DB2B1C" w:rsidRPr="000415E4" w:rsidRDefault="00DB2B1C" w:rsidP="009E694D">
            <w:pPr>
              <w:pStyle w:val="Paragraph"/>
              <w:spacing w:after="0"/>
            </w:pPr>
            <w:r w:rsidRPr="000415E4">
              <w:t>Cost</w:t>
            </w:r>
          </w:p>
        </w:tc>
        <w:tc>
          <w:tcPr>
            <w:tcW w:w="1352" w:type="dxa"/>
            <w:noWrap/>
            <w:hideMark/>
          </w:tcPr>
          <w:p w14:paraId="3997DFD2" w14:textId="77777777" w:rsidR="00DB2B1C" w:rsidRPr="000415E4" w:rsidRDefault="00DB2B1C" w:rsidP="009E694D">
            <w:pPr>
              <w:pStyle w:val="Paragraph"/>
              <w:spacing w:after="0"/>
            </w:pPr>
            <w:r w:rsidRPr="000415E4">
              <w:t>Reg</w:t>
            </w:r>
            <w:r>
              <w:t>ulatory</w:t>
            </w:r>
            <w:r w:rsidRPr="000415E4">
              <w:t xml:space="preserve"> costs</w:t>
            </w:r>
          </w:p>
        </w:tc>
        <w:tc>
          <w:tcPr>
            <w:tcW w:w="1484" w:type="dxa"/>
            <w:noWrap/>
            <w:hideMark/>
          </w:tcPr>
          <w:p w14:paraId="12725F6F" w14:textId="77777777" w:rsidR="00DB2B1C" w:rsidRPr="000415E4" w:rsidRDefault="00DB2B1C" w:rsidP="006C1066">
            <w:pPr>
              <w:pStyle w:val="Paragraph"/>
              <w:spacing w:after="0"/>
              <w:jc w:val="right"/>
            </w:pPr>
          </w:p>
        </w:tc>
        <w:tc>
          <w:tcPr>
            <w:tcW w:w="1217" w:type="dxa"/>
            <w:noWrap/>
            <w:hideMark/>
          </w:tcPr>
          <w:p w14:paraId="48C3E2EA" w14:textId="77777777" w:rsidR="00DB2B1C" w:rsidRPr="000415E4" w:rsidRDefault="00DB2B1C" w:rsidP="006C1066">
            <w:pPr>
              <w:pStyle w:val="Paragraph"/>
              <w:spacing w:after="0"/>
              <w:jc w:val="right"/>
            </w:pPr>
          </w:p>
        </w:tc>
        <w:tc>
          <w:tcPr>
            <w:tcW w:w="1217" w:type="dxa"/>
            <w:noWrap/>
            <w:hideMark/>
          </w:tcPr>
          <w:p w14:paraId="1DE510B0" w14:textId="77777777" w:rsidR="00DB2B1C" w:rsidRPr="000415E4" w:rsidRDefault="00DB2B1C" w:rsidP="006C1066">
            <w:pPr>
              <w:pStyle w:val="Paragraph"/>
              <w:spacing w:after="0"/>
              <w:jc w:val="right"/>
            </w:pPr>
          </w:p>
        </w:tc>
        <w:tc>
          <w:tcPr>
            <w:tcW w:w="1699" w:type="dxa"/>
            <w:noWrap/>
          </w:tcPr>
          <w:p w14:paraId="77BDF611" w14:textId="39AFF874" w:rsidR="00DB2B1C" w:rsidRPr="000415E4" w:rsidRDefault="009E694D" w:rsidP="006C1066">
            <w:pPr>
              <w:pStyle w:val="Paragraph"/>
              <w:spacing w:after="0"/>
              <w:jc w:val="right"/>
            </w:pPr>
            <w:r>
              <w:t>–</w:t>
            </w:r>
            <w:r w:rsidR="00DB2B1C" w:rsidRPr="000415E4">
              <w:t>$1,410,541</w:t>
            </w:r>
          </w:p>
        </w:tc>
      </w:tr>
      <w:tr w:rsidR="00DB2B1C" w:rsidRPr="000415E4" w14:paraId="07A27DE9" w14:textId="77777777" w:rsidTr="008819DA">
        <w:trPr>
          <w:trHeight w:val="300"/>
        </w:trPr>
        <w:tc>
          <w:tcPr>
            <w:tcW w:w="964" w:type="dxa"/>
            <w:noWrap/>
            <w:hideMark/>
          </w:tcPr>
          <w:p w14:paraId="0B645BF4" w14:textId="77777777" w:rsidR="00DB2B1C" w:rsidRPr="000415E4" w:rsidRDefault="00DB2B1C" w:rsidP="009E694D">
            <w:pPr>
              <w:pStyle w:val="Paragraph"/>
              <w:spacing w:after="0"/>
            </w:pPr>
            <w:r w:rsidRPr="000415E4">
              <w:t>Benefit</w:t>
            </w:r>
          </w:p>
        </w:tc>
        <w:tc>
          <w:tcPr>
            <w:tcW w:w="1352" w:type="dxa"/>
            <w:noWrap/>
            <w:hideMark/>
          </w:tcPr>
          <w:p w14:paraId="24285F08" w14:textId="77777777" w:rsidR="00DB2B1C" w:rsidRPr="000415E4" w:rsidRDefault="00DB2B1C" w:rsidP="009E694D">
            <w:pPr>
              <w:pStyle w:val="Paragraph"/>
              <w:spacing w:after="0"/>
            </w:pPr>
            <w:r>
              <w:t>R</w:t>
            </w:r>
            <w:r w:rsidRPr="000415E4">
              <w:t xml:space="preserve">educed scam calls </w:t>
            </w:r>
            <w:r>
              <w:t xml:space="preserve">to </w:t>
            </w:r>
            <w:r w:rsidRPr="000415E4">
              <w:t>customers</w:t>
            </w:r>
          </w:p>
        </w:tc>
        <w:tc>
          <w:tcPr>
            <w:tcW w:w="1484" w:type="dxa"/>
            <w:noWrap/>
            <w:hideMark/>
          </w:tcPr>
          <w:p w14:paraId="3BD28302" w14:textId="77777777" w:rsidR="00DB2B1C" w:rsidRPr="000415E4" w:rsidRDefault="00DB2B1C" w:rsidP="006C1066">
            <w:pPr>
              <w:pStyle w:val="Paragraph"/>
              <w:spacing w:after="0"/>
              <w:jc w:val="right"/>
            </w:pPr>
          </w:p>
        </w:tc>
        <w:tc>
          <w:tcPr>
            <w:tcW w:w="1217" w:type="dxa"/>
            <w:noWrap/>
            <w:hideMark/>
          </w:tcPr>
          <w:p w14:paraId="15F8BA0C" w14:textId="77777777" w:rsidR="00DB2B1C" w:rsidRPr="000415E4" w:rsidRDefault="00DB2B1C" w:rsidP="006C1066">
            <w:pPr>
              <w:pStyle w:val="Paragraph"/>
              <w:spacing w:after="0"/>
              <w:jc w:val="right"/>
            </w:pPr>
            <w:r w:rsidRPr="000415E4">
              <w:t>$4,729,677</w:t>
            </w:r>
          </w:p>
        </w:tc>
        <w:tc>
          <w:tcPr>
            <w:tcW w:w="1217" w:type="dxa"/>
            <w:noWrap/>
            <w:hideMark/>
          </w:tcPr>
          <w:p w14:paraId="02061B6E" w14:textId="77777777" w:rsidR="00DB2B1C" w:rsidRPr="000415E4" w:rsidRDefault="00DB2B1C" w:rsidP="006C1066">
            <w:pPr>
              <w:pStyle w:val="Paragraph"/>
              <w:spacing w:after="0"/>
              <w:jc w:val="right"/>
            </w:pPr>
            <w:r w:rsidRPr="000415E4">
              <w:t>$7,094,515</w:t>
            </w:r>
          </w:p>
        </w:tc>
        <w:tc>
          <w:tcPr>
            <w:tcW w:w="1699" w:type="dxa"/>
            <w:noWrap/>
          </w:tcPr>
          <w:p w14:paraId="3F56FFDC" w14:textId="77777777" w:rsidR="00DB2B1C" w:rsidRPr="000415E4" w:rsidRDefault="00DB2B1C" w:rsidP="006C1066">
            <w:pPr>
              <w:pStyle w:val="Paragraph"/>
              <w:spacing w:after="0"/>
              <w:jc w:val="right"/>
            </w:pPr>
            <w:r w:rsidRPr="000415E4">
              <w:t xml:space="preserve"> $16,553,868</w:t>
            </w:r>
          </w:p>
        </w:tc>
      </w:tr>
      <w:tr w:rsidR="00DB2B1C" w:rsidRPr="000415E4" w14:paraId="2568752E" w14:textId="77777777" w:rsidTr="008819DA">
        <w:trPr>
          <w:trHeight w:val="300"/>
        </w:trPr>
        <w:tc>
          <w:tcPr>
            <w:tcW w:w="964" w:type="dxa"/>
            <w:noWrap/>
            <w:hideMark/>
          </w:tcPr>
          <w:p w14:paraId="7FC4F5BC" w14:textId="77777777" w:rsidR="00DB2B1C" w:rsidRPr="000415E4" w:rsidRDefault="00DB2B1C" w:rsidP="009E694D">
            <w:pPr>
              <w:pStyle w:val="Paragraph"/>
              <w:spacing w:after="0"/>
            </w:pPr>
            <w:r w:rsidRPr="000415E4">
              <w:t>Benefit</w:t>
            </w:r>
          </w:p>
        </w:tc>
        <w:tc>
          <w:tcPr>
            <w:tcW w:w="1352" w:type="dxa"/>
            <w:noWrap/>
            <w:hideMark/>
          </w:tcPr>
          <w:p w14:paraId="42141FF0" w14:textId="77777777" w:rsidR="00DB2B1C" w:rsidRPr="000415E4" w:rsidRDefault="00DB2B1C" w:rsidP="009E694D">
            <w:pPr>
              <w:pStyle w:val="Paragraph"/>
              <w:spacing w:after="0"/>
            </w:pPr>
            <w:r>
              <w:t>R</w:t>
            </w:r>
            <w:r w:rsidRPr="000415E4">
              <w:t>educed customer time costs</w:t>
            </w:r>
          </w:p>
        </w:tc>
        <w:tc>
          <w:tcPr>
            <w:tcW w:w="1484" w:type="dxa"/>
            <w:noWrap/>
            <w:hideMark/>
          </w:tcPr>
          <w:p w14:paraId="191A10BB" w14:textId="77777777" w:rsidR="00DB2B1C" w:rsidRPr="000415E4" w:rsidRDefault="00DB2B1C" w:rsidP="006C1066">
            <w:pPr>
              <w:pStyle w:val="Paragraph"/>
              <w:spacing w:after="0"/>
              <w:jc w:val="right"/>
            </w:pPr>
          </w:p>
        </w:tc>
        <w:tc>
          <w:tcPr>
            <w:tcW w:w="1217" w:type="dxa"/>
            <w:noWrap/>
            <w:hideMark/>
          </w:tcPr>
          <w:p w14:paraId="1800A7E8" w14:textId="77777777" w:rsidR="00DB2B1C" w:rsidRPr="000415E4" w:rsidRDefault="00DB2B1C" w:rsidP="006C1066">
            <w:pPr>
              <w:pStyle w:val="Paragraph"/>
              <w:spacing w:after="0"/>
              <w:jc w:val="right"/>
            </w:pPr>
            <w:r w:rsidRPr="000415E4">
              <w:t>$413,100</w:t>
            </w:r>
          </w:p>
        </w:tc>
        <w:tc>
          <w:tcPr>
            <w:tcW w:w="1217" w:type="dxa"/>
            <w:noWrap/>
            <w:hideMark/>
          </w:tcPr>
          <w:p w14:paraId="6C363E2E" w14:textId="77777777" w:rsidR="00DB2B1C" w:rsidRPr="000415E4" w:rsidRDefault="00DB2B1C" w:rsidP="006C1066">
            <w:pPr>
              <w:pStyle w:val="Paragraph"/>
              <w:spacing w:after="0"/>
              <w:jc w:val="right"/>
            </w:pPr>
            <w:r w:rsidRPr="000415E4">
              <w:t>$619,650</w:t>
            </w:r>
          </w:p>
        </w:tc>
        <w:tc>
          <w:tcPr>
            <w:tcW w:w="1699" w:type="dxa"/>
            <w:noWrap/>
          </w:tcPr>
          <w:p w14:paraId="77FC4ED0" w14:textId="77777777" w:rsidR="00DB2B1C" w:rsidRPr="000415E4" w:rsidRDefault="00DB2B1C" w:rsidP="006C1066">
            <w:pPr>
              <w:pStyle w:val="Paragraph"/>
              <w:spacing w:after="0"/>
              <w:jc w:val="right"/>
            </w:pPr>
            <w:r w:rsidRPr="000415E4">
              <w:t>$1,445,849</w:t>
            </w:r>
          </w:p>
        </w:tc>
      </w:tr>
      <w:tr w:rsidR="00DB2B1C" w:rsidRPr="000415E4" w14:paraId="2A59938F" w14:textId="77777777" w:rsidTr="008819DA">
        <w:trPr>
          <w:trHeight w:val="300"/>
        </w:trPr>
        <w:tc>
          <w:tcPr>
            <w:tcW w:w="964" w:type="dxa"/>
            <w:noWrap/>
            <w:hideMark/>
          </w:tcPr>
          <w:p w14:paraId="336423AD" w14:textId="77777777" w:rsidR="00DB2B1C" w:rsidRPr="000415E4" w:rsidRDefault="00DB2B1C" w:rsidP="009E694D">
            <w:pPr>
              <w:pStyle w:val="Paragraph"/>
              <w:spacing w:after="0"/>
            </w:pPr>
            <w:r w:rsidRPr="000415E4">
              <w:t>Benefit</w:t>
            </w:r>
          </w:p>
        </w:tc>
        <w:tc>
          <w:tcPr>
            <w:tcW w:w="1352" w:type="dxa"/>
            <w:noWrap/>
            <w:hideMark/>
          </w:tcPr>
          <w:p w14:paraId="23B98601" w14:textId="77777777" w:rsidR="00DB2B1C" w:rsidRPr="000415E4" w:rsidRDefault="00DB2B1C" w:rsidP="009E694D">
            <w:pPr>
              <w:pStyle w:val="Paragraph"/>
              <w:spacing w:after="0"/>
            </w:pPr>
            <w:r>
              <w:t>R</w:t>
            </w:r>
            <w:r w:rsidRPr="000415E4">
              <w:t>ed</w:t>
            </w:r>
            <w:r>
              <w:t>uced</w:t>
            </w:r>
            <w:r w:rsidRPr="000415E4">
              <w:t xml:space="preserve"> scam calls to business</w:t>
            </w:r>
          </w:p>
        </w:tc>
        <w:tc>
          <w:tcPr>
            <w:tcW w:w="1484" w:type="dxa"/>
            <w:noWrap/>
            <w:hideMark/>
          </w:tcPr>
          <w:p w14:paraId="1F56AC42" w14:textId="77777777" w:rsidR="00DB2B1C" w:rsidRPr="000415E4" w:rsidRDefault="00DB2B1C" w:rsidP="006C1066">
            <w:pPr>
              <w:pStyle w:val="Paragraph"/>
              <w:spacing w:after="0"/>
              <w:jc w:val="right"/>
            </w:pPr>
          </w:p>
        </w:tc>
        <w:tc>
          <w:tcPr>
            <w:tcW w:w="1217" w:type="dxa"/>
            <w:noWrap/>
            <w:hideMark/>
          </w:tcPr>
          <w:p w14:paraId="5B1B15EC" w14:textId="77777777" w:rsidR="00DB2B1C" w:rsidRPr="000415E4" w:rsidRDefault="00DB2B1C" w:rsidP="006C1066">
            <w:pPr>
              <w:pStyle w:val="Paragraph"/>
              <w:spacing w:after="0"/>
              <w:jc w:val="right"/>
            </w:pPr>
            <w:r w:rsidRPr="000415E4">
              <w:t>$165,390</w:t>
            </w:r>
          </w:p>
        </w:tc>
        <w:tc>
          <w:tcPr>
            <w:tcW w:w="1217" w:type="dxa"/>
            <w:noWrap/>
            <w:hideMark/>
          </w:tcPr>
          <w:p w14:paraId="3924F68C" w14:textId="77777777" w:rsidR="00DB2B1C" w:rsidRPr="000415E4" w:rsidRDefault="00DB2B1C" w:rsidP="006C1066">
            <w:pPr>
              <w:pStyle w:val="Paragraph"/>
              <w:spacing w:after="0"/>
              <w:jc w:val="right"/>
            </w:pPr>
            <w:r w:rsidRPr="000415E4">
              <w:t>$248,085</w:t>
            </w:r>
          </w:p>
        </w:tc>
        <w:tc>
          <w:tcPr>
            <w:tcW w:w="1699" w:type="dxa"/>
            <w:noWrap/>
          </w:tcPr>
          <w:p w14:paraId="5A131D58" w14:textId="77777777" w:rsidR="00DB2B1C" w:rsidRPr="000415E4" w:rsidRDefault="00DB2B1C" w:rsidP="006C1066">
            <w:pPr>
              <w:pStyle w:val="Paragraph"/>
              <w:spacing w:after="0"/>
              <w:jc w:val="right"/>
            </w:pPr>
            <w:r w:rsidRPr="000415E4">
              <w:t>$578,865</w:t>
            </w:r>
          </w:p>
        </w:tc>
      </w:tr>
      <w:tr w:rsidR="00DB2B1C" w:rsidRPr="000415E4" w14:paraId="1E37EFE1" w14:textId="77777777" w:rsidTr="008819DA">
        <w:trPr>
          <w:trHeight w:val="315"/>
        </w:trPr>
        <w:tc>
          <w:tcPr>
            <w:tcW w:w="2316" w:type="dxa"/>
            <w:gridSpan w:val="2"/>
            <w:shd w:val="clear" w:color="auto" w:fill="F2F2F2" w:themeFill="background1" w:themeFillShade="F2"/>
            <w:noWrap/>
            <w:hideMark/>
          </w:tcPr>
          <w:p w14:paraId="497E9F94" w14:textId="77777777" w:rsidR="00DB2B1C" w:rsidRPr="006C1066" w:rsidRDefault="00DB2B1C" w:rsidP="009E694D">
            <w:pPr>
              <w:pStyle w:val="Paragraph"/>
              <w:spacing w:after="0"/>
              <w:rPr>
                <w:b/>
                <w:bCs/>
              </w:rPr>
            </w:pPr>
            <w:r w:rsidRPr="006C1066">
              <w:rPr>
                <w:b/>
                <w:bCs/>
              </w:rPr>
              <w:t>Net cost/benefit</w:t>
            </w:r>
          </w:p>
        </w:tc>
        <w:tc>
          <w:tcPr>
            <w:tcW w:w="1484" w:type="dxa"/>
            <w:shd w:val="clear" w:color="auto" w:fill="F2F2F2" w:themeFill="background1" w:themeFillShade="F2"/>
            <w:noWrap/>
            <w:hideMark/>
          </w:tcPr>
          <w:p w14:paraId="19BCC74F" w14:textId="495B6306" w:rsidR="00DB2B1C" w:rsidRPr="00015526" w:rsidRDefault="009E694D" w:rsidP="006C1066">
            <w:pPr>
              <w:pStyle w:val="Paragraph"/>
              <w:spacing w:after="0"/>
              <w:jc w:val="right"/>
              <w:rPr>
                <w:b/>
                <w:bCs/>
              </w:rPr>
            </w:pPr>
            <w:r>
              <w:t>–</w:t>
            </w:r>
            <w:r w:rsidR="00DB2B1C" w:rsidRPr="00015526">
              <w:rPr>
                <w:b/>
                <w:bCs/>
              </w:rPr>
              <w:t xml:space="preserve">$35,316,051 </w:t>
            </w:r>
          </w:p>
        </w:tc>
        <w:tc>
          <w:tcPr>
            <w:tcW w:w="1217" w:type="dxa"/>
            <w:shd w:val="clear" w:color="auto" w:fill="F2F2F2" w:themeFill="background1" w:themeFillShade="F2"/>
            <w:noWrap/>
            <w:hideMark/>
          </w:tcPr>
          <w:p w14:paraId="7A36F3AB" w14:textId="77777777" w:rsidR="00DB2B1C" w:rsidRPr="00015526" w:rsidRDefault="00DB2B1C" w:rsidP="006C1066">
            <w:pPr>
              <w:pStyle w:val="Paragraph"/>
              <w:spacing w:after="0"/>
              <w:jc w:val="right"/>
              <w:rPr>
                <w:b/>
                <w:bCs/>
              </w:rPr>
            </w:pPr>
            <w:r w:rsidRPr="00015526">
              <w:rPr>
                <w:b/>
                <w:bCs/>
              </w:rPr>
              <w:t>$5,278,106</w:t>
            </w:r>
          </w:p>
        </w:tc>
        <w:tc>
          <w:tcPr>
            <w:tcW w:w="1217" w:type="dxa"/>
            <w:shd w:val="clear" w:color="auto" w:fill="F2F2F2" w:themeFill="background1" w:themeFillShade="F2"/>
            <w:noWrap/>
            <w:hideMark/>
          </w:tcPr>
          <w:p w14:paraId="292EDC63" w14:textId="77777777" w:rsidR="00DB2B1C" w:rsidRPr="00015526" w:rsidRDefault="00DB2B1C" w:rsidP="006C1066">
            <w:pPr>
              <w:pStyle w:val="Paragraph"/>
              <w:spacing w:after="0"/>
              <w:jc w:val="right"/>
              <w:rPr>
                <w:b/>
                <w:bCs/>
              </w:rPr>
            </w:pPr>
            <w:r w:rsidRPr="00015526">
              <w:rPr>
                <w:b/>
                <w:bCs/>
              </w:rPr>
              <w:t>$7,932,189</w:t>
            </w:r>
          </w:p>
        </w:tc>
        <w:tc>
          <w:tcPr>
            <w:tcW w:w="1699" w:type="dxa"/>
            <w:shd w:val="clear" w:color="auto" w:fill="F2F2F2" w:themeFill="background1" w:themeFillShade="F2"/>
            <w:noWrap/>
          </w:tcPr>
          <w:p w14:paraId="05C97FC9" w14:textId="77777777" w:rsidR="00DB2B1C" w:rsidRPr="00015526" w:rsidRDefault="00DB2B1C" w:rsidP="006C1066">
            <w:pPr>
              <w:pStyle w:val="Paragraph"/>
              <w:spacing w:after="0"/>
              <w:jc w:val="right"/>
              <w:rPr>
                <w:b/>
                <w:bCs/>
              </w:rPr>
            </w:pPr>
            <w:r w:rsidRPr="00015526">
              <w:rPr>
                <w:b/>
                <w:bCs/>
              </w:rPr>
              <w:t>$17,168,042</w:t>
            </w:r>
          </w:p>
        </w:tc>
      </w:tr>
    </w:tbl>
    <w:p w14:paraId="62FA4482" w14:textId="78062CC2" w:rsidR="00DB2B1C" w:rsidRDefault="009E694D" w:rsidP="00015526">
      <w:pPr>
        <w:pStyle w:val="Tableorfigurenote"/>
      </w:pPr>
      <w:r w:rsidRPr="00B50FF8">
        <w:t>*</w:t>
      </w:r>
      <w:r>
        <w:t xml:space="preserve"> A</w:t>
      </w:r>
      <w:r w:rsidRPr="00B50FF8">
        <w:t>ssumes 7% annual growth in scam calls, and a discount rate of 7%. This table has factored in regulatory costs as detailed in the regulatory burden measurement table</w:t>
      </w:r>
      <w:r>
        <w:t>, which is based on a</w:t>
      </w:r>
      <w:r w:rsidRPr="009C3995">
        <w:t xml:space="preserve"> conservative overestimat</w:t>
      </w:r>
      <w:r>
        <w:t xml:space="preserve">ion </w:t>
      </w:r>
      <w:r w:rsidRPr="009C3995">
        <w:t xml:space="preserve">of the number of C/CSPs </w:t>
      </w:r>
      <w:r>
        <w:t>that</w:t>
      </w:r>
      <w:r w:rsidRPr="009C3995">
        <w:t xml:space="preserve"> will incur regulatory costs</w:t>
      </w:r>
      <w:r>
        <w:t>.</w:t>
      </w:r>
    </w:p>
    <w:p w14:paraId="36230ACA" w14:textId="77777777" w:rsidR="00DB2B1C" w:rsidRPr="00BF41CE" w:rsidRDefault="00DB2B1C" w:rsidP="00DB2B1C">
      <w:pPr>
        <w:pStyle w:val="Heading1"/>
      </w:pPr>
      <w:bookmarkStart w:id="130" w:name="_Toc32833706"/>
      <w:bookmarkStart w:id="131" w:name="_Toc32833752"/>
      <w:bookmarkStart w:id="132" w:name="_Toc32833825"/>
      <w:bookmarkStart w:id="133" w:name="_Toc33176389"/>
      <w:bookmarkStart w:id="134" w:name="_Toc55546925"/>
      <w:bookmarkStart w:id="135" w:name="_Toc56092957"/>
      <w:r w:rsidRPr="00BF41CE">
        <w:lastRenderedPageBreak/>
        <w:t>Who was consulted and what did they say?</w:t>
      </w:r>
      <w:bookmarkEnd w:id="130"/>
      <w:bookmarkEnd w:id="131"/>
      <w:bookmarkEnd w:id="132"/>
      <w:bookmarkEnd w:id="133"/>
      <w:bookmarkEnd w:id="134"/>
      <w:bookmarkEnd w:id="135"/>
    </w:p>
    <w:p w14:paraId="7961BFDF" w14:textId="77777777" w:rsidR="00DB2B1C" w:rsidRPr="00BF41CE" w:rsidRDefault="00DB2B1C" w:rsidP="00DB2B1C">
      <w:pPr>
        <w:pStyle w:val="Heading2"/>
      </w:pPr>
      <w:bookmarkStart w:id="136" w:name="_Toc32833707"/>
      <w:bookmarkStart w:id="137" w:name="_Toc32833753"/>
      <w:bookmarkStart w:id="138" w:name="_Toc32833826"/>
      <w:bookmarkStart w:id="139" w:name="_Toc33176390"/>
      <w:bookmarkStart w:id="140" w:name="_Toc55546926"/>
      <w:bookmarkStart w:id="141" w:name="_Toc56092958"/>
      <w:r w:rsidRPr="00BF41CE">
        <w:t>Consultation</w:t>
      </w:r>
      <w:bookmarkEnd w:id="136"/>
      <w:bookmarkEnd w:id="137"/>
      <w:bookmarkEnd w:id="138"/>
      <w:bookmarkEnd w:id="139"/>
      <w:bookmarkEnd w:id="140"/>
      <w:bookmarkEnd w:id="141"/>
    </w:p>
    <w:p w14:paraId="360ABBB5" w14:textId="77777777" w:rsidR="00DB2B1C" w:rsidRPr="00241529" w:rsidRDefault="00DB2B1C" w:rsidP="006C1066">
      <w:pPr>
        <w:pStyle w:val="Paragraph"/>
      </w:pPr>
      <w:r w:rsidRPr="007572DB">
        <w:t xml:space="preserve">The ACMA has been kept informed by Communications Alliance on industry measures to address </w:t>
      </w:r>
      <w:r>
        <w:t xml:space="preserve">scam calls over time, </w:t>
      </w:r>
      <w:r w:rsidRPr="007572DB">
        <w:t xml:space="preserve">including </w:t>
      </w:r>
      <w:r>
        <w:t>the</w:t>
      </w:r>
      <w:r w:rsidRPr="007572DB">
        <w:t xml:space="preserve"> development of </w:t>
      </w:r>
      <w:r>
        <w:t>a CLI</w:t>
      </w:r>
      <w:r w:rsidRPr="007572DB">
        <w:t xml:space="preserve"> industry guidance note</w:t>
      </w:r>
      <w:r>
        <w:t xml:space="preserve"> and other phone scam mitigation activities.</w:t>
      </w:r>
      <w:r w:rsidRPr="003328F7">
        <w:t xml:space="preserve"> </w:t>
      </w:r>
      <w:r w:rsidRPr="007572DB">
        <w:t xml:space="preserve">The ACMA has regularly sought data to understand the magnitude of the issue and information about any actions taken by carriers to address </w:t>
      </w:r>
      <w:r>
        <w:t>scam calls</w:t>
      </w:r>
      <w:r w:rsidRPr="007572DB">
        <w:t>.</w:t>
      </w:r>
    </w:p>
    <w:p w14:paraId="54CFE598" w14:textId="77777777" w:rsidR="00DB2B1C" w:rsidRDefault="00DB2B1C" w:rsidP="006C1066">
      <w:pPr>
        <w:pStyle w:val="Paragraph"/>
      </w:pPr>
      <w:r w:rsidRPr="00265AFF">
        <w:t>In 2018, 46.8</w:t>
      </w:r>
      <w:r>
        <w:t xml:space="preserve">% </w:t>
      </w:r>
      <w:r w:rsidRPr="00265AFF">
        <w:t>of scam reports concerned phone calls.</w:t>
      </w:r>
      <w:r w:rsidRPr="00265AFF">
        <w:rPr>
          <w:vertAlign w:val="superscript"/>
        </w:rPr>
        <w:footnoteReference w:id="65"/>
      </w:r>
      <w:r w:rsidRPr="00265AFF">
        <w:t xml:space="preserve"> In response to the problem and a request from the then Minister for Communications and the Arts, the ACMA established the cross-agency Scam Technology Project with the ACCC and the ACSC</w:t>
      </w:r>
      <w:r>
        <w:t xml:space="preserve"> </w:t>
      </w:r>
      <w:r w:rsidRPr="00265AFF">
        <w:t>to explore ways to reduce scam activity</w:t>
      </w:r>
      <w:r w:rsidRPr="00C972AF">
        <w:t xml:space="preserve"> over telecommunications networks</w:t>
      </w:r>
      <w:r w:rsidRPr="00265AFF">
        <w:t xml:space="preserve">. </w:t>
      </w:r>
    </w:p>
    <w:p w14:paraId="46A7E610" w14:textId="16615AA9" w:rsidR="00DB2B1C" w:rsidRPr="007B1798" w:rsidRDefault="00DB2B1C" w:rsidP="006C1066">
      <w:pPr>
        <w:pStyle w:val="Paragraph"/>
      </w:pPr>
      <w:r w:rsidRPr="00C972AF">
        <w:t>The project recognised that effective scam reduction at an industry-wide level can only be achieved through industry and regulators working together to develop improved processes and infrastructure that support</w:t>
      </w:r>
      <w:r w:rsidR="009E694D">
        <w:t>s</w:t>
      </w:r>
      <w:r w:rsidRPr="00C972AF">
        <w:t xml:space="preserve"> appropriate sharing of scam data and referral for regulatory or law enforcement action</w:t>
      </w:r>
      <w:r>
        <w:t>.</w:t>
      </w:r>
    </w:p>
    <w:p w14:paraId="3231D898" w14:textId="71C9A941" w:rsidR="00DB2B1C" w:rsidRDefault="00DB2B1C" w:rsidP="006C1066">
      <w:pPr>
        <w:pStyle w:val="Paragraph"/>
        <w:rPr>
          <w:szCs w:val="20"/>
        </w:rPr>
      </w:pPr>
      <w:r>
        <w:rPr>
          <w:szCs w:val="20"/>
        </w:rPr>
        <w:t xml:space="preserve">In </w:t>
      </w:r>
      <w:r w:rsidRPr="00265AFF">
        <w:rPr>
          <w:szCs w:val="20"/>
        </w:rPr>
        <w:t xml:space="preserve">March 2019, a public </w:t>
      </w:r>
      <w:hyperlink r:id="rId39" w:anchor="consultation-documents" w:history="1">
        <w:r w:rsidRPr="00265AFF">
          <w:rPr>
            <w:color w:val="0000FF"/>
            <w:szCs w:val="20"/>
            <w:u w:val="single" w:color="0000FF"/>
          </w:rPr>
          <w:t>discussion paper</w:t>
        </w:r>
      </w:hyperlink>
      <w:r w:rsidRPr="00265AFF">
        <w:rPr>
          <w:szCs w:val="20"/>
        </w:rPr>
        <w:t xml:space="preserve"> was released and extensive targeted consultation with key stakeholders occurred. </w:t>
      </w:r>
      <w:r>
        <w:rPr>
          <w:szCs w:val="20"/>
        </w:rPr>
        <w:t xml:space="preserve">Through </w:t>
      </w:r>
      <w:r w:rsidRPr="008F5F06">
        <w:rPr>
          <w:szCs w:val="20"/>
        </w:rPr>
        <w:t>consultation,</w:t>
      </w:r>
      <w:r>
        <w:rPr>
          <w:szCs w:val="20"/>
        </w:rPr>
        <w:t xml:space="preserve"> the ACMA</w:t>
      </w:r>
      <w:r w:rsidRPr="008F5F06">
        <w:rPr>
          <w:szCs w:val="20"/>
        </w:rPr>
        <w:t xml:space="preserve"> found several specific initiatives and mechanisms that c</w:t>
      </w:r>
      <w:r>
        <w:rPr>
          <w:szCs w:val="20"/>
        </w:rPr>
        <w:t>ould</w:t>
      </w:r>
      <w:r w:rsidRPr="008F5F06">
        <w:rPr>
          <w:szCs w:val="20"/>
        </w:rPr>
        <w:t xml:space="preserve"> potentially identify offshore illegitimate traffic to facilitate blocking by</w:t>
      </w:r>
      <w:r>
        <w:rPr>
          <w:szCs w:val="20"/>
        </w:rPr>
        <w:t xml:space="preserve"> C/CSPs.</w:t>
      </w:r>
    </w:p>
    <w:p w14:paraId="3D4EFE75" w14:textId="1F81012A" w:rsidR="00DB2B1C" w:rsidRDefault="00DB2B1C" w:rsidP="006C1066">
      <w:pPr>
        <w:pStyle w:val="Paragraph"/>
      </w:pPr>
      <w:r w:rsidRPr="007B1798">
        <w:t xml:space="preserve">Submissions informed and shaped the Scam Technology Project and in November 2019, the </w:t>
      </w:r>
      <w:r w:rsidRPr="007B1798">
        <w:rPr>
          <w:iCs/>
          <w:u w:color="0000FF"/>
        </w:rPr>
        <w:t>Minister for Communications, Cyber Safety and the Arts</w:t>
      </w:r>
      <w:r w:rsidRPr="007B1798">
        <w:t xml:space="preserve"> signed off on the project’s </w:t>
      </w:r>
      <w:hyperlink r:id="rId40" w:history="1">
        <w:r w:rsidRPr="007B1798">
          <w:rPr>
            <w:rStyle w:val="Hyperlink"/>
            <w:i/>
            <w:szCs w:val="20"/>
          </w:rPr>
          <w:t>Combating scams action plan</w:t>
        </w:r>
      </w:hyperlink>
      <w:r w:rsidRPr="007B1798">
        <w:t xml:space="preserve">. </w:t>
      </w:r>
      <w:r>
        <w:t>T</w:t>
      </w:r>
      <w:r w:rsidRPr="00930BE0">
        <w:t xml:space="preserve">he </w:t>
      </w:r>
      <w:r w:rsidR="009E694D">
        <w:t>3</w:t>
      </w:r>
      <w:r w:rsidRPr="00930BE0">
        <w:t>-point action plan</w:t>
      </w:r>
      <w:r>
        <w:t xml:space="preserve"> included </w:t>
      </w:r>
      <w:r w:rsidRPr="00930BE0">
        <w:t>form</w:t>
      </w:r>
      <w:r>
        <w:t>ing</w:t>
      </w:r>
      <w:r w:rsidRPr="00930BE0">
        <w:t xml:space="preserve"> a joint government-industry taskforce</w:t>
      </w:r>
      <w:r w:rsidR="009E694D">
        <w:t>,</w:t>
      </w:r>
      <w:r w:rsidRPr="00930BE0">
        <w:t xml:space="preserve"> develop</w:t>
      </w:r>
      <w:r>
        <w:t>ing</w:t>
      </w:r>
      <w:r w:rsidRPr="00930BE0">
        <w:t xml:space="preserve"> new enforceable obligations and immediately trial</w:t>
      </w:r>
      <w:r>
        <w:t>ling</w:t>
      </w:r>
      <w:r w:rsidRPr="00930BE0">
        <w:t xml:space="preserve"> new scam reduction initiatives</w:t>
      </w:r>
      <w:r>
        <w:t>.</w:t>
      </w:r>
    </w:p>
    <w:p w14:paraId="1A84B409" w14:textId="7ED509EB" w:rsidR="00DB2B1C" w:rsidRPr="00713BCD" w:rsidRDefault="00DB2B1C" w:rsidP="006C1066">
      <w:pPr>
        <w:pStyle w:val="Paragraph"/>
        <w:rPr>
          <w:szCs w:val="20"/>
        </w:rPr>
      </w:pPr>
      <w:r>
        <w:t>F</w:t>
      </w:r>
      <w:r w:rsidRPr="00194E8F">
        <w:t>ollowing the release of the action plan</w:t>
      </w:r>
      <w:r>
        <w:t xml:space="preserve">, the </w:t>
      </w:r>
      <w:r w:rsidRPr="00194E8F">
        <w:t>S</w:t>
      </w:r>
      <w:r>
        <w:t xml:space="preserve">cam </w:t>
      </w:r>
      <w:r w:rsidRPr="00194E8F">
        <w:t>T</w:t>
      </w:r>
      <w:r>
        <w:t xml:space="preserve">echnology </w:t>
      </w:r>
      <w:r w:rsidRPr="00194E8F">
        <w:t>A</w:t>
      </w:r>
      <w:r>
        <w:t xml:space="preserve">ction </w:t>
      </w:r>
      <w:r w:rsidRPr="00194E8F">
        <w:t>T</w:t>
      </w:r>
      <w:r>
        <w:t xml:space="preserve">askforce (STAT) was established to take </w:t>
      </w:r>
      <w:r w:rsidRPr="00713BCD">
        <w:t>on responsibility for</w:t>
      </w:r>
      <w:r w:rsidRPr="00194E8F">
        <w:t xml:space="preserve"> actions on telecommunications scams</w:t>
      </w:r>
      <w:r>
        <w:t>. Chaired</w:t>
      </w:r>
      <w:r w:rsidRPr="00194E8F">
        <w:t xml:space="preserve"> by the ACMA</w:t>
      </w:r>
      <w:r>
        <w:t>, STAT</w:t>
      </w:r>
      <w:r w:rsidRPr="00194E8F">
        <w:t xml:space="preserve"> includes members from government (the ACCC</w:t>
      </w:r>
      <w:r w:rsidR="006B40D3">
        <w:t>,</w:t>
      </w:r>
      <w:r w:rsidRPr="00194E8F">
        <w:t xml:space="preserve"> </w:t>
      </w:r>
      <w:r>
        <w:t xml:space="preserve">ACSC and </w:t>
      </w:r>
      <w:r w:rsidRPr="00194E8F">
        <w:t>the Department of Infrastructure, Transport, Regional Development and Communications) as well as Communications Alliance (and its members). Other relevant parties such as law enforcement, government agencies and financial institutions with observer status also participate where issues are relevant to them.</w:t>
      </w:r>
    </w:p>
    <w:p w14:paraId="6FFB7577" w14:textId="77777777" w:rsidR="00DB2B1C" w:rsidRPr="007572DB" w:rsidRDefault="00DB2B1C" w:rsidP="006C1066">
      <w:pPr>
        <w:pStyle w:val="Paragraph"/>
      </w:pPr>
      <w:r w:rsidRPr="007572DB">
        <w:t xml:space="preserve">The ACMA met with </w:t>
      </w:r>
      <w:r>
        <w:t xml:space="preserve">Communications Alliance </w:t>
      </w:r>
      <w:r w:rsidRPr="007572DB">
        <w:t xml:space="preserve">to better understand existing industry practices and how they could be reflected in an industry </w:t>
      </w:r>
      <w:r>
        <w:t>code</w:t>
      </w:r>
      <w:r w:rsidRPr="007572DB">
        <w:t xml:space="preserve">. The ACMA has similarly engaged with IDCARE and the Australian Communications Consumer Action Network (ACCAN) to understand their view of the problem. </w:t>
      </w:r>
    </w:p>
    <w:p w14:paraId="1CD638EA" w14:textId="77777777" w:rsidR="00DB2B1C" w:rsidRPr="00BF41CE" w:rsidRDefault="00DB2B1C" w:rsidP="00DB2B1C">
      <w:pPr>
        <w:pStyle w:val="Heading3"/>
        <w:rPr>
          <w:rFonts w:eastAsia="Calibri"/>
        </w:rPr>
      </w:pPr>
      <w:bookmarkStart w:id="142" w:name="_Toc55546927"/>
      <w:bookmarkStart w:id="143" w:name="_Toc56092959"/>
      <w:r w:rsidRPr="00BF41CE">
        <w:rPr>
          <w:rFonts w:eastAsia="Calibri"/>
        </w:rPr>
        <w:t>Release of industry code for public comment</w:t>
      </w:r>
      <w:bookmarkEnd w:id="142"/>
      <w:bookmarkEnd w:id="143"/>
    </w:p>
    <w:p w14:paraId="61522506" w14:textId="77777777" w:rsidR="00DB2B1C" w:rsidRDefault="00DB2B1C" w:rsidP="006C1066">
      <w:pPr>
        <w:pStyle w:val="Paragraph"/>
      </w:pPr>
      <w:r w:rsidRPr="00156902">
        <w:t>In September 2019, C</w:t>
      </w:r>
      <w:r>
        <w:t>ommunications Alliance</w:t>
      </w:r>
      <w:r w:rsidRPr="00156902">
        <w:t xml:space="preserve"> </w:t>
      </w:r>
      <w:r>
        <w:t xml:space="preserve">commenced work on developing an industry code and </w:t>
      </w:r>
      <w:r w:rsidRPr="00156902">
        <w:t xml:space="preserve">convened a working committee comprising </w:t>
      </w:r>
      <w:r>
        <w:t>carriers and carriage service providers. A code</w:t>
      </w:r>
      <w:r w:rsidRPr="00156902">
        <w:t xml:space="preserve">, when registered by the ACMA, would place enforceable obligations on </w:t>
      </w:r>
      <w:r>
        <w:t>C/CSPs</w:t>
      </w:r>
      <w:r w:rsidRPr="00156902">
        <w:t xml:space="preserve"> to identify, trace and block scam calls. </w:t>
      </w:r>
      <w:r>
        <w:t>It also looked at introducing d</w:t>
      </w:r>
      <w:r w:rsidRPr="00156902">
        <w:t xml:space="preserve">isruptive measures through the code </w:t>
      </w:r>
      <w:r>
        <w:t>which are</w:t>
      </w:r>
      <w:r w:rsidRPr="00156902">
        <w:t xml:space="preserve"> expected to reduce the </w:t>
      </w:r>
      <w:r w:rsidRPr="00156902">
        <w:lastRenderedPageBreak/>
        <w:t>number of scam calls reaching Australian consumers and help identify scam activity for referral to enforcement agencies.</w:t>
      </w:r>
      <w:r w:rsidRPr="00720A9E">
        <w:t xml:space="preserve"> </w:t>
      </w:r>
    </w:p>
    <w:p w14:paraId="276343FA" w14:textId="292D406F" w:rsidR="00DB2B1C" w:rsidRDefault="006B40D3" w:rsidP="006C1066">
      <w:pPr>
        <w:pStyle w:val="Paragraph"/>
      </w:pPr>
      <w:r>
        <w:t xml:space="preserve">In </w:t>
      </w:r>
      <w:r w:rsidR="00DB2B1C">
        <w:t>March</w:t>
      </w:r>
      <w:r>
        <w:t xml:space="preserve"> 2020,</w:t>
      </w:r>
      <w:r w:rsidR="00DB2B1C">
        <w:t xml:space="preserve"> </w:t>
      </w:r>
      <w:r>
        <w:t>Communications Alliance</w:t>
      </w:r>
      <w:r w:rsidR="00DB2B1C" w:rsidRPr="00156902">
        <w:t xml:space="preserve"> released a draft </w:t>
      </w:r>
      <w:r w:rsidR="00DB2B1C" w:rsidRPr="00156902">
        <w:rPr>
          <w:i/>
        </w:rPr>
        <w:t>Reducing Scam Calls</w:t>
      </w:r>
      <w:r w:rsidR="00DB2B1C" w:rsidRPr="00156902">
        <w:t xml:space="preserve"> code for public comment </w:t>
      </w:r>
      <w:r w:rsidR="00DB2B1C">
        <w:t xml:space="preserve">with </w:t>
      </w:r>
      <w:r w:rsidR="00DB2B1C" w:rsidRPr="00156902">
        <w:t>submissions clos</w:t>
      </w:r>
      <w:r w:rsidR="00DB2B1C">
        <w:t>ing</w:t>
      </w:r>
      <w:r w:rsidR="00DB2B1C" w:rsidRPr="00156902">
        <w:t xml:space="preserve"> </w:t>
      </w:r>
      <w:r w:rsidR="008F6273">
        <w:t>in</w:t>
      </w:r>
      <w:r w:rsidR="00DB2B1C" w:rsidRPr="00156902">
        <w:t xml:space="preserve"> May.</w:t>
      </w:r>
      <w:r w:rsidR="00B304DD">
        <w:t xml:space="preserve"> </w:t>
      </w:r>
      <w:r w:rsidR="00DB2B1C">
        <w:t xml:space="preserve">The draft code was published on </w:t>
      </w:r>
      <w:r>
        <w:t>their</w:t>
      </w:r>
      <w:r w:rsidR="00DB2B1C">
        <w:t xml:space="preserve"> website and promoted through industry and government channels</w:t>
      </w:r>
      <w:r>
        <w:t>, mainstream</w:t>
      </w:r>
      <w:r w:rsidR="00DB2B1C">
        <w:t xml:space="preserve"> media and social media. </w:t>
      </w:r>
    </w:p>
    <w:p w14:paraId="26339DC5" w14:textId="7AC9D118" w:rsidR="00DB2B1C" w:rsidRDefault="00DB2B1C" w:rsidP="00DB2B1C">
      <w:pPr>
        <w:rPr>
          <w:rFonts w:cs="Arial"/>
        </w:rPr>
      </w:pPr>
      <w:r>
        <w:rPr>
          <w:rFonts w:cs="Arial"/>
        </w:rPr>
        <w:t>To register a code, the ACMA must be satisfied that Communications Alliance has consulted as per section 117 of the Act. Communications Alliance</w:t>
      </w:r>
      <w:r w:rsidRPr="003B6AA9">
        <w:rPr>
          <w:rFonts w:cs="Arial"/>
        </w:rPr>
        <w:t xml:space="preserve"> is required to consult with the ACCC, </w:t>
      </w:r>
      <w:r w:rsidR="006B40D3">
        <w:rPr>
          <w:rFonts w:cs="Arial"/>
        </w:rPr>
        <w:t xml:space="preserve">the </w:t>
      </w:r>
      <w:r w:rsidR="006B40D3" w:rsidRPr="006B40D3">
        <w:rPr>
          <w:rFonts w:cs="Arial"/>
        </w:rPr>
        <w:t xml:space="preserve">Office of the Australian Information Commissioner </w:t>
      </w:r>
      <w:r w:rsidR="006B40D3">
        <w:rPr>
          <w:rFonts w:cs="Arial"/>
        </w:rPr>
        <w:t>(</w:t>
      </w:r>
      <w:r w:rsidRPr="003B6AA9">
        <w:rPr>
          <w:rFonts w:cs="Arial"/>
        </w:rPr>
        <w:t>OAIC</w:t>
      </w:r>
      <w:r w:rsidR="006B40D3">
        <w:rPr>
          <w:rFonts w:cs="Arial"/>
        </w:rPr>
        <w:t>)</w:t>
      </w:r>
      <w:r w:rsidRPr="003B6AA9">
        <w:rPr>
          <w:rFonts w:cs="Arial"/>
        </w:rPr>
        <w:t xml:space="preserve">, </w:t>
      </w:r>
      <w:r w:rsidR="006B40D3">
        <w:rPr>
          <w:rFonts w:cs="Arial"/>
        </w:rPr>
        <w:t xml:space="preserve">the </w:t>
      </w:r>
      <w:r w:rsidR="006B40D3" w:rsidRPr="000A35F2">
        <w:t>Telecommunications Industry Ombudsman</w:t>
      </w:r>
      <w:r w:rsidR="006B40D3" w:rsidRPr="003B6AA9">
        <w:rPr>
          <w:rFonts w:cs="Arial"/>
        </w:rPr>
        <w:t xml:space="preserve"> </w:t>
      </w:r>
      <w:r w:rsidR="006B40D3">
        <w:rPr>
          <w:rFonts w:cs="Arial"/>
        </w:rPr>
        <w:t>(</w:t>
      </w:r>
      <w:r w:rsidRPr="003B6AA9">
        <w:rPr>
          <w:rFonts w:cs="Arial"/>
        </w:rPr>
        <w:t>TIO</w:t>
      </w:r>
      <w:r w:rsidR="006B40D3">
        <w:rPr>
          <w:rFonts w:cs="Arial"/>
        </w:rPr>
        <w:t>)</w:t>
      </w:r>
      <w:r w:rsidRPr="003B6AA9">
        <w:rPr>
          <w:rFonts w:cs="Arial"/>
        </w:rPr>
        <w:t xml:space="preserve"> and at least one body or association that represents the interests of consumers has been consulted about the development of the code</w:t>
      </w:r>
      <w:r>
        <w:rPr>
          <w:rFonts w:cs="Arial"/>
        </w:rPr>
        <w:t xml:space="preserve"> – </w:t>
      </w:r>
      <w:r w:rsidRPr="003B6AA9">
        <w:rPr>
          <w:rFonts w:cs="Arial"/>
        </w:rPr>
        <w:t>ACCAN.</w:t>
      </w:r>
      <w:r>
        <w:rPr>
          <w:rFonts w:cs="Arial"/>
        </w:rPr>
        <w:t xml:space="preserve"> </w:t>
      </w:r>
      <w:r w:rsidRPr="003B6AA9">
        <w:rPr>
          <w:rFonts w:cs="Arial"/>
        </w:rPr>
        <w:t>C</w:t>
      </w:r>
      <w:r w:rsidRPr="00AF6135">
        <w:rPr>
          <w:rFonts w:cs="Arial"/>
        </w:rPr>
        <w:t xml:space="preserve">ommunications Alliance </w:t>
      </w:r>
      <w:r w:rsidRPr="003B6AA9">
        <w:rPr>
          <w:rFonts w:cs="Arial"/>
        </w:rPr>
        <w:t xml:space="preserve">provided </w:t>
      </w:r>
      <w:r>
        <w:rPr>
          <w:rFonts w:cs="Arial"/>
        </w:rPr>
        <w:t>evidence to the ACMA</w:t>
      </w:r>
      <w:r w:rsidRPr="003B6AA9">
        <w:rPr>
          <w:rFonts w:cs="Arial"/>
        </w:rPr>
        <w:t xml:space="preserve"> </w:t>
      </w:r>
      <w:r w:rsidRPr="00AF6135">
        <w:rPr>
          <w:rFonts w:cs="Arial"/>
        </w:rPr>
        <w:t xml:space="preserve">to </w:t>
      </w:r>
      <w:r w:rsidRPr="003B6AA9">
        <w:rPr>
          <w:rFonts w:cs="Arial"/>
        </w:rPr>
        <w:t xml:space="preserve">substantiate that appropriate consultation was undertaken with ACCAN, the ACCC, OAIC and </w:t>
      </w:r>
      <w:r w:rsidR="006B40D3">
        <w:rPr>
          <w:rFonts w:cs="Arial"/>
        </w:rPr>
        <w:t xml:space="preserve">the </w:t>
      </w:r>
      <w:r w:rsidRPr="003B6AA9">
        <w:rPr>
          <w:rFonts w:cs="Arial"/>
        </w:rPr>
        <w:t>TIO.</w:t>
      </w:r>
      <w:r w:rsidRPr="00A264EE">
        <w:rPr>
          <w:rFonts w:cs="Arial"/>
        </w:rPr>
        <w:t xml:space="preserve"> </w:t>
      </w:r>
    </w:p>
    <w:p w14:paraId="25386124" w14:textId="77777777" w:rsidR="00DB2B1C" w:rsidRPr="00AF6135" w:rsidRDefault="00DB2B1C" w:rsidP="00DB2B1C">
      <w:pPr>
        <w:rPr>
          <w:rFonts w:cs="Arial"/>
        </w:rPr>
      </w:pPr>
      <w:r>
        <w:rPr>
          <w:rFonts w:cs="Arial"/>
        </w:rPr>
        <w:t>As per section 117 of the Act, t</w:t>
      </w:r>
      <w:r w:rsidRPr="00207414">
        <w:rPr>
          <w:rFonts w:cs="Arial"/>
        </w:rPr>
        <w:t>he ACMA must also consult with the OAIC that it is satisfied with the code</w:t>
      </w:r>
      <w:r>
        <w:rPr>
          <w:rFonts w:cs="Arial"/>
        </w:rPr>
        <w:t xml:space="preserve"> – </w:t>
      </w:r>
      <w:r w:rsidRPr="00207414">
        <w:rPr>
          <w:rFonts w:cs="Arial"/>
        </w:rPr>
        <w:t xml:space="preserve">particularly if it deals with matters under the </w:t>
      </w:r>
      <w:r w:rsidRPr="00207414">
        <w:rPr>
          <w:rFonts w:cs="Arial"/>
          <w:i/>
          <w:iCs/>
        </w:rPr>
        <w:t>Privacy Act 1988</w:t>
      </w:r>
      <w:r w:rsidRPr="00207414">
        <w:rPr>
          <w:rFonts w:cs="Arial"/>
        </w:rPr>
        <w:t>.</w:t>
      </w:r>
      <w:r w:rsidRPr="00A264EE">
        <w:rPr>
          <w:rFonts w:cs="Arial"/>
        </w:rPr>
        <w:t xml:space="preserve"> </w:t>
      </w:r>
      <w:r>
        <w:rPr>
          <w:rFonts w:cs="Arial"/>
        </w:rPr>
        <w:t xml:space="preserve"> The ACMA consulted OAIC and received confirmation that OAIC was satisfied with the code.</w:t>
      </w:r>
    </w:p>
    <w:p w14:paraId="7EF35BFF" w14:textId="77777777" w:rsidR="00DB2B1C" w:rsidRPr="00156902" w:rsidRDefault="00DB2B1C" w:rsidP="00DB2B1C">
      <w:pPr>
        <w:rPr>
          <w:rFonts w:cs="Arial"/>
        </w:rPr>
      </w:pPr>
      <w:r>
        <w:rPr>
          <w:rFonts w:cs="Arial"/>
        </w:rPr>
        <w:t>The ACMA is satisfied that Communications Alliance met its consultation requirements as per section 117 of the Act.</w:t>
      </w:r>
    </w:p>
    <w:p w14:paraId="591D2F22" w14:textId="77777777" w:rsidR="00DB2B1C" w:rsidRPr="00BF41CE" w:rsidRDefault="00DB2B1C" w:rsidP="00DB2B1C">
      <w:pPr>
        <w:pStyle w:val="Heading3"/>
      </w:pPr>
      <w:bookmarkStart w:id="144" w:name="_Toc32833709"/>
      <w:bookmarkStart w:id="145" w:name="_Toc32833754"/>
      <w:bookmarkStart w:id="146" w:name="_Toc32833827"/>
      <w:bookmarkStart w:id="147" w:name="_Toc33176392"/>
      <w:bookmarkStart w:id="148" w:name="_Toc55546928"/>
      <w:bookmarkStart w:id="149" w:name="_Toc56092960"/>
      <w:r w:rsidRPr="00BF41CE">
        <w:t>Summary of stakeholder feedback</w:t>
      </w:r>
      <w:bookmarkEnd w:id="144"/>
      <w:bookmarkEnd w:id="145"/>
      <w:bookmarkEnd w:id="146"/>
      <w:bookmarkEnd w:id="147"/>
      <w:bookmarkEnd w:id="148"/>
      <w:bookmarkEnd w:id="149"/>
    </w:p>
    <w:p w14:paraId="4FA621F6" w14:textId="77777777" w:rsidR="00DB2B1C" w:rsidRDefault="00DB2B1C" w:rsidP="00DB2B1C">
      <w:r w:rsidRPr="00156902">
        <w:rPr>
          <w:rFonts w:cs="Arial"/>
        </w:rPr>
        <w:t xml:space="preserve">Seven submissions were received in response to the draft code. </w:t>
      </w:r>
      <w:r>
        <w:rPr>
          <w:rFonts w:cs="Arial"/>
        </w:rPr>
        <w:t>All submissions supported an industry code being made to address scam calls.</w:t>
      </w:r>
    </w:p>
    <w:p w14:paraId="3371C8D0" w14:textId="77777777" w:rsidR="00DB2B1C" w:rsidRPr="00156902" w:rsidRDefault="00DB2B1C" w:rsidP="006C1066">
      <w:pPr>
        <w:pStyle w:val="Paragraphbeforelist"/>
      </w:pPr>
      <w:r w:rsidRPr="00156902">
        <w:t>Key submission themes included:</w:t>
      </w:r>
    </w:p>
    <w:p w14:paraId="2F31A35D" w14:textId="4CB504BE" w:rsidR="00DB2B1C" w:rsidRPr="00156902" w:rsidRDefault="006B40D3" w:rsidP="006C1066">
      <w:pPr>
        <w:pStyle w:val="Bulletlevel1"/>
        <w:rPr>
          <w:rFonts w:eastAsia="Calibri"/>
          <w:lang w:eastAsia="en-US"/>
        </w:rPr>
      </w:pPr>
      <w:r>
        <w:rPr>
          <w:rFonts w:eastAsia="Calibri"/>
          <w:lang w:eastAsia="en-US"/>
        </w:rPr>
        <w:t>c</w:t>
      </w:r>
      <w:r w:rsidR="00DB2B1C" w:rsidRPr="00156902">
        <w:rPr>
          <w:rFonts w:eastAsia="Calibri"/>
          <w:lang w:eastAsia="en-US"/>
        </w:rPr>
        <w:t>larification of the objectives of the code</w:t>
      </w:r>
    </w:p>
    <w:p w14:paraId="1E54EB6C" w14:textId="5783CA9C" w:rsidR="00DB2B1C" w:rsidRPr="00156902" w:rsidRDefault="006B40D3" w:rsidP="006C1066">
      <w:pPr>
        <w:pStyle w:val="Bulletlevel1"/>
        <w:rPr>
          <w:rFonts w:eastAsia="Calibri"/>
          <w:lang w:eastAsia="en-US"/>
        </w:rPr>
      </w:pPr>
      <w:r>
        <w:rPr>
          <w:rFonts w:eastAsia="Calibri"/>
          <w:lang w:eastAsia="en-US"/>
        </w:rPr>
        <w:t>p</w:t>
      </w:r>
      <w:r w:rsidR="00DB2B1C" w:rsidRPr="00156902">
        <w:rPr>
          <w:rFonts w:eastAsia="Calibri"/>
          <w:lang w:eastAsia="en-US"/>
        </w:rPr>
        <w:t xml:space="preserve">ractical technical amendments suggested by </w:t>
      </w:r>
      <w:r w:rsidR="00DB2B1C">
        <w:rPr>
          <w:rFonts w:eastAsia="Calibri"/>
          <w:lang w:eastAsia="en-US"/>
        </w:rPr>
        <w:t>C/CSP</w:t>
      </w:r>
      <w:r w:rsidR="00DB2B1C" w:rsidRPr="00156902">
        <w:rPr>
          <w:rFonts w:eastAsia="Calibri"/>
          <w:lang w:eastAsia="en-US"/>
        </w:rPr>
        <w:t>s</w:t>
      </w:r>
    </w:p>
    <w:p w14:paraId="3AD85066" w14:textId="7600977D" w:rsidR="00DB2B1C" w:rsidRPr="00156902" w:rsidRDefault="006B40D3" w:rsidP="006C1066">
      <w:pPr>
        <w:pStyle w:val="Bulletlevel1"/>
        <w:rPr>
          <w:rFonts w:eastAsia="Calibri"/>
          <w:lang w:eastAsia="en-US"/>
        </w:rPr>
      </w:pPr>
      <w:r>
        <w:rPr>
          <w:rFonts w:eastAsia="Calibri"/>
          <w:lang w:eastAsia="en-US"/>
        </w:rPr>
        <w:t>t</w:t>
      </w:r>
      <w:r w:rsidR="00DB2B1C" w:rsidRPr="00156902">
        <w:rPr>
          <w:rFonts w:eastAsia="Calibri"/>
          <w:lang w:eastAsia="en-US"/>
        </w:rPr>
        <w:t>imeframe</w:t>
      </w:r>
      <w:r w:rsidR="004448CD">
        <w:rPr>
          <w:rFonts w:eastAsia="Calibri"/>
          <w:lang w:eastAsia="en-US"/>
        </w:rPr>
        <w:t>s</w:t>
      </w:r>
      <w:r w:rsidR="00DB2B1C" w:rsidRPr="00156902">
        <w:rPr>
          <w:rFonts w:eastAsia="Calibri"/>
          <w:lang w:eastAsia="en-US"/>
        </w:rPr>
        <w:t xml:space="preserve"> for actions in the code</w:t>
      </w:r>
    </w:p>
    <w:p w14:paraId="17911B72" w14:textId="0FC087EE" w:rsidR="00DB2B1C" w:rsidRPr="00156902" w:rsidRDefault="006B40D3" w:rsidP="006C1066">
      <w:pPr>
        <w:pStyle w:val="Bulletlevel1"/>
        <w:rPr>
          <w:rFonts w:eastAsia="Calibri"/>
          <w:lang w:eastAsia="en-US"/>
        </w:rPr>
      </w:pPr>
      <w:r>
        <w:rPr>
          <w:rFonts w:eastAsia="Calibri"/>
          <w:lang w:eastAsia="en-US"/>
        </w:rPr>
        <w:t>r</w:t>
      </w:r>
      <w:r w:rsidR="00DB2B1C" w:rsidRPr="00156902">
        <w:rPr>
          <w:rFonts w:eastAsia="Calibri"/>
          <w:lang w:eastAsia="en-US"/>
        </w:rPr>
        <w:t>ecognition of the importance of:</w:t>
      </w:r>
    </w:p>
    <w:p w14:paraId="34D69558" w14:textId="77777777" w:rsidR="00DB2B1C" w:rsidRPr="00156902" w:rsidRDefault="00DB2B1C" w:rsidP="006C1066">
      <w:pPr>
        <w:pStyle w:val="Bulletlevel2"/>
        <w:rPr>
          <w:rFonts w:eastAsia="Calibri"/>
          <w:lang w:eastAsia="en-US"/>
        </w:rPr>
      </w:pPr>
      <w:r w:rsidRPr="00156902">
        <w:rPr>
          <w:rFonts w:eastAsia="Calibri"/>
          <w:lang w:eastAsia="en-US"/>
        </w:rPr>
        <w:t>information sharing, ideally in a centralised system</w:t>
      </w:r>
    </w:p>
    <w:p w14:paraId="272C1BE6" w14:textId="682B7021" w:rsidR="00DB2B1C" w:rsidRPr="00156902" w:rsidRDefault="00DB2B1C" w:rsidP="006C1066">
      <w:pPr>
        <w:pStyle w:val="Bulletlevel2"/>
        <w:rPr>
          <w:rFonts w:eastAsia="Calibri"/>
          <w:lang w:eastAsia="en-US"/>
        </w:rPr>
      </w:pPr>
      <w:r w:rsidRPr="00156902">
        <w:rPr>
          <w:rFonts w:eastAsia="Calibri"/>
          <w:lang w:eastAsia="en-US"/>
        </w:rPr>
        <w:t>providing consumer awareness information</w:t>
      </w:r>
    </w:p>
    <w:p w14:paraId="6237129B" w14:textId="01DAD6D2" w:rsidR="00DB2B1C" w:rsidRPr="00156902" w:rsidRDefault="00631536" w:rsidP="006C1066">
      <w:pPr>
        <w:pStyle w:val="Bulletlevel1"/>
        <w:rPr>
          <w:rFonts w:eastAsia="Calibri"/>
          <w:lang w:eastAsia="en-US"/>
        </w:rPr>
      </w:pPr>
      <w:r>
        <w:rPr>
          <w:rFonts w:eastAsia="Calibri"/>
          <w:lang w:eastAsia="en-US"/>
        </w:rPr>
        <w:t>s</w:t>
      </w:r>
      <w:r w:rsidR="00DB2B1C" w:rsidRPr="00156902">
        <w:rPr>
          <w:rFonts w:eastAsia="Calibri"/>
          <w:lang w:eastAsia="en-US"/>
        </w:rPr>
        <w:t xml:space="preserve">uggestion that the code </w:t>
      </w:r>
      <w:r w:rsidR="00DF4607" w:rsidRPr="00156902">
        <w:rPr>
          <w:rFonts w:eastAsia="Calibri"/>
          <w:lang w:eastAsia="en-US"/>
        </w:rPr>
        <w:t>contains</w:t>
      </w:r>
      <w:r w:rsidR="00DB2B1C" w:rsidRPr="00156902">
        <w:rPr>
          <w:rFonts w:eastAsia="Calibri"/>
          <w:lang w:eastAsia="en-US"/>
        </w:rPr>
        <w:t xml:space="preserve"> a commitment to combat SMS scams and monitor international best practice scam mitigation strategies</w:t>
      </w:r>
    </w:p>
    <w:p w14:paraId="75D1AC28" w14:textId="354E4E10" w:rsidR="00DB2B1C" w:rsidRDefault="00631536" w:rsidP="006C1066">
      <w:pPr>
        <w:pStyle w:val="Bulletlevel1last"/>
        <w:rPr>
          <w:rFonts w:eastAsia="Calibri"/>
          <w:lang w:eastAsia="en-US"/>
        </w:rPr>
      </w:pPr>
      <w:r>
        <w:rPr>
          <w:rFonts w:eastAsia="Calibri"/>
          <w:lang w:eastAsia="en-US"/>
        </w:rPr>
        <w:t>r</w:t>
      </w:r>
      <w:r w:rsidR="00DB2B1C" w:rsidRPr="00156902">
        <w:rPr>
          <w:rFonts w:eastAsia="Calibri"/>
          <w:lang w:eastAsia="en-US"/>
        </w:rPr>
        <w:t xml:space="preserve">ole of the TIO </w:t>
      </w:r>
      <w:r w:rsidR="004C5680">
        <w:rPr>
          <w:rFonts w:eastAsia="Calibri"/>
          <w:lang w:eastAsia="en-US"/>
        </w:rPr>
        <w:t xml:space="preserve">– for example, </w:t>
      </w:r>
      <w:r w:rsidR="00DB2B1C" w:rsidRPr="00156902">
        <w:rPr>
          <w:rFonts w:eastAsia="Calibri"/>
          <w:lang w:eastAsia="en-US"/>
        </w:rPr>
        <w:t>it may consider obligations under the code when determining a fair and reasonable outcome of a scam complaint.</w:t>
      </w:r>
    </w:p>
    <w:p w14:paraId="62F52056" w14:textId="2F70C224" w:rsidR="00DB2B1C" w:rsidRPr="007572DB" w:rsidRDefault="00DB2B1C" w:rsidP="006C1066">
      <w:pPr>
        <w:pStyle w:val="Paragraph"/>
      </w:pPr>
      <w:r w:rsidRPr="000C6272">
        <w:t xml:space="preserve">The ACMA was represented on the </w:t>
      </w:r>
      <w:r>
        <w:t xml:space="preserve">Communications Alliance </w:t>
      </w:r>
      <w:r w:rsidRPr="000C6272">
        <w:t xml:space="preserve">working committee as an observer. We can attest that the working group considered all submissions made, noting that several matters were subsequently revised within the code, including technical considerations such as the need for consideration of international mobile roaming in the context of legitimate use of </w:t>
      </w:r>
      <w:r w:rsidR="004C5680">
        <w:t>CLI</w:t>
      </w:r>
      <w:r w:rsidRPr="000C6272">
        <w:t>.</w:t>
      </w:r>
      <w:bookmarkStart w:id="150" w:name="_Toc32833710"/>
      <w:bookmarkStart w:id="151" w:name="_Toc32833755"/>
      <w:bookmarkStart w:id="152" w:name="_Toc32833828"/>
    </w:p>
    <w:p w14:paraId="70E67821" w14:textId="77777777" w:rsidR="00DB2B1C" w:rsidRPr="00BF41CE" w:rsidRDefault="00DB2B1C" w:rsidP="00DB2B1C">
      <w:pPr>
        <w:pStyle w:val="Heading1"/>
      </w:pPr>
      <w:bookmarkStart w:id="153" w:name="_Toc33176393"/>
      <w:bookmarkStart w:id="154" w:name="_Toc55546929"/>
      <w:bookmarkStart w:id="155" w:name="_Toc56092961"/>
      <w:r w:rsidRPr="00BF41CE">
        <w:lastRenderedPageBreak/>
        <w:t>What is the best option from those considered?</w:t>
      </w:r>
      <w:bookmarkEnd w:id="150"/>
      <w:bookmarkEnd w:id="151"/>
      <w:bookmarkEnd w:id="152"/>
      <w:bookmarkEnd w:id="153"/>
      <w:bookmarkEnd w:id="154"/>
      <w:bookmarkEnd w:id="155"/>
    </w:p>
    <w:p w14:paraId="549B719D" w14:textId="77777777" w:rsidR="00DB2B1C" w:rsidRDefault="00DB2B1C" w:rsidP="006C1066">
      <w:pPr>
        <w:pStyle w:val="Paragraph"/>
      </w:pPr>
      <w:r w:rsidRPr="00AA0E13">
        <w:t>Scammers are technologically adept, increasingly sophisticated and show no signs of stopping. This emphasises the need for government to encourage practical technological solutions that increase the effectiveness of preventing and disrupting scam call activity on Australian telecommunication networks.</w:t>
      </w:r>
      <w:r>
        <w:t xml:space="preserve"> Enforceable obligations</w:t>
      </w:r>
      <w:r w:rsidRPr="007572DB">
        <w:t xml:space="preserve"> determined under </w:t>
      </w:r>
      <w:r>
        <w:t>Part 6</w:t>
      </w:r>
      <w:r w:rsidRPr="007572DB">
        <w:t xml:space="preserve"> of the Act is the best option</w:t>
      </w:r>
      <w:r>
        <w:t xml:space="preserve"> to reduce the impact from scam calls</w:t>
      </w:r>
      <w:r w:rsidRPr="007572DB">
        <w:t xml:space="preserve"> and has the highest net benefit of options considered. </w:t>
      </w:r>
    </w:p>
    <w:p w14:paraId="6A6275F7" w14:textId="77777777" w:rsidR="00DB2B1C" w:rsidRPr="007572DB" w:rsidRDefault="00DB2B1C" w:rsidP="006C1066">
      <w:pPr>
        <w:pStyle w:val="Paragraph"/>
      </w:pPr>
      <w:r w:rsidRPr="007572DB">
        <w:t xml:space="preserve">Consultation feedback suggests </w:t>
      </w:r>
      <w:r>
        <w:t xml:space="preserve">that enforceable obligations are supported </w:t>
      </w:r>
      <w:r w:rsidRPr="007572DB">
        <w:t xml:space="preserve">by </w:t>
      </w:r>
      <w:r>
        <w:t>C/CSPs</w:t>
      </w:r>
      <w:r w:rsidRPr="007572DB">
        <w:t>, individuals, government, and community organisations.</w:t>
      </w:r>
    </w:p>
    <w:p w14:paraId="5E546E14" w14:textId="77777777" w:rsidR="00DB2B1C" w:rsidRPr="007572DB" w:rsidRDefault="00DB2B1C" w:rsidP="006C1066">
      <w:pPr>
        <w:pStyle w:val="Paragraph"/>
      </w:pPr>
      <w:r>
        <w:t xml:space="preserve">Enforceable obligations </w:t>
      </w:r>
      <w:r w:rsidRPr="007572DB">
        <w:t>also provide more robust protections for customers through consideration of practicable</w:t>
      </w:r>
      <w:r>
        <w:t xml:space="preserve"> and</w:t>
      </w:r>
      <w:r w:rsidRPr="007572DB">
        <w:t xml:space="preserve"> technically feasible </w:t>
      </w:r>
      <w:r>
        <w:t xml:space="preserve">scam disruption </w:t>
      </w:r>
      <w:r w:rsidRPr="007572DB">
        <w:t xml:space="preserve">measures. These protections do not impose undue financial and administrative burdens on </w:t>
      </w:r>
      <w:r>
        <w:t>C/CSPs</w:t>
      </w:r>
      <w:r w:rsidRPr="007572DB">
        <w:t xml:space="preserve"> but</w:t>
      </w:r>
      <w:r>
        <w:t xml:space="preserve"> significantly</w:t>
      </w:r>
      <w:r w:rsidRPr="007572DB">
        <w:t xml:space="preserve"> improve protections</w:t>
      </w:r>
      <w:r>
        <w:t xml:space="preserve"> for the Australian community</w:t>
      </w:r>
      <w:r w:rsidRPr="007572DB">
        <w:t>.</w:t>
      </w:r>
    </w:p>
    <w:p w14:paraId="680FDDF0" w14:textId="6C72A514" w:rsidR="00DB2B1C" w:rsidRPr="007572DB" w:rsidRDefault="00DB2B1C" w:rsidP="006C1066">
      <w:pPr>
        <w:pStyle w:val="Paragraph"/>
      </w:pPr>
      <w:r w:rsidRPr="007572DB">
        <w:t>The status quo has large costs to c</w:t>
      </w:r>
      <w:r>
        <w:t>onsumer</w:t>
      </w:r>
      <w:r w:rsidRPr="007572DB">
        <w:t>s and businesses, posing an unacceptable level of customer harm</w:t>
      </w:r>
      <w:r w:rsidR="004C5680">
        <w:t>,</w:t>
      </w:r>
      <w:r w:rsidRPr="007572DB">
        <w:t xml:space="preserve"> including from ongoing psychological distress and the potential for repeated instances of identity theft.</w:t>
      </w:r>
    </w:p>
    <w:p w14:paraId="43C236E0" w14:textId="1BCC2ED3" w:rsidR="00DB2B1C" w:rsidRDefault="00DB2B1C" w:rsidP="006C1066">
      <w:pPr>
        <w:pStyle w:val="Paragraph"/>
      </w:pPr>
      <w:r w:rsidRPr="007572DB">
        <w:t xml:space="preserve">The </w:t>
      </w:r>
      <w:r>
        <w:t xml:space="preserve">education campaign may provide </w:t>
      </w:r>
      <w:r w:rsidRPr="007572DB">
        <w:t>benefits to c</w:t>
      </w:r>
      <w:r>
        <w:t>onsumers and businesses – from providing information to help empower them to more easily identifying and managing scam calls and reducing financial losses and ongoing psychological distress. H</w:t>
      </w:r>
      <w:r w:rsidRPr="007572DB">
        <w:t xml:space="preserve">owever, it does not match the benefits of </w:t>
      </w:r>
      <w:r>
        <w:t>placing enforceable obligations on providers to ensure consistent practices reduce the impact of scam calls. Additionally, it is noted that the enforceable obligations approach will mandate a level of consumer awareness</w:t>
      </w:r>
      <w:r w:rsidR="004C5680">
        <w:t>-</w:t>
      </w:r>
      <w:r>
        <w:t>raising.</w:t>
      </w:r>
    </w:p>
    <w:p w14:paraId="0CBFFE6E" w14:textId="77777777" w:rsidR="00DB2B1C" w:rsidRDefault="00DB2B1C" w:rsidP="00DB2B1C">
      <w:pPr>
        <w:spacing w:after="160" w:line="259" w:lineRule="auto"/>
      </w:pPr>
      <w:r>
        <w:t>Effective scam call reduction at an industry-wide level will be achieved through government creating enforceable obligations on the telecommunications industry to develop improved processes and infrastructure that supports appropriate sharing of scam data, informed and proactive consumers and consistent practices.</w:t>
      </w:r>
    </w:p>
    <w:p w14:paraId="3C906747" w14:textId="77777777" w:rsidR="00DB2B1C" w:rsidRPr="00BF41CE" w:rsidRDefault="00DB2B1C" w:rsidP="00DB2B1C">
      <w:pPr>
        <w:pStyle w:val="Heading1"/>
      </w:pPr>
      <w:bookmarkStart w:id="156" w:name="_Toc32833711"/>
      <w:bookmarkStart w:id="157" w:name="_Toc32833756"/>
      <w:bookmarkStart w:id="158" w:name="_Toc32833829"/>
      <w:bookmarkStart w:id="159" w:name="_Toc33176394"/>
      <w:bookmarkStart w:id="160" w:name="_Toc55546930"/>
      <w:bookmarkStart w:id="161" w:name="_Toc56092962"/>
      <w:r w:rsidRPr="00BF41CE">
        <w:lastRenderedPageBreak/>
        <w:t>How will you implement and evaluate your chosen option?</w:t>
      </w:r>
      <w:bookmarkEnd w:id="156"/>
      <w:bookmarkEnd w:id="157"/>
      <w:bookmarkEnd w:id="158"/>
      <w:bookmarkEnd w:id="159"/>
      <w:bookmarkEnd w:id="160"/>
      <w:bookmarkEnd w:id="161"/>
    </w:p>
    <w:p w14:paraId="0AD6D3CE" w14:textId="77777777" w:rsidR="00DB2B1C" w:rsidRDefault="00DB2B1C" w:rsidP="00DB2B1C">
      <w:pPr>
        <w:pStyle w:val="Heading2"/>
      </w:pPr>
      <w:bookmarkStart w:id="162" w:name="_Toc32833712"/>
      <w:bookmarkStart w:id="163" w:name="_Toc32833757"/>
      <w:bookmarkStart w:id="164" w:name="_Toc32833830"/>
      <w:bookmarkStart w:id="165" w:name="_Toc33176395"/>
      <w:bookmarkStart w:id="166" w:name="_Toc55546931"/>
      <w:bookmarkStart w:id="167" w:name="_Toc56092963"/>
      <w:r w:rsidRPr="00BF41CE">
        <w:t>Implementation</w:t>
      </w:r>
      <w:bookmarkEnd w:id="162"/>
      <w:bookmarkEnd w:id="163"/>
      <w:bookmarkEnd w:id="164"/>
      <w:bookmarkEnd w:id="165"/>
      <w:bookmarkEnd w:id="166"/>
      <w:bookmarkEnd w:id="167"/>
      <w:r w:rsidRPr="00BF41CE">
        <w:t xml:space="preserve"> </w:t>
      </w:r>
    </w:p>
    <w:p w14:paraId="6E884479" w14:textId="032D0D61" w:rsidR="00DB2B1C" w:rsidRDefault="00DB2B1C" w:rsidP="006C1066">
      <w:pPr>
        <w:pStyle w:val="Paragraph"/>
      </w:pPr>
      <w:r w:rsidRPr="005B7072">
        <w:t>The ACMA</w:t>
      </w:r>
      <w:r>
        <w:t xml:space="preserve"> </w:t>
      </w:r>
      <w:r w:rsidR="004C5680">
        <w:t xml:space="preserve">will </w:t>
      </w:r>
      <w:r>
        <w:t>register an industry code under Part 6 of the Act.</w:t>
      </w:r>
    </w:p>
    <w:p w14:paraId="7CB7D076" w14:textId="26EE5ED3" w:rsidR="00DB2B1C" w:rsidRDefault="00DB2B1C" w:rsidP="006C1066">
      <w:pPr>
        <w:pStyle w:val="Paragraph"/>
      </w:pPr>
      <w:r>
        <w:t xml:space="preserve">An industry code reflects </w:t>
      </w:r>
      <w:r w:rsidRPr="00732330">
        <w:t>industry design and ownership of the</w:t>
      </w:r>
      <w:r>
        <w:t xml:space="preserve"> </w:t>
      </w:r>
      <w:r w:rsidRPr="00732330">
        <w:t>process</w:t>
      </w:r>
      <w:r w:rsidR="004C5680">
        <w:t>,</w:t>
      </w:r>
      <w:r w:rsidRPr="00732330">
        <w:t xml:space="preserve"> including </w:t>
      </w:r>
      <w:r>
        <w:t xml:space="preserve">engaging in </w:t>
      </w:r>
      <w:r w:rsidRPr="00732330">
        <w:t xml:space="preserve">public consultation and </w:t>
      </w:r>
      <w:r>
        <w:t xml:space="preserve">seeking </w:t>
      </w:r>
      <w:r w:rsidRPr="00732330">
        <w:t xml:space="preserve">agreement on technical </w:t>
      </w:r>
      <w:r>
        <w:t xml:space="preserve">or operational </w:t>
      </w:r>
      <w:r w:rsidRPr="00732330">
        <w:t>details.</w:t>
      </w:r>
      <w:r>
        <w:t xml:space="preserve"> It encourages C/CSPs to be co-monitors of good industry-wide performance.</w:t>
      </w:r>
    </w:p>
    <w:p w14:paraId="32C53E79" w14:textId="77777777" w:rsidR="00DB2B1C" w:rsidRDefault="00DB2B1C" w:rsidP="006C1066">
      <w:pPr>
        <w:pStyle w:val="Paragraph"/>
      </w:pPr>
      <w:r>
        <w:t>An industry code provides flexibility for industry to adapt to changing scammer behaviours and adjust monitoring, verifying and tracing activities accordingly to mitigate consumer detriment.</w:t>
      </w:r>
    </w:p>
    <w:p w14:paraId="53FA6852" w14:textId="480DBABD" w:rsidR="00DB2B1C" w:rsidRDefault="00DB2B1C" w:rsidP="006C1066">
      <w:pPr>
        <w:pStyle w:val="Paragraph"/>
      </w:pPr>
      <w:r>
        <w:t>An industry code most appropriately reflects the regulatory policy intent of the Act that telecommunications be regulated in a manner that makes the greatest practical use of industry self-regulation and does not impose undue financial or administrative burdens on participants of the Australian telecommunications industry</w:t>
      </w:r>
      <w:r w:rsidR="004C5680">
        <w:t>,</w:t>
      </w:r>
      <w:r>
        <w:t xml:space="preserve"> while providing appropriate consumer safeguards.</w:t>
      </w:r>
    </w:p>
    <w:p w14:paraId="4880ECC0" w14:textId="7266E29B" w:rsidR="00DB2B1C" w:rsidRPr="005B7072" w:rsidRDefault="00DB2B1C" w:rsidP="006C1066">
      <w:pPr>
        <w:pStyle w:val="Paragraph"/>
      </w:pPr>
      <w:r>
        <w:t xml:space="preserve">The ACMA </w:t>
      </w:r>
      <w:r w:rsidRPr="005B7072">
        <w:t xml:space="preserve">intends to </w:t>
      </w:r>
      <w:r>
        <w:t>engage with</w:t>
      </w:r>
      <w:r w:rsidRPr="005B7072">
        <w:t xml:space="preserve"> </w:t>
      </w:r>
      <w:r>
        <w:t xml:space="preserve">Communications Alliance to </w:t>
      </w:r>
      <w:r w:rsidRPr="00B05CF9">
        <w:t xml:space="preserve">ensure </w:t>
      </w:r>
      <w:r>
        <w:t>C/CSP</w:t>
      </w:r>
      <w:r w:rsidRPr="00B05CF9">
        <w:t>s are aware of the new enforceable obligations</w:t>
      </w:r>
      <w:r>
        <w:t xml:space="preserve">. This may include </w:t>
      </w:r>
      <w:r w:rsidR="004C5680">
        <w:t xml:space="preserve">by </w:t>
      </w:r>
      <w:r w:rsidRPr="005B7072">
        <w:t>provid</w:t>
      </w:r>
      <w:r>
        <w:t>ing</w:t>
      </w:r>
      <w:r w:rsidRPr="005B7072">
        <w:t xml:space="preserve"> additional guidance</w:t>
      </w:r>
      <w:r>
        <w:t xml:space="preserve"> leading up to and</w:t>
      </w:r>
      <w:r w:rsidRPr="005B7072">
        <w:t xml:space="preserve"> following </w:t>
      </w:r>
      <w:r>
        <w:t>the introduction of enforceable obligations</w:t>
      </w:r>
      <w:r w:rsidRPr="005B7072">
        <w:t>.</w:t>
      </w:r>
    </w:p>
    <w:p w14:paraId="15076F39" w14:textId="77777777" w:rsidR="00DB2B1C" w:rsidRPr="00BF41CE" w:rsidRDefault="00DB2B1C" w:rsidP="00DB2B1C">
      <w:pPr>
        <w:pStyle w:val="Heading3"/>
      </w:pPr>
      <w:bookmarkStart w:id="168" w:name="_Toc32833713"/>
      <w:bookmarkStart w:id="169" w:name="_Toc33176396"/>
      <w:bookmarkStart w:id="170" w:name="_Toc55546932"/>
      <w:bookmarkStart w:id="171" w:name="_Toc56092964"/>
      <w:r w:rsidRPr="00BF41CE">
        <w:t>Engagement with stakeholders</w:t>
      </w:r>
      <w:bookmarkEnd w:id="168"/>
      <w:bookmarkEnd w:id="169"/>
      <w:bookmarkEnd w:id="170"/>
      <w:bookmarkEnd w:id="171"/>
    </w:p>
    <w:p w14:paraId="59429FA5" w14:textId="12234CDC" w:rsidR="00DB2B1C" w:rsidRDefault="00DB2B1C" w:rsidP="006C1066">
      <w:pPr>
        <w:pStyle w:val="Paragraph"/>
      </w:pPr>
      <w:r w:rsidRPr="00394612">
        <w:t>The direct driver for the new enforceable obligations is not industry, but third-party malicious actors. This malicious driver creates a need for ongoing flexibility for industry in adoption and delivery of adaptive</w:t>
      </w:r>
      <w:r>
        <w:t xml:space="preserve"> scam disruption</w:t>
      </w:r>
      <w:r w:rsidRPr="00394612">
        <w:t xml:space="preserve"> measures</w:t>
      </w:r>
      <w:r>
        <w:t>. Some C/CSPs</w:t>
      </w:r>
      <w:r w:rsidRPr="007572DB">
        <w:t xml:space="preserve"> have implemented (or are committed to implementing) </w:t>
      </w:r>
      <w:r>
        <w:t xml:space="preserve">scam call disruption measures. Their experience will </w:t>
      </w:r>
      <w:r w:rsidRPr="007572DB">
        <w:t xml:space="preserve">be incorporated into the </w:t>
      </w:r>
      <w:r>
        <w:t xml:space="preserve">design of new enforceable obligations. Consultation can occur through a range of forums including the Communications Alliance working committee, STAT, </w:t>
      </w:r>
      <w:r w:rsidR="00CF098C">
        <w:t xml:space="preserve">and </w:t>
      </w:r>
      <w:r>
        <w:t>public and statutory consultation requirements</w:t>
      </w:r>
      <w:r w:rsidRPr="007572DB">
        <w:t>.</w:t>
      </w:r>
    </w:p>
    <w:p w14:paraId="6BF350C9" w14:textId="70104021" w:rsidR="00DB2B1C" w:rsidRPr="007572DB" w:rsidRDefault="00DB2B1C" w:rsidP="006C1066">
      <w:pPr>
        <w:pStyle w:val="Paragraph"/>
      </w:pPr>
      <w:r>
        <w:t>Enforceable obligations</w:t>
      </w:r>
      <w:r w:rsidRPr="007572DB">
        <w:t xml:space="preserve"> </w:t>
      </w:r>
      <w:r>
        <w:t xml:space="preserve">via a registered industry code are </w:t>
      </w:r>
      <w:r w:rsidRPr="007572DB">
        <w:t xml:space="preserve">drafted with in-built flexibility to allow </w:t>
      </w:r>
      <w:r>
        <w:t>C/CSPs</w:t>
      </w:r>
      <w:r w:rsidRPr="00087B18">
        <w:t xml:space="preserve"> </w:t>
      </w:r>
      <w:r w:rsidRPr="007572DB">
        <w:t xml:space="preserve">choice in methods to </w:t>
      </w:r>
      <w:r w:rsidRPr="00087B18">
        <w:t>implement the new obligations</w:t>
      </w:r>
      <w:r w:rsidRPr="007572DB">
        <w:t xml:space="preserve">. This will minimise the costs of upgrading systems and support entities that have already implemented solutions from the guidance note </w:t>
      </w:r>
      <w:r>
        <w:t xml:space="preserve">or other initiatives </w:t>
      </w:r>
      <w:r w:rsidRPr="007572DB">
        <w:t>to continue implementation or use of their chosen method.</w:t>
      </w:r>
    </w:p>
    <w:p w14:paraId="706F12AC" w14:textId="51DCDF4F" w:rsidR="00DB2B1C" w:rsidRDefault="00DB2B1C" w:rsidP="006C1066">
      <w:pPr>
        <w:pStyle w:val="Paragraph"/>
      </w:pPr>
      <w:r w:rsidRPr="002F1374">
        <w:t xml:space="preserve">Through </w:t>
      </w:r>
      <w:r w:rsidRPr="00B45B69">
        <w:t>STAT</w:t>
      </w:r>
      <w:r w:rsidRPr="002F1374">
        <w:t>, t</w:t>
      </w:r>
      <w:r w:rsidRPr="007572DB">
        <w:t xml:space="preserve">he ACMA will work with </w:t>
      </w:r>
      <w:r>
        <w:t>C/CSPs</w:t>
      </w:r>
      <w:r w:rsidRPr="002F1374">
        <w:t xml:space="preserve"> and other key stakeholders </w:t>
      </w:r>
      <w:r w:rsidRPr="007572DB">
        <w:t>where implementation issues are identified</w:t>
      </w:r>
      <w:r w:rsidRPr="002F1374">
        <w:t xml:space="preserve"> to encourage ongoing best</w:t>
      </w:r>
      <w:r w:rsidR="00CF098C">
        <w:t xml:space="preserve"> </w:t>
      </w:r>
      <w:r w:rsidRPr="002F1374">
        <w:t>practice</w:t>
      </w:r>
      <w:r>
        <w:t xml:space="preserve"> </w:t>
      </w:r>
      <w:r w:rsidRPr="002F1374">
        <w:t>in robust scam call disruption measures.</w:t>
      </w:r>
    </w:p>
    <w:p w14:paraId="702C40CD" w14:textId="77777777" w:rsidR="00DB2B1C" w:rsidRPr="007572DB" w:rsidRDefault="00DB2B1C" w:rsidP="006C1066">
      <w:pPr>
        <w:pStyle w:val="Paragraph"/>
      </w:pPr>
      <w:r>
        <w:t>C</w:t>
      </w:r>
      <w:r w:rsidRPr="007572DB">
        <w:t xml:space="preserve">onsultation </w:t>
      </w:r>
      <w:r>
        <w:t>on the industry code has</w:t>
      </w:r>
      <w:r w:rsidRPr="007572DB">
        <w:t xml:space="preserve"> not indicate</w:t>
      </w:r>
      <w:r>
        <w:t>d</w:t>
      </w:r>
      <w:r w:rsidRPr="007572DB">
        <w:t xml:space="preserve"> any issues with implementation</w:t>
      </w:r>
      <w:r>
        <w:t xml:space="preserve"> as industry has used its own experiences to design obligations. C/CSPs</w:t>
      </w:r>
      <w:r w:rsidRPr="007572DB">
        <w:t xml:space="preserve"> will ensure staff are ready to complete the new processes at the commencement of </w:t>
      </w:r>
      <w:r>
        <w:t>enforceable obligations.</w:t>
      </w:r>
    </w:p>
    <w:p w14:paraId="6CBEDD19" w14:textId="77777777" w:rsidR="00DB2B1C" w:rsidRPr="007572DB" w:rsidRDefault="00DB2B1C" w:rsidP="006C1066">
      <w:pPr>
        <w:pStyle w:val="Paragraph"/>
      </w:pPr>
      <w:r w:rsidRPr="007572DB">
        <w:t xml:space="preserve">Customer awareness and safeguard information is expected to be straightforward to implement, with </w:t>
      </w:r>
      <w:r>
        <w:t>C/CSPs</w:t>
      </w:r>
      <w:r w:rsidRPr="007572DB">
        <w:t xml:space="preserve"> stating they already cover much of the information on their website</w:t>
      </w:r>
      <w:r>
        <w:t>s</w:t>
      </w:r>
      <w:r w:rsidRPr="007572DB">
        <w:t xml:space="preserve"> and would make updates to meet the </w:t>
      </w:r>
      <w:r>
        <w:t>new obligations.</w:t>
      </w:r>
    </w:p>
    <w:p w14:paraId="7135062F" w14:textId="737C8064" w:rsidR="00DB2B1C" w:rsidRPr="000C6272" w:rsidRDefault="00DB2B1C" w:rsidP="00DB2B1C">
      <w:pPr>
        <w:pStyle w:val="Paragraph"/>
      </w:pPr>
      <w:r w:rsidRPr="000C6272">
        <w:lastRenderedPageBreak/>
        <w:t xml:space="preserve">An industry code registered under Part 6 includes an in-built review process. In the case of an industry code to reduce scam calls, the code will be reviewed after </w:t>
      </w:r>
      <w:r w:rsidR="00CF098C">
        <w:t>2</w:t>
      </w:r>
      <w:r w:rsidR="00CF098C" w:rsidRPr="000C6272">
        <w:t xml:space="preserve"> </w:t>
      </w:r>
      <w:r w:rsidRPr="000C6272">
        <w:t xml:space="preserve">years of the </w:t>
      </w:r>
      <w:r>
        <w:t>code</w:t>
      </w:r>
      <w:r w:rsidRPr="000C6272">
        <w:t xml:space="preserve"> being registered by the ACMA and every </w:t>
      </w:r>
      <w:r>
        <w:t>5</w:t>
      </w:r>
      <w:r w:rsidRPr="000C6272">
        <w:t xml:space="preserve"> years </w:t>
      </w:r>
      <w:r w:rsidR="00CF098C">
        <w:t>thereafter</w:t>
      </w:r>
      <w:r w:rsidRPr="000C6272">
        <w:t xml:space="preserve">, or earlier in the event of significant developments that affect the </w:t>
      </w:r>
      <w:r>
        <w:t>code.</w:t>
      </w:r>
    </w:p>
    <w:p w14:paraId="1A3B2DE4" w14:textId="0A56695A" w:rsidR="00DB2B1C" w:rsidRDefault="00DB2B1C" w:rsidP="00CF098C">
      <w:pPr>
        <w:pStyle w:val="Paragraph"/>
      </w:pPr>
      <w:r w:rsidRPr="005B7072">
        <w:t xml:space="preserve">Phone scams are a compliance priority for the ACMA in 2020–21 and activities will include targeted compliance against the new </w:t>
      </w:r>
      <w:r>
        <w:t>obligation</w:t>
      </w:r>
      <w:r w:rsidRPr="005B7072">
        <w:t>s and potential investigations.</w:t>
      </w:r>
    </w:p>
    <w:p w14:paraId="6B5C3E32" w14:textId="006A8CA2" w:rsidR="00DB2B1C" w:rsidRDefault="00DB2B1C" w:rsidP="006C1066">
      <w:pPr>
        <w:pStyle w:val="Paragraph"/>
      </w:pPr>
      <w:r>
        <w:t>As an observer on the Communications Alliance working committee, the ACMA will participate in code review processes</w:t>
      </w:r>
      <w:r w:rsidR="00CF098C">
        <w:t>,</w:t>
      </w:r>
      <w:r>
        <w:t xml:space="preserve"> including measuring the effectiveness of the code provisions.</w:t>
      </w:r>
    </w:p>
    <w:p w14:paraId="4CCAF11C" w14:textId="5F67917E" w:rsidR="00DB2B1C" w:rsidRPr="00020791" w:rsidRDefault="00DB2B1C" w:rsidP="006C1066">
      <w:pPr>
        <w:pStyle w:val="Paragraph"/>
      </w:pPr>
      <w:r w:rsidRPr="007572DB">
        <w:t xml:space="preserve">The ACMA has a range of regulatory </w:t>
      </w:r>
      <w:r>
        <w:t xml:space="preserve">and non-regulatory </w:t>
      </w:r>
      <w:r w:rsidRPr="007572DB">
        <w:t>tools to encourage compliance</w:t>
      </w:r>
      <w:r w:rsidR="00CF098C">
        <w:t>,</w:t>
      </w:r>
      <w:r>
        <w:t xml:space="preserve"> including resources to support </w:t>
      </w:r>
      <w:r w:rsidRPr="007572DB">
        <w:t xml:space="preserve">education </w:t>
      </w:r>
      <w:r>
        <w:t>and build awareness. The ACMA will leverage off its stakeholder networks to engage with industry to reduce scam calls.</w:t>
      </w:r>
    </w:p>
    <w:p w14:paraId="20909D36" w14:textId="77777777" w:rsidR="00DB2B1C" w:rsidRDefault="00DB2B1C" w:rsidP="00DB2B1C">
      <w:pPr>
        <w:pStyle w:val="Paragraph"/>
      </w:pPr>
    </w:p>
    <w:p w14:paraId="66EBD284" w14:textId="77777777" w:rsidR="00DB2B1C" w:rsidRPr="00BF41CE" w:rsidRDefault="00DB2B1C" w:rsidP="00DB2B1C">
      <w:pPr>
        <w:pStyle w:val="Heading1"/>
      </w:pPr>
      <w:bookmarkStart w:id="172" w:name="_Toc32833715"/>
      <w:bookmarkStart w:id="173" w:name="_Toc32833758"/>
      <w:bookmarkStart w:id="174" w:name="_Toc32833831"/>
      <w:bookmarkStart w:id="175" w:name="_Toc33176398"/>
      <w:bookmarkStart w:id="176" w:name="_Toc55546933"/>
      <w:bookmarkStart w:id="177" w:name="_Toc56092965"/>
      <w:r w:rsidRPr="00BF41CE">
        <w:lastRenderedPageBreak/>
        <w:t>Evaluation</w:t>
      </w:r>
      <w:bookmarkEnd w:id="172"/>
      <w:bookmarkEnd w:id="173"/>
      <w:bookmarkEnd w:id="174"/>
      <w:bookmarkEnd w:id="175"/>
      <w:bookmarkEnd w:id="176"/>
      <w:bookmarkEnd w:id="177"/>
    </w:p>
    <w:p w14:paraId="7FF8111A" w14:textId="77777777" w:rsidR="00DB2B1C" w:rsidRDefault="00DB2B1C" w:rsidP="0035547E">
      <w:pPr>
        <w:pStyle w:val="Paragraph"/>
      </w:pPr>
      <w:r>
        <w:t xml:space="preserve">The ACMA will monitor the implementation of enforceable obligations and evaluate measures through built-in review points. The enforceable obligations will also be evaluated as part of the ACMA’s ongoing monitoring and </w:t>
      </w:r>
      <w:r w:rsidRPr="007572DB">
        <w:t>compliance activities</w:t>
      </w:r>
      <w:r>
        <w:t>.</w:t>
      </w:r>
    </w:p>
    <w:p w14:paraId="6AB51C03" w14:textId="3FAF0E3B" w:rsidR="00DB2B1C" w:rsidRDefault="00DB2B1C" w:rsidP="0035547E">
      <w:pPr>
        <w:pStyle w:val="Paragraph"/>
      </w:pPr>
      <w:r>
        <w:t>Phone scams are a compliance priority for the ACMA in 2020–21 and t</w:t>
      </w:r>
      <w:r w:rsidRPr="007572DB">
        <w:t xml:space="preserve">he ACMA will have an active compliance work program for </w:t>
      </w:r>
      <w:r>
        <w:t>the new enforceable obligations</w:t>
      </w:r>
      <w:r w:rsidRPr="007572DB">
        <w:t xml:space="preserve">. This will include monitoring complaints about </w:t>
      </w:r>
      <w:r>
        <w:t>scam calls</w:t>
      </w:r>
      <w:r w:rsidRPr="007572DB">
        <w:t xml:space="preserve"> received by the TIO and escalation processes where appropriate</w:t>
      </w:r>
      <w:r>
        <w:t>.</w:t>
      </w:r>
    </w:p>
    <w:p w14:paraId="41008BD0" w14:textId="5ADE3067" w:rsidR="00DB2B1C" w:rsidRDefault="00DB2B1C" w:rsidP="0035547E">
      <w:pPr>
        <w:pStyle w:val="Paragraph"/>
      </w:pPr>
      <w:r>
        <w:t>S</w:t>
      </w:r>
      <w:r w:rsidRPr="007572DB">
        <w:t>hould the measures prove ineffective</w:t>
      </w:r>
      <w:r>
        <w:t>, the ACMA may consider regulatory reform or advice to government about implementing rules that will be fit</w:t>
      </w:r>
      <w:r w:rsidR="00CF098C">
        <w:t>-</w:t>
      </w:r>
      <w:r>
        <w:t>for</w:t>
      </w:r>
      <w:r w:rsidR="00CF098C">
        <w:t>-</w:t>
      </w:r>
      <w:r>
        <w:t>purpose to address harms and any regulatory gaps.</w:t>
      </w:r>
    </w:p>
    <w:p w14:paraId="44C5C615" w14:textId="77777777" w:rsidR="00244971" w:rsidRDefault="00244971" w:rsidP="00DB2B1C">
      <w:pPr>
        <w:spacing w:after="160" w:line="259" w:lineRule="auto"/>
      </w:pPr>
    </w:p>
    <w:p w14:paraId="5B848D94" w14:textId="77777777" w:rsidR="001F5355" w:rsidRDefault="001F5355" w:rsidP="00DB2B1C">
      <w:pPr>
        <w:spacing w:after="160" w:line="259" w:lineRule="auto"/>
        <w:sectPr w:rsidR="001F5355" w:rsidSect="00C77380">
          <w:headerReference w:type="even" r:id="rId41"/>
          <w:headerReference w:type="default" r:id="rId42"/>
          <w:footerReference w:type="even" r:id="rId43"/>
          <w:footerReference w:type="default" r:id="rId44"/>
          <w:pgSz w:w="11906" w:h="16838" w:code="9"/>
          <w:pgMar w:top="1945" w:right="3101" w:bottom="1134" w:left="1134" w:header="709" w:footer="119" w:gutter="0"/>
          <w:pgNumType w:start="1"/>
          <w:cols w:space="708"/>
          <w:docGrid w:linePitch="360"/>
        </w:sectPr>
      </w:pPr>
    </w:p>
    <w:p w14:paraId="298D8BDD" w14:textId="201AA9AB" w:rsidR="00DB2B1C" w:rsidRDefault="001F5355" w:rsidP="001F5355">
      <w:pPr>
        <w:pStyle w:val="Heading1"/>
      </w:pPr>
      <w:bookmarkStart w:id="178" w:name="_Toc56092966"/>
      <w:r w:rsidRPr="00AE3F26">
        <w:lastRenderedPageBreak/>
        <w:t>Appendix A</w:t>
      </w:r>
      <w:r>
        <w:t>:</w:t>
      </w:r>
      <w:r w:rsidRPr="00AE3F26">
        <w:t xml:space="preserve"> </w:t>
      </w:r>
      <w:r>
        <w:t xml:space="preserve">Table 1 </w:t>
      </w:r>
      <w:r w:rsidR="00CF098C">
        <w:t>–</w:t>
      </w:r>
      <w:r>
        <w:t xml:space="preserve"> </w:t>
      </w:r>
      <w:r w:rsidRPr="00AE3F26">
        <w:t>Calculations to inform the regulatory burden measurement</w:t>
      </w:r>
      <w:bookmarkEnd w:id="178"/>
    </w:p>
    <w:p w14:paraId="627ED056" w14:textId="360B6C2D" w:rsidR="001F5355" w:rsidRPr="001F5355" w:rsidRDefault="001F5355" w:rsidP="001F5355">
      <w:r>
        <w:rPr>
          <w:noProof/>
        </w:rPr>
        <w:drawing>
          <wp:inline distT="0" distB="0" distL="0" distR="0" wp14:anchorId="6F41DAA1" wp14:editId="49DCBB8B">
            <wp:extent cx="8736965" cy="5363268"/>
            <wp:effectExtent l="0" t="0" r="6985" b="8890"/>
            <wp:docPr id="10" name="Picture 10" descr="If you need help to access this graphic, please call 1300 850 115 or email: info@acm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f you need help to access this graphic, please call 1300 850 115 or email: info@acma.gov.au"/>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736965" cy="5363268"/>
                    </a:xfrm>
                    <a:prstGeom prst="rect">
                      <a:avLst/>
                    </a:prstGeom>
                    <a:noFill/>
                  </pic:spPr>
                </pic:pic>
              </a:graphicData>
            </a:graphic>
          </wp:inline>
        </w:drawing>
      </w:r>
    </w:p>
    <w:p w14:paraId="5B7A53C3" w14:textId="610F47D7" w:rsidR="001F5355" w:rsidRPr="00B46CB9" w:rsidRDefault="001F5355" w:rsidP="001F5355">
      <w:pPr>
        <w:pStyle w:val="Heading3"/>
      </w:pPr>
      <w:bookmarkStart w:id="179" w:name="_Toc55546935"/>
      <w:bookmarkStart w:id="180" w:name="_Toc56092967"/>
      <w:r w:rsidRPr="00B46CB9">
        <w:lastRenderedPageBreak/>
        <w:t>Relevant facts and assumptions</w:t>
      </w:r>
      <w:bookmarkEnd w:id="179"/>
      <w:bookmarkEnd w:id="180"/>
    </w:p>
    <w:p w14:paraId="7EEC5014" w14:textId="77777777" w:rsidR="001F5355" w:rsidRPr="005514B2" w:rsidRDefault="001F5355" w:rsidP="00F554DF">
      <w:pPr>
        <w:pStyle w:val="Bulletlevel1"/>
        <w:rPr>
          <w:rFonts w:eastAsiaTheme="minorHAnsi"/>
          <w:lang w:eastAsia="en-US"/>
        </w:rPr>
      </w:pPr>
      <w:r w:rsidRPr="005514B2">
        <w:rPr>
          <w:rFonts w:eastAsiaTheme="minorHAnsi"/>
          <w:lang w:eastAsia="en-US"/>
        </w:rPr>
        <w:t xml:space="preserve">413 C/CSPs provide </w:t>
      </w:r>
      <w:r>
        <w:rPr>
          <w:rFonts w:eastAsiaTheme="minorHAnsi"/>
          <w:lang w:eastAsia="en-US"/>
        </w:rPr>
        <w:t xml:space="preserve">public number </w:t>
      </w:r>
      <w:r w:rsidRPr="005514B2">
        <w:rPr>
          <w:rFonts w:eastAsiaTheme="minorHAnsi"/>
          <w:lang w:eastAsia="en-US"/>
        </w:rPr>
        <w:t>customer data for connected mobile and local services.</w:t>
      </w:r>
    </w:p>
    <w:p w14:paraId="793F3735" w14:textId="77777777" w:rsidR="00CF098C" w:rsidRDefault="001F5355" w:rsidP="00CF098C">
      <w:pPr>
        <w:pStyle w:val="Bulletlevel1"/>
        <w:rPr>
          <w:rFonts w:eastAsiaTheme="minorHAnsi"/>
          <w:lang w:eastAsia="en-US"/>
        </w:rPr>
      </w:pPr>
      <w:r w:rsidRPr="005514B2">
        <w:rPr>
          <w:rFonts w:eastAsiaTheme="minorHAnsi"/>
          <w:lang w:eastAsia="en-US"/>
        </w:rPr>
        <w:t>C/CSPs are categorised as</w:t>
      </w:r>
      <w:r w:rsidR="00CF098C">
        <w:rPr>
          <w:rFonts w:eastAsiaTheme="minorHAnsi"/>
          <w:lang w:eastAsia="en-US"/>
        </w:rPr>
        <w:t>:</w:t>
      </w:r>
      <w:r w:rsidRPr="005514B2">
        <w:rPr>
          <w:rFonts w:eastAsiaTheme="minorHAnsi"/>
          <w:lang w:eastAsia="en-US"/>
        </w:rPr>
        <w:t xml:space="preserve"> </w:t>
      </w:r>
    </w:p>
    <w:p w14:paraId="7FBBCDDD" w14:textId="45680543" w:rsidR="00CF098C" w:rsidRDefault="001F5355" w:rsidP="00F554DF">
      <w:pPr>
        <w:pStyle w:val="Bulletlevel2"/>
        <w:rPr>
          <w:rFonts w:eastAsiaTheme="minorHAnsi"/>
          <w:lang w:eastAsia="en-US"/>
        </w:rPr>
      </w:pPr>
      <w:r w:rsidRPr="005514B2">
        <w:rPr>
          <w:rFonts w:eastAsiaTheme="minorHAnsi"/>
          <w:lang w:eastAsia="en-US"/>
        </w:rPr>
        <w:t>large carriers (&gt;10</w:t>
      </w:r>
      <w:r w:rsidR="00CF098C">
        <w:rPr>
          <w:rFonts w:eastAsiaTheme="minorHAnsi"/>
          <w:lang w:eastAsia="en-US"/>
        </w:rPr>
        <w:t xml:space="preserve"> </w:t>
      </w:r>
      <w:r w:rsidRPr="005514B2">
        <w:rPr>
          <w:rFonts w:eastAsiaTheme="minorHAnsi"/>
          <w:lang w:eastAsia="en-US"/>
        </w:rPr>
        <w:t>m</w:t>
      </w:r>
      <w:r w:rsidR="00CF098C">
        <w:rPr>
          <w:rFonts w:eastAsiaTheme="minorHAnsi"/>
          <w:lang w:eastAsia="en-US"/>
        </w:rPr>
        <w:t>illion</w:t>
      </w:r>
      <w:r w:rsidRPr="005514B2">
        <w:rPr>
          <w:rFonts w:eastAsiaTheme="minorHAnsi"/>
          <w:lang w:eastAsia="en-US"/>
        </w:rPr>
        <w:t xml:space="preserve"> services) </w:t>
      </w:r>
    </w:p>
    <w:p w14:paraId="55A49402" w14:textId="77777777" w:rsidR="00CF098C" w:rsidRDefault="001F5355" w:rsidP="00F554DF">
      <w:pPr>
        <w:pStyle w:val="Bulletlevel2"/>
        <w:rPr>
          <w:rFonts w:eastAsiaTheme="minorHAnsi"/>
          <w:lang w:eastAsia="en-US"/>
        </w:rPr>
      </w:pPr>
      <w:r w:rsidRPr="005514B2">
        <w:rPr>
          <w:rFonts w:eastAsiaTheme="minorHAnsi"/>
          <w:lang w:eastAsia="en-US"/>
        </w:rPr>
        <w:t>medium carriers/CSPs (1</w:t>
      </w:r>
      <w:r w:rsidR="00CF098C">
        <w:rPr>
          <w:rFonts w:eastAsiaTheme="minorHAnsi"/>
          <w:lang w:eastAsia="en-US"/>
        </w:rPr>
        <w:t xml:space="preserve"> </w:t>
      </w:r>
      <w:r w:rsidRPr="005514B2">
        <w:rPr>
          <w:rFonts w:eastAsiaTheme="minorHAnsi"/>
          <w:lang w:eastAsia="en-US"/>
        </w:rPr>
        <w:t>m</w:t>
      </w:r>
      <w:r w:rsidR="00CF098C">
        <w:rPr>
          <w:rFonts w:eastAsiaTheme="minorHAnsi"/>
          <w:lang w:eastAsia="en-US"/>
        </w:rPr>
        <w:t>illion</w:t>
      </w:r>
      <w:r w:rsidRPr="005514B2">
        <w:rPr>
          <w:rFonts w:eastAsiaTheme="minorHAnsi"/>
          <w:lang w:eastAsia="en-US"/>
        </w:rPr>
        <w:t xml:space="preserve"> to 10</w:t>
      </w:r>
      <w:r w:rsidR="00CF098C">
        <w:rPr>
          <w:rFonts w:eastAsiaTheme="minorHAnsi"/>
          <w:lang w:eastAsia="en-US"/>
        </w:rPr>
        <w:t xml:space="preserve"> </w:t>
      </w:r>
      <w:r w:rsidRPr="005514B2">
        <w:rPr>
          <w:rFonts w:eastAsiaTheme="minorHAnsi"/>
          <w:lang w:eastAsia="en-US"/>
        </w:rPr>
        <w:t>m</w:t>
      </w:r>
      <w:r w:rsidR="00CF098C">
        <w:rPr>
          <w:rFonts w:eastAsiaTheme="minorHAnsi"/>
          <w:lang w:eastAsia="en-US"/>
        </w:rPr>
        <w:t>illion</w:t>
      </w:r>
      <w:r w:rsidRPr="005514B2">
        <w:rPr>
          <w:rFonts w:eastAsiaTheme="minorHAnsi"/>
          <w:lang w:eastAsia="en-US"/>
        </w:rPr>
        <w:t xml:space="preserve"> services)  </w:t>
      </w:r>
    </w:p>
    <w:p w14:paraId="5B0B3002" w14:textId="429EC1B1" w:rsidR="00CF098C" w:rsidRDefault="001F5355" w:rsidP="00F554DF">
      <w:pPr>
        <w:pStyle w:val="Bulletlevel2"/>
        <w:rPr>
          <w:rFonts w:eastAsiaTheme="minorHAnsi"/>
          <w:lang w:eastAsia="en-US"/>
        </w:rPr>
      </w:pPr>
      <w:r w:rsidRPr="005514B2">
        <w:rPr>
          <w:rFonts w:eastAsiaTheme="minorHAnsi"/>
          <w:lang w:eastAsia="en-US"/>
        </w:rPr>
        <w:t>small CSPs (10</w:t>
      </w:r>
      <w:r>
        <w:rPr>
          <w:rFonts w:eastAsiaTheme="minorHAnsi"/>
          <w:lang w:eastAsia="en-US"/>
        </w:rPr>
        <w:t>0,000</w:t>
      </w:r>
      <w:r w:rsidRPr="005514B2">
        <w:rPr>
          <w:rFonts w:eastAsiaTheme="minorHAnsi"/>
          <w:lang w:eastAsia="en-US"/>
        </w:rPr>
        <w:t xml:space="preserve"> to 1</w:t>
      </w:r>
      <w:r w:rsidR="00CF098C">
        <w:rPr>
          <w:rFonts w:eastAsiaTheme="minorHAnsi"/>
          <w:lang w:eastAsia="en-US"/>
        </w:rPr>
        <w:t xml:space="preserve"> </w:t>
      </w:r>
      <w:r w:rsidRPr="005514B2">
        <w:rPr>
          <w:rFonts w:eastAsiaTheme="minorHAnsi"/>
          <w:lang w:eastAsia="en-US"/>
        </w:rPr>
        <w:t>m</w:t>
      </w:r>
      <w:r w:rsidR="00CF098C">
        <w:rPr>
          <w:rFonts w:eastAsiaTheme="minorHAnsi"/>
          <w:lang w:eastAsia="en-US"/>
        </w:rPr>
        <w:t>illion</w:t>
      </w:r>
      <w:r w:rsidRPr="005514B2">
        <w:rPr>
          <w:rFonts w:eastAsiaTheme="minorHAnsi"/>
          <w:lang w:eastAsia="en-US"/>
        </w:rPr>
        <w:t xml:space="preserve"> services) </w:t>
      </w:r>
    </w:p>
    <w:p w14:paraId="4AC91337" w14:textId="069D4921" w:rsidR="001F5355" w:rsidRPr="005514B2" w:rsidRDefault="001F5355" w:rsidP="00F554DF">
      <w:pPr>
        <w:pStyle w:val="Bulletlevel2"/>
        <w:rPr>
          <w:rFonts w:eastAsiaTheme="minorHAnsi"/>
          <w:lang w:eastAsia="en-US"/>
        </w:rPr>
      </w:pPr>
      <w:r w:rsidRPr="005514B2">
        <w:rPr>
          <w:rFonts w:eastAsiaTheme="minorHAnsi"/>
          <w:lang w:eastAsia="en-US"/>
        </w:rPr>
        <w:t>very small CSPs (&lt;100</w:t>
      </w:r>
      <w:r>
        <w:rPr>
          <w:rFonts w:eastAsiaTheme="minorHAnsi"/>
          <w:lang w:eastAsia="en-US"/>
        </w:rPr>
        <w:t>,</w:t>
      </w:r>
      <w:r w:rsidRPr="005514B2">
        <w:rPr>
          <w:rFonts w:eastAsiaTheme="minorHAnsi"/>
          <w:lang w:eastAsia="en-US"/>
        </w:rPr>
        <w:t>0</w:t>
      </w:r>
      <w:r>
        <w:rPr>
          <w:rFonts w:eastAsiaTheme="minorHAnsi"/>
          <w:lang w:eastAsia="en-US"/>
        </w:rPr>
        <w:t>00</w:t>
      </w:r>
      <w:r w:rsidRPr="005514B2">
        <w:rPr>
          <w:rFonts w:eastAsiaTheme="minorHAnsi"/>
          <w:lang w:eastAsia="en-US"/>
        </w:rPr>
        <w:t xml:space="preserve"> services).</w:t>
      </w:r>
    </w:p>
    <w:p w14:paraId="1EF2F9E0" w14:textId="5F7981C9" w:rsidR="001F5355" w:rsidRPr="005514B2" w:rsidRDefault="001F5355" w:rsidP="00F554DF">
      <w:pPr>
        <w:pStyle w:val="Bulletlevel1"/>
        <w:rPr>
          <w:rFonts w:eastAsiaTheme="minorHAnsi"/>
          <w:lang w:eastAsia="en-US"/>
        </w:rPr>
      </w:pPr>
      <w:r w:rsidRPr="005514B2">
        <w:rPr>
          <w:rFonts w:eastAsiaTheme="minorHAnsi"/>
          <w:lang w:eastAsia="en-US"/>
        </w:rPr>
        <w:t xml:space="preserve">The </w:t>
      </w:r>
      <w:r w:rsidR="00CF098C">
        <w:rPr>
          <w:rFonts w:eastAsiaTheme="minorHAnsi"/>
          <w:lang w:eastAsia="en-US"/>
        </w:rPr>
        <w:t>4</w:t>
      </w:r>
      <w:r w:rsidR="00CF098C" w:rsidRPr="005514B2">
        <w:rPr>
          <w:rFonts w:eastAsiaTheme="minorHAnsi"/>
          <w:lang w:eastAsia="en-US"/>
        </w:rPr>
        <w:t xml:space="preserve"> </w:t>
      </w:r>
      <w:r w:rsidRPr="005514B2">
        <w:rPr>
          <w:rFonts w:eastAsiaTheme="minorHAnsi"/>
          <w:lang w:eastAsia="en-US"/>
        </w:rPr>
        <w:t>large carriers contribute 88.5% of all services; the 18 medium providers contribute 8.3% of services; the 150 small providers contribute 3% of services; and the 241 very small providers contribute 0.2% of services.</w:t>
      </w:r>
    </w:p>
    <w:p w14:paraId="6A68D87F" w14:textId="5374D7BB" w:rsidR="001F5355" w:rsidRPr="005514B2" w:rsidRDefault="001F5355" w:rsidP="00F554DF">
      <w:pPr>
        <w:pStyle w:val="Bulletlevel1"/>
        <w:rPr>
          <w:rFonts w:eastAsiaTheme="minorHAnsi"/>
          <w:lang w:eastAsia="en-US"/>
        </w:rPr>
      </w:pPr>
      <w:r w:rsidRPr="005514B2">
        <w:rPr>
          <w:rFonts w:eastAsiaTheme="minorHAnsi"/>
          <w:lang w:eastAsia="en-US"/>
        </w:rPr>
        <w:t xml:space="preserve">The </w:t>
      </w:r>
      <w:r w:rsidR="00CF098C">
        <w:rPr>
          <w:rFonts w:eastAsiaTheme="minorHAnsi"/>
          <w:lang w:eastAsia="en-US"/>
        </w:rPr>
        <w:t>4</w:t>
      </w:r>
      <w:r w:rsidR="00CF098C" w:rsidRPr="005514B2">
        <w:rPr>
          <w:rFonts w:eastAsiaTheme="minorHAnsi"/>
          <w:lang w:eastAsia="en-US"/>
        </w:rPr>
        <w:t xml:space="preserve"> </w:t>
      </w:r>
      <w:r w:rsidRPr="005514B2">
        <w:rPr>
          <w:rFonts w:eastAsiaTheme="minorHAnsi"/>
          <w:lang w:eastAsia="en-US"/>
        </w:rPr>
        <w:t>large carriers incur the greatest costs because of the complexity of their systems and the volume of customers</w:t>
      </w:r>
      <w:r>
        <w:rPr>
          <w:rFonts w:eastAsiaTheme="minorHAnsi"/>
          <w:lang w:eastAsia="en-US"/>
        </w:rPr>
        <w:t>.</w:t>
      </w:r>
    </w:p>
    <w:p w14:paraId="53465CF9" w14:textId="3E7839E0" w:rsidR="001F5355" w:rsidRPr="005514B2" w:rsidRDefault="001F5355" w:rsidP="00F554DF">
      <w:pPr>
        <w:pStyle w:val="Bulletlevel1"/>
        <w:rPr>
          <w:rFonts w:eastAsiaTheme="minorHAnsi"/>
          <w:lang w:eastAsia="en-US"/>
        </w:rPr>
      </w:pPr>
      <w:r w:rsidRPr="005514B2">
        <w:rPr>
          <w:rFonts w:eastAsiaTheme="minorHAnsi"/>
          <w:lang w:eastAsia="en-US"/>
        </w:rPr>
        <w:t xml:space="preserve">The majority of costs will be incurred in </w:t>
      </w:r>
      <w:r w:rsidR="00CF098C">
        <w:rPr>
          <w:rFonts w:eastAsiaTheme="minorHAnsi"/>
          <w:lang w:eastAsia="en-US"/>
        </w:rPr>
        <w:t>Y</w:t>
      </w:r>
      <w:r w:rsidRPr="005514B2">
        <w:rPr>
          <w:rFonts w:eastAsiaTheme="minorHAnsi"/>
          <w:lang w:eastAsia="en-US"/>
        </w:rPr>
        <w:t xml:space="preserve">ear </w:t>
      </w:r>
      <w:r w:rsidR="00CF098C">
        <w:rPr>
          <w:rFonts w:eastAsiaTheme="minorHAnsi"/>
          <w:lang w:eastAsia="en-US"/>
        </w:rPr>
        <w:t>1</w:t>
      </w:r>
      <w:r w:rsidR="00CF098C" w:rsidRPr="005514B2">
        <w:rPr>
          <w:rFonts w:eastAsiaTheme="minorHAnsi"/>
          <w:lang w:eastAsia="en-US"/>
        </w:rPr>
        <w:t xml:space="preserve"> </w:t>
      </w:r>
      <w:r w:rsidRPr="005514B2">
        <w:rPr>
          <w:rFonts w:eastAsiaTheme="minorHAnsi"/>
          <w:lang w:eastAsia="en-US"/>
        </w:rPr>
        <w:t>as C/CSPs automate currently manual processes to monitor for scam calls and share information with other C/CSPs where scam calls are identified.</w:t>
      </w:r>
    </w:p>
    <w:p w14:paraId="4D699852" w14:textId="25511DF8" w:rsidR="001F5355" w:rsidRPr="005514B2" w:rsidRDefault="001F5355" w:rsidP="00F554DF">
      <w:pPr>
        <w:pStyle w:val="Bulletlevel1"/>
        <w:rPr>
          <w:rFonts w:eastAsiaTheme="minorHAnsi"/>
          <w:lang w:eastAsia="en-US"/>
        </w:rPr>
      </w:pPr>
      <w:r w:rsidRPr="005514B2">
        <w:rPr>
          <w:rFonts w:eastAsiaTheme="minorHAnsi"/>
          <w:lang w:eastAsia="en-US"/>
        </w:rPr>
        <w:t xml:space="preserve">Communications Alliance has advised the ACMA that 30% of </w:t>
      </w:r>
      <w:r w:rsidR="00CF098C">
        <w:rPr>
          <w:rFonts w:eastAsiaTheme="minorHAnsi"/>
          <w:lang w:eastAsia="en-US"/>
        </w:rPr>
        <w:t>Y</w:t>
      </w:r>
      <w:r w:rsidRPr="005514B2">
        <w:rPr>
          <w:rFonts w:eastAsiaTheme="minorHAnsi"/>
          <w:lang w:eastAsia="en-US"/>
        </w:rPr>
        <w:t xml:space="preserve">ear 1 systems costs would have been incurred irrespective of the </w:t>
      </w:r>
      <w:r w:rsidRPr="006D7D56">
        <w:rPr>
          <w:rFonts w:eastAsiaTheme="minorHAnsi"/>
          <w:lang w:eastAsia="en-US"/>
        </w:rPr>
        <w:t>enforceable</w:t>
      </w:r>
      <w:r w:rsidRPr="005514B2">
        <w:rPr>
          <w:rFonts w:eastAsiaTheme="minorHAnsi"/>
          <w:lang w:eastAsia="en-US"/>
        </w:rPr>
        <w:t xml:space="preserve"> obligations being imposed.</w:t>
      </w:r>
    </w:p>
    <w:p w14:paraId="67054FCA" w14:textId="3F0C7F88" w:rsidR="001F5355" w:rsidRPr="005514B2" w:rsidRDefault="001F5355" w:rsidP="00F554DF">
      <w:pPr>
        <w:pStyle w:val="Bulletlevel1"/>
        <w:rPr>
          <w:rFonts w:eastAsiaTheme="minorHAnsi"/>
          <w:lang w:eastAsia="en-US"/>
        </w:rPr>
      </w:pPr>
      <w:r w:rsidRPr="005514B2">
        <w:rPr>
          <w:rFonts w:eastAsiaTheme="minorHAnsi"/>
          <w:lang w:eastAsia="en-US"/>
        </w:rPr>
        <w:t xml:space="preserve">Costs in </w:t>
      </w:r>
      <w:r w:rsidR="00CF098C">
        <w:rPr>
          <w:rFonts w:eastAsiaTheme="minorHAnsi"/>
          <w:lang w:eastAsia="en-US"/>
        </w:rPr>
        <w:t>Y</w:t>
      </w:r>
      <w:r w:rsidRPr="005514B2">
        <w:rPr>
          <w:rFonts w:eastAsiaTheme="minorHAnsi"/>
          <w:lang w:eastAsia="en-US"/>
        </w:rPr>
        <w:t xml:space="preserve">ear </w:t>
      </w:r>
      <w:r w:rsidR="00CF098C">
        <w:rPr>
          <w:rFonts w:eastAsiaTheme="minorHAnsi"/>
          <w:lang w:eastAsia="en-US"/>
        </w:rPr>
        <w:t>2</w:t>
      </w:r>
      <w:r w:rsidR="00CF098C" w:rsidRPr="005514B2">
        <w:rPr>
          <w:rFonts w:eastAsiaTheme="minorHAnsi"/>
          <w:lang w:eastAsia="en-US"/>
        </w:rPr>
        <w:t xml:space="preserve"> </w:t>
      </w:r>
      <w:r w:rsidRPr="005514B2">
        <w:rPr>
          <w:rFonts w:eastAsiaTheme="minorHAnsi"/>
          <w:lang w:eastAsia="en-US"/>
        </w:rPr>
        <w:t xml:space="preserve">onwards drop significantly and mainly accrue in responding to other C/CSPS identifying scam call delivered by that provider. Given the work undertaken in </w:t>
      </w:r>
      <w:r w:rsidR="00CF098C">
        <w:rPr>
          <w:rFonts w:eastAsiaTheme="minorHAnsi"/>
          <w:lang w:eastAsia="en-US"/>
        </w:rPr>
        <w:t>Y</w:t>
      </w:r>
      <w:r w:rsidRPr="005514B2">
        <w:rPr>
          <w:rFonts w:eastAsiaTheme="minorHAnsi"/>
          <w:lang w:eastAsia="en-US"/>
        </w:rPr>
        <w:t xml:space="preserve">ear </w:t>
      </w:r>
      <w:r w:rsidR="00CF098C">
        <w:rPr>
          <w:rFonts w:eastAsiaTheme="minorHAnsi"/>
          <w:lang w:eastAsia="en-US"/>
        </w:rPr>
        <w:t>1</w:t>
      </w:r>
      <w:r w:rsidRPr="005514B2">
        <w:rPr>
          <w:rFonts w:eastAsiaTheme="minorHAnsi"/>
          <w:lang w:eastAsia="en-US"/>
        </w:rPr>
        <w:t>, it is assumed the processes will improve with staff being more experienced, and that the volume of calls requiring tracing action decreases.</w:t>
      </w:r>
    </w:p>
    <w:p w14:paraId="51D2D598" w14:textId="1132873A" w:rsidR="001F5355" w:rsidRPr="005514B2" w:rsidRDefault="001F5355" w:rsidP="00F554DF">
      <w:pPr>
        <w:pStyle w:val="Bulletlevel1"/>
        <w:rPr>
          <w:rFonts w:eastAsiaTheme="minorHAnsi"/>
          <w:lang w:eastAsia="en-US"/>
        </w:rPr>
      </w:pPr>
      <w:r w:rsidRPr="005514B2">
        <w:rPr>
          <w:rFonts w:eastAsiaTheme="minorHAnsi"/>
          <w:lang w:eastAsia="en-US"/>
        </w:rPr>
        <w:t>For this RIS, it is assumed that while all C/CSPs need to have processes to comply with the code, the information</w:t>
      </w:r>
      <w:r w:rsidR="00CF098C">
        <w:rPr>
          <w:rFonts w:eastAsiaTheme="minorHAnsi"/>
          <w:lang w:eastAsia="en-US"/>
        </w:rPr>
        <w:t>-</w:t>
      </w:r>
      <w:r w:rsidRPr="005514B2">
        <w:rPr>
          <w:rFonts w:eastAsiaTheme="minorHAnsi"/>
          <w:lang w:eastAsia="en-US"/>
        </w:rPr>
        <w:t xml:space="preserve">sharing provisions are only enlivened when the volume of calls </w:t>
      </w:r>
      <w:r w:rsidR="00CF098C" w:rsidRPr="005514B2">
        <w:rPr>
          <w:rFonts w:eastAsiaTheme="minorHAnsi"/>
          <w:lang w:eastAsia="en-US"/>
        </w:rPr>
        <w:t>triggers</w:t>
      </w:r>
      <w:r w:rsidRPr="005514B2">
        <w:rPr>
          <w:rFonts w:eastAsiaTheme="minorHAnsi"/>
          <w:lang w:eastAsia="en-US"/>
        </w:rPr>
        <w:t xml:space="preserve"> the materiality provisions. Similarly, the requirement to share information with the ACMA and other regulators is only enlivened where a C/CSP does not respond the notifying C/CSP.</w:t>
      </w:r>
    </w:p>
    <w:p w14:paraId="20590090" w14:textId="5A7A8114" w:rsidR="001F5355" w:rsidRPr="00581624" w:rsidRDefault="001F5355" w:rsidP="00F554DF">
      <w:pPr>
        <w:pStyle w:val="Bulletlevel1last"/>
        <w:rPr>
          <w:rFonts w:eastAsiaTheme="minorHAnsi"/>
          <w:lang w:eastAsia="en-US"/>
        </w:rPr>
      </w:pPr>
      <w:r w:rsidRPr="005514B2">
        <w:rPr>
          <w:rFonts w:eastAsiaTheme="minorHAnsi"/>
          <w:lang w:eastAsia="en-US"/>
        </w:rPr>
        <w:t>For this RIS</w:t>
      </w:r>
      <w:r w:rsidR="00CF098C">
        <w:rPr>
          <w:rFonts w:eastAsiaTheme="minorHAnsi"/>
          <w:lang w:eastAsia="en-US"/>
        </w:rPr>
        <w:t>,</w:t>
      </w:r>
      <w:r w:rsidRPr="005514B2">
        <w:rPr>
          <w:rFonts w:eastAsiaTheme="minorHAnsi"/>
          <w:lang w:eastAsia="en-US"/>
        </w:rPr>
        <w:t xml:space="preserve"> it is assumed that while monitoring activities continue in real time, tracing and verifying activities (including information</w:t>
      </w:r>
      <w:r w:rsidR="00CF098C">
        <w:rPr>
          <w:rFonts w:eastAsiaTheme="minorHAnsi"/>
          <w:lang w:eastAsia="en-US"/>
        </w:rPr>
        <w:t xml:space="preserve"> </w:t>
      </w:r>
      <w:r w:rsidRPr="005514B2">
        <w:rPr>
          <w:rFonts w:eastAsiaTheme="minorHAnsi"/>
          <w:lang w:eastAsia="en-US"/>
        </w:rPr>
        <w:t>sharing with other providers) will occur on a weekly basis for large carriers and medium C/CSPs</w:t>
      </w:r>
      <w:r w:rsidR="00CF098C">
        <w:rPr>
          <w:rFonts w:eastAsiaTheme="minorHAnsi"/>
          <w:lang w:eastAsia="en-US"/>
        </w:rPr>
        <w:t>,</w:t>
      </w:r>
      <w:r w:rsidRPr="005514B2">
        <w:rPr>
          <w:rFonts w:eastAsiaTheme="minorHAnsi"/>
          <w:lang w:eastAsia="en-US"/>
        </w:rPr>
        <w:t xml:space="preserve"> and on a fortnightly basis for small and very small </w:t>
      </w:r>
      <w:r>
        <w:rPr>
          <w:rFonts w:eastAsiaTheme="minorHAnsi"/>
          <w:lang w:eastAsia="en-US"/>
        </w:rPr>
        <w:t>CSPs</w:t>
      </w:r>
      <w:r w:rsidRPr="005514B2">
        <w:rPr>
          <w:rFonts w:eastAsiaTheme="minorHAnsi"/>
          <w:lang w:eastAsia="en-US"/>
        </w:rPr>
        <w:t>.</w:t>
      </w:r>
    </w:p>
    <w:p w14:paraId="11774DB6" w14:textId="77777777" w:rsidR="001F5355" w:rsidRDefault="001F5355" w:rsidP="001F5355">
      <w:pPr>
        <w:spacing w:after="160" w:line="259" w:lineRule="auto"/>
        <w:rPr>
          <w:rFonts w:eastAsiaTheme="minorHAnsi"/>
          <w:szCs w:val="20"/>
          <w:lang w:eastAsia="en-US"/>
        </w:rPr>
      </w:pPr>
      <w:r>
        <w:rPr>
          <w:rFonts w:eastAsiaTheme="minorHAnsi"/>
          <w:szCs w:val="20"/>
          <w:lang w:eastAsia="en-US"/>
        </w:rPr>
        <w:br w:type="page"/>
      </w:r>
    </w:p>
    <w:p w14:paraId="6D17C9CE" w14:textId="46EC1C0C" w:rsidR="00DB2B1C" w:rsidRDefault="001F5355" w:rsidP="008D40CA">
      <w:pPr>
        <w:keepNext/>
        <w:keepLines/>
        <w:rPr>
          <w:rFonts w:cs="Arial"/>
          <w:bCs/>
          <w:color w:val="323232"/>
          <w:kern w:val="32"/>
          <w:sz w:val="53"/>
          <w:szCs w:val="32"/>
        </w:rPr>
      </w:pPr>
      <w:r w:rsidRPr="009C695C">
        <w:rPr>
          <w:rFonts w:cs="Arial"/>
          <w:bCs/>
          <w:color w:val="323232"/>
          <w:kern w:val="32"/>
          <w:sz w:val="53"/>
          <w:szCs w:val="32"/>
        </w:rPr>
        <w:lastRenderedPageBreak/>
        <w:t xml:space="preserve">Appendix B: Table 2 </w:t>
      </w:r>
      <w:r w:rsidR="00CF098C" w:rsidRPr="009C695C">
        <w:rPr>
          <w:rFonts w:cs="Arial"/>
          <w:bCs/>
          <w:color w:val="323232"/>
          <w:kern w:val="32"/>
          <w:sz w:val="53"/>
          <w:szCs w:val="32"/>
        </w:rPr>
        <w:t>–</w:t>
      </w:r>
      <w:r w:rsidRPr="009C695C">
        <w:rPr>
          <w:rFonts w:cs="Arial"/>
          <w:bCs/>
          <w:color w:val="323232"/>
          <w:kern w:val="32"/>
          <w:sz w:val="53"/>
          <w:szCs w:val="32"/>
        </w:rPr>
        <w:t xml:space="preserve"> Calculations to inform the likely</w:t>
      </w:r>
      <w:r w:rsidR="00CF098C" w:rsidRPr="009C695C">
        <w:rPr>
          <w:rFonts w:cs="Arial"/>
          <w:bCs/>
          <w:color w:val="323232"/>
          <w:kern w:val="32"/>
          <w:sz w:val="53"/>
          <w:szCs w:val="32"/>
        </w:rPr>
        <w:t xml:space="preserve"> </w:t>
      </w:r>
      <w:r w:rsidRPr="009C695C">
        <w:rPr>
          <w:rFonts w:cs="Arial"/>
          <w:bCs/>
          <w:color w:val="323232"/>
          <w:kern w:val="32"/>
          <w:sz w:val="53"/>
          <w:szCs w:val="32"/>
        </w:rPr>
        <w:t>annual net benefit over 10 years</w:t>
      </w:r>
      <w:bookmarkStart w:id="181" w:name="_Toc55546936"/>
      <w:r w:rsidRPr="009C695C">
        <w:rPr>
          <w:rFonts w:cs="Arial"/>
          <w:bCs/>
          <w:color w:val="323232"/>
          <w:kern w:val="32"/>
          <w:sz w:val="53"/>
          <w:szCs w:val="32"/>
        </w:rPr>
        <w:t xml:space="preserve"> </w:t>
      </w:r>
      <w:bookmarkEnd w:id="181"/>
    </w:p>
    <w:p w14:paraId="044136AA" w14:textId="220286E0" w:rsidR="008D40CA" w:rsidRDefault="008D40CA" w:rsidP="006C1066">
      <w:r>
        <w:rPr>
          <w:noProof/>
        </w:rPr>
        <w:drawing>
          <wp:inline distT="0" distB="0" distL="0" distR="0" wp14:anchorId="55FCF9D1" wp14:editId="74BFCF18">
            <wp:extent cx="8597934" cy="5272826"/>
            <wp:effectExtent l="0" t="0" r="0" b="4445"/>
            <wp:docPr id="11" name="Picture 11" descr="If you need help to access this graphic, please call 1300 850 115 or email: info@acma.gov.au"/>
            <wp:cNvGraphicFramePr/>
            <a:graphic xmlns:a="http://schemas.openxmlformats.org/drawingml/2006/main">
              <a:graphicData uri="http://schemas.openxmlformats.org/drawingml/2006/picture">
                <pic:pic xmlns:pic="http://schemas.openxmlformats.org/drawingml/2006/picture">
                  <pic:nvPicPr>
                    <pic:cNvPr id="11" name="Picture 11" descr="If you need help to access this graphic, please call 1300 850 115 or email: info@acma.gov.au"/>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611706" cy="5281272"/>
                    </a:xfrm>
                    <a:prstGeom prst="rect">
                      <a:avLst/>
                    </a:prstGeom>
                    <a:noFill/>
                    <a:ln>
                      <a:noFill/>
                    </a:ln>
                  </pic:spPr>
                </pic:pic>
              </a:graphicData>
            </a:graphic>
          </wp:inline>
        </w:drawing>
      </w:r>
    </w:p>
    <w:sectPr w:rsidR="008D40CA" w:rsidSect="001F5355">
      <w:pgSz w:w="16838" w:h="11906" w:orient="landscape" w:code="9"/>
      <w:pgMar w:top="1134" w:right="1945" w:bottom="567"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6C470" w14:textId="77777777" w:rsidR="002A2F5E" w:rsidRDefault="002A2F5E">
      <w:r>
        <w:separator/>
      </w:r>
    </w:p>
  </w:endnote>
  <w:endnote w:type="continuationSeparator" w:id="0">
    <w:p w14:paraId="693F91C1" w14:textId="77777777" w:rsidR="002A2F5E" w:rsidRDefault="002A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96C4E" w14:textId="77777777" w:rsidR="002A2F5E" w:rsidRDefault="002A2F5E" w:rsidP="005E250B">
    <w:pPr>
      <w:pStyle w:val="Footer"/>
      <w:jc w:val="right"/>
    </w:pPr>
    <w:r w:rsidRPr="005E250B">
      <w:rPr>
        <w:noProof/>
        <w:vertAlign w:val="subscript"/>
      </w:rPr>
      <w:drawing>
        <wp:inline distT="0" distB="0" distL="0" distR="0" wp14:anchorId="4D13C6FB" wp14:editId="0AC55AD6">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2140F" w14:textId="77777777" w:rsidR="002A2F5E" w:rsidRDefault="002A2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D3D82" w14:textId="77777777" w:rsidR="002A2F5E" w:rsidRDefault="002A2F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FFB97" w14:textId="77777777" w:rsidR="002A2F5E" w:rsidRPr="00622A3B" w:rsidRDefault="002A2F5E"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0ED3A4FA" w14:textId="77777777" w:rsidR="002A2F5E" w:rsidRPr="00A5474E" w:rsidRDefault="002A2F5E"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2485" w14:textId="77777777" w:rsidR="002A2F5E" w:rsidRPr="00622A3B" w:rsidRDefault="002A2F5E"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62D0DF4D" w14:textId="77777777" w:rsidR="002A2F5E" w:rsidRPr="00A5474E" w:rsidRDefault="002A2F5E"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04FB0" w14:textId="77777777" w:rsidR="002A2F5E" w:rsidRPr="00622A3B" w:rsidRDefault="002A2F5E" w:rsidP="00DB2B1C">
    <w:pPr>
      <w:pStyle w:val="Footer"/>
      <w:framePr w:w="1332" w:h="357" w:hRule="exact" w:vSpace="425" w:wrap="around" w:vAnchor="page" w:hAnchor="page" w:x="7332"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4FBDF0E6" w14:textId="77777777" w:rsidR="002A2F5E" w:rsidRPr="00A5474E" w:rsidRDefault="002A2F5E"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B5C74" w14:textId="77777777" w:rsidR="002A2F5E" w:rsidRPr="00622A3B" w:rsidRDefault="002A2F5E"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7D5698EA" w14:textId="77777777" w:rsidR="002A2F5E" w:rsidRPr="00A5474E" w:rsidRDefault="002A2F5E"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E9C00" w14:textId="77777777" w:rsidR="002A2F5E" w:rsidRPr="00622A3B" w:rsidRDefault="002A2F5E"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1D1382B2" w14:textId="77777777" w:rsidR="002A2F5E" w:rsidRPr="00A5474E" w:rsidRDefault="002A2F5E"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FC91E" w14:textId="77777777" w:rsidR="002A2F5E" w:rsidRDefault="002A2F5E" w:rsidP="00DB758F">
      <w:pPr>
        <w:spacing w:after="0"/>
      </w:pPr>
      <w:r>
        <w:separator/>
      </w:r>
    </w:p>
  </w:footnote>
  <w:footnote w:type="continuationSeparator" w:id="0">
    <w:p w14:paraId="2B094FCA" w14:textId="77777777" w:rsidR="002A2F5E" w:rsidRDefault="002A2F5E">
      <w:r>
        <w:continuationSeparator/>
      </w:r>
    </w:p>
  </w:footnote>
  <w:footnote w:id="1">
    <w:p w14:paraId="4949C6D0" w14:textId="77777777" w:rsidR="002A2F5E" w:rsidRDefault="002A2F5E" w:rsidP="00DB2B1C">
      <w:pPr>
        <w:pStyle w:val="FootnoteText"/>
      </w:pPr>
      <w:r>
        <w:rPr>
          <w:rStyle w:val="FootnoteReference"/>
        </w:rPr>
        <w:footnoteRef/>
      </w:r>
      <w:r>
        <w:t xml:space="preserve"> </w:t>
      </w:r>
      <w:bookmarkStart w:id="10" w:name="_Hlk54955679"/>
      <w:r>
        <w:t>ACMA, ‘</w:t>
      </w:r>
      <w:hyperlink r:id="rId1" w:history="1">
        <w:r w:rsidRPr="00F54A65">
          <w:rPr>
            <w:rStyle w:val="Hyperlink"/>
          </w:rPr>
          <w:t>About carriers and carriage service providers’</w:t>
        </w:r>
      </w:hyperlink>
      <w:r>
        <w:rPr>
          <w:u w:color="0000FF"/>
        </w:rPr>
        <w:t>, viewed 29 October 2020.</w:t>
      </w:r>
    </w:p>
    <w:bookmarkEnd w:id="10"/>
  </w:footnote>
  <w:footnote w:id="2">
    <w:p w14:paraId="2E5D010A" w14:textId="77777777" w:rsidR="002A2F5E" w:rsidRDefault="002A2F5E" w:rsidP="00DB2B1C">
      <w:pPr>
        <w:pStyle w:val="FootnoteText"/>
      </w:pPr>
      <w:r>
        <w:rPr>
          <w:rStyle w:val="FootnoteReference"/>
        </w:rPr>
        <w:footnoteRef/>
      </w:r>
      <w:r>
        <w:t xml:space="preserve"> </w:t>
      </w:r>
      <w:r w:rsidRPr="000D2DA9">
        <w:t>Carriers operate telecommunications networks and infrastructure. Carriage service providers use carrier networks to provide services such as phones and internet.</w:t>
      </w:r>
    </w:p>
  </w:footnote>
  <w:footnote w:id="3">
    <w:p w14:paraId="40FDB08E" w14:textId="553E3BE7" w:rsidR="002A2F5E" w:rsidRDefault="002A2F5E" w:rsidP="00DB2B1C">
      <w:pPr>
        <w:pStyle w:val="FootnoteText"/>
      </w:pPr>
      <w:r>
        <w:rPr>
          <w:rStyle w:val="FootnoteReference"/>
        </w:rPr>
        <w:footnoteRef/>
      </w:r>
      <w:r>
        <w:t xml:space="preserve"> </w:t>
      </w:r>
      <w:r w:rsidRPr="00E61AB9">
        <w:t>ACMA, ‘</w:t>
      </w:r>
      <w:hyperlink r:id="rId2" w:history="1">
        <w:r w:rsidRPr="00D95207">
          <w:rPr>
            <w:rStyle w:val="Hyperlink"/>
          </w:rPr>
          <w:t>About carriers and carriage service providers</w:t>
        </w:r>
      </w:hyperlink>
      <w:r w:rsidRPr="00E61AB9">
        <w:t>’, viewed 29 October 2020.</w:t>
      </w:r>
    </w:p>
  </w:footnote>
  <w:footnote w:id="4">
    <w:p w14:paraId="5F6AFBD8" w14:textId="2FA436CD" w:rsidR="002A2F5E" w:rsidRDefault="002A2F5E" w:rsidP="00DB2B1C">
      <w:pPr>
        <w:pStyle w:val="FootnoteText"/>
      </w:pPr>
      <w:r>
        <w:rPr>
          <w:rStyle w:val="FootnoteReference"/>
        </w:rPr>
        <w:footnoteRef/>
      </w:r>
      <w:r>
        <w:t xml:space="preserve"> ibid.</w:t>
      </w:r>
    </w:p>
  </w:footnote>
  <w:footnote w:id="5">
    <w:p w14:paraId="478DDFE6" w14:textId="49D734BB" w:rsidR="002A2F5E" w:rsidRPr="00FB1EE6" w:rsidRDefault="002A2F5E" w:rsidP="00DB2B1C">
      <w:pPr>
        <w:pStyle w:val="FootnoteText"/>
        <w:spacing w:line="240" w:lineRule="exact"/>
        <w:rPr>
          <w:rFonts w:cs="Arial"/>
        </w:rPr>
      </w:pPr>
      <w:r w:rsidRPr="00135CB5">
        <w:rPr>
          <w:rStyle w:val="FootnoteReference"/>
        </w:rPr>
        <w:footnoteRef/>
      </w:r>
      <w:r w:rsidRPr="00135CB5">
        <w:t xml:space="preserve"> </w:t>
      </w:r>
      <w:r w:rsidRPr="00FB1EE6">
        <w:rPr>
          <w:rFonts w:cs="Arial"/>
        </w:rPr>
        <w:t>Communications Alliance,</w:t>
      </w:r>
      <w:r>
        <w:rPr>
          <w:rFonts w:cs="Arial"/>
        </w:rPr>
        <w:t xml:space="preserve"> 2016,</w:t>
      </w:r>
      <w:r w:rsidRPr="00FB1EE6">
        <w:rPr>
          <w:rFonts w:cs="Arial"/>
        </w:rPr>
        <w:t xml:space="preserve"> </w:t>
      </w:r>
      <w:hyperlink r:id="rId3" w:history="1">
        <w:r w:rsidRPr="00FB1EE6">
          <w:rPr>
            <w:rStyle w:val="Hyperlink"/>
            <w:i/>
            <w:iCs/>
          </w:rPr>
          <w:t>Industry Guidance Note (IGN009) CLI Management</w:t>
        </w:r>
      </w:hyperlink>
      <w:r w:rsidRPr="00FB1EE6">
        <w:rPr>
          <w:rFonts w:cs="Arial"/>
        </w:rPr>
        <w:t>, viewed 15 June 2020.</w:t>
      </w:r>
      <w:r w:rsidRPr="0036650D">
        <w:t xml:space="preserve"> </w:t>
      </w:r>
      <w:r w:rsidRPr="0036650D">
        <w:rPr>
          <w:rFonts w:cs="Arial"/>
        </w:rPr>
        <w:t xml:space="preserve">The government was not involved in drafting the guidance note </w:t>
      </w:r>
      <w:r>
        <w:rPr>
          <w:rFonts w:cs="Arial"/>
        </w:rPr>
        <w:t xml:space="preserve">and </w:t>
      </w:r>
      <w:r w:rsidRPr="0036650D">
        <w:rPr>
          <w:rFonts w:cs="Arial"/>
        </w:rPr>
        <w:t>compliance with an industry guidance note is not mandatory nor enforceable by the ACMA.</w:t>
      </w:r>
    </w:p>
  </w:footnote>
  <w:footnote w:id="6">
    <w:p w14:paraId="28D35897" w14:textId="345EF33D" w:rsidR="002A2F5E" w:rsidRDefault="002A2F5E" w:rsidP="00DB2B1C">
      <w:pPr>
        <w:pStyle w:val="FootnoteText"/>
      </w:pPr>
      <w:r>
        <w:rPr>
          <w:rStyle w:val="FootnoteReference"/>
        </w:rPr>
        <w:footnoteRef/>
      </w:r>
      <w:r>
        <w:t xml:space="preserve"> Calling line identification is the public number displayed on an outgoing call. It is used to accurate route the call over telecommunications networks.</w:t>
      </w:r>
    </w:p>
  </w:footnote>
  <w:footnote w:id="7">
    <w:p w14:paraId="4EFA711F" w14:textId="459A063B" w:rsidR="002A2F5E" w:rsidRPr="00210467" w:rsidRDefault="002A2F5E" w:rsidP="00DB2B1C">
      <w:pPr>
        <w:pStyle w:val="FootnoteText"/>
        <w:rPr>
          <w:rFonts w:cs="Arial"/>
        </w:rPr>
      </w:pPr>
      <w:r w:rsidRPr="003863E9">
        <w:rPr>
          <w:rFonts w:cs="Arial"/>
          <w:vertAlign w:val="superscript"/>
        </w:rPr>
        <w:footnoteRef/>
      </w:r>
      <w:r w:rsidRPr="003863E9">
        <w:rPr>
          <w:rFonts w:cs="Arial"/>
          <w:vertAlign w:val="superscript"/>
        </w:rPr>
        <w:t xml:space="preserve"> </w:t>
      </w:r>
      <w:r>
        <w:rPr>
          <w:rFonts w:cs="Arial"/>
        </w:rPr>
        <w:t>CLI</w:t>
      </w:r>
      <w:r w:rsidRPr="00DB2473">
        <w:rPr>
          <w:rFonts w:cs="Arial"/>
        </w:rPr>
        <w:t xml:space="preserve"> or caller ID enables telephone number of calling number to be displayed. </w:t>
      </w:r>
      <w:r>
        <w:rPr>
          <w:rFonts w:cs="Arial"/>
        </w:rPr>
        <w:t xml:space="preserve">C/CSPs use </w:t>
      </w:r>
      <w:r w:rsidRPr="00DB2473">
        <w:rPr>
          <w:rFonts w:cs="Arial"/>
        </w:rPr>
        <w:t>CLI for the routing of telephone calls (</w:t>
      </w:r>
      <w:r>
        <w:rPr>
          <w:rFonts w:cs="Arial"/>
        </w:rPr>
        <w:t>for example,</w:t>
      </w:r>
      <w:r w:rsidRPr="00DB2473">
        <w:rPr>
          <w:rFonts w:cs="Arial"/>
        </w:rPr>
        <w:t xml:space="preserve"> for inbound calls) and billing of services.</w:t>
      </w:r>
      <w:r>
        <w:rPr>
          <w:rFonts w:cs="Arial"/>
        </w:rPr>
        <w:t xml:space="preserve"> </w:t>
      </w:r>
      <w:r w:rsidRPr="00222F81">
        <w:rPr>
          <w:rFonts w:cs="Arial"/>
        </w:rPr>
        <w:t>CLI over-stamping or spoofing</w:t>
      </w:r>
      <w:r w:rsidRPr="00210467">
        <w:rPr>
          <w:rFonts w:cs="Arial"/>
        </w:rPr>
        <w:t xml:space="preserve"> is a change of CLI to deliberately mask or mislead the call recipient about the identity of the caller.</w:t>
      </w:r>
      <w:r w:rsidRPr="00DB2473">
        <w:rPr>
          <w:rFonts w:cs="Arial"/>
        </w:rPr>
        <w:t xml:space="preserve"> </w:t>
      </w:r>
      <w:r>
        <w:rPr>
          <w:rFonts w:cs="Arial"/>
        </w:rPr>
        <w:t xml:space="preserve">It </w:t>
      </w:r>
      <w:r w:rsidRPr="00DB2473">
        <w:rPr>
          <w:rFonts w:cs="Arial"/>
        </w:rPr>
        <w:t>caus</w:t>
      </w:r>
      <w:r>
        <w:rPr>
          <w:rFonts w:cs="Arial"/>
        </w:rPr>
        <w:t>es</w:t>
      </w:r>
      <w:r w:rsidRPr="00DB2473">
        <w:rPr>
          <w:rFonts w:cs="Arial"/>
        </w:rPr>
        <w:t xml:space="preserve"> the caller ID to present as a number different from which the call</w:t>
      </w:r>
      <w:r>
        <w:rPr>
          <w:rFonts w:cs="Arial"/>
        </w:rPr>
        <w:t xml:space="preserve"> </w:t>
      </w:r>
      <w:r w:rsidRPr="00DB2473">
        <w:rPr>
          <w:rFonts w:cs="Arial"/>
        </w:rPr>
        <w:t>originates. This can be used maliciously to make a call falsely appear to be from a trusted or local source.</w:t>
      </w:r>
    </w:p>
  </w:footnote>
  <w:footnote w:id="8">
    <w:p w14:paraId="54518DC2" w14:textId="10FFC91E" w:rsidR="002A2F5E" w:rsidRDefault="002A2F5E" w:rsidP="00DB2B1C">
      <w:pPr>
        <w:pStyle w:val="FootnoteText"/>
      </w:pPr>
      <w:r>
        <w:rPr>
          <w:rStyle w:val="FootnoteReference"/>
        </w:rPr>
        <w:footnoteRef/>
      </w:r>
      <w:r>
        <w:t xml:space="preserve"> </w:t>
      </w:r>
      <w:r w:rsidRPr="00F54A65">
        <w:t xml:space="preserve">For the purposes of this RIS, we have conservatively estimated </w:t>
      </w:r>
      <w:r>
        <w:t xml:space="preserve">a maximum of </w:t>
      </w:r>
      <w:r w:rsidRPr="00F54A65">
        <w:t>413 C/CSPs may be covered by enforceable obligations</w:t>
      </w:r>
      <w:r>
        <w:t xml:space="preserve">. </w:t>
      </w:r>
      <w:r w:rsidRPr="00D96F6C">
        <w:t xml:space="preserve">Four </w:t>
      </w:r>
      <w:r>
        <w:t>large C/CSPs</w:t>
      </w:r>
      <w:r w:rsidRPr="00D96F6C">
        <w:t xml:space="preserve"> (Telstra, Optus, TPG and Symbio) have been allocated nearly 90% of all mobile and fixed-line service numbers.</w:t>
      </w:r>
      <w:r w:rsidRPr="00D96F6C">
        <w:rPr>
          <w:szCs w:val="20"/>
        </w:rPr>
        <w:t xml:space="preserve"> The remaining 10% of numbers have been allocated to 409 medium, small and very small C/CSPs.</w:t>
      </w:r>
    </w:p>
  </w:footnote>
  <w:footnote w:id="9">
    <w:p w14:paraId="57B832CD" w14:textId="12AA611C" w:rsidR="002A2F5E" w:rsidRDefault="002A2F5E" w:rsidP="00DB2B1C">
      <w:pPr>
        <w:pStyle w:val="FootnoteText"/>
      </w:pPr>
      <w:r>
        <w:rPr>
          <w:rStyle w:val="FootnoteReference"/>
        </w:rPr>
        <w:footnoteRef/>
      </w:r>
      <w:r>
        <w:t xml:space="preserve"> </w:t>
      </w:r>
      <w:r w:rsidRPr="002E7375">
        <w:t>The Wangiri scam involves many telephone calls of very short duration</w:t>
      </w:r>
      <w:r>
        <w:t>s</w:t>
      </w:r>
      <w:r w:rsidRPr="002E7375">
        <w:t xml:space="preserve"> (</w:t>
      </w:r>
      <w:r>
        <w:t>for example,</w:t>
      </w:r>
      <w:r w:rsidRPr="002E7375">
        <w:t xml:space="preserve"> the call may ring once only) to entice a call-back, usually to an overseas number. The short duration of the call means most calls will go unanswered. Return calls incur a high charge</w:t>
      </w:r>
      <w:r>
        <w:t xml:space="preserve"> – </w:t>
      </w:r>
      <w:r w:rsidRPr="002E7375">
        <w:t>the longer the call, the higher the charge.</w:t>
      </w:r>
    </w:p>
  </w:footnote>
  <w:footnote w:id="10">
    <w:p w14:paraId="4CB9C38D" w14:textId="0FF1CCEE" w:rsidR="002A2F5E" w:rsidRPr="003A1B32" w:rsidRDefault="002A2F5E" w:rsidP="00DB2B1C">
      <w:pPr>
        <w:pStyle w:val="FootnoteText"/>
        <w:rPr>
          <w:rFonts w:cs="Arial"/>
        </w:rPr>
      </w:pPr>
      <w:r>
        <w:rPr>
          <w:rStyle w:val="FootnoteReference"/>
        </w:rPr>
        <w:footnoteRef/>
      </w:r>
      <w:r>
        <w:t xml:space="preserve"> </w:t>
      </w:r>
      <w:r w:rsidRPr="000C13B2">
        <w:rPr>
          <w:rFonts w:cs="Arial"/>
        </w:rPr>
        <w:t>Impersonation and gaining trust are a key tactic of phishing scams</w:t>
      </w:r>
      <w:r>
        <w:rPr>
          <w:rFonts w:cs="Arial"/>
        </w:rPr>
        <w:t>.</w:t>
      </w:r>
      <w:r w:rsidRPr="000C13B2">
        <w:rPr>
          <w:rFonts w:cs="Arial"/>
        </w:rPr>
        <w:t xml:space="preserve"> Scammers use fake information, trusted/well-known brands and spurious links leading to malware or locations where criminals can steal personal information</w:t>
      </w:r>
      <w:r>
        <w:rPr>
          <w:rFonts w:cs="Arial"/>
        </w:rPr>
        <w:t>.</w:t>
      </w:r>
      <w:r w:rsidRPr="003A1B32">
        <w:t xml:space="preserve"> </w:t>
      </w:r>
      <w:r w:rsidRPr="003A1B32">
        <w:rPr>
          <w:rFonts w:cs="Arial"/>
        </w:rPr>
        <w:t xml:space="preserve">When targets respond to the </w:t>
      </w:r>
      <w:r>
        <w:rPr>
          <w:rFonts w:cs="Arial"/>
        </w:rPr>
        <w:t>phish</w:t>
      </w:r>
      <w:r w:rsidRPr="003A1B32">
        <w:rPr>
          <w:rFonts w:cs="Arial"/>
        </w:rPr>
        <w:t>, they respond by giving money,</w:t>
      </w:r>
      <w:r>
        <w:rPr>
          <w:rFonts w:cs="Arial"/>
        </w:rPr>
        <w:t xml:space="preserve"> </w:t>
      </w:r>
      <w:r w:rsidRPr="003A1B32">
        <w:rPr>
          <w:rFonts w:cs="Arial"/>
        </w:rPr>
        <w:t>resources, or access to the phisher.</w:t>
      </w:r>
    </w:p>
  </w:footnote>
  <w:footnote w:id="11">
    <w:p w14:paraId="0D8FD729" w14:textId="77777777" w:rsidR="002A2F5E" w:rsidRDefault="002A2F5E" w:rsidP="00DB2B1C">
      <w:pPr>
        <w:pStyle w:val="FootnoteText"/>
      </w:pPr>
      <w:r>
        <w:rPr>
          <w:rStyle w:val="FootnoteReference"/>
        </w:rPr>
        <w:footnoteRef/>
      </w:r>
      <w:r>
        <w:t xml:space="preserve"> </w:t>
      </w:r>
      <w:r w:rsidRPr="004F1122">
        <w:t>Th</w:t>
      </w:r>
      <w:r>
        <w:t>e</w:t>
      </w:r>
      <w:r w:rsidRPr="004F1122">
        <w:t xml:space="preserve"> ACCC works with state and territory consumer protection agencies and other government agencies to promote awareness in the community about scams. Scamwatch is run by the ACCC</w:t>
      </w:r>
      <w:r>
        <w:t xml:space="preserve"> and</w:t>
      </w:r>
      <w:r w:rsidRPr="004F1122">
        <w:t xml:space="preserve"> provides information to consumers and small businesses about how to recognise, avoid and report scams.</w:t>
      </w:r>
    </w:p>
  </w:footnote>
  <w:footnote w:id="12">
    <w:p w14:paraId="623DF8B0" w14:textId="0B2C025E" w:rsidR="002A2F5E" w:rsidRDefault="002A2F5E" w:rsidP="00DB2B1C">
      <w:pPr>
        <w:pStyle w:val="FootnoteText"/>
      </w:pPr>
      <w:r>
        <w:rPr>
          <w:rStyle w:val="FootnoteReference"/>
        </w:rPr>
        <w:footnoteRef/>
      </w:r>
      <w:r>
        <w:t xml:space="preserve"> </w:t>
      </w:r>
      <w:r w:rsidRPr="005045B6">
        <w:t>ACCC</w:t>
      </w:r>
      <w:r>
        <w:t xml:space="preserve">, 2020, </w:t>
      </w:r>
      <w:hyperlink r:id="rId4" w:history="1">
        <w:r w:rsidRPr="007E2BB6">
          <w:rPr>
            <w:rStyle w:val="Hyperlink"/>
            <w:i/>
            <w:iCs/>
          </w:rPr>
          <w:t xml:space="preserve">Targeting </w:t>
        </w:r>
        <w:r>
          <w:rPr>
            <w:rStyle w:val="Hyperlink"/>
            <w:i/>
            <w:iCs/>
          </w:rPr>
          <w:t>s</w:t>
        </w:r>
        <w:r w:rsidRPr="007E2BB6">
          <w:rPr>
            <w:rStyle w:val="Hyperlink"/>
            <w:i/>
            <w:iCs/>
          </w:rPr>
          <w:t>cams 2019: A review of scam activity since 2009</w:t>
        </w:r>
      </w:hyperlink>
      <w:r w:rsidRPr="005045B6">
        <w:t>, viewed 6 October 2020</w:t>
      </w:r>
      <w:r>
        <w:t>.</w:t>
      </w:r>
    </w:p>
  </w:footnote>
  <w:footnote w:id="13">
    <w:p w14:paraId="7E7A6BFF" w14:textId="3CDCB52B" w:rsidR="002A2F5E" w:rsidRDefault="002A2F5E" w:rsidP="00DB2B1C">
      <w:pPr>
        <w:pStyle w:val="FootnoteText"/>
      </w:pPr>
      <w:r>
        <w:rPr>
          <w:rStyle w:val="FootnoteReference"/>
        </w:rPr>
        <w:footnoteRef/>
      </w:r>
      <w:r>
        <w:t xml:space="preserve"> </w:t>
      </w:r>
      <w:bookmarkStart w:id="21" w:name="_Hlk54943106"/>
      <w:r w:rsidRPr="00B866BE">
        <w:t>Australian Institute of Criminology,</w:t>
      </w:r>
      <w:r>
        <w:t xml:space="preserve"> </w:t>
      </w:r>
      <w:r w:rsidRPr="00B866BE">
        <w:t>2019</w:t>
      </w:r>
      <w:r>
        <w:t>,</w:t>
      </w:r>
      <w:r w:rsidRPr="00B866BE">
        <w:t xml:space="preserve"> </w:t>
      </w:r>
      <w:hyperlink r:id="rId5" w:history="1">
        <w:r w:rsidRPr="00F770D0">
          <w:rPr>
            <w:rStyle w:val="Hyperlink"/>
            <w:i/>
            <w:iCs/>
          </w:rPr>
          <w:t>Identity crime and misuse in Australia</w:t>
        </w:r>
      </w:hyperlink>
      <w:r w:rsidRPr="00B866BE">
        <w:t>, viewed 29 October 2020.</w:t>
      </w:r>
      <w:bookmarkEnd w:id="21"/>
    </w:p>
  </w:footnote>
  <w:footnote w:id="14">
    <w:p w14:paraId="1CFC72DB" w14:textId="7A1F069D" w:rsidR="002A2F5E" w:rsidRDefault="002A2F5E" w:rsidP="00DB2B1C">
      <w:pPr>
        <w:pStyle w:val="FootnoteText"/>
      </w:pPr>
      <w:r>
        <w:rPr>
          <w:rStyle w:val="FootnoteReference"/>
        </w:rPr>
        <w:footnoteRef/>
      </w:r>
      <w:r>
        <w:t xml:space="preserve"> </w:t>
      </w:r>
      <w:r w:rsidRPr="000E2896">
        <w:t>ACCC,</w:t>
      </w:r>
      <w:r>
        <w:t xml:space="preserve"> 2020,</w:t>
      </w:r>
      <w:r w:rsidRPr="000E2896">
        <w:t xml:space="preserve"> </w:t>
      </w:r>
      <w:hyperlink r:id="rId6" w:history="1">
        <w:r w:rsidRPr="00F770D0">
          <w:rPr>
            <w:rStyle w:val="Hyperlink"/>
            <w:i/>
            <w:iCs/>
          </w:rPr>
          <w:t>Targeting scams 2019: A review of scam activity since 2009</w:t>
        </w:r>
      </w:hyperlink>
      <w:r w:rsidRPr="000E2896">
        <w:t xml:space="preserve">, viewed </w:t>
      </w:r>
      <w:r>
        <w:t>6</w:t>
      </w:r>
      <w:r w:rsidRPr="000E2896">
        <w:t xml:space="preserve"> October 2020.</w:t>
      </w:r>
    </w:p>
  </w:footnote>
  <w:footnote w:id="15">
    <w:p w14:paraId="6D5E964F" w14:textId="53F693B8" w:rsidR="002A2F5E" w:rsidRPr="00733ED5" w:rsidRDefault="002A2F5E" w:rsidP="00DB2B1C">
      <w:pPr>
        <w:pStyle w:val="FootnoteText"/>
      </w:pPr>
      <w:r>
        <w:rPr>
          <w:rStyle w:val="FootnoteReference"/>
        </w:rPr>
        <w:footnoteRef/>
      </w:r>
      <w:r>
        <w:t xml:space="preserve"> </w:t>
      </w:r>
      <w:r w:rsidRPr="008002E3">
        <w:t>Reported to Scamwatch, other government agencies and the big four banks. ACCC Scamwatch</w:t>
      </w:r>
      <w:r>
        <w:t>, 2020,</w:t>
      </w:r>
      <w:r w:rsidRPr="008002E3">
        <w:t xml:space="preserve"> </w:t>
      </w:r>
      <w:hyperlink r:id="rId7" w:history="1">
        <w:r w:rsidRPr="003F1A99">
          <w:rPr>
            <w:rStyle w:val="Hyperlink"/>
            <w:i/>
            <w:iCs/>
          </w:rPr>
          <w:t>Targeting scams 2019: A review of scam activity since 2009</w:t>
        </w:r>
      </w:hyperlink>
      <w:r w:rsidRPr="008002E3">
        <w:t>, viewed 14 October 2020</w:t>
      </w:r>
      <w:r>
        <w:t>.</w:t>
      </w:r>
    </w:p>
  </w:footnote>
  <w:footnote w:id="16">
    <w:p w14:paraId="60B9477D" w14:textId="79472D35" w:rsidR="002A2F5E" w:rsidRDefault="002A2F5E" w:rsidP="00DB2B1C">
      <w:pPr>
        <w:pStyle w:val="FootnoteText"/>
      </w:pPr>
      <w:r>
        <w:rPr>
          <w:rStyle w:val="FootnoteReference"/>
        </w:rPr>
        <w:footnoteRef/>
      </w:r>
      <w:r>
        <w:t xml:space="preserve"> ibid</w:t>
      </w:r>
      <w:r w:rsidRPr="008002E3">
        <w:t>, viewed 5 July 2020.</w:t>
      </w:r>
    </w:p>
  </w:footnote>
  <w:footnote w:id="17">
    <w:p w14:paraId="3EF86ABD" w14:textId="467EF291" w:rsidR="002A2F5E" w:rsidRDefault="002A2F5E" w:rsidP="00DB2B1C">
      <w:pPr>
        <w:pStyle w:val="FootnoteText"/>
      </w:pPr>
      <w:r>
        <w:rPr>
          <w:rStyle w:val="FootnoteReference"/>
        </w:rPr>
        <w:footnoteRef/>
      </w:r>
      <w:r>
        <w:t xml:space="preserve"> </w:t>
      </w:r>
      <w:r w:rsidRPr="00DB758F">
        <w:t xml:space="preserve">ACCC Scamwatch, </w:t>
      </w:r>
      <w:hyperlink r:id="rId8" w:history="1">
        <w:r w:rsidRPr="003F1A99">
          <w:rPr>
            <w:rStyle w:val="Hyperlink"/>
          </w:rPr>
          <w:t>Current</w:t>
        </w:r>
        <w:r w:rsidRPr="002B17E9">
          <w:rPr>
            <w:rStyle w:val="Hyperlink"/>
          </w:rPr>
          <w:t xml:space="preserve"> COVID-19 (coronavirus)</w:t>
        </w:r>
        <w:r w:rsidRPr="0061279C">
          <w:rPr>
            <w:rStyle w:val="Hyperlink"/>
          </w:rPr>
          <w:t xml:space="preserve"> </w:t>
        </w:r>
        <w:r w:rsidRPr="003F1A99">
          <w:rPr>
            <w:rStyle w:val="Hyperlink"/>
          </w:rPr>
          <w:t>scams</w:t>
        </w:r>
      </w:hyperlink>
      <w:r w:rsidRPr="0061279C">
        <w:t>, viewed 14 October 2020.</w:t>
      </w:r>
    </w:p>
  </w:footnote>
  <w:footnote w:id="18">
    <w:p w14:paraId="5B23B6D1" w14:textId="0278174C" w:rsidR="002A2F5E" w:rsidRDefault="002A2F5E" w:rsidP="00DB2B1C">
      <w:pPr>
        <w:pStyle w:val="FootnoteText"/>
      </w:pPr>
      <w:r>
        <w:rPr>
          <w:rStyle w:val="FootnoteReference"/>
        </w:rPr>
        <w:footnoteRef/>
      </w:r>
      <w:r>
        <w:t xml:space="preserve"> </w:t>
      </w:r>
      <w:r w:rsidRPr="004B18E0">
        <w:t>ACCC Scamwatch</w:t>
      </w:r>
      <w:r>
        <w:t>,</w:t>
      </w:r>
      <w:r w:rsidRPr="004B18E0">
        <w:t xml:space="preserve"> </w:t>
      </w:r>
      <w:hyperlink r:id="rId9" w:history="1">
        <w:r w:rsidRPr="009403C3">
          <w:rPr>
            <w:rStyle w:val="Hyperlink"/>
          </w:rPr>
          <w:t>Scam statistics September 2020</w:t>
        </w:r>
      </w:hyperlink>
      <w:r w:rsidRPr="004B18E0">
        <w:t>, viewed 6 October 2020</w:t>
      </w:r>
      <w:r>
        <w:t>.</w:t>
      </w:r>
    </w:p>
  </w:footnote>
  <w:footnote w:id="19">
    <w:p w14:paraId="042947D2" w14:textId="0BEDFC8A" w:rsidR="002A2F5E" w:rsidRDefault="002A2F5E" w:rsidP="00DB2B1C">
      <w:pPr>
        <w:pStyle w:val="FootnoteText"/>
      </w:pPr>
      <w:r>
        <w:rPr>
          <w:rStyle w:val="FootnoteReference"/>
        </w:rPr>
        <w:footnoteRef/>
      </w:r>
      <w:r>
        <w:t xml:space="preserve"> Unpublished ACCC Scamwatch data supplied.</w:t>
      </w:r>
    </w:p>
  </w:footnote>
  <w:footnote w:id="20">
    <w:p w14:paraId="3EB4F93D" w14:textId="2FA410C2" w:rsidR="002A2F5E" w:rsidRDefault="002A2F5E" w:rsidP="00DB2B1C">
      <w:pPr>
        <w:pStyle w:val="FootnoteText"/>
      </w:pPr>
      <w:r>
        <w:rPr>
          <w:rStyle w:val="FootnoteReference"/>
        </w:rPr>
        <w:footnoteRef/>
      </w:r>
      <w:r>
        <w:t xml:space="preserve"> </w:t>
      </w:r>
      <w:r w:rsidRPr="00C82648">
        <w:rPr>
          <w:rFonts w:cs="Arial"/>
        </w:rPr>
        <w:t>ACCC,</w:t>
      </w:r>
      <w:r>
        <w:rPr>
          <w:rFonts w:cs="Arial"/>
        </w:rPr>
        <w:t xml:space="preserve"> 2020,</w:t>
      </w:r>
      <w:r w:rsidRPr="00C82648">
        <w:rPr>
          <w:rFonts w:cs="Arial"/>
        </w:rPr>
        <w:t xml:space="preserve"> </w:t>
      </w:r>
      <w:hyperlink r:id="rId10" w:history="1">
        <w:r w:rsidRPr="008278B1">
          <w:rPr>
            <w:rStyle w:val="Hyperlink"/>
            <w:rFonts w:cs="Arial"/>
            <w:i/>
            <w:iCs/>
          </w:rPr>
          <w:t>Targeting scams 2019: A review of scam activity since 2009</w:t>
        </w:r>
      </w:hyperlink>
      <w:r w:rsidRPr="00C82648">
        <w:rPr>
          <w:rFonts w:cs="Arial"/>
        </w:rPr>
        <w:t>, viewed 5 July 2020.</w:t>
      </w:r>
    </w:p>
  </w:footnote>
  <w:footnote w:id="21">
    <w:p w14:paraId="3FCA6A9C" w14:textId="77777777" w:rsidR="002A2F5E" w:rsidRDefault="002A2F5E" w:rsidP="00DB2B1C">
      <w:pPr>
        <w:pStyle w:val="FootnoteText"/>
      </w:pPr>
      <w:r>
        <w:rPr>
          <w:rStyle w:val="FootnoteReference"/>
        </w:rPr>
        <w:footnoteRef/>
      </w:r>
      <w:r>
        <w:t xml:space="preserve"> Unpublished ACCC Scamwatch data supplied.</w:t>
      </w:r>
    </w:p>
  </w:footnote>
  <w:footnote w:id="22">
    <w:p w14:paraId="5368A728" w14:textId="77777777" w:rsidR="002A2F5E" w:rsidRDefault="002A2F5E" w:rsidP="00DB2B1C">
      <w:pPr>
        <w:pStyle w:val="FootnoteText"/>
      </w:pPr>
      <w:r>
        <w:rPr>
          <w:rStyle w:val="FootnoteReference"/>
        </w:rPr>
        <w:footnoteRef/>
      </w:r>
      <w:r>
        <w:t xml:space="preserve"> Internal ACMA data based on complaints received from consumers relating to phone scams.</w:t>
      </w:r>
    </w:p>
  </w:footnote>
  <w:footnote w:id="23">
    <w:p w14:paraId="70E1841E" w14:textId="77777777" w:rsidR="002A2F5E" w:rsidRDefault="002A2F5E" w:rsidP="00DB2B1C">
      <w:pPr>
        <w:pStyle w:val="FootnoteText"/>
      </w:pPr>
      <w:r>
        <w:rPr>
          <w:rStyle w:val="FootnoteReference"/>
        </w:rPr>
        <w:footnoteRef/>
      </w:r>
      <w:r>
        <w:t xml:space="preserve"> A</w:t>
      </w:r>
      <w:r w:rsidRPr="00265917">
        <w:t>pproximately 30 to 60</w:t>
      </w:r>
      <w:r>
        <w:t xml:space="preserve">% </w:t>
      </w:r>
      <w:r w:rsidRPr="00265917">
        <w:t xml:space="preserve">of complaints </w:t>
      </w:r>
      <w:r>
        <w:t xml:space="preserve">to the ACMA </w:t>
      </w:r>
      <w:r w:rsidRPr="00265917">
        <w:t>about telemarketing are likely to be about scam calls</w:t>
      </w:r>
      <w:r>
        <w:t xml:space="preserve"> (</w:t>
      </w:r>
      <w:r w:rsidRPr="00265917">
        <w:t>due to the activity and obfuscation involved, it is not possible to quantify the figures</w:t>
      </w:r>
      <w:r>
        <w:t xml:space="preserve"> further).</w:t>
      </w:r>
    </w:p>
  </w:footnote>
  <w:footnote w:id="24">
    <w:p w14:paraId="169663E5" w14:textId="2E48135A" w:rsidR="002A2F5E" w:rsidRDefault="002A2F5E" w:rsidP="00DB2B1C">
      <w:pPr>
        <w:pStyle w:val="FootnoteText"/>
      </w:pPr>
      <w:r>
        <w:rPr>
          <w:rStyle w:val="FootnoteReference"/>
        </w:rPr>
        <w:footnoteRef/>
      </w:r>
      <w:r>
        <w:t xml:space="preserve"> AC</w:t>
      </w:r>
      <w:r>
        <w:t>CC, S</w:t>
      </w:r>
      <w:r>
        <w:t>camwatch statistics September 2020, viewed 6 October 2020.</w:t>
      </w:r>
    </w:p>
  </w:footnote>
  <w:footnote w:id="25">
    <w:p w14:paraId="2282F85F" w14:textId="1C296D81" w:rsidR="002A2F5E" w:rsidRDefault="002A2F5E" w:rsidP="00DB2B1C">
      <w:pPr>
        <w:pStyle w:val="FootnoteText"/>
      </w:pPr>
      <w:r>
        <w:rPr>
          <w:rStyle w:val="FootnoteReference"/>
        </w:rPr>
        <w:footnoteRef/>
      </w:r>
      <w:r>
        <w:t xml:space="preserve"> Australian local numbers start </w:t>
      </w:r>
      <w:r w:rsidRPr="002A422F">
        <w:t>with the area code (02), (03), (07) or (08)</w:t>
      </w:r>
      <w:r>
        <w:t>. Mobile numbers start with (04XX).</w:t>
      </w:r>
    </w:p>
  </w:footnote>
  <w:footnote w:id="26">
    <w:p w14:paraId="157F267C" w14:textId="7C5AB198" w:rsidR="002A2F5E" w:rsidRDefault="002A2F5E" w:rsidP="00DB2B1C">
      <w:pPr>
        <w:pStyle w:val="FootnoteText"/>
      </w:pPr>
      <w:r>
        <w:rPr>
          <w:rStyle w:val="FootnoteReference"/>
        </w:rPr>
        <w:footnoteRef/>
      </w:r>
      <w:r>
        <w:t xml:space="preserve"> </w:t>
      </w:r>
      <w:r w:rsidRPr="0089705F">
        <w:rPr>
          <w:rFonts w:cs="Arial"/>
        </w:rPr>
        <w:t>ACMA,</w:t>
      </w:r>
      <w:r>
        <w:rPr>
          <w:rFonts w:cs="Arial"/>
        </w:rPr>
        <w:t xml:space="preserve"> 2020,</w:t>
      </w:r>
      <w:r w:rsidRPr="0089705F">
        <w:rPr>
          <w:rFonts w:cs="Arial"/>
        </w:rPr>
        <w:t xml:space="preserve"> </w:t>
      </w:r>
      <w:r w:rsidRPr="00253C4C">
        <w:rPr>
          <w:rFonts w:cs="Arial"/>
          <w:i/>
          <w:iCs/>
        </w:rPr>
        <w:t>Communications report 2018–19</w:t>
      </w:r>
      <w:r w:rsidRPr="0089705F">
        <w:rPr>
          <w:rFonts w:cs="Arial"/>
        </w:rPr>
        <w:t>, viewed 2 September 2020</w:t>
      </w:r>
      <w:r>
        <w:rPr>
          <w:rFonts w:cs="Arial"/>
        </w:rPr>
        <w:t>.</w:t>
      </w:r>
    </w:p>
  </w:footnote>
  <w:footnote w:id="27">
    <w:p w14:paraId="49F431F2" w14:textId="3E5C1C37" w:rsidR="002A2F5E" w:rsidRDefault="002A2F5E" w:rsidP="00DB2B1C">
      <w:pPr>
        <w:pStyle w:val="FootnoteText"/>
      </w:pPr>
      <w:r>
        <w:rPr>
          <w:rStyle w:val="FootnoteReference"/>
        </w:rPr>
        <w:footnoteRef/>
      </w:r>
      <w:r>
        <w:t xml:space="preserve"> ACMA, 2020, </w:t>
      </w:r>
      <w:hyperlink r:id="rId11" w:history="1">
        <w:r w:rsidRPr="007A417B">
          <w:rPr>
            <w:rStyle w:val="Hyperlink"/>
            <w:i/>
            <w:iCs/>
          </w:rPr>
          <w:t>Trends in online behaviour and technology usage: ACMA consumer survey 2020</w:t>
        </w:r>
      </w:hyperlink>
      <w:r>
        <w:t>, viewed 8 October 2020.</w:t>
      </w:r>
    </w:p>
  </w:footnote>
  <w:footnote w:id="28">
    <w:p w14:paraId="5CF46C24" w14:textId="77777777" w:rsidR="00CF1B8D" w:rsidRDefault="00CF1B8D" w:rsidP="00CF1B8D">
      <w:pPr>
        <w:pStyle w:val="FootnoteText"/>
      </w:pPr>
      <w:r>
        <w:rPr>
          <w:rStyle w:val="FootnoteReference"/>
        </w:rPr>
        <w:footnoteRef/>
      </w:r>
      <w:r>
        <w:t xml:space="preserve"> ibid.</w:t>
      </w:r>
    </w:p>
  </w:footnote>
  <w:footnote w:id="29">
    <w:p w14:paraId="2FC08E12" w14:textId="6C66362B" w:rsidR="002A2F5E" w:rsidRDefault="002A2F5E" w:rsidP="00DB2B1C">
      <w:pPr>
        <w:pStyle w:val="FootnoteText"/>
      </w:pPr>
      <w:r>
        <w:rPr>
          <w:rStyle w:val="FootnoteReference"/>
        </w:rPr>
        <w:footnoteRef/>
      </w:r>
      <w:r>
        <w:t xml:space="preserve"> </w:t>
      </w:r>
      <w:r w:rsidRPr="008200ED">
        <w:t>IDCARE is Australia and New Zealand’s national identity and cyber support service</w:t>
      </w:r>
      <w:r>
        <w:t xml:space="preserve">. It was </w:t>
      </w:r>
      <w:r w:rsidRPr="008200ED">
        <w:t>formed to address a critical support gap for individuals confronting identity and cyber security concerns</w:t>
      </w:r>
      <w:r>
        <w:t>.</w:t>
      </w:r>
    </w:p>
  </w:footnote>
  <w:footnote w:id="30">
    <w:p w14:paraId="0917066F" w14:textId="4CF5216D" w:rsidR="002A2F5E" w:rsidRDefault="002A2F5E" w:rsidP="00DB2B1C">
      <w:pPr>
        <w:pStyle w:val="FootnoteText"/>
      </w:pPr>
      <w:r>
        <w:rPr>
          <w:rStyle w:val="FootnoteReference"/>
        </w:rPr>
        <w:footnoteRef/>
      </w:r>
      <w:r>
        <w:t xml:space="preserve"> </w:t>
      </w:r>
      <w:r w:rsidRPr="00526CBA">
        <w:t xml:space="preserve">ACCC, </w:t>
      </w:r>
      <w:r>
        <w:t xml:space="preserve">2020, </w:t>
      </w:r>
      <w:hyperlink r:id="rId12" w:history="1">
        <w:r>
          <w:rPr>
            <w:rStyle w:val="Hyperlink"/>
            <w:i/>
            <w:iCs/>
          </w:rPr>
          <w:t>Targeting scams 2019: A review of scam activity since 2009</w:t>
        </w:r>
      </w:hyperlink>
      <w:r>
        <w:rPr>
          <w:rStyle w:val="Hyperlink"/>
          <w:i/>
          <w:iCs/>
        </w:rPr>
        <w:t>,</w:t>
      </w:r>
      <w:r w:rsidRPr="00526CBA">
        <w:t xml:space="preserve"> viewed 13 October 2020</w:t>
      </w:r>
      <w:r>
        <w:t>.</w:t>
      </w:r>
    </w:p>
  </w:footnote>
  <w:footnote w:id="31">
    <w:p w14:paraId="535E8526" w14:textId="7D5ED07C" w:rsidR="002A2F5E" w:rsidRDefault="002A2F5E" w:rsidP="00DB2B1C">
      <w:pPr>
        <w:pStyle w:val="FootnoteText"/>
      </w:pPr>
      <w:r>
        <w:rPr>
          <w:rStyle w:val="FootnoteReference"/>
        </w:rPr>
        <w:footnoteRef/>
      </w:r>
      <w:r>
        <w:t xml:space="preserve"> </w:t>
      </w:r>
      <w:r w:rsidRPr="005853AC">
        <w:t>Australian Institute of Criminology,</w:t>
      </w:r>
      <w:r>
        <w:t xml:space="preserve"> 2019,</w:t>
      </w:r>
      <w:r w:rsidRPr="005853AC">
        <w:t xml:space="preserve"> </w:t>
      </w:r>
      <w:hyperlink r:id="rId13" w:history="1">
        <w:r w:rsidRPr="002D7DEB">
          <w:rPr>
            <w:rStyle w:val="Hyperlink"/>
          </w:rPr>
          <w:t>‘Identity crime a</w:t>
        </w:r>
        <w:r w:rsidRPr="002D7DEB">
          <w:rPr>
            <w:rStyle w:val="Hyperlink"/>
          </w:rPr>
          <w:t>n</w:t>
        </w:r>
        <w:r w:rsidRPr="002D7DEB">
          <w:rPr>
            <w:rStyle w:val="Hyperlink"/>
          </w:rPr>
          <w:t>d misuse in Australia’</w:t>
        </w:r>
      </w:hyperlink>
      <w:r w:rsidRPr="005853AC">
        <w:t>, viewed 29 October 2020.</w:t>
      </w:r>
    </w:p>
  </w:footnote>
  <w:footnote w:id="32">
    <w:p w14:paraId="0C5CF8F5" w14:textId="77777777" w:rsidR="00CF1B8D" w:rsidRDefault="00CF1B8D" w:rsidP="00CF1B8D">
      <w:pPr>
        <w:pStyle w:val="FootnoteText"/>
      </w:pPr>
      <w:r>
        <w:rPr>
          <w:rStyle w:val="FootnoteReference"/>
        </w:rPr>
        <w:footnoteRef/>
      </w:r>
      <w:r>
        <w:t xml:space="preserve"> </w:t>
      </w:r>
      <w:r w:rsidRPr="00390F5B">
        <w:t>ACCC,</w:t>
      </w:r>
      <w:r>
        <w:t xml:space="preserve"> 2020,</w:t>
      </w:r>
      <w:r w:rsidRPr="00390F5B">
        <w:t xml:space="preserve"> </w:t>
      </w:r>
      <w:hyperlink r:id="rId14" w:history="1">
        <w:r w:rsidRPr="00C5145F">
          <w:rPr>
            <w:rStyle w:val="Hyperlink"/>
            <w:i/>
            <w:iCs/>
          </w:rPr>
          <w:t>Targeting Scams 2019 A review of scam activity since 2009</w:t>
        </w:r>
      </w:hyperlink>
      <w:r w:rsidRPr="00390F5B">
        <w:t>, viewed 13 October 2020</w:t>
      </w:r>
      <w:r>
        <w:t>.</w:t>
      </w:r>
    </w:p>
  </w:footnote>
  <w:footnote w:id="33">
    <w:p w14:paraId="2A3ED3DD" w14:textId="5D729C6A" w:rsidR="002A2F5E" w:rsidRDefault="002A2F5E" w:rsidP="00DB2B1C">
      <w:pPr>
        <w:pStyle w:val="FootnoteText"/>
      </w:pPr>
      <w:r>
        <w:rPr>
          <w:rStyle w:val="FootnoteReference"/>
        </w:rPr>
        <w:footnoteRef/>
      </w:r>
      <w:r>
        <w:t xml:space="preserve"> </w:t>
      </w:r>
      <w:bookmarkStart w:id="35" w:name="_Hlk54166615"/>
      <w:r>
        <w:t>ibid.</w:t>
      </w:r>
    </w:p>
    <w:bookmarkEnd w:id="35"/>
  </w:footnote>
  <w:footnote w:id="34">
    <w:p w14:paraId="47529A54" w14:textId="20E78545" w:rsidR="002A2F5E" w:rsidRDefault="002A2F5E" w:rsidP="00DB2B1C">
      <w:pPr>
        <w:pStyle w:val="FootnoteText"/>
      </w:pPr>
      <w:r>
        <w:rPr>
          <w:rStyle w:val="FootnoteReference"/>
        </w:rPr>
        <w:footnoteRef/>
      </w:r>
      <w:r>
        <w:t xml:space="preserve"> </w:t>
      </w:r>
      <w:bookmarkStart w:id="36" w:name="_Hlk54712864"/>
      <w:r>
        <w:t>ibid</w:t>
      </w:r>
      <w:r w:rsidRPr="00B379B3">
        <w:t xml:space="preserve">, viewed </w:t>
      </w:r>
      <w:r>
        <w:t>21</w:t>
      </w:r>
      <w:r w:rsidRPr="00B379B3">
        <w:t xml:space="preserve"> October 2020</w:t>
      </w:r>
      <w:r>
        <w:t>.</w:t>
      </w:r>
      <w:bookmarkEnd w:id="36"/>
    </w:p>
  </w:footnote>
  <w:footnote w:id="35">
    <w:p w14:paraId="46F76893" w14:textId="6CF06654" w:rsidR="002A2F5E" w:rsidRDefault="002A2F5E" w:rsidP="00DB2B1C">
      <w:pPr>
        <w:pStyle w:val="FootnoteText"/>
      </w:pPr>
      <w:r>
        <w:rPr>
          <w:rStyle w:val="FootnoteReference"/>
        </w:rPr>
        <w:footnoteRef/>
      </w:r>
      <w:r>
        <w:t xml:space="preserve"> </w:t>
      </w:r>
      <w:r w:rsidRPr="003019CE">
        <w:t>Combined losses reported to Scamwatch, o</w:t>
      </w:r>
      <w:r w:rsidRPr="003019CE">
        <w:t xml:space="preserve">ther government agencies and the big four banks. </w:t>
      </w:r>
      <w:r>
        <w:t>ibid</w:t>
      </w:r>
      <w:r w:rsidRPr="003019CE">
        <w:t>, viewed 14 October 2020.</w:t>
      </w:r>
    </w:p>
  </w:footnote>
  <w:footnote w:id="36">
    <w:p w14:paraId="1C73A400" w14:textId="51C1CB63" w:rsidR="002A2F5E" w:rsidRDefault="002A2F5E" w:rsidP="00DB2B1C">
      <w:pPr>
        <w:pStyle w:val="FootnoteText"/>
      </w:pPr>
      <w:r>
        <w:rPr>
          <w:rStyle w:val="FootnoteReference"/>
        </w:rPr>
        <w:footnoteRef/>
      </w:r>
      <w:r>
        <w:t xml:space="preserve"> </w:t>
      </w:r>
      <w:bookmarkStart w:id="37" w:name="_Hlk54943017"/>
      <w:r w:rsidRPr="00025676">
        <w:t xml:space="preserve">Australian Institute of Criminology, </w:t>
      </w:r>
      <w:r>
        <w:t xml:space="preserve">2019, </w:t>
      </w:r>
      <w:r w:rsidRPr="00025676">
        <w:t>‘</w:t>
      </w:r>
      <w:hyperlink r:id="rId15" w:history="1">
        <w:r w:rsidRPr="00A71821">
          <w:rPr>
            <w:rStyle w:val="Hyperlink"/>
          </w:rPr>
          <w:t>Identity crime and misuse in Australia</w:t>
        </w:r>
      </w:hyperlink>
      <w:r w:rsidRPr="00025676">
        <w:t xml:space="preserve">’, </w:t>
      </w:r>
      <w:r>
        <w:t>viewed 29 October 2020.</w:t>
      </w:r>
    </w:p>
    <w:bookmarkEnd w:id="37"/>
  </w:footnote>
  <w:footnote w:id="37">
    <w:p w14:paraId="1B674A40" w14:textId="5D92A28B" w:rsidR="002A2F5E" w:rsidRDefault="002A2F5E" w:rsidP="00DB2B1C">
      <w:pPr>
        <w:pStyle w:val="FootnoteText"/>
      </w:pPr>
      <w:r>
        <w:rPr>
          <w:rStyle w:val="FootnoteReference"/>
        </w:rPr>
        <w:footnoteRef/>
      </w:r>
      <w:r>
        <w:t xml:space="preserve"> </w:t>
      </w:r>
      <w:r w:rsidRPr="00AC4121">
        <w:rPr>
          <w:rFonts w:cs="Arial"/>
        </w:rPr>
        <w:t>Identity Theft Resource Centre,</w:t>
      </w:r>
      <w:r>
        <w:rPr>
          <w:rFonts w:cs="Arial"/>
        </w:rPr>
        <w:t xml:space="preserve"> 2018,</w:t>
      </w:r>
      <w:r w:rsidRPr="00AC4121">
        <w:rPr>
          <w:rFonts w:cs="Arial"/>
        </w:rPr>
        <w:t xml:space="preserve"> ‘</w:t>
      </w:r>
      <w:hyperlink r:id="rId16" w:history="1">
        <w:r w:rsidRPr="00AC4121">
          <w:rPr>
            <w:rStyle w:val="Hyperlink"/>
            <w:rFonts w:cs="Arial"/>
            <w:i/>
            <w:iCs/>
          </w:rPr>
          <w:t>The Aftermath – the non-economic impacts of identity theft</w:t>
        </w:r>
      </w:hyperlink>
      <w:r w:rsidRPr="00AC4121">
        <w:rPr>
          <w:rFonts w:cs="Arial"/>
        </w:rPr>
        <w:t xml:space="preserve">’, viewed 9 </w:t>
      </w:r>
      <w:r>
        <w:rPr>
          <w:rFonts w:cs="Arial"/>
        </w:rPr>
        <w:t>October</w:t>
      </w:r>
      <w:r w:rsidRPr="00AC4121">
        <w:rPr>
          <w:rFonts w:cs="Arial"/>
        </w:rPr>
        <w:t xml:space="preserve"> 2020</w:t>
      </w:r>
      <w:r>
        <w:rPr>
          <w:rFonts w:cs="Arial"/>
        </w:rPr>
        <w:t>.</w:t>
      </w:r>
    </w:p>
  </w:footnote>
  <w:footnote w:id="38">
    <w:p w14:paraId="64984035" w14:textId="58EC6845" w:rsidR="002A2F5E" w:rsidRDefault="002A2F5E" w:rsidP="00DB2B1C">
      <w:pPr>
        <w:pStyle w:val="FootnoteText"/>
      </w:pPr>
      <w:r>
        <w:rPr>
          <w:rStyle w:val="FootnoteReference"/>
        </w:rPr>
        <w:footnoteRef/>
      </w:r>
      <w:r>
        <w:t xml:space="preserve"> IDCARE unpublished data supplied to Australian Institute of Criminology for ‘</w:t>
      </w:r>
      <w:hyperlink r:id="rId17" w:history="1">
        <w:r w:rsidRPr="00A71821">
          <w:rPr>
            <w:rStyle w:val="Hyperlink"/>
          </w:rPr>
          <w:t>Identity crime and misuse in Australia</w:t>
        </w:r>
      </w:hyperlink>
      <w:r>
        <w:t>’, 2019, viewed 29 October 2020.</w:t>
      </w:r>
    </w:p>
  </w:footnote>
  <w:footnote w:id="39">
    <w:p w14:paraId="3FE40B9E" w14:textId="77777777" w:rsidR="002A2F5E" w:rsidRPr="00AC4121" w:rsidRDefault="002A2F5E" w:rsidP="00DB2B1C">
      <w:pPr>
        <w:pStyle w:val="FootnoteText"/>
        <w:rPr>
          <w:rFonts w:cs="Arial"/>
        </w:rPr>
      </w:pPr>
      <w:r w:rsidRPr="00AC4121">
        <w:rPr>
          <w:rStyle w:val="FootnoteReference"/>
          <w:rFonts w:cs="Arial"/>
        </w:rPr>
        <w:footnoteRef/>
      </w:r>
      <w:r w:rsidRPr="004C0136">
        <w:t xml:space="preserve"> </w:t>
      </w:r>
      <w:r>
        <w:t>I</w:t>
      </w:r>
      <w:r w:rsidRPr="004C0136">
        <w:rPr>
          <w:rFonts w:cs="Arial"/>
        </w:rPr>
        <w:t>DCARE, ‘Unauthorised Mobile Phone Porting Events', IDCARE Insights bulletin 2018</w:t>
      </w:r>
      <w:r>
        <w:rPr>
          <w:rFonts w:cs="Arial"/>
        </w:rPr>
        <w:t>.</w:t>
      </w:r>
    </w:p>
  </w:footnote>
  <w:footnote w:id="40">
    <w:p w14:paraId="2A9E887D" w14:textId="0115E594" w:rsidR="002A2F5E" w:rsidRDefault="002A2F5E" w:rsidP="00DB2B1C">
      <w:pPr>
        <w:pStyle w:val="FootnoteText"/>
      </w:pPr>
      <w:r>
        <w:rPr>
          <w:rStyle w:val="FootnoteReference"/>
        </w:rPr>
        <w:footnoteRef/>
      </w:r>
      <w:r>
        <w:t xml:space="preserve"> </w:t>
      </w:r>
      <w:r w:rsidRPr="00E15168">
        <w:t>Productivity Commission,</w:t>
      </w:r>
      <w:r>
        <w:t xml:space="preserve"> 2019,</w:t>
      </w:r>
      <w:r w:rsidRPr="00E15168">
        <w:t xml:space="preserve"> </w:t>
      </w:r>
      <w:hyperlink r:id="rId18" w:history="1">
        <w:r w:rsidRPr="00203F58">
          <w:rPr>
            <w:rStyle w:val="Hyperlink"/>
          </w:rPr>
          <w:t>‘Life After Scams Submission to Productivity Commission’</w:t>
        </w:r>
      </w:hyperlink>
      <w:r w:rsidRPr="00E15168">
        <w:t xml:space="preserve">, viewed </w:t>
      </w:r>
      <w:r>
        <w:t>14 October 2020.</w:t>
      </w:r>
    </w:p>
  </w:footnote>
  <w:footnote w:id="41">
    <w:p w14:paraId="1EE6DFF4" w14:textId="1D81F8CD" w:rsidR="002A2F5E" w:rsidRDefault="002A2F5E" w:rsidP="00DB2B1C">
      <w:pPr>
        <w:pStyle w:val="FootnoteText"/>
      </w:pPr>
      <w:r>
        <w:rPr>
          <w:rStyle w:val="FootnoteReference"/>
        </w:rPr>
        <w:footnoteRef/>
      </w:r>
      <w:r>
        <w:t xml:space="preserve"> </w:t>
      </w:r>
      <w:r w:rsidRPr="007B6807">
        <w:t xml:space="preserve">Joint </w:t>
      </w:r>
      <w:r>
        <w:t>m</w:t>
      </w:r>
      <w:r w:rsidRPr="007B6807">
        <w:t xml:space="preserve">edia </w:t>
      </w:r>
      <w:r>
        <w:t>r</w:t>
      </w:r>
      <w:r w:rsidRPr="007B6807">
        <w:t xml:space="preserve">elease: </w:t>
      </w:r>
      <w:r>
        <w:t>Ministers Fletcher and Sukkar, ‘</w:t>
      </w:r>
      <w:hyperlink r:id="rId19" w:history="1">
        <w:r w:rsidRPr="007B6807">
          <w:rPr>
            <w:rStyle w:val="Hyperlink"/>
          </w:rPr>
          <w:t>Stopping ATO phone call scams’</w:t>
        </w:r>
      </w:hyperlink>
      <w:r>
        <w:t>, 9 May 2020, viewed 14 October 2020.</w:t>
      </w:r>
    </w:p>
  </w:footnote>
  <w:footnote w:id="42">
    <w:p w14:paraId="1A2A647E" w14:textId="323F96C8" w:rsidR="002A2F5E" w:rsidRDefault="002A2F5E" w:rsidP="00DB2B1C">
      <w:pPr>
        <w:pStyle w:val="FootnoteText"/>
      </w:pPr>
      <w:r>
        <w:rPr>
          <w:rStyle w:val="FootnoteReference"/>
        </w:rPr>
        <w:footnoteRef/>
      </w:r>
      <w:r>
        <w:t xml:space="preserve"> ACMA, 2018, </w:t>
      </w:r>
      <w:hyperlink r:id="rId20" w:history="1">
        <w:r w:rsidRPr="00006040">
          <w:rPr>
            <w:rStyle w:val="Hyperlink"/>
            <w:i/>
          </w:rPr>
          <w:t>Unsolicited calls in Australia: Consumer experience,</w:t>
        </w:r>
      </w:hyperlink>
      <w:r>
        <w:t xml:space="preserve"> viewed 2 October 2020.</w:t>
      </w:r>
    </w:p>
  </w:footnote>
  <w:footnote w:id="43">
    <w:p w14:paraId="675DE8DF" w14:textId="4C884B1A" w:rsidR="002A2F5E" w:rsidRPr="00FB1EE6" w:rsidRDefault="002A2F5E" w:rsidP="00DB2B1C">
      <w:pPr>
        <w:pStyle w:val="FootnoteText"/>
        <w:rPr>
          <w:rFonts w:cs="Arial"/>
        </w:rPr>
      </w:pPr>
      <w:r w:rsidRPr="00FB1EE6">
        <w:rPr>
          <w:rStyle w:val="FootnoteReference"/>
          <w:rFonts w:cs="Arial"/>
        </w:rPr>
        <w:footnoteRef/>
      </w:r>
      <w:r w:rsidRPr="00FB1EE6">
        <w:rPr>
          <w:rFonts w:cs="Arial"/>
        </w:rPr>
        <w:t xml:space="preserve"> </w:t>
      </w:r>
      <w:r w:rsidRPr="00F43A63">
        <w:rPr>
          <w:rFonts w:cs="Arial"/>
        </w:rPr>
        <w:t xml:space="preserve">The </w:t>
      </w:r>
      <w:r>
        <w:rPr>
          <w:rFonts w:cs="Arial"/>
        </w:rPr>
        <w:t xml:space="preserve">ACMA </w:t>
      </w:r>
      <w:r w:rsidRPr="00F43A63">
        <w:rPr>
          <w:rFonts w:cs="Arial"/>
        </w:rPr>
        <w:t xml:space="preserve">Scam Technology Project explored solutions to address scam calls on Australian telecommunications networks and looked at what can be done to disrupt scam activity. </w:t>
      </w:r>
      <w:r>
        <w:rPr>
          <w:rFonts w:cs="Arial"/>
        </w:rPr>
        <w:t xml:space="preserve">The </w:t>
      </w:r>
      <w:r w:rsidRPr="00F43A63">
        <w:rPr>
          <w:rFonts w:cs="Arial"/>
          <w:i/>
          <w:iCs/>
        </w:rPr>
        <w:t>Combating scams</w:t>
      </w:r>
      <w:r>
        <w:rPr>
          <w:rFonts w:cs="Arial"/>
          <w:i/>
          <w:iCs/>
        </w:rPr>
        <w:t xml:space="preserve">: </w:t>
      </w:r>
      <w:r w:rsidRPr="00F43A63">
        <w:rPr>
          <w:rFonts w:cs="Arial"/>
          <w:i/>
          <w:iCs/>
        </w:rPr>
        <w:t>A discussion paper on technological solutions</w:t>
      </w:r>
      <w:r w:rsidRPr="00F43A63">
        <w:rPr>
          <w:rFonts w:cs="Arial"/>
        </w:rPr>
        <w:t xml:space="preserve"> </w:t>
      </w:r>
      <w:r>
        <w:rPr>
          <w:rFonts w:cs="Arial"/>
        </w:rPr>
        <w:t xml:space="preserve">was released in </w:t>
      </w:r>
      <w:r w:rsidRPr="00F43A63">
        <w:rPr>
          <w:rFonts w:cs="Arial"/>
        </w:rPr>
        <w:t>March 2019.</w:t>
      </w:r>
      <w:r>
        <w:rPr>
          <w:rFonts w:cs="Arial"/>
        </w:rPr>
        <w:t xml:space="preserve"> Following consultation, t</w:t>
      </w:r>
      <w:r w:rsidRPr="00F43A63">
        <w:rPr>
          <w:rFonts w:cs="Arial"/>
        </w:rPr>
        <w:t>he ACMA worked with the ACCC and the ACSC and experts from industry, government and overseas regulators to</w:t>
      </w:r>
      <w:r>
        <w:rPr>
          <w:rFonts w:cs="Arial"/>
        </w:rPr>
        <w:t xml:space="preserve"> </w:t>
      </w:r>
      <w:r w:rsidRPr="00F43A63">
        <w:rPr>
          <w:rFonts w:cs="Arial"/>
        </w:rPr>
        <w:t xml:space="preserve">develop </w:t>
      </w:r>
      <w:r>
        <w:rPr>
          <w:rFonts w:cs="Arial"/>
        </w:rPr>
        <w:t>the</w:t>
      </w:r>
      <w:r w:rsidRPr="00F43A63">
        <w:rPr>
          <w:rFonts w:cs="Arial"/>
        </w:rPr>
        <w:t xml:space="preserve"> three-point</w:t>
      </w:r>
      <w:r>
        <w:rPr>
          <w:rFonts w:cs="Arial"/>
        </w:rPr>
        <w:t xml:space="preserve"> </w:t>
      </w:r>
      <w:hyperlink r:id="rId21" w:history="1">
        <w:r w:rsidRPr="006C27FB">
          <w:rPr>
            <w:rStyle w:val="Hyperlink"/>
            <w:i/>
            <w:iCs/>
          </w:rPr>
          <w:t>Combating scams action plan</w:t>
        </w:r>
      </w:hyperlink>
      <w:r w:rsidRPr="00576CE9">
        <w:rPr>
          <w:rFonts w:cs="Arial"/>
          <w:i/>
          <w:iCs/>
        </w:rPr>
        <w:t>.</w:t>
      </w:r>
    </w:p>
  </w:footnote>
  <w:footnote w:id="44">
    <w:p w14:paraId="18BBAE92" w14:textId="6FCAA4C4" w:rsidR="002A2F5E" w:rsidRDefault="002A2F5E" w:rsidP="00DB2B1C">
      <w:pPr>
        <w:pStyle w:val="FootnoteText"/>
      </w:pPr>
      <w:r>
        <w:rPr>
          <w:rStyle w:val="FootnoteReference"/>
        </w:rPr>
        <w:footnoteRef/>
      </w:r>
      <w:r>
        <w:t xml:space="preserve"> </w:t>
      </w:r>
      <w:bookmarkStart w:id="91" w:name="_Hlk53577785"/>
      <w:r w:rsidRPr="007C77A1">
        <w:t>ACCC</w:t>
      </w:r>
      <w:r>
        <w:t xml:space="preserve">, 2020, </w:t>
      </w:r>
      <w:hyperlink r:id="rId22" w:history="1">
        <w:r w:rsidRPr="00803E02">
          <w:rPr>
            <w:rStyle w:val="Hyperlink"/>
            <w:i/>
            <w:iCs/>
          </w:rPr>
          <w:t>Targeting scams 2019: A review of scam activity since 2009</w:t>
        </w:r>
      </w:hyperlink>
      <w:r w:rsidRPr="007C77A1">
        <w:t>, viewed 6 October 2020</w:t>
      </w:r>
      <w:r>
        <w:t>.</w:t>
      </w:r>
      <w:bookmarkEnd w:id="91"/>
    </w:p>
  </w:footnote>
  <w:footnote w:id="45">
    <w:p w14:paraId="7324DEAB" w14:textId="6D29DFE8" w:rsidR="002A2F5E" w:rsidRDefault="002A2F5E" w:rsidP="00DB2B1C">
      <w:pPr>
        <w:pStyle w:val="FootnoteText"/>
      </w:pPr>
      <w:r>
        <w:rPr>
          <w:rStyle w:val="FootnoteReference"/>
        </w:rPr>
        <w:footnoteRef/>
      </w:r>
      <w:r>
        <w:t xml:space="preserve"> Compound growth on $32.6m over 10 years discounted at 7% each year.</w:t>
      </w:r>
    </w:p>
  </w:footnote>
  <w:footnote w:id="46">
    <w:p w14:paraId="687F38D6" w14:textId="2C12B20E" w:rsidR="002A2F5E" w:rsidRDefault="002A2F5E" w:rsidP="00DB2B1C">
      <w:pPr>
        <w:pStyle w:val="FootnoteText"/>
      </w:pPr>
      <w:r>
        <w:rPr>
          <w:rStyle w:val="FootnoteReference"/>
        </w:rPr>
        <w:footnoteRef/>
      </w:r>
      <w:r>
        <w:t xml:space="preserve"> </w:t>
      </w:r>
      <w:r w:rsidRPr="003C56D2">
        <w:t>Identity Theft Resource Centre,</w:t>
      </w:r>
      <w:r>
        <w:t xml:space="preserve"> 2018,</w:t>
      </w:r>
      <w:r w:rsidRPr="003C56D2">
        <w:t xml:space="preserve"> </w:t>
      </w:r>
      <w:hyperlink r:id="rId23" w:history="1">
        <w:r w:rsidRPr="008E6015">
          <w:rPr>
            <w:rStyle w:val="Hyperlink"/>
            <w:i/>
            <w:iCs/>
          </w:rPr>
          <w:t>The aftermath – the non-economic impacts of identity theft</w:t>
        </w:r>
      </w:hyperlink>
      <w:r w:rsidRPr="003C56D2">
        <w:t xml:space="preserve">, viewed 9 </w:t>
      </w:r>
      <w:r>
        <w:t>October</w:t>
      </w:r>
      <w:r w:rsidRPr="003C56D2">
        <w:t xml:space="preserve"> 2020</w:t>
      </w:r>
      <w:r>
        <w:t>.</w:t>
      </w:r>
    </w:p>
  </w:footnote>
  <w:footnote w:id="47">
    <w:p w14:paraId="73B4472D" w14:textId="7B240804" w:rsidR="002A2F5E" w:rsidRPr="00AC4121" w:rsidRDefault="002A2F5E" w:rsidP="00DB2B1C">
      <w:pPr>
        <w:pStyle w:val="FootnoteText"/>
        <w:rPr>
          <w:rFonts w:cs="Arial"/>
          <w:highlight w:val="yellow"/>
        </w:rPr>
      </w:pPr>
      <w:r w:rsidRPr="00AC4121">
        <w:rPr>
          <w:rStyle w:val="FootnoteReference"/>
          <w:rFonts w:cs="Arial"/>
        </w:rPr>
        <w:footnoteRef/>
      </w:r>
      <w:r w:rsidRPr="00AC4121">
        <w:rPr>
          <w:rFonts w:cs="Arial"/>
        </w:rPr>
        <w:t xml:space="preserve"> </w:t>
      </w:r>
      <w:bookmarkStart w:id="92" w:name="_Hlk54882440"/>
      <w:r w:rsidRPr="009209C4">
        <w:rPr>
          <w:rFonts w:cs="Arial"/>
        </w:rPr>
        <w:t>Australian Institute of Criminology,</w:t>
      </w:r>
      <w:r>
        <w:rPr>
          <w:rFonts w:cs="Arial"/>
        </w:rPr>
        <w:t xml:space="preserve"> 2019,</w:t>
      </w:r>
      <w:r w:rsidRPr="009209C4">
        <w:rPr>
          <w:rFonts w:cs="Arial"/>
        </w:rPr>
        <w:t xml:space="preserve"> </w:t>
      </w:r>
      <w:r w:rsidRPr="00C14D70">
        <w:rPr>
          <w:rFonts w:cs="Arial"/>
          <w:i/>
          <w:iCs/>
        </w:rPr>
        <w:t>Identity crime and misuse in Australia</w:t>
      </w:r>
      <w:r w:rsidRPr="009209C4">
        <w:rPr>
          <w:rFonts w:cs="Arial"/>
        </w:rPr>
        <w:t xml:space="preserve">, </w:t>
      </w:r>
      <w:bookmarkEnd w:id="92"/>
      <w:r w:rsidRPr="009209C4">
        <w:rPr>
          <w:rFonts w:cs="Arial"/>
        </w:rPr>
        <w:t xml:space="preserve">viewed 9 </w:t>
      </w:r>
      <w:r>
        <w:rPr>
          <w:rFonts w:cs="Arial"/>
        </w:rPr>
        <w:t>October</w:t>
      </w:r>
      <w:r w:rsidRPr="009209C4">
        <w:rPr>
          <w:rFonts w:cs="Arial"/>
        </w:rPr>
        <w:t xml:space="preserve"> 2020</w:t>
      </w:r>
      <w:r>
        <w:rPr>
          <w:rFonts w:cs="Arial"/>
        </w:rPr>
        <w:t>.</w:t>
      </w:r>
    </w:p>
  </w:footnote>
  <w:footnote w:id="48">
    <w:p w14:paraId="661B7697" w14:textId="46F1C9B9" w:rsidR="002A2F5E" w:rsidRPr="00AC4121" w:rsidRDefault="002A2F5E" w:rsidP="00DB2B1C">
      <w:pPr>
        <w:pStyle w:val="FootnoteText"/>
        <w:rPr>
          <w:rFonts w:cs="Arial"/>
        </w:rPr>
      </w:pPr>
      <w:r w:rsidRPr="00AC4121">
        <w:rPr>
          <w:rStyle w:val="FootnoteReference"/>
          <w:rFonts w:cs="Arial"/>
        </w:rPr>
        <w:footnoteRef/>
      </w:r>
      <w:r w:rsidRPr="00AC4121">
        <w:rPr>
          <w:rFonts w:cs="Arial"/>
        </w:rPr>
        <w:t xml:space="preserve"> Identity Theft Resource Centre,</w:t>
      </w:r>
      <w:r>
        <w:rPr>
          <w:rFonts w:cs="Arial"/>
        </w:rPr>
        <w:t xml:space="preserve"> 2018,</w:t>
      </w:r>
      <w:r w:rsidRPr="00AC4121">
        <w:rPr>
          <w:rFonts w:cs="Arial"/>
        </w:rPr>
        <w:t xml:space="preserve"> </w:t>
      </w:r>
      <w:hyperlink r:id="rId24" w:history="1">
        <w:r w:rsidRPr="00AC4121">
          <w:rPr>
            <w:rStyle w:val="Hyperlink"/>
            <w:rFonts w:cs="Arial"/>
            <w:i/>
            <w:iCs/>
          </w:rPr>
          <w:t xml:space="preserve">The </w:t>
        </w:r>
        <w:r>
          <w:rPr>
            <w:rStyle w:val="Hyperlink"/>
            <w:rFonts w:cs="Arial"/>
            <w:i/>
            <w:iCs/>
          </w:rPr>
          <w:t>a</w:t>
        </w:r>
        <w:r w:rsidRPr="00AC4121">
          <w:rPr>
            <w:rStyle w:val="Hyperlink"/>
            <w:rFonts w:cs="Arial"/>
            <w:i/>
            <w:iCs/>
          </w:rPr>
          <w:t>ftermath – the non-economic impacts of identity theft</w:t>
        </w:r>
      </w:hyperlink>
      <w:r w:rsidRPr="00AC4121">
        <w:rPr>
          <w:rFonts w:cs="Arial"/>
        </w:rPr>
        <w:t xml:space="preserve">, viewed 9 </w:t>
      </w:r>
      <w:r>
        <w:rPr>
          <w:rFonts w:cs="Arial"/>
        </w:rPr>
        <w:t>October</w:t>
      </w:r>
      <w:r w:rsidRPr="00AC4121">
        <w:rPr>
          <w:rFonts w:cs="Arial"/>
        </w:rPr>
        <w:t xml:space="preserve"> 2020</w:t>
      </w:r>
      <w:r>
        <w:rPr>
          <w:rFonts w:cs="Arial"/>
        </w:rPr>
        <w:t>.</w:t>
      </w:r>
    </w:p>
  </w:footnote>
  <w:footnote w:id="49">
    <w:p w14:paraId="46A178C4" w14:textId="4939BC18" w:rsidR="002A2F5E" w:rsidRDefault="002A2F5E" w:rsidP="00DB2B1C">
      <w:pPr>
        <w:pStyle w:val="FootnoteText"/>
      </w:pPr>
      <w:r w:rsidRPr="00AC4121">
        <w:rPr>
          <w:rStyle w:val="FootnoteReference"/>
          <w:rFonts w:cs="Arial"/>
        </w:rPr>
        <w:footnoteRef/>
      </w:r>
      <w:r w:rsidRPr="00AC4121">
        <w:rPr>
          <w:rFonts w:cs="Arial"/>
        </w:rPr>
        <w:t xml:space="preserve"> Australian Institute of Criminology,</w:t>
      </w:r>
      <w:r>
        <w:rPr>
          <w:rFonts w:cs="Arial"/>
        </w:rPr>
        <w:t xml:space="preserve"> 2019,</w:t>
      </w:r>
      <w:r w:rsidRPr="00AC4121">
        <w:rPr>
          <w:rFonts w:cs="Arial"/>
        </w:rPr>
        <w:t xml:space="preserve"> </w:t>
      </w:r>
      <w:hyperlink r:id="rId25" w:history="1">
        <w:r>
          <w:rPr>
            <w:rStyle w:val="Hyperlink"/>
            <w:rFonts w:cs="Arial"/>
            <w:i/>
            <w:iCs/>
          </w:rPr>
          <w:t>Identity cri</w:t>
        </w:r>
        <w:r>
          <w:rPr>
            <w:rStyle w:val="Hyperlink"/>
            <w:rFonts w:cs="Arial"/>
            <w:i/>
            <w:iCs/>
          </w:rPr>
          <w:t>m</w:t>
        </w:r>
        <w:r>
          <w:rPr>
            <w:rStyle w:val="Hyperlink"/>
            <w:rFonts w:cs="Arial"/>
            <w:i/>
            <w:iCs/>
          </w:rPr>
          <w:t>e and misuse in Australia</w:t>
        </w:r>
      </w:hyperlink>
      <w:r w:rsidRPr="00AC4121">
        <w:rPr>
          <w:rFonts w:cs="Arial"/>
        </w:rPr>
        <w:t xml:space="preserve">, viewed 9 </w:t>
      </w:r>
      <w:r>
        <w:rPr>
          <w:rFonts w:cs="Arial"/>
        </w:rPr>
        <w:t>October</w:t>
      </w:r>
      <w:r w:rsidRPr="00AC4121">
        <w:rPr>
          <w:rFonts w:cs="Arial"/>
        </w:rPr>
        <w:t xml:space="preserve"> 2020</w:t>
      </w:r>
      <w:r>
        <w:rPr>
          <w:rFonts w:cs="Arial"/>
        </w:rPr>
        <w:t>.</w:t>
      </w:r>
    </w:p>
  </w:footnote>
  <w:footnote w:id="50">
    <w:p w14:paraId="3BA2BEFC" w14:textId="112357EB" w:rsidR="002A2F5E" w:rsidRDefault="002A2F5E" w:rsidP="00DB2B1C">
      <w:pPr>
        <w:pStyle w:val="FootnoteText"/>
      </w:pPr>
      <w:r>
        <w:rPr>
          <w:rStyle w:val="FootnoteReference"/>
        </w:rPr>
        <w:footnoteRef/>
      </w:r>
      <w:r>
        <w:t xml:space="preserve"> </w:t>
      </w:r>
      <w:r w:rsidRPr="005E4B70">
        <w:t>ACCC</w:t>
      </w:r>
      <w:r>
        <w:t xml:space="preserve">, 2020, </w:t>
      </w:r>
      <w:hyperlink r:id="rId26" w:history="1">
        <w:r w:rsidRPr="006217C4">
          <w:rPr>
            <w:rStyle w:val="Hyperlink"/>
            <w:i/>
            <w:iCs/>
          </w:rPr>
          <w:t>Targeting scams 2019: A review of scam activity since 2009</w:t>
        </w:r>
      </w:hyperlink>
      <w:r w:rsidRPr="005E4B70">
        <w:t>, viewed 6 October 2020.</w:t>
      </w:r>
    </w:p>
  </w:footnote>
  <w:footnote w:id="51">
    <w:p w14:paraId="6D85A3D5" w14:textId="65C3BC33" w:rsidR="002A2F5E" w:rsidRDefault="002A2F5E" w:rsidP="00DB2B1C">
      <w:pPr>
        <w:pStyle w:val="FootnoteText"/>
      </w:pPr>
      <w:r>
        <w:rPr>
          <w:rStyle w:val="FootnoteReference"/>
        </w:rPr>
        <w:footnoteRef/>
      </w:r>
      <w:r>
        <w:t xml:space="preserve"> R</w:t>
      </w:r>
      <w:r w:rsidRPr="00370D3F">
        <w:t>eported to Scamwatch, other government agencies and the big four banks</w:t>
      </w:r>
      <w:r>
        <w:t>. ibid</w:t>
      </w:r>
      <w:r w:rsidRPr="0062301B">
        <w:t xml:space="preserve">, viewed </w:t>
      </w:r>
      <w:r>
        <w:t>14</w:t>
      </w:r>
      <w:r w:rsidRPr="0062301B">
        <w:t xml:space="preserve"> October 2020.</w:t>
      </w:r>
    </w:p>
  </w:footnote>
  <w:footnote w:id="52">
    <w:p w14:paraId="3AEB1DDD" w14:textId="29C97DAA" w:rsidR="002A2F5E" w:rsidRDefault="002A2F5E" w:rsidP="00DB2B1C">
      <w:pPr>
        <w:pStyle w:val="FootnoteText"/>
      </w:pPr>
      <w:r>
        <w:rPr>
          <w:rStyle w:val="FootnoteReference"/>
        </w:rPr>
        <w:footnoteRef/>
      </w:r>
      <w:r>
        <w:t xml:space="preserve"> ABC News, 2019, ‘</w:t>
      </w:r>
      <w:hyperlink r:id="rId27" w:history="1">
        <w:r w:rsidRPr="006117D0">
          <w:rPr>
            <w:rStyle w:val="Hyperlink"/>
          </w:rPr>
          <w:t>Phone spoofing: When your phone number is taken over by international scammers</w:t>
        </w:r>
      </w:hyperlink>
      <w:r>
        <w:t>’,</w:t>
      </w:r>
      <w:r w:rsidDel="006117D0">
        <w:t xml:space="preserve"> </w:t>
      </w:r>
      <w:r>
        <w:t>viewed 5 October 2020.</w:t>
      </w:r>
    </w:p>
  </w:footnote>
  <w:footnote w:id="53">
    <w:p w14:paraId="68E567F2" w14:textId="70FB6C1F" w:rsidR="002A2F5E" w:rsidRDefault="002A2F5E" w:rsidP="00DB2B1C">
      <w:pPr>
        <w:pStyle w:val="FootnoteText"/>
      </w:pPr>
      <w:r>
        <w:rPr>
          <w:rStyle w:val="FootnoteReference"/>
        </w:rPr>
        <w:footnoteRef/>
      </w:r>
      <w:r>
        <w:t xml:space="preserve"> </w:t>
      </w:r>
      <w:bookmarkStart w:id="100" w:name="_Hlk54883661"/>
      <w:r w:rsidRPr="00B04DC4">
        <w:t>ACCC</w:t>
      </w:r>
      <w:r>
        <w:t xml:space="preserve">, 2020, </w:t>
      </w:r>
      <w:hyperlink r:id="rId28" w:history="1">
        <w:r w:rsidRPr="006117D0">
          <w:rPr>
            <w:rStyle w:val="Hyperlink"/>
            <w:i/>
            <w:iCs/>
          </w:rPr>
          <w:t>Targeting scams 2019: A review of scam activity since 2009</w:t>
        </w:r>
      </w:hyperlink>
      <w:r w:rsidRPr="00B04DC4">
        <w:t xml:space="preserve">, viewed </w:t>
      </w:r>
      <w:r>
        <w:t>16</w:t>
      </w:r>
      <w:r w:rsidRPr="00B04DC4">
        <w:t xml:space="preserve"> October 2020.</w:t>
      </w:r>
      <w:bookmarkEnd w:id="100"/>
    </w:p>
  </w:footnote>
  <w:footnote w:id="54">
    <w:p w14:paraId="43D1A5C0" w14:textId="786FE74E" w:rsidR="002A2F5E" w:rsidRDefault="002A2F5E" w:rsidP="00DB2B1C">
      <w:pPr>
        <w:pStyle w:val="FootnoteText"/>
      </w:pPr>
      <w:r>
        <w:rPr>
          <w:rStyle w:val="FootnoteReference"/>
        </w:rPr>
        <w:footnoteRef/>
      </w:r>
      <w:r>
        <w:t xml:space="preserve"> ibid.</w:t>
      </w:r>
    </w:p>
  </w:footnote>
  <w:footnote w:id="55">
    <w:p w14:paraId="5CD093BC" w14:textId="15D1649D" w:rsidR="002A2F5E" w:rsidRDefault="002A2F5E" w:rsidP="00DB2B1C">
      <w:pPr>
        <w:pStyle w:val="FootnoteText"/>
      </w:pPr>
      <w:r>
        <w:rPr>
          <w:rStyle w:val="FootnoteReference"/>
        </w:rPr>
        <w:footnoteRef/>
      </w:r>
      <w:r>
        <w:t xml:space="preserve"> Based on a 20 to 30% reduction in $31.5 million of direct losses to consumers in the status quo.</w:t>
      </w:r>
    </w:p>
  </w:footnote>
  <w:footnote w:id="56">
    <w:p w14:paraId="48C07D18" w14:textId="77777777" w:rsidR="002A2F5E" w:rsidRDefault="002A2F5E" w:rsidP="00DB2B1C">
      <w:pPr>
        <w:pStyle w:val="FootnoteText"/>
      </w:pPr>
      <w:r>
        <w:rPr>
          <w:rStyle w:val="FootnoteReference"/>
        </w:rPr>
        <w:footnoteRef/>
      </w:r>
      <w:r>
        <w:t xml:space="preserve"> Figure based on reduced reports * 32 hours * $32 discounted over 10 years.</w:t>
      </w:r>
    </w:p>
  </w:footnote>
  <w:footnote w:id="57">
    <w:p w14:paraId="1B8BEDD8" w14:textId="1D0D9D0D" w:rsidR="002A2F5E" w:rsidRDefault="002A2F5E" w:rsidP="00DB2B1C">
      <w:pPr>
        <w:pStyle w:val="FootnoteText"/>
      </w:pPr>
      <w:r>
        <w:rPr>
          <w:rStyle w:val="FootnoteReference"/>
        </w:rPr>
        <w:footnoteRef/>
      </w:r>
      <w:r>
        <w:t xml:space="preserve"> Figure based</w:t>
      </w:r>
      <w:r w:rsidRPr="0086696A">
        <w:t xml:space="preserve"> on a 20</w:t>
      </w:r>
      <w:r>
        <w:t xml:space="preserve"> to </w:t>
      </w:r>
      <w:r w:rsidRPr="0086696A">
        <w:t xml:space="preserve">30% reduction in </w:t>
      </w:r>
      <w:r>
        <w:t>$</w:t>
      </w:r>
      <w:r w:rsidRPr="0086696A">
        <w:t>1.1</w:t>
      </w:r>
      <w:r>
        <w:t xml:space="preserve"> </w:t>
      </w:r>
      <w:r w:rsidRPr="0086696A">
        <w:t>m</w:t>
      </w:r>
      <w:r>
        <w:t>illion</w:t>
      </w:r>
      <w:r w:rsidRPr="0086696A">
        <w:t xml:space="preserve"> direct losses to business</w:t>
      </w:r>
      <w:r>
        <w:t xml:space="preserve"> </w:t>
      </w:r>
      <w:r w:rsidRPr="0086696A">
        <w:t>in the status quo.</w:t>
      </w:r>
    </w:p>
  </w:footnote>
  <w:footnote w:id="58">
    <w:p w14:paraId="62302F10" w14:textId="2E4EB02D" w:rsidR="002A2F5E" w:rsidRDefault="002A2F5E" w:rsidP="00DB2B1C">
      <w:pPr>
        <w:pStyle w:val="FootnoteText"/>
      </w:pPr>
      <w:r>
        <w:rPr>
          <w:rStyle w:val="FootnoteReference"/>
        </w:rPr>
        <w:footnoteRef/>
      </w:r>
      <w:r>
        <w:t xml:space="preserve"> Stakeholder feedback suggests this is currently equivalent to 20 to 30% of C/CSP fraud team time.</w:t>
      </w:r>
    </w:p>
  </w:footnote>
  <w:footnote w:id="59">
    <w:p w14:paraId="6D8A7078" w14:textId="281F6919" w:rsidR="002A2F5E" w:rsidRDefault="002A2F5E" w:rsidP="00DB2B1C">
      <w:pPr>
        <w:pStyle w:val="FootnoteText"/>
      </w:pPr>
      <w:r>
        <w:rPr>
          <w:rStyle w:val="FootnoteReference"/>
        </w:rPr>
        <w:footnoteRef/>
      </w:r>
      <w:r>
        <w:t xml:space="preserve"> Sydney Morning Herald, 27 August 2018, ‘</w:t>
      </w:r>
      <w:hyperlink r:id="rId29" w:history="1">
        <w:r>
          <w:rPr>
            <w:rStyle w:val="Hyperlink"/>
          </w:rPr>
          <w:t>Scammers pretend they’re from Telstra, ATO, Centrelink to steal money’</w:t>
        </w:r>
      </w:hyperlink>
      <w:r>
        <w:t>, viewed 8 October 2020.</w:t>
      </w:r>
    </w:p>
  </w:footnote>
  <w:footnote w:id="60">
    <w:p w14:paraId="7309AEDE" w14:textId="27B608F6" w:rsidR="002A2F5E" w:rsidRDefault="002A2F5E" w:rsidP="00DB2B1C">
      <w:pPr>
        <w:pStyle w:val="FootnoteText"/>
      </w:pPr>
      <w:r>
        <w:rPr>
          <w:rStyle w:val="FootnoteReference"/>
        </w:rPr>
        <w:footnoteRef/>
      </w:r>
      <w:r>
        <w:t xml:space="preserve"> </w:t>
      </w:r>
      <w:r w:rsidRPr="00CD15B5">
        <w:t>Based on a 20</w:t>
      </w:r>
      <w:r>
        <w:t xml:space="preserve"> to </w:t>
      </w:r>
      <w:r w:rsidRPr="00CD15B5">
        <w:t>30% reduction in $31.5</w:t>
      </w:r>
      <w:r>
        <w:t xml:space="preserve"> </w:t>
      </w:r>
      <w:r w:rsidRPr="00CD15B5">
        <w:t>m</w:t>
      </w:r>
      <w:r>
        <w:t>illion</w:t>
      </w:r>
      <w:r w:rsidRPr="00CD15B5">
        <w:t xml:space="preserve"> of direct losses to consumers in the status quo</w:t>
      </w:r>
      <w:r>
        <w:t>.</w:t>
      </w:r>
    </w:p>
  </w:footnote>
  <w:footnote w:id="61">
    <w:p w14:paraId="55865D7A" w14:textId="0D829C10" w:rsidR="002A2F5E" w:rsidRDefault="002A2F5E" w:rsidP="00DB2B1C">
      <w:pPr>
        <w:pStyle w:val="FootnoteText"/>
      </w:pPr>
      <w:r>
        <w:rPr>
          <w:rStyle w:val="FootnoteReference"/>
        </w:rPr>
        <w:footnoteRef/>
      </w:r>
      <w:r>
        <w:t xml:space="preserve"> Figure based on reduction reports * 32 hours * $32 discounted over 10 years.</w:t>
      </w:r>
    </w:p>
  </w:footnote>
  <w:footnote w:id="62">
    <w:p w14:paraId="1EBD01A4" w14:textId="705F58D2" w:rsidR="002A2F5E" w:rsidRDefault="002A2F5E" w:rsidP="00DB2B1C">
      <w:pPr>
        <w:pStyle w:val="FootnoteText"/>
      </w:pPr>
      <w:r>
        <w:rPr>
          <w:rStyle w:val="FootnoteReference"/>
        </w:rPr>
        <w:footnoteRef/>
      </w:r>
      <w:r>
        <w:t xml:space="preserve"> </w:t>
      </w:r>
      <w:r w:rsidRPr="00CD15B5">
        <w:t xml:space="preserve">Figure based on a 70% reduction in </w:t>
      </w:r>
      <w:r>
        <w:t>$</w:t>
      </w:r>
      <w:r w:rsidRPr="00CD15B5">
        <w:t>1.1</w:t>
      </w:r>
      <w:r>
        <w:t xml:space="preserve"> </w:t>
      </w:r>
      <w:r w:rsidRPr="00CD15B5">
        <w:t>m</w:t>
      </w:r>
      <w:r>
        <w:t>illion</w:t>
      </w:r>
      <w:r w:rsidRPr="00CD15B5">
        <w:t xml:space="preserve"> direct losses to business in the status quo.</w:t>
      </w:r>
    </w:p>
  </w:footnote>
  <w:footnote w:id="63">
    <w:p w14:paraId="4AFA09C5" w14:textId="77777777" w:rsidR="002A2F5E" w:rsidRDefault="002A2F5E" w:rsidP="002A54B2">
      <w:pPr>
        <w:pStyle w:val="FootnoteText"/>
      </w:pPr>
      <w:r>
        <w:rPr>
          <w:rStyle w:val="FootnoteReference"/>
        </w:rPr>
        <w:footnoteRef/>
      </w:r>
      <w:r>
        <w:t xml:space="preserve"> See Appendix A for a further breakdown of costs.</w:t>
      </w:r>
    </w:p>
  </w:footnote>
  <w:footnote w:id="64">
    <w:p w14:paraId="6CE18C43" w14:textId="5F0DEF9B" w:rsidR="002A2F5E" w:rsidRDefault="002A2F5E" w:rsidP="00DB2B1C">
      <w:pPr>
        <w:pStyle w:val="FootnoteText"/>
      </w:pPr>
      <w:r>
        <w:rPr>
          <w:rStyle w:val="FootnoteReference"/>
        </w:rPr>
        <w:footnoteRef/>
      </w:r>
      <w:r>
        <w:t xml:space="preserve"> ACCC, </w:t>
      </w:r>
      <w:hyperlink r:id="rId30" w:history="1">
        <w:r>
          <w:rPr>
            <w:rStyle w:val="Hyperlink"/>
          </w:rPr>
          <w:t>Digital platform services inquiry 2020-2025</w:t>
        </w:r>
      </w:hyperlink>
      <w:r>
        <w:t xml:space="preserve">, viewed 14 October 2020. </w:t>
      </w:r>
    </w:p>
  </w:footnote>
  <w:footnote w:id="65">
    <w:p w14:paraId="25A82DE5" w14:textId="60ACC5FD" w:rsidR="002A2F5E" w:rsidRDefault="002A2F5E" w:rsidP="00DB2B1C">
      <w:pPr>
        <w:pStyle w:val="FootnoteText"/>
        <w:spacing w:line="240" w:lineRule="exact"/>
      </w:pPr>
      <w:r>
        <w:rPr>
          <w:rStyle w:val="FootnoteReference"/>
        </w:rPr>
        <w:footnoteRef/>
      </w:r>
      <w:r>
        <w:t xml:space="preserve"> ACCC, 2018, </w:t>
      </w:r>
      <w:hyperlink r:id="rId31" w:history="1">
        <w:r w:rsidRPr="00BC256D">
          <w:rPr>
            <w:rStyle w:val="Hyperlink"/>
            <w:i/>
            <w:iCs/>
          </w:rPr>
          <w:t xml:space="preserve">Targeting </w:t>
        </w:r>
        <w:r>
          <w:rPr>
            <w:rStyle w:val="Hyperlink"/>
            <w:i/>
            <w:iCs/>
          </w:rPr>
          <w:t>s</w:t>
        </w:r>
        <w:r w:rsidRPr="00BC256D">
          <w:rPr>
            <w:rStyle w:val="Hyperlink"/>
            <w:i/>
            <w:iCs/>
          </w:rPr>
          <w:t>cams Report of the ACCC on scams activity 2018</w:t>
        </w:r>
      </w:hyperlink>
      <w:r>
        <w:t>, viewed 23 August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7D8EE" w14:textId="77777777" w:rsidR="002A2F5E" w:rsidRPr="00A5474E" w:rsidRDefault="002A2F5E" w:rsidP="00A5474E">
    <w:pPr>
      <w:pStyle w:val="Header"/>
    </w:pPr>
    <w:r>
      <w:rPr>
        <w:noProof/>
      </w:rPr>
      <w:drawing>
        <wp:inline distT="0" distB="0" distL="0" distR="0" wp14:anchorId="01CEA84A" wp14:editId="701ABEBA">
          <wp:extent cx="6283434" cy="578076"/>
          <wp:effectExtent l="0" t="0" r="3175"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CC98B" w14:textId="77777777" w:rsidR="002A2F5E" w:rsidRPr="00A5474E" w:rsidRDefault="002A2F5E"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0BE1" w14:textId="77777777" w:rsidR="002A2F5E" w:rsidRDefault="002A2F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E19B" w14:textId="77777777" w:rsidR="002A2F5E" w:rsidRDefault="002A2F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78" w:type="dxa"/>
      <w:tblLayout w:type="fixed"/>
      <w:tblCellMar>
        <w:left w:w="0" w:type="dxa"/>
        <w:right w:w="0" w:type="dxa"/>
      </w:tblCellMar>
      <w:tblLook w:val="01E0" w:firstRow="1" w:lastRow="1" w:firstColumn="1" w:lastColumn="1" w:noHBand="0" w:noVBand="0"/>
    </w:tblPr>
    <w:tblGrid>
      <w:gridCol w:w="7678"/>
    </w:tblGrid>
    <w:tr w:rsidR="002A2F5E" w14:paraId="78D3A44E" w14:textId="77777777" w:rsidTr="00977AC8">
      <w:trPr>
        <w:trHeight w:hRule="exact" w:val="988"/>
      </w:trPr>
      <w:tc>
        <w:tcPr>
          <w:tcW w:w="7678" w:type="dxa"/>
          <w:shd w:val="clear" w:color="auto" w:fill="auto"/>
        </w:tcPr>
        <w:p w14:paraId="0EEB6D7A" w14:textId="77777777" w:rsidR="002A2F5E" w:rsidRDefault="002A2F5E" w:rsidP="00971914">
          <w:pPr>
            <w:pStyle w:val="Header"/>
          </w:pPr>
        </w:p>
      </w:tc>
    </w:tr>
    <w:tr w:rsidR="002A2F5E" w14:paraId="13F29C7E" w14:textId="77777777" w:rsidTr="00977AC8">
      <w:tc>
        <w:tcPr>
          <w:tcW w:w="7678" w:type="dxa"/>
          <w:shd w:val="clear" w:color="auto" w:fill="auto"/>
        </w:tcPr>
        <w:p w14:paraId="6A532D02" w14:textId="77777777" w:rsidR="002A2F5E" w:rsidRDefault="002A2F5E" w:rsidP="00971914">
          <w:pPr>
            <w:pStyle w:val="GridTable31"/>
          </w:pPr>
          <w:r>
            <w:t xml:space="preserve">Contents </w:t>
          </w:r>
          <w:r w:rsidRPr="00915B1C">
            <w:rPr>
              <w:b w:val="0"/>
              <w:spacing w:val="0"/>
              <w:sz w:val="28"/>
              <w:szCs w:val="28"/>
            </w:rPr>
            <w:t>(Continued)</w:t>
          </w:r>
        </w:p>
      </w:tc>
    </w:tr>
    <w:tr w:rsidR="002A2F5E" w14:paraId="4FC36C84" w14:textId="77777777" w:rsidTr="00977AC8">
      <w:trPr>
        <w:trHeight w:val="1220"/>
      </w:trPr>
      <w:tc>
        <w:tcPr>
          <w:tcW w:w="7678" w:type="dxa"/>
          <w:shd w:val="clear" w:color="auto" w:fill="auto"/>
        </w:tcPr>
        <w:p w14:paraId="5D6A3D6D" w14:textId="77777777" w:rsidR="002A2F5E" w:rsidRDefault="002A2F5E" w:rsidP="00971914"/>
      </w:tc>
    </w:tr>
  </w:tbl>
  <w:p w14:paraId="1726EFB4" w14:textId="77777777" w:rsidR="002A2F5E" w:rsidRDefault="002A2F5E"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78" w:type="dxa"/>
      <w:tblLayout w:type="fixed"/>
      <w:tblCellMar>
        <w:left w:w="0" w:type="dxa"/>
        <w:right w:w="0" w:type="dxa"/>
      </w:tblCellMar>
      <w:tblLook w:val="01E0" w:firstRow="1" w:lastRow="1" w:firstColumn="1" w:lastColumn="1" w:noHBand="0" w:noVBand="0"/>
    </w:tblPr>
    <w:tblGrid>
      <w:gridCol w:w="7678"/>
    </w:tblGrid>
    <w:tr w:rsidR="002A2F5E" w14:paraId="0DC60908" w14:textId="77777777" w:rsidTr="00977AC8">
      <w:trPr>
        <w:trHeight w:hRule="exact" w:val="988"/>
      </w:trPr>
      <w:tc>
        <w:tcPr>
          <w:tcW w:w="7678" w:type="dxa"/>
          <w:shd w:val="clear" w:color="auto" w:fill="auto"/>
        </w:tcPr>
        <w:p w14:paraId="1A496C22" w14:textId="77777777" w:rsidR="002A2F5E" w:rsidRDefault="002A2F5E" w:rsidP="00971914">
          <w:pPr>
            <w:pStyle w:val="Header"/>
          </w:pPr>
        </w:p>
      </w:tc>
    </w:tr>
    <w:tr w:rsidR="002A2F5E" w14:paraId="39AAD494" w14:textId="77777777" w:rsidTr="00977AC8">
      <w:tc>
        <w:tcPr>
          <w:tcW w:w="7678" w:type="dxa"/>
          <w:shd w:val="clear" w:color="auto" w:fill="auto"/>
        </w:tcPr>
        <w:p w14:paraId="01551F9F" w14:textId="77777777" w:rsidR="002A2F5E" w:rsidRDefault="002A2F5E" w:rsidP="00971914">
          <w:pPr>
            <w:pStyle w:val="GridTable31"/>
          </w:pPr>
          <w:r>
            <w:t xml:space="preserve">Contents </w:t>
          </w:r>
          <w:r w:rsidRPr="00915B1C">
            <w:rPr>
              <w:b w:val="0"/>
              <w:spacing w:val="0"/>
              <w:sz w:val="28"/>
              <w:szCs w:val="28"/>
            </w:rPr>
            <w:t>(Continued)</w:t>
          </w:r>
        </w:p>
      </w:tc>
    </w:tr>
    <w:tr w:rsidR="002A2F5E" w14:paraId="3AB48025" w14:textId="77777777" w:rsidTr="00977AC8">
      <w:trPr>
        <w:trHeight w:val="1220"/>
      </w:trPr>
      <w:tc>
        <w:tcPr>
          <w:tcW w:w="7678" w:type="dxa"/>
          <w:shd w:val="clear" w:color="auto" w:fill="auto"/>
        </w:tcPr>
        <w:p w14:paraId="69AA05FC" w14:textId="77777777" w:rsidR="002A2F5E" w:rsidRDefault="002A2F5E" w:rsidP="00971914"/>
      </w:tc>
    </w:tr>
  </w:tbl>
  <w:p w14:paraId="39A4DEFD" w14:textId="77777777" w:rsidR="002A2F5E" w:rsidRPr="00A5474E" w:rsidRDefault="002A2F5E"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E9867" w14:textId="77777777" w:rsidR="002A2F5E" w:rsidRDefault="002A2F5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921B5" w14:textId="77777777" w:rsidR="002A2F5E" w:rsidRDefault="002A2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3646C8"/>
    <w:multiLevelType w:val="hybridMultilevel"/>
    <w:tmpl w:val="702E3716"/>
    <w:lvl w:ilvl="0" w:tplc="B49A086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6" w15:restartNumberingAfterBreak="0">
    <w:nsid w:val="0D801AB8"/>
    <w:multiLevelType w:val="hybridMultilevel"/>
    <w:tmpl w:val="769C9CC8"/>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6725E3"/>
    <w:multiLevelType w:val="hybridMultilevel"/>
    <w:tmpl w:val="50CE7768"/>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1137BB"/>
    <w:multiLevelType w:val="hybridMultilevel"/>
    <w:tmpl w:val="ADD448F0"/>
    <w:lvl w:ilvl="0" w:tplc="9EB037C8">
      <w:start w:val="1"/>
      <w:numFmt w:val="bullet"/>
      <w:lvlText w:val="&gt;"/>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E01CF9"/>
    <w:multiLevelType w:val="hybridMultilevel"/>
    <w:tmpl w:val="35B4A018"/>
    <w:lvl w:ilvl="0" w:tplc="5212DA32">
      <w:start w:val="1"/>
      <w:numFmt w:val="bullet"/>
      <w:pStyle w:val="Bulletlevel1last"/>
      <w:lvlText w:val="&gt;"/>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8A1711"/>
    <w:multiLevelType w:val="hybridMultilevel"/>
    <w:tmpl w:val="5E08E0A8"/>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B6397B"/>
    <w:multiLevelType w:val="hybridMultilevel"/>
    <w:tmpl w:val="E1EA7A0C"/>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301DD4"/>
    <w:multiLevelType w:val="multilevel"/>
    <w:tmpl w:val="972040F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2E30209B"/>
    <w:multiLevelType w:val="hybridMultilevel"/>
    <w:tmpl w:val="1DDA76DA"/>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A116A7"/>
    <w:multiLevelType w:val="hybridMultilevel"/>
    <w:tmpl w:val="E54290B6"/>
    <w:lvl w:ilvl="0" w:tplc="34305D08">
      <w:start w:val="1"/>
      <w:numFmt w:val="bullet"/>
      <w:lvlText w:val="&gt;"/>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DB2B54"/>
    <w:multiLevelType w:val="hybridMultilevel"/>
    <w:tmpl w:val="E4285816"/>
    <w:lvl w:ilvl="0" w:tplc="B49A086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F874D2"/>
    <w:multiLevelType w:val="hybridMultilevel"/>
    <w:tmpl w:val="C7C69DF8"/>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DB528A"/>
    <w:multiLevelType w:val="hybridMultilevel"/>
    <w:tmpl w:val="9006D1A8"/>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34DF1"/>
    <w:multiLevelType w:val="hybridMultilevel"/>
    <w:tmpl w:val="AC00F2E4"/>
    <w:lvl w:ilvl="0" w:tplc="1FB6FFE4">
      <w:start w:val="1"/>
      <w:numFmt w:val="bullet"/>
      <w:lvlText w:val="&gt;"/>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661649"/>
    <w:multiLevelType w:val="hybridMultilevel"/>
    <w:tmpl w:val="3B684CBE"/>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8849C7"/>
    <w:multiLevelType w:val="hybridMultilevel"/>
    <w:tmpl w:val="1DACCFF8"/>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8C2080"/>
    <w:multiLevelType w:val="hybridMultilevel"/>
    <w:tmpl w:val="F072F958"/>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A6924"/>
    <w:multiLevelType w:val="hybridMultilevel"/>
    <w:tmpl w:val="9A4CE73C"/>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763FA3"/>
    <w:multiLevelType w:val="hybridMultilevel"/>
    <w:tmpl w:val="7F705274"/>
    <w:lvl w:ilvl="0" w:tplc="91AAB8A0">
      <w:start w:val="1"/>
      <w:numFmt w:val="bullet"/>
      <w:pStyle w:val="Bulletlevel1"/>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63C30333"/>
    <w:multiLevelType w:val="hybridMultilevel"/>
    <w:tmpl w:val="10141C10"/>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1315AF"/>
    <w:multiLevelType w:val="hybridMultilevel"/>
    <w:tmpl w:val="14D0CC08"/>
    <w:lvl w:ilvl="0" w:tplc="B49A086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757AE6"/>
    <w:multiLevelType w:val="hybridMultilevel"/>
    <w:tmpl w:val="B67C427C"/>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522886"/>
    <w:multiLevelType w:val="hybridMultilevel"/>
    <w:tmpl w:val="8B7CBF14"/>
    <w:lvl w:ilvl="0" w:tplc="B49A086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377F11"/>
    <w:multiLevelType w:val="hybridMultilevel"/>
    <w:tmpl w:val="0658D59C"/>
    <w:lvl w:ilvl="0" w:tplc="B49A086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5D25847"/>
    <w:multiLevelType w:val="hybridMultilevel"/>
    <w:tmpl w:val="FA3C97FE"/>
    <w:lvl w:ilvl="0" w:tplc="B49A086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7B0F3E"/>
    <w:multiLevelType w:val="hybridMultilevel"/>
    <w:tmpl w:val="7A8E317C"/>
    <w:lvl w:ilvl="0" w:tplc="B49A086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3"/>
  </w:num>
  <w:num w:numId="6">
    <w:abstractNumId w:val="27"/>
  </w:num>
  <w:num w:numId="7">
    <w:abstractNumId w:val="19"/>
  </w:num>
  <w:num w:numId="8">
    <w:abstractNumId w:val="26"/>
  </w:num>
  <w:num w:numId="9">
    <w:abstractNumId w:val="29"/>
  </w:num>
  <w:num w:numId="10">
    <w:abstractNumId w:val="4"/>
  </w:num>
  <w:num w:numId="11">
    <w:abstractNumId w:val="2"/>
    <w:lvlOverride w:ilvl="0">
      <w:startOverride w:val="1"/>
    </w:lvlOverride>
  </w:num>
  <w:num w:numId="12">
    <w:abstractNumId w:val="24"/>
  </w:num>
  <w:num w:numId="13">
    <w:abstractNumId w:val="22"/>
  </w:num>
  <w:num w:numId="14">
    <w:abstractNumId w:val="9"/>
  </w:num>
  <w:num w:numId="15">
    <w:abstractNumId w:val="30"/>
  </w:num>
  <w:num w:numId="16">
    <w:abstractNumId w:val="7"/>
  </w:num>
  <w:num w:numId="17">
    <w:abstractNumId w:val="23"/>
  </w:num>
  <w:num w:numId="18">
    <w:abstractNumId w:val="11"/>
  </w:num>
  <w:num w:numId="19">
    <w:abstractNumId w:val="25"/>
  </w:num>
  <w:num w:numId="20">
    <w:abstractNumId w:val="32"/>
  </w:num>
  <w:num w:numId="21">
    <w:abstractNumId w:val="17"/>
  </w:num>
  <w:num w:numId="22">
    <w:abstractNumId w:val="33"/>
  </w:num>
  <w:num w:numId="23">
    <w:abstractNumId w:val="31"/>
  </w:num>
  <w:num w:numId="24">
    <w:abstractNumId w:val="12"/>
  </w:num>
  <w:num w:numId="25">
    <w:abstractNumId w:val="6"/>
  </w:num>
  <w:num w:numId="26">
    <w:abstractNumId w:val="28"/>
  </w:num>
  <w:num w:numId="27">
    <w:abstractNumId w:val="16"/>
  </w:num>
  <w:num w:numId="28">
    <w:abstractNumId w:val="18"/>
  </w:num>
  <w:num w:numId="29">
    <w:abstractNumId w:val="21"/>
  </w:num>
  <w:num w:numId="30">
    <w:abstractNumId w:val="5"/>
  </w:num>
  <w:num w:numId="31">
    <w:abstractNumId w:val="14"/>
  </w:num>
  <w:num w:numId="32">
    <w:abstractNumId w:val="3"/>
  </w:num>
  <w:num w:numId="33">
    <w:abstractNumId w:val="3"/>
  </w:num>
  <w:num w:numId="34">
    <w:abstractNumId w:val="1"/>
  </w:num>
  <w:num w:numId="35">
    <w:abstractNumId w:val="1"/>
  </w:num>
  <w:num w:numId="36">
    <w:abstractNumId w:val="3"/>
  </w:num>
  <w:num w:numId="37">
    <w:abstractNumId w:val="3"/>
  </w:num>
  <w:num w:numId="38">
    <w:abstractNumId w:val="1"/>
  </w:num>
  <w:num w:numId="39">
    <w:abstractNumId w:val="1"/>
  </w:num>
  <w:num w:numId="40">
    <w:abstractNumId w:val="8"/>
  </w:num>
  <w:num w:numId="41">
    <w:abstractNumId w:val="27"/>
  </w:num>
  <w:num w:numId="42">
    <w:abstractNumId w:val="19"/>
  </w:num>
  <w:num w:numId="43">
    <w:abstractNumId w:val="3"/>
  </w:num>
  <w:num w:numId="44">
    <w:abstractNumId w:val="3"/>
  </w:num>
  <w:num w:numId="45">
    <w:abstractNumId w:val="3"/>
  </w:num>
  <w:num w:numId="46">
    <w:abstractNumId w:val="3"/>
  </w:num>
  <w:num w:numId="47">
    <w:abstractNumId w:val="1"/>
  </w:num>
  <w:num w:numId="48">
    <w:abstractNumId w:val="1"/>
  </w:num>
  <w:num w:numId="49">
    <w:abstractNumId w:val="1"/>
  </w:num>
  <w:num w:numId="50">
    <w:abstractNumId w:val="29"/>
  </w:num>
  <w:num w:numId="51">
    <w:abstractNumId w:val="26"/>
  </w:num>
  <w:num w:numId="52">
    <w:abstractNumId w:val="27"/>
  </w:num>
  <w:num w:numId="53">
    <w:abstractNumId w:val="13"/>
  </w:num>
  <w:num w:numId="54">
    <w:abstractNumId w:val="13"/>
  </w:num>
  <w:num w:numId="55">
    <w:abstractNumId w:val="13"/>
  </w:num>
  <w:num w:numId="56">
    <w:abstractNumId w:val="13"/>
  </w:num>
  <w:num w:numId="57">
    <w:abstractNumId w:val="13"/>
  </w:num>
  <w:num w:numId="58">
    <w:abstractNumId w:val="2"/>
  </w:num>
  <w:num w:numId="59">
    <w:abstractNumId w:val="0"/>
  </w:num>
  <w:num w:numId="60">
    <w:abstractNumId w:val="0"/>
  </w:num>
  <w:num w:numId="61">
    <w:abstractNumId w:val="2"/>
  </w:num>
  <w:num w:numId="62">
    <w:abstractNumId w:val="2"/>
  </w:num>
  <w:num w:numId="63">
    <w:abstractNumId w:val="2"/>
  </w:num>
  <w:num w:numId="64">
    <w:abstractNumId w:val="0"/>
  </w:num>
  <w:num w:numId="65">
    <w:abstractNumId w:val="0"/>
  </w:num>
  <w:num w:numId="66">
    <w:abstractNumId w:val="19"/>
  </w:num>
  <w:num w:numId="67">
    <w:abstractNumId w:val="15"/>
  </w:num>
  <w:num w:numId="68">
    <w:abstractNumId w:val="3"/>
  </w:num>
  <w:num w:numId="69">
    <w:abstractNumId w:val="3"/>
  </w:num>
  <w:num w:numId="70">
    <w:abstractNumId w:val="1"/>
  </w:num>
  <w:num w:numId="71">
    <w:abstractNumId w:val="1"/>
  </w:num>
  <w:num w:numId="72">
    <w:abstractNumId w:val="25"/>
  </w:num>
  <w:num w:numId="73">
    <w:abstractNumId w:val="25"/>
  </w:num>
  <w:num w:numId="74">
    <w:abstractNumId w:val="25"/>
  </w:num>
  <w:num w:numId="75">
    <w:abstractNumId w:val="25"/>
  </w:num>
  <w:num w:numId="76">
    <w:abstractNumId w:val="10"/>
  </w:num>
  <w:num w:numId="77">
    <w:abstractNumId w:val="20"/>
  </w:num>
  <w:num w:numId="78">
    <w:abstractNumId w:val="0"/>
  </w:num>
  <w:num w:numId="79">
    <w:abstractNumId w:val="0"/>
  </w:num>
  <w:num w:numId="80">
    <w:abstractNumId w:val="2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revisionView w:markup="0"/>
  <w:defaultTabStop w:val="284"/>
  <w:evenAndOddHeaders/>
  <w:drawingGridHorizontalSpacing w:val="100"/>
  <w:displayHorizontalDrawingGridEvery w:val="2"/>
  <w:characterSpacingControl w:val="doNotCompress"/>
  <w:hdrShapeDefaults>
    <o:shapedefaults v:ext="edit" spidmax="4097">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1C"/>
    <w:rsid w:val="00005BAE"/>
    <w:rsid w:val="00010667"/>
    <w:rsid w:val="000129D5"/>
    <w:rsid w:val="00015526"/>
    <w:rsid w:val="00015AE7"/>
    <w:rsid w:val="00016E21"/>
    <w:rsid w:val="0001719C"/>
    <w:rsid w:val="0002224E"/>
    <w:rsid w:val="000245E5"/>
    <w:rsid w:val="00026F91"/>
    <w:rsid w:val="00035DD7"/>
    <w:rsid w:val="000373F0"/>
    <w:rsid w:val="0004764C"/>
    <w:rsid w:val="0005011A"/>
    <w:rsid w:val="0005045A"/>
    <w:rsid w:val="00051C1E"/>
    <w:rsid w:val="000539F9"/>
    <w:rsid w:val="00054C27"/>
    <w:rsid w:val="00055EC3"/>
    <w:rsid w:val="000563CE"/>
    <w:rsid w:val="000659B6"/>
    <w:rsid w:val="0006686F"/>
    <w:rsid w:val="0006722A"/>
    <w:rsid w:val="00070C85"/>
    <w:rsid w:val="000732CF"/>
    <w:rsid w:val="00075B96"/>
    <w:rsid w:val="0008196A"/>
    <w:rsid w:val="000915ED"/>
    <w:rsid w:val="0009209D"/>
    <w:rsid w:val="00092573"/>
    <w:rsid w:val="0009463C"/>
    <w:rsid w:val="00095D40"/>
    <w:rsid w:val="000969BD"/>
    <w:rsid w:val="000969BF"/>
    <w:rsid w:val="000971BD"/>
    <w:rsid w:val="000A0C22"/>
    <w:rsid w:val="000A1400"/>
    <w:rsid w:val="000A3C43"/>
    <w:rsid w:val="000A4A51"/>
    <w:rsid w:val="000A5D2B"/>
    <w:rsid w:val="000B3DA6"/>
    <w:rsid w:val="000B4664"/>
    <w:rsid w:val="000B5DE3"/>
    <w:rsid w:val="000C0A57"/>
    <w:rsid w:val="000C0AE1"/>
    <w:rsid w:val="000C230C"/>
    <w:rsid w:val="000C6AB4"/>
    <w:rsid w:val="000D71D9"/>
    <w:rsid w:val="000D76E0"/>
    <w:rsid w:val="000D7E8B"/>
    <w:rsid w:val="000E4449"/>
    <w:rsid w:val="000E6097"/>
    <w:rsid w:val="000E615A"/>
    <w:rsid w:val="00103829"/>
    <w:rsid w:val="00110968"/>
    <w:rsid w:val="00111FCE"/>
    <w:rsid w:val="001165D8"/>
    <w:rsid w:val="001229A5"/>
    <w:rsid w:val="0012489B"/>
    <w:rsid w:val="00130017"/>
    <w:rsid w:val="00130F91"/>
    <w:rsid w:val="001349ED"/>
    <w:rsid w:val="00135B02"/>
    <w:rsid w:val="00137424"/>
    <w:rsid w:val="00140318"/>
    <w:rsid w:val="00141AD9"/>
    <w:rsid w:val="001459CB"/>
    <w:rsid w:val="00146CE6"/>
    <w:rsid w:val="00152903"/>
    <w:rsid w:val="00153FD5"/>
    <w:rsid w:val="0015614F"/>
    <w:rsid w:val="001577C2"/>
    <w:rsid w:val="001633C4"/>
    <w:rsid w:val="001704D5"/>
    <w:rsid w:val="00171591"/>
    <w:rsid w:val="00173981"/>
    <w:rsid w:val="001751AA"/>
    <w:rsid w:val="0017719D"/>
    <w:rsid w:val="00183FD7"/>
    <w:rsid w:val="00185992"/>
    <w:rsid w:val="00185CAB"/>
    <w:rsid w:val="001875B7"/>
    <w:rsid w:val="00187CB3"/>
    <w:rsid w:val="0019050A"/>
    <w:rsid w:val="001910D4"/>
    <w:rsid w:val="001976E3"/>
    <w:rsid w:val="001A44EC"/>
    <w:rsid w:val="001B28D9"/>
    <w:rsid w:val="001B58AA"/>
    <w:rsid w:val="001B7E48"/>
    <w:rsid w:val="001C17CE"/>
    <w:rsid w:val="001C36CA"/>
    <w:rsid w:val="001C44D1"/>
    <w:rsid w:val="001C6AEE"/>
    <w:rsid w:val="001C7630"/>
    <w:rsid w:val="001D5BD3"/>
    <w:rsid w:val="001D6D15"/>
    <w:rsid w:val="001F0059"/>
    <w:rsid w:val="001F5355"/>
    <w:rsid w:val="001F7558"/>
    <w:rsid w:val="00203F58"/>
    <w:rsid w:val="00205B57"/>
    <w:rsid w:val="002157E0"/>
    <w:rsid w:val="00216A57"/>
    <w:rsid w:val="00217448"/>
    <w:rsid w:val="00222F81"/>
    <w:rsid w:val="0022334F"/>
    <w:rsid w:val="00225547"/>
    <w:rsid w:val="00226819"/>
    <w:rsid w:val="00233101"/>
    <w:rsid w:val="00233817"/>
    <w:rsid w:val="002367FF"/>
    <w:rsid w:val="00240CE9"/>
    <w:rsid w:val="002434BA"/>
    <w:rsid w:val="00244971"/>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82884"/>
    <w:rsid w:val="0029593B"/>
    <w:rsid w:val="00297FC5"/>
    <w:rsid w:val="002A0417"/>
    <w:rsid w:val="002A16D8"/>
    <w:rsid w:val="002A1BC8"/>
    <w:rsid w:val="002A2F5E"/>
    <w:rsid w:val="002A3EF2"/>
    <w:rsid w:val="002A54B2"/>
    <w:rsid w:val="002B0DED"/>
    <w:rsid w:val="002B17E9"/>
    <w:rsid w:val="002B19A2"/>
    <w:rsid w:val="002B381A"/>
    <w:rsid w:val="002B4FCC"/>
    <w:rsid w:val="002B7408"/>
    <w:rsid w:val="002B7CFD"/>
    <w:rsid w:val="002B7F29"/>
    <w:rsid w:val="002C210F"/>
    <w:rsid w:val="002C2A4F"/>
    <w:rsid w:val="002D198A"/>
    <w:rsid w:val="002D3600"/>
    <w:rsid w:val="002D7DEB"/>
    <w:rsid w:val="002E4DDC"/>
    <w:rsid w:val="00302480"/>
    <w:rsid w:val="00302758"/>
    <w:rsid w:val="0031415D"/>
    <w:rsid w:val="003165E6"/>
    <w:rsid w:val="00316943"/>
    <w:rsid w:val="003215B5"/>
    <w:rsid w:val="003221CF"/>
    <w:rsid w:val="003233ED"/>
    <w:rsid w:val="00324D9F"/>
    <w:rsid w:val="00327948"/>
    <w:rsid w:val="0033000F"/>
    <w:rsid w:val="00332011"/>
    <w:rsid w:val="00332518"/>
    <w:rsid w:val="00332925"/>
    <w:rsid w:val="003332ED"/>
    <w:rsid w:val="003334AC"/>
    <w:rsid w:val="003368DC"/>
    <w:rsid w:val="00345927"/>
    <w:rsid w:val="00350584"/>
    <w:rsid w:val="00350BCD"/>
    <w:rsid w:val="00351857"/>
    <w:rsid w:val="003545E8"/>
    <w:rsid w:val="0035547E"/>
    <w:rsid w:val="00356363"/>
    <w:rsid w:val="003610E1"/>
    <w:rsid w:val="00362642"/>
    <w:rsid w:val="00365514"/>
    <w:rsid w:val="003671BE"/>
    <w:rsid w:val="00372485"/>
    <w:rsid w:val="00373200"/>
    <w:rsid w:val="00375EF5"/>
    <w:rsid w:val="003767A5"/>
    <w:rsid w:val="00381D15"/>
    <w:rsid w:val="0038283E"/>
    <w:rsid w:val="00385254"/>
    <w:rsid w:val="003A04DB"/>
    <w:rsid w:val="003A0B11"/>
    <w:rsid w:val="003A5F5B"/>
    <w:rsid w:val="003A789A"/>
    <w:rsid w:val="003B12EC"/>
    <w:rsid w:val="003B1D7F"/>
    <w:rsid w:val="003C77E0"/>
    <w:rsid w:val="003D17D7"/>
    <w:rsid w:val="003D1B76"/>
    <w:rsid w:val="003D2678"/>
    <w:rsid w:val="003D71A3"/>
    <w:rsid w:val="003E2B8A"/>
    <w:rsid w:val="003E4D4C"/>
    <w:rsid w:val="003E6C3F"/>
    <w:rsid w:val="003E7D80"/>
    <w:rsid w:val="003F10EE"/>
    <w:rsid w:val="003F16F6"/>
    <w:rsid w:val="003F1A99"/>
    <w:rsid w:val="003F4DC7"/>
    <w:rsid w:val="003F5235"/>
    <w:rsid w:val="004027E4"/>
    <w:rsid w:val="0041071D"/>
    <w:rsid w:val="00414AFC"/>
    <w:rsid w:val="00414E75"/>
    <w:rsid w:val="004151A7"/>
    <w:rsid w:val="00415310"/>
    <w:rsid w:val="00421709"/>
    <w:rsid w:val="00423763"/>
    <w:rsid w:val="00426659"/>
    <w:rsid w:val="0042762F"/>
    <w:rsid w:val="00427DC7"/>
    <w:rsid w:val="00431613"/>
    <w:rsid w:val="00431792"/>
    <w:rsid w:val="0043297A"/>
    <w:rsid w:val="00432EB2"/>
    <w:rsid w:val="0043714F"/>
    <w:rsid w:val="004376B7"/>
    <w:rsid w:val="004438B5"/>
    <w:rsid w:val="004448CD"/>
    <w:rsid w:val="00447037"/>
    <w:rsid w:val="0045084E"/>
    <w:rsid w:val="0045124D"/>
    <w:rsid w:val="00454596"/>
    <w:rsid w:val="0045605D"/>
    <w:rsid w:val="0046135B"/>
    <w:rsid w:val="00461D47"/>
    <w:rsid w:val="00467B43"/>
    <w:rsid w:val="004718CC"/>
    <w:rsid w:val="00481695"/>
    <w:rsid w:val="00495A96"/>
    <w:rsid w:val="00495BB3"/>
    <w:rsid w:val="004A42C5"/>
    <w:rsid w:val="004A56BB"/>
    <w:rsid w:val="004A70D6"/>
    <w:rsid w:val="004B12F6"/>
    <w:rsid w:val="004B1751"/>
    <w:rsid w:val="004C0253"/>
    <w:rsid w:val="004C5680"/>
    <w:rsid w:val="004D56FF"/>
    <w:rsid w:val="004E39D3"/>
    <w:rsid w:val="004E508A"/>
    <w:rsid w:val="004E5515"/>
    <w:rsid w:val="004E616D"/>
    <w:rsid w:val="004F1BDE"/>
    <w:rsid w:val="004F2CEE"/>
    <w:rsid w:val="004F556E"/>
    <w:rsid w:val="004F591C"/>
    <w:rsid w:val="004F7F44"/>
    <w:rsid w:val="005037B4"/>
    <w:rsid w:val="005045B6"/>
    <w:rsid w:val="005079BF"/>
    <w:rsid w:val="0051269A"/>
    <w:rsid w:val="00512C14"/>
    <w:rsid w:val="005144FA"/>
    <w:rsid w:val="005219E7"/>
    <w:rsid w:val="00521ED4"/>
    <w:rsid w:val="00524EA4"/>
    <w:rsid w:val="00531881"/>
    <w:rsid w:val="00531B9A"/>
    <w:rsid w:val="00531D15"/>
    <w:rsid w:val="00532406"/>
    <w:rsid w:val="00537604"/>
    <w:rsid w:val="00542377"/>
    <w:rsid w:val="005476EB"/>
    <w:rsid w:val="00551782"/>
    <w:rsid w:val="00556377"/>
    <w:rsid w:val="00563EF1"/>
    <w:rsid w:val="00566AB4"/>
    <w:rsid w:val="005704A2"/>
    <w:rsid w:val="0057167A"/>
    <w:rsid w:val="00575AC5"/>
    <w:rsid w:val="0057605D"/>
    <w:rsid w:val="00581347"/>
    <w:rsid w:val="00581AC9"/>
    <w:rsid w:val="0058495F"/>
    <w:rsid w:val="005849F8"/>
    <w:rsid w:val="005938DF"/>
    <w:rsid w:val="00594E9C"/>
    <w:rsid w:val="005A099B"/>
    <w:rsid w:val="005A2D9C"/>
    <w:rsid w:val="005A55FE"/>
    <w:rsid w:val="005A6A11"/>
    <w:rsid w:val="005A6B2A"/>
    <w:rsid w:val="005B0301"/>
    <w:rsid w:val="005C3088"/>
    <w:rsid w:val="005C5C10"/>
    <w:rsid w:val="005D0D5E"/>
    <w:rsid w:val="005D2502"/>
    <w:rsid w:val="005D40BB"/>
    <w:rsid w:val="005D47F3"/>
    <w:rsid w:val="005D49BF"/>
    <w:rsid w:val="005D4AA5"/>
    <w:rsid w:val="005D6F4E"/>
    <w:rsid w:val="005D7C73"/>
    <w:rsid w:val="005E250B"/>
    <w:rsid w:val="005E3ACD"/>
    <w:rsid w:val="005E7226"/>
    <w:rsid w:val="005E7A57"/>
    <w:rsid w:val="005F24B0"/>
    <w:rsid w:val="005F4C33"/>
    <w:rsid w:val="005F4EB4"/>
    <w:rsid w:val="005F7A5E"/>
    <w:rsid w:val="00601A43"/>
    <w:rsid w:val="00601B57"/>
    <w:rsid w:val="00604315"/>
    <w:rsid w:val="00604E26"/>
    <w:rsid w:val="0060523F"/>
    <w:rsid w:val="006052CF"/>
    <w:rsid w:val="00607B8D"/>
    <w:rsid w:val="006117D0"/>
    <w:rsid w:val="00611F5C"/>
    <w:rsid w:val="0061279C"/>
    <w:rsid w:val="00616E09"/>
    <w:rsid w:val="006217C4"/>
    <w:rsid w:val="00622A3B"/>
    <w:rsid w:val="00622EEA"/>
    <w:rsid w:val="0062396C"/>
    <w:rsid w:val="00623FF9"/>
    <w:rsid w:val="00627D4E"/>
    <w:rsid w:val="00631536"/>
    <w:rsid w:val="00632B89"/>
    <w:rsid w:val="0063346D"/>
    <w:rsid w:val="00634478"/>
    <w:rsid w:val="00644373"/>
    <w:rsid w:val="00645915"/>
    <w:rsid w:val="006519C3"/>
    <w:rsid w:val="00652B30"/>
    <w:rsid w:val="00656345"/>
    <w:rsid w:val="00656DC6"/>
    <w:rsid w:val="0066040F"/>
    <w:rsid w:val="00660EC6"/>
    <w:rsid w:val="00664110"/>
    <w:rsid w:val="00664D17"/>
    <w:rsid w:val="00666520"/>
    <w:rsid w:val="00667C5B"/>
    <w:rsid w:val="006767E1"/>
    <w:rsid w:val="00691EB8"/>
    <w:rsid w:val="00692CDE"/>
    <w:rsid w:val="00693073"/>
    <w:rsid w:val="00696D71"/>
    <w:rsid w:val="006977FF"/>
    <w:rsid w:val="006A01FA"/>
    <w:rsid w:val="006A0E9E"/>
    <w:rsid w:val="006A25C7"/>
    <w:rsid w:val="006A42BF"/>
    <w:rsid w:val="006A4AAD"/>
    <w:rsid w:val="006A6DA2"/>
    <w:rsid w:val="006A7AB2"/>
    <w:rsid w:val="006B40D3"/>
    <w:rsid w:val="006B52DE"/>
    <w:rsid w:val="006B5717"/>
    <w:rsid w:val="006B582F"/>
    <w:rsid w:val="006B5EB2"/>
    <w:rsid w:val="006C0CEB"/>
    <w:rsid w:val="006C1066"/>
    <w:rsid w:val="006C1631"/>
    <w:rsid w:val="006C2D98"/>
    <w:rsid w:val="006C3B1E"/>
    <w:rsid w:val="006C47FD"/>
    <w:rsid w:val="006C5C19"/>
    <w:rsid w:val="006C70A0"/>
    <w:rsid w:val="006D27CB"/>
    <w:rsid w:val="006D2F08"/>
    <w:rsid w:val="006D576C"/>
    <w:rsid w:val="006D5865"/>
    <w:rsid w:val="006D7D56"/>
    <w:rsid w:val="006E4B1B"/>
    <w:rsid w:val="006E5445"/>
    <w:rsid w:val="006E7D93"/>
    <w:rsid w:val="0070134C"/>
    <w:rsid w:val="007029A3"/>
    <w:rsid w:val="00706E4E"/>
    <w:rsid w:val="0070791C"/>
    <w:rsid w:val="0071383C"/>
    <w:rsid w:val="007141A7"/>
    <w:rsid w:val="00715722"/>
    <w:rsid w:val="00717045"/>
    <w:rsid w:val="007208F4"/>
    <w:rsid w:val="00721032"/>
    <w:rsid w:val="00721B55"/>
    <w:rsid w:val="00724E70"/>
    <w:rsid w:val="00726CE4"/>
    <w:rsid w:val="00734143"/>
    <w:rsid w:val="00737E47"/>
    <w:rsid w:val="00740EAC"/>
    <w:rsid w:val="00744956"/>
    <w:rsid w:val="00745A02"/>
    <w:rsid w:val="00745A5C"/>
    <w:rsid w:val="00745D0C"/>
    <w:rsid w:val="0074605F"/>
    <w:rsid w:val="00747E94"/>
    <w:rsid w:val="00754C83"/>
    <w:rsid w:val="00761E5C"/>
    <w:rsid w:val="00765DF8"/>
    <w:rsid w:val="00766749"/>
    <w:rsid w:val="00767C1B"/>
    <w:rsid w:val="007714A9"/>
    <w:rsid w:val="00774F88"/>
    <w:rsid w:val="00774FDB"/>
    <w:rsid w:val="00777BA2"/>
    <w:rsid w:val="00781408"/>
    <w:rsid w:val="00784F7F"/>
    <w:rsid w:val="007878BD"/>
    <w:rsid w:val="00793666"/>
    <w:rsid w:val="007939DE"/>
    <w:rsid w:val="00796B47"/>
    <w:rsid w:val="00796F25"/>
    <w:rsid w:val="007A2E98"/>
    <w:rsid w:val="007A3BA3"/>
    <w:rsid w:val="007A6CC0"/>
    <w:rsid w:val="007A7FEC"/>
    <w:rsid w:val="007B1499"/>
    <w:rsid w:val="007B1BBF"/>
    <w:rsid w:val="007B2960"/>
    <w:rsid w:val="007B355D"/>
    <w:rsid w:val="007B7980"/>
    <w:rsid w:val="007C0DEF"/>
    <w:rsid w:val="007C5D5A"/>
    <w:rsid w:val="007C607F"/>
    <w:rsid w:val="007C6E44"/>
    <w:rsid w:val="007C79DD"/>
    <w:rsid w:val="007C7B55"/>
    <w:rsid w:val="007D1A97"/>
    <w:rsid w:val="007D2CD6"/>
    <w:rsid w:val="007D3063"/>
    <w:rsid w:val="007D3CEB"/>
    <w:rsid w:val="007D6C49"/>
    <w:rsid w:val="007E0972"/>
    <w:rsid w:val="007E3375"/>
    <w:rsid w:val="007E7683"/>
    <w:rsid w:val="007F3519"/>
    <w:rsid w:val="007F3ECB"/>
    <w:rsid w:val="007F49FA"/>
    <w:rsid w:val="007F54C4"/>
    <w:rsid w:val="007F6E9A"/>
    <w:rsid w:val="00800CCD"/>
    <w:rsid w:val="00803E02"/>
    <w:rsid w:val="008044D4"/>
    <w:rsid w:val="00810AB4"/>
    <w:rsid w:val="00817B56"/>
    <w:rsid w:val="00821A88"/>
    <w:rsid w:val="0082495D"/>
    <w:rsid w:val="008278B1"/>
    <w:rsid w:val="00831AC3"/>
    <w:rsid w:val="00836FCE"/>
    <w:rsid w:val="008408FF"/>
    <w:rsid w:val="00851F3F"/>
    <w:rsid w:val="0085618F"/>
    <w:rsid w:val="00856EDC"/>
    <w:rsid w:val="008623B5"/>
    <w:rsid w:val="00866385"/>
    <w:rsid w:val="00870ABA"/>
    <w:rsid w:val="008710E1"/>
    <w:rsid w:val="008716E5"/>
    <w:rsid w:val="008819DA"/>
    <w:rsid w:val="00881CA9"/>
    <w:rsid w:val="00883628"/>
    <w:rsid w:val="00885544"/>
    <w:rsid w:val="0088634E"/>
    <w:rsid w:val="00893AB8"/>
    <w:rsid w:val="00895CB7"/>
    <w:rsid w:val="008A04C8"/>
    <w:rsid w:val="008A6913"/>
    <w:rsid w:val="008B31C5"/>
    <w:rsid w:val="008B70F3"/>
    <w:rsid w:val="008B71C4"/>
    <w:rsid w:val="008B76DF"/>
    <w:rsid w:val="008C10F4"/>
    <w:rsid w:val="008C65F7"/>
    <w:rsid w:val="008C7D50"/>
    <w:rsid w:val="008D3D1A"/>
    <w:rsid w:val="008D40CA"/>
    <w:rsid w:val="008E4767"/>
    <w:rsid w:val="008E6015"/>
    <w:rsid w:val="008E7A8C"/>
    <w:rsid w:val="008F6273"/>
    <w:rsid w:val="0090203B"/>
    <w:rsid w:val="00903285"/>
    <w:rsid w:val="00903462"/>
    <w:rsid w:val="00904391"/>
    <w:rsid w:val="0090488B"/>
    <w:rsid w:val="00906F40"/>
    <w:rsid w:val="0090731E"/>
    <w:rsid w:val="00915B1C"/>
    <w:rsid w:val="009174F3"/>
    <w:rsid w:val="0091797D"/>
    <w:rsid w:val="00923CBA"/>
    <w:rsid w:val="009242EB"/>
    <w:rsid w:val="00926703"/>
    <w:rsid w:val="00927691"/>
    <w:rsid w:val="00927A5F"/>
    <w:rsid w:val="00930510"/>
    <w:rsid w:val="009311A2"/>
    <w:rsid w:val="00935B63"/>
    <w:rsid w:val="00936F76"/>
    <w:rsid w:val="009403C3"/>
    <w:rsid w:val="0094078F"/>
    <w:rsid w:val="00940FA3"/>
    <w:rsid w:val="00941FB0"/>
    <w:rsid w:val="009426D4"/>
    <w:rsid w:val="00947F25"/>
    <w:rsid w:val="00950159"/>
    <w:rsid w:val="0095490B"/>
    <w:rsid w:val="00960A33"/>
    <w:rsid w:val="009642BF"/>
    <w:rsid w:val="00971914"/>
    <w:rsid w:val="00974363"/>
    <w:rsid w:val="00977AC8"/>
    <w:rsid w:val="00981898"/>
    <w:rsid w:val="0099577C"/>
    <w:rsid w:val="009A0CCE"/>
    <w:rsid w:val="009B24A5"/>
    <w:rsid w:val="009B2601"/>
    <w:rsid w:val="009B4E9E"/>
    <w:rsid w:val="009B7633"/>
    <w:rsid w:val="009C1690"/>
    <w:rsid w:val="009C6881"/>
    <w:rsid w:val="009C695C"/>
    <w:rsid w:val="009C7759"/>
    <w:rsid w:val="009D043D"/>
    <w:rsid w:val="009D07C8"/>
    <w:rsid w:val="009D6C71"/>
    <w:rsid w:val="009E0631"/>
    <w:rsid w:val="009E16D0"/>
    <w:rsid w:val="009E2051"/>
    <w:rsid w:val="009E38FD"/>
    <w:rsid w:val="009E694D"/>
    <w:rsid w:val="009F13D6"/>
    <w:rsid w:val="009F4C6B"/>
    <w:rsid w:val="009F5880"/>
    <w:rsid w:val="009F78A8"/>
    <w:rsid w:val="00A02AD6"/>
    <w:rsid w:val="00A06EE1"/>
    <w:rsid w:val="00A07096"/>
    <w:rsid w:val="00A07318"/>
    <w:rsid w:val="00A11370"/>
    <w:rsid w:val="00A224CE"/>
    <w:rsid w:val="00A22522"/>
    <w:rsid w:val="00A2440D"/>
    <w:rsid w:val="00A24AFD"/>
    <w:rsid w:val="00A24F5C"/>
    <w:rsid w:val="00A32F96"/>
    <w:rsid w:val="00A40871"/>
    <w:rsid w:val="00A412AB"/>
    <w:rsid w:val="00A4193E"/>
    <w:rsid w:val="00A440E0"/>
    <w:rsid w:val="00A442EF"/>
    <w:rsid w:val="00A51D1A"/>
    <w:rsid w:val="00A5418D"/>
    <w:rsid w:val="00A5474E"/>
    <w:rsid w:val="00A64234"/>
    <w:rsid w:val="00A70ADF"/>
    <w:rsid w:val="00A71466"/>
    <w:rsid w:val="00A71821"/>
    <w:rsid w:val="00A72FB4"/>
    <w:rsid w:val="00A74B5E"/>
    <w:rsid w:val="00A81BED"/>
    <w:rsid w:val="00A81EC4"/>
    <w:rsid w:val="00A824E8"/>
    <w:rsid w:val="00A91FB7"/>
    <w:rsid w:val="00A91FBE"/>
    <w:rsid w:val="00A967FD"/>
    <w:rsid w:val="00AA2DE5"/>
    <w:rsid w:val="00AB156C"/>
    <w:rsid w:val="00AB47C3"/>
    <w:rsid w:val="00AB4F90"/>
    <w:rsid w:val="00AB6814"/>
    <w:rsid w:val="00AC04BA"/>
    <w:rsid w:val="00AC0E39"/>
    <w:rsid w:val="00AC34CB"/>
    <w:rsid w:val="00AD3082"/>
    <w:rsid w:val="00AD32B4"/>
    <w:rsid w:val="00AD4AD0"/>
    <w:rsid w:val="00AD5436"/>
    <w:rsid w:val="00AD60CD"/>
    <w:rsid w:val="00AD6C8C"/>
    <w:rsid w:val="00AD7667"/>
    <w:rsid w:val="00AE091D"/>
    <w:rsid w:val="00AE3B60"/>
    <w:rsid w:val="00AE53A1"/>
    <w:rsid w:val="00AE679B"/>
    <w:rsid w:val="00AF2484"/>
    <w:rsid w:val="00AF63E7"/>
    <w:rsid w:val="00AF6E17"/>
    <w:rsid w:val="00B0165D"/>
    <w:rsid w:val="00B01B60"/>
    <w:rsid w:val="00B031F3"/>
    <w:rsid w:val="00B052A4"/>
    <w:rsid w:val="00B125DE"/>
    <w:rsid w:val="00B13FDD"/>
    <w:rsid w:val="00B22EB2"/>
    <w:rsid w:val="00B235D1"/>
    <w:rsid w:val="00B27442"/>
    <w:rsid w:val="00B304DD"/>
    <w:rsid w:val="00B31167"/>
    <w:rsid w:val="00B329D8"/>
    <w:rsid w:val="00B32BB9"/>
    <w:rsid w:val="00B33AE1"/>
    <w:rsid w:val="00B37C38"/>
    <w:rsid w:val="00B4288C"/>
    <w:rsid w:val="00B43262"/>
    <w:rsid w:val="00B44100"/>
    <w:rsid w:val="00B44E43"/>
    <w:rsid w:val="00B45B69"/>
    <w:rsid w:val="00B46CBA"/>
    <w:rsid w:val="00B46F94"/>
    <w:rsid w:val="00B52875"/>
    <w:rsid w:val="00B53BBB"/>
    <w:rsid w:val="00B6003C"/>
    <w:rsid w:val="00B61F03"/>
    <w:rsid w:val="00B626E4"/>
    <w:rsid w:val="00B72F4A"/>
    <w:rsid w:val="00B81131"/>
    <w:rsid w:val="00B83C27"/>
    <w:rsid w:val="00B84BC3"/>
    <w:rsid w:val="00B84BDD"/>
    <w:rsid w:val="00B876FF"/>
    <w:rsid w:val="00B87A8D"/>
    <w:rsid w:val="00B92812"/>
    <w:rsid w:val="00BB45A1"/>
    <w:rsid w:val="00BB7686"/>
    <w:rsid w:val="00BC23F9"/>
    <w:rsid w:val="00BC2F01"/>
    <w:rsid w:val="00BC3421"/>
    <w:rsid w:val="00BC732C"/>
    <w:rsid w:val="00BD2D20"/>
    <w:rsid w:val="00BD4421"/>
    <w:rsid w:val="00BD6AF7"/>
    <w:rsid w:val="00BD7249"/>
    <w:rsid w:val="00BE2580"/>
    <w:rsid w:val="00BE266D"/>
    <w:rsid w:val="00BE3938"/>
    <w:rsid w:val="00BE4C11"/>
    <w:rsid w:val="00BE6805"/>
    <w:rsid w:val="00BE71C0"/>
    <w:rsid w:val="00BF610C"/>
    <w:rsid w:val="00C0060B"/>
    <w:rsid w:val="00C01A6C"/>
    <w:rsid w:val="00C0277D"/>
    <w:rsid w:val="00C053A1"/>
    <w:rsid w:val="00C14D70"/>
    <w:rsid w:val="00C16198"/>
    <w:rsid w:val="00C2083D"/>
    <w:rsid w:val="00C24A53"/>
    <w:rsid w:val="00C34A05"/>
    <w:rsid w:val="00C35CCE"/>
    <w:rsid w:val="00C4032F"/>
    <w:rsid w:val="00C44047"/>
    <w:rsid w:val="00C45155"/>
    <w:rsid w:val="00C46F35"/>
    <w:rsid w:val="00C47DA4"/>
    <w:rsid w:val="00C5498F"/>
    <w:rsid w:val="00C55235"/>
    <w:rsid w:val="00C64CD0"/>
    <w:rsid w:val="00C6684F"/>
    <w:rsid w:val="00C70E70"/>
    <w:rsid w:val="00C75F8D"/>
    <w:rsid w:val="00C77380"/>
    <w:rsid w:val="00C87E8A"/>
    <w:rsid w:val="00C90CE1"/>
    <w:rsid w:val="00C97736"/>
    <w:rsid w:val="00CA345A"/>
    <w:rsid w:val="00CB1E82"/>
    <w:rsid w:val="00CB4BA8"/>
    <w:rsid w:val="00CB52D7"/>
    <w:rsid w:val="00CC6732"/>
    <w:rsid w:val="00CE0CA0"/>
    <w:rsid w:val="00CE3C96"/>
    <w:rsid w:val="00CE51A8"/>
    <w:rsid w:val="00CE5D22"/>
    <w:rsid w:val="00CF098C"/>
    <w:rsid w:val="00CF1B8D"/>
    <w:rsid w:val="00CF369B"/>
    <w:rsid w:val="00D00E28"/>
    <w:rsid w:val="00D0269E"/>
    <w:rsid w:val="00D047A9"/>
    <w:rsid w:val="00D04DAA"/>
    <w:rsid w:val="00D05D6C"/>
    <w:rsid w:val="00D15810"/>
    <w:rsid w:val="00D16D4E"/>
    <w:rsid w:val="00D16FE3"/>
    <w:rsid w:val="00D25660"/>
    <w:rsid w:val="00D27F41"/>
    <w:rsid w:val="00D36441"/>
    <w:rsid w:val="00D3771C"/>
    <w:rsid w:val="00D4064E"/>
    <w:rsid w:val="00D44E9B"/>
    <w:rsid w:val="00D45FD2"/>
    <w:rsid w:val="00D47AEB"/>
    <w:rsid w:val="00D50DB9"/>
    <w:rsid w:val="00D51302"/>
    <w:rsid w:val="00D521F6"/>
    <w:rsid w:val="00D52C43"/>
    <w:rsid w:val="00D55BD7"/>
    <w:rsid w:val="00D6507F"/>
    <w:rsid w:val="00D730BC"/>
    <w:rsid w:val="00D73912"/>
    <w:rsid w:val="00D75F84"/>
    <w:rsid w:val="00D85226"/>
    <w:rsid w:val="00D87B94"/>
    <w:rsid w:val="00D92D49"/>
    <w:rsid w:val="00D92EC1"/>
    <w:rsid w:val="00D95207"/>
    <w:rsid w:val="00D96DEA"/>
    <w:rsid w:val="00DA2B8D"/>
    <w:rsid w:val="00DA3AC6"/>
    <w:rsid w:val="00DA4E41"/>
    <w:rsid w:val="00DB117A"/>
    <w:rsid w:val="00DB27AF"/>
    <w:rsid w:val="00DB2B1C"/>
    <w:rsid w:val="00DB510C"/>
    <w:rsid w:val="00DB5173"/>
    <w:rsid w:val="00DB758F"/>
    <w:rsid w:val="00DB7873"/>
    <w:rsid w:val="00DC187B"/>
    <w:rsid w:val="00DC240D"/>
    <w:rsid w:val="00DC4C25"/>
    <w:rsid w:val="00DC4E3D"/>
    <w:rsid w:val="00DC7DEF"/>
    <w:rsid w:val="00DD1A43"/>
    <w:rsid w:val="00DD73C2"/>
    <w:rsid w:val="00DE319B"/>
    <w:rsid w:val="00DE5107"/>
    <w:rsid w:val="00DF34FE"/>
    <w:rsid w:val="00DF3843"/>
    <w:rsid w:val="00DF4607"/>
    <w:rsid w:val="00DF56AA"/>
    <w:rsid w:val="00DF56AF"/>
    <w:rsid w:val="00DF598D"/>
    <w:rsid w:val="00DF78E7"/>
    <w:rsid w:val="00E10A23"/>
    <w:rsid w:val="00E110E0"/>
    <w:rsid w:val="00E1244A"/>
    <w:rsid w:val="00E15371"/>
    <w:rsid w:val="00E23372"/>
    <w:rsid w:val="00E24104"/>
    <w:rsid w:val="00E24B26"/>
    <w:rsid w:val="00E26A27"/>
    <w:rsid w:val="00E302D0"/>
    <w:rsid w:val="00E325C1"/>
    <w:rsid w:val="00E35707"/>
    <w:rsid w:val="00E36AA1"/>
    <w:rsid w:val="00E41ECB"/>
    <w:rsid w:val="00E42676"/>
    <w:rsid w:val="00E54FDB"/>
    <w:rsid w:val="00E5617D"/>
    <w:rsid w:val="00E563D7"/>
    <w:rsid w:val="00E6067C"/>
    <w:rsid w:val="00E663F4"/>
    <w:rsid w:val="00E666F2"/>
    <w:rsid w:val="00E66DD4"/>
    <w:rsid w:val="00E748CC"/>
    <w:rsid w:val="00E75415"/>
    <w:rsid w:val="00E775B1"/>
    <w:rsid w:val="00E8152A"/>
    <w:rsid w:val="00E9272A"/>
    <w:rsid w:val="00E93629"/>
    <w:rsid w:val="00E93B5C"/>
    <w:rsid w:val="00E94CEC"/>
    <w:rsid w:val="00EA04EF"/>
    <w:rsid w:val="00EA6F19"/>
    <w:rsid w:val="00EA7EC6"/>
    <w:rsid w:val="00EB205A"/>
    <w:rsid w:val="00EB23D9"/>
    <w:rsid w:val="00EB55DF"/>
    <w:rsid w:val="00EB6F41"/>
    <w:rsid w:val="00EB7090"/>
    <w:rsid w:val="00EC1BBE"/>
    <w:rsid w:val="00EC2B68"/>
    <w:rsid w:val="00EC3AEF"/>
    <w:rsid w:val="00EC5CD7"/>
    <w:rsid w:val="00EC62C1"/>
    <w:rsid w:val="00EC7D20"/>
    <w:rsid w:val="00EE3100"/>
    <w:rsid w:val="00EE5F25"/>
    <w:rsid w:val="00EE5FB3"/>
    <w:rsid w:val="00EE7F79"/>
    <w:rsid w:val="00EF715A"/>
    <w:rsid w:val="00F01BC3"/>
    <w:rsid w:val="00F04E23"/>
    <w:rsid w:val="00F06D7C"/>
    <w:rsid w:val="00F06E14"/>
    <w:rsid w:val="00F179D4"/>
    <w:rsid w:val="00F2050D"/>
    <w:rsid w:val="00F24E4D"/>
    <w:rsid w:val="00F33C56"/>
    <w:rsid w:val="00F347C7"/>
    <w:rsid w:val="00F34848"/>
    <w:rsid w:val="00F42D46"/>
    <w:rsid w:val="00F4496C"/>
    <w:rsid w:val="00F44F3A"/>
    <w:rsid w:val="00F45DD5"/>
    <w:rsid w:val="00F51F10"/>
    <w:rsid w:val="00F529A5"/>
    <w:rsid w:val="00F554DF"/>
    <w:rsid w:val="00F60F00"/>
    <w:rsid w:val="00F614C0"/>
    <w:rsid w:val="00F61C77"/>
    <w:rsid w:val="00F64B2D"/>
    <w:rsid w:val="00F6725B"/>
    <w:rsid w:val="00F72FAF"/>
    <w:rsid w:val="00F770D0"/>
    <w:rsid w:val="00F80705"/>
    <w:rsid w:val="00F83848"/>
    <w:rsid w:val="00F975E9"/>
    <w:rsid w:val="00FA1B7D"/>
    <w:rsid w:val="00FC07B9"/>
    <w:rsid w:val="00FC0FFE"/>
    <w:rsid w:val="00FC171A"/>
    <w:rsid w:val="00FC2D89"/>
    <w:rsid w:val="00FC4E21"/>
    <w:rsid w:val="00FC5F6D"/>
    <w:rsid w:val="00FD0107"/>
    <w:rsid w:val="00FD2C2F"/>
    <w:rsid w:val="00FD3B31"/>
    <w:rsid w:val="00FE1823"/>
    <w:rsid w:val="00FE487A"/>
    <w:rsid w:val="00FF0569"/>
    <w:rsid w:val="00FF206E"/>
    <w:rsid w:val="00FF3C69"/>
    <w:rsid w:val="00FF6E0A"/>
    <w:rsid w:val="00FF706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red,#4d4d4f"/>
    </o:shapedefaults>
    <o:shapelayout v:ext="edit">
      <o:idmap v:ext="edit" data="1"/>
    </o:shapelayout>
  </w:shapeDefaults>
  <w:decimalSymbol w:val="."/>
  <w:listSeparator w:val=","/>
  <w14:docId w14:val="056E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895CB7"/>
    <w:pPr>
      <w:spacing w:after="240" w:line="240" w:lineRule="atLeast"/>
    </w:pPr>
    <w:rPr>
      <w:rFonts w:ascii="Arial" w:hAnsi="Arial"/>
      <w:sz w:val="20"/>
    </w:rPr>
  </w:style>
  <w:style w:type="paragraph" w:styleId="Heading1">
    <w:name w:val="heading 1"/>
    <w:basedOn w:val="Normal"/>
    <w:next w:val="Normal"/>
    <w:link w:val="Heading1Char"/>
    <w:qFormat/>
    <w:rsid w:val="00895CB7"/>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895CB7"/>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895CB7"/>
    <w:pPr>
      <w:keepNext/>
      <w:spacing w:before="60" w:after="60"/>
      <w:outlineLvl w:val="2"/>
    </w:pPr>
    <w:rPr>
      <w:rFonts w:cs="Arial"/>
      <w:b/>
      <w:bCs/>
      <w:szCs w:val="26"/>
    </w:rPr>
  </w:style>
  <w:style w:type="paragraph" w:styleId="Heading4">
    <w:name w:val="heading 4"/>
    <w:basedOn w:val="BodySubHeader"/>
    <w:next w:val="Normal"/>
    <w:link w:val="Heading4Char"/>
    <w:uiPriority w:val="2"/>
    <w:qFormat/>
    <w:rsid w:val="00895CB7"/>
    <w:pPr>
      <w:outlineLvl w:val="3"/>
    </w:pPr>
    <w:rPr>
      <w:rFonts w:cs="Arial"/>
    </w:rPr>
  </w:style>
  <w:style w:type="paragraph" w:styleId="Heading5">
    <w:name w:val="heading 5"/>
    <w:basedOn w:val="Normal"/>
    <w:next w:val="Normal"/>
    <w:link w:val="Heading5Char"/>
    <w:semiHidden/>
    <w:qFormat/>
    <w:rsid w:val="00895CB7"/>
    <w:pPr>
      <w:numPr>
        <w:ilvl w:val="4"/>
        <w:numId w:val="57"/>
      </w:numPr>
      <w:spacing w:before="240" w:after="60"/>
      <w:outlineLvl w:val="4"/>
    </w:pPr>
    <w:rPr>
      <w:b/>
      <w:bCs/>
      <w:i/>
      <w:iCs/>
      <w:sz w:val="26"/>
      <w:szCs w:val="26"/>
    </w:rPr>
  </w:style>
  <w:style w:type="paragraph" w:styleId="Heading6">
    <w:name w:val="heading 6"/>
    <w:basedOn w:val="Normal"/>
    <w:next w:val="Normal"/>
    <w:link w:val="Heading6Char"/>
    <w:semiHidden/>
    <w:qFormat/>
    <w:rsid w:val="00895CB7"/>
    <w:pPr>
      <w:numPr>
        <w:ilvl w:val="5"/>
        <w:numId w:val="57"/>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qFormat/>
    <w:rsid w:val="00895CB7"/>
    <w:pPr>
      <w:numPr>
        <w:ilvl w:val="6"/>
        <w:numId w:val="57"/>
      </w:num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895CB7"/>
    <w:pPr>
      <w:numPr>
        <w:ilvl w:val="7"/>
        <w:numId w:val="57"/>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895CB7"/>
    <w:pPr>
      <w:numPr>
        <w:ilvl w:val="8"/>
        <w:numId w:val="5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95CB7"/>
    <w:pPr>
      <w:tabs>
        <w:tab w:val="center" w:pos="4153"/>
        <w:tab w:val="right" w:pos="8306"/>
      </w:tabs>
      <w:spacing w:line="240" w:lineRule="auto"/>
    </w:pPr>
    <w:rPr>
      <w:sz w:val="16"/>
    </w:rPr>
  </w:style>
  <w:style w:type="paragraph" w:styleId="Footer">
    <w:name w:val="footer"/>
    <w:basedOn w:val="Normal"/>
    <w:link w:val="FooterChar"/>
    <w:semiHidden/>
    <w:qFormat/>
    <w:rsid w:val="00895CB7"/>
    <w:pPr>
      <w:tabs>
        <w:tab w:val="right" w:pos="113"/>
      </w:tabs>
      <w:spacing w:line="240" w:lineRule="auto"/>
    </w:pPr>
    <w:rPr>
      <w:color w:val="323232"/>
      <w:sz w:val="16"/>
    </w:rPr>
  </w:style>
  <w:style w:type="character" w:customStyle="1" w:styleId="FooterChar">
    <w:name w:val="Footer Char"/>
    <w:basedOn w:val="DefaultParagraphFont"/>
    <w:link w:val="Footer"/>
    <w:semiHidden/>
    <w:rsid w:val="00895CB7"/>
    <w:rPr>
      <w:rFonts w:ascii="Arial" w:hAnsi="Arial"/>
      <w:color w:val="323232"/>
      <w:sz w:val="16"/>
    </w:rPr>
  </w:style>
  <w:style w:type="paragraph" w:customStyle="1" w:styleId="Reporttitle">
    <w:name w:val="Report title"/>
    <w:basedOn w:val="Normal"/>
    <w:uiPriority w:val="19"/>
    <w:qFormat/>
    <w:rsid w:val="00895CB7"/>
    <w:pPr>
      <w:spacing w:after="0" w:line="560" w:lineRule="exact"/>
    </w:pPr>
    <w:rPr>
      <w:b/>
      <w:spacing w:val="-28"/>
      <w:sz w:val="53"/>
    </w:rPr>
  </w:style>
  <w:style w:type="paragraph" w:customStyle="1" w:styleId="Reportsubtitle">
    <w:name w:val="Report subtitle"/>
    <w:basedOn w:val="Normal"/>
    <w:uiPriority w:val="20"/>
    <w:qFormat/>
    <w:rsid w:val="00895CB7"/>
    <w:pPr>
      <w:spacing w:after="200" w:line="560" w:lineRule="exact"/>
    </w:pPr>
    <w:rPr>
      <w:color w:val="323232"/>
      <w:spacing w:val="-28"/>
      <w:sz w:val="53"/>
    </w:rPr>
  </w:style>
  <w:style w:type="table" w:styleId="TableGrid">
    <w:name w:val="Table Grid"/>
    <w:basedOn w:val="TableNormal"/>
    <w:uiPriority w:val="59"/>
    <w:rsid w:val="00895CB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895CB7"/>
    <w:pPr>
      <w:spacing w:after="1200" w:line="240" w:lineRule="auto"/>
    </w:pPr>
    <w:rPr>
      <w:caps/>
      <w:spacing w:val="-10"/>
      <w:sz w:val="20"/>
    </w:rPr>
  </w:style>
  <w:style w:type="paragraph" w:customStyle="1" w:styleId="Tableheaderrow">
    <w:name w:val="Table header row"/>
    <w:basedOn w:val="Normal"/>
    <w:uiPriority w:val="14"/>
    <w:qFormat/>
    <w:rsid w:val="00895CB7"/>
    <w:pPr>
      <w:spacing w:after="0"/>
    </w:pPr>
    <w:rPr>
      <w:b/>
    </w:rPr>
  </w:style>
  <w:style w:type="paragraph" w:customStyle="1" w:styleId="PageNumber">
    <w:name w:val="PageNumber"/>
    <w:basedOn w:val="Normal"/>
    <w:semiHidden/>
    <w:rsid w:val="00895CB7"/>
    <w:pPr>
      <w:spacing w:line="240" w:lineRule="auto"/>
    </w:pPr>
    <w:rPr>
      <w:sz w:val="16"/>
    </w:rPr>
  </w:style>
  <w:style w:type="paragraph" w:customStyle="1" w:styleId="Copyright">
    <w:name w:val="Copyright"/>
    <w:basedOn w:val="Normal"/>
    <w:semiHidden/>
    <w:rsid w:val="00895CB7"/>
    <w:pPr>
      <w:spacing w:line="160" w:lineRule="exact"/>
    </w:pPr>
    <w:rPr>
      <w:color w:val="4D4D4F"/>
      <w:sz w:val="13"/>
    </w:rPr>
  </w:style>
  <w:style w:type="paragraph" w:styleId="TOCHeading">
    <w:name w:val="TOC Heading"/>
    <w:basedOn w:val="Normal"/>
    <w:semiHidden/>
    <w:qFormat/>
    <w:rsid w:val="00895CB7"/>
    <w:pPr>
      <w:spacing w:before="1200" w:line="240" w:lineRule="auto"/>
    </w:pPr>
    <w:rPr>
      <w:b/>
      <w:color w:val="323232"/>
      <w:spacing w:val="-28"/>
      <w:sz w:val="53"/>
    </w:rPr>
  </w:style>
  <w:style w:type="paragraph" w:styleId="Caption">
    <w:name w:val="caption"/>
    <w:aliases w:val="Caption table"/>
    <w:basedOn w:val="Normal"/>
    <w:next w:val="Normal"/>
    <w:semiHidden/>
    <w:qFormat/>
    <w:rsid w:val="00895CB7"/>
    <w:pPr>
      <w:numPr>
        <w:numId w:val="50"/>
      </w:numPr>
      <w:spacing w:after="0"/>
    </w:pPr>
    <w:rPr>
      <w:b/>
      <w:bCs/>
      <w:color w:val="323232"/>
      <w:szCs w:val="20"/>
    </w:rPr>
  </w:style>
  <w:style w:type="paragraph" w:customStyle="1" w:styleId="BodySubHeader">
    <w:name w:val="BodySubHeader"/>
    <w:basedOn w:val="Normal"/>
    <w:next w:val="Normal"/>
    <w:semiHidden/>
    <w:rsid w:val="00895CB7"/>
    <w:pPr>
      <w:spacing w:before="240" w:after="0"/>
    </w:pPr>
    <w:rPr>
      <w:b/>
      <w:i/>
    </w:rPr>
  </w:style>
  <w:style w:type="paragraph" w:styleId="ListBullet">
    <w:name w:val="List Bullet"/>
    <w:basedOn w:val="Normal"/>
    <w:qFormat/>
    <w:rsid w:val="00895CB7"/>
    <w:pPr>
      <w:numPr>
        <w:numId w:val="69"/>
      </w:numPr>
      <w:spacing w:after="80"/>
    </w:pPr>
  </w:style>
  <w:style w:type="paragraph" w:styleId="ListBullet2">
    <w:name w:val="List Bullet 2"/>
    <w:basedOn w:val="Normal"/>
    <w:semiHidden/>
    <w:qFormat/>
    <w:rsid w:val="00895CB7"/>
    <w:pPr>
      <w:numPr>
        <w:numId w:val="71"/>
      </w:numPr>
      <w:spacing w:after="80"/>
    </w:pPr>
  </w:style>
  <w:style w:type="paragraph" w:styleId="ListNumber">
    <w:name w:val="List Number"/>
    <w:basedOn w:val="Normal"/>
    <w:semiHidden/>
    <w:qFormat/>
    <w:rsid w:val="00895CB7"/>
    <w:pPr>
      <w:numPr>
        <w:numId w:val="63"/>
      </w:numPr>
      <w:spacing w:after="80"/>
    </w:pPr>
  </w:style>
  <w:style w:type="paragraph" w:styleId="ListNumber2">
    <w:name w:val="List Number 2"/>
    <w:basedOn w:val="Normal"/>
    <w:semiHidden/>
    <w:qFormat/>
    <w:rsid w:val="00895CB7"/>
    <w:pPr>
      <w:numPr>
        <w:numId w:val="65"/>
      </w:numPr>
      <w:spacing w:after="80"/>
    </w:pPr>
  </w:style>
  <w:style w:type="paragraph" w:customStyle="1" w:styleId="URLEmail">
    <w:name w:val="URL/Email"/>
    <w:basedOn w:val="Normal"/>
    <w:semiHidden/>
    <w:rsid w:val="00895CB7"/>
    <w:rPr>
      <w:color w:val="4D4D4F"/>
      <w:spacing w:val="4"/>
    </w:rPr>
  </w:style>
  <w:style w:type="paragraph" w:customStyle="1" w:styleId="Execsummaryheading">
    <w:name w:val="Exec summary heading"/>
    <w:basedOn w:val="Normal"/>
    <w:uiPriority w:val="22"/>
    <w:qFormat/>
    <w:rsid w:val="00895CB7"/>
    <w:pPr>
      <w:pageBreakBefore/>
      <w:spacing w:after="1440" w:line="550" w:lineRule="exact"/>
    </w:pPr>
    <w:rPr>
      <w:b/>
      <w:color w:val="323232"/>
      <w:spacing w:val="-18"/>
      <w:sz w:val="53"/>
    </w:rPr>
  </w:style>
  <w:style w:type="character" w:styleId="PageNumber0">
    <w:name w:val="page number"/>
    <w:basedOn w:val="DefaultParagraphFont"/>
    <w:semiHidden/>
    <w:rsid w:val="00895CB7"/>
  </w:style>
  <w:style w:type="paragraph" w:styleId="ListContinue5">
    <w:name w:val="List Continue 5"/>
    <w:basedOn w:val="Normal"/>
    <w:semiHidden/>
    <w:rsid w:val="00895CB7"/>
    <w:pPr>
      <w:spacing w:after="120"/>
      <w:ind w:left="1415"/>
      <w:contextualSpacing/>
    </w:pPr>
  </w:style>
  <w:style w:type="paragraph" w:customStyle="1" w:styleId="Paragraphbeforelist">
    <w:name w:val="Paragraph before list"/>
    <w:basedOn w:val="Paragraph"/>
    <w:uiPriority w:val="4"/>
    <w:qFormat/>
    <w:rsid w:val="00895CB7"/>
    <w:pPr>
      <w:spacing w:after="80"/>
    </w:pPr>
  </w:style>
  <w:style w:type="paragraph" w:styleId="TOC1">
    <w:name w:val="toc 1"/>
    <w:basedOn w:val="Normal"/>
    <w:next w:val="Normal"/>
    <w:uiPriority w:val="39"/>
    <w:qFormat/>
    <w:rsid w:val="00895CB7"/>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895CB7"/>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895CB7"/>
    <w:pPr>
      <w:tabs>
        <w:tab w:val="right" w:pos="7615"/>
      </w:tabs>
      <w:spacing w:line="320" w:lineRule="exact"/>
    </w:pPr>
    <w:rPr>
      <w:noProof/>
      <w:color w:val="808285"/>
      <w:sz w:val="28"/>
    </w:rPr>
  </w:style>
  <w:style w:type="paragraph" w:styleId="TOC3">
    <w:name w:val="toc 3"/>
    <w:basedOn w:val="Normal"/>
    <w:next w:val="Normal"/>
    <w:uiPriority w:val="39"/>
    <w:qFormat/>
    <w:rsid w:val="00895CB7"/>
    <w:pPr>
      <w:tabs>
        <w:tab w:val="right" w:pos="7661"/>
      </w:tabs>
      <w:spacing w:after="80" w:line="240" w:lineRule="auto"/>
    </w:pPr>
    <w:rPr>
      <w:noProof/>
      <w:sz w:val="22"/>
      <w:szCs w:val="22"/>
    </w:rPr>
  </w:style>
  <w:style w:type="character" w:styleId="Hyperlink">
    <w:name w:val="Hyperlink"/>
    <w:basedOn w:val="DefaultParagraphFont"/>
    <w:uiPriority w:val="99"/>
    <w:qFormat/>
    <w:rsid w:val="00895CB7"/>
    <w:rPr>
      <w:color w:val="0000FF"/>
      <w:u w:val="single" w:color="0000FF"/>
    </w:rPr>
  </w:style>
  <w:style w:type="character" w:styleId="FootnoteReference">
    <w:name w:val="footnote reference"/>
    <w:basedOn w:val="DefaultParagraphFont"/>
    <w:rsid w:val="00895CB7"/>
    <w:rPr>
      <w:rFonts w:ascii="Arial" w:hAnsi="Arial"/>
      <w:vertAlign w:val="superscript"/>
    </w:rPr>
  </w:style>
  <w:style w:type="paragraph" w:styleId="FootnoteText">
    <w:name w:val="footnote text"/>
    <w:aliases w:val="Footnote text"/>
    <w:basedOn w:val="Normal"/>
    <w:link w:val="FootnoteTextChar"/>
    <w:uiPriority w:val="23"/>
    <w:rsid w:val="00895CB7"/>
    <w:pPr>
      <w:spacing w:after="0"/>
    </w:pPr>
    <w:rPr>
      <w:sz w:val="16"/>
      <w:szCs w:val="16"/>
    </w:rPr>
  </w:style>
  <w:style w:type="paragraph" w:customStyle="1" w:styleId="TableBody">
    <w:name w:val="Table Body"/>
    <w:basedOn w:val="Normal"/>
    <w:uiPriority w:val="15"/>
    <w:qFormat/>
    <w:rsid w:val="00895CB7"/>
    <w:pPr>
      <w:spacing w:after="0" w:line="240" w:lineRule="auto"/>
    </w:pPr>
  </w:style>
  <w:style w:type="character" w:styleId="CommentReference">
    <w:name w:val="annotation reference"/>
    <w:basedOn w:val="DefaultParagraphFont"/>
    <w:semiHidden/>
    <w:rsid w:val="00895CB7"/>
    <w:rPr>
      <w:sz w:val="16"/>
      <w:szCs w:val="16"/>
    </w:rPr>
  </w:style>
  <w:style w:type="paragraph" w:styleId="CommentText">
    <w:name w:val="annotation text"/>
    <w:basedOn w:val="Normal"/>
    <w:link w:val="CommentTextChar"/>
    <w:semiHidden/>
    <w:rsid w:val="00895CB7"/>
    <w:pPr>
      <w:spacing w:line="240" w:lineRule="auto"/>
    </w:pPr>
    <w:rPr>
      <w:szCs w:val="20"/>
    </w:rPr>
  </w:style>
  <w:style w:type="character" w:customStyle="1" w:styleId="CommentTextChar">
    <w:name w:val="Comment Text Char"/>
    <w:basedOn w:val="DefaultParagraphFont"/>
    <w:link w:val="CommentText"/>
    <w:semiHidden/>
    <w:rsid w:val="00895CB7"/>
    <w:rPr>
      <w:rFonts w:ascii="Arial" w:hAnsi="Arial"/>
      <w:sz w:val="20"/>
      <w:szCs w:val="20"/>
    </w:rPr>
  </w:style>
  <w:style w:type="paragraph" w:styleId="CommentSubject">
    <w:name w:val="annotation subject"/>
    <w:basedOn w:val="CommentText"/>
    <w:next w:val="CommentText"/>
    <w:link w:val="CommentSubjectChar"/>
    <w:semiHidden/>
    <w:rsid w:val="00895CB7"/>
    <w:rPr>
      <w:b/>
      <w:bCs/>
    </w:rPr>
  </w:style>
  <w:style w:type="character" w:customStyle="1" w:styleId="CommentSubjectChar">
    <w:name w:val="Comment Subject Char"/>
    <w:basedOn w:val="CommentTextChar"/>
    <w:link w:val="CommentSubject"/>
    <w:semiHidden/>
    <w:rsid w:val="00895CB7"/>
    <w:rPr>
      <w:rFonts w:ascii="Arial" w:hAnsi="Arial"/>
      <w:b/>
      <w:bCs/>
      <w:sz w:val="20"/>
      <w:szCs w:val="20"/>
    </w:rPr>
  </w:style>
  <w:style w:type="character" w:styleId="FollowedHyperlink">
    <w:name w:val="FollowedHyperlink"/>
    <w:basedOn w:val="DefaultParagraphFont"/>
    <w:semiHidden/>
    <w:rsid w:val="00895CB7"/>
    <w:rPr>
      <w:color w:val="800080" w:themeColor="followedHyperlink"/>
      <w:u w:val="single"/>
    </w:rPr>
  </w:style>
  <w:style w:type="character" w:styleId="PlaceholderText">
    <w:name w:val="Placeholder Text"/>
    <w:basedOn w:val="DefaultParagraphFont"/>
    <w:uiPriority w:val="99"/>
    <w:semiHidden/>
    <w:rsid w:val="00895CB7"/>
    <w:rPr>
      <w:color w:val="808080"/>
    </w:rPr>
  </w:style>
  <w:style w:type="paragraph" w:customStyle="1" w:styleId="ACMAInstructions">
    <w:name w:val="ACMA_Instructions"/>
    <w:basedOn w:val="Normal"/>
    <w:semiHidden/>
    <w:unhideWhenUsed/>
    <w:qFormat/>
    <w:rsid w:val="00895CB7"/>
    <w:pPr>
      <w:spacing w:after="200"/>
    </w:pPr>
    <w:rPr>
      <w:rFonts w:cs="Arial"/>
      <w:b/>
      <w:vanish/>
      <w:sz w:val="24"/>
    </w:rPr>
  </w:style>
  <w:style w:type="paragraph" w:customStyle="1" w:styleId="CorporateAddresses">
    <w:name w:val="Corporate Addresses"/>
    <w:basedOn w:val="Normal"/>
    <w:semiHidden/>
    <w:rsid w:val="00895CB7"/>
    <w:pPr>
      <w:spacing w:line="140" w:lineRule="exact"/>
    </w:pPr>
    <w:rPr>
      <w:color w:val="4D4D4F"/>
      <w:sz w:val="13"/>
    </w:rPr>
  </w:style>
  <w:style w:type="paragraph" w:customStyle="1" w:styleId="Bulletlevel1">
    <w:name w:val="Bullet level 1"/>
    <w:basedOn w:val="Paragraph"/>
    <w:uiPriority w:val="5"/>
    <w:qFormat/>
    <w:rsid w:val="00977AC8"/>
    <w:pPr>
      <w:numPr>
        <w:numId w:val="19"/>
      </w:numPr>
      <w:spacing w:after="80"/>
      <w:ind w:left="425" w:hanging="425"/>
    </w:pPr>
  </w:style>
  <w:style w:type="paragraph" w:customStyle="1" w:styleId="ACMACorporateAddressHeader">
    <w:name w:val="ACMA_CorporateAddressHeader"/>
    <w:basedOn w:val="Normal"/>
    <w:next w:val="ACMACorporateAddresses"/>
    <w:semiHidden/>
    <w:unhideWhenUsed/>
    <w:qFormat/>
    <w:rsid w:val="00895CB7"/>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895CB7"/>
    <w:pPr>
      <w:spacing w:before="0" w:after="120"/>
    </w:pPr>
    <w:rPr>
      <w:b w:val="0"/>
    </w:rPr>
  </w:style>
  <w:style w:type="paragraph" w:customStyle="1" w:styleId="ACMACopyrightHeader">
    <w:name w:val="ACMA_CopyrightHeader"/>
    <w:basedOn w:val="ACMACorporateAddressHeader"/>
    <w:semiHidden/>
    <w:unhideWhenUsed/>
    <w:qFormat/>
    <w:rsid w:val="00895CB7"/>
    <w:pPr>
      <w:spacing w:before="3000"/>
    </w:pPr>
  </w:style>
  <w:style w:type="paragraph" w:customStyle="1" w:styleId="ACMACClogo">
    <w:name w:val="ACMA_CClogo"/>
    <w:semiHidden/>
    <w:unhideWhenUsed/>
    <w:qFormat/>
    <w:rsid w:val="00895CB7"/>
    <w:pPr>
      <w:spacing w:before="160" w:after="120"/>
    </w:pPr>
    <w:rPr>
      <w:rFonts w:ascii="Arial" w:hAnsi="Arial"/>
      <w:b/>
      <w:sz w:val="13"/>
    </w:rPr>
  </w:style>
  <w:style w:type="paragraph" w:customStyle="1" w:styleId="ListBulletLast">
    <w:name w:val="List Bullet Last"/>
    <w:basedOn w:val="ListBullet"/>
    <w:qFormat/>
    <w:rsid w:val="00895CB7"/>
    <w:pPr>
      <w:spacing w:after="240"/>
    </w:pPr>
    <w:rPr>
      <w:rFonts w:cs="Arial"/>
    </w:rPr>
  </w:style>
  <w:style w:type="paragraph" w:customStyle="1" w:styleId="ListNumberLast">
    <w:name w:val="List Number Last"/>
    <w:basedOn w:val="ListNumber"/>
    <w:semiHidden/>
    <w:qFormat/>
    <w:rsid w:val="00895CB7"/>
    <w:pPr>
      <w:spacing w:after="240"/>
      <w:ind w:left="357" w:hanging="357"/>
    </w:pPr>
    <w:rPr>
      <w:rFonts w:cs="Arial"/>
    </w:rPr>
  </w:style>
  <w:style w:type="paragraph" w:customStyle="1" w:styleId="ACMATableHeader">
    <w:name w:val="ACMA_TableHeader"/>
    <w:semiHidden/>
    <w:qFormat/>
    <w:rsid w:val="00895CB7"/>
    <w:pPr>
      <w:numPr>
        <w:numId w:val="66"/>
      </w:numPr>
      <w:spacing w:after="160"/>
    </w:pPr>
    <w:rPr>
      <w:rFonts w:ascii="Arial" w:hAnsi="Arial"/>
      <w:b/>
      <w:bCs/>
      <w:color w:val="323232"/>
      <w:sz w:val="20"/>
      <w:szCs w:val="20"/>
    </w:rPr>
  </w:style>
  <w:style w:type="paragraph" w:customStyle="1" w:styleId="ACMANotes">
    <w:name w:val="ACMA_Notes"/>
    <w:semiHidden/>
    <w:qFormat/>
    <w:rsid w:val="00895CB7"/>
    <w:pPr>
      <w:spacing w:before="80"/>
    </w:pPr>
    <w:rPr>
      <w:rFonts w:ascii="Arial" w:hAnsi="Arial" w:cs="Arial"/>
      <w:i/>
      <w:sz w:val="16"/>
    </w:rPr>
  </w:style>
  <w:style w:type="paragraph" w:customStyle="1" w:styleId="Numberlistlevel1">
    <w:name w:val="Number list level 1"/>
    <w:basedOn w:val="ListNumber"/>
    <w:uiPriority w:val="9"/>
    <w:qFormat/>
    <w:rsid w:val="00895CB7"/>
  </w:style>
  <w:style w:type="character" w:styleId="Emphasis">
    <w:name w:val="Emphasis"/>
    <w:basedOn w:val="DefaultParagraphFont"/>
    <w:qFormat/>
    <w:rsid w:val="00895CB7"/>
    <w:rPr>
      <w:i/>
      <w:iCs/>
    </w:rPr>
  </w:style>
  <w:style w:type="paragraph" w:customStyle="1" w:styleId="ListNumber2Last">
    <w:name w:val="List Number 2 Last"/>
    <w:basedOn w:val="ListNumber2"/>
    <w:semiHidden/>
    <w:qFormat/>
    <w:rsid w:val="00895CB7"/>
    <w:pPr>
      <w:spacing w:after="240"/>
    </w:pPr>
    <w:rPr>
      <w:rFonts w:cs="Arial"/>
    </w:rPr>
  </w:style>
  <w:style w:type="paragraph" w:customStyle="1" w:styleId="Spaceaftertable">
    <w:name w:val="Space after table"/>
    <w:basedOn w:val="Normal"/>
    <w:uiPriority w:val="99"/>
    <w:qFormat/>
    <w:rsid w:val="00895CB7"/>
    <w:rPr>
      <w:rFonts w:cs="Arial"/>
    </w:rPr>
  </w:style>
  <w:style w:type="paragraph" w:customStyle="1" w:styleId="FooterLeft">
    <w:name w:val="Footer Left"/>
    <w:basedOn w:val="Footer"/>
    <w:semiHidden/>
    <w:qFormat/>
    <w:rsid w:val="00895CB7"/>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895CB7"/>
    <w:pPr>
      <w:numPr>
        <w:numId w:val="52"/>
      </w:numPr>
      <w:spacing w:after="160"/>
    </w:pPr>
    <w:rPr>
      <w:rFonts w:ascii="Arial" w:hAnsi="Arial"/>
      <w:b/>
      <w:bCs/>
      <w:color w:val="323232"/>
      <w:sz w:val="20"/>
      <w:szCs w:val="20"/>
    </w:rPr>
  </w:style>
  <w:style w:type="paragraph" w:customStyle="1" w:styleId="Captionfigure">
    <w:name w:val="Caption figure"/>
    <w:basedOn w:val="Caption"/>
    <w:semiHidden/>
    <w:qFormat/>
    <w:rsid w:val="00895CB7"/>
    <w:pPr>
      <w:keepNext/>
      <w:numPr>
        <w:numId w:val="51"/>
      </w:numPr>
    </w:pPr>
    <w:rPr>
      <w:rFonts w:cs="Arial"/>
    </w:rPr>
  </w:style>
  <w:style w:type="paragraph" w:customStyle="1" w:styleId="GridTable31">
    <w:name w:val="Grid Table 31"/>
    <w:basedOn w:val="Normal"/>
    <w:semiHidden/>
    <w:qFormat/>
    <w:rsid w:val="00895CB7"/>
    <w:pPr>
      <w:spacing w:after="0" w:line="240" w:lineRule="auto"/>
    </w:pPr>
    <w:rPr>
      <w:b/>
      <w:color w:val="4D4D4F"/>
      <w:spacing w:val="-28"/>
      <w:sz w:val="53"/>
    </w:rPr>
  </w:style>
  <w:style w:type="character" w:customStyle="1" w:styleId="HeaderChar">
    <w:name w:val="Header Char"/>
    <w:link w:val="Header"/>
    <w:semiHidden/>
    <w:rsid w:val="00895CB7"/>
    <w:rPr>
      <w:rFonts w:ascii="Arial" w:hAnsi="Arial"/>
      <w:sz w:val="16"/>
    </w:rPr>
  </w:style>
  <w:style w:type="character" w:customStyle="1" w:styleId="Heading1Char">
    <w:name w:val="Heading 1 Char"/>
    <w:basedOn w:val="DefaultParagraphFont"/>
    <w:link w:val="Heading1"/>
    <w:rsid w:val="00895CB7"/>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95CB7"/>
    <w:rPr>
      <w:rFonts w:ascii="Arial" w:hAnsi="Arial" w:cs="Arial"/>
      <w:b/>
      <w:bCs/>
      <w:iCs/>
      <w:sz w:val="28"/>
      <w:szCs w:val="28"/>
    </w:rPr>
  </w:style>
  <w:style w:type="character" w:styleId="UnresolvedMention">
    <w:name w:val="Unresolved Mention"/>
    <w:basedOn w:val="DefaultParagraphFont"/>
    <w:uiPriority w:val="99"/>
    <w:semiHidden/>
    <w:unhideWhenUsed/>
    <w:rsid w:val="00895CB7"/>
    <w:rPr>
      <w:color w:val="605E5C"/>
      <w:shd w:val="clear" w:color="auto" w:fill="E1DFDD"/>
    </w:rPr>
  </w:style>
  <w:style w:type="character" w:customStyle="1" w:styleId="Heading3Char">
    <w:name w:val="Heading 3 Char"/>
    <w:basedOn w:val="DefaultParagraphFont"/>
    <w:link w:val="Heading3"/>
    <w:uiPriority w:val="2"/>
    <w:rsid w:val="00895CB7"/>
    <w:rPr>
      <w:rFonts w:ascii="Arial" w:hAnsi="Arial" w:cs="Arial"/>
      <w:b/>
      <w:bCs/>
      <w:sz w:val="20"/>
      <w:szCs w:val="26"/>
    </w:rPr>
  </w:style>
  <w:style w:type="paragraph" w:customStyle="1" w:styleId="Paragraph">
    <w:name w:val="Paragraph"/>
    <w:basedOn w:val="Normal"/>
    <w:qFormat/>
    <w:rsid w:val="00895CB7"/>
    <w:rPr>
      <w:rFonts w:cs="Arial"/>
    </w:rPr>
  </w:style>
  <w:style w:type="paragraph" w:customStyle="1" w:styleId="Bulletlevel2">
    <w:name w:val="Bullet level 2"/>
    <w:basedOn w:val="ListBullet2"/>
    <w:uiPriority w:val="7"/>
    <w:qFormat/>
    <w:rsid w:val="00A06EE1"/>
    <w:rPr>
      <w:rFonts w:cs="Arial"/>
    </w:rPr>
  </w:style>
  <w:style w:type="paragraph" w:customStyle="1" w:styleId="Bulletlevel1last">
    <w:name w:val="Bullet level 1 last"/>
    <w:uiPriority w:val="6"/>
    <w:qFormat/>
    <w:rsid w:val="00977AC8"/>
    <w:pPr>
      <w:numPr>
        <w:numId w:val="76"/>
      </w:numPr>
      <w:spacing w:after="240"/>
      <w:ind w:left="425" w:hanging="425"/>
    </w:pPr>
    <w:rPr>
      <w:rFonts w:ascii="Arial" w:hAnsi="Arial"/>
      <w:bCs/>
      <w:iCs/>
      <w:sz w:val="20"/>
    </w:rPr>
  </w:style>
  <w:style w:type="paragraph" w:customStyle="1" w:styleId="Numberlistlevel2">
    <w:name w:val="Number list level 2"/>
    <w:basedOn w:val="ListNumber2"/>
    <w:uiPriority w:val="11"/>
    <w:qFormat/>
    <w:rsid w:val="00895CB7"/>
    <w:pPr>
      <w:ind w:left="828" w:hanging="357"/>
    </w:pPr>
  </w:style>
  <w:style w:type="paragraph" w:customStyle="1" w:styleId="Numberlistlast">
    <w:name w:val="Number list last"/>
    <w:basedOn w:val="ListNumberLast"/>
    <w:uiPriority w:val="10"/>
    <w:qFormat/>
    <w:rsid w:val="00895CB7"/>
  </w:style>
  <w:style w:type="paragraph" w:customStyle="1" w:styleId="Numberlistlevel2last">
    <w:name w:val="Number list level 2 last"/>
    <w:basedOn w:val="Numberlistlevel2"/>
    <w:uiPriority w:val="12"/>
    <w:qFormat/>
    <w:rsid w:val="00895CB7"/>
    <w:pPr>
      <w:spacing w:after="240"/>
    </w:pPr>
  </w:style>
  <w:style w:type="paragraph" w:customStyle="1" w:styleId="Bulletlevel2last">
    <w:name w:val="Bullet level 2 last"/>
    <w:basedOn w:val="Bulletlevel2"/>
    <w:uiPriority w:val="8"/>
    <w:qFormat/>
    <w:rsid w:val="00A06EE1"/>
    <w:pPr>
      <w:spacing w:after="240"/>
    </w:pPr>
  </w:style>
  <w:style w:type="table" w:customStyle="1" w:styleId="ACMAtablestyle">
    <w:name w:val="ACMA table style"/>
    <w:basedOn w:val="TableNormal"/>
    <w:uiPriority w:val="99"/>
    <w:rsid w:val="00895CB7"/>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895CB7"/>
    <w:pPr>
      <w:keepNext/>
      <w:spacing w:line="240" w:lineRule="atLeast"/>
    </w:pPr>
  </w:style>
  <w:style w:type="paragraph" w:customStyle="1" w:styleId="Tableorfigurenote">
    <w:name w:val="Table or figure note"/>
    <w:basedOn w:val="ACMANotes"/>
    <w:uiPriority w:val="17"/>
    <w:qFormat/>
    <w:rsid w:val="00895CB7"/>
    <w:pPr>
      <w:spacing w:after="240"/>
    </w:pPr>
  </w:style>
  <w:style w:type="paragraph" w:customStyle="1" w:styleId="Figureheading">
    <w:name w:val="Figure heading"/>
    <w:basedOn w:val="ACMAFigureHeader"/>
    <w:uiPriority w:val="16"/>
    <w:qFormat/>
    <w:rsid w:val="00895CB7"/>
    <w:pPr>
      <w:keepNext/>
      <w:spacing w:line="240" w:lineRule="atLeast"/>
    </w:pPr>
  </w:style>
  <w:style w:type="paragraph" w:customStyle="1" w:styleId="Tableorfigurenotemultiple">
    <w:name w:val="Table or figure note multiple"/>
    <w:basedOn w:val="Tableorfigurenote"/>
    <w:uiPriority w:val="18"/>
    <w:qFormat/>
    <w:rsid w:val="00895CB7"/>
    <w:pPr>
      <w:spacing w:after="80"/>
    </w:pPr>
  </w:style>
  <w:style w:type="paragraph" w:customStyle="1" w:styleId="Protectivemarking">
    <w:name w:val="Protective marking"/>
    <w:basedOn w:val="Normal"/>
    <w:uiPriority w:val="99"/>
    <w:qFormat/>
    <w:rsid w:val="00895CB7"/>
    <w:pPr>
      <w:tabs>
        <w:tab w:val="left" w:pos="720"/>
      </w:tabs>
      <w:spacing w:after="0" w:line="240" w:lineRule="auto"/>
      <w:jc w:val="center"/>
    </w:pPr>
    <w:rPr>
      <w:rFonts w:cs="Arial"/>
      <w:b/>
      <w:bCs/>
      <w:color w:val="FF0000"/>
      <w:sz w:val="32"/>
      <w:lang w:eastAsia="en-US"/>
    </w:rPr>
  </w:style>
  <w:style w:type="character" w:customStyle="1" w:styleId="FootnoteTextChar">
    <w:name w:val="Footnote Text Char"/>
    <w:aliases w:val="Footnote text Char"/>
    <w:basedOn w:val="DefaultParagraphFont"/>
    <w:link w:val="FootnoteText"/>
    <w:uiPriority w:val="23"/>
    <w:rsid w:val="00DB2B1C"/>
    <w:rPr>
      <w:rFonts w:ascii="Arial" w:hAnsi="Arial"/>
      <w:sz w:val="16"/>
      <w:szCs w:val="16"/>
    </w:rPr>
  </w:style>
  <w:style w:type="character" w:customStyle="1" w:styleId="Heading4Char">
    <w:name w:val="Heading 4 Char"/>
    <w:basedOn w:val="DefaultParagraphFont"/>
    <w:link w:val="Heading4"/>
    <w:uiPriority w:val="2"/>
    <w:rsid w:val="00DB2B1C"/>
    <w:rPr>
      <w:rFonts w:ascii="Arial" w:hAnsi="Arial" w:cs="Arial"/>
      <w:b/>
      <w:i/>
      <w:sz w:val="20"/>
    </w:rPr>
  </w:style>
  <w:style w:type="character" w:customStyle="1" w:styleId="Heading5Char">
    <w:name w:val="Heading 5 Char"/>
    <w:basedOn w:val="DefaultParagraphFont"/>
    <w:link w:val="Heading5"/>
    <w:semiHidden/>
    <w:rsid w:val="00DB2B1C"/>
    <w:rPr>
      <w:rFonts w:ascii="Arial" w:hAnsi="Arial"/>
      <w:b/>
      <w:bCs/>
      <w:i/>
      <w:iCs/>
      <w:sz w:val="26"/>
      <w:szCs w:val="26"/>
    </w:rPr>
  </w:style>
  <w:style w:type="character" w:customStyle="1" w:styleId="Heading6Char">
    <w:name w:val="Heading 6 Char"/>
    <w:basedOn w:val="DefaultParagraphFont"/>
    <w:link w:val="Heading6"/>
    <w:semiHidden/>
    <w:rsid w:val="00DB2B1C"/>
    <w:rPr>
      <w:b/>
      <w:bCs/>
      <w:sz w:val="22"/>
      <w:szCs w:val="22"/>
    </w:rPr>
  </w:style>
  <w:style w:type="character" w:customStyle="1" w:styleId="Heading7Char">
    <w:name w:val="Heading 7 Char"/>
    <w:basedOn w:val="DefaultParagraphFont"/>
    <w:link w:val="Heading7"/>
    <w:semiHidden/>
    <w:rsid w:val="00DB2B1C"/>
  </w:style>
  <w:style w:type="character" w:customStyle="1" w:styleId="Heading8Char">
    <w:name w:val="Heading 8 Char"/>
    <w:basedOn w:val="DefaultParagraphFont"/>
    <w:link w:val="Heading8"/>
    <w:semiHidden/>
    <w:rsid w:val="00DB2B1C"/>
    <w:rPr>
      <w:i/>
      <w:iCs/>
    </w:rPr>
  </w:style>
  <w:style w:type="character" w:customStyle="1" w:styleId="Heading9Char">
    <w:name w:val="Heading 9 Char"/>
    <w:basedOn w:val="DefaultParagraphFont"/>
    <w:link w:val="Heading9"/>
    <w:semiHidden/>
    <w:rsid w:val="00DB2B1C"/>
    <w:rPr>
      <w:rFonts w:ascii="Arial" w:hAnsi="Arial" w:cs="Arial"/>
      <w:sz w:val="22"/>
      <w:szCs w:val="22"/>
    </w:rPr>
  </w:style>
  <w:style w:type="paragraph" w:styleId="BalloonText">
    <w:name w:val="Balloon Text"/>
    <w:basedOn w:val="Normal"/>
    <w:link w:val="BalloonTextChar"/>
    <w:semiHidden/>
    <w:unhideWhenUsed/>
    <w:rsid w:val="00DB2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B2B1C"/>
    <w:rPr>
      <w:rFonts w:ascii="Segoe UI" w:hAnsi="Segoe UI" w:cs="Segoe UI"/>
      <w:sz w:val="18"/>
      <w:szCs w:val="18"/>
    </w:rPr>
  </w:style>
  <w:style w:type="paragraph" w:styleId="ListParagraph">
    <w:name w:val="List Paragraph"/>
    <w:basedOn w:val="Normal"/>
    <w:uiPriority w:val="34"/>
    <w:qFormat/>
    <w:rsid w:val="00DB2B1C"/>
    <w:pPr>
      <w:spacing w:after="160" w:line="259" w:lineRule="auto"/>
      <w:ind w:left="720"/>
      <w:contextualSpacing/>
    </w:pPr>
    <w:rPr>
      <w:rFonts w:asciiTheme="minorHAnsi" w:eastAsiaTheme="minorHAnsi" w:hAnsiTheme="minorHAnsi" w:cstheme="minorBidi"/>
      <w:sz w:val="22"/>
      <w:szCs w:val="22"/>
      <w:lang w:eastAsia="en-US"/>
    </w:rPr>
  </w:style>
  <w:style w:type="paragraph" w:styleId="Revision">
    <w:name w:val="Revision"/>
    <w:hidden/>
    <w:semiHidden/>
    <w:rsid w:val="00DB2B1C"/>
    <w:rPr>
      <w:rFonts w:ascii="Arial" w:hAnsi="Arial"/>
      <w:sz w:val="20"/>
    </w:rPr>
  </w:style>
  <w:style w:type="paragraph" w:customStyle="1" w:styleId="ACMABodyText">
    <w:name w:val="ACMA Body Text"/>
    <w:link w:val="ACMABodyTextChar"/>
    <w:rsid w:val="00DB2B1C"/>
    <w:pPr>
      <w:suppressAutoHyphens/>
      <w:spacing w:before="80" w:after="120" w:line="280" w:lineRule="atLeast"/>
    </w:pPr>
    <w:rPr>
      <w:snapToGrid w:val="0"/>
      <w:szCs w:val="20"/>
      <w:lang w:eastAsia="en-US"/>
    </w:rPr>
  </w:style>
  <w:style w:type="paragraph" w:customStyle="1" w:styleId="ACMAletteredlist">
    <w:name w:val="ACMA lettered list"/>
    <w:rsid w:val="00DB2B1C"/>
    <w:pPr>
      <w:numPr>
        <w:numId w:val="14"/>
      </w:numPr>
      <w:tabs>
        <w:tab w:val="clear" w:pos="360"/>
      </w:tabs>
      <w:spacing w:before="20" w:after="20"/>
    </w:pPr>
    <w:rPr>
      <w:szCs w:val="20"/>
      <w:lang w:eastAsia="en-US"/>
    </w:rPr>
  </w:style>
  <w:style w:type="character" w:customStyle="1" w:styleId="ACMABodyTextChar">
    <w:name w:val="ACMA Body Text Char"/>
    <w:basedOn w:val="DefaultParagraphFont"/>
    <w:link w:val="ACMABodyText"/>
    <w:locked/>
    <w:rsid w:val="00DB2B1C"/>
    <w:rPr>
      <w:snapToGrid w:val="0"/>
      <w:szCs w:val="20"/>
      <w:lang w:eastAsia="en-US"/>
    </w:rPr>
  </w:style>
  <w:style w:type="paragraph" w:styleId="NormalWeb">
    <w:name w:val="Normal (Web)"/>
    <w:basedOn w:val="Normal"/>
    <w:unhideWhenUsed/>
    <w:rsid w:val="00DB2B1C"/>
    <w:rPr>
      <w:rFonts w:ascii="Times New Roman" w:hAnsi="Times New Roman"/>
      <w:sz w:val="24"/>
    </w:rPr>
  </w:style>
  <w:style w:type="paragraph" w:customStyle="1" w:styleId="paragraph0">
    <w:name w:val="paragraph"/>
    <w:basedOn w:val="Normal"/>
    <w:rsid w:val="00DB2B1C"/>
    <w:pPr>
      <w:spacing w:before="100" w:beforeAutospacing="1" w:after="100" w:afterAutospacing="1" w:line="240" w:lineRule="auto"/>
    </w:pPr>
    <w:rPr>
      <w:rFonts w:ascii="Times New Roman" w:hAnsi="Times New Roman"/>
      <w:sz w:val="24"/>
    </w:rPr>
  </w:style>
  <w:style w:type="paragraph" w:customStyle="1" w:styleId="paragraphsub">
    <w:name w:val="paragraphsub"/>
    <w:basedOn w:val="Normal"/>
    <w:rsid w:val="00DB2B1C"/>
    <w:pPr>
      <w:spacing w:before="100" w:beforeAutospacing="1" w:after="100" w:afterAutospacing="1"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DB2B1C"/>
    <w:rPr>
      <w:color w:val="605E5C"/>
      <w:shd w:val="clear" w:color="auto" w:fill="E1DFDD"/>
    </w:rPr>
  </w:style>
  <w:style w:type="paragraph" w:styleId="NoSpacing">
    <w:name w:val="No Spacing"/>
    <w:uiPriority w:val="1"/>
    <w:qFormat/>
    <w:rsid w:val="00DB2B1C"/>
    <w:rPr>
      <w:rFonts w:asciiTheme="minorHAnsi" w:eastAsiaTheme="minorHAnsi" w:hAnsiTheme="minorHAnsi" w:cstheme="minorBidi"/>
      <w:sz w:val="22"/>
      <w:szCs w:val="22"/>
      <w:lang w:eastAsia="en-US"/>
    </w:rPr>
  </w:style>
  <w:style w:type="paragraph" w:customStyle="1" w:styleId="Default">
    <w:name w:val="Default"/>
    <w:rsid w:val="00DB2B1C"/>
    <w:pPr>
      <w:autoSpaceDE w:val="0"/>
      <w:autoSpaceDN w:val="0"/>
      <w:adjustRightInd w:val="0"/>
    </w:pPr>
    <w:rPr>
      <w:rFonts w:ascii="Century Gothic" w:eastAsiaTheme="minorHAnsi" w:hAnsi="Century Gothic" w:cs="Century Gothic"/>
      <w:color w:val="000000"/>
      <w:lang w:eastAsia="en-US"/>
    </w:rPr>
  </w:style>
  <w:style w:type="paragraph" w:customStyle="1" w:styleId="ACMALinecover">
    <w:name w:val="ACMA_Line cover"/>
    <w:basedOn w:val="Normal"/>
    <w:qFormat/>
    <w:rsid w:val="00895CB7"/>
    <w:pPr>
      <w:pBdr>
        <w:bottom w:val="single" w:sz="4" w:space="1" w:color="auto"/>
      </w:pBdr>
      <w:spacing w:after="600"/>
    </w:pPr>
    <w:rPr>
      <w:rFonts w:cs="Arial"/>
    </w:rPr>
  </w:style>
  <w:style w:type="character" w:styleId="Strong">
    <w:name w:val="Strong"/>
    <w:basedOn w:val="DefaultParagraphFont"/>
    <w:semiHidden/>
    <w:qFormat/>
    <w:rsid w:val="00895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image" Target="media/image4.png"/><Relationship Id="rId39" Type="http://schemas.openxmlformats.org/officeDocument/2006/relationships/hyperlink" Target="https://www.acma.gov.au/consultations/2019-08/technological-solutions-combating-scams-consultation-082019"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s://www.acma.gov.au/publications/2019-11/report/combating-scams-summary-report" TargetMode="Externa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to.gov.au/general/online-services/identity-security/scam-alerts/" TargetMode="External"/><Relationship Id="rId33" Type="http://schemas.openxmlformats.org/officeDocument/2006/relationships/hyperlink" Target="https://minister.infrastructure.gov.au/fletcher/media-release/action-plan-combat-phone-scams" TargetMode="External"/><Relationship Id="rId38" Type="http://schemas.openxmlformats.org/officeDocument/2006/relationships/hyperlink" Target="https://www.homeaffairs.gov.au/cyber-security-subsite/files/cyber-security-strategy-2020.pdf" TargetMode="External"/><Relationship Id="rId46"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7.svg"/><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C2019C00273" TargetMode="External"/><Relationship Id="rId32" Type="http://schemas.openxmlformats.org/officeDocument/2006/relationships/hyperlink" Target="https://www.acma.gov.au/consultations/2019-08/technological-solutions-combating-scams-consultation-082019" TargetMode="External"/><Relationship Id="rId37" Type="http://schemas.openxmlformats.org/officeDocument/2006/relationships/hyperlink" Target="https://www.idtheftcenter.org/wp-content/uploads/2018/09/ITRC_Aftermath-2018_Web_FINAL.pdf" TargetMode="External"/><Relationship Id="rId40" Type="http://schemas.openxmlformats.org/officeDocument/2006/relationships/hyperlink" Target="https://www.acma.gov.au/publications/2019-11/report/combating-scams-summary-report" TargetMode="External"/><Relationship Id="rId45"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image" Target="media/image6.png"/><Relationship Id="rId36" Type="http://schemas.openxmlformats.org/officeDocument/2006/relationships/hyperlink" Target="https://www.idcare.org/fact-sheets/understanding-identity-theft"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image" Target="media/image8.png"/><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hyperlink" Target="https://www.scamwatch.gov.au" TargetMode="External"/><Relationship Id="rId35" Type="http://schemas.openxmlformats.org/officeDocument/2006/relationships/hyperlink" Target="https://www.scamwatch.gov.au/types-of-scams" TargetMode="External"/><Relationship Id="rId43" Type="http://schemas.openxmlformats.org/officeDocument/2006/relationships/footer" Target="footer7.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camwatch.gov.au/types-of-scams/current-covid-19-coronavirus-scams" TargetMode="External"/><Relationship Id="rId13" Type="http://schemas.openxmlformats.org/officeDocument/2006/relationships/hyperlink" Target="https://www.aic.gov.au/publications/sr/sr27" TargetMode="External"/><Relationship Id="rId18" Type="http://schemas.openxmlformats.org/officeDocument/2006/relationships/hyperlink" Target="https://www.pc.gov.au/__data/assets/pdf_file/0011/240869/sub319-mental-health.pdf" TargetMode="External"/><Relationship Id="rId26" Type="http://schemas.openxmlformats.org/officeDocument/2006/relationships/hyperlink" Target="https://www.accc.gov.au/sites/www.accc.gov.au/files/1657GRH_Targeting%20scams%20Media%20infographic_D01.png" TargetMode="External"/><Relationship Id="rId3" Type="http://schemas.openxmlformats.org/officeDocument/2006/relationships/hyperlink" Target="https://www.commsalliance.com.au/__data/assets/pdf_file/0020/50771/IGN009-CLI-Management.pdf" TargetMode="External"/><Relationship Id="rId21" Type="http://schemas.openxmlformats.org/officeDocument/2006/relationships/hyperlink" Target="https://www.acma.gov.au/publications/2019-11/report/combating-scams-summary-report" TargetMode="External"/><Relationship Id="rId7" Type="http://schemas.openxmlformats.org/officeDocument/2006/relationships/hyperlink" Target="https://www.accc.gov.au/sites/www.accc.gov.au/files/1657GRH_Targeting%20scams%20Media%20infographic_D01.png" TargetMode="External"/><Relationship Id="rId12" Type="http://schemas.openxmlformats.org/officeDocument/2006/relationships/hyperlink" Target="https://www.accc.gov.au/sites/www.accc.gov.au/files/1657GRH_Targeting%20scams%20Media%20infographic_D01.png" TargetMode="External"/><Relationship Id="rId17" Type="http://schemas.openxmlformats.org/officeDocument/2006/relationships/hyperlink" Target="https://www.aic.gov.au/publications/sr/sr27" TargetMode="External"/><Relationship Id="rId25" Type="http://schemas.openxmlformats.org/officeDocument/2006/relationships/hyperlink" Target="https://aic.gov.au/publications/sr/sr10" TargetMode="External"/><Relationship Id="rId2" Type="http://schemas.openxmlformats.org/officeDocument/2006/relationships/hyperlink" Target="https://www.acma.gov.au/about-carriers-and-carriage-service-providers" TargetMode="External"/><Relationship Id="rId16" Type="http://schemas.openxmlformats.org/officeDocument/2006/relationships/hyperlink" Target="https://www.idtheftcenter.org/wp-content/uploads/2018/09/ITRC_Aftermath-2018_Web_FINAL.pdf" TargetMode="External"/><Relationship Id="rId20" Type="http://schemas.openxmlformats.org/officeDocument/2006/relationships/hyperlink" Target="https://www.acma.gov.au/publications/2018-12/report/unsolicited-calls-australia-consumer-experience" TargetMode="External"/><Relationship Id="rId29" Type="http://schemas.openxmlformats.org/officeDocument/2006/relationships/hyperlink" Target="https://www.smh.com.au/money/banking/scammers-pretend-they-re-from-telstra-ato-centrelink-to-steal-money-20180827-p5001n.html" TargetMode="External"/><Relationship Id="rId1" Type="http://schemas.openxmlformats.org/officeDocument/2006/relationships/hyperlink" Target="https://www.acma.gov.au/about-carriers-and-carriage-service-providers" TargetMode="External"/><Relationship Id="rId6" Type="http://schemas.openxmlformats.org/officeDocument/2006/relationships/hyperlink" Target="https://www.accc.gov.au/sites/www.accc.gov.au/files/1657GRH_Targeting%20scams%20Media%20infographic_D01.png" TargetMode="External"/><Relationship Id="rId11" Type="http://schemas.openxmlformats.org/officeDocument/2006/relationships/hyperlink" Target="https://www.acma.gov.au/sites/default/files/2020-09/Trends-in-online-behaviour0-and-technology-usage-ACMA-consumer-survey-2020.pdf" TargetMode="External"/><Relationship Id="rId24" Type="http://schemas.openxmlformats.org/officeDocument/2006/relationships/hyperlink" Target="https://www.idtheftcenter.org/wp-content/uploads/2018/09/ITRC_Aftermath-2018_Web_FINAL.pdf" TargetMode="External"/><Relationship Id="rId5" Type="http://schemas.openxmlformats.org/officeDocument/2006/relationships/hyperlink" Target="https://www.aic.gov.au/publications/sr/sr29" TargetMode="External"/><Relationship Id="rId15" Type="http://schemas.openxmlformats.org/officeDocument/2006/relationships/hyperlink" Target="https://www.aic.gov.au/publications/sr/sr27" TargetMode="External"/><Relationship Id="rId23" Type="http://schemas.openxmlformats.org/officeDocument/2006/relationships/hyperlink" Target="https://www.idtheftcenter.org/wp-content/uploads/2018/09/ITRC_Aftermath-2018_Web_FINAL.pdf" TargetMode="External"/><Relationship Id="rId28" Type="http://schemas.openxmlformats.org/officeDocument/2006/relationships/hyperlink" Target="https://www.accc.gov.au/sites/www.accc.gov.au/files/1657GRH_Targeting%20scams%20Media%20infographic_D01.png" TargetMode="External"/><Relationship Id="rId10" Type="http://schemas.openxmlformats.org/officeDocument/2006/relationships/hyperlink" Target="https://www.accc.gov.au/sites/www.accc.gov.au/files/1657GRH_Targeting%20scams%20Media%20infographic_D01.png" TargetMode="External"/><Relationship Id="rId19" Type="http://schemas.openxmlformats.org/officeDocument/2006/relationships/hyperlink" Target="https://minister.infrastructure.gov.au/fletcher/media-release/stopping-ato-phone-call-scams" TargetMode="External"/><Relationship Id="rId31" Type="http://schemas.openxmlformats.org/officeDocument/2006/relationships/hyperlink" Target="https://www.accc.gov.au/system/files/Targeting%20scams%E2%80%94Report%20of%20the%20ACCC%20on%20scams%20activity%202018.pdf" TargetMode="External"/><Relationship Id="rId4" Type="http://schemas.openxmlformats.org/officeDocument/2006/relationships/hyperlink" Target="https://www.accc.gov.au/publications/targeting-scams-report-on-scam-activity/targeting-scams-2019-a-review-of-scam-activity-since-2009" TargetMode="External"/><Relationship Id="rId9" Type="http://schemas.openxmlformats.org/officeDocument/2006/relationships/hyperlink" Target="https://www.scamwatch.gov.au/scam-statistics" TargetMode="External"/><Relationship Id="rId14" Type="http://schemas.openxmlformats.org/officeDocument/2006/relationships/hyperlink" Target="https://www.accc.gov.au/sites/www.accc.gov.au/files/1657GRH_Targeting%20scams%20Media%20infographic_D01.png" TargetMode="External"/><Relationship Id="rId22" Type="http://schemas.openxmlformats.org/officeDocument/2006/relationships/hyperlink" Target="https://www.accc.gov.au/sites/www.accc.gov.au/files/1657GRH_Targeting%20scams%20Media%20infographic_D01.png" TargetMode="External"/><Relationship Id="rId27" Type="http://schemas.openxmlformats.org/officeDocument/2006/relationships/hyperlink" Target="https://www.abc.net.au/news/2018-05-03/mobiles-and-landlines-targetted-by-international-phone-scammers/9719820" TargetMode="External"/><Relationship Id="rId30" Type="http://schemas.openxmlformats.org/officeDocument/2006/relationships/hyperlink" Target="https://www.accc.gov.au/focus-areas/inquiries-ongoing/digital-platform-services-inquiry-2020-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4829E-AAC3-4692-856E-471AD155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10920</Words>
  <Characters>62245</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2020-11-27T01:44:00Z</dcterms:created>
  <dcterms:modified xsi:type="dcterms:W3CDTF">2020-11-27T02:33:00Z</dcterms:modified>
  <cp:category/>
</cp:coreProperties>
</file>