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2BB15" w14:textId="76F60ECE" w:rsidR="00F06E14" w:rsidRPr="00A51D1A" w:rsidRDefault="009D4ACE" w:rsidP="009D4ACE">
      <w:pPr>
        <w:pStyle w:val="Reporttitle"/>
        <w:spacing w:after="240"/>
      </w:pPr>
      <w:r w:rsidRPr="00EB41F3">
        <w:rPr>
          <w:rFonts w:cs="Arial"/>
        </w:rPr>
        <w:t>Guidance notes for notification by a foreign stakeholder of interests in an Australian media company</w:t>
      </w:r>
    </w:p>
    <w:p w14:paraId="61A12AAE" w14:textId="77777777" w:rsidR="009D4ACE" w:rsidRPr="00EB41F3" w:rsidRDefault="009D4ACE" w:rsidP="009D4ACE">
      <w:pPr>
        <w:spacing w:after="80"/>
        <w:rPr>
          <w:rFonts w:cs="Arial"/>
          <w:b/>
        </w:rPr>
      </w:pPr>
      <w:r w:rsidRPr="00EB41F3">
        <w:rPr>
          <w:rFonts w:cs="Arial"/>
          <w:b/>
        </w:rPr>
        <w:t>These notes cover the following notifications</w:t>
      </w:r>
      <w:r>
        <w:rPr>
          <w:rFonts w:cs="Arial"/>
          <w:b/>
        </w:rPr>
        <w:t xml:space="preserve"> under the </w:t>
      </w:r>
      <w:hyperlink r:id="rId8" w:history="1">
        <w:r w:rsidRPr="0002397B">
          <w:rPr>
            <w:rStyle w:val="Hyperlink"/>
            <w:rFonts w:cs="Arial"/>
            <w:b/>
            <w:i/>
          </w:rPr>
          <w:t>Broadcasting Services Act 1992</w:t>
        </w:r>
      </w:hyperlink>
      <w:r w:rsidRPr="00EB41F3">
        <w:rPr>
          <w:rFonts w:cs="Arial"/>
          <w:b/>
        </w:rPr>
        <w:t>:</w:t>
      </w:r>
    </w:p>
    <w:p w14:paraId="7EEF338B" w14:textId="73104A22" w:rsidR="009D4ACE" w:rsidRPr="00EB41F3" w:rsidRDefault="009D4ACE" w:rsidP="009D4ACE">
      <w:pPr>
        <w:pStyle w:val="ListBullet"/>
        <w:rPr>
          <w:rFonts w:cs="Arial"/>
          <w:b/>
        </w:rPr>
      </w:pPr>
      <w:r w:rsidRPr="00EB41F3">
        <w:rPr>
          <w:rFonts w:cs="Arial"/>
          <w:b/>
        </w:rPr>
        <w:t>Notification by a foreign person who becomes a foreign stakeholder</w:t>
      </w:r>
      <w:r>
        <w:rPr>
          <w:rFonts w:cs="Arial"/>
          <w:b/>
        </w:rPr>
        <w:t xml:space="preserve"> (s74F).</w:t>
      </w:r>
    </w:p>
    <w:p w14:paraId="39994FA3" w14:textId="52F8E187" w:rsidR="009D4ACE" w:rsidRPr="00EB41F3" w:rsidRDefault="009D4ACE" w:rsidP="009D4ACE">
      <w:pPr>
        <w:pStyle w:val="ListBullet"/>
        <w:rPr>
          <w:rFonts w:cs="Arial"/>
          <w:b/>
        </w:rPr>
      </w:pPr>
      <w:r w:rsidRPr="00EB41F3">
        <w:rPr>
          <w:rFonts w:cs="Arial"/>
          <w:b/>
        </w:rPr>
        <w:t>Notification by a foreign person who ceases to be a foreign stakeholder</w:t>
      </w:r>
      <w:r>
        <w:rPr>
          <w:rFonts w:cs="Arial"/>
          <w:b/>
        </w:rPr>
        <w:t xml:space="preserve"> (s74G).</w:t>
      </w:r>
    </w:p>
    <w:p w14:paraId="4990E8AC" w14:textId="30F0D687" w:rsidR="009D4ACE" w:rsidRPr="00EB41F3" w:rsidRDefault="009D4ACE" w:rsidP="009D4ACE">
      <w:pPr>
        <w:pStyle w:val="ListBullet"/>
        <w:rPr>
          <w:rFonts w:cs="Arial"/>
          <w:b/>
        </w:rPr>
      </w:pPr>
      <w:r w:rsidRPr="00EB41F3">
        <w:rPr>
          <w:rFonts w:cs="Arial"/>
          <w:b/>
        </w:rPr>
        <w:t xml:space="preserve">Notification by a foreign person who is a foreign stakeholder at the commencement of Division 10A of the </w:t>
      </w:r>
      <w:r w:rsidRPr="00EB41F3">
        <w:rPr>
          <w:rFonts w:cs="Arial"/>
          <w:b/>
          <w:i/>
        </w:rPr>
        <w:t>Broadcasting Services Act 1992</w:t>
      </w:r>
      <w:r>
        <w:rPr>
          <w:rFonts w:cs="Arial"/>
          <w:b/>
          <w:i/>
        </w:rPr>
        <w:t xml:space="preserve"> </w:t>
      </w:r>
      <w:r>
        <w:rPr>
          <w:rFonts w:cs="Arial"/>
          <w:b/>
        </w:rPr>
        <w:t>(s74J).</w:t>
      </w:r>
    </w:p>
    <w:p w14:paraId="573ADAC3" w14:textId="2262D4C2" w:rsidR="009D4ACE" w:rsidRDefault="009D4ACE" w:rsidP="009D4ACE">
      <w:pPr>
        <w:pStyle w:val="ListBullet"/>
        <w:rPr>
          <w:rFonts w:cs="Arial"/>
          <w:b/>
        </w:rPr>
      </w:pPr>
      <w:r w:rsidRPr="000F5E07">
        <w:rPr>
          <w:rFonts w:cs="Arial"/>
          <w:b/>
        </w:rPr>
        <w:t>Notification by a foreign person who is a foreign stakeholder at the end of the financial year</w:t>
      </w:r>
      <w:r w:rsidRPr="00A5639A">
        <w:rPr>
          <w:rFonts w:cs="Arial"/>
          <w:b/>
        </w:rPr>
        <w:t xml:space="preserve"> (</w:t>
      </w:r>
      <w:r>
        <w:rPr>
          <w:rFonts w:cs="Arial"/>
          <w:b/>
        </w:rPr>
        <w:t>s</w:t>
      </w:r>
      <w:r w:rsidRPr="00A5639A">
        <w:rPr>
          <w:rFonts w:cs="Arial"/>
          <w:b/>
        </w:rPr>
        <w:t>74H)</w:t>
      </w:r>
      <w:r>
        <w:rPr>
          <w:rFonts w:cs="Arial"/>
          <w:b/>
        </w:rPr>
        <w:t>.</w:t>
      </w:r>
    </w:p>
    <w:p w14:paraId="5A8AEFBB" w14:textId="63B70705" w:rsidR="009D4ACE" w:rsidRDefault="009D4ACE" w:rsidP="009D4ACE">
      <w:pPr>
        <w:pStyle w:val="ListBullet"/>
        <w:rPr>
          <w:rFonts w:cs="Arial"/>
          <w:b/>
        </w:rPr>
      </w:pPr>
      <w:r w:rsidRPr="000F5E07">
        <w:rPr>
          <w:rFonts w:cs="Arial"/>
          <w:b/>
        </w:rPr>
        <w:t xml:space="preserve">Notification by a foreign person who is a </w:t>
      </w:r>
      <w:r w:rsidRPr="00A5639A">
        <w:rPr>
          <w:rFonts w:cs="Arial"/>
          <w:b/>
        </w:rPr>
        <w:t>foreign stakeholder in an Australian media c</w:t>
      </w:r>
      <w:r w:rsidRPr="00E31046">
        <w:rPr>
          <w:rFonts w:cs="Arial"/>
          <w:b/>
        </w:rPr>
        <w:t>ompany</w:t>
      </w:r>
      <w:r>
        <w:rPr>
          <w:rFonts w:cs="Arial"/>
          <w:b/>
        </w:rPr>
        <w:t>—</w:t>
      </w:r>
      <w:r w:rsidRPr="00E31046">
        <w:rPr>
          <w:rFonts w:cs="Arial"/>
          <w:b/>
        </w:rPr>
        <w:t>requirement by ACMA (s74K)</w:t>
      </w:r>
      <w:r>
        <w:rPr>
          <w:rFonts w:cs="Arial"/>
          <w:b/>
        </w:rPr>
        <w:t>.</w:t>
      </w:r>
    </w:p>
    <w:p w14:paraId="11D31FDD" w14:textId="7F42042C" w:rsidR="009D4ACE" w:rsidRDefault="009D4ACE" w:rsidP="00171D30">
      <w:pPr>
        <w:pStyle w:val="ListBullet"/>
        <w:spacing w:after="720"/>
      </w:pPr>
      <w:r w:rsidRPr="009D4ACE">
        <w:rPr>
          <w:rFonts w:cs="Arial"/>
          <w:b/>
          <w:szCs w:val="20"/>
        </w:rPr>
        <w:t>Notification by the executor or administrator of a deceased person’s estate or the liquidator of a corporation being wound up (s74L)</w:t>
      </w:r>
      <w:r>
        <w:rPr>
          <w:rFonts w:cs="Arial"/>
          <w:b/>
          <w:szCs w:val="20"/>
        </w:rPr>
        <w:t>.</w:t>
      </w:r>
    </w:p>
    <w:p w14:paraId="151316B9" w14:textId="4DAFDB6D" w:rsidR="00C97736" w:rsidRPr="000D76E0" w:rsidRDefault="00A63C93" w:rsidP="00EC2B68">
      <w:pPr>
        <w:pStyle w:val="Reportdate"/>
        <w:spacing w:after="720"/>
        <w:rPr>
          <w:rFonts w:cs="Arial"/>
        </w:rPr>
        <w:sectPr w:rsidR="00C97736" w:rsidRPr="000D76E0" w:rsidSect="005E250B">
          <w:headerReference w:type="default" r:id="rId9"/>
          <w:footerReference w:type="default" r:id="rId10"/>
          <w:headerReference w:type="first" r:id="rId11"/>
          <w:pgSz w:w="11906" w:h="16838" w:code="9"/>
          <w:pgMar w:top="3924" w:right="992" w:bottom="1440" w:left="1134" w:header="709" w:footer="454" w:gutter="0"/>
          <w:cols w:space="708"/>
          <w:docGrid w:linePitch="360"/>
        </w:sectPr>
      </w:pPr>
      <w:r>
        <w:t>september</w:t>
      </w:r>
      <w:r>
        <w:t xml:space="preserve"> </w:t>
      </w:r>
      <w:r w:rsidR="00BD4421">
        <w:t>20</w:t>
      </w:r>
      <w:r w:rsidR="000971BD">
        <w:t>20</w:t>
      </w:r>
    </w:p>
    <w:p w14:paraId="185B807D" w14:textId="77777777" w:rsidR="0005011A" w:rsidRPr="00F44F3A" w:rsidRDefault="0005011A" w:rsidP="00FC07B9">
      <w:pPr>
        <w:pStyle w:val="ACMACorporateAddressHeader"/>
      </w:pPr>
      <w:r w:rsidRPr="00F44F3A">
        <w:lastRenderedPageBreak/>
        <w:t>Canberra</w:t>
      </w:r>
    </w:p>
    <w:p w14:paraId="095D079E"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50F9E175" w14:textId="77777777" w:rsidR="0005011A" w:rsidRPr="00FC07B9" w:rsidRDefault="0005011A" w:rsidP="00FC07B9">
      <w:pPr>
        <w:pStyle w:val="ACMACorporateAddresses"/>
      </w:pPr>
      <w:r w:rsidRPr="00FC07B9">
        <w:t>PO Box 78</w:t>
      </w:r>
      <w:r w:rsidRPr="00FC07B9">
        <w:br/>
        <w:t>Belconnen ACT 2616</w:t>
      </w:r>
    </w:p>
    <w:p w14:paraId="1D4B3407"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6917A0F2" w14:textId="77777777" w:rsidR="0005011A" w:rsidRPr="00F44F3A" w:rsidRDefault="0005011A" w:rsidP="00FC07B9">
      <w:pPr>
        <w:pStyle w:val="ACMACorporateAddressHeader"/>
      </w:pPr>
      <w:r w:rsidRPr="00F44F3A">
        <w:t>Melbourne</w:t>
      </w:r>
    </w:p>
    <w:p w14:paraId="4A864ACA"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1CF01049"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40AD7F62"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AFCBBA6" w14:textId="77777777" w:rsidR="0005011A" w:rsidRPr="00F44F3A" w:rsidRDefault="0005011A" w:rsidP="00FC07B9">
      <w:pPr>
        <w:pStyle w:val="ACMACorporateAddressHeader"/>
      </w:pPr>
      <w:r w:rsidRPr="00F44F3A">
        <w:t>Sydney</w:t>
      </w:r>
    </w:p>
    <w:p w14:paraId="2CB7C279"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20AC5667"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0E7B7AF9"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22955DC" w14:textId="77777777" w:rsidR="00140318" w:rsidRPr="006D46E5" w:rsidRDefault="00140318" w:rsidP="00FC07B9">
      <w:pPr>
        <w:pStyle w:val="ACMACopyrightHeader"/>
      </w:pPr>
      <w:r w:rsidRPr="00140318">
        <w:t>Copyright notice</w:t>
      </w:r>
    </w:p>
    <w:p w14:paraId="76CFA39F" w14:textId="77777777" w:rsidR="00140318" w:rsidRPr="006D46E5" w:rsidRDefault="00623FF9" w:rsidP="00623FF9">
      <w:pPr>
        <w:pStyle w:val="ACMACClogo"/>
      </w:pPr>
      <w:r w:rsidRPr="00623FF9">
        <w:rPr>
          <w:noProof/>
        </w:rPr>
        <w:drawing>
          <wp:inline distT="0" distB="0" distL="0" distR="0" wp14:anchorId="4A0D128A" wp14:editId="728D1D35">
            <wp:extent cx="838200" cy="295275"/>
            <wp:effectExtent l="0" t="0" r="0" b="0"/>
            <wp:docPr id="1" name="Picture 1" title="Creative Commons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2"/>
                    </pic:cNvPr>
                    <pic:cNvPicPr>
                      <a:picLocks noChangeAspect="1" noChangeArrowheads="1"/>
                    </pic:cNvPicPr>
                  </pic:nvPicPr>
                  <pic:blipFill>
                    <a:blip r:embed="rId13" cstate="print"/>
                    <a:srcRect/>
                    <a:stretch>
                      <a:fillRect/>
                    </a:stretch>
                  </pic:blipFill>
                  <pic:spPr bwMode="auto">
                    <a:xfrm>
                      <a:off x="0" y="0"/>
                      <a:ext cx="838200" cy="295275"/>
                    </a:xfrm>
                    <a:prstGeom prst="rect">
                      <a:avLst/>
                    </a:prstGeom>
                    <a:noFill/>
                  </pic:spPr>
                </pic:pic>
              </a:graphicData>
            </a:graphic>
          </wp:inline>
        </w:drawing>
      </w:r>
    </w:p>
    <w:p w14:paraId="16C50EA3" w14:textId="77777777" w:rsidR="00AA2DE5" w:rsidRDefault="00CF38DE" w:rsidP="00AA2DE5">
      <w:pPr>
        <w:pStyle w:val="ACMACorporateAddresses"/>
        <w:rPr>
          <w:rStyle w:val="Hyperlink"/>
        </w:rPr>
      </w:pPr>
      <w:hyperlink r:id="rId14" w:history="1">
        <w:r w:rsidR="00AA2DE5">
          <w:rPr>
            <w:rStyle w:val="Hyperlink"/>
          </w:rPr>
          <w:t>https://creativecommons.org/licenses/by/4.0/</w:t>
        </w:r>
      </w:hyperlink>
    </w:p>
    <w:p w14:paraId="20CF5111"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4C65C873" w14:textId="77777777" w:rsidR="00AA2DE5" w:rsidRDefault="00AA2DE5" w:rsidP="00AA2DE5">
      <w:pPr>
        <w:pStyle w:val="ACMACorporateAddresses"/>
      </w:pPr>
      <w:r>
        <w:t>We request attribution as © Commonwealth of Australia (Australian Communications and Media Authority) 20</w:t>
      </w:r>
      <w:r w:rsidR="00BD7249">
        <w:t>20</w:t>
      </w:r>
      <w:r>
        <w:t>.</w:t>
      </w:r>
    </w:p>
    <w:p w14:paraId="77C7C45B" w14:textId="77777777" w:rsidR="00AA2DE5" w:rsidRDefault="00AA2DE5" w:rsidP="00AA2DE5">
      <w:pPr>
        <w:pStyle w:val="ACMACorporateAddresses"/>
      </w:pPr>
      <w:r>
        <w:t>All other rights are reserved.</w:t>
      </w:r>
    </w:p>
    <w:p w14:paraId="45C4DC6E"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2C494E17" w14:textId="77777777" w:rsidR="00AA2DE5" w:rsidRDefault="00AA2DE5" w:rsidP="00AA2DE5">
      <w:pPr>
        <w:pStyle w:val="ACMACorporateAddresses"/>
      </w:pPr>
      <w:r>
        <w:t>Written enquiries may be sent to:</w:t>
      </w:r>
    </w:p>
    <w:p w14:paraId="134591F0"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5" w:history="1">
        <w:r>
          <w:rPr>
            <w:rStyle w:val="Hyperlink"/>
          </w:rPr>
          <w:t>info@acma.gov.au</w:t>
        </w:r>
      </w:hyperlink>
    </w:p>
    <w:p w14:paraId="6EFC65E6" w14:textId="77777777" w:rsidR="00D16FE3" w:rsidRDefault="00D16FE3" w:rsidP="00D16FE3">
      <w:pPr>
        <w:pStyle w:val="ACMACorporateAddresses"/>
        <w:rPr>
          <w:rStyle w:val="Hyperlink"/>
        </w:rPr>
      </w:pPr>
    </w:p>
    <w:p w14:paraId="63DE0DDB" w14:textId="77777777" w:rsidR="00D16FE3" w:rsidRPr="00D16FE3" w:rsidRDefault="00D16FE3" w:rsidP="00D16FE3">
      <w:pPr>
        <w:pStyle w:val="ACMACorporateAddresses"/>
        <w:sectPr w:rsidR="00D16FE3" w:rsidRPr="00D16FE3">
          <w:headerReference w:type="even" r:id="rId16"/>
          <w:headerReference w:type="default" r:id="rId17"/>
          <w:footerReference w:type="even" r:id="rId18"/>
          <w:footerReference w:type="default" r:id="rId19"/>
          <w:pgSz w:w="11906" w:h="16838" w:code="9"/>
          <w:pgMar w:top="3924" w:right="1797" w:bottom="697" w:left="1134" w:header="709" w:footer="119" w:gutter="0"/>
          <w:cols w:space="708"/>
          <w:docGrid w:linePitch="360"/>
        </w:sectPr>
      </w:pPr>
    </w:p>
    <w:p w14:paraId="7A969218" w14:textId="20CEC771" w:rsidR="00A63C93" w:rsidRDefault="009B24A5">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\t "Exec summary heading,1" </w:instrText>
      </w:r>
      <w:r>
        <w:rPr>
          <w:rFonts w:cs="Arial"/>
        </w:rPr>
        <w:fldChar w:fldCharType="separate"/>
      </w:r>
      <w:r w:rsidR="00A63C93">
        <w:t>About this notification form</w:t>
      </w:r>
      <w:r w:rsidR="00A63C93">
        <w:tab/>
      </w:r>
      <w:r w:rsidR="00A63C93">
        <w:fldChar w:fldCharType="begin"/>
      </w:r>
      <w:r w:rsidR="00A63C93">
        <w:instrText xml:space="preserve"> PAGEREF _Toc50038387 \h </w:instrText>
      </w:r>
      <w:r w:rsidR="00A63C93">
        <w:fldChar w:fldCharType="separate"/>
      </w:r>
      <w:r w:rsidR="00A63C93">
        <w:t>1</w:t>
      </w:r>
      <w:r w:rsidR="00A63C93">
        <w:fldChar w:fldCharType="end"/>
      </w:r>
    </w:p>
    <w:p w14:paraId="7D6F8E03" w14:textId="65C79D38" w:rsidR="00A63C93" w:rsidRDefault="00A63C93">
      <w:pPr>
        <w:pStyle w:val="TOC2"/>
        <w:rPr>
          <w:rFonts w:asciiTheme="minorHAnsi" w:eastAsiaTheme="minorEastAsia" w:hAnsiTheme="minorHAnsi" w:cstheme="minorBidi"/>
          <w:spacing w:val="0"/>
          <w:sz w:val="22"/>
          <w:szCs w:val="22"/>
        </w:rPr>
      </w:pPr>
      <w:r>
        <w:t>Who should lodge this form?</w:t>
      </w:r>
      <w:r>
        <w:tab/>
      </w:r>
      <w:r>
        <w:fldChar w:fldCharType="begin"/>
      </w:r>
      <w:r>
        <w:instrText xml:space="preserve"> PAGEREF _Toc50038388 \h </w:instrText>
      </w:r>
      <w:r>
        <w:fldChar w:fldCharType="separate"/>
      </w:r>
      <w:r>
        <w:t>1</w:t>
      </w:r>
      <w:r>
        <w:fldChar w:fldCharType="end"/>
      </w:r>
    </w:p>
    <w:p w14:paraId="3BA80D7D" w14:textId="11E1BE77" w:rsidR="00A63C93" w:rsidRDefault="00A63C93">
      <w:pPr>
        <w:pStyle w:val="TOC1"/>
        <w:rPr>
          <w:rFonts w:asciiTheme="minorHAnsi" w:eastAsiaTheme="minorEastAsia" w:hAnsiTheme="minorHAnsi" w:cstheme="minorBidi"/>
          <w:b w:val="0"/>
          <w:spacing w:val="0"/>
          <w:sz w:val="22"/>
          <w:szCs w:val="22"/>
        </w:rPr>
      </w:pPr>
      <w:r>
        <w:t>Lodgement information</w:t>
      </w:r>
      <w:r>
        <w:tab/>
      </w:r>
      <w:r>
        <w:fldChar w:fldCharType="begin"/>
      </w:r>
      <w:r>
        <w:instrText xml:space="preserve"> PAGEREF _Toc50038389 \h </w:instrText>
      </w:r>
      <w:r>
        <w:fldChar w:fldCharType="separate"/>
      </w:r>
      <w:r>
        <w:t>2</w:t>
      </w:r>
      <w:r>
        <w:fldChar w:fldCharType="end"/>
      </w:r>
    </w:p>
    <w:p w14:paraId="391A4CC0" w14:textId="46B7CA4C" w:rsidR="00A63C93" w:rsidRDefault="00A63C93">
      <w:pPr>
        <w:pStyle w:val="TOC2"/>
        <w:rPr>
          <w:rFonts w:asciiTheme="minorHAnsi" w:eastAsiaTheme="minorEastAsia" w:hAnsiTheme="minorHAnsi" w:cstheme="minorBidi"/>
          <w:spacing w:val="0"/>
          <w:sz w:val="22"/>
          <w:szCs w:val="22"/>
        </w:rPr>
      </w:pPr>
      <w:r>
        <w:t>What notification is required under section 74F of the BSA?</w:t>
      </w:r>
      <w:r>
        <w:tab/>
      </w:r>
      <w:r>
        <w:fldChar w:fldCharType="begin"/>
      </w:r>
      <w:r>
        <w:instrText xml:space="preserve"> PAGEREF _Toc50038390 \h </w:instrText>
      </w:r>
      <w:r>
        <w:fldChar w:fldCharType="separate"/>
      </w:r>
      <w:r>
        <w:t>2</w:t>
      </w:r>
      <w:r>
        <w:fldChar w:fldCharType="end"/>
      </w:r>
    </w:p>
    <w:p w14:paraId="40FF4182" w14:textId="14618B93" w:rsidR="00A63C93" w:rsidRDefault="00A63C93">
      <w:pPr>
        <w:pStyle w:val="TOC3"/>
        <w:rPr>
          <w:rFonts w:asciiTheme="minorHAnsi" w:eastAsiaTheme="minorEastAsia" w:hAnsiTheme="minorHAnsi" w:cstheme="minorBidi"/>
        </w:rPr>
      </w:pPr>
      <w:r>
        <w:t>Notification by a person who becomes a foreign stakeholder in an Australian media company</w:t>
      </w:r>
      <w:r>
        <w:tab/>
      </w:r>
      <w:r>
        <w:fldChar w:fldCharType="begin"/>
      </w:r>
      <w:r>
        <w:instrText xml:space="preserve"> PAGEREF _Toc50038391 \h </w:instrText>
      </w:r>
      <w:r>
        <w:fldChar w:fldCharType="separate"/>
      </w:r>
      <w:r>
        <w:t>2</w:t>
      </w:r>
      <w:r>
        <w:fldChar w:fldCharType="end"/>
      </w:r>
    </w:p>
    <w:p w14:paraId="1B80F750" w14:textId="1AA6B092" w:rsidR="00A63C93" w:rsidRDefault="00A63C93">
      <w:pPr>
        <w:pStyle w:val="TOC2"/>
        <w:rPr>
          <w:rFonts w:asciiTheme="minorHAnsi" w:eastAsiaTheme="minorEastAsia" w:hAnsiTheme="minorHAnsi" w:cstheme="minorBidi"/>
          <w:spacing w:val="0"/>
          <w:sz w:val="22"/>
          <w:szCs w:val="22"/>
        </w:rPr>
      </w:pPr>
      <w:r>
        <w:t>What notification is required under section 74G of the BSA?</w:t>
      </w:r>
      <w:r>
        <w:tab/>
      </w:r>
      <w:r>
        <w:fldChar w:fldCharType="begin"/>
      </w:r>
      <w:r>
        <w:instrText xml:space="preserve"> PAGEREF _Toc50038392 \h </w:instrText>
      </w:r>
      <w:r>
        <w:fldChar w:fldCharType="separate"/>
      </w:r>
      <w:r>
        <w:t>2</w:t>
      </w:r>
      <w:r>
        <w:fldChar w:fldCharType="end"/>
      </w:r>
    </w:p>
    <w:p w14:paraId="3D9C7ECC" w14:textId="42CE3782" w:rsidR="00A63C93" w:rsidRDefault="00A63C93">
      <w:pPr>
        <w:pStyle w:val="TOC3"/>
        <w:rPr>
          <w:rFonts w:asciiTheme="minorHAnsi" w:eastAsiaTheme="minorEastAsia" w:hAnsiTheme="minorHAnsi" w:cstheme="minorBidi"/>
        </w:rPr>
      </w:pPr>
      <w:r>
        <w:t>Notification by a person who ceases to be a foreign stakeholder in an Australian media company</w:t>
      </w:r>
      <w:r>
        <w:tab/>
      </w:r>
      <w:r>
        <w:fldChar w:fldCharType="begin"/>
      </w:r>
      <w:r>
        <w:instrText xml:space="preserve"> PAGEREF _Toc50038393 \h </w:instrText>
      </w:r>
      <w:r>
        <w:fldChar w:fldCharType="separate"/>
      </w:r>
      <w:r>
        <w:t>2</w:t>
      </w:r>
      <w:r>
        <w:fldChar w:fldCharType="end"/>
      </w:r>
    </w:p>
    <w:p w14:paraId="37B91D92" w14:textId="2B1A2140" w:rsidR="00A63C93" w:rsidRDefault="00A63C93">
      <w:pPr>
        <w:pStyle w:val="TOC2"/>
        <w:rPr>
          <w:rFonts w:asciiTheme="minorHAnsi" w:eastAsiaTheme="minorEastAsia" w:hAnsiTheme="minorHAnsi" w:cstheme="minorBidi"/>
          <w:spacing w:val="0"/>
          <w:sz w:val="22"/>
          <w:szCs w:val="22"/>
        </w:rPr>
      </w:pPr>
      <w:r>
        <w:t>What notification is required under section 74H of the BSA?</w:t>
      </w:r>
      <w:r>
        <w:tab/>
      </w:r>
      <w:r>
        <w:fldChar w:fldCharType="begin"/>
      </w:r>
      <w:r>
        <w:instrText xml:space="preserve"> PAGEREF _Toc50038394 \h </w:instrText>
      </w:r>
      <w:r>
        <w:fldChar w:fldCharType="separate"/>
      </w:r>
      <w:r>
        <w:t>3</w:t>
      </w:r>
      <w:r>
        <w:fldChar w:fldCharType="end"/>
      </w:r>
    </w:p>
    <w:p w14:paraId="53B02C20" w14:textId="4C623DCD" w:rsidR="00A63C93" w:rsidRDefault="00A63C93">
      <w:pPr>
        <w:pStyle w:val="TOC3"/>
        <w:rPr>
          <w:rFonts w:asciiTheme="minorHAnsi" w:eastAsiaTheme="minorEastAsia" w:hAnsiTheme="minorHAnsi" w:cstheme="minorBidi"/>
        </w:rPr>
      </w:pPr>
      <w:r>
        <w:t>Annual notification by a foreign stakeholder</w:t>
      </w:r>
      <w:r>
        <w:tab/>
      </w:r>
      <w:r>
        <w:fldChar w:fldCharType="begin"/>
      </w:r>
      <w:r>
        <w:instrText xml:space="preserve"> PAGEREF _Toc50038395 \h </w:instrText>
      </w:r>
      <w:r>
        <w:fldChar w:fldCharType="separate"/>
      </w:r>
      <w:r>
        <w:t>3</w:t>
      </w:r>
      <w:r>
        <w:fldChar w:fldCharType="end"/>
      </w:r>
    </w:p>
    <w:p w14:paraId="2899A968" w14:textId="264A7F16" w:rsidR="00A63C93" w:rsidRDefault="00A63C93">
      <w:pPr>
        <w:pStyle w:val="TOC2"/>
        <w:rPr>
          <w:rFonts w:asciiTheme="minorHAnsi" w:eastAsiaTheme="minorEastAsia" w:hAnsiTheme="minorHAnsi" w:cstheme="minorBidi"/>
          <w:spacing w:val="0"/>
          <w:sz w:val="22"/>
          <w:szCs w:val="22"/>
        </w:rPr>
      </w:pPr>
      <w:r>
        <w:t>What notification is required under section 74J of the BSA?</w:t>
      </w:r>
      <w:r>
        <w:tab/>
      </w:r>
      <w:r>
        <w:fldChar w:fldCharType="begin"/>
      </w:r>
      <w:r>
        <w:instrText xml:space="preserve"> PAGEREF _Toc50038396 \h </w:instrText>
      </w:r>
      <w:r>
        <w:fldChar w:fldCharType="separate"/>
      </w:r>
      <w:r>
        <w:t>3</w:t>
      </w:r>
      <w:r>
        <w:fldChar w:fldCharType="end"/>
      </w:r>
    </w:p>
    <w:p w14:paraId="2A04D632" w14:textId="23EB9B6B" w:rsidR="00A63C93" w:rsidRDefault="00A63C93">
      <w:pPr>
        <w:pStyle w:val="TOC3"/>
        <w:rPr>
          <w:rFonts w:asciiTheme="minorHAnsi" w:eastAsiaTheme="minorEastAsia" w:hAnsiTheme="minorHAnsi" w:cstheme="minorBidi"/>
        </w:rPr>
      </w:pPr>
      <w:r>
        <w:t>Notification by foreign stakeholder at commencement of Division 10A of the BSA</w:t>
      </w:r>
      <w:r>
        <w:tab/>
      </w:r>
      <w:r>
        <w:fldChar w:fldCharType="begin"/>
      </w:r>
      <w:r>
        <w:instrText xml:space="preserve"> PAGEREF _Toc50038397 \h </w:instrText>
      </w:r>
      <w:r>
        <w:fldChar w:fldCharType="separate"/>
      </w:r>
      <w:r>
        <w:t>3</w:t>
      </w:r>
      <w:r>
        <w:fldChar w:fldCharType="end"/>
      </w:r>
    </w:p>
    <w:p w14:paraId="169A06B8" w14:textId="20D67D49" w:rsidR="00A63C93" w:rsidRDefault="00A63C93">
      <w:pPr>
        <w:pStyle w:val="TOC2"/>
        <w:rPr>
          <w:rFonts w:asciiTheme="minorHAnsi" w:eastAsiaTheme="minorEastAsia" w:hAnsiTheme="minorHAnsi" w:cstheme="minorBidi"/>
          <w:spacing w:val="0"/>
          <w:sz w:val="22"/>
          <w:szCs w:val="22"/>
        </w:rPr>
      </w:pPr>
      <w:r>
        <w:t>What notification is required under section 74K of the BSA?</w:t>
      </w:r>
      <w:r>
        <w:tab/>
      </w:r>
      <w:r>
        <w:fldChar w:fldCharType="begin"/>
      </w:r>
      <w:r>
        <w:instrText xml:space="preserve"> PAGEREF _Toc50038398 \h </w:instrText>
      </w:r>
      <w:r>
        <w:fldChar w:fldCharType="separate"/>
      </w:r>
      <w:r>
        <w:t>4</w:t>
      </w:r>
      <w:r>
        <w:fldChar w:fldCharType="end"/>
      </w:r>
    </w:p>
    <w:p w14:paraId="2E00906B" w14:textId="3DEC2BA0" w:rsidR="00A63C93" w:rsidRDefault="00A63C93">
      <w:pPr>
        <w:pStyle w:val="TOC3"/>
        <w:rPr>
          <w:rFonts w:asciiTheme="minorHAnsi" w:eastAsiaTheme="minorEastAsia" w:hAnsiTheme="minorHAnsi" w:cstheme="minorBidi"/>
        </w:rPr>
      </w:pPr>
      <w:r>
        <w:t>Notification by a person who is a foreign stakeholder in an Australian media company—requirement by the ACMA</w:t>
      </w:r>
      <w:r>
        <w:tab/>
      </w:r>
      <w:r>
        <w:fldChar w:fldCharType="begin"/>
      </w:r>
      <w:r>
        <w:instrText xml:space="preserve"> PAGEREF _Toc50038399 \h </w:instrText>
      </w:r>
      <w:r>
        <w:fldChar w:fldCharType="separate"/>
      </w:r>
      <w:r>
        <w:t>4</w:t>
      </w:r>
      <w:r>
        <w:fldChar w:fldCharType="end"/>
      </w:r>
    </w:p>
    <w:p w14:paraId="66B12EF6" w14:textId="2E0C0C6A" w:rsidR="00A63C93" w:rsidRDefault="00A63C93">
      <w:pPr>
        <w:pStyle w:val="TOC2"/>
        <w:rPr>
          <w:rFonts w:asciiTheme="minorHAnsi" w:eastAsiaTheme="minorEastAsia" w:hAnsiTheme="minorHAnsi" w:cstheme="minorBidi"/>
          <w:spacing w:val="0"/>
          <w:sz w:val="22"/>
          <w:szCs w:val="22"/>
        </w:rPr>
      </w:pPr>
      <w:r>
        <w:t>What notification is required under section 74L of the BSA?</w:t>
      </w:r>
      <w:r>
        <w:tab/>
      </w:r>
      <w:r>
        <w:fldChar w:fldCharType="begin"/>
      </w:r>
      <w:r>
        <w:instrText xml:space="preserve"> PAGEREF _Toc50038400 \h </w:instrText>
      </w:r>
      <w:r>
        <w:fldChar w:fldCharType="separate"/>
      </w:r>
      <w:r>
        <w:t>4</w:t>
      </w:r>
      <w:r>
        <w:fldChar w:fldCharType="end"/>
      </w:r>
    </w:p>
    <w:p w14:paraId="36638842" w14:textId="2A406DC0" w:rsidR="00A63C93" w:rsidRDefault="00A63C93">
      <w:pPr>
        <w:pStyle w:val="TOC3"/>
        <w:rPr>
          <w:rFonts w:asciiTheme="minorHAnsi" w:eastAsiaTheme="minorEastAsia" w:hAnsiTheme="minorHAnsi" w:cstheme="minorBidi"/>
        </w:rPr>
      </w:pPr>
      <w:r>
        <w:t>Requirement for executors, administrators and liquidators to give notification</w:t>
      </w:r>
      <w:r>
        <w:tab/>
      </w:r>
      <w:r>
        <w:fldChar w:fldCharType="begin"/>
      </w:r>
      <w:r>
        <w:instrText xml:space="preserve"> PAGEREF _Toc50038401 \h </w:instrText>
      </w:r>
      <w:r>
        <w:fldChar w:fldCharType="separate"/>
      </w:r>
      <w:r>
        <w:t>4</w:t>
      </w:r>
      <w:r>
        <w:fldChar w:fldCharType="end"/>
      </w:r>
    </w:p>
    <w:p w14:paraId="236F0D3E" w14:textId="00916761" w:rsidR="00A63C93" w:rsidRDefault="00A63C93">
      <w:pPr>
        <w:pStyle w:val="TOC2"/>
        <w:rPr>
          <w:rFonts w:asciiTheme="minorHAnsi" w:eastAsiaTheme="minorEastAsia" w:hAnsiTheme="minorHAnsi" w:cstheme="minorBidi"/>
          <w:spacing w:val="0"/>
          <w:sz w:val="22"/>
          <w:szCs w:val="22"/>
        </w:rPr>
      </w:pPr>
      <w:r>
        <w:t>Who is a foreign stakeholder?</w:t>
      </w:r>
      <w:r>
        <w:tab/>
      </w:r>
      <w:r>
        <w:fldChar w:fldCharType="begin"/>
      </w:r>
      <w:r>
        <w:instrText xml:space="preserve"> PAGEREF _Toc50038402 \h </w:instrText>
      </w:r>
      <w:r>
        <w:fldChar w:fldCharType="separate"/>
      </w:r>
      <w:r>
        <w:t>5</w:t>
      </w:r>
      <w:r>
        <w:fldChar w:fldCharType="end"/>
      </w:r>
    </w:p>
    <w:p w14:paraId="765BBF03" w14:textId="748851BC" w:rsidR="00A63C93" w:rsidRDefault="00A63C93">
      <w:pPr>
        <w:pStyle w:val="TOC2"/>
        <w:rPr>
          <w:rFonts w:asciiTheme="minorHAnsi" w:eastAsiaTheme="minorEastAsia" w:hAnsiTheme="minorHAnsi" w:cstheme="minorBidi"/>
          <w:spacing w:val="0"/>
          <w:sz w:val="22"/>
          <w:szCs w:val="22"/>
        </w:rPr>
      </w:pPr>
      <w:r>
        <w:t>Who is a foreign person?</w:t>
      </w:r>
      <w:r>
        <w:tab/>
      </w:r>
      <w:r>
        <w:fldChar w:fldCharType="begin"/>
      </w:r>
      <w:r>
        <w:instrText xml:space="preserve"> PAGEREF _Toc50038403 \h </w:instrText>
      </w:r>
      <w:r>
        <w:fldChar w:fldCharType="separate"/>
      </w:r>
      <w:r>
        <w:t>5</w:t>
      </w:r>
      <w:r>
        <w:fldChar w:fldCharType="end"/>
      </w:r>
    </w:p>
    <w:p w14:paraId="38BBDED6" w14:textId="4178897F" w:rsidR="00A63C93" w:rsidRDefault="00A63C93">
      <w:pPr>
        <w:pStyle w:val="TOC2"/>
        <w:rPr>
          <w:rFonts w:asciiTheme="minorHAnsi" w:eastAsiaTheme="minorEastAsia" w:hAnsiTheme="minorHAnsi" w:cstheme="minorBidi"/>
          <w:spacing w:val="0"/>
          <w:sz w:val="22"/>
          <w:szCs w:val="22"/>
        </w:rPr>
      </w:pPr>
      <w:r>
        <w:t>What is an Australian media company?</w:t>
      </w:r>
      <w:r>
        <w:tab/>
      </w:r>
      <w:r>
        <w:fldChar w:fldCharType="begin"/>
      </w:r>
      <w:r>
        <w:instrText xml:space="preserve"> PAGEREF _Toc50038404 \h </w:instrText>
      </w:r>
      <w:r>
        <w:fldChar w:fldCharType="separate"/>
      </w:r>
      <w:r>
        <w:t>5</w:t>
      </w:r>
      <w:r>
        <w:fldChar w:fldCharType="end"/>
      </w:r>
    </w:p>
    <w:p w14:paraId="1A607E41" w14:textId="5CDDD063" w:rsidR="00A63C93" w:rsidRDefault="00A63C93">
      <w:pPr>
        <w:pStyle w:val="TOC2"/>
        <w:rPr>
          <w:rFonts w:asciiTheme="minorHAnsi" w:eastAsiaTheme="minorEastAsia" w:hAnsiTheme="minorHAnsi" w:cstheme="minorBidi"/>
          <w:spacing w:val="0"/>
          <w:sz w:val="22"/>
          <w:szCs w:val="22"/>
        </w:rPr>
      </w:pPr>
      <w:r>
        <w:t>Help with lodging a notification</w:t>
      </w:r>
      <w:r>
        <w:tab/>
      </w:r>
      <w:r>
        <w:fldChar w:fldCharType="begin"/>
      </w:r>
      <w:r>
        <w:instrText xml:space="preserve"> PAGEREF _Toc50038405 \h </w:instrText>
      </w:r>
      <w:r>
        <w:fldChar w:fldCharType="separate"/>
      </w:r>
      <w:r>
        <w:t>5</w:t>
      </w:r>
      <w:r>
        <w:fldChar w:fldCharType="end"/>
      </w:r>
    </w:p>
    <w:p w14:paraId="02D8342C" w14:textId="32BACAAD" w:rsidR="00A63C93" w:rsidRDefault="00A63C93">
      <w:pPr>
        <w:pStyle w:val="TOC2"/>
        <w:rPr>
          <w:rFonts w:asciiTheme="minorHAnsi" w:eastAsiaTheme="minorEastAsia" w:hAnsiTheme="minorHAnsi" w:cstheme="minorBidi"/>
          <w:spacing w:val="0"/>
          <w:sz w:val="22"/>
          <w:szCs w:val="22"/>
        </w:rPr>
      </w:pPr>
      <w:r>
        <w:t>When should a notification be lodged?</w:t>
      </w:r>
      <w:r>
        <w:tab/>
      </w:r>
      <w:r>
        <w:fldChar w:fldCharType="begin"/>
      </w:r>
      <w:r>
        <w:instrText xml:space="preserve"> PAGEREF _Toc50038406 \h </w:instrText>
      </w:r>
      <w:r>
        <w:fldChar w:fldCharType="separate"/>
      </w:r>
      <w:r>
        <w:t>5</w:t>
      </w:r>
      <w:r>
        <w:fldChar w:fldCharType="end"/>
      </w:r>
    </w:p>
    <w:p w14:paraId="3B562412" w14:textId="7AD2453C" w:rsidR="00A63C93" w:rsidRDefault="00A63C93">
      <w:pPr>
        <w:pStyle w:val="TOC2"/>
        <w:rPr>
          <w:rFonts w:asciiTheme="minorHAnsi" w:eastAsiaTheme="minorEastAsia" w:hAnsiTheme="minorHAnsi" w:cstheme="minorBidi"/>
          <w:spacing w:val="0"/>
          <w:sz w:val="22"/>
          <w:szCs w:val="22"/>
        </w:rPr>
      </w:pPr>
      <w:r>
        <w:t>Failure to lodge a notification</w:t>
      </w:r>
      <w:r>
        <w:tab/>
      </w:r>
      <w:r>
        <w:fldChar w:fldCharType="begin"/>
      </w:r>
      <w:r>
        <w:instrText xml:space="preserve"> PAGEREF _Toc50038407 \h </w:instrText>
      </w:r>
      <w:r>
        <w:fldChar w:fldCharType="separate"/>
      </w:r>
      <w:r>
        <w:t>5</w:t>
      </w:r>
      <w:r>
        <w:fldChar w:fldCharType="end"/>
      </w:r>
    </w:p>
    <w:p w14:paraId="72B2A732" w14:textId="51E8BDD7" w:rsidR="00A63C93" w:rsidRDefault="00A63C93">
      <w:pPr>
        <w:pStyle w:val="TOC2"/>
        <w:rPr>
          <w:rFonts w:asciiTheme="minorHAnsi" w:eastAsiaTheme="minorEastAsia" w:hAnsiTheme="minorHAnsi" w:cstheme="minorBidi"/>
          <w:spacing w:val="0"/>
          <w:sz w:val="22"/>
          <w:szCs w:val="22"/>
        </w:rPr>
      </w:pPr>
      <w:r>
        <w:t>Notes on completing the form</w:t>
      </w:r>
      <w:r>
        <w:tab/>
      </w:r>
      <w:r>
        <w:fldChar w:fldCharType="begin"/>
      </w:r>
      <w:r>
        <w:instrText xml:space="preserve"> PAGEREF _Toc50038408 \h </w:instrText>
      </w:r>
      <w:r>
        <w:fldChar w:fldCharType="separate"/>
      </w:r>
      <w:r>
        <w:t>6</w:t>
      </w:r>
      <w:r>
        <w:fldChar w:fldCharType="end"/>
      </w:r>
    </w:p>
    <w:p w14:paraId="4AC52625" w14:textId="368B6B1D" w:rsidR="00A63C93" w:rsidRDefault="00A63C93">
      <w:pPr>
        <w:pStyle w:val="TOC2"/>
        <w:rPr>
          <w:rFonts w:asciiTheme="minorHAnsi" w:eastAsiaTheme="minorEastAsia" w:hAnsiTheme="minorHAnsi" w:cstheme="minorBidi"/>
          <w:spacing w:val="0"/>
          <w:sz w:val="22"/>
          <w:szCs w:val="22"/>
        </w:rPr>
      </w:pPr>
      <w:r>
        <w:t>Collection, use and disclosure of personal information</w:t>
      </w:r>
      <w:r>
        <w:tab/>
      </w:r>
      <w:r>
        <w:fldChar w:fldCharType="begin"/>
      </w:r>
      <w:r>
        <w:instrText xml:space="preserve"> PAGEREF _Toc50038409 \h </w:instrText>
      </w:r>
      <w:r>
        <w:fldChar w:fldCharType="separate"/>
      </w:r>
      <w:r>
        <w:t>6</w:t>
      </w:r>
      <w:r>
        <w:fldChar w:fldCharType="end"/>
      </w:r>
    </w:p>
    <w:p w14:paraId="08553263" w14:textId="6F44D960" w:rsidR="00A63C93" w:rsidRDefault="00A63C93">
      <w:pPr>
        <w:pStyle w:val="TOC1"/>
        <w:rPr>
          <w:rFonts w:asciiTheme="minorHAnsi" w:eastAsiaTheme="minorEastAsia" w:hAnsiTheme="minorHAnsi" w:cstheme="minorBidi"/>
          <w:b w:val="0"/>
          <w:spacing w:val="0"/>
          <w:sz w:val="22"/>
          <w:szCs w:val="22"/>
        </w:rPr>
      </w:pPr>
      <w:r>
        <w:t>Guidance notes for notification form</w:t>
      </w:r>
      <w:r>
        <w:tab/>
      </w:r>
      <w:r>
        <w:fldChar w:fldCharType="begin"/>
      </w:r>
      <w:r>
        <w:instrText xml:space="preserve"> PAGEREF _Toc50038410 \h </w:instrText>
      </w:r>
      <w:r>
        <w:fldChar w:fldCharType="separate"/>
      </w:r>
      <w:r>
        <w:t>7</w:t>
      </w:r>
      <w:r>
        <w:fldChar w:fldCharType="end"/>
      </w:r>
    </w:p>
    <w:p w14:paraId="477AA461" w14:textId="38D65C25" w:rsidR="00A63C93" w:rsidRDefault="00A63C93">
      <w:pPr>
        <w:pStyle w:val="TOC2"/>
        <w:rPr>
          <w:rFonts w:asciiTheme="minorHAnsi" w:eastAsiaTheme="minorEastAsia" w:hAnsiTheme="minorHAnsi" w:cstheme="minorBidi"/>
          <w:spacing w:val="0"/>
          <w:sz w:val="22"/>
          <w:szCs w:val="22"/>
        </w:rPr>
      </w:pPr>
      <w:r>
        <w:t>Form navigation</w:t>
      </w:r>
      <w:r>
        <w:tab/>
      </w:r>
      <w:r>
        <w:fldChar w:fldCharType="begin"/>
      </w:r>
      <w:r>
        <w:instrText xml:space="preserve"> PAGEREF _Toc50038411 \h </w:instrText>
      </w:r>
      <w:r>
        <w:fldChar w:fldCharType="separate"/>
      </w:r>
      <w:r>
        <w:t>7</w:t>
      </w:r>
      <w:r>
        <w:fldChar w:fldCharType="end"/>
      </w:r>
    </w:p>
    <w:p w14:paraId="470101B8" w14:textId="3678533E" w:rsidR="00A63C93" w:rsidRDefault="00A63C93">
      <w:pPr>
        <w:pStyle w:val="TOC2"/>
        <w:rPr>
          <w:rFonts w:asciiTheme="minorHAnsi" w:eastAsiaTheme="minorEastAsia" w:hAnsiTheme="minorHAnsi" w:cstheme="minorBidi"/>
          <w:spacing w:val="0"/>
          <w:sz w:val="22"/>
          <w:szCs w:val="22"/>
        </w:rPr>
      </w:pPr>
      <w:r>
        <w:t>Accessing the form</w:t>
      </w:r>
      <w:r>
        <w:tab/>
      </w:r>
      <w:r>
        <w:fldChar w:fldCharType="begin"/>
      </w:r>
      <w:r>
        <w:instrText xml:space="preserve"> PAGEREF _Toc50038412 \h </w:instrText>
      </w:r>
      <w:r>
        <w:fldChar w:fldCharType="separate"/>
      </w:r>
      <w:r>
        <w:t>8</w:t>
      </w:r>
      <w:r>
        <w:fldChar w:fldCharType="end"/>
      </w:r>
    </w:p>
    <w:p w14:paraId="0CABB994" w14:textId="04DF5513" w:rsidR="00A63C93" w:rsidRDefault="00A63C93">
      <w:pPr>
        <w:pStyle w:val="TOC3"/>
        <w:rPr>
          <w:rFonts w:asciiTheme="minorHAnsi" w:eastAsiaTheme="minorEastAsia" w:hAnsiTheme="minorHAnsi" w:cstheme="minorBidi"/>
        </w:rPr>
      </w:pPr>
      <w:r>
        <w:t>How to access the form as a guest</w:t>
      </w:r>
      <w:r>
        <w:tab/>
      </w:r>
      <w:r>
        <w:fldChar w:fldCharType="begin"/>
      </w:r>
      <w:r>
        <w:instrText xml:space="preserve"> PAGEREF _Toc50038413 \h </w:instrText>
      </w:r>
      <w:r>
        <w:fldChar w:fldCharType="separate"/>
      </w:r>
      <w:r>
        <w:t>8</w:t>
      </w:r>
      <w:r>
        <w:fldChar w:fldCharType="end"/>
      </w:r>
    </w:p>
    <w:p w14:paraId="32FB0C0D" w14:textId="3B81E5D7" w:rsidR="00A63C93" w:rsidRDefault="00A63C93">
      <w:pPr>
        <w:pStyle w:val="TOC2"/>
        <w:rPr>
          <w:rFonts w:asciiTheme="minorHAnsi" w:eastAsiaTheme="minorEastAsia" w:hAnsiTheme="minorHAnsi" w:cstheme="minorBidi"/>
          <w:spacing w:val="0"/>
          <w:sz w:val="22"/>
          <w:szCs w:val="22"/>
        </w:rPr>
      </w:pPr>
      <w:r>
        <w:t>Completing the form—section by section</w:t>
      </w:r>
      <w:r>
        <w:tab/>
      </w:r>
      <w:r>
        <w:fldChar w:fldCharType="begin"/>
      </w:r>
      <w:r>
        <w:instrText xml:space="preserve"> PAGEREF _Toc50038414 \h </w:instrText>
      </w:r>
      <w:r>
        <w:fldChar w:fldCharType="separate"/>
      </w:r>
      <w:r>
        <w:t>8</w:t>
      </w:r>
      <w:r>
        <w:fldChar w:fldCharType="end"/>
      </w:r>
    </w:p>
    <w:p w14:paraId="640A2BC8" w14:textId="53F07FE6" w:rsidR="00A63C93" w:rsidRDefault="00A63C93">
      <w:pPr>
        <w:pStyle w:val="TOC2"/>
        <w:rPr>
          <w:rFonts w:asciiTheme="minorHAnsi" w:eastAsiaTheme="minorEastAsia" w:hAnsiTheme="minorHAnsi" w:cstheme="minorBidi"/>
          <w:spacing w:val="0"/>
          <w:sz w:val="22"/>
          <w:szCs w:val="22"/>
        </w:rPr>
      </w:pPr>
      <w:r>
        <w:t>Introduction page</w:t>
      </w:r>
      <w:r>
        <w:tab/>
      </w:r>
      <w:r>
        <w:fldChar w:fldCharType="begin"/>
      </w:r>
      <w:r>
        <w:instrText xml:space="preserve"> PAGEREF _Toc50038415 \h </w:instrText>
      </w:r>
      <w:r>
        <w:fldChar w:fldCharType="separate"/>
      </w:r>
      <w:r>
        <w:t>8</w:t>
      </w:r>
      <w:r>
        <w:fldChar w:fldCharType="end"/>
      </w:r>
    </w:p>
    <w:p w14:paraId="753E886C" w14:textId="4150EF5B" w:rsidR="00A63C93" w:rsidRDefault="00A63C93">
      <w:pPr>
        <w:pStyle w:val="TOC2"/>
        <w:rPr>
          <w:rFonts w:asciiTheme="minorHAnsi" w:eastAsiaTheme="minorEastAsia" w:hAnsiTheme="minorHAnsi" w:cstheme="minorBidi"/>
          <w:spacing w:val="0"/>
          <w:sz w:val="22"/>
          <w:szCs w:val="22"/>
        </w:rPr>
      </w:pPr>
      <w:r>
        <w:t>Contact details page</w:t>
      </w:r>
      <w:r>
        <w:tab/>
      </w:r>
      <w:r>
        <w:fldChar w:fldCharType="begin"/>
      </w:r>
      <w:r>
        <w:instrText xml:space="preserve"> PAGEREF _Toc50038416 \h </w:instrText>
      </w:r>
      <w:r>
        <w:fldChar w:fldCharType="separate"/>
      </w:r>
      <w:r>
        <w:t>9</w:t>
      </w:r>
      <w:r>
        <w:fldChar w:fldCharType="end"/>
      </w:r>
    </w:p>
    <w:p w14:paraId="7B047F3B" w14:textId="24F3ACA0" w:rsidR="00A63C93" w:rsidRDefault="00A63C93">
      <w:pPr>
        <w:pStyle w:val="TOC2"/>
        <w:rPr>
          <w:rFonts w:asciiTheme="minorHAnsi" w:eastAsiaTheme="minorEastAsia" w:hAnsiTheme="minorHAnsi" w:cstheme="minorBidi"/>
          <w:spacing w:val="0"/>
          <w:sz w:val="22"/>
          <w:szCs w:val="22"/>
        </w:rPr>
      </w:pPr>
      <w:r>
        <w:t>Part A—Australian media companies</w:t>
      </w:r>
      <w:r>
        <w:tab/>
      </w:r>
      <w:r>
        <w:fldChar w:fldCharType="begin"/>
      </w:r>
      <w:r>
        <w:instrText xml:space="preserve"> PAGEREF _Toc50038417 \h </w:instrText>
      </w:r>
      <w:r>
        <w:fldChar w:fldCharType="separate"/>
      </w:r>
      <w:r>
        <w:t>9</w:t>
      </w:r>
      <w:r>
        <w:fldChar w:fldCharType="end"/>
      </w:r>
    </w:p>
    <w:p w14:paraId="7691FF21" w14:textId="00BE129D" w:rsidR="00A63C93" w:rsidRDefault="00A63C93">
      <w:pPr>
        <w:pStyle w:val="TOC3"/>
        <w:rPr>
          <w:rFonts w:asciiTheme="minorHAnsi" w:eastAsiaTheme="minorEastAsia" w:hAnsiTheme="minorHAnsi" w:cstheme="minorBidi"/>
        </w:rPr>
      </w:pPr>
      <w:r>
        <w:t>How to select Australian media companies with broadcasting licences by network</w:t>
      </w:r>
      <w:r>
        <w:tab/>
      </w:r>
      <w:r>
        <w:fldChar w:fldCharType="begin"/>
      </w:r>
      <w:r>
        <w:instrText xml:space="preserve"> PAGEREF _Toc50038418 \h </w:instrText>
      </w:r>
      <w:r>
        <w:fldChar w:fldCharType="separate"/>
      </w:r>
      <w:r>
        <w:t>10</w:t>
      </w:r>
      <w:r>
        <w:fldChar w:fldCharType="end"/>
      </w:r>
    </w:p>
    <w:p w14:paraId="59F58933" w14:textId="0845BE42" w:rsidR="00A63C93" w:rsidRDefault="00A63C93">
      <w:pPr>
        <w:pStyle w:val="TOC3"/>
        <w:rPr>
          <w:rFonts w:asciiTheme="minorHAnsi" w:eastAsiaTheme="minorEastAsia" w:hAnsiTheme="minorHAnsi" w:cstheme="minorBidi"/>
        </w:rPr>
      </w:pPr>
      <w:r>
        <w:t>How to select Australian media companies by network with associated newspapers</w:t>
      </w:r>
      <w:r>
        <w:tab/>
      </w:r>
      <w:r>
        <w:fldChar w:fldCharType="begin"/>
      </w:r>
      <w:r>
        <w:instrText xml:space="preserve"> PAGEREF _Toc50038419 \h </w:instrText>
      </w:r>
      <w:r>
        <w:fldChar w:fldCharType="separate"/>
      </w:r>
      <w:r>
        <w:t>10</w:t>
      </w:r>
      <w:r>
        <w:fldChar w:fldCharType="end"/>
      </w:r>
    </w:p>
    <w:p w14:paraId="3B9D5F3E" w14:textId="0EA4B5A4" w:rsidR="00A63C93" w:rsidRDefault="00A63C93">
      <w:pPr>
        <w:pStyle w:val="TOC3"/>
        <w:rPr>
          <w:rFonts w:asciiTheme="minorHAnsi" w:eastAsiaTheme="minorEastAsia" w:hAnsiTheme="minorHAnsi" w:cstheme="minorBidi"/>
        </w:rPr>
      </w:pPr>
      <w:r>
        <w:t>How to select Australian media companies individually</w:t>
      </w:r>
      <w:r>
        <w:tab/>
      </w:r>
      <w:r>
        <w:fldChar w:fldCharType="begin"/>
      </w:r>
      <w:r>
        <w:instrText xml:space="preserve"> PAGEREF _Toc50038420 \h </w:instrText>
      </w:r>
      <w:r>
        <w:fldChar w:fldCharType="separate"/>
      </w:r>
      <w:r>
        <w:t>10</w:t>
      </w:r>
      <w:r>
        <w:fldChar w:fldCharType="end"/>
      </w:r>
    </w:p>
    <w:p w14:paraId="1F5B8EB7" w14:textId="72C3AFFB" w:rsidR="00A63C93" w:rsidRDefault="00A63C93">
      <w:pPr>
        <w:pStyle w:val="TOC3"/>
        <w:rPr>
          <w:rFonts w:asciiTheme="minorHAnsi" w:eastAsiaTheme="minorEastAsia" w:hAnsiTheme="minorHAnsi" w:cstheme="minorBidi"/>
        </w:rPr>
      </w:pPr>
      <w:r>
        <w:t>How to select Australian media companies which have ceased to exist</w:t>
      </w:r>
      <w:r>
        <w:tab/>
      </w:r>
      <w:r>
        <w:fldChar w:fldCharType="begin"/>
      </w:r>
      <w:r>
        <w:instrText xml:space="preserve"> PAGEREF _Toc50038421 \h </w:instrText>
      </w:r>
      <w:r>
        <w:fldChar w:fldCharType="separate"/>
      </w:r>
      <w:r>
        <w:t>10</w:t>
      </w:r>
      <w:r>
        <w:fldChar w:fldCharType="end"/>
      </w:r>
    </w:p>
    <w:p w14:paraId="167EB702" w14:textId="209636FB" w:rsidR="00A63C93" w:rsidRDefault="00A63C93">
      <w:pPr>
        <w:pStyle w:val="TOC2"/>
        <w:rPr>
          <w:rFonts w:asciiTheme="minorHAnsi" w:eastAsiaTheme="minorEastAsia" w:hAnsiTheme="minorHAnsi" w:cstheme="minorBidi"/>
          <w:spacing w:val="0"/>
          <w:sz w:val="22"/>
          <w:szCs w:val="22"/>
        </w:rPr>
      </w:pPr>
      <w:r>
        <w:t>Part B1—Foreign stakeholder designated information</w:t>
      </w:r>
      <w:r>
        <w:tab/>
      </w:r>
      <w:r>
        <w:fldChar w:fldCharType="begin"/>
      </w:r>
      <w:r>
        <w:instrText xml:space="preserve"> PAGEREF _Toc50038422 \h </w:instrText>
      </w:r>
      <w:r>
        <w:fldChar w:fldCharType="separate"/>
      </w:r>
      <w:r>
        <w:t>11</w:t>
      </w:r>
      <w:r>
        <w:fldChar w:fldCharType="end"/>
      </w:r>
    </w:p>
    <w:p w14:paraId="163F87DE" w14:textId="08C084C0" w:rsidR="00A63C93" w:rsidRDefault="00A63C93">
      <w:pPr>
        <w:pStyle w:val="TOC2"/>
        <w:rPr>
          <w:rFonts w:asciiTheme="minorHAnsi" w:eastAsiaTheme="minorEastAsia" w:hAnsiTheme="minorHAnsi" w:cstheme="minorBidi"/>
          <w:spacing w:val="0"/>
          <w:sz w:val="22"/>
          <w:szCs w:val="22"/>
        </w:rPr>
      </w:pPr>
      <w:r>
        <w:t xml:space="preserve">Part B2—Details of the person who has ceased being a foreign </w:t>
      </w:r>
      <w:r>
        <w:br/>
        <w:t>stakeholder (s74G)</w:t>
      </w:r>
      <w:r>
        <w:tab/>
      </w:r>
      <w:r>
        <w:fldChar w:fldCharType="begin"/>
      </w:r>
      <w:r>
        <w:instrText xml:space="preserve"> PAGEREF _Toc50038423 \h </w:instrText>
      </w:r>
      <w:r>
        <w:fldChar w:fldCharType="separate"/>
      </w:r>
      <w:r>
        <w:t>11</w:t>
      </w:r>
      <w:r>
        <w:fldChar w:fldCharType="end"/>
      </w:r>
    </w:p>
    <w:p w14:paraId="1E4C15B5" w14:textId="5E709433" w:rsidR="00A63C93" w:rsidRDefault="00A63C93">
      <w:pPr>
        <w:pStyle w:val="TOC2"/>
        <w:rPr>
          <w:rFonts w:asciiTheme="minorHAnsi" w:eastAsiaTheme="minorEastAsia" w:hAnsiTheme="minorHAnsi" w:cstheme="minorBidi"/>
          <w:spacing w:val="0"/>
          <w:sz w:val="22"/>
          <w:szCs w:val="22"/>
        </w:rPr>
      </w:pPr>
      <w:r>
        <w:t>Part C—Notification by a person who becomes a foreign stakeholder (s74F)</w:t>
      </w:r>
      <w:r>
        <w:tab/>
      </w:r>
      <w:r>
        <w:fldChar w:fldCharType="begin"/>
      </w:r>
      <w:r>
        <w:instrText xml:space="preserve"> PAGEREF _Toc50038424 \h </w:instrText>
      </w:r>
      <w:r>
        <w:fldChar w:fldCharType="separate"/>
      </w:r>
      <w:r>
        <w:t>11</w:t>
      </w:r>
      <w:r>
        <w:fldChar w:fldCharType="end"/>
      </w:r>
    </w:p>
    <w:p w14:paraId="67E99439" w14:textId="5CB1765E" w:rsidR="00A63C93" w:rsidRDefault="00A63C93">
      <w:pPr>
        <w:pStyle w:val="TOC3"/>
        <w:rPr>
          <w:rFonts w:asciiTheme="minorHAnsi" w:eastAsiaTheme="minorEastAsia" w:hAnsiTheme="minorHAnsi" w:cstheme="minorBidi"/>
        </w:rPr>
      </w:pPr>
      <w:r>
        <w:t xml:space="preserve">How to complete Part C – Notification by a person of becoming a </w:t>
      </w:r>
      <w:r>
        <w:br/>
        <w:t>foreign stakeholder</w:t>
      </w:r>
      <w:r>
        <w:tab/>
      </w:r>
      <w:r>
        <w:fldChar w:fldCharType="begin"/>
      </w:r>
      <w:r>
        <w:instrText xml:space="preserve"> PAGEREF _Toc50038425 \h </w:instrText>
      </w:r>
      <w:r>
        <w:fldChar w:fldCharType="separate"/>
      </w:r>
      <w:r>
        <w:t>12</w:t>
      </w:r>
      <w:r>
        <w:fldChar w:fldCharType="end"/>
      </w:r>
    </w:p>
    <w:p w14:paraId="06E835E3" w14:textId="1F16CBF7" w:rsidR="00A63C93" w:rsidRDefault="00A63C93">
      <w:pPr>
        <w:pStyle w:val="TOC2"/>
        <w:rPr>
          <w:rFonts w:asciiTheme="minorHAnsi" w:eastAsiaTheme="minorEastAsia" w:hAnsiTheme="minorHAnsi" w:cstheme="minorBidi"/>
          <w:spacing w:val="0"/>
          <w:sz w:val="22"/>
          <w:szCs w:val="22"/>
        </w:rPr>
      </w:pPr>
      <w:r>
        <w:t xml:space="preserve">Part D—Notification by a person who ceases to be a foreign </w:t>
      </w:r>
      <w:r>
        <w:br/>
        <w:t>stakeholder (s74G)</w:t>
      </w:r>
      <w:r>
        <w:tab/>
      </w:r>
      <w:r>
        <w:fldChar w:fldCharType="begin"/>
      </w:r>
      <w:r>
        <w:instrText xml:space="preserve"> PAGEREF _Toc50038426 \h </w:instrText>
      </w:r>
      <w:r>
        <w:fldChar w:fldCharType="separate"/>
      </w:r>
      <w:r>
        <w:t>13</w:t>
      </w:r>
      <w:r>
        <w:fldChar w:fldCharType="end"/>
      </w:r>
    </w:p>
    <w:p w14:paraId="1567FD84" w14:textId="489B9813" w:rsidR="00A63C93" w:rsidRDefault="00A63C93">
      <w:pPr>
        <w:pStyle w:val="TOC3"/>
        <w:rPr>
          <w:rFonts w:asciiTheme="minorHAnsi" w:eastAsiaTheme="minorEastAsia" w:hAnsiTheme="minorHAnsi" w:cstheme="minorBidi"/>
        </w:rPr>
      </w:pPr>
      <w:r>
        <w:t xml:space="preserve">How to complete Part D – Notification by a person of becoming a </w:t>
      </w:r>
      <w:r>
        <w:br/>
        <w:t>foreign stakeholder</w:t>
      </w:r>
      <w:r>
        <w:tab/>
      </w:r>
      <w:r>
        <w:fldChar w:fldCharType="begin"/>
      </w:r>
      <w:r>
        <w:instrText xml:space="preserve"> PAGEREF _Toc50038427 \h </w:instrText>
      </w:r>
      <w:r>
        <w:fldChar w:fldCharType="separate"/>
      </w:r>
      <w:r>
        <w:t>13</w:t>
      </w:r>
      <w:r>
        <w:fldChar w:fldCharType="end"/>
      </w:r>
    </w:p>
    <w:p w14:paraId="51755F55" w14:textId="3B4A1D43" w:rsidR="00A63C93" w:rsidRDefault="00A63C93">
      <w:pPr>
        <w:pStyle w:val="TOC2"/>
        <w:rPr>
          <w:rFonts w:asciiTheme="minorHAnsi" w:eastAsiaTheme="minorEastAsia" w:hAnsiTheme="minorHAnsi" w:cstheme="minorBidi"/>
          <w:spacing w:val="0"/>
          <w:sz w:val="22"/>
          <w:szCs w:val="22"/>
        </w:rPr>
      </w:pPr>
      <w:r>
        <w:t>Part E—Notification by a person who is a foreign stakeholder in an Australian media company at the end of a financial year (s74H)</w:t>
      </w:r>
      <w:r>
        <w:tab/>
      </w:r>
      <w:r>
        <w:fldChar w:fldCharType="begin"/>
      </w:r>
      <w:r>
        <w:instrText xml:space="preserve"> PAGEREF _Toc50038428 \h </w:instrText>
      </w:r>
      <w:r>
        <w:fldChar w:fldCharType="separate"/>
      </w:r>
      <w:r>
        <w:t>13</w:t>
      </w:r>
      <w:r>
        <w:fldChar w:fldCharType="end"/>
      </w:r>
    </w:p>
    <w:p w14:paraId="1ED72A6E" w14:textId="0A34E019" w:rsidR="00A63C93" w:rsidRDefault="00A63C93">
      <w:pPr>
        <w:pStyle w:val="TOC2"/>
        <w:rPr>
          <w:rFonts w:asciiTheme="minorHAnsi" w:eastAsiaTheme="minorEastAsia" w:hAnsiTheme="minorHAnsi" w:cstheme="minorBidi"/>
          <w:spacing w:val="0"/>
          <w:sz w:val="22"/>
          <w:szCs w:val="22"/>
        </w:rPr>
      </w:pPr>
      <w:r>
        <w:t>How to complete Notification by a person who was a foreign stakeholder at the end of a financial year</w:t>
      </w:r>
      <w:r>
        <w:tab/>
      </w:r>
      <w:r>
        <w:fldChar w:fldCharType="begin"/>
      </w:r>
      <w:r>
        <w:instrText xml:space="preserve"> PAGEREF _Toc50038429 \h </w:instrText>
      </w:r>
      <w:r>
        <w:fldChar w:fldCharType="separate"/>
      </w:r>
      <w:r>
        <w:t>14</w:t>
      </w:r>
      <w:r>
        <w:fldChar w:fldCharType="end"/>
      </w:r>
    </w:p>
    <w:p w14:paraId="3F837CAD" w14:textId="1DA819AA" w:rsidR="00A63C93" w:rsidRDefault="00A63C93">
      <w:pPr>
        <w:pStyle w:val="TOC3"/>
        <w:rPr>
          <w:rFonts w:asciiTheme="minorHAnsi" w:eastAsiaTheme="minorEastAsia" w:hAnsiTheme="minorHAnsi" w:cstheme="minorBidi"/>
        </w:rPr>
      </w:pPr>
      <w:r>
        <w:t>How to complete Notification by a person who was a foreign stakeholder at the commencement of Division 10A of the BSA</w:t>
      </w:r>
      <w:r>
        <w:tab/>
      </w:r>
      <w:r>
        <w:fldChar w:fldCharType="begin"/>
      </w:r>
      <w:r>
        <w:instrText xml:space="preserve"> PAGEREF _Toc50038430 \h </w:instrText>
      </w:r>
      <w:r>
        <w:fldChar w:fldCharType="separate"/>
      </w:r>
      <w:r>
        <w:t>14</w:t>
      </w:r>
      <w:r>
        <w:fldChar w:fldCharType="end"/>
      </w:r>
    </w:p>
    <w:p w14:paraId="3252D3F6" w14:textId="5A8D726F" w:rsidR="00A63C93" w:rsidRDefault="00A63C93">
      <w:pPr>
        <w:pStyle w:val="TOC3"/>
        <w:rPr>
          <w:rFonts w:asciiTheme="minorHAnsi" w:eastAsiaTheme="minorEastAsia" w:hAnsiTheme="minorHAnsi" w:cstheme="minorBidi"/>
        </w:rPr>
      </w:pPr>
      <w:r>
        <w:t>Part G—Certification of notification</w:t>
      </w:r>
      <w:r>
        <w:tab/>
      </w:r>
      <w:r>
        <w:fldChar w:fldCharType="begin"/>
      </w:r>
      <w:r>
        <w:instrText xml:space="preserve"> PAGEREF _Toc50038431 \h </w:instrText>
      </w:r>
      <w:r>
        <w:fldChar w:fldCharType="separate"/>
      </w:r>
      <w:r>
        <w:t>15</w:t>
      </w:r>
      <w:r>
        <w:fldChar w:fldCharType="end"/>
      </w:r>
    </w:p>
    <w:p w14:paraId="2E9A596A" w14:textId="4ADCEB12" w:rsidR="00A63C93" w:rsidRDefault="00A63C93">
      <w:pPr>
        <w:pStyle w:val="TOC3"/>
        <w:rPr>
          <w:rFonts w:asciiTheme="minorHAnsi" w:eastAsiaTheme="minorEastAsia" w:hAnsiTheme="minorHAnsi" w:cstheme="minorBidi"/>
        </w:rPr>
      </w:pPr>
      <w:r>
        <w:t>How to complete the Certification page</w:t>
      </w:r>
      <w:r>
        <w:tab/>
      </w:r>
      <w:r>
        <w:fldChar w:fldCharType="begin"/>
      </w:r>
      <w:r>
        <w:instrText xml:space="preserve"> PAGEREF _Toc50038432 \h </w:instrText>
      </w:r>
      <w:r>
        <w:fldChar w:fldCharType="separate"/>
      </w:r>
      <w:r>
        <w:t>15</w:t>
      </w:r>
      <w:r>
        <w:fldChar w:fldCharType="end"/>
      </w:r>
    </w:p>
    <w:p w14:paraId="7264F133" w14:textId="34971616" w:rsidR="00A63C93" w:rsidRDefault="00A63C93">
      <w:pPr>
        <w:pStyle w:val="TOC2"/>
        <w:rPr>
          <w:rFonts w:asciiTheme="minorHAnsi" w:eastAsiaTheme="minorEastAsia" w:hAnsiTheme="minorHAnsi" w:cstheme="minorBidi"/>
          <w:spacing w:val="0"/>
          <w:sz w:val="22"/>
          <w:szCs w:val="22"/>
        </w:rPr>
      </w:pPr>
      <w:r>
        <w:t>Part H—Appendix</w:t>
      </w:r>
      <w:r>
        <w:tab/>
      </w:r>
      <w:r>
        <w:fldChar w:fldCharType="begin"/>
      </w:r>
      <w:r>
        <w:instrText xml:space="preserve"> PAGEREF _Toc50038433 \h </w:instrText>
      </w:r>
      <w:r>
        <w:fldChar w:fldCharType="separate"/>
      </w:r>
      <w:r>
        <w:t>15</w:t>
      </w:r>
      <w:r>
        <w:fldChar w:fldCharType="end"/>
      </w:r>
    </w:p>
    <w:p w14:paraId="25862C7D" w14:textId="1C339C4E" w:rsidR="00A63C93" w:rsidRDefault="00A63C93">
      <w:pPr>
        <w:pStyle w:val="TOC3"/>
        <w:rPr>
          <w:rFonts w:asciiTheme="minorHAnsi" w:eastAsiaTheme="minorEastAsia" w:hAnsiTheme="minorHAnsi" w:cstheme="minorBidi"/>
        </w:rPr>
      </w:pPr>
      <w:r>
        <w:t>How to complete the Appendix page</w:t>
      </w:r>
      <w:r>
        <w:tab/>
      </w:r>
      <w:r>
        <w:fldChar w:fldCharType="begin"/>
      </w:r>
      <w:r>
        <w:instrText xml:space="preserve"> PAGEREF _Toc50038434 \h </w:instrText>
      </w:r>
      <w:r>
        <w:fldChar w:fldCharType="separate"/>
      </w:r>
      <w:r>
        <w:t>15</w:t>
      </w:r>
      <w:r>
        <w:fldChar w:fldCharType="end"/>
      </w:r>
    </w:p>
    <w:p w14:paraId="27656DBC" w14:textId="70A2C717" w:rsidR="00A63C93" w:rsidRDefault="00A63C93">
      <w:pPr>
        <w:pStyle w:val="TOC3"/>
        <w:rPr>
          <w:rFonts w:asciiTheme="minorHAnsi" w:eastAsiaTheme="minorEastAsia" w:hAnsiTheme="minorHAnsi" w:cstheme="minorBidi"/>
        </w:rPr>
      </w:pPr>
      <w:r>
        <w:t>Submitting the form</w:t>
      </w:r>
      <w:r>
        <w:tab/>
      </w:r>
      <w:r>
        <w:fldChar w:fldCharType="begin"/>
      </w:r>
      <w:r>
        <w:instrText xml:space="preserve"> PAGEREF _Toc50038435 \h </w:instrText>
      </w:r>
      <w:r>
        <w:fldChar w:fldCharType="separate"/>
      </w:r>
      <w:r>
        <w:t>15</w:t>
      </w:r>
      <w:r>
        <w:fldChar w:fldCharType="end"/>
      </w:r>
    </w:p>
    <w:p w14:paraId="792F9338" w14:textId="5FA2F3FB" w:rsidR="00A63C93" w:rsidRDefault="00A63C93">
      <w:pPr>
        <w:pStyle w:val="TOC3"/>
        <w:rPr>
          <w:rFonts w:asciiTheme="minorHAnsi" w:eastAsiaTheme="minorEastAsia" w:hAnsiTheme="minorHAnsi" w:cstheme="minorBidi"/>
        </w:rPr>
      </w:pPr>
      <w:r>
        <w:t>How to submit the form</w:t>
      </w:r>
      <w:r>
        <w:tab/>
      </w:r>
      <w:r>
        <w:fldChar w:fldCharType="begin"/>
      </w:r>
      <w:r>
        <w:instrText xml:space="preserve"> PAGEREF _Toc50038436 \h </w:instrText>
      </w:r>
      <w:r>
        <w:fldChar w:fldCharType="separate"/>
      </w:r>
      <w:r>
        <w:t>15</w:t>
      </w:r>
      <w:r>
        <w:fldChar w:fldCharType="end"/>
      </w:r>
    </w:p>
    <w:p w14:paraId="312FC7F3" w14:textId="60A0DE75" w:rsidR="00A63C93" w:rsidRDefault="00A63C93">
      <w:pPr>
        <w:pStyle w:val="TOC1"/>
        <w:rPr>
          <w:rFonts w:asciiTheme="minorHAnsi" w:eastAsiaTheme="minorEastAsia" w:hAnsiTheme="minorHAnsi" w:cstheme="minorBidi"/>
          <w:b w:val="0"/>
          <w:spacing w:val="0"/>
          <w:sz w:val="22"/>
          <w:szCs w:val="22"/>
        </w:rPr>
      </w:pPr>
      <w:r>
        <w:t>Contact information</w:t>
      </w:r>
      <w:r>
        <w:tab/>
      </w:r>
      <w:r>
        <w:fldChar w:fldCharType="begin"/>
      </w:r>
      <w:r>
        <w:instrText xml:space="preserve"> PAGEREF _Toc50038437 \h </w:instrText>
      </w:r>
      <w:r>
        <w:fldChar w:fldCharType="separate"/>
      </w:r>
      <w:r>
        <w:t>16</w:t>
      </w:r>
      <w:r>
        <w:fldChar w:fldCharType="end"/>
      </w:r>
    </w:p>
    <w:p w14:paraId="111691D1" w14:textId="3EB8314F" w:rsidR="00A63C93" w:rsidRDefault="00A63C93">
      <w:pPr>
        <w:pStyle w:val="TOC1"/>
        <w:rPr>
          <w:rFonts w:asciiTheme="minorHAnsi" w:eastAsiaTheme="minorEastAsia" w:hAnsiTheme="minorHAnsi" w:cstheme="minorBidi"/>
          <w:b w:val="0"/>
          <w:spacing w:val="0"/>
          <w:sz w:val="22"/>
          <w:szCs w:val="22"/>
        </w:rPr>
      </w:pPr>
      <w:r>
        <w:t>Appendix</w:t>
      </w:r>
      <w:r>
        <w:tab/>
      </w:r>
      <w:r>
        <w:fldChar w:fldCharType="begin"/>
      </w:r>
      <w:r>
        <w:instrText xml:space="preserve"> PAGEREF _Toc50038438 \h </w:instrText>
      </w:r>
      <w:r>
        <w:fldChar w:fldCharType="separate"/>
      </w:r>
      <w:r>
        <w:t>17</w:t>
      </w:r>
      <w:r>
        <w:fldChar w:fldCharType="end"/>
      </w:r>
    </w:p>
    <w:p w14:paraId="29E4BEEB" w14:textId="193C27D1" w:rsidR="00A63C93" w:rsidRDefault="00A63C93">
      <w:pPr>
        <w:pStyle w:val="TOC2"/>
        <w:rPr>
          <w:rFonts w:asciiTheme="minorHAnsi" w:eastAsiaTheme="minorEastAsia" w:hAnsiTheme="minorHAnsi" w:cstheme="minorBidi"/>
          <w:spacing w:val="0"/>
          <w:sz w:val="22"/>
          <w:szCs w:val="22"/>
        </w:rPr>
      </w:pPr>
      <w:r>
        <w:t>Definitions</w:t>
      </w:r>
      <w:r>
        <w:tab/>
      </w:r>
      <w:r>
        <w:fldChar w:fldCharType="begin"/>
      </w:r>
      <w:r>
        <w:instrText xml:space="preserve"> PAGEREF _Toc50038439 \h </w:instrText>
      </w:r>
      <w:r>
        <w:fldChar w:fldCharType="separate"/>
      </w:r>
      <w:r>
        <w:t>17</w:t>
      </w:r>
      <w:r>
        <w:fldChar w:fldCharType="end"/>
      </w:r>
    </w:p>
    <w:p w14:paraId="477CF57E" w14:textId="5F1DD1AE" w:rsidR="00A63C93" w:rsidRDefault="00A63C93">
      <w:pPr>
        <w:pStyle w:val="TOC3"/>
        <w:rPr>
          <w:rFonts w:asciiTheme="minorHAnsi" w:eastAsiaTheme="minorEastAsia" w:hAnsiTheme="minorHAnsi" w:cstheme="minorBidi"/>
        </w:rPr>
      </w:pPr>
      <w:r>
        <w:t>Tracing of substantial interests in corporations and trusts</w:t>
      </w:r>
      <w:r>
        <w:tab/>
      </w:r>
      <w:r>
        <w:fldChar w:fldCharType="begin"/>
      </w:r>
      <w:r>
        <w:instrText xml:space="preserve"> PAGEREF _Toc50038440 \h </w:instrText>
      </w:r>
      <w:r>
        <w:fldChar w:fldCharType="separate"/>
      </w:r>
      <w:r>
        <w:t>19</w:t>
      </w:r>
      <w:r>
        <w:fldChar w:fldCharType="end"/>
      </w:r>
    </w:p>
    <w:p w14:paraId="1FE2BE7D" w14:textId="1425E679" w:rsidR="00A63C93" w:rsidRDefault="00A63C93">
      <w:pPr>
        <w:pStyle w:val="TOC3"/>
        <w:rPr>
          <w:rFonts w:asciiTheme="minorHAnsi" w:eastAsiaTheme="minorEastAsia" w:hAnsiTheme="minorHAnsi" w:cstheme="minorBidi"/>
        </w:rPr>
      </w:pPr>
      <w:r>
        <w:t xml:space="preserve">Interpretation of shareholding interests, voting interests, dividend interests </w:t>
      </w:r>
      <w:r>
        <w:br/>
        <w:t>and winding</w:t>
      </w:r>
      <w:r>
        <w:noBreakHyphen/>
        <w:t>up interests (section 8 of the BSA)</w:t>
      </w:r>
      <w:r>
        <w:tab/>
      </w:r>
      <w:r>
        <w:fldChar w:fldCharType="begin"/>
      </w:r>
      <w:r>
        <w:instrText xml:space="preserve"> PAGEREF _Toc50038441 \h </w:instrText>
      </w:r>
      <w:r>
        <w:fldChar w:fldCharType="separate"/>
      </w:r>
      <w:r>
        <w:t>21</w:t>
      </w:r>
      <w:r>
        <w:fldChar w:fldCharType="end"/>
      </w:r>
    </w:p>
    <w:p w14:paraId="58B28179" w14:textId="3CA36AAB" w:rsidR="00A63C93" w:rsidRDefault="00A63C93">
      <w:pPr>
        <w:pStyle w:val="TOC2"/>
        <w:rPr>
          <w:rFonts w:asciiTheme="minorHAnsi" w:eastAsiaTheme="minorEastAsia" w:hAnsiTheme="minorHAnsi" w:cstheme="minorBidi"/>
          <w:spacing w:val="0"/>
          <w:sz w:val="22"/>
          <w:szCs w:val="22"/>
        </w:rPr>
      </w:pPr>
      <w:r>
        <w:t>Schedule 1 of the BSA - Control and ownership of company interests</w:t>
      </w:r>
      <w:r>
        <w:tab/>
      </w:r>
      <w:r>
        <w:fldChar w:fldCharType="begin"/>
      </w:r>
      <w:r>
        <w:instrText xml:space="preserve"> PAGEREF _Toc50038442 \h </w:instrText>
      </w:r>
      <w:r>
        <w:fldChar w:fldCharType="separate"/>
      </w:r>
      <w:r>
        <w:t>22</w:t>
      </w:r>
      <w:r>
        <w:fldChar w:fldCharType="end"/>
      </w:r>
    </w:p>
    <w:p w14:paraId="531DE469" w14:textId="74B54992" w:rsidR="00A63C93" w:rsidRDefault="00A63C93">
      <w:pPr>
        <w:pStyle w:val="TOC3"/>
        <w:rPr>
          <w:rFonts w:asciiTheme="minorHAnsi" w:eastAsiaTheme="minorEastAsia" w:hAnsiTheme="minorHAnsi" w:cstheme="minorBidi"/>
        </w:rPr>
      </w:pPr>
      <w:r>
        <w:t>Part 4—Tracing of ownership</w:t>
      </w:r>
      <w:r>
        <w:tab/>
      </w:r>
      <w:r>
        <w:fldChar w:fldCharType="begin"/>
      </w:r>
      <w:r>
        <w:instrText xml:space="preserve"> PAGEREF _Toc50038443 \h </w:instrText>
      </w:r>
      <w:r>
        <w:fldChar w:fldCharType="separate"/>
      </w:r>
      <w:r>
        <w:t>22</w:t>
      </w:r>
      <w:r>
        <w:fldChar w:fldCharType="end"/>
      </w:r>
    </w:p>
    <w:p w14:paraId="53F9EA8A" w14:textId="3CD067BC" w:rsidR="004D56FF" w:rsidRPr="000D76E0" w:rsidRDefault="009B24A5">
      <w:pPr>
        <w:rPr>
          <w:rFonts w:cs="Arial"/>
        </w:rPr>
        <w:sectPr w:rsidR="004D56FF" w:rsidRPr="000D76E0" w:rsidSect="00C77380">
          <w:headerReference w:type="even" r:id="rId20"/>
          <w:headerReference w:type="default" r:id="rId21"/>
          <w:footerReference w:type="even" r:id="rId22"/>
          <w:footerReference w:type="default" r:id="rId23"/>
          <w:footerReference w:type="first" r:id="rId24"/>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288B4957" w14:textId="7F952613" w:rsidR="00171D30" w:rsidRPr="00171D30" w:rsidRDefault="00171D30" w:rsidP="009F20CE">
      <w:pPr>
        <w:pStyle w:val="Heading1"/>
      </w:pPr>
      <w:bookmarkStart w:id="0" w:name="_Toc48889539"/>
      <w:bookmarkStart w:id="1" w:name="_Toc50038387"/>
      <w:r w:rsidRPr="00171D30">
        <w:lastRenderedPageBreak/>
        <w:t>A</w:t>
      </w:r>
      <w:r w:rsidR="005642D4">
        <w:t>bout this notification form</w:t>
      </w:r>
      <w:bookmarkEnd w:id="0"/>
      <w:bookmarkEnd w:id="1"/>
    </w:p>
    <w:p w14:paraId="499FA03D" w14:textId="77777777" w:rsidR="009F20CE" w:rsidRPr="00171D30" w:rsidRDefault="009F20CE" w:rsidP="009F20CE">
      <w:pPr>
        <w:shd w:val="clear" w:color="auto" w:fill="404040" w:themeFill="text1" w:themeFillTint="BF"/>
        <w:rPr>
          <w:rFonts w:cs="Arial"/>
          <w:b/>
          <w:color w:val="FFFFFF" w:themeColor="background1"/>
        </w:rPr>
      </w:pPr>
      <w:r w:rsidRPr="00171D30">
        <w:rPr>
          <w:rFonts w:cs="Arial"/>
          <w:b/>
          <w:color w:val="FFFFFF" w:themeColor="background1"/>
        </w:rPr>
        <w:t>Note: These guidance notes are not a substitute for legal advice</w:t>
      </w:r>
    </w:p>
    <w:p w14:paraId="02894874" w14:textId="3D107788" w:rsidR="00171D30" w:rsidRPr="00171D30" w:rsidRDefault="00171D30" w:rsidP="00171D30">
      <w:pPr>
        <w:rPr>
          <w:rFonts w:cs="Arial"/>
          <w:i/>
        </w:rPr>
      </w:pPr>
      <w:r w:rsidRPr="00171D30">
        <w:rPr>
          <w:rFonts w:cs="Arial"/>
        </w:rPr>
        <w:t xml:space="preserve">This form is for notifications under Division 10A of the </w:t>
      </w:r>
      <w:hyperlink r:id="rId25" w:history="1">
        <w:r w:rsidRPr="00171D30">
          <w:rPr>
            <w:rFonts w:cs="Arial"/>
            <w:i/>
            <w:color w:val="0000FF"/>
            <w:u w:val="single"/>
          </w:rPr>
          <w:t>Broadcasting Services Act 1992</w:t>
        </w:r>
      </w:hyperlink>
      <w:r w:rsidRPr="00171D30">
        <w:rPr>
          <w:rFonts w:cs="Arial"/>
          <w:i/>
        </w:rPr>
        <w:t xml:space="preserve"> </w:t>
      </w:r>
      <w:r w:rsidRPr="00171D30">
        <w:rPr>
          <w:rFonts w:cs="Arial"/>
        </w:rPr>
        <w:t>(the BSA).</w:t>
      </w:r>
    </w:p>
    <w:p w14:paraId="67AD464E" w14:textId="77777777" w:rsidR="00171D30" w:rsidRPr="00171D30" w:rsidRDefault="00171D30" w:rsidP="00171D30">
      <w:pPr>
        <w:rPr>
          <w:rFonts w:cs="Arial"/>
          <w:i/>
        </w:rPr>
      </w:pPr>
      <w:r w:rsidRPr="00171D30">
        <w:rPr>
          <w:rFonts w:cs="Arial"/>
          <w:i/>
        </w:rPr>
        <w:t>This form supersedes all previous versions of the form.</w:t>
      </w:r>
    </w:p>
    <w:p w14:paraId="7D6F1911" w14:textId="77777777" w:rsidR="00171D30" w:rsidRPr="00171D30" w:rsidRDefault="00171D30" w:rsidP="00171D30">
      <w:pPr>
        <w:rPr>
          <w:rFonts w:cs="Arial"/>
        </w:rPr>
      </w:pPr>
      <w:r w:rsidRPr="00171D30">
        <w:rPr>
          <w:rFonts w:cs="Arial"/>
          <w:b/>
        </w:rPr>
        <w:t>Important note</w:t>
      </w:r>
      <w:r w:rsidRPr="00171D30">
        <w:rPr>
          <w:rFonts w:cs="Arial"/>
        </w:rPr>
        <w:t xml:space="preserve">: Excerpts from legislation and regulations reproduced on the foreign stakeholder notification form and in these </w:t>
      </w:r>
      <w:proofErr w:type="gramStart"/>
      <w:r w:rsidRPr="00171D30">
        <w:rPr>
          <w:rFonts w:cs="Arial"/>
        </w:rPr>
        <w:t>Guidance</w:t>
      </w:r>
      <w:proofErr w:type="gramEnd"/>
      <w:r w:rsidRPr="00171D30">
        <w:rPr>
          <w:rFonts w:cs="Arial"/>
        </w:rPr>
        <w:t xml:space="preserve"> Notes may not reflect current versions in operation. Persons </w:t>
      </w:r>
      <w:r w:rsidRPr="00171D30">
        <w:rPr>
          <w:lang w:val="en"/>
        </w:rPr>
        <w:t>accessing this document undertake responsibility for assessing the relevance and accuracy of its content. Current versions are available online at the Australian Government Federal Register of Legislation.</w:t>
      </w:r>
      <w:r w:rsidRPr="00171D30">
        <w:rPr>
          <w:rFonts w:cs="Arial"/>
        </w:rPr>
        <w:t xml:space="preserve">    </w:t>
      </w:r>
    </w:p>
    <w:p w14:paraId="2A21A640" w14:textId="17E2B040" w:rsidR="00171D30" w:rsidRPr="00171D30" w:rsidRDefault="00171D30" w:rsidP="0017293B">
      <w:pPr>
        <w:pStyle w:val="Heading2"/>
      </w:pPr>
      <w:bookmarkStart w:id="2" w:name="_Toc48889540"/>
      <w:bookmarkStart w:id="3" w:name="_Toc50038388"/>
      <w:r w:rsidRPr="00171D30">
        <w:t>W</w:t>
      </w:r>
      <w:r w:rsidR="005642D4">
        <w:t>ho should lodge this form</w:t>
      </w:r>
      <w:r w:rsidRPr="00171D30">
        <w:t>?</w:t>
      </w:r>
      <w:bookmarkEnd w:id="2"/>
      <w:bookmarkEnd w:id="3"/>
      <w:r w:rsidRPr="00171D30">
        <w:t xml:space="preserve"> </w:t>
      </w:r>
    </w:p>
    <w:p w14:paraId="67F3AF80" w14:textId="77777777" w:rsidR="00171D30" w:rsidRPr="00171D30" w:rsidRDefault="00171D30" w:rsidP="006C63E6">
      <w:pPr>
        <w:pStyle w:val="Bulletlevel1"/>
      </w:pPr>
      <w:r w:rsidRPr="00171D30">
        <w:t>A person who becomes a foreign stakeholder in an Australian media company (s74F).</w:t>
      </w:r>
    </w:p>
    <w:p w14:paraId="0AA0C1EE" w14:textId="77777777" w:rsidR="00171D30" w:rsidRPr="00171D30" w:rsidRDefault="00171D30" w:rsidP="006C63E6">
      <w:pPr>
        <w:pStyle w:val="Bulletlevel1"/>
      </w:pPr>
      <w:r w:rsidRPr="00171D30">
        <w:t>A person who ceases being a foreign stakeholder in an Australian media company (s74G).</w:t>
      </w:r>
    </w:p>
    <w:p w14:paraId="543C87AC" w14:textId="77777777" w:rsidR="00171D30" w:rsidRPr="00171D30" w:rsidRDefault="00171D30" w:rsidP="006C63E6">
      <w:pPr>
        <w:pStyle w:val="Bulletlevel1"/>
      </w:pPr>
      <w:r w:rsidRPr="00171D30">
        <w:t>A person who is a foreign stakeholder at the commencement of Division 10A of the Broadcasting Services Act 1992 (s74J).</w:t>
      </w:r>
    </w:p>
    <w:p w14:paraId="312DC4E0" w14:textId="77777777" w:rsidR="00171D30" w:rsidRPr="00171D30" w:rsidRDefault="00171D30" w:rsidP="006C63E6">
      <w:pPr>
        <w:pStyle w:val="Bulletlevel1"/>
      </w:pPr>
      <w:r w:rsidRPr="00171D30">
        <w:t>A person who is a foreign stakeholder at the end of the financial year (s74H).</w:t>
      </w:r>
    </w:p>
    <w:p w14:paraId="43E694B9" w14:textId="77777777" w:rsidR="00171D30" w:rsidRPr="00171D30" w:rsidRDefault="00171D30" w:rsidP="006C63E6">
      <w:pPr>
        <w:pStyle w:val="Bulletlevel1"/>
        <w:rPr>
          <w:bCs/>
        </w:rPr>
      </w:pPr>
      <w:r w:rsidRPr="00171D30">
        <w:t>If a person who is required to notify under subsections 74</w:t>
      </w:r>
      <w:proofErr w:type="gramStart"/>
      <w:r w:rsidRPr="00171D30">
        <w:t>F(</w:t>
      </w:r>
      <w:proofErr w:type="gramEnd"/>
      <w:r w:rsidRPr="00171D30">
        <w:t xml:space="preserve">1), 74G(1), 74H(1) 74J(1) is </w:t>
      </w:r>
      <w:bookmarkStart w:id="4" w:name="_Hlk532483111"/>
      <w:r w:rsidRPr="00171D30">
        <w:t xml:space="preserve">deceased, the executor or administrator of the person’s estate </w:t>
      </w:r>
      <w:bookmarkEnd w:id="4"/>
      <w:r w:rsidRPr="00171D30">
        <w:t>(s74L).</w:t>
      </w:r>
    </w:p>
    <w:p w14:paraId="7FE464C1" w14:textId="77777777" w:rsidR="00171D30" w:rsidRPr="00171D30" w:rsidRDefault="00171D30" w:rsidP="006C63E6">
      <w:pPr>
        <w:pStyle w:val="Bulletlevel1"/>
        <w:rPr>
          <w:bCs/>
        </w:rPr>
      </w:pPr>
      <w:r w:rsidRPr="00171D30">
        <w:t>If the person is a corporation that is being wound up before notifying, the liquidator of the corporation (s74L).</w:t>
      </w:r>
    </w:p>
    <w:p w14:paraId="77FA415D" w14:textId="6E9038C6" w:rsidR="00171D30" w:rsidRPr="00171D30" w:rsidRDefault="00171D30" w:rsidP="009F20CE">
      <w:pPr>
        <w:pStyle w:val="Heading1"/>
      </w:pPr>
      <w:bookmarkStart w:id="5" w:name="_Toc504040302"/>
      <w:bookmarkStart w:id="6" w:name="_Toc48889541"/>
      <w:bookmarkStart w:id="7" w:name="_Toc50038389"/>
      <w:r w:rsidRPr="0017293B">
        <w:t>L</w:t>
      </w:r>
      <w:r w:rsidR="005642D4" w:rsidRPr="0017293B">
        <w:t>odgement</w:t>
      </w:r>
      <w:r w:rsidR="005642D4">
        <w:t xml:space="preserve"> </w:t>
      </w:r>
      <w:r w:rsidR="005642D4" w:rsidRPr="0017293B">
        <w:t>information</w:t>
      </w:r>
      <w:bookmarkEnd w:id="7"/>
      <w:r w:rsidR="005642D4">
        <w:t xml:space="preserve"> </w:t>
      </w:r>
      <w:bookmarkEnd w:id="5"/>
      <w:bookmarkEnd w:id="6"/>
      <w:r w:rsidRPr="00171D30">
        <w:t xml:space="preserve"> </w:t>
      </w:r>
    </w:p>
    <w:p w14:paraId="56AA735C" w14:textId="2DDF069B" w:rsidR="00171D30" w:rsidRPr="0017293B" w:rsidRDefault="00171D30" w:rsidP="009F20CE">
      <w:pPr>
        <w:pStyle w:val="Heading2"/>
      </w:pPr>
      <w:bookmarkStart w:id="8" w:name="_Toc504040303"/>
      <w:bookmarkStart w:id="9" w:name="_Toc48889542"/>
      <w:bookmarkStart w:id="10" w:name="_Toc50038390"/>
      <w:r w:rsidRPr="0017293B">
        <w:t xml:space="preserve">What </w:t>
      </w:r>
      <w:r w:rsidRPr="009F20CE">
        <w:t>notification</w:t>
      </w:r>
      <w:r w:rsidRPr="0017293B">
        <w:t xml:space="preserve"> is required under section 74F of the</w:t>
      </w:r>
      <w:r w:rsidR="005642D4" w:rsidRPr="0017293B">
        <w:t> </w:t>
      </w:r>
      <w:r w:rsidRPr="0017293B">
        <w:t>BSA?</w:t>
      </w:r>
      <w:bookmarkEnd w:id="8"/>
      <w:bookmarkEnd w:id="9"/>
      <w:bookmarkEnd w:id="10"/>
      <w:r w:rsidRPr="0017293B">
        <w:t xml:space="preserve"> </w:t>
      </w:r>
    </w:p>
    <w:p w14:paraId="641883E2" w14:textId="77777777" w:rsidR="00171D30" w:rsidRPr="00171D30" w:rsidRDefault="00171D30" w:rsidP="006C63E6">
      <w:pPr>
        <w:pStyle w:val="Heading3"/>
      </w:pPr>
      <w:bookmarkStart w:id="11" w:name="_Toc50038391"/>
      <w:r w:rsidRPr="006C63E6">
        <w:t>Notification</w:t>
      </w:r>
      <w:r w:rsidRPr="00171D30">
        <w:t xml:space="preserve"> by a person who becomes a foreign stakeholder in an Australian media company</w:t>
      </w:r>
      <w:bookmarkEnd w:id="11"/>
    </w:p>
    <w:p w14:paraId="1B8871C9" w14:textId="77777777" w:rsidR="00171D30" w:rsidRPr="00171D30" w:rsidRDefault="00171D30" w:rsidP="006C63E6">
      <w:pPr>
        <w:pStyle w:val="Paragraph"/>
        <w:rPr>
          <w:rFonts w:eastAsiaTheme="minorHAnsi"/>
          <w:lang w:eastAsia="en-US"/>
        </w:rPr>
      </w:pPr>
      <w:r w:rsidRPr="006C63E6">
        <w:rPr>
          <w:rFonts w:eastAsiaTheme="minorHAnsi"/>
        </w:rPr>
        <w:t>Section</w:t>
      </w:r>
      <w:r w:rsidRPr="00171D30">
        <w:rPr>
          <w:rFonts w:eastAsiaTheme="minorHAnsi"/>
          <w:lang w:eastAsia="en-US"/>
        </w:rPr>
        <w:t xml:space="preserve"> 74F of the BSA provides that: </w:t>
      </w:r>
    </w:p>
    <w:p w14:paraId="5C81E916" w14:textId="77777777" w:rsidR="00171D30" w:rsidRPr="00171D30" w:rsidRDefault="00171D30" w:rsidP="00171D30">
      <w:pPr>
        <w:numPr>
          <w:ilvl w:val="0"/>
          <w:numId w:val="20"/>
        </w:numPr>
        <w:tabs>
          <w:tab w:val="right" w:pos="1021"/>
        </w:tabs>
        <w:spacing w:before="180" w:after="80" w:line="240" w:lineRule="auto"/>
        <w:ind w:hanging="357"/>
        <w:rPr>
          <w:rFonts w:cs="Arial"/>
          <w:szCs w:val="20"/>
        </w:rPr>
      </w:pPr>
      <w:r w:rsidRPr="00171D30">
        <w:rPr>
          <w:rFonts w:cs="Arial"/>
          <w:szCs w:val="20"/>
        </w:rPr>
        <w:tab/>
        <w:t xml:space="preserve">If a person who was not a foreign stakeholder in a particular Australian media company becomes a foreign stakeholder in the company at a particular time, </w:t>
      </w:r>
      <w:r w:rsidRPr="00171D30">
        <w:rPr>
          <w:rFonts w:cs="Arial"/>
          <w:b/>
          <w:szCs w:val="20"/>
        </w:rPr>
        <w:t>the person must, within 30 days after that time</w:t>
      </w:r>
      <w:r w:rsidRPr="00171D30">
        <w:rPr>
          <w:rFonts w:cs="Arial"/>
          <w:szCs w:val="20"/>
        </w:rPr>
        <w:t>, notify the ACMA in writing of:</w:t>
      </w:r>
    </w:p>
    <w:p w14:paraId="7ED7CC40" w14:textId="77777777" w:rsidR="00171D30" w:rsidRPr="00171D30" w:rsidRDefault="00171D30" w:rsidP="00171D30">
      <w:pPr>
        <w:numPr>
          <w:ilvl w:val="0"/>
          <w:numId w:val="21"/>
        </w:numPr>
        <w:tabs>
          <w:tab w:val="right" w:pos="1531"/>
        </w:tabs>
        <w:spacing w:before="40" w:after="80" w:line="240" w:lineRule="auto"/>
        <w:ind w:hanging="357"/>
        <w:rPr>
          <w:rFonts w:cs="Arial"/>
          <w:szCs w:val="20"/>
        </w:rPr>
      </w:pPr>
      <w:r w:rsidRPr="00171D30">
        <w:rPr>
          <w:rFonts w:cs="Arial"/>
          <w:szCs w:val="20"/>
        </w:rPr>
        <w:t>the person’s name; and</w:t>
      </w:r>
    </w:p>
    <w:p w14:paraId="37C3BC98" w14:textId="77777777" w:rsidR="00171D30" w:rsidRPr="00171D30" w:rsidRDefault="00171D30" w:rsidP="00171D30">
      <w:pPr>
        <w:numPr>
          <w:ilvl w:val="0"/>
          <w:numId w:val="21"/>
        </w:numPr>
        <w:tabs>
          <w:tab w:val="right" w:pos="1531"/>
        </w:tabs>
        <w:spacing w:before="40" w:after="80" w:line="240" w:lineRule="auto"/>
        <w:ind w:hanging="357"/>
        <w:rPr>
          <w:rFonts w:cs="Arial"/>
          <w:szCs w:val="20"/>
        </w:rPr>
      </w:pPr>
      <w:r w:rsidRPr="00171D30">
        <w:rPr>
          <w:rFonts w:cs="Arial"/>
          <w:szCs w:val="20"/>
        </w:rPr>
        <w:t>the circumstances that resulted in the person becoming a foreign stakeholder in the company; and</w:t>
      </w:r>
    </w:p>
    <w:p w14:paraId="6B26EB1B" w14:textId="77777777" w:rsidR="00171D30" w:rsidRPr="00171D30" w:rsidRDefault="00171D30" w:rsidP="00171D30">
      <w:pPr>
        <w:numPr>
          <w:ilvl w:val="0"/>
          <w:numId w:val="21"/>
        </w:numPr>
        <w:tabs>
          <w:tab w:val="right" w:pos="1531"/>
        </w:tabs>
        <w:spacing w:before="40" w:after="80" w:line="240" w:lineRule="auto"/>
        <w:ind w:hanging="357"/>
        <w:rPr>
          <w:rFonts w:cs="Arial"/>
          <w:szCs w:val="20"/>
        </w:rPr>
      </w:pPr>
      <w:r w:rsidRPr="00171D30">
        <w:rPr>
          <w:rFonts w:cs="Arial"/>
          <w:szCs w:val="20"/>
        </w:rPr>
        <w:t>the person’s company interests in the company; and</w:t>
      </w:r>
    </w:p>
    <w:p w14:paraId="4F166D7C" w14:textId="77777777" w:rsidR="00171D30" w:rsidRPr="00171D30" w:rsidRDefault="00171D30" w:rsidP="00171D30">
      <w:pPr>
        <w:numPr>
          <w:ilvl w:val="0"/>
          <w:numId w:val="21"/>
        </w:numPr>
        <w:tabs>
          <w:tab w:val="right" w:pos="1531"/>
        </w:tabs>
        <w:spacing w:before="40" w:after="80" w:line="240" w:lineRule="auto"/>
        <w:ind w:hanging="357"/>
        <w:rPr>
          <w:rFonts w:cs="Arial"/>
          <w:szCs w:val="20"/>
        </w:rPr>
      </w:pPr>
      <w:r w:rsidRPr="00171D30">
        <w:rPr>
          <w:rFonts w:cs="Arial"/>
          <w:szCs w:val="20"/>
        </w:rPr>
        <w:tab/>
        <w:t>the method used to determine those company interests; and</w:t>
      </w:r>
    </w:p>
    <w:p w14:paraId="2A72FF7F" w14:textId="77777777" w:rsidR="00171D30" w:rsidRPr="00171D30" w:rsidRDefault="00171D30" w:rsidP="00171D30">
      <w:pPr>
        <w:numPr>
          <w:ilvl w:val="0"/>
          <w:numId w:val="21"/>
        </w:numPr>
        <w:tabs>
          <w:tab w:val="right" w:pos="1531"/>
        </w:tabs>
        <w:spacing w:before="40" w:after="80" w:line="240" w:lineRule="auto"/>
        <w:ind w:hanging="357"/>
        <w:rPr>
          <w:rFonts w:cs="Arial"/>
          <w:szCs w:val="20"/>
        </w:rPr>
      </w:pPr>
      <w:r w:rsidRPr="00171D30">
        <w:rPr>
          <w:rFonts w:cs="Arial"/>
          <w:szCs w:val="20"/>
        </w:rPr>
        <w:tab/>
        <w:t>the reason why the person is a foreign person; and</w:t>
      </w:r>
    </w:p>
    <w:p w14:paraId="18C06FA0" w14:textId="77777777" w:rsidR="00171D30" w:rsidRPr="00171D30" w:rsidRDefault="00171D30" w:rsidP="00171D30">
      <w:pPr>
        <w:numPr>
          <w:ilvl w:val="0"/>
          <w:numId w:val="21"/>
        </w:numPr>
        <w:tabs>
          <w:tab w:val="right" w:pos="1531"/>
        </w:tabs>
        <w:spacing w:before="40" w:after="80" w:line="240" w:lineRule="auto"/>
        <w:ind w:hanging="357"/>
        <w:rPr>
          <w:rFonts w:cs="Arial"/>
          <w:szCs w:val="20"/>
        </w:rPr>
      </w:pPr>
      <w:r w:rsidRPr="00171D30">
        <w:rPr>
          <w:rFonts w:cs="Arial"/>
          <w:szCs w:val="20"/>
        </w:rPr>
        <w:t>the designated information relating to the person; and</w:t>
      </w:r>
    </w:p>
    <w:p w14:paraId="2987015A" w14:textId="77777777" w:rsidR="00171D30" w:rsidRPr="00171D30" w:rsidRDefault="00171D30" w:rsidP="00171D30">
      <w:pPr>
        <w:numPr>
          <w:ilvl w:val="0"/>
          <w:numId w:val="21"/>
        </w:numPr>
        <w:tabs>
          <w:tab w:val="right" w:pos="1531"/>
        </w:tabs>
        <w:spacing w:before="40" w:line="240" w:lineRule="auto"/>
        <w:ind w:hanging="357"/>
        <w:rPr>
          <w:rFonts w:cs="Arial"/>
          <w:szCs w:val="20"/>
        </w:rPr>
      </w:pPr>
      <w:r w:rsidRPr="00171D30">
        <w:rPr>
          <w:rFonts w:cs="Arial"/>
          <w:szCs w:val="20"/>
        </w:rPr>
        <w:tab/>
        <w:t>such other information (if any) relating to the person as is specified under subsection (2).</w:t>
      </w:r>
    </w:p>
    <w:p w14:paraId="3B4BA453" w14:textId="77777777" w:rsidR="00171D30" w:rsidRPr="006C63E6" w:rsidRDefault="00171D30" w:rsidP="00E72844">
      <w:pPr>
        <w:pStyle w:val="Paragraphbeforelist"/>
        <w:rPr>
          <w:rFonts w:ascii="Calibri" w:eastAsiaTheme="minorHAnsi" w:hAnsi="Calibri"/>
          <w:i/>
          <w:iCs/>
          <w:sz w:val="24"/>
          <w:lang w:eastAsia="en-US"/>
        </w:rPr>
      </w:pPr>
      <w:r w:rsidRPr="006C63E6">
        <w:rPr>
          <w:rFonts w:eastAsiaTheme="minorHAnsi"/>
          <w:i/>
          <w:iCs/>
          <w:lang w:eastAsia="en-US"/>
        </w:rPr>
        <w:t xml:space="preserve">Self-incrimination </w:t>
      </w:r>
    </w:p>
    <w:p w14:paraId="5FEBDAB1" w14:textId="3325FA68" w:rsidR="00171D30" w:rsidRPr="00171D30" w:rsidRDefault="00171D30" w:rsidP="00E72844">
      <w:pPr>
        <w:keepNext/>
        <w:keepLines/>
        <w:spacing w:before="40" w:after="0" w:line="240" w:lineRule="auto"/>
        <w:ind w:left="720" w:hanging="371"/>
        <w:rPr>
          <w:rFonts w:cs="Arial"/>
          <w:szCs w:val="20"/>
        </w:rPr>
      </w:pPr>
      <w:r w:rsidRPr="00171D30">
        <w:rPr>
          <w:rFonts w:eastAsiaTheme="minorHAnsi" w:cs="Arial"/>
          <w:color w:val="000000"/>
          <w:szCs w:val="20"/>
          <w:lang w:eastAsia="en-US"/>
        </w:rPr>
        <w:t>(</w:t>
      </w:r>
      <w:r w:rsidR="006C63E6">
        <w:rPr>
          <w:rFonts w:eastAsiaTheme="minorHAnsi" w:cs="Arial"/>
          <w:color w:val="000000"/>
          <w:szCs w:val="20"/>
          <w:lang w:eastAsia="en-US"/>
        </w:rPr>
        <w:t>6</w:t>
      </w:r>
      <w:r w:rsidRPr="00171D30">
        <w:rPr>
          <w:rFonts w:eastAsiaTheme="minorHAnsi" w:cs="Arial"/>
          <w:color w:val="000000"/>
          <w:szCs w:val="20"/>
          <w:lang w:eastAsia="en-US"/>
        </w:rPr>
        <w:t>)</w:t>
      </w:r>
      <w:r w:rsidRPr="00171D30">
        <w:rPr>
          <w:rFonts w:eastAsiaTheme="minorHAnsi" w:cs="Arial"/>
          <w:color w:val="000000"/>
          <w:szCs w:val="20"/>
          <w:lang w:eastAsia="en-US"/>
        </w:rPr>
        <w:tab/>
        <w:t>A person is not required to notify information under subsection (1) if the information might tend to incriminate the person or expose the person to a penalty.</w:t>
      </w:r>
    </w:p>
    <w:p w14:paraId="7631B0A2" w14:textId="39E81C10" w:rsidR="00171D30" w:rsidRPr="00171D30" w:rsidRDefault="00171D30" w:rsidP="009F20CE">
      <w:pPr>
        <w:pStyle w:val="Heading2"/>
      </w:pPr>
      <w:bookmarkStart w:id="12" w:name="_Toc504040304"/>
      <w:bookmarkStart w:id="13" w:name="_Toc48889543"/>
      <w:bookmarkStart w:id="14" w:name="_Toc50038392"/>
      <w:r w:rsidRPr="00171D30">
        <w:t>What notification is required under section 74G of the</w:t>
      </w:r>
      <w:r w:rsidR="005642D4">
        <w:t> </w:t>
      </w:r>
      <w:r w:rsidRPr="00171D30">
        <w:t>BSA?</w:t>
      </w:r>
      <w:bookmarkEnd w:id="12"/>
      <w:bookmarkEnd w:id="13"/>
      <w:bookmarkEnd w:id="14"/>
      <w:r w:rsidRPr="00171D30">
        <w:t xml:space="preserve"> </w:t>
      </w:r>
    </w:p>
    <w:p w14:paraId="6B522C1D" w14:textId="77777777" w:rsidR="00171D30" w:rsidRPr="00171D30" w:rsidRDefault="00171D30" w:rsidP="009F20CE">
      <w:pPr>
        <w:pStyle w:val="Heading3"/>
      </w:pPr>
      <w:bookmarkStart w:id="15" w:name="_Toc50038393"/>
      <w:r w:rsidRPr="00171D30">
        <w:t>Notification by a person who ceases to be a foreign stakeholder in an Australian media company</w:t>
      </w:r>
      <w:bookmarkEnd w:id="15"/>
    </w:p>
    <w:p w14:paraId="4A7338B7" w14:textId="77777777" w:rsidR="00171D30" w:rsidRPr="00171D30" w:rsidRDefault="00171D30" w:rsidP="00171D30">
      <w:pPr>
        <w:keepNext/>
        <w:keepLines/>
        <w:rPr>
          <w:rFonts w:cs="Arial"/>
          <w:szCs w:val="20"/>
        </w:rPr>
      </w:pPr>
      <w:r w:rsidRPr="00171D30">
        <w:rPr>
          <w:rFonts w:cs="Arial"/>
          <w:szCs w:val="20"/>
        </w:rPr>
        <w:t>Under section 74G of the BSA:</w:t>
      </w:r>
    </w:p>
    <w:p w14:paraId="415398C6" w14:textId="77777777" w:rsidR="00171D30" w:rsidRPr="00171D30" w:rsidRDefault="00171D30" w:rsidP="00171D30">
      <w:pPr>
        <w:keepNext/>
        <w:keepLines/>
        <w:tabs>
          <w:tab w:val="right" w:pos="1021"/>
        </w:tabs>
        <w:spacing w:before="180" w:after="80" w:line="240" w:lineRule="auto"/>
        <w:ind w:left="1134" w:hanging="1134"/>
        <w:jc w:val="both"/>
        <w:rPr>
          <w:rFonts w:cs="Arial"/>
          <w:szCs w:val="20"/>
        </w:rPr>
      </w:pPr>
      <w:r w:rsidRPr="00171D30">
        <w:rPr>
          <w:rFonts w:cs="Arial"/>
          <w:szCs w:val="20"/>
        </w:rPr>
        <w:tab/>
        <w:t>(1)</w:t>
      </w:r>
      <w:r w:rsidRPr="00171D30">
        <w:rPr>
          <w:rFonts w:cs="Arial"/>
          <w:szCs w:val="20"/>
        </w:rPr>
        <w:tab/>
        <w:t xml:space="preserve">If a person who was a foreign stakeholder in an Australian media company has ceased to be a foreign stakeholder in the company, the person must, </w:t>
      </w:r>
      <w:r w:rsidRPr="00171D30">
        <w:rPr>
          <w:rFonts w:cs="Arial"/>
          <w:b/>
          <w:szCs w:val="20"/>
        </w:rPr>
        <w:t>within 30 days after the cessation</w:t>
      </w:r>
      <w:r w:rsidRPr="00171D30">
        <w:rPr>
          <w:rFonts w:cs="Arial"/>
          <w:szCs w:val="20"/>
        </w:rPr>
        <w:t>, notify the ACMA in writing of:</w:t>
      </w:r>
    </w:p>
    <w:p w14:paraId="3F18CB08" w14:textId="77777777" w:rsidR="00171D30" w:rsidRPr="00171D30" w:rsidRDefault="00171D30" w:rsidP="00171D30">
      <w:pPr>
        <w:keepNext/>
        <w:keepLines/>
        <w:tabs>
          <w:tab w:val="right" w:pos="1531"/>
        </w:tabs>
        <w:spacing w:before="40" w:after="80" w:line="240" w:lineRule="auto"/>
        <w:ind w:left="1644" w:hanging="1644"/>
        <w:rPr>
          <w:rFonts w:cs="Arial"/>
          <w:szCs w:val="20"/>
        </w:rPr>
      </w:pPr>
      <w:r w:rsidRPr="00171D30">
        <w:rPr>
          <w:rFonts w:cs="Arial"/>
          <w:szCs w:val="20"/>
        </w:rPr>
        <w:tab/>
        <w:t>(a)</w:t>
      </w:r>
      <w:r w:rsidRPr="00171D30">
        <w:rPr>
          <w:rFonts w:cs="Arial"/>
          <w:szCs w:val="20"/>
        </w:rPr>
        <w:tab/>
        <w:t>the cessation; and</w:t>
      </w:r>
    </w:p>
    <w:p w14:paraId="3531C959" w14:textId="77777777" w:rsidR="00171D30" w:rsidRPr="00171D30" w:rsidRDefault="00171D30" w:rsidP="00171D30">
      <w:pPr>
        <w:keepNext/>
        <w:keepLines/>
        <w:tabs>
          <w:tab w:val="right" w:pos="1531"/>
        </w:tabs>
        <w:spacing w:before="40" w:line="240" w:lineRule="auto"/>
        <w:ind w:left="1644" w:hanging="1644"/>
        <w:rPr>
          <w:rFonts w:cs="Arial"/>
          <w:szCs w:val="20"/>
        </w:rPr>
      </w:pPr>
      <w:r w:rsidRPr="00171D30">
        <w:rPr>
          <w:rFonts w:cs="Arial"/>
          <w:szCs w:val="20"/>
        </w:rPr>
        <w:tab/>
        <w:t>(b)</w:t>
      </w:r>
      <w:r w:rsidRPr="00171D30">
        <w:rPr>
          <w:rFonts w:cs="Arial"/>
          <w:szCs w:val="20"/>
        </w:rPr>
        <w:tab/>
        <w:t>the circumstances that resulted in the cessation.</w:t>
      </w:r>
    </w:p>
    <w:p w14:paraId="52063432" w14:textId="77777777" w:rsidR="00171D30" w:rsidRPr="00171D30" w:rsidRDefault="00171D30" w:rsidP="006C63E6">
      <w:pPr>
        <w:autoSpaceDE w:val="0"/>
        <w:autoSpaceDN w:val="0"/>
        <w:adjustRightInd w:val="0"/>
        <w:spacing w:after="0" w:line="240" w:lineRule="auto"/>
        <w:rPr>
          <w:rFonts w:eastAsiaTheme="minorHAnsi" w:cs="Arial"/>
          <w:color w:val="000000"/>
          <w:szCs w:val="20"/>
          <w:lang w:eastAsia="en-US"/>
        </w:rPr>
      </w:pPr>
      <w:r w:rsidRPr="00171D30">
        <w:rPr>
          <w:rFonts w:eastAsiaTheme="minorHAnsi" w:cs="Arial"/>
          <w:i/>
          <w:iCs/>
          <w:color w:val="000000"/>
          <w:szCs w:val="20"/>
          <w:lang w:eastAsia="en-US"/>
        </w:rPr>
        <w:t xml:space="preserve">Self-incrimination </w:t>
      </w:r>
    </w:p>
    <w:p w14:paraId="530D4C56" w14:textId="77777777" w:rsidR="00171D30" w:rsidRPr="00171D30" w:rsidRDefault="00171D30" w:rsidP="00171D30">
      <w:pPr>
        <w:spacing w:before="40" w:after="0" w:line="240" w:lineRule="auto"/>
        <w:ind w:left="720" w:hanging="371"/>
        <w:rPr>
          <w:rFonts w:cs="Arial"/>
          <w:szCs w:val="20"/>
        </w:rPr>
      </w:pPr>
      <w:r w:rsidRPr="00171D30">
        <w:rPr>
          <w:rFonts w:eastAsiaTheme="minorHAnsi" w:cs="Arial"/>
          <w:color w:val="000000"/>
          <w:szCs w:val="20"/>
          <w:lang w:eastAsia="en-US"/>
        </w:rPr>
        <w:t>(5)  A person is not required to notify information under subsection (1) if the information might tend to incriminate the person or expose the person to a penalty.</w:t>
      </w:r>
    </w:p>
    <w:p w14:paraId="403667D8" w14:textId="188963DD" w:rsidR="00171D30" w:rsidRPr="00171D30" w:rsidRDefault="00171D30" w:rsidP="006C63E6">
      <w:pPr>
        <w:pStyle w:val="Heading2"/>
        <w:keepLines/>
      </w:pPr>
      <w:bookmarkStart w:id="16" w:name="_Toc48889544"/>
      <w:bookmarkStart w:id="17" w:name="_Toc50038394"/>
      <w:r w:rsidRPr="00171D30">
        <w:t>What notification is required under section 74H of the</w:t>
      </w:r>
      <w:r w:rsidR="005642D4">
        <w:t> </w:t>
      </w:r>
      <w:r w:rsidRPr="00171D30">
        <w:t>BSA?</w:t>
      </w:r>
      <w:bookmarkEnd w:id="16"/>
      <w:bookmarkEnd w:id="17"/>
      <w:r w:rsidRPr="00171D30">
        <w:t xml:space="preserve"> </w:t>
      </w:r>
    </w:p>
    <w:p w14:paraId="023A92D4" w14:textId="77777777" w:rsidR="00171D30" w:rsidRPr="00171D30" w:rsidRDefault="00171D30" w:rsidP="006C63E6">
      <w:pPr>
        <w:pStyle w:val="Heading3"/>
        <w:keepLines/>
      </w:pPr>
      <w:bookmarkStart w:id="18" w:name="_Toc50038395"/>
      <w:r w:rsidRPr="00171D30">
        <w:t>Annual notification by a foreign stakeholder</w:t>
      </w:r>
      <w:bookmarkEnd w:id="18"/>
    </w:p>
    <w:p w14:paraId="1C1F7BD3" w14:textId="77777777" w:rsidR="00171D30" w:rsidRPr="00171D30" w:rsidRDefault="00171D30" w:rsidP="006C63E6">
      <w:pPr>
        <w:pStyle w:val="Paragraphbeforelist"/>
        <w:keepNext/>
        <w:keepLines/>
      </w:pPr>
      <w:r w:rsidRPr="00171D30">
        <w:t>Under section 74H of the BSA:</w:t>
      </w:r>
    </w:p>
    <w:p w14:paraId="7EDE18F4" w14:textId="77777777" w:rsidR="00171D30" w:rsidRPr="00171D30" w:rsidRDefault="00171D30" w:rsidP="006C63E6">
      <w:pPr>
        <w:keepNext/>
        <w:keepLines/>
        <w:tabs>
          <w:tab w:val="right" w:pos="1021"/>
        </w:tabs>
        <w:spacing w:before="180" w:after="80" w:line="240" w:lineRule="auto"/>
        <w:ind w:left="1134" w:hanging="1134"/>
        <w:rPr>
          <w:rFonts w:cs="Arial"/>
          <w:szCs w:val="20"/>
        </w:rPr>
      </w:pPr>
      <w:r w:rsidRPr="00171D30">
        <w:rPr>
          <w:rFonts w:cs="Arial"/>
          <w:szCs w:val="20"/>
        </w:rPr>
        <w:tab/>
        <w:t>(1)</w:t>
      </w:r>
      <w:r w:rsidRPr="00171D30">
        <w:rPr>
          <w:rFonts w:cs="Arial"/>
          <w:szCs w:val="20"/>
        </w:rPr>
        <w:tab/>
        <w:t xml:space="preserve">If, at the end of a financial year, a person is a foreign stakeholder in an Australian media company, the person must, </w:t>
      </w:r>
      <w:r w:rsidRPr="00171D30">
        <w:rPr>
          <w:rFonts w:cs="Arial"/>
          <w:b/>
          <w:szCs w:val="20"/>
        </w:rPr>
        <w:t>within 30 days after the end of the financial year</w:t>
      </w:r>
      <w:r w:rsidRPr="00171D30">
        <w:rPr>
          <w:rFonts w:cs="Arial"/>
          <w:szCs w:val="20"/>
        </w:rPr>
        <w:t>, notify the ACMA in writing of:</w:t>
      </w:r>
    </w:p>
    <w:p w14:paraId="29704E8A" w14:textId="77777777" w:rsidR="00171D30" w:rsidRPr="00171D30" w:rsidRDefault="00171D30" w:rsidP="006C63E6">
      <w:pPr>
        <w:keepNext/>
        <w:keepLines/>
        <w:tabs>
          <w:tab w:val="right" w:pos="1531"/>
        </w:tabs>
        <w:spacing w:before="40" w:after="80" w:line="240" w:lineRule="auto"/>
        <w:ind w:left="1644" w:hanging="1644"/>
        <w:rPr>
          <w:rFonts w:cs="Arial"/>
          <w:szCs w:val="20"/>
        </w:rPr>
      </w:pPr>
      <w:r w:rsidRPr="00171D30">
        <w:rPr>
          <w:rFonts w:cs="Arial"/>
          <w:szCs w:val="20"/>
        </w:rPr>
        <w:tab/>
        <w:t>(a)</w:t>
      </w:r>
      <w:r w:rsidRPr="00171D30">
        <w:rPr>
          <w:rFonts w:cs="Arial"/>
          <w:szCs w:val="20"/>
        </w:rPr>
        <w:tab/>
        <w:t>the person’s name; and</w:t>
      </w:r>
    </w:p>
    <w:p w14:paraId="5481CE63" w14:textId="77777777" w:rsidR="00171D30" w:rsidRPr="00171D30" w:rsidRDefault="00171D30" w:rsidP="006C63E6">
      <w:pPr>
        <w:keepNext/>
        <w:keepLines/>
        <w:tabs>
          <w:tab w:val="right" w:pos="1531"/>
        </w:tabs>
        <w:spacing w:before="40" w:after="80" w:line="240" w:lineRule="auto"/>
        <w:ind w:left="1644" w:hanging="1644"/>
        <w:rPr>
          <w:rFonts w:cs="Arial"/>
          <w:szCs w:val="20"/>
        </w:rPr>
      </w:pPr>
      <w:r w:rsidRPr="00171D30">
        <w:rPr>
          <w:rFonts w:cs="Arial"/>
          <w:szCs w:val="20"/>
        </w:rPr>
        <w:tab/>
        <w:t>(b)</w:t>
      </w:r>
      <w:r w:rsidRPr="00171D30">
        <w:rPr>
          <w:rFonts w:cs="Arial"/>
          <w:szCs w:val="20"/>
        </w:rPr>
        <w:tab/>
        <w:t>the circumstances that resulted in the person being a foreign stakeholder in the company at the end of the financial year; and</w:t>
      </w:r>
    </w:p>
    <w:p w14:paraId="12D78608" w14:textId="77777777" w:rsidR="00171D30" w:rsidRPr="00171D30" w:rsidRDefault="00171D30" w:rsidP="00171D30">
      <w:pPr>
        <w:tabs>
          <w:tab w:val="right" w:pos="1531"/>
        </w:tabs>
        <w:spacing w:before="40" w:after="80" w:line="240" w:lineRule="auto"/>
        <w:ind w:left="1644" w:hanging="1644"/>
        <w:rPr>
          <w:rFonts w:cs="Arial"/>
          <w:szCs w:val="20"/>
        </w:rPr>
      </w:pPr>
      <w:r w:rsidRPr="00171D30">
        <w:rPr>
          <w:rFonts w:cs="Arial"/>
          <w:szCs w:val="20"/>
        </w:rPr>
        <w:tab/>
        <w:t>(c)</w:t>
      </w:r>
      <w:r w:rsidRPr="00171D30">
        <w:rPr>
          <w:rFonts w:cs="Arial"/>
          <w:szCs w:val="20"/>
        </w:rPr>
        <w:tab/>
        <w:t>the person’s company interests in the company at the end of the financial year; and</w:t>
      </w:r>
    </w:p>
    <w:p w14:paraId="713DA11E" w14:textId="77777777" w:rsidR="00171D30" w:rsidRPr="00171D30" w:rsidRDefault="00171D30" w:rsidP="00171D30">
      <w:pPr>
        <w:tabs>
          <w:tab w:val="right" w:pos="1531"/>
        </w:tabs>
        <w:spacing w:before="40" w:after="80" w:line="240" w:lineRule="auto"/>
        <w:ind w:left="1644" w:hanging="1644"/>
        <w:rPr>
          <w:rFonts w:cs="Arial"/>
          <w:szCs w:val="20"/>
        </w:rPr>
      </w:pPr>
      <w:r w:rsidRPr="00171D30">
        <w:rPr>
          <w:rFonts w:cs="Arial"/>
          <w:szCs w:val="20"/>
        </w:rPr>
        <w:tab/>
        <w:t>(d)</w:t>
      </w:r>
      <w:r w:rsidRPr="00171D30">
        <w:rPr>
          <w:rFonts w:cs="Arial"/>
          <w:szCs w:val="20"/>
        </w:rPr>
        <w:tab/>
        <w:t>the method used to determine those company interests; and</w:t>
      </w:r>
    </w:p>
    <w:p w14:paraId="645AEF49" w14:textId="77777777" w:rsidR="00171D30" w:rsidRPr="00171D30" w:rsidRDefault="00171D30" w:rsidP="00171D30">
      <w:pPr>
        <w:tabs>
          <w:tab w:val="right" w:pos="1531"/>
        </w:tabs>
        <w:spacing w:before="40" w:after="80" w:line="240" w:lineRule="auto"/>
        <w:ind w:left="1644" w:hanging="1644"/>
        <w:rPr>
          <w:rFonts w:cs="Arial"/>
          <w:szCs w:val="20"/>
        </w:rPr>
      </w:pPr>
      <w:r w:rsidRPr="00171D30">
        <w:rPr>
          <w:rFonts w:cs="Arial"/>
          <w:szCs w:val="20"/>
        </w:rPr>
        <w:tab/>
        <w:t>(e)</w:t>
      </w:r>
      <w:r w:rsidRPr="00171D30">
        <w:rPr>
          <w:rFonts w:cs="Arial"/>
          <w:szCs w:val="20"/>
        </w:rPr>
        <w:tab/>
        <w:t>the reason why the person was a foreign person at the end of the financial year; and</w:t>
      </w:r>
    </w:p>
    <w:p w14:paraId="0F9AB93C" w14:textId="77777777" w:rsidR="00171D30" w:rsidRPr="00171D30" w:rsidRDefault="00171D30" w:rsidP="00171D30">
      <w:pPr>
        <w:tabs>
          <w:tab w:val="right" w:pos="1531"/>
        </w:tabs>
        <w:spacing w:before="40" w:after="80" w:line="240" w:lineRule="auto"/>
        <w:ind w:left="1644" w:hanging="1644"/>
        <w:rPr>
          <w:rFonts w:cs="Arial"/>
          <w:szCs w:val="20"/>
        </w:rPr>
      </w:pPr>
      <w:r w:rsidRPr="00171D30">
        <w:rPr>
          <w:rFonts w:cs="Arial"/>
          <w:szCs w:val="20"/>
        </w:rPr>
        <w:tab/>
        <w:t>(f)</w:t>
      </w:r>
      <w:r w:rsidRPr="00171D30">
        <w:rPr>
          <w:rFonts w:cs="Arial"/>
          <w:szCs w:val="20"/>
        </w:rPr>
        <w:tab/>
        <w:t>the designated information relating to the person; and</w:t>
      </w:r>
    </w:p>
    <w:p w14:paraId="3DC0F3FC" w14:textId="77777777" w:rsidR="00171D30" w:rsidRPr="00171D30" w:rsidRDefault="00171D30" w:rsidP="00171D30">
      <w:pPr>
        <w:tabs>
          <w:tab w:val="right" w:pos="1531"/>
        </w:tabs>
        <w:spacing w:before="40" w:line="240" w:lineRule="auto"/>
        <w:ind w:left="1644" w:hanging="1644"/>
        <w:rPr>
          <w:rFonts w:cs="Arial"/>
          <w:szCs w:val="20"/>
        </w:rPr>
      </w:pPr>
      <w:r w:rsidRPr="00171D30">
        <w:rPr>
          <w:rFonts w:cs="Arial"/>
          <w:szCs w:val="20"/>
        </w:rPr>
        <w:tab/>
        <w:t>(g)</w:t>
      </w:r>
      <w:r w:rsidRPr="00171D30">
        <w:rPr>
          <w:rFonts w:cs="Arial"/>
          <w:szCs w:val="20"/>
        </w:rPr>
        <w:tab/>
        <w:t>such other information (if any) relating to the person as is specified under subsection (2).</w:t>
      </w:r>
    </w:p>
    <w:p w14:paraId="2E5CE570" w14:textId="77777777" w:rsidR="00171D30" w:rsidRPr="00171D30" w:rsidRDefault="00171D30" w:rsidP="006C63E6">
      <w:pPr>
        <w:autoSpaceDE w:val="0"/>
        <w:autoSpaceDN w:val="0"/>
        <w:adjustRightInd w:val="0"/>
        <w:spacing w:after="0" w:line="240" w:lineRule="auto"/>
        <w:rPr>
          <w:rFonts w:eastAsiaTheme="minorHAnsi" w:cs="Arial"/>
          <w:color w:val="000000"/>
          <w:szCs w:val="20"/>
          <w:lang w:eastAsia="en-US"/>
        </w:rPr>
      </w:pPr>
      <w:r w:rsidRPr="00171D30">
        <w:rPr>
          <w:rFonts w:eastAsiaTheme="minorHAnsi" w:cs="Arial"/>
          <w:i/>
          <w:iCs/>
          <w:color w:val="000000"/>
          <w:szCs w:val="20"/>
          <w:lang w:eastAsia="en-US"/>
        </w:rPr>
        <w:t xml:space="preserve">Self-incrimination </w:t>
      </w:r>
    </w:p>
    <w:p w14:paraId="3CDAB9D4" w14:textId="77777777" w:rsidR="00171D30" w:rsidRPr="00171D30" w:rsidRDefault="00171D30" w:rsidP="00171D30">
      <w:pPr>
        <w:spacing w:before="40" w:after="0" w:line="240" w:lineRule="auto"/>
        <w:ind w:left="720" w:hanging="371"/>
        <w:rPr>
          <w:rFonts w:eastAsiaTheme="minorHAnsi" w:cs="Arial"/>
          <w:color w:val="000000"/>
          <w:szCs w:val="20"/>
        </w:rPr>
      </w:pPr>
      <w:r w:rsidRPr="00171D30">
        <w:rPr>
          <w:rFonts w:eastAsiaTheme="minorHAnsi" w:cs="Arial"/>
          <w:color w:val="000000"/>
          <w:szCs w:val="20"/>
          <w:lang w:eastAsia="en-US"/>
        </w:rPr>
        <w:t>(6)</w:t>
      </w:r>
      <w:r w:rsidRPr="00171D30">
        <w:rPr>
          <w:rFonts w:eastAsiaTheme="minorHAnsi" w:cs="Arial"/>
          <w:color w:val="000000"/>
          <w:szCs w:val="20"/>
          <w:lang w:eastAsia="en-US"/>
        </w:rPr>
        <w:tab/>
        <w:t>A person is not required to notify information under subsection (1) if the information might tend to incriminate the person or expose the person to a penalty.</w:t>
      </w:r>
    </w:p>
    <w:p w14:paraId="2E17C013" w14:textId="69C8C4CA" w:rsidR="00171D30" w:rsidRPr="00171D30" w:rsidRDefault="00171D30" w:rsidP="006C63E6">
      <w:pPr>
        <w:pStyle w:val="Heading2"/>
      </w:pPr>
      <w:bookmarkStart w:id="19" w:name="_Toc48889545"/>
      <w:bookmarkStart w:id="20" w:name="_Toc50038396"/>
      <w:r w:rsidRPr="00171D30">
        <w:t>What notification is required under section 74J of the</w:t>
      </w:r>
      <w:r w:rsidR="005642D4">
        <w:t> </w:t>
      </w:r>
      <w:r w:rsidRPr="00171D30">
        <w:t>BSA?</w:t>
      </w:r>
      <w:bookmarkEnd w:id="19"/>
      <w:bookmarkEnd w:id="20"/>
      <w:r w:rsidRPr="00171D30">
        <w:t xml:space="preserve"> </w:t>
      </w:r>
    </w:p>
    <w:p w14:paraId="60306C5F" w14:textId="5632595D" w:rsidR="00171D30" w:rsidRPr="00171D30" w:rsidRDefault="00171D30" w:rsidP="006C63E6">
      <w:pPr>
        <w:pStyle w:val="Heading3"/>
      </w:pPr>
      <w:bookmarkStart w:id="21" w:name="_Toc50038397"/>
      <w:r w:rsidRPr="00171D30">
        <w:t xml:space="preserve">Notification by foreign </w:t>
      </w:r>
      <w:r w:rsidRPr="006C63E6">
        <w:t>stakeholder</w:t>
      </w:r>
      <w:r w:rsidRPr="00171D30">
        <w:t xml:space="preserve"> at commencement of Division 10A of the</w:t>
      </w:r>
      <w:r w:rsidR="005642D4">
        <w:t> </w:t>
      </w:r>
      <w:r w:rsidRPr="00171D30">
        <w:t>BSA</w:t>
      </w:r>
      <w:bookmarkEnd w:id="21"/>
    </w:p>
    <w:p w14:paraId="3CBA5FB0" w14:textId="77777777" w:rsidR="00171D30" w:rsidRPr="00171D30" w:rsidRDefault="00171D30" w:rsidP="006C63E6">
      <w:pPr>
        <w:pStyle w:val="Paragraphbeforelist"/>
      </w:pPr>
      <w:bookmarkStart w:id="22" w:name="_Toc499792342"/>
      <w:r w:rsidRPr="00171D30">
        <w:t>Under section 74J of the BSA:</w:t>
      </w:r>
    </w:p>
    <w:bookmarkEnd w:id="22"/>
    <w:p w14:paraId="54F5C159" w14:textId="77777777" w:rsidR="00171D30" w:rsidRPr="00171D30" w:rsidRDefault="00171D30" w:rsidP="00171D30">
      <w:pPr>
        <w:keepNext/>
        <w:keepLines/>
        <w:tabs>
          <w:tab w:val="right" w:pos="1021"/>
        </w:tabs>
        <w:spacing w:before="180" w:after="80" w:line="240" w:lineRule="auto"/>
        <w:ind w:left="1134" w:hanging="1134"/>
        <w:rPr>
          <w:rFonts w:cs="Arial"/>
          <w:szCs w:val="20"/>
        </w:rPr>
      </w:pPr>
      <w:r w:rsidRPr="00171D30">
        <w:rPr>
          <w:rFonts w:cs="Arial"/>
          <w:szCs w:val="20"/>
        </w:rPr>
        <w:tab/>
        <w:t>(1)</w:t>
      </w:r>
      <w:r w:rsidRPr="00171D30">
        <w:rPr>
          <w:rFonts w:cs="Arial"/>
          <w:szCs w:val="20"/>
        </w:rPr>
        <w:tab/>
        <w:t xml:space="preserve">If, at the commencement of this Division, a person is a foreign stakeholder in an Australian media company, the person must, </w:t>
      </w:r>
      <w:r w:rsidRPr="00171D30">
        <w:rPr>
          <w:rFonts w:cs="Arial"/>
          <w:b/>
          <w:szCs w:val="20"/>
        </w:rPr>
        <w:t>within the initial disclosure period</w:t>
      </w:r>
      <w:r w:rsidRPr="00171D30">
        <w:rPr>
          <w:rFonts w:cs="Arial"/>
          <w:szCs w:val="20"/>
        </w:rPr>
        <w:t>, notify the ACMA in writing of:</w:t>
      </w:r>
    </w:p>
    <w:p w14:paraId="73074813" w14:textId="77777777" w:rsidR="00171D30" w:rsidRPr="00171D30" w:rsidRDefault="00171D30" w:rsidP="00171D30">
      <w:pPr>
        <w:keepNext/>
        <w:keepLines/>
        <w:tabs>
          <w:tab w:val="right" w:pos="1531"/>
        </w:tabs>
        <w:spacing w:before="40" w:after="80" w:line="240" w:lineRule="auto"/>
        <w:ind w:left="1644" w:hanging="1644"/>
        <w:rPr>
          <w:rFonts w:cs="Arial"/>
          <w:szCs w:val="20"/>
        </w:rPr>
      </w:pPr>
      <w:r w:rsidRPr="00171D30">
        <w:rPr>
          <w:rFonts w:cs="Arial"/>
          <w:szCs w:val="20"/>
        </w:rPr>
        <w:tab/>
        <w:t>(a)</w:t>
      </w:r>
      <w:r w:rsidRPr="00171D30">
        <w:rPr>
          <w:rFonts w:cs="Arial"/>
          <w:szCs w:val="20"/>
        </w:rPr>
        <w:tab/>
        <w:t>the person’s name; and</w:t>
      </w:r>
    </w:p>
    <w:p w14:paraId="7964EB72" w14:textId="77777777" w:rsidR="00171D30" w:rsidRPr="00171D30" w:rsidRDefault="00171D30" w:rsidP="00171D30">
      <w:pPr>
        <w:tabs>
          <w:tab w:val="right" w:pos="1531"/>
        </w:tabs>
        <w:spacing w:before="40" w:after="80" w:line="240" w:lineRule="auto"/>
        <w:ind w:left="1644" w:hanging="1644"/>
        <w:rPr>
          <w:rFonts w:cs="Arial"/>
          <w:szCs w:val="20"/>
        </w:rPr>
      </w:pPr>
      <w:r w:rsidRPr="00171D30">
        <w:rPr>
          <w:rFonts w:cs="Arial"/>
          <w:szCs w:val="20"/>
        </w:rPr>
        <w:tab/>
        <w:t>(b)</w:t>
      </w:r>
      <w:r w:rsidRPr="00171D30">
        <w:rPr>
          <w:rFonts w:cs="Arial"/>
          <w:szCs w:val="20"/>
        </w:rPr>
        <w:tab/>
        <w:t>the circumstances that resulted in the person being a foreign stakeholder in the company at the commencement of this Division; and</w:t>
      </w:r>
    </w:p>
    <w:p w14:paraId="2FA98002" w14:textId="77777777" w:rsidR="00171D30" w:rsidRPr="00171D30" w:rsidRDefault="00171D30" w:rsidP="00171D30">
      <w:pPr>
        <w:tabs>
          <w:tab w:val="right" w:pos="1531"/>
        </w:tabs>
        <w:spacing w:before="40" w:after="80" w:line="240" w:lineRule="auto"/>
        <w:ind w:left="1644" w:hanging="1644"/>
        <w:rPr>
          <w:rFonts w:cs="Arial"/>
          <w:szCs w:val="20"/>
        </w:rPr>
      </w:pPr>
      <w:r w:rsidRPr="00171D30">
        <w:rPr>
          <w:rFonts w:cs="Arial"/>
          <w:szCs w:val="20"/>
        </w:rPr>
        <w:tab/>
        <w:t>(c)</w:t>
      </w:r>
      <w:r w:rsidRPr="00171D30">
        <w:rPr>
          <w:rFonts w:cs="Arial"/>
          <w:szCs w:val="20"/>
        </w:rPr>
        <w:tab/>
        <w:t>the person’s company interests in the company at the commencement of this Division; and</w:t>
      </w:r>
    </w:p>
    <w:p w14:paraId="14A08F7E" w14:textId="77777777" w:rsidR="00171D30" w:rsidRPr="00171D30" w:rsidRDefault="00171D30" w:rsidP="00171D30">
      <w:pPr>
        <w:tabs>
          <w:tab w:val="right" w:pos="1531"/>
        </w:tabs>
        <w:spacing w:before="40" w:after="80" w:line="240" w:lineRule="auto"/>
        <w:ind w:left="1644" w:hanging="1644"/>
        <w:rPr>
          <w:rFonts w:cs="Arial"/>
          <w:szCs w:val="20"/>
        </w:rPr>
      </w:pPr>
      <w:r w:rsidRPr="00171D30">
        <w:rPr>
          <w:rFonts w:cs="Arial"/>
          <w:szCs w:val="20"/>
        </w:rPr>
        <w:tab/>
        <w:t>(d)</w:t>
      </w:r>
      <w:r w:rsidRPr="00171D30">
        <w:rPr>
          <w:rFonts w:cs="Arial"/>
          <w:szCs w:val="20"/>
        </w:rPr>
        <w:tab/>
        <w:t>the method used to determine those company interests; and</w:t>
      </w:r>
    </w:p>
    <w:p w14:paraId="6EAD822D" w14:textId="77777777" w:rsidR="00171D30" w:rsidRPr="00171D30" w:rsidRDefault="00171D30" w:rsidP="00171D30">
      <w:pPr>
        <w:tabs>
          <w:tab w:val="right" w:pos="1531"/>
        </w:tabs>
        <w:spacing w:before="40" w:after="80" w:line="240" w:lineRule="auto"/>
        <w:ind w:left="1644" w:hanging="1644"/>
        <w:rPr>
          <w:rFonts w:cs="Arial"/>
          <w:szCs w:val="20"/>
        </w:rPr>
      </w:pPr>
      <w:r w:rsidRPr="00171D30">
        <w:rPr>
          <w:rFonts w:cs="Arial"/>
          <w:szCs w:val="20"/>
        </w:rPr>
        <w:tab/>
        <w:t>(e)</w:t>
      </w:r>
      <w:r w:rsidRPr="00171D30">
        <w:rPr>
          <w:rFonts w:cs="Arial"/>
          <w:szCs w:val="20"/>
        </w:rPr>
        <w:tab/>
        <w:t>the reason why the person was a foreign person at the commencement of this Division; and</w:t>
      </w:r>
    </w:p>
    <w:p w14:paraId="1167FB67" w14:textId="77777777" w:rsidR="00171D30" w:rsidRPr="00171D30" w:rsidRDefault="00171D30" w:rsidP="00171D30">
      <w:pPr>
        <w:tabs>
          <w:tab w:val="right" w:pos="1531"/>
        </w:tabs>
        <w:spacing w:before="40" w:after="80" w:line="240" w:lineRule="auto"/>
        <w:ind w:left="1644" w:hanging="1644"/>
        <w:rPr>
          <w:rFonts w:cs="Arial"/>
          <w:szCs w:val="20"/>
        </w:rPr>
      </w:pPr>
      <w:r w:rsidRPr="00171D30">
        <w:rPr>
          <w:rFonts w:cs="Arial"/>
          <w:szCs w:val="20"/>
        </w:rPr>
        <w:tab/>
        <w:t>(f)</w:t>
      </w:r>
      <w:r w:rsidRPr="00171D30">
        <w:rPr>
          <w:rFonts w:cs="Arial"/>
          <w:szCs w:val="20"/>
        </w:rPr>
        <w:tab/>
        <w:t>the designated information relating to the person; and</w:t>
      </w:r>
    </w:p>
    <w:p w14:paraId="5D24460E" w14:textId="77777777" w:rsidR="00171D30" w:rsidRPr="00171D30" w:rsidRDefault="00171D30" w:rsidP="00171D30">
      <w:pPr>
        <w:tabs>
          <w:tab w:val="right" w:pos="1531"/>
        </w:tabs>
        <w:spacing w:before="40" w:line="240" w:lineRule="auto"/>
        <w:ind w:left="1644" w:hanging="1644"/>
        <w:rPr>
          <w:rFonts w:cs="Arial"/>
          <w:szCs w:val="20"/>
        </w:rPr>
      </w:pPr>
      <w:r w:rsidRPr="00171D30">
        <w:rPr>
          <w:rFonts w:cs="Arial"/>
          <w:szCs w:val="20"/>
        </w:rPr>
        <w:tab/>
        <w:t>(g)</w:t>
      </w:r>
      <w:r w:rsidRPr="00171D30">
        <w:rPr>
          <w:rFonts w:cs="Arial"/>
          <w:szCs w:val="20"/>
        </w:rPr>
        <w:tab/>
        <w:t>such other information (if any) relating to the person as is specified under subsection (2).</w:t>
      </w:r>
    </w:p>
    <w:p w14:paraId="53A0644C" w14:textId="77777777" w:rsidR="00171D30" w:rsidRPr="00171D30" w:rsidRDefault="00171D30" w:rsidP="008F07D3">
      <w:pPr>
        <w:autoSpaceDE w:val="0"/>
        <w:autoSpaceDN w:val="0"/>
        <w:adjustRightInd w:val="0"/>
        <w:spacing w:after="0" w:line="240" w:lineRule="auto"/>
        <w:rPr>
          <w:rFonts w:eastAsiaTheme="minorHAnsi" w:cs="Arial"/>
          <w:color w:val="000000"/>
          <w:szCs w:val="20"/>
          <w:lang w:eastAsia="en-US"/>
        </w:rPr>
      </w:pPr>
      <w:r w:rsidRPr="00171D30">
        <w:rPr>
          <w:rFonts w:eastAsiaTheme="minorHAnsi" w:cs="Arial"/>
          <w:i/>
          <w:color w:val="000000"/>
          <w:szCs w:val="20"/>
          <w:lang w:eastAsia="en-US"/>
        </w:rPr>
        <w:t>Self</w:t>
      </w:r>
      <w:r w:rsidRPr="00171D30">
        <w:rPr>
          <w:rFonts w:eastAsiaTheme="minorHAnsi" w:cs="Arial"/>
          <w:i/>
          <w:color w:val="000000"/>
          <w:szCs w:val="20"/>
          <w:lang w:eastAsia="en-US"/>
        </w:rPr>
        <w:noBreakHyphen/>
        <w:t>incrimination</w:t>
      </w:r>
    </w:p>
    <w:p w14:paraId="4B348FF3" w14:textId="77777777" w:rsidR="00171D30" w:rsidRPr="00171D30" w:rsidRDefault="00171D30" w:rsidP="00171D30">
      <w:pPr>
        <w:spacing w:before="40" w:line="240" w:lineRule="auto"/>
        <w:ind w:left="720" w:hanging="371"/>
        <w:rPr>
          <w:rFonts w:cs="Arial"/>
          <w:szCs w:val="20"/>
        </w:rPr>
      </w:pPr>
      <w:r w:rsidRPr="00171D30">
        <w:rPr>
          <w:rFonts w:eastAsiaTheme="minorHAnsi" w:cs="Arial"/>
          <w:color w:val="000000"/>
          <w:szCs w:val="20"/>
          <w:lang w:eastAsia="en-US"/>
        </w:rPr>
        <w:t>(6)</w:t>
      </w:r>
      <w:r w:rsidRPr="00171D30">
        <w:rPr>
          <w:rFonts w:eastAsiaTheme="minorHAnsi" w:cs="Arial"/>
          <w:color w:val="000000"/>
          <w:szCs w:val="20"/>
          <w:lang w:eastAsia="en-US"/>
        </w:rPr>
        <w:tab/>
        <w:t>A person is not required to notify information under subsection (1) if the information might tend to incriminate the person or expose the person to a penalty.</w:t>
      </w:r>
    </w:p>
    <w:p w14:paraId="3A833D09" w14:textId="77777777" w:rsidR="00171D30" w:rsidRPr="00171D30" w:rsidRDefault="00171D30" w:rsidP="00171D30">
      <w:pPr>
        <w:rPr>
          <w:rFonts w:cs="Arial"/>
          <w:szCs w:val="20"/>
        </w:rPr>
      </w:pPr>
      <w:r w:rsidRPr="00171D30">
        <w:rPr>
          <w:rFonts w:cs="Arial"/>
          <w:szCs w:val="20"/>
        </w:rPr>
        <w:t>The initial disclosure period is six months from the commencement of Division 10A of the BSA, which occurred on 1 September 2018.</w:t>
      </w:r>
      <w:bookmarkStart w:id="23" w:name="_Toc504040306"/>
    </w:p>
    <w:p w14:paraId="57C9615A" w14:textId="649B38C6" w:rsidR="00171D30" w:rsidRPr="00171D30" w:rsidRDefault="00171D30" w:rsidP="008F07D3">
      <w:pPr>
        <w:pStyle w:val="Heading2"/>
      </w:pPr>
      <w:bookmarkStart w:id="24" w:name="_Toc48889546"/>
      <w:bookmarkStart w:id="25" w:name="_Toc50038398"/>
      <w:r w:rsidRPr="00171D30">
        <w:t xml:space="preserve">What notification is </w:t>
      </w:r>
      <w:r w:rsidRPr="008F07D3">
        <w:t>required</w:t>
      </w:r>
      <w:r w:rsidRPr="00171D30">
        <w:t xml:space="preserve"> under section 74K of the</w:t>
      </w:r>
      <w:r w:rsidR="005642D4">
        <w:t> </w:t>
      </w:r>
      <w:r w:rsidRPr="00171D30">
        <w:t>BSA?</w:t>
      </w:r>
      <w:bookmarkEnd w:id="24"/>
      <w:bookmarkEnd w:id="25"/>
      <w:r w:rsidRPr="00171D30">
        <w:t xml:space="preserve"> </w:t>
      </w:r>
    </w:p>
    <w:p w14:paraId="63A8A6CA" w14:textId="77777777" w:rsidR="00171D30" w:rsidRPr="00171D30" w:rsidRDefault="00171D30" w:rsidP="008F07D3">
      <w:pPr>
        <w:pStyle w:val="Heading3"/>
      </w:pPr>
      <w:bookmarkStart w:id="26" w:name="_Toc524959764"/>
      <w:bookmarkStart w:id="27" w:name="_Toc50038399"/>
      <w:r w:rsidRPr="00171D30">
        <w:t>Notification by a person who is a foreign stakeholder in an Australian media company—requirement by the ACMA</w:t>
      </w:r>
      <w:bookmarkEnd w:id="26"/>
      <w:bookmarkEnd w:id="27"/>
    </w:p>
    <w:p w14:paraId="58137F34" w14:textId="77777777" w:rsidR="00171D30" w:rsidRPr="00171D30" w:rsidRDefault="00171D30" w:rsidP="00171D30">
      <w:pPr>
        <w:tabs>
          <w:tab w:val="right" w:pos="1021"/>
        </w:tabs>
        <w:spacing w:before="180" w:after="0" w:line="240" w:lineRule="auto"/>
        <w:ind w:left="1134" w:hanging="1134"/>
        <w:rPr>
          <w:rFonts w:cs="Arial"/>
          <w:szCs w:val="20"/>
        </w:rPr>
      </w:pPr>
      <w:r w:rsidRPr="00171D30">
        <w:rPr>
          <w:rFonts w:cs="Arial"/>
          <w:szCs w:val="20"/>
        </w:rPr>
        <w:tab/>
        <w:t>(1)</w:t>
      </w:r>
      <w:r w:rsidRPr="00171D30">
        <w:rPr>
          <w:rFonts w:cs="Arial"/>
          <w:szCs w:val="20"/>
        </w:rPr>
        <w:tab/>
        <w:t>The ACMA may, by written notice given to a foreign stakeholder in an Australian media company, require the foreign stakeholder to:</w:t>
      </w:r>
    </w:p>
    <w:p w14:paraId="7F03D656"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(a)</w:t>
      </w:r>
      <w:r w:rsidRPr="00171D30">
        <w:rPr>
          <w:rFonts w:cs="Arial"/>
          <w:szCs w:val="20"/>
        </w:rPr>
        <w:tab/>
        <w:t>notify the ACMA of:</w:t>
      </w:r>
    </w:p>
    <w:p w14:paraId="5142A963" w14:textId="77777777" w:rsidR="00171D30" w:rsidRPr="00171D30" w:rsidRDefault="00171D30" w:rsidP="00171D30">
      <w:pPr>
        <w:tabs>
          <w:tab w:val="right" w:pos="1985"/>
        </w:tabs>
        <w:spacing w:before="40" w:after="0" w:line="240" w:lineRule="auto"/>
        <w:ind w:left="2098" w:hanging="2098"/>
        <w:rPr>
          <w:rFonts w:cs="Arial"/>
          <w:szCs w:val="20"/>
        </w:rPr>
      </w:pPr>
      <w:r w:rsidRPr="00171D30">
        <w:rPr>
          <w:rFonts w:cs="Arial"/>
          <w:szCs w:val="20"/>
        </w:rPr>
        <w:tab/>
        <w:t>(</w:t>
      </w:r>
      <w:proofErr w:type="spellStart"/>
      <w:r w:rsidRPr="00171D30">
        <w:rPr>
          <w:rFonts w:cs="Arial"/>
          <w:szCs w:val="20"/>
        </w:rPr>
        <w:t>i</w:t>
      </w:r>
      <w:proofErr w:type="spellEnd"/>
      <w:r w:rsidRPr="00171D30">
        <w:rPr>
          <w:rFonts w:cs="Arial"/>
          <w:szCs w:val="20"/>
        </w:rPr>
        <w:t>)</w:t>
      </w:r>
      <w:r w:rsidRPr="00171D30">
        <w:rPr>
          <w:rFonts w:cs="Arial"/>
          <w:szCs w:val="20"/>
        </w:rPr>
        <w:tab/>
        <w:t>the foreign stakeholder’s company interests in the company; and</w:t>
      </w:r>
    </w:p>
    <w:p w14:paraId="05691675" w14:textId="77777777" w:rsidR="00171D30" w:rsidRPr="00171D30" w:rsidRDefault="00171D30" w:rsidP="00171D30">
      <w:pPr>
        <w:tabs>
          <w:tab w:val="right" w:pos="1985"/>
        </w:tabs>
        <w:spacing w:before="40" w:after="0" w:line="240" w:lineRule="auto"/>
        <w:ind w:left="2098" w:hanging="2098"/>
        <w:rPr>
          <w:rFonts w:cs="Arial"/>
          <w:szCs w:val="20"/>
        </w:rPr>
      </w:pPr>
      <w:r w:rsidRPr="00171D30">
        <w:rPr>
          <w:rFonts w:cs="Arial"/>
          <w:szCs w:val="20"/>
        </w:rPr>
        <w:tab/>
        <w:t>(ii)</w:t>
      </w:r>
      <w:r w:rsidRPr="00171D30">
        <w:rPr>
          <w:rFonts w:cs="Arial"/>
          <w:szCs w:val="20"/>
        </w:rPr>
        <w:tab/>
        <w:t>the method used to determine those company interests; and</w:t>
      </w:r>
    </w:p>
    <w:p w14:paraId="2B8F31AA" w14:textId="77777777" w:rsidR="00171D30" w:rsidRPr="00171D30" w:rsidRDefault="00171D30" w:rsidP="00171D30">
      <w:pPr>
        <w:tabs>
          <w:tab w:val="right" w:pos="1985"/>
        </w:tabs>
        <w:spacing w:before="40" w:after="0" w:line="240" w:lineRule="auto"/>
        <w:ind w:left="2098" w:hanging="2098"/>
        <w:rPr>
          <w:rFonts w:cs="Arial"/>
          <w:szCs w:val="20"/>
        </w:rPr>
      </w:pPr>
      <w:r w:rsidRPr="00171D30">
        <w:rPr>
          <w:rFonts w:cs="Arial"/>
          <w:szCs w:val="20"/>
        </w:rPr>
        <w:tab/>
        <w:t>(iii)</w:t>
      </w:r>
      <w:r w:rsidRPr="00171D30">
        <w:rPr>
          <w:rFonts w:cs="Arial"/>
          <w:szCs w:val="20"/>
        </w:rPr>
        <w:tab/>
        <w:t>such other information (if any) relating to the foreign stakeholder as is specified under subsection (2); and</w:t>
      </w:r>
    </w:p>
    <w:p w14:paraId="2F711236"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(b)</w:t>
      </w:r>
      <w:r w:rsidRPr="00171D30">
        <w:rPr>
          <w:rFonts w:cs="Arial"/>
          <w:szCs w:val="20"/>
        </w:rPr>
        <w:tab/>
        <w:t>do so within the period specified in the notice.</w:t>
      </w:r>
    </w:p>
    <w:p w14:paraId="1FD47816" w14:textId="77777777" w:rsidR="00171D30" w:rsidRPr="00171D30" w:rsidRDefault="00171D30" w:rsidP="00171D30">
      <w:pPr>
        <w:tabs>
          <w:tab w:val="right" w:pos="1021"/>
        </w:tabs>
        <w:spacing w:before="180" w:after="0" w:line="240" w:lineRule="auto"/>
        <w:ind w:left="1134" w:hanging="1134"/>
        <w:rPr>
          <w:rFonts w:cs="Arial"/>
          <w:szCs w:val="20"/>
        </w:rPr>
      </w:pPr>
      <w:r w:rsidRPr="00171D30">
        <w:rPr>
          <w:rFonts w:cs="Arial"/>
          <w:szCs w:val="20"/>
        </w:rPr>
        <w:tab/>
        <w:t>(2)</w:t>
      </w:r>
      <w:r w:rsidRPr="00171D30">
        <w:rPr>
          <w:rFonts w:cs="Arial"/>
          <w:szCs w:val="20"/>
        </w:rPr>
        <w:tab/>
        <w:t>The ACMA may, by legislative instrument, specify information for the purposes of subparagraph (1)(a)(iii).</w:t>
      </w:r>
    </w:p>
    <w:p w14:paraId="350FAEFF" w14:textId="77777777" w:rsidR="00171D30" w:rsidRPr="00171D30" w:rsidRDefault="00171D30" w:rsidP="00171D30">
      <w:pPr>
        <w:tabs>
          <w:tab w:val="right" w:pos="1021"/>
        </w:tabs>
        <w:spacing w:before="180" w:after="0" w:line="240" w:lineRule="auto"/>
        <w:ind w:left="1134" w:hanging="1134"/>
        <w:rPr>
          <w:rFonts w:cs="Arial"/>
          <w:szCs w:val="20"/>
        </w:rPr>
      </w:pPr>
      <w:r w:rsidRPr="00171D30">
        <w:rPr>
          <w:rFonts w:cs="Arial"/>
          <w:szCs w:val="20"/>
        </w:rPr>
        <w:tab/>
        <w:t>(3)</w:t>
      </w:r>
      <w:r w:rsidRPr="00171D30">
        <w:rPr>
          <w:rFonts w:cs="Arial"/>
          <w:szCs w:val="20"/>
        </w:rPr>
        <w:tab/>
        <w:t>A period specified under paragraph (1)(b) must not be shorter than 14 days after the notice is given.</w:t>
      </w:r>
    </w:p>
    <w:p w14:paraId="35B93FA9" w14:textId="77777777" w:rsidR="00171D30" w:rsidRPr="00171D30" w:rsidRDefault="00171D30" w:rsidP="00171D30">
      <w:pPr>
        <w:keepNext/>
        <w:keepLines/>
        <w:spacing w:before="240" w:after="0" w:line="240" w:lineRule="auto"/>
        <w:ind w:left="1134"/>
        <w:rPr>
          <w:rFonts w:cs="Arial"/>
          <w:i/>
          <w:szCs w:val="20"/>
        </w:rPr>
      </w:pPr>
      <w:r w:rsidRPr="00171D30">
        <w:rPr>
          <w:rFonts w:cs="Arial"/>
          <w:i/>
          <w:szCs w:val="20"/>
        </w:rPr>
        <w:t>Civil penalty provision</w:t>
      </w:r>
    </w:p>
    <w:p w14:paraId="1ECBF3C3" w14:textId="77777777" w:rsidR="00171D30" w:rsidRPr="00171D30" w:rsidRDefault="00171D30" w:rsidP="00171D30">
      <w:pPr>
        <w:tabs>
          <w:tab w:val="right" w:pos="1021"/>
        </w:tabs>
        <w:spacing w:before="180" w:after="0" w:line="240" w:lineRule="auto"/>
        <w:ind w:left="1134" w:hanging="1134"/>
        <w:rPr>
          <w:rFonts w:cs="Arial"/>
          <w:szCs w:val="20"/>
        </w:rPr>
      </w:pPr>
      <w:r w:rsidRPr="00171D30">
        <w:rPr>
          <w:rFonts w:cs="Arial"/>
          <w:szCs w:val="20"/>
        </w:rPr>
        <w:tab/>
        <w:t>(4)</w:t>
      </w:r>
      <w:r w:rsidRPr="00171D30">
        <w:rPr>
          <w:rFonts w:cs="Arial"/>
          <w:szCs w:val="20"/>
        </w:rPr>
        <w:tab/>
        <w:t>Subsection (1) is a civil penalty provision.</w:t>
      </w:r>
    </w:p>
    <w:p w14:paraId="1153509E" w14:textId="77777777" w:rsidR="00171D30" w:rsidRPr="00171D30" w:rsidRDefault="00171D30" w:rsidP="00171D30">
      <w:pPr>
        <w:tabs>
          <w:tab w:val="right" w:pos="1021"/>
        </w:tabs>
        <w:spacing w:before="180" w:after="0" w:line="240" w:lineRule="auto"/>
        <w:ind w:left="1134" w:hanging="1134"/>
        <w:rPr>
          <w:rFonts w:cs="Arial"/>
          <w:szCs w:val="20"/>
        </w:rPr>
      </w:pPr>
      <w:r w:rsidRPr="00171D30">
        <w:rPr>
          <w:rFonts w:cs="Arial"/>
          <w:szCs w:val="20"/>
        </w:rPr>
        <w:tab/>
        <w:t>(5)</w:t>
      </w:r>
      <w:r w:rsidRPr="00171D30">
        <w:rPr>
          <w:rFonts w:cs="Arial"/>
          <w:szCs w:val="20"/>
        </w:rPr>
        <w:tab/>
        <w:t>A person who contravenes subsection (1) commits a separate contravention of that subsection in respect of each day (including a day of the making of a relevant civil penalty order or any subsequent day) during which the contravention continues.</w:t>
      </w:r>
    </w:p>
    <w:p w14:paraId="44486988" w14:textId="77777777" w:rsidR="00171D30" w:rsidRPr="00171D30" w:rsidRDefault="00171D30" w:rsidP="00171D30">
      <w:pPr>
        <w:keepNext/>
        <w:keepLines/>
        <w:spacing w:before="240" w:after="0" w:line="240" w:lineRule="auto"/>
        <w:ind w:left="1134"/>
        <w:rPr>
          <w:rFonts w:cs="Arial"/>
          <w:i/>
          <w:szCs w:val="20"/>
        </w:rPr>
      </w:pPr>
      <w:r w:rsidRPr="00171D30">
        <w:rPr>
          <w:rFonts w:cs="Arial"/>
          <w:i/>
          <w:szCs w:val="20"/>
        </w:rPr>
        <w:t>Designated infringement notice provision</w:t>
      </w:r>
    </w:p>
    <w:p w14:paraId="29055FB9" w14:textId="77777777" w:rsidR="00171D30" w:rsidRPr="00171D30" w:rsidRDefault="00171D30" w:rsidP="00171D30">
      <w:pPr>
        <w:tabs>
          <w:tab w:val="right" w:pos="1021"/>
        </w:tabs>
        <w:spacing w:before="180" w:after="0" w:line="240" w:lineRule="auto"/>
        <w:ind w:left="1134" w:hanging="1134"/>
        <w:rPr>
          <w:rFonts w:cs="Arial"/>
          <w:szCs w:val="20"/>
        </w:rPr>
      </w:pPr>
      <w:r w:rsidRPr="00171D30">
        <w:rPr>
          <w:rFonts w:cs="Arial"/>
          <w:szCs w:val="20"/>
        </w:rPr>
        <w:tab/>
        <w:t>(6)</w:t>
      </w:r>
      <w:r w:rsidRPr="00171D30">
        <w:rPr>
          <w:rFonts w:cs="Arial"/>
          <w:szCs w:val="20"/>
        </w:rPr>
        <w:tab/>
        <w:t>Subsection (1) is a designated infringement notice provision.</w:t>
      </w:r>
    </w:p>
    <w:p w14:paraId="4E360377" w14:textId="77777777" w:rsidR="00171D30" w:rsidRPr="00171D30" w:rsidRDefault="00171D30" w:rsidP="00171D30">
      <w:pPr>
        <w:keepNext/>
        <w:keepLines/>
        <w:spacing w:before="240" w:after="0" w:line="240" w:lineRule="auto"/>
        <w:ind w:left="1134"/>
        <w:rPr>
          <w:rFonts w:cs="Arial"/>
          <w:i/>
          <w:szCs w:val="20"/>
        </w:rPr>
      </w:pPr>
      <w:r w:rsidRPr="00171D30">
        <w:rPr>
          <w:rFonts w:cs="Arial"/>
          <w:i/>
          <w:szCs w:val="20"/>
        </w:rPr>
        <w:t>Self</w:t>
      </w:r>
      <w:r w:rsidRPr="00171D30">
        <w:rPr>
          <w:rFonts w:cs="Arial"/>
          <w:i/>
          <w:szCs w:val="20"/>
        </w:rPr>
        <w:noBreakHyphen/>
        <w:t>incrimination</w:t>
      </w:r>
    </w:p>
    <w:p w14:paraId="092FBC1C" w14:textId="77777777" w:rsidR="00171D30" w:rsidRPr="00171D30" w:rsidRDefault="00171D30" w:rsidP="00171D30">
      <w:pPr>
        <w:tabs>
          <w:tab w:val="right" w:pos="1021"/>
        </w:tabs>
        <w:spacing w:before="180" w:after="0" w:line="240" w:lineRule="auto"/>
        <w:ind w:left="1134" w:hanging="1134"/>
        <w:rPr>
          <w:rFonts w:ascii="Times New Roman" w:hAnsi="Times New Roman"/>
          <w:sz w:val="22"/>
          <w:szCs w:val="20"/>
        </w:rPr>
      </w:pPr>
      <w:r w:rsidRPr="00171D30">
        <w:rPr>
          <w:rFonts w:cs="Arial"/>
          <w:szCs w:val="20"/>
        </w:rPr>
        <w:tab/>
        <w:t>(7)</w:t>
      </w:r>
      <w:r w:rsidRPr="00171D30">
        <w:rPr>
          <w:rFonts w:cs="Arial"/>
          <w:szCs w:val="20"/>
        </w:rPr>
        <w:tab/>
        <w:t>A person is not required to notify information under subsection (1) if the information might tend to incriminate the person or expose the person to a penalty.</w:t>
      </w:r>
    </w:p>
    <w:p w14:paraId="0750236A" w14:textId="31DDE4AA" w:rsidR="00171D30" w:rsidRPr="00171D30" w:rsidRDefault="00171D30" w:rsidP="003C1930">
      <w:pPr>
        <w:pStyle w:val="Heading2"/>
      </w:pPr>
      <w:bookmarkStart w:id="28" w:name="_Toc48889547"/>
      <w:bookmarkStart w:id="29" w:name="_Toc50038400"/>
      <w:r w:rsidRPr="00171D30">
        <w:t>What notification is required under section 74L of the</w:t>
      </w:r>
      <w:r w:rsidR="005642D4">
        <w:t> </w:t>
      </w:r>
      <w:r w:rsidRPr="00171D30">
        <w:t>BSA?</w:t>
      </w:r>
      <w:bookmarkEnd w:id="28"/>
      <w:bookmarkEnd w:id="29"/>
    </w:p>
    <w:p w14:paraId="286B578D" w14:textId="77777777" w:rsidR="00171D30" w:rsidRPr="00171D30" w:rsidRDefault="00171D30" w:rsidP="003C1930">
      <w:pPr>
        <w:pStyle w:val="Heading3"/>
        <w:rPr>
          <w:i/>
        </w:rPr>
      </w:pPr>
      <w:bookmarkStart w:id="30" w:name="_Toc50038401"/>
      <w:r w:rsidRPr="00171D30">
        <w:t>Requirement for executors, administrators and liquidators to give notification</w:t>
      </w:r>
      <w:bookmarkEnd w:id="30"/>
    </w:p>
    <w:p w14:paraId="390A7EFC" w14:textId="77777777" w:rsidR="00171D30" w:rsidRPr="00171D30" w:rsidRDefault="00171D30" w:rsidP="00171D30">
      <w:pPr>
        <w:widowControl w:val="0"/>
        <w:spacing w:before="175" w:after="0" w:line="240" w:lineRule="auto"/>
        <w:ind w:left="851" w:hanging="317"/>
        <w:rPr>
          <w:rFonts w:cs="Arial"/>
          <w:noProof/>
          <w:szCs w:val="20"/>
          <w:lang w:val="en-US" w:eastAsia="en-US"/>
        </w:rPr>
      </w:pPr>
      <w:r w:rsidRPr="00171D30">
        <w:rPr>
          <w:rFonts w:cs="Arial"/>
          <w:noProof/>
          <w:szCs w:val="20"/>
          <w:lang w:val="en-US" w:eastAsia="en-US"/>
        </w:rPr>
        <w:t xml:space="preserve">(1) </w:t>
      </w:r>
      <w:r w:rsidRPr="00171D30">
        <w:rPr>
          <w:rFonts w:cs="Arial"/>
          <w:noProof/>
          <w:spacing w:val="-2"/>
          <w:szCs w:val="20"/>
          <w:lang w:val="en-US" w:eastAsia="en-US"/>
        </w:rPr>
        <w:t>If</w:t>
      </w:r>
      <w:r w:rsidRPr="00171D30">
        <w:rPr>
          <w:rFonts w:cs="Arial"/>
          <w:noProof/>
          <w:szCs w:val="20"/>
          <w:lang w:val="en-US" w:eastAsia="en-US"/>
        </w:rPr>
        <w:t xml:space="preserve"> a person who</w:t>
      </w:r>
      <w:r w:rsidRPr="00171D30">
        <w:rPr>
          <w:rFonts w:cs="Arial"/>
          <w:noProof/>
          <w:spacing w:val="-3"/>
          <w:szCs w:val="20"/>
          <w:lang w:val="en-US" w:eastAsia="en-US"/>
        </w:rPr>
        <w:t xml:space="preserve"> </w:t>
      </w:r>
      <w:r w:rsidRPr="00171D30">
        <w:rPr>
          <w:rFonts w:cs="Arial"/>
          <w:noProof/>
          <w:szCs w:val="20"/>
          <w:lang w:val="en-US" w:eastAsia="en-US"/>
        </w:rPr>
        <w:t>is</w:t>
      </w:r>
      <w:r w:rsidRPr="00171D30">
        <w:rPr>
          <w:rFonts w:cs="Arial"/>
          <w:noProof/>
          <w:spacing w:val="-2"/>
          <w:szCs w:val="20"/>
          <w:lang w:val="en-US" w:eastAsia="en-US"/>
        </w:rPr>
        <w:t xml:space="preserve"> </w:t>
      </w:r>
      <w:r w:rsidRPr="00171D30">
        <w:rPr>
          <w:rFonts w:cs="Arial"/>
          <w:noProof/>
          <w:spacing w:val="-1"/>
          <w:szCs w:val="20"/>
          <w:lang w:val="en-US" w:eastAsia="en-US"/>
        </w:rPr>
        <w:t>required</w:t>
      </w:r>
      <w:r w:rsidRPr="00171D30">
        <w:rPr>
          <w:rFonts w:cs="Arial"/>
          <w:noProof/>
          <w:spacing w:val="-2"/>
          <w:szCs w:val="20"/>
          <w:lang w:val="en-US" w:eastAsia="en-US"/>
        </w:rPr>
        <w:t xml:space="preserve"> </w:t>
      </w:r>
      <w:r w:rsidRPr="00171D30">
        <w:rPr>
          <w:rFonts w:cs="Arial"/>
          <w:noProof/>
          <w:szCs w:val="20"/>
          <w:lang w:val="en-US" w:eastAsia="en-US"/>
        </w:rPr>
        <w:t>by</w:t>
      </w:r>
      <w:r w:rsidRPr="00171D30">
        <w:rPr>
          <w:rFonts w:cs="Arial"/>
          <w:noProof/>
          <w:spacing w:val="-3"/>
          <w:szCs w:val="20"/>
          <w:lang w:val="en-US" w:eastAsia="en-US"/>
        </w:rPr>
        <w:t xml:space="preserve"> </w:t>
      </w:r>
      <w:r w:rsidRPr="00171D30">
        <w:rPr>
          <w:rFonts w:cs="Arial"/>
          <w:noProof/>
          <w:spacing w:val="-1"/>
          <w:szCs w:val="20"/>
          <w:lang w:val="en-US" w:eastAsia="en-US"/>
        </w:rPr>
        <w:t>subsection</w:t>
      </w:r>
      <w:r w:rsidRPr="00171D30">
        <w:rPr>
          <w:rFonts w:cs="Arial"/>
          <w:noProof/>
          <w:szCs w:val="20"/>
          <w:lang w:val="en-US" w:eastAsia="en-US"/>
        </w:rPr>
        <w:t xml:space="preserve"> </w:t>
      </w:r>
      <w:r w:rsidRPr="00171D30">
        <w:rPr>
          <w:rFonts w:cs="Arial"/>
          <w:noProof/>
          <w:spacing w:val="-1"/>
          <w:szCs w:val="20"/>
          <w:lang w:val="en-US" w:eastAsia="en-US"/>
        </w:rPr>
        <w:t>74F(1),</w:t>
      </w:r>
      <w:r w:rsidRPr="00171D30">
        <w:rPr>
          <w:rFonts w:cs="Arial"/>
          <w:noProof/>
          <w:szCs w:val="20"/>
          <w:lang w:val="en-US" w:eastAsia="en-US"/>
        </w:rPr>
        <w:t xml:space="preserve"> </w:t>
      </w:r>
      <w:r w:rsidRPr="00171D30">
        <w:rPr>
          <w:rFonts w:cs="Arial"/>
          <w:noProof/>
          <w:spacing w:val="-1"/>
          <w:szCs w:val="20"/>
          <w:lang w:val="en-US" w:eastAsia="en-US"/>
        </w:rPr>
        <w:t>74G(1),</w:t>
      </w:r>
      <w:r w:rsidRPr="00171D30">
        <w:rPr>
          <w:rFonts w:cs="Arial"/>
          <w:noProof/>
          <w:szCs w:val="20"/>
          <w:lang w:val="en-US" w:eastAsia="en-US"/>
        </w:rPr>
        <w:t xml:space="preserve"> </w:t>
      </w:r>
      <w:r w:rsidRPr="00171D30">
        <w:rPr>
          <w:rFonts w:cs="Arial"/>
          <w:noProof/>
          <w:spacing w:val="-1"/>
          <w:szCs w:val="20"/>
          <w:lang w:val="en-US" w:eastAsia="en-US"/>
        </w:rPr>
        <w:t>74H(1), 74J(1)</w:t>
      </w:r>
      <w:r w:rsidRPr="00171D30">
        <w:rPr>
          <w:rFonts w:cs="Arial"/>
          <w:noProof/>
          <w:spacing w:val="1"/>
          <w:szCs w:val="20"/>
          <w:lang w:val="en-US" w:eastAsia="en-US"/>
        </w:rPr>
        <w:t xml:space="preserve"> </w:t>
      </w:r>
      <w:r w:rsidRPr="00171D30">
        <w:rPr>
          <w:rFonts w:cs="Arial"/>
          <w:noProof/>
          <w:szCs w:val="20"/>
          <w:lang w:val="en-US" w:eastAsia="en-US"/>
        </w:rPr>
        <w:t>or</w:t>
      </w:r>
      <w:r w:rsidRPr="00171D30">
        <w:rPr>
          <w:rFonts w:cs="Arial"/>
          <w:noProof/>
          <w:spacing w:val="-2"/>
          <w:szCs w:val="20"/>
          <w:lang w:val="en-US" w:eastAsia="en-US"/>
        </w:rPr>
        <w:t xml:space="preserve"> </w:t>
      </w:r>
      <w:r w:rsidRPr="00171D30">
        <w:rPr>
          <w:rFonts w:cs="Arial"/>
          <w:noProof/>
          <w:spacing w:val="-1"/>
          <w:szCs w:val="20"/>
          <w:lang w:val="en-US" w:eastAsia="en-US"/>
        </w:rPr>
        <w:t>74K(1)</w:t>
      </w:r>
      <w:r w:rsidRPr="00171D30">
        <w:rPr>
          <w:rFonts w:cs="Arial"/>
          <w:noProof/>
          <w:spacing w:val="1"/>
          <w:szCs w:val="20"/>
          <w:lang w:val="en-US" w:eastAsia="en-US"/>
        </w:rPr>
        <w:t xml:space="preserve"> </w:t>
      </w:r>
      <w:r w:rsidRPr="00171D30">
        <w:rPr>
          <w:rFonts w:cs="Arial"/>
          <w:noProof/>
          <w:spacing w:val="-1"/>
          <w:szCs w:val="20"/>
          <w:lang w:val="en-US" w:eastAsia="en-US"/>
        </w:rPr>
        <w:t>to</w:t>
      </w:r>
      <w:r w:rsidRPr="00171D30">
        <w:rPr>
          <w:rFonts w:cs="Arial"/>
          <w:noProof/>
          <w:szCs w:val="20"/>
          <w:lang w:val="en-US" w:eastAsia="en-US"/>
        </w:rPr>
        <w:t xml:space="preserve"> </w:t>
      </w:r>
      <w:r w:rsidRPr="00171D30">
        <w:rPr>
          <w:rFonts w:cs="Arial"/>
          <w:noProof/>
          <w:spacing w:val="-1"/>
          <w:szCs w:val="20"/>
          <w:lang w:val="en-US" w:eastAsia="en-US"/>
        </w:rPr>
        <w:t>notify</w:t>
      </w:r>
      <w:r w:rsidRPr="00171D30">
        <w:rPr>
          <w:rFonts w:cs="Arial"/>
          <w:noProof/>
          <w:spacing w:val="-3"/>
          <w:szCs w:val="20"/>
          <w:lang w:val="en-US" w:eastAsia="en-US"/>
        </w:rPr>
        <w:t xml:space="preserve"> </w:t>
      </w:r>
      <w:r w:rsidRPr="00171D30">
        <w:rPr>
          <w:rFonts w:cs="Arial"/>
          <w:noProof/>
          <w:spacing w:val="-1"/>
          <w:szCs w:val="20"/>
          <w:lang w:val="en-US" w:eastAsia="en-US"/>
        </w:rPr>
        <w:t>information</w:t>
      </w:r>
      <w:r w:rsidRPr="00171D30">
        <w:rPr>
          <w:rFonts w:cs="Arial"/>
          <w:noProof/>
          <w:szCs w:val="20"/>
          <w:lang w:val="en-US" w:eastAsia="en-US"/>
        </w:rPr>
        <w:t xml:space="preserve"> </w:t>
      </w:r>
      <w:r w:rsidRPr="00171D30">
        <w:rPr>
          <w:rFonts w:cs="Arial"/>
          <w:noProof/>
          <w:spacing w:val="-1"/>
          <w:szCs w:val="20"/>
          <w:lang w:val="en-US" w:eastAsia="en-US"/>
        </w:rPr>
        <w:t>dies</w:t>
      </w:r>
      <w:r w:rsidRPr="00171D30">
        <w:rPr>
          <w:rFonts w:cs="Arial"/>
          <w:noProof/>
          <w:szCs w:val="20"/>
          <w:lang w:val="en-US" w:eastAsia="en-US"/>
        </w:rPr>
        <w:t xml:space="preserve"> </w:t>
      </w:r>
      <w:r w:rsidRPr="00171D30">
        <w:rPr>
          <w:rFonts w:cs="Arial"/>
          <w:noProof/>
          <w:spacing w:val="-1"/>
          <w:szCs w:val="20"/>
          <w:lang w:val="en-US" w:eastAsia="en-US"/>
        </w:rPr>
        <w:t>before</w:t>
      </w:r>
      <w:r w:rsidRPr="00171D30">
        <w:rPr>
          <w:rFonts w:cs="Arial"/>
          <w:noProof/>
          <w:szCs w:val="20"/>
          <w:lang w:val="en-US" w:eastAsia="en-US"/>
        </w:rPr>
        <w:t xml:space="preserve"> </w:t>
      </w:r>
      <w:r w:rsidRPr="00171D30">
        <w:rPr>
          <w:rFonts w:cs="Arial"/>
          <w:noProof/>
          <w:spacing w:val="-1"/>
          <w:szCs w:val="20"/>
          <w:lang w:val="en-US" w:eastAsia="en-US"/>
        </w:rPr>
        <w:t>notifying</w:t>
      </w:r>
      <w:r w:rsidRPr="00171D30">
        <w:rPr>
          <w:rFonts w:cs="Arial"/>
          <w:noProof/>
          <w:spacing w:val="-3"/>
          <w:szCs w:val="20"/>
          <w:lang w:val="en-US" w:eastAsia="en-US"/>
        </w:rPr>
        <w:t xml:space="preserve"> </w:t>
      </w:r>
      <w:r w:rsidRPr="00171D30">
        <w:rPr>
          <w:rFonts w:cs="Arial"/>
          <w:noProof/>
          <w:szCs w:val="20"/>
          <w:lang w:val="en-US" w:eastAsia="en-US"/>
        </w:rPr>
        <w:t xml:space="preserve">the </w:t>
      </w:r>
      <w:r w:rsidRPr="00171D30">
        <w:rPr>
          <w:rFonts w:cs="Arial"/>
          <w:noProof/>
          <w:spacing w:val="-1"/>
          <w:szCs w:val="20"/>
          <w:lang w:val="en-US" w:eastAsia="en-US"/>
        </w:rPr>
        <w:t>information,</w:t>
      </w:r>
      <w:r w:rsidRPr="00171D30">
        <w:rPr>
          <w:rFonts w:cs="Arial"/>
          <w:noProof/>
          <w:spacing w:val="-3"/>
          <w:szCs w:val="20"/>
          <w:lang w:val="en-US" w:eastAsia="en-US"/>
        </w:rPr>
        <w:t xml:space="preserve"> </w:t>
      </w:r>
      <w:r w:rsidRPr="00171D30">
        <w:rPr>
          <w:rFonts w:cs="Arial"/>
          <w:noProof/>
          <w:szCs w:val="20"/>
          <w:lang w:val="en-US" w:eastAsia="en-US"/>
        </w:rPr>
        <w:t>the</w:t>
      </w:r>
      <w:r w:rsidRPr="00171D30">
        <w:rPr>
          <w:rFonts w:cs="Arial"/>
          <w:noProof/>
          <w:spacing w:val="-2"/>
          <w:szCs w:val="20"/>
          <w:lang w:val="en-US" w:eastAsia="en-US"/>
        </w:rPr>
        <w:t xml:space="preserve"> </w:t>
      </w:r>
      <w:r w:rsidRPr="00171D30">
        <w:rPr>
          <w:rFonts w:cs="Arial"/>
          <w:noProof/>
          <w:spacing w:val="-1"/>
          <w:szCs w:val="20"/>
          <w:lang w:val="en-US" w:eastAsia="en-US"/>
        </w:rPr>
        <w:t>executor</w:t>
      </w:r>
      <w:r w:rsidRPr="00171D30">
        <w:rPr>
          <w:rFonts w:cs="Arial"/>
          <w:noProof/>
          <w:szCs w:val="20"/>
          <w:lang w:val="en-US" w:eastAsia="en-US"/>
        </w:rPr>
        <w:t xml:space="preserve"> </w:t>
      </w:r>
      <w:r w:rsidRPr="00171D30">
        <w:rPr>
          <w:rFonts w:cs="Arial"/>
          <w:noProof/>
          <w:spacing w:val="-2"/>
          <w:szCs w:val="20"/>
          <w:lang w:val="en-US" w:eastAsia="en-US"/>
        </w:rPr>
        <w:t>or</w:t>
      </w:r>
      <w:r w:rsidRPr="00171D30">
        <w:rPr>
          <w:rFonts w:cs="Arial"/>
          <w:noProof/>
          <w:szCs w:val="20"/>
          <w:lang w:val="en-US" w:eastAsia="en-US"/>
        </w:rPr>
        <w:t xml:space="preserve"> </w:t>
      </w:r>
      <w:r w:rsidRPr="00171D30">
        <w:rPr>
          <w:rFonts w:cs="Arial"/>
          <w:noProof/>
          <w:spacing w:val="-1"/>
          <w:szCs w:val="20"/>
          <w:lang w:val="en-US" w:eastAsia="en-US"/>
        </w:rPr>
        <w:t>administrator</w:t>
      </w:r>
      <w:r w:rsidRPr="00171D30">
        <w:rPr>
          <w:rFonts w:cs="Arial"/>
          <w:noProof/>
          <w:szCs w:val="20"/>
          <w:lang w:val="en-US" w:eastAsia="en-US"/>
        </w:rPr>
        <w:t xml:space="preserve"> of</w:t>
      </w:r>
      <w:r w:rsidRPr="00171D30">
        <w:rPr>
          <w:rFonts w:cs="Arial"/>
          <w:noProof/>
          <w:spacing w:val="-2"/>
          <w:szCs w:val="20"/>
          <w:lang w:val="en-US" w:eastAsia="en-US"/>
        </w:rPr>
        <w:t xml:space="preserve"> </w:t>
      </w:r>
      <w:r w:rsidRPr="00171D30">
        <w:rPr>
          <w:rFonts w:cs="Arial"/>
          <w:noProof/>
          <w:spacing w:val="-1"/>
          <w:szCs w:val="20"/>
          <w:lang w:val="en-US" w:eastAsia="en-US"/>
        </w:rPr>
        <w:t>the</w:t>
      </w:r>
      <w:r w:rsidRPr="00171D30">
        <w:rPr>
          <w:rFonts w:cs="Arial"/>
          <w:noProof/>
          <w:szCs w:val="20"/>
          <w:lang w:val="en-US" w:eastAsia="en-US"/>
        </w:rPr>
        <w:t xml:space="preserve"> </w:t>
      </w:r>
      <w:r w:rsidRPr="00171D30">
        <w:rPr>
          <w:rFonts w:cs="Arial"/>
          <w:noProof/>
          <w:spacing w:val="-1"/>
          <w:szCs w:val="20"/>
          <w:lang w:val="en-US" w:eastAsia="en-US"/>
        </w:rPr>
        <w:t>person’s</w:t>
      </w:r>
      <w:r w:rsidRPr="00171D30">
        <w:rPr>
          <w:rFonts w:cs="Arial"/>
          <w:noProof/>
          <w:szCs w:val="20"/>
          <w:lang w:val="en-US" w:eastAsia="en-US"/>
        </w:rPr>
        <w:t xml:space="preserve"> </w:t>
      </w:r>
      <w:r w:rsidRPr="00171D30">
        <w:rPr>
          <w:rFonts w:cs="Arial"/>
          <w:noProof/>
          <w:spacing w:val="-1"/>
          <w:szCs w:val="20"/>
          <w:lang w:val="en-US" w:eastAsia="en-US"/>
        </w:rPr>
        <w:t>estate must</w:t>
      </w:r>
      <w:r w:rsidRPr="00171D30">
        <w:rPr>
          <w:rFonts w:cs="Arial"/>
          <w:noProof/>
          <w:spacing w:val="1"/>
          <w:szCs w:val="20"/>
          <w:lang w:val="en-US" w:eastAsia="en-US"/>
        </w:rPr>
        <w:t xml:space="preserve"> </w:t>
      </w:r>
      <w:r w:rsidRPr="00171D30">
        <w:rPr>
          <w:rFonts w:cs="Arial"/>
          <w:noProof/>
          <w:spacing w:val="-1"/>
          <w:szCs w:val="20"/>
          <w:lang w:val="en-US" w:eastAsia="en-US"/>
        </w:rPr>
        <w:t>notify</w:t>
      </w:r>
      <w:r w:rsidRPr="00171D30">
        <w:rPr>
          <w:rFonts w:cs="Arial"/>
          <w:noProof/>
          <w:spacing w:val="-3"/>
          <w:szCs w:val="20"/>
          <w:lang w:val="en-US" w:eastAsia="en-US"/>
        </w:rPr>
        <w:t xml:space="preserve"> </w:t>
      </w:r>
      <w:r w:rsidRPr="00171D30">
        <w:rPr>
          <w:rFonts w:cs="Arial"/>
          <w:noProof/>
          <w:szCs w:val="20"/>
          <w:lang w:val="en-US" w:eastAsia="en-US"/>
        </w:rPr>
        <w:t>the</w:t>
      </w:r>
      <w:r w:rsidRPr="00171D30">
        <w:rPr>
          <w:rFonts w:cs="Arial"/>
          <w:noProof/>
          <w:spacing w:val="-2"/>
          <w:szCs w:val="20"/>
          <w:lang w:val="en-US" w:eastAsia="en-US"/>
        </w:rPr>
        <w:t xml:space="preserve"> </w:t>
      </w:r>
      <w:r w:rsidRPr="00171D30">
        <w:rPr>
          <w:rFonts w:cs="Arial"/>
          <w:noProof/>
          <w:spacing w:val="-1"/>
          <w:szCs w:val="20"/>
          <w:lang w:val="en-US" w:eastAsia="en-US"/>
        </w:rPr>
        <w:t>information</w:t>
      </w:r>
      <w:r w:rsidRPr="00171D30">
        <w:rPr>
          <w:rFonts w:cs="Arial"/>
          <w:noProof/>
          <w:spacing w:val="-3"/>
          <w:szCs w:val="20"/>
          <w:lang w:val="en-US" w:eastAsia="en-US"/>
        </w:rPr>
        <w:t xml:space="preserve"> </w:t>
      </w:r>
      <w:r w:rsidRPr="00171D30">
        <w:rPr>
          <w:rFonts w:cs="Arial"/>
          <w:noProof/>
          <w:szCs w:val="20"/>
          <w:lang w:val="en-US" w:eastAsia="en-US"/>
        </w:rPr>
        <w:t xml:space="preserve">in </w:t>
      </w:r>
      <w:r w:rsidRPr="00171D30">
        <w:rPr>
          <w:rFonts w:cs="Arial"/>
          <w:noProof/>
          <w:spacing w:val="-1"/>
          <w:szCs w:val="20"/>
          <w:lang w:val="en-US" w:eastAsia="en-US"/>
        </w:rPr>
        <w:t>accordance</w:t>
      </w:r>
      <w:r w:rsidRPr="00171D30">
        <w:rPr>
          <w:rFonts w:cs="Arial"/>
          <w:noProof/>
          <w:szCs w:val="20"/>
          <w:lang w:val="en-US" w:eastAsia="en-US"/>
        </w:rPr>
        <w:t xml:space="preserve"> </w:t>
      </w:r>
      <w:r w:rsidRPr="00171D30">
        <w:rPr>
          <w:rFonts w:cs="Arial"/>
          <w:noProof/>
          <w:spacing w:val="-1"/>
          <w:szCs w:val="20"/>
          <w:lang w:val="en-US" w:eastAsia="en-US"/>
        </w:rPr>
        <w:t>with</w:t>
      </w:r>
      <w:r w:rsidRPr="00171D30">
        <w:rPr>
          <w:rFonts w:cs="Arial"/>
          <w:noProof/>
          <w:szCs w:val="20"/>
          <w:lang w:val="en-US" w:eastAsia="en-US"/>
        </w:rPr>
        <w:t xml:space="preserve"> </w:t>
      </w:r>
      <w:r w:rsidRPr="00171D30">
        <w:rPr>
          <w:rFonts w:cs="Arial"/>
          <w:noProof/>
          <w:spacing w:val="-1"/>
          <w:szCs w:val="20"/>
          <w:lang w:val="en-US" w:eastAsia="en-US"/>
        </w:rPr>
        <w:t>the</w:t>
      </w:r>
      <w:r w:rsidRPr="00171D30">
        <w:rPr>
          <w:rFonts w:cs="Arial"/>
          <w:noProof/>
          <w:szCs w:val="20"/>
          <w:lang w:val="en-US" w:eastAsia="en-US"/>
        </w:rPr>
        <w:t xml:space="preserve"> </w:t>
      </w:r>
      <w:r w:rsidRPr="00171D30">
        <w:rPr>
          <w:rFonts w:cs="Arial"/>
          <w:noProof/>
          <w:spacing w:val="-1"/>
          <w:szCs w:val="20"/>
          <w:lang w:val="en-US" w:eastAsia="en-US"/>
        </w:rPr>
        <w:t>subsection concerned.</w:t>
      </w:r>
    </w:p>
    <w:p w14:paraId="62B65D51" w14:textId="77777777" w:rsidR="00171D30" w:rsidRPr="00171D30" w:rsidRDefault="00171D30" w:rsidP="00171D30">
      <w:pPr>
        <w:widowControl w:val="0"/>
        <w:spacing w:before="181" w:after="0" w:line="252" w:lineRule="exact"/>
        <w:ind w:left="851" w:hanging="317"/>
        <w:rPr>
          <w:rFonts w:cs="Arial"/>
          <w:noProof/>
          <w:spacing w:val="-1"/>
          <w:szCs w:val="20"/>
          <w:lang w:val="en-US" w:eastAsia="en-US"/>
        </w:rPr>
      </w:pPr>
      <w:r w:rsidRPr="00171D30">
        <w:rPr>
          <w:rFonts w:cs="Arial"/>
          <w:noProof/>
          <w:szCs w:val="20"/>
          <w:lang w:val="en-US" w:eastAsia="en-US"/>
        </w:rPr>
        <w:t xml:space="preserve">(2) </w:t>
      </w:r>
      <w:r w:rsidRPr="00171D30">
        <w:rPr>
          <w:rFonts w:cs="Arial"/>
          <w:noProof/>
          <w:szCs w:val="20"/>
          <w:lang w:val="en-US" w:eastAsia="en-US"/>
        </w:rPr>
        <w:tab/>
      </w:r>
      <w:r w:rsidRPr="00171D30">
        <w:rPr>
          <w:rFonts w:cs="Arial"/>
          <w:noProof/>
          <w:spacing w:val="-2"/>
          <w:szCs w:val="20"/>
          <w:lang w:val="en-US" w:eastAsia="en-US"/>
        </w:rPr>
        <w:t>If</w:t>
      </w:r>
      <w:r w:rsidRPr="00171D30">
        <w:rPr>
          <w:rFonts w:cs="Arial"/>
          <w:noProof/>
          <w:szCs w:val="20"/>
          <w:lang w:val="en-US" w:eastAsia="en-US"/>
        </w:rPr>
        <w:t xml:space="preserve"> a person who</w:t>
      </w:r>
      <w:r w:rsidRPr="00171D30">
        <w:rPr>
          <w:rFonts w:cs="Arial"/>
          <w:noProof/>
          <w:spacing w:val="-3"/>
          <w:szCs w:val="20"/>
          <w:lang w:val="en-US" w:eastAsia="en-US"/>
        </w:rPr>
        <w:t xml:space="preserve"> </w:t>
      </w:r>
      <w:r w:rsidRPr="00171D30">
        <w:rPr>
          <w:rFonts w:cs="Arial"/>
          <w:noProof/>
          <w:szCs w:val="20"/>
          <w:lang w:val="en-US" w:eastAsia="en-US"/>
        </w:rPr>
        <w:t>is</w:t>
      </w:r>
      <w:r w:rsidRPr="00171D30">
        <w:rPr>
          <w:rFonts w:cs="Arial"/>
          <w:noProof/>
          <w:spacing w:val="-2"/>
          <w:szCs w:val="20"/>
          <w:lang w:val="en-US" w:eastAsia="en-US"/>
        </w:rPr>
        <w:t xml:space="preserve"> </w:t>
      </w:r>
      <w:r w:rsidRPr="00171D30">
        <w:rPr>
          <w:rFonts w:cs="Arial"/>
          <w:noProof/>
          <w:spacing w:val="-1"/>
          <w:szCs w:val="20"/>
          <w:lang w:val="en-US" w:eastAsia="en-US"/>
        </w:rPr>
        <w:t>required</w:t>
      </w:r>
      <w:r w:rsidRPr="00171D30">
        <w:rPr>
          <w:rFonts w:cs="Arial"/>
          <w:noProof/>
          <w:spacing w:val="-2"/>
          <w:szCs w:val="20"/>
          <w:lang w:val="en-US" w:eastAsia="en-US"/>
        </w:rPr>
        <w:t xml:space="preserve"> </w:t>
      </w:r>
      <w:r w:rsidRPr="00171D30">
        <w:rPr>
          <w:rFonts w:cs="Arial"/>
          <w:noProof/>
          <w:szCs w:val="20"/>
          <w:lang w:val="en-US" w:eastAsia="en-US"/>
        </w:rPr>
        <w:t>by</w:t>
      </w:r>
      <w:r w:rsidRPr="00171D30">
        <w:rPr>
          <w:rFonts w:cs="Arial"/>
          <w:noProof/>
          <w:spacing w:val="-3"/>
          <w:szCs w:val="20"/>
          <w:lang w:val="en-US" w:eastAsia="en-US"/>
        </w:rPr>
        <w:t xml:space="preserve"> </w:t>
      </w:r>
      <w:r w:rsidRPr="00171D30">
        <w:rPr>
          <w:rFonts w:cs="Arial"/>
          <w:noProof/>
          <w:spacing w:val="-1"/>
          <w:szCs w:val="20"/>
          <w:lang w:val="en-US" w:eastAsia="en-US"/>
        </w:rPr>
        <w:t>subsection</w:t>
      </w:r>
      <w:r w:rsidRPr="00171D30">
        <w:rPr>
          <w:rFonts w:cs="Arial"/>
          <w:noProof/>
          <w:szCs w:val="20"/>
          <w:lang w:val="en-US" w:eastAsia="en-US"/>
        </w:rPr>
        <w:t xml:space="preserve"> </w:t>
      </w:r>
      <w:r w:rsidRPr="00171D30">
        <w:rPr>
          <w:rFonts w:cs="Arial"/>
          <w:noProof/>
          <w:spacing w:val="-1"/>
          <w:szCs w:val="20"/>
          <w:lang w:val="en-US" w:eastAsia="en-US"/>
        </w:rPr>
        <w:t>74F(1),</w:t>
      </w:r>
      <w:r w:rsidRPr="00171D30">
        <w:rPr>
          <w:rFonts w:cs="Arial"/>
          <w:noProof/>
          <w:szCs w:val="20"/>
          <w:lang w:val="en-US" w:eastAsia="en-US"/>
        </w:rPr>
        <w:t xml:space="preserve"> </w:t>
      </w:r>
      <w:r w:rsidRPr="00171D30">
        <w:rPr>
          <w:rFonts w:cs="Arial"/>
          <w:noProof/>
          <w:spacing w:val="-1"/>
          <w:szCs w:val="20"/>
          <w:lang w:val="en-US" w:eastAsia="en-US"/>
        </w:rPr>
        <w:t>74G(1),</w:t>
      </w:r>
      <w:r w:rsidRPr="00171D30">
        <w:rPr>
          <w:rFonts w:cs="Arial"/>
          <w:noProof/>
          <w:szCs w:val="20"/>
          <w:lang w:val="en-US" w:eastAsia="en-US"/>
        </w:rPr>
        <w:t xml:space="preserve"> </w:t>
      </w:r>
      <w:r w:rsidRPr="00171D30">
        <w:rPr>
          <w:rFonts w:cs="Arial"/>
          <w:noProof/>
          <w:spacing w:val="-1"/>
          <w:szCs w:val="20"/>
          <w:lang w:val="en-US" w:eastAsia="en-US"/>
        </w:rPr>
        <w:t>74H(1), 74J(1)</w:t>
      </w:r>
      <w:r w:rsidRPr="00171D30">
        <w:rPr>
          <w:rFonts w:cs="Arial"/>
          <w:noProof/>
          <w:szCs w:val="20"/>
          <w:lang w:val="en-US" w:eastAsia="en-US"/>
        </w:rPr>
        <w:t xml:space="preserve"> or</w:t>
      </w:r>
      <w:r w:rsidRPr="00171D30">
        <w:rPr>
          <w:rFonts w:cs="Arial"/>
          <w:noProof/>
          <w:spacing w:val="-2"/>
          <w:szCs w:val="20"/>
          <w:lang w:val="en-US" w:eastAsia="en-US"/>
        </w:rPr>
        <w:t xml:space="preserve"> </w:t>
      </w:r>
      <w:r w:rsidRPr="00171D30">
        <w:rPr>
          <w:rFonts w:cs="Arial"/>
          <w:noProof/>
          <w:spacing w:val="-1"/>
          <w:szCs w:val="20"/>
          <w:lang w:val="en-US" w:eastAsia="en-US"/>
        </w:rPr>
        <w:t>74K(1)</w:t>
      </w:r>
      <w:r w:rsidRPr="00171D30">
        <w:rPr>
          <w:rFonts w:cs="Arial"/>
          <w:noProof/>
          <w:spacing w:val="2"/>
          <w:szCs w:val="20"/>
          <w:lang w:val="en-US" w:eastAsia="en-US"/>
        </w:rPr>
        <w:t xml:space="preserve"> </w:t>
      </w:r>
      <w:r w:rsidRPr="00171D30">
        <w:rPr>
          <w:rFonts w:cs="Arial"/>
          <w:noProof/>
          <w:spacing w:val="-1"/>
          <w:szCs w:val="20"/>
          <w:lang w:val="en-US" w:eastAsia="en-US"/>
        </w:rPr>
        <w:t>to</w:t>
      </w:r>
      <w:r w:rsidRPr="00171D30">
        <w:rPr>
          <w:rFonts w:cs="Arial"/>
          <w:noProof/>
          <w:szCs w:val="20"/>
          <w:lang w:val="en-US" w:eastAsia="en-US"/>
        </w:rPr>
        <w:t xml:space="preserve"> </w:t>
      </w:r>
      <w:r w:rsidRPr="00171D30">
        <w:rPr>
          <w:rFonts w:cs="Arial"/>
          <w:noProof/>
          <w:spacing w:val="-1"/>
          <w:szCs w:val="20"/>
          <w:lang w:val="en-US" w:eastAsia="en-US"/>
        </w:rPr>
        <w:t>notify</w:t>
      </w:r>
      <w:r w:rsidRPr="00171D30">
        <w:rPr>
          <w:rFonts w:cs="Arial"/>
          <w:noProof/>
          <w:spacing w:val="-3"/>
          <w:szCs w:val="20"/>
          <w:lang w:val="en-US" w:eastAsia="en-US"/>
        </w:rPr>
        <w:t xml:space="preserve"> </w:t>
      </w:r>
      <w:r w:rsidRPr="00171D30">
        <w:rPr>
          <w:rFonts w:cs="Arial"/>
          <w:noProof/>
          <w:spacing w:val="-1"/>
          <w:szCs w:val="20"/>
          <w:lang w:val="en-US" w:eastAsia="en-US"/>
        </w:rPr>
        <w:t>information</w:t>
      </w:r>
      <w:r w:rsidRPr="00171D30">
        <w:rPr>
          <w:rFonts w:cs="Arial"/>
          <w:noProof/>
          <w:spacing w:val="1"/>
          <w:szCs w:val="20"/>
          <w:lang w:val="en-US" w:eastAsia="en-US"/>
        </w:rPr>
        <w:t xml:space="preserve"> </w:t>
      </w:r>
      <w:r w:rsidRPr="00171D30">
        <w:rPr>
          <w:rFonts w:cs="Arial"/>
          <w:noProof/>
          <w:spacing w:val="-1"/>
          <w:szCs w:val="20"/>
          <w:lang w:val="en-US" w:eastAsia="en-US"/>
        </w:rPr>
        <w:t>is</w:t>
      </w:r>
      <w:r w:rsidRPr="00171D30">
        <w:rPr>
          <w:rFonts w:cs="Arial"/>
          <w:noProof/>
          <w:szCs w:val="20"/>
          <w:lang w:val="en-US" w:eastAsia="en-US"/>
        </w:rPr>
        <w:t xml:space="preserve"> a </w:t>
      </w:r>
      <w:r w:rsidRPr="00171D30">
        <w:rPr>
          <w:rFonts w:cs="Arial"/>
          <w:noProof/>
          <w:spacing w:val="-1"/>
          <w:szCs w:val="20"/>
          <w:lang w:val="en-US" w:eastAsia="en-US"/>
        </w:rPr>
        <w:t>corporation</w:t>
      </w:r>
      <w:r w:rsidRPr="00171D30">
        <w:rPr>
          <w:rFonts w:cs="Arial"/>
          <w:noProof/>
          <w:spacing w:val="-3"/>
          <w:szCs w:val="20"/>
          <w:lang w:val="en-US" w:eastAsia="en-US"/>
        </w:rPr>
        <w:t xml:space="preserve"> </w:t>
      </w:r>
      <w:r w:rsidRPr="00171D30">
        <w:rPr>
          <w:rFonts w:cs="Arial"/>
          <w:noProof/>
          <w:szCs w:val="20"/>
          <w:lang w:val="en-US" w:eastAsia="en-US"/>
        </w:rPr>
        <w:t xml:space="preserve">and </w:t>
      </w:r>
      <w:r w:rsidRPr="00171D30">
        <w:rPr>
          <w:rFonts w:cs="Arial"/>
          <w:noProof/>
          <w:spacing w:val="-1"/>
          <w:szCs w:val="20"/>
          <w:lang w:val="en-US" w:eastAsia="en-US"/>
        </w:rPr>
        <w:t>is wound</w:t>
      </w:r>
      <w:r w:rsidRPr="00171D30">
        <w:rPr>
          <w:rFonts w:cs="Arial"/>
          <w:noProof/>
          <w:szCs w:val="20"/>
          <w:lang w:val="en-US" w:eastAsia="en-US"/>
        </w:rPr>
        <w:t xml:space="preserve"> up </w:t>
      </w:r>
      <w:r w:rsidRPr="00171D30">
        <w:rPr>
          <w:rFonts w:cs="Arial"/>
          <w:noProof/>
          <w:spacing w:val="-1"/>
          <w:szCs w:val="20"/>
          <w:lang w:val="en-US" w:eastAsia="en-US"/>
        </w:rPr>
        <w:t>before</w:t>
      </w:r>
      <w:r w:rsidRPr="00171D30">
        <w:rPr>
          <w:rFonts w:cs="Arial"/>
          <w:noProof/>
          <w:szCs w:val="20"/>
          <w:lang w:val="en-US" w:eastAsia="en-US"/>
        </w:rPr>
        <w:t xml:space="preserve"> </w:t>
      </w:r>
      <w:r w:rsidRPr="00171D30">
        <w:rPr>
          <w:rFonts w:cs="Arial"/>
          <w:noProof/>
          <w:spacing w:val="-1"/>
          <w:szCs w:val="20"/>
          <w:lang w:val="en-US" w:eastAsia="en-US"/>
        </w:rPr>
        <w:t>notifying</w:t>
      </w:r>
      <w:r w:rsidRPr="00171D30">
        <w:rPr>
          <w:rFonts w:cs="Arial"/>
          <w:noProof/>
          <w:spacing w:val="-3"/>
          <w:szCs w:val="20"/>
          <w:lang w:val="en-US" w:eastAsia="en-US"/>
        </w:rPr>
        <w:t xml:space="preserve"> </w:t>
      </w:r>
      <w:r w:rsidRPr="00171D30">
        <w:rPr>
          <w:rFonts w:cs="Arial"/>
          <w:noProof/>
          <w:szCs w:val="20"/>
          <w:lang w:val="en-US" w:eastAsia="en-US"/>
        </w:rPr>
        <w:t>the</w:t>
      </w:r>
      <w:r w:rsidRPr="00171D30">
        <w:rPr>
          <w:rFonts w:cs="Arial"/>
          <w:noProof/>
          <w:spacing w:val="-2"/>
          <w:szCs w:val="20"/>
          <w:lang w:val="en-US" w:eastAsia="en-US"/>
        </w:rPr>
        <w:t xml:space="preserve"> </w:t>
      </w:r>
      <w:r w:rsidRPr="00171D30">
        <w:rPr>
          <w:rFonts w:cs="Arial"/>
          <w:noProof/>
          <w:spacing w:val="-1"/>
          <w:szCs w:val="20"/>
          <w:lang w:val="en-US" w:eastAsia="en-US"/>
        </w:rPr>
        <w:t>information,</w:t>
      </w:r>
      <w:r w:rsidRPr="00171D30">
        <w:rPr>
          <w:rFonts w:cs="Arial"/>
          <w:noProof/>
          <w:spacing w:val="-3"/>
          <w:szCs w:val="20"/>
          <w:lang w:val="en-US" w:eastAsia="en-US"/>
        </w:rPr>
        <w:t xml:space="preserve"> </w:t>
      </w:r>
      <w:r w:rsidRPr="00171D30">
        <w:rPr>
          <w:rFonts w:cs="Arial"/>
          <w:noProof/>
          <w:szCs w:val="20"/>
          <w:lang w:val="en-US" w:eastAsia="en-US"/>
        </w:rPr>
        <w:t>the</w:t>
      </w:r>
      <w:r w:rsidRPr="00171D30">
        <w:rPr>
          <w:rFonts w:cs="Arial"/>
          <w:noProof/>
          <w:spacing w:val="-2"/>
          <w:szCs w:val="20"/>
          <w:lang w:val="en-US" w:eastAsia="en-US"/>
        </w:rPr>
        <w:t xml:space="preserve"> </w:t>
      </w:r>
      <w:r w:rsidRPr="00171D30">
        <w:rPr>
          <w:rFonts w:cs="Arial"/>
          <w:noProof/>
          <w:spacing w:val="-1"/>
          <w:szCs w:val="20"/>
          <w:lang w:val="en-US" w:eastAsia="en-US"/>
        </w:rPr>
        <w:t>liquidator</w:t>
      </w:r>
      <w:r w:rsidRPr="00171D30">
        <w:rPr>
          <w:rFonts w:cs="Arial"/>
          <w:noProof/>
          <w:szCs w:val="20"/>
          <w:lang w:val="en-US" w:eastAsia="en-US"/>
        </w:rPr>
        <w:t xml:space="preserve"> </w:t>
      </w:r>
      <w:r w:rsidRPr="00171D30">
        <w:rPr>
          <w:rFonts w:cs="Arial"/>
          <w:noProof/>
          <w:spacing w:val="-2"/>
          <w:szCs w:val="20"/>
          <w:lang w:val="en-US" w:eastAsia="en-US"/>
        </w:rPr>
        <w:t>of</w:t>
      </w:r>
      <w:r w:rsidRPr="00171D30">
        <w:rPr>
          <w:rFonts w:cs="Arial"/>
          <w:noProof/>
          <w:szCs w:val="20"/>
          <w:lang w:val="en-US" w:eastAsia="en-US"/>
        </w:rPr>
        <w:t xml:space="preserve"> </w:t>
      </w:r>
      <w:r w:rsidRPr="00171D30">
        <w:rPr>
          <w:rFonts w:cs="Arial"/>
          <w:noProof/>
          <w:spacing w:val="-1"/>
          <w:szCs w:val="20"/>
          <w:lang w:val="en-US" w:eastAsia="en-US"/>
        </w:rPr>
        <w:t>the corporation</w:t>
      </w:r>
      <w:r w:rsidRPr="00171D30">
        <w:rPr>
          <w:rFonts w:cs="Arial"/>
          <w:noProof/>
          <w:spacing w:val="-3"/>
          <w:szCs w:val="20"/>
          <w:lang w:val="en-US" w:eastAsia="en-US"/>
        </w:rPr>
        <w:t xml:space="preserve"> </w:t>
      </w:r>
      <w:r w:rsidRPr="00171D30">
        <w:rPr>
          <w:rFonts w:cs="Arial"/>
          <w:noProof/>
          <w:spacing w:val="-1"/>
          <w:szCs w:val="20"/>
          <w:lang w:val="en-US" w:eastAsia="en-US"/>
        </w:rPr>
        <w:t>must</w:t>
      </w:r>
      <w:r w:rsidRPr="00171D30">
        <w:rPr>
          <w:rFonts w:cs="Arial"/>
          <w:noProof/>
          <w:spacing w:val="1"/>
          <w:szCs w:val="20"/>
          <w:lang w:val="en-US" w:eastAsia="en-US"/>
        </w:rPr>
        <w:t xml:space="preserve"> </w:t>
      </w:r>
      <w:r w:rsidRPr="00171D30">
        <w:rPr>
          <w:rFonts w:cs="Arial"/>
          <w:noProof/>
          <w:spacing w:val="-1"/>
          <w:szCs w:val="20"/>
          <w:lang w:val="en-US" w:eastAsia="en-US"/>
        </w:rPr>
        <w:t>notify</w:t>
      </w:r>
      <w:r w:rsidRPr="00171D30">
        <w:rPr>
          <w:rFonts w:cs="Arial"/>
          <w:noProof/>
          <w:spacing w:val="-3"/>
          <w:szCs w:val="20"/>
          <w:lang w:val="en-US" w:eastAsia="en-US"/>
        </w:rPr>
        <w:t xml:space="preserve"> </w:t>
      </w:r>
      <w:r w:rsidRPr="00171D30">
        <w:rPr>
          <w:rFonts w:cs="Arial"/>
          <w:noProof/>
          <w:szCs w:val="20"/>
          <w:lang w:val="en-US" w:eastAsia="en-US"/>
        </w:rPr>
        <w:t>the</w:t>
      </w:r>
      <w:r w:rsidRPr="00171D30">
        <w:rPr>
          <w:rFonts w:cs="Arial"/>
          <w:noProof/>
          <w:spacing w:val="-5"/>
          <w:szCs w:val="20"/>
          <w:lang w:val="en-US" w:eastAsia="en-US"/>
        </w:rPr>
        <w:t xml:space="preserve"> </w:t>
      </w:r>
      <w:r w:rsidRPr="00171D30">
        <w:rPr>
          <w:rFonts w:cs="Arial"/>
          <w:noProof/>
          <w:spacing w:val="-1"/>
          <w:szCs w:val="20"/>
          <w:lang w:val="en-US" w:eastAsia="en-US"/>
        </w:rPr>
        <w:t>information</w:t>
      </w:r>
      <w:r w:rsidRPr="00171D30">
        <w:rPr>
          <w:rFonts w:cs="Arial"/>
          <w:noProof/>
          <w:spacing w:val="-3"/>
          <w:szCs w:val="20"/>
          <w:lang w:val="en-US" w:eastAsia="en-US"/>
        </w:rPr>
        <w:t xml:space="preserve"> </w:t>
      </w:r>
      <w:r w:rsidRPr="00171D30">
        <w:rPr>
          <w:rFonts w:cs="Arial"/>
          <w:noProof/>
          <w:szCs w:val="20"/>
          <w:lang w:val="en-US" w:eastAsia="en-US"/>
        </w:rPr>
        <w:t xml:space="preserve">in </w:t>
      </w:r>
      <w:r w:rsidRPr="00171D30">
        <w:rPr>
          <w:rFonts w:cs="Arial"/>
          <w:noProof/>
          <w:spacing w:val="-1"/>
          <w:szCs w:val="20"/>
          <w:lang w:val="en-US" w:eastAsia="en-US"/>
        </w:rPr>
        <w:t>accordance</w:t>
      </w:r>
      <w:r w:rsidRPr="00171D30">
        <w:rPr>
          <w:rFonts w:cs="Arial"/>
          <w:noProof/>
          <w:spacing w:val="-2"/>
          <w:szCs w:val="20"/>
          <w:lang w:val="en-US" w:eastAsia="en-US"/>
        </w:rPr>
        <w:t xml:space="preserve"> </w:t>
      </w:r>
      <w:r w:rsidRPr="00171D30">
        <w:rPr>
          <w:rFonts w:cs="Arial"/>
          <w:noProof/>
          <w:spacing w:val="-1"/>
          <w:szCs w:val="20"/>
          <w:lang w:val="en-US" w:eastAsia="en-US"/>
        </w:rPr>
        <w:t>with</w:t>
      </w:r>
      <w:r w:rsidRPr="00171D30">
        <w:rPr>
          <w:rFonts w:cs="Arial"/>
          <w:noProof/>
          <w:spacing w:val="-3"/>
          <w:szCs w:val="20"/>
          <w:lang w:val="en-US" w:eastAsia="en-US"/>
        </w:rPr>
        <w:t xml:space="preserve"> </w:t>
      </w:r>
      <w:r w:rsidRPr="00171D30">
        <w:rPr>
          <w:rFonts w:cs="Arial"/>
          <w:noProof/>
          <w:szCs w:val="20"/>
          <w:lang w:val="en-US" w:eastAsia="en-US"/>
        </w:rPr>
        <w:t xml:space="preserve">the </w:t>
      </w:r>
      <w:r w:rsidRPr="00171D30">
        <w:rPr>
          <w:rFonts w:cs="Arial"/>
          <w:noProof/>
          <w:spacing w:val="-1"/>
          <w:szCs w:val="20"/>
          <w:lang w:val="en-US" w:eastAsia="en-US"/>
        </w:rPr>
        <w:t>subsection</w:t>
      </w:r>
      <w:r w:rsidRPr="00171D30">
        <w:rPr>
          <w:rFonts w:cs="Arial"/>
          <w:noProof/>
          <w:szCs w:val="20"/>
          <w:lang w:val="en-US" w:eastAsia="en-US"/>
        </w:rPr>
        <w:t xml:space="preserve"> </w:t>
      </w:r>
      <w:r w:rsidRPr="00171D30">
        <w:rPr>
          <w:rFonts w:cs="Arial"/>
          <w:noProof/>
          <w:spacing w:val="-1"/>
          <w:szCs w:val="20"/>
          <w:lang w:val="en-US" w:eastAsia="en-US"/>
        </w:rPr>
        <w:t>concerned.</w:t>
      </w:r>
    </w:p>
    <w:p w14:paraId="0926C91E" w14:textId="77777777" w:rsidR="00171D30" w:rsidRPr="00171D30" w:rsidRDefault="00171D30" w:rsidP="003C1930">
      <w:pPr>
        <w:pStyle w:val="Heading2"/>
      </w:pPr>
      <w:bookmarkStart w:id="31" w:name="_Toc48889548"/>
      <w:bookmarkStart w:id="32" w:name="_Toc50038402"/>
      <w:r w:rsidRPr="00171D30">
        <w:t>Who is a foreign stakeholder?</w:t>
      </w:r>
      <w:bookmarkEnd w:id="31"/>
      <w:bookmarkEnd w:id="32"/>
    </w:p>
    <w:p w14:paraId="2FFE2B76" w14:textId="77777777" w:rsidR="00171D30" w:rsidRPr="00171D30" w:rsidRDefault="00171D30" w:rsidP="00171D30">
      <w:pPr>
        <w:rPr>
          <w:rFonts w:cs="Arial"/>
          <w:b/>
        </w:rPr>
      </w:pPr>
      <w:r w:rsidRPr="00171D30">
        <w:rPr>
          <w:rFonts w:cs="Arial"/>
        </w:rPr>
        <w:t xml:space="preserve">Under section 74C of the BSA if a foreign person has company interests in an Australian media company of 2.5 per cent or more, that person is a </w:t>
      </w:r>
      <w:r w:rsidRPr="00171D30">
        <w:rPr>
          <w:rFonts w:cs="Arial"/>
          <w:i/>
        </w:rPr>
        <w:t>foreign stakeholder</w:t>
      </w:r>
      <w:r w:rsidRPr="00171D30">
        <w:rPr>
          <w:rFonts w:cs="Arial"/>
        </w:rPr>
        <w:t xml:space="preserve"> in that company.</w:t>
      </w:r>
    </w:p>
    <w:p w14:paraId="44D6241C" w14:textId="77777777" w:rsidR="00171D30" w:rsidRPr="00171D30" w:rsidRDefault="00171D30" w:rsidP="003C1930">
      <w:pPr>
        <w:pStyle w:val="Heading2"/>
      </w:pPr>
      <w:bookmarkStart w:id="33" w:name="_Toc48889549"/>
      <w:bookmarkStart w:id="34" w:name="_Toc50038403"/>
      <w:r w:rsidRPr="00171D30">
        <w:t>Who is a foreign person?</w:t>
      </w:r>
      <w:bookmarkEnd w:id="33"/>
      <w:bookmarkEnd w:id="34"/>
    </w:p>
    <w:p w14:paraId="663422A2" w14:textId="77777777" w:rsidR="00171D30" w:rsidRPr="00171D30" w:rsidRDefault="00171D30" w:rsidP="00171D30">
      <w:pPr>
        <w:rPr>
          <w:rFonts w:cs="Arial"/>
        </w:rPr>
      </w:pPr>
      <w:r w:rsidRPr="00171D30">
        <w:rPr>
          <w:rFonts w:cs="Arial"/>
        </w:rPr>
        <w:t xml:space="preserve">The term ‘foreign person’ is defined under the </w:t>
      </w:r>
      <w:hyperlink r:id="rId26" w:history="1">
        <w:r w:rsidRPr="00171D30">
          <w:rPr>
            <w:rFonts w:cs="Arial"/>
            <w:i/>
            <w:color w:val="0000FF"/>
            <w:u w:val="single"/>
          </w:rPr>
          <w:t>Foreign Acquisitions and Takeovers Act 1975</w:t>
        </w:r>
      </w:hyperlink>
      <w:r w:rsidRPr="00171D30">
        <w:rPr>
          <w:rFonts w:cs="Arial"/>
          <w:i/>
        </w:rPr>
        <w:t xml:space="preserve"> </w:t>
      </w:r>
      <w:r w:rsidRPr="00171D30">
        <w:rPr>
          <w:rFonts w:cs="Arial"/>
        </w:rPr>
        <w:t xml:space="preserve">and the </w:t>
      </w:r>
      <w:hyperlink r:id="rId27" w:history="1">
        <w:r w:rsidRPr="00171D30">
          <w:rPr>
            <w:rFonts w:cs="Arial"/>
            <w:color w:val="0000FF"/>
            <w:u w:val="single"/>
          </w:rPr>
          <w:t>Foreign Acquisitions and Takeovers Regulation 2015</w:t>
        </w:r>
      </w:hyperlink>
      <w:r w:rsidRPr="00171D30">
        <w:rPr>
          <w:rFonts w:cs="Arial"/>
        </w:rPr>
        <w:t>. See definitions provided at the Appendix page.</w:t>
      </w:r>
    </w:p>
    <w:p w14:paraId="7921803B" w14:textId="77777777" w:rsidR="00171D30" w:rsidRPr="00171D30" w:rsidRDefault="00171D30" w:rsidP="003C1930">
      <w:pPr>
        <w:pStyle w:val="Heading2"/>
      </w:pPr>
      <w:bookmarkStart w:id="35" w:name="_Toc48889550"/>
      <w:bookmarkStart w:id="36" w:name="_Toc50038404"/>
      <w:r w:rsidRPr="00171D30">
        <w:t>What is an Australian media company?</w:t>
      </w:r>
      <w:bookmarkEnd w:id="35"/>
      <w:bookmarkEnd w:id="36"/>
    </w:p>
    <w:p w14:paraId="15416068" w14:textId="77777777" w:rsidR="00171D30" w:rsidRPr="00171D30" w:rsidRDefault="00171D30" w:rsidP="003C1930">
      <w:pPr>
        <w:pStyle w:val="Paragraphbeforelist"/>
      </w:pPr>
      <w:r w:rsidRPr="00171D30">
        <w:t>Under section 74B of the BSA an Australian media company means:</w:t>
      </w:r>
    </w:p>
    <w:p w14:paraId="081C2AC2" w14:textId="77777777" w:rsidR="00171D30" w:rsidRPr="00171D30" w:rsidRDefault="00171D30" w:rsidP="00171D30">
      <w:pPr>
        <w:numPr>
          <w:ilvl w:val="1"/>
          <w:numId w:val="32"/>
        </w:numPr>
        <w:spacing w:before="40" w:after="80" w:line="240" w:lineRule="auto"/>
        <w:ind w:left="851"/>
        <w:rPr>
          <w:rFonts w:cs="Arial"/>
          <w:szCs w:val="20"/>
        </w:rPr>
      </w:pPr>
      <w:r w:rsidRPr="00171D30">
        <w:rPr>
          <w:rFonts w:cs="Arial"/>
          <w:szCs w:val="20"/>
        </w:rPr>
        <w:t>a company that holds a commercial television broadcasting licence; or</w:t>
      </w:r>
    </w:p>
    <w:p w14:paraId="3BA11810" w14:textId="77777777" w:rsidR="00171D30" w:rsidRPr="00171D30" w:rsidRDefault="00171D30" w:rsidP="00171D30">
      <w:pPr>
        <w:numPr>
          <w:ilvl w:val="1"/>
          <w:numId w:val="32"/>
        </w:numPr>
        <w:spacing w:before="40" w:after="80" w:line="240" w:lineRule="auto"/>
        <w:ind w:left="851"/>
        <w:rPr>
          <w:rFonts w:cs="Arial"/>
          <w:szCs w:val="20"/>
        </w:rPr>
      </w:pPr>
      <w:r w:rsidRPr="00171D30">
        <w:rPr>
          <w:rFonts w:cs="Arial"/>
          <w:szCs w:val="20"/>
        </w:rPr>
        <w:t>a company that holds a commercial radio broadcasting licence; or</w:t>
      </w:r>
    </w:p>
    <w:p w14:paraId="2E24F182" w14:textId="77777777" w:rsidR="00171D30" w:rsidRPr="00171D30" w:rsidRDefault="00171D30" w:rsidP="00171D30">
      <w:pPr>
        <w:numPr>
          <w:ilvl w:val="1"/>
          <w:numId w:val="32"/>
        </w:numPr>
        <w:spacing w:before="40" w:after="80" w:line="240" w:lineRule="auto"/>
        <w:ind w:left="851"/>
        <w:rPr>
          <w:rFonts w:cs="Arial"/>
          <w:szCs w:val="20"/>
        </w:rPr>
      </w:pPr>
      <w:r w:rsidRPr="00171D30">
        <w:rPr>
          <w:rFonts w:cs="Arial"/>
          <w:szCs w:val="20"/>
        </w:rPr>
        <w:t>a company that is:</w:t>
      </w:r>
    </w:p>
    <w:p w14:paraId="5A51DDF1" w14:textId="77777777" w:rsidR="00171D30" w:rsidRPr="00171D30" w:rsidRDefault="00171D30" w:rsidP="00171D30">
      <w:pPr>
        <w:numPr>
          <w:ilvl w:val="0"/>
          <w:numId w:val="33"/>
        </w:numPr>
        <w:tabs>
          <w:tab w:val="right" w:pos="1985"/>
        </w:tabs>
        <w:spacing w:before="40" w:after="80" w:line="240" w:lineRule="auto"/>
        <w:ind w:left="1134" w:hanging="153"/>
        <w:rPr>
          <w:rFonts w:cs="Arial"/>
          <w:szCs w:val="20"/>
        </w:rPr>
      </w:pPr>
      <w:r w:rsidRPr="00171D30">
        <w:rPr>
          <w:rFonts w:cs="Arial"/>
          <w:szCs w:val="20"/>
        </w:rPr>
        <w:t>the publisher of a newspaper that is associated with the licence area of a commercial television broadcasting licence or a commercial radio broadcasting licence; and</w:t>
      </w:r>
    </w:p>
    <w:p w14:paraId="11BC5EF7" w14:textId="77777777" w:rsidR="00171D30" w:rsidRPr="00171D30" w:rsidRDefault="00171D30" w:rsidP="00171D30">
      <w:pPr>
        <w:numPr>
          <w:ilvl w:val="0"/>
          <w:numId w:val="33"/>
        </w:numPr>
        <w:tabs>
          <w:tab w:val="right" w:pos="1985"/>
        </w:tabs>
        <w:spacing w:before="40" w:line="240" w:lineRule="auto"/>
        <w:ind w:left="1134" w:hanging="153"/>
        <w:rPr>
          <w:rFonts w:cs="Arial"/>
          <w:szCs w:val="20"/>
        </w:rPr>
      </w:pPr>
      <w:r w:rsidRPr="00171D30">
        <w:rPr>
          <w:rFonts w:cs="Arial"/>
          <w:szCs w:val="20"/>
        </w:rPr>
        <w:t>a constitutional corporation.</w:t>
      </w:r>
    </w:p>
    <w:p w14:paraId="0293D93D" w14:textId="77777777" w:rsidR="00171D30" w:rsidRPr="00171D30" w:rsidRDefault="00171D30" w:rsidP="003C1930">
      <w:pPr>
        <w:pStyle w:val="Heading2"/>
      </w:pPr>
      <w:bookmarkStart w:id="37" w:name="_Toc48889551"/>
      <w:bookmarkStart w:id="38" w:name="_Toc50038405"/>
      <w:r w:rsidRPr="00171D30">
        <w:t>Help with lodging a notification</w:t>
      </w:r>
      <w:bookmarkEnd w:id="23"/>
      <w:bookmarkEnd w:id="37"/>
      <w:bookmarkEnd w:id="38"/>
      <w:r w:rsidRPr="00171D30">
        <w:t xml:space="preserve"> </w:t>
      </w:r>
    </w:p>
    <w:p w14:paraId="7D01B2C7" w14:textId="77777777" w:rsidR="00171D30" w:rsidRPr="00171D30" w:rsidRDefault="00171D30" w:rsidP="00171D30">
      <w:pPr>
        <w:rPr>
          <w:rFonts w:cs="Arial"/>
          <w:szCs w:val="22"/>
        </w:rPr>
      </w:pPr>
      <w:r w:rsidRPr="00171D30">
        <w:rPr>
          <w:rFonts w:cs="Arial"/>
          <w:szCs w:val="22"/>
        </w:rPr>
        <w:t>An email address (</w:t>
      </w:r>
      <w:hyperlink r:id="rId28" w:history="1">
        <w:r w:rsidRPr="00171D30">
          <w:rPr>
            <w:rFonts w:cs="Arial"/>
            <w:color w:val="0000FF"/>
            <w:u w:val="single"/>
          </w:rPr>
          <w:t>foreignmediaownership@acma.gov.au</w:t>
        </w:r>
      </w:hyperlink>
      <w:r w:rsidRPr="00171D30">
        <w:rPr>
          <w:rFonts w:cs="Arial"/>
          <w:szCs w:val="22"/>
        </w:rPr>
        <w:t xml:space="preserve">) is available for general queries and for contacting us should you need any assistance with the online lodgement system. If you have difficulty submitting the form, contact the Diversity, Localism and Accessibility Section in the ACMA Sydney Office during business hours, telephone 1800 226 667, or at any time via email at </w:t>
      </w:r>
      <w:hyperlink r:id="rId29" w:history="1">
        <w:r w:rsidRPr="00171D30">
          <w:rPr>
            <w:rFonts w:cs="Arial"/>
            <w:color w:val="0000FF"/>
            <w:u w:val="single"/>
          </w:rPr>
          <w:t>foreignmediaownership@acma.gov.au</w:t>
        </w:r>
      </w:hyperlink>
      <w:r w:rsidRPr="00171D30">
        <w:rPr>
          <w:rFonts w:cs="Arial"/>
          <w:szCs w:val="22"/>
        </w:rPr>
        <w:t xml:space="preserve">. </w:t>
      </w:r>
    </w:p>
    <w:p w14:paraId="45347049" w14:textId="77777777" w:rsidR="00171D30" w:rsidRPr="00171D30" w:rsidRDefault="00171D30" w:rsidP="003C1930">
      <w:pPr>
        <w:pStyle w:val="Heading2"/>
      </w:pPr>
      <w:bookmarkStart w:id="39" w:name="_Toc504040307"/>
      <w:bookmarkStart w:id="40" w:name="_Toc48889552"/>
      <w:bookmarkStart w:id="41" w:name="_Toc50038406"/>
      <w:r w:rsidRPr="00171D30">
        <w:t>When should a notification be lodged?</w:t>
      </w:r>
      <w:bookmarkEnd w:id="39"/>
      <w:bookmarkEnd w:id="40"/>
      <w:bookmarkEnd w:id="41"/>
      <w:r w:rsidRPr="00171D30">
        <w:t xml:space="preserve"> </w:t>
      </w:r>
    </w:p>
    <w:p w14:paraId="07C471F8" w14:textId="77777777" w:rsidR="00171D30" w:rsidRPr="00171D30" w:rsidRDefault="00171D30" w:rsidP="00171D30">
      <w:pPr>
        <w:rPr>
          <w:rFonts w:cs="Arial"/>
          <w:szCs w:val="22"/>
        </w:rPr>
      </w:pPr>
      <w:r w:rsidRPr="00171D30">
        <w:rPr>
          <w:rFonts w:cs="Arial"/>
          <w:szCs w:val="22"/>
        </w:rPr>
        <w:t>A notification pursuant to sections 74F or 74G must be given to the ACMA within 30 days of the foreign person becoming a foreign stakeholder, or ceasing to be a foreign stakeholder, respectively, in the Australian media company.</w:t>
      </w:r>
    </w:p>
    <w:p w14:paraId="1654FB95" w14:textId="77777777" w:rsidR="00171D30" w:rsidRPr="00171D30" w:rsidRDefault="00171D30" w:rsidP="00171D30">
      <w:pPr>
        <w:rPr>
          <w:rFonts w:cs="Arial"/>
          <w:szCs w:val="22"/>
        </w:rPr>
      </w:pPr>
      <w:r w:rsidRPr="00171D30">
        <w:rPr>
          <w:rFonts w:cs="Arial"/>
          <w:szCs w:val="22"/>
        </w:rPr>
        <w:t>A notification pursuant to section 74H must be given to the ACMA within 30 days of the end of a financial year.</w:t>
      </w:r>
    </w:p>
    <w:p w14:paraId="5544375A" w14:textId="77777777" w:rsidR="00171D30" w:rsidRPr="00171D30" w:rsidRDefault="00171D30" w:rsidP="00171D30">
      <w:pPr>
        <w:rPr>
          <w:rFonts w:cs="Arial"/>
          <w:szCs w:val="22"/>
        </w:rPr>
      </w:pPr>
      <w:r w:rsidRPr="00171D30">
        <w:rPr>
          <w:rFonts w:cs="Arial"/>
          <w:szCs w:val="22"/>
        </w:rPr>
        <w:t xml:space="preserve">A notification pursuant to section 74J must be given to the ACMA within six months of the date of commencement of Division 10A of the BSA. </w:t>
      </w:r>
    </w:p>
    <w:p w14:paraId="350C68B0" w14:textId="77777777" w:rsidR="00171D30" w:rsidRPr="00171D30" w:rsidRDefault="00171D30" w:rsidP="003C1930">
      <w:pPr>
        <w:pStyle w:val="Heading2"/>
      </w:pPr>
      <w:bookmarkStart w:id="42" w:name="_Toc504040308"/>
      <w:bookmarkStart w:id="43" w:name="_Toc48889553"/>
      <w:bookmarkStart w:id="44" w:name="_Toc50038407"/>
      <w:r w:rsidRPr="00171D30">
        <w:t>Failure to lodge a notification</w:t>
      </w:r>
      <w:bookmarkEnd w:id="42"/>
      <w:bookmarkEnd w:id="43"/>
      <w:bookmarkEnd w:id="44"/>
      <w:r w:rsidRPr="00171D30">
        <w:t xml:space="preserve"> </w:t>
      </w:r>
    </w:p>
    <w:p w14:paraId="3818FE7B" w14:textId="77777777" w:rsidR="00171D30" w:rsidRPr="00171D30" w:rsidRDefault="00171D30" w:rsidP="00171D30">
      <w:pPr>
        <w:rPr>
          <w:rFonts w:cs="Arial"/>
          <w:szCs w:val="22"/>
        </w:rPr>
      </w:pPr>
      <w:r w:rsidRPr="00171D30">
        <w:rPr>
          <w:rFonts w:cs="Arial"/>
          <w:szCs w:val="22"/>
        </w:rPr>
        <w:t xml:space="preserve">If your form is not completed correctly, it may not be a valid notification under the BSA and may not be processed. You have not complied with the obligation to notify until you have lodged a valid notification. Failure to lodge a valid notification as required by sections 74F, 74G, 74H and 74J of the BSA may constitute a contravention of subsections 74F(1), 74G(1), 74H(1) or 74H(1), of the BSA and may result in the payment of a penalty.  </w:t>
      </w:r>
    </w:p>
    <w:p w14:paraId="31E786A8" w14:textId="77777777" w:rsidR="00171D30" w:rsidRPr="00171D30" w:rsidRDefault="00171D30" w:rsidP="00171D30">
      <w:pPr>
        <w:rPr>
          <w:rFonts w:cs="Arial"/>
          <w:szCs w:val="22"/>
        </w:rPr>
      </w:pPr>
      <w:r w:rsidRPr="00171D30">
        <w:rPr>
          <w:rFonts w:cs="Arial"/>
          <w:bCs/>
          <w:szCs w:val="22"/>
        </w:rPr>
        <w:t xml:space="preserve">The ACMA has the power to issue an infringement notice to persons where it has reasonable grounds to believe the person has contravened the notification requirements under sections 74F, 74G, 74H or 74J of the BSA. Infringement notices impose a pecuniary penalty to be paid in respect of a </w:t>
      </w:r>
      <w:r w:rsidRPr="00171D30">
        <w:rPr>
          <w:rFonts w:cs="Arial"/>
          <w:szCs w:val="22"/>
        </w:rPr>
        <w:t>contravention. For further information, please refer to the ‘</w:t>
      </w:r>
      <w:hyperlink r:id="rId30" w:history="1">
        <w:r w:rsidRPr="00171D30">
          <w:rPr>
            <w:rFonts w:cs="Arial"/>
            <w:color w:val="0000FF"/>
            <w:szCs w:val="22"/>
            <w:u w:val="single"/>
          </w:rPr>
          <w:t xml:space="preserve">Guidelines relating to ACMA’s enforcement powers under the </w:t>
        </w:r>
        <w:r w:rsidRPr="00171D30">
          <w:rPr>
            <w:rFonts w:cs="Arial"/>
            <w:i/>
            <w:color w:val="0000FF"/>
            <w:szCs w:val="22"/>
            <w:u w:val="single"/>
          </w:rPr>
          <w:t>Broadcasting Services Act 1992</w:t>
        </w:r>
      </w:hyperlink>
      <w:r w:rsidRPr="00171D30">
        <w:rPr>
          <w:rFonts w:cs="Arial"/>
          <w:szCs w:val="22"/>
        </w:rPr>
        <w:t>’ which can be found on the ACMA website.</w:t>
      </w:r>
    </w:p>
    <w:p w14:paraId="1A25A9EF" w14:textId="77777777" w:rsidR="00171D30" w:rsidRPr="00171D30" w:rsidRDefault="00171D30" w:rsidP="00171D30">
      <w:pPr>
        <w:rPr>
          <w:rFonts w:cs="Arial"/>
          <w:szCs w:val="22"/>
        </w:rPr>
      </w:pPr>
      <w:r w:rsidRPr="00171D30">
        <w:rPr>
          <w:rFonts w:cs="Arial"/>
          <w:szCs w:val="22"/>
        </w:rPr>
        <w:t xml:space="preserve">However, subsections 74F(6), 74G(5), 74H(6) and 74J(6) of the BSA provide that a person is not required to notify the </w:t>
      </w:r>
      <w:r w:rsidRPr="00171D30">
        <w:rPr>
          <w:rFonts w:cs="Arial"/>
        </w:rPr>
        <w:t>A person is not required to notify information under subsection (1) if the information might tend to incriminate the person or expose the person to a penalty.</w:t>
      </w:r>
    </w:p>
    <w:p w14:paraId="31F4F391" w14:textId="77777777" w:rsidR="00171D30" w:rsidRPr="00171D30" w:rsidRDefault="00171D30" w:rsidP="003C1930">
      <w:pPr>
        <w:pStyle w:val="Heading2"/>
      </w:pPr>
      <w:bookmarkStart w:id="45" w:name="_Toc504040309"/>
      <w:bookmarkStart w:id="46" w:name="_Toc48889554"/>
      <w:bookmarkStart w:id="47" w:name="_Toc50038408"/>
      <w:r w:rsidRPr="00171D30">
        <w:t>Notes on completing the form</w:t>
      </w:r>
      <w:bookmarkEnd w:id="45"/>
      <w:bookmarkEnd w:id="46"/>
      <w:bookmarkEnd w:id="47"/>
      <w:r w:rsidRPr="00171D30">
        <w:t xml:space="preserve"> </w:t>
      </w:r>
    </w:p>
    <w:p w14:paraId="1D30CEEE" w14:textId="77777777" w:rsidR="00171D30" w:rsidRPr="00171D30" w:rsidRDefault="00171D30" w:rsidP="00171D30">
      <w:pPr>
        <w:rPr>
          <w:rFonts w:cs="Arial"/>
          <w:szCs w:val="22"/>
        </w:rPr>
      </w:pPr>
      <w:r w:rsidRPr="00171D30">
        <w:rPr>
          <w:rFonts w:cs="Arial"/>
          <w:szCs w:val="22"/>
        </w:rPr>
        <w:t>Ensure all applicable parts are complete and correct. Parts that are not applicable to the type of notification will selected will not appear.</w:t>
      </w:r>
    </w:p>
    <w:p w14:paraId="747F3E59" w14:textId="77777777" w:rsidR="00171D30" w:rsidRPr="00171D30" w:rsidRDefault="00171D30" w:rsidP="003C1930">
      <w:pPr>
        <w:pStyle w:val="Heading2"/>
      </w:pPr>
      <w:bookmarkStart w:id="48" w:name="_Toc504040310"/>
      <w:bookmarkStart w:id="49" w:name="_Toc48889555"/>
      <w:bookmarkStart w:id="50" w:name="_Toc50038409"/>
      <w:r w:rsidRPr="00171D30">
        <w:t>Collection, use and disclosure of personal information</w:t>
      </w:r>
      <w:bookmarkEnd w:id="48"/>
      <w:bookmarkEnd w:id="49"/>
      <w:bookmarkEnd w:id="50"/>
      <w:r w:rsidRPr="00171D30">
        <w:t xml:space="preserve"> </w:t>
      </w:r>
    </w:p>
    <w:p w14:paraId="5087DDE2" w14:textId="77777777" w:rsidR="00171D30" w:rsidRPr="00171D30" w:rsidRDefault="00171D30" w:rsidP="00171D30">
      <w:pPr>
        <w:rPr>
          <w:rFonts w:cs="Arial"/>
          <w:szCs w:val="22"/>
        </w:rPr>
      </w:pPr>
      <w:r w:rsidRPr="00171D30">
        <w:rPr>
          <w:rFonts w:cs="Arial"/>
          <w:szCs w:val="22"/>
        </w:rPr>
        <w:t xml:space="preserve">The </w:t>
      </w:r>
      <w:r w:rsidRPr="00171D30">
        <w:rPr>
          <w:rFonts w:cs="Arial"/>
          <w:i/>
          <w:iCs/>
          <w:szCs w:val="22"/>
        </w:rPr>
        <w:t xml:space="preserve">Privacy Act 1988 </w:t>
      </w:r>
      <w:r w:rsidRPr="00171D30">
        <w:rPr>
          <w:rFonts w:cs="Arial"/>
          <w:szCs w:val="22"/>
        </w:rPr>
        <w:t>(</w:t>
      </w:r>
      <w:proofErr w:type="spellStart"/>
      <w:r w:rsidRPr="00171D30">
        <w:rPr>
          <w:rFonts w:cs="Arial"/>
          <w:szCs w:val="22"/>
        </w:rPr>
        <w:t>Cth</w:t>
      </w:r>
      <w:proofErr w:type="spellEnd"/>
      <w:r w:rsidRPr="00171D30">
        <w:rPr>
          <w:rFonts w:cs="Arial"/>
          <w:szCs w:val="22"/>
        </w:rPr>
        <w:t xml:space="preserve">) (the Privacy Act) imposes obligations on the ACMA in relation to the collection, security, quality, access, use and disclosure of personal information. These obligations are detailed in the </w:t>
      </w:r>
      <w:hyperlink r:id="rId31" w:history="1">
        <w:r w:rsidRPr="00171D30">
          <w:rPr>
            <w:rFonts w:cs="Arial"/>
            <w:color w:val="0000FF"/>
            <w:szCs w:val="22"/>
            <w:u w:val="single"/>
          </w:rPr>
          <w:t>Australian Privacy Principles</w:t>
        </w:r>
      </w:hyperlink>
      <w:r w:rsidRPr="00171D30">
        <w:rPr>
          <w:rFonts w:cs="Arial"/>
          <w:b/>
          <w:szCs w:val="22"/>
        </w:rPr>
        <w:t xml:space="preserve">. </w:t>
      </w:r>
    </w:p>
    <w:p w14:paraId="07580331" w14:textId="77777777" w:rsidR="00171D30" w:rsidRPr="00171D30" w:rsidRDefault="00171D30" w:rsidP="00E72844">
      <w:pPr>
        <w:keepNext/>
        <w:keepLines/>
        <w:rPr>
          <w:rFonts w:cs="Arial"/>
          <w:szCs w:val="22"/>
        </w:rPr>
      </w:pPr>
      <w:r w:rsidRPr="00171D30">
        <w:rPr>
          <w:rFonts w:cs="Arial"/>
          <w:szCs w:val="22"/>
        </w:rPr>
        <w:t xml:space="preserve">The ACMA may only collect personal information if it is reasonably necessary for, or directly related to, one or more of the ACMA’s functions or activities. The purpose of the collection of information on this form, including personal information, is to establish and maintain a register of foreign owners of media assets pursuant to section 74D of the BSA. This information is required under sections 74F, 74G, 74H and 74J of the BSA.  </w:t>
      </w:r>
    </w:p>
    <w:p w14:paraId="567F2B58" w14:textId="77777777" w:rsidR="00171D30" w:rsidRPr="00171D30" w:rsidRDefault="00171D30" w:rsidP="00171D30">
      <w:pPr>
        <w:rPr>
          <w:rFonts w:cs="Arial"/>
          <w:szCs w:val="22"/>
        </w:rPr>
      </w:pPr>
      <w:r w:rsidRPr="00171D30">
        <w:rPr>
          <w:rFonts w:cs="Arial"/>
          <w:szCs w:val="22"/>
        </w:rPr>
        <w:t xml:space="preserve">The ACMA is required to maintain a register of foreign owners of media assets by electronic means and to make the register available for inspection on the ACMA’s website. The ACMA will update the register and the ACMA’s database whenever new information is received. </w:t>
      </w:r>
    </w:p>
    <w:p w14:paraId="67AE9FD0" w14:textId="77777777" w:rsidR="00171D30" w:rsidRPr="00171D30" w:rsidRDefault="00171D30" w:rsidP="00171D30">
      <w:pPr>
        <w:rPr>
          <w:rFonts w:cs="Arial"/>
          <w:szCs w:val="22"/>
        </w:rPr>
      </w:pPr>
      <w:r w:rsidRPr="00171D30">
        <w:rPr>
          <w:rFonts w:cs="Arial"/>
          <w:szCs w:val="22"/>
        </w:rPr>
        <w:t xml:space="preserve">The ACMA will not use the personal information for any other purpose, nor will we disclose it, other than as noted above, unless we have the individual’s </w:t>
      </w:r>
      <w:proofErr w:type="gramStart"/>
      <w:r w:rsidRPr="00171D30">
        <w:rPr>
          <w:rFonts w:cs="Arial"/>
          <w:szCs w:val="22"/>
        </w:rPr>
        <w:t>consent</w:t>
      </w:r>
      <w:proofErr w:type="gramEnd"/>
      <w:r w:rsidRPr="00171D30">
        <w:rPr>
          <w:rFonts w:cs="Arial"/>
          <w:szCs w:val="22"/>
        </w:rPr>
        <w:t xml:space="preserve"> or we are otherwise permitted to do so under the Privacy Act.  </w:t>
      </w:r>
    </w:p>
    <w:p w14:paraId="3135EE64" w14:textId="77777777" w:rsidR="00171D30" w:rsidRPr="00171D30" w:rsidRDefault="00171D30" w:rsidP="00171D30">
      <w:pPr>
        <w:rPr>
          <w:rFonts w:cs="Arial"/>
          <w:szCs w:val="22"/>
        </w:rPr>
      </w:pPr>
      <w:r w:rsidRPr="00171D30">
        <w:rPr>
          <w:rFonts w:cs="Arial"/>
          <w:szCs w:val="22"/>
        </w:rPr>
        <w:t xml:space="preserve">If the personal information is not provided it may mean the form is not a valid notification under sections 74F, 74G, 74H and 74J of the BSA and may not be processed. </w:t>
      </w:r>
    </w:p>
    <w:p w14:paraId="7D074785" w14:textId="77777777" w:rsidR="00171D30" w:rsidRPr="00171D30" w:rsidRDefault="00171D30" w:rsidP="00171D30">
      <w:pPr>
        <w:rPr>
          <w:rFonts w:cs="Arial"/>
          <w:szCs w:val="22"/>
        </w:rPr>
      </w:pPr>
      <w:r w:rsidRPr="00171D30">
        <w:rPr>
          <w:rFonts w:cs="Arial"/>
          <w:szCs w:val="22"/>
        </w:rPr>
        <w:t xml:space="preserve">Further information on the Privacy Act and the ACMA’s Privacy Policy is available www.acma.gov.au/privacypolicy. The Privacy Policy contains details about how you may access personal information about you that is held by the ACMA and seek the correction of such information. It also explains how you may complain about a breach of the Privacy Act and how we will deal with such a complaint. </w:t>
      </w:r>
    </w:p>
    <w:p w14:paraId="1B4FA750" w14:textId="77777777" w:rsidR="00171D30" w:rsidRPr="00171D30" w:rsidRDefault="00171D30" w:rsidP="00171D30">
      <w:pPr>
        <w:rPr>
          <w:rFonts w:cs="Arial"/>
          <w:szCs w:val="22"/>
        </w:rPr>
      </w:pPr>
      <w:r w:rsidRPr="00171D30">
        <w:rPr>
          <w:rFonts w:cs="Arial"/>
          <w:szCs w:val="22"/>
        </w:rPr>
        <w:t xml:space="preserve">Should you have any questions in this regard please contact the ACMA’s privacy contact officer on telephone on 1800 226 667 or by email at </w:t>
      </w:r>
      <w:hyperlink r:id="rId32" w:history="1">
        <w:r w:rsidRPr="00171D30">
          <w:rPr>
            <w:rFonts w:cs="Arial"/>
            <w:color w:val="0000FF"/>
            <w:szCs w:val="22"/>
            <w:u w:val="single"/>
          </w:rPr>
          <w:t>privacy@acma.gov.au</w:t>
        </w:r>
      </w:hyperlink>
      <w:r w:rsidRPr="00171D30">
        <w:rPr>
          <w:rFonts w:cs="Arial"/>
          <w:szCs w:val="22"/>
        </w:rPr>
        <w:t xml:space="preserve">. </w:t>
      </w:r>
      <w:r w:rsidRPr="00171D30">
        <w:rPr>
          <w:rFonts w:cs="Arial"/>
          <w:szCs w:val="22"/>
        </w:rPr>
        <w:br w:type="page"/>
      </w:r>
    </w:p>
    <w:p w14:paraId="59D2746A" w14:textId="3D7BCEB2" w:rsidR="00171D30" w:rsidRPr="00171D30" w:rsidRDefault="00171D30" w:rsidP="003C1930">
      <w:pPr>
        <w:pStyle w:val="Heading1"/>
      </w:pPr>
      <w:bookmarkStart w:id="51" w:name="_Toc504040311"/>
      <w:bookmarkStart w:id="52" w:name="_Toc48889556"/>
      <w:bookmarkStart w:id="53" w:name="_Toc50038410"/>
      <w:r w:rsidRPr="00171D30">
        <w:t>G</w:t>
      </w:r>
      <w:r w:rsidR="005642D4">
        <w:t>uidance notes for notification</w:t>
      </w:r>
      <w:r w:rsidR="003C1930">
        <w:t> </w:t>
      </w:r>
      <w:r w:rsidR="005642D4">
        <w:t>form</w:t>
      </w:r>
      <w:bookmarkEnd w:id="51"/>
      <w:bookmarkEnd w:id="52"/>
      <w:bookmarkEnd w:id="53"/>
    </w:p>
    <w:p w14:paraId="79C8E3DE" w14:textId="77777777" w:rsidR="00171D30" w:rsidRPr="00171D30" w:rsidRDefault="00171D30" w:rsidP="003C1930">
      <w:pPr>
        <w:pStyle w:val="Paragraph"/>
      </w:pPr>
      <w:r w:rsidRPr="00171D30">
        <w:t>Use the guidelines below to familiarise yourself with form navigation.</w:t>
      </w:r>
    </w:p>
    <w:p w14:paraId="2ADAA1ED" w14:textId="51B54E7E" w:rsidR="00171D30" w:rsidRPr="00171D30" w:rsidRDefault="00171D30" w:rsidP="003C1930">
      <w:pPr>
        <w:pStyle w:val="Heading2"/>
      </w:pPr>
      <w:bookmarkStart w:id="54" w:name="_Toc454457617"/>
      <w:bookmarkStart w:id="55" w:name="_Toc504040312"/>
      <w:bookmarkStart w:id="56" w:name="_Toc48889557"/>
      <w:bookmarkStart w:id="57" w:name="_Toc50038411"/>
      <w:r w:rsidRPr="00171D30">
        <w:t xml:space="preserve">Form </w:t>
      </w:r>
      <w:r w:rsidR="005642D4">
        <w:t>n</w:t>
      </w:r>
      <w:r w:rsidRPr="00171D30">
        <w:t>avigation</w:t>
      </w:r>
      <w:bookmarkEnd w:id="54"/>
      <w:bookmarkEnd w:id="55"/>
      <w:bookmarkEnd w:id="56"/>
      <w:bookmarkEnd w:id="57"/>
    </w:p>
    <w:p w14:paraId="2082D8B1" w14:textId="77777777" w:rsidR="00171D30" w:rsidRPr="00171D30" w:rsidRDefault="00171D30" w:rsidP="00171D30">
      <w:pPr>
        <w:ind w:left="-851" w:firstLine="851"/>
        <w:jc w:val="both"/>
        <w:rPr>
          <w:rFonts w:cs="Arial"/>
          <w:szCs w:val="22"/>
        </w:rPr>
      </w:pPr>
      <w:r w:rsidRPr="00171D30">
        <w:rPr>
          <w:rFonts w:cs="Arial"/>
          <w:i/>
          <w:noProof/>
          <w:szCs w:val="22"/>
        </w:rPr>
        <w:drawing>
          <wp:inline distT="0" distB="0" distL="0" distR="0" wp14:anchorId="07E53522" wp14:editId="5C3E289B">
            <wp:extent cx="6038400" cy="3542665"/>
            <wp:effectExtent l="0" t="0" r="635" b="635"/>
            <wp:docPr id="6" name="Picture 6" descr="Form nav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7853" cy="3577545"/>
                    </a:xfrm>
                    <a:prstGeom prst="rect">
                      <a:avLst/>
                    </a:prstGeom>
                    <a:noFill/>
                    <a:ln>
                      <a:noFill/>
                    </a:ln>
                  </pic:spPr>
                </pic:pic>
              </a:graphicData>
            </a:graphic>
          </wp:inline>
        </w:drawing>
      </w:r>
    </w:p>
    <w:p w14:paraId="56BFBEBD" w14:textId="77777777" w:rsidR="00171D30" w:rsidRPr="00171D30" w:rsidRDefault="00171D30" w:rsidP="00171D30">
      <w:pPr>
        <w:jc w:val="both"/>
        <w:rPr>
          <w:rFonts w:cs="Arial"/>
          <w:i/>
          <w:szCs w:val="22"/>
        </w:rPr>
      </w:pPr>
      <w:r w:rsidRPr="00171D30">
        <w:rPr>
          <w:rFonts w:cs="Arial"/>
          <w:i/>
          <w:szCs w:val="22"/>
        </w:rPr>
        <w:t>Sample Page: Becoming a foreign stakeholder page</w:t>
      </w:r>
    </w:p>
    <w:p w14:paraId="15053A98" w14:textId="33910AB8" w:rsidR="00171D30" w:rsidRPr="003C1930" w:rsidRDefault="00171D30" w:rsidP="003C1930">
      <w:pPr>
        <w:pStyle w:val="Paragraphbeforelist"/>
        <w:rPr>
          <w:b/>
          <w:bCs/>
          <w:u w:val="single"/>
        </w:rPr>
      </w:pPr>
      <w:r w:rsidRPr="003C1930">
        <w:rPr>
          <w:b/>
          <w:bCs/>
          <w:u w:val="single"/>
        </w:rPr>
        <w:t xml:space="preserve">Screen </w:t>
      </w:r>
      <w:r w:rsidR="00EE76E2" w:rsidRPr="003C1930">
        <w:rPr>
          <w:b/>
          <w:bCs/>
          <w:u w:val="single"/>
        </w:rPr>
        <w:t>n</w:t>
      </w:r>
      <w:r w:rsidRPr="003C1930">
        <w:rPr>
          <w:b/>
          <w:bCs/>
          <w:u w:val="single"/>
        </w:rPr>
        <w:t>otes:</w:t>
      </w:r>
    </w:p>
    <w:p w14:paraId="04A59C35" w14:textId="77777777" w:rsidR="00171D30" w:rsidRPr="00171D30" w:rsidRDefault="00171D30" w:rsidP="00E72844">
      <w:pPr>
        <w:pStyle w:val="Bulletlevel1"/>
      </w:pPr>
      <w:r w:rsidRPr="00171D30">
        <w:t>The preview icon (</w:t>
      </w:r>
      <w:r w:rsidRPr="00171D30">
        <w:rPr>
          <w:noProof/>
        </w:rPr>
        <w:drawing>
          <wp:inline distT="0" distB="0" distL="0" distR="0" wp14:anchorId="0C1084DA" wp14:editId="70C565B3">
            <wp:extent cx="180340" cy="172143"/>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8957" cy="180369"/>
                    </a:xfrm>
                    <a:prstGeom prst="rect">
                      <a:avLst/>
                    </a:prstGeom>
                  </pic:spPr>
                </pic:pic>
              </a:graphicData>
            </a:graphic>
          </wp:inline>
        </w:drawing>
      </w:r>
      <w:r w:rsidRPr="00171D30">
        <w:t>)creates a document from a template containing data entry in progress.</w:t>
      </w:r>
    </w:p>
    <w:p w14:paraId="60665F90" w14:textId="77777777" w:rsidR="00171D30" w:rsidRPr="00171D30" w:rsidRDefault="00171D30" w:rsidP="00E72844">
      <w:pPr>
        <w:pStyle w:val="Bulletlevel1"/>
      </w:pPr>
      <w:r w:rsidRPr="00171D30">
        <w:t>Next and Back arrows (</w:t>
      </w:r>
      <w:r w:rsidRPr="00171D30">
        <w:rPr>
          <w:noProof/>
        </w:rPr>
        <w:drawing>
          <wp:inline distT="0" distB="0" distL="0" distR="0" wp14:anchorId="5FDB814E" wp14:editId="02FC8227">
            <wp:extent cx="274874" cy="129191"/>
            <wp:effectExtent l="0" t="0" r="0" b="0"/>
            <wp:docPr id="149" name="Picture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flipV="1">
                      <a:off x="0" y="0"/>
                      <a:ext cx="296189" cy="139209"/>
                    </a:xfrm>
                    <a:prstGeom prst="rect">
                      <a:avLst/>
                    </a:prstGeom>
                  </pic:spPr>
                </pic:pic>
              </a:graphicData>
            </a:graphic>
          </wp:inline>
        </w:drawing>
      </w:r>
      <w:r w:rsidRPr="00171D30">
        <w:t xml:space="preserve"> ) control navigation. They appear at top right of the screen.</w:t>
      </w:r>
    </w:p>
    <w:p w14:paraId="526D0E00" w14:textId="77777777" w:rsidR="00171D30" w:rsidRPr="00171D30" w:rsidRDefault="00171D30" w:rsidP="00E72844">
      <w:pPr>
        <w:pStyle w:val="Bulletlevel1"/>
      </w:pPr>
      <w:r w:rsidRPr="00171D30">
        <w:t>Mandatory fields have a red asterisk (</w:t>
      </w:r>
      <w:r w:rsidRPr="00171D30">
        <w:rPr>
          <w:color w:val="FF0000"/>
        </w:rPr>
        <w:t>*</w:t>
      </w:r>
      <w:r w:rsidRPr="00171D30">
        <w:t>). An error message displays in red if the user attempts to navigate forward or back without filling out mandatory fields.</w:t>
      </w:r>
    </w:p>
    <w:p w14:paraId="3CBEE50D" w14:textId="77777777" w:rsidR="00171D30" w:rsidRPr="00171D30" w:rsidRDefault="00171D30" w:rsidP="00E72844">
      <w:pPr>
        <w:pStyle w:val="Bulletlevel1"/>
      </w:pPr>
      <w:r w:rsidRPr="00171D30">
        <w:t xml:space="preserve">Some fields have validation checks to maximise data accuracy. Edit checks are often invoked when the user navigates forward or back. </w:t>
      </w:r>
    </w:p>
    <w:p w14:paraId="0265EF68" w14:textId="77777777" w:rsidR="00171D30" w:rsidRPr="00171D30" w:rsidRDefault="00171D30" w:rsidP="00E72844">
      <w:pPr>
        <w:pStyle w:val="Bulletlevel1"/>
      </w:pPr>
      <w:r w:rsidRPr="00171D30">
        <w:t>A red warning message displays under the applicable field if the entered text fails edit checks.</w:t>
      </w:r>
    </w:p>
    <w:p w14:paraId="1B9E076E" w14:textId="77777777" w:rsidR="00171D30" w:rsidRPr="00171D30" w:rsidRDefault="00171D30" w:rsidP="00E72844">
      <w:pPr>
        <w:pStyle w:val="Bulletlevel1"/>
      </w:pPr>
      <w:r w:rsidRPr="00171D30">
        <w:t>Date selection is also available on date/time fields.</w:t>
      </w:r>
    </w:p>
    <w:p w14:paraId="188FC59B" w14:textId="77777777" w:rsidR="00171D30" w:rsidRPr="00171D30" w:rsidRDefault="00171D30" w:rsidP="00E72844">
      <w:pPr>
        <w:pStyle w:val="Bulletlevel1"/>
      </w:pPr>
      <w:r w:rsidRPr="00171D30">
        <w:t>Click the “+” and “-” icons (</w:t>
      </w:r>
      <w:r w:rsidRPr="00171D30">
        <w:rPr>
          <w:noProof/>
        </w:rPr>
        <w:drawing>
          <wp:inline distT="0" distB="0" distL="0" distR="0" wp14:anchorId="2C19CC77" wp14:editId="74C5B0D8">
            <wp:extent cx="274744" cy="117747"/>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01169" cy="129072"/>
                    </a:xfrm>
                    <a:prstGeom prst="rect">
                      <a:avLst/>
                    </a:prstGeom>
                  </pic:spPr>
                </pic:pic>
              </a:graphicData>
            </a:graphic>
          </wp:inline>
        </w:drawing>
      </w:r>
      <w:r w:rsidRPr="00171D30">
        <w:t>) to add or remove sub-records, e.g. on the Australian Media Company page to add more companies, or remove the companies already added.</w:t>
      </w:r>
    </w:p>
    <w:p w14:paraId="5E9C9017" w14:textId="77777777" w:rsidR="00171D30" w:rsidRPr="00171D30" w:rsidRDefault="00171D30" w:rsidP="00E72844">
      <w:pPr>
        <w:pStyle w:val="Bulletlevel1"/>
        <w:keepNext/>
        <w:keepLines/>
      </w:pPr>
      <w:r w:rsidRPr="00171D30">
        <w:t>Submit button is always on the final page.</w:t>
      </w:r>
    </w:p>
    <w:p w14:paraId="3750B8D1" w14:textId="77777777" w:rsidR="00171D30" w:rsidRPr="00171D30" w:rsidRDefault="00171D30" w:rsidP="00E72844">
      <w:pPr>
        <w:pStyle w:val="Bulletlevel1last"/>
        <w:keepNext/>
        <w:keepLines/>
      </w:pPr>
      <w:r w:rsidRPr="00171D30">
        <w:t xml:space="preserve">Left hand navigation is specific to the form. The user can navigate directly to a page using the </w:t>
      </w:r>
      <w:proofErr w:type="gramStart"/>
      <w:r w:rsidRPr="00171D30">
        <w:t>left hand</w:t>
      </w:r>
      <w:proofErr w:type="gramEnd"/>
      <w:r w:rsidRPr="00171D30">
        <w:t xml:space="preserve"> navigation. Standard highlighting is applied to left hand navigation to indicate if more actions are required on the specific page.</w:t>
      </w:r>
    </w:p>
    <w:p w14:paraId="2ECF0A6F" w14:textId="748E8F6C" w:rsidR="00171D30" w:rsidRPr="00171D30" w:rsidRDefault="00171D30" w:rsidP="003C1930">
      <w:pPr>
        <w:pStyle w:val="Heading2"/>
      </w:pPr>
      <w:bookmarkStart w:id="58" w:name="_Toc504040313"/>
      <w:bookmarkStart w:id="59" w:name="_Toc48889558"/>
      <w:bookmarkStart w:id="60" w:name="_Toc50038412"/>
      <w:r w:rsidRPr="00171D30">
        <w:t>A</w:t>
      </w:r>
      <w:r w:rsidR="00EE76E2">
        <w:t>ccessing the form</w:t>
      </w:r>
      <w:bookmarkEnd w:id="58"/>
      <w:bookmarkEnd w:id="59"/>
      <w:bookmarkEnd w:id="60"/>
      <w:r w:rsidRPr="00171D30">
        <w:t xml:space="preserve"> </w:t>
      </w:r>
    </w:p>
    <w:p w14:paraId="57D01C5D" w14:textId="77777777" w:rsidR="00171D30" w:rsidRPr="00171D30" w:rsidRDefault="00171D30" w:rsidP="00171D30">
      <w:pPr>
        <w:jc w:val="both"/>
        <w:rPr>
          <w:rFonts w:cs="Arial"/>
          <w:szCs w:val="22"/>
        </w:rPr>
      </w:pPr>
      <w:r w:rsidRPr="00171D30">
        <w:rPr>
          <w:rFonts w:cs="Arial"/>
          <w:szCs w:val="22"/>
        </w:rPr>
        <w:t xml:space="preserve">The form can be accessed via ‘Guest </w:t>
      </w:r>
      <w:proofErr w:type="gramStart"/>
      <w:r w:rsidRPr="00171D30">
        <w:rPr>
          <w:rFonts w:cs="Arial"/>
          <w:szCs w:val="22"/>
        </w:rPr>
        <w:t>access’</w:t>
      </w:r>
      <w:proofErr w:type="gramEnd"/>
      <w:r w:rsidRPr="00171D30">
        <w:rPr>
          <w:rFonts w:cs="Arial"/>
          <w:szCs w:val="22"/>
        </w:rPr>
        <w:t>.</w:t>
      </w:r>
    </w:p>
    <w:p w14:paraId="65DD0608" w14:textId="77777777" w:rsidR="00171D30" w:rsidRPr="00171D30" w:rsidRDefault="00171D30" w:rsidP="003C1930">
      <w:pPr>
        <w:pStyle w:val="Heading3"/>
      </w:pPr>
      <w:bookmarkStart w:id="61" w:name="_Toc504040315"/>
      <w:bookmarkStart w:id="62" w:name="_Toc48889559"/>
      <w:bookmarkStart w:id="63" w:name="_Toc50038413"/>
      <w:r w:rsidRPr="00171D30">
        <w:t>How to access the form as a guest</w:t>
      </w:r>
      <w:bookmarkEnd w:id="61"/>
      <w:bookmarkEnd w:id="62"/>
      <w:bookmarkEnd w:id="63"/>
    </w:p>
    <w:p w14:paraId="6B3D5079" w14:textId="77777777" w:rsidR="00171D30" w:rsidRPr="00171D30" w:rsidRDefault="00171D30" w:rsidP="00171D30">
      <w:pPr>
        <w:numPr>
          <w:ilvl w:val="0"/>
          <w:numId w:val="12"/>
        </w:numPr>
        <w:spacing w:after="120" w:line="240" w:lineRule="auto"/>
        <w:jc w:val="both"/>
        <w:rPr>
          <w:rFonts w:cs="Arial"/>
          <w:szCs w:val="20"/>
          <w:lang w:val="en-US" w:eastAsia="en-US"/>
        </w:rPr>
      </w:pPr>
      <w:r w:rsidRPr="00171D30">
        <w:rPr>
          <w:rFonts w:cs="Arial"/>
          <w:szCs w:val="20"/>
          <w:lang w:val="en-US" w:eastAsia="en-US"/>
        </w:rPr>
        <w:t xml:space="preserve">Navigate to </w:t>
      </w:r>
      <w:hyperlink r:id="rId37" w:history="1">
        <w:r w:rsidRPr="00171D30">
          <w:rPr>
            <w:rFonts w:cs="Arial"/>
            <w:color w:val="0000FF"/>
            <w:szCs w:val="20"/>
            <w:u w:val="single"/>
            <w:lang w:val="en-US" w:eastAsia="en-US"/>
          </w:rPr>
          <w:t>https://complaint.acma.gov.au/Infiniti/Produce</w:t>
        </w:r>
      </w:hyperlink>
      <w:r w:rsidRPr="00171D30">
        <w:rPr>
          <w:rFonts w:cs="Arial"/>
          <w:szCs w:val="20"/>
          <w:lang w:val="en-US" w:eastAsia="en-US"/>
        </w:rPr>
        <w:t>. This is the ACMA Public Form Portal. You will be presented with a list of forms.</w:t>
      </w:r>
    </w:p>
    <w:p w14:paraId="2A451D8E" w14:textId="77777777" w:rsidR="00171D30" w:rsidRPr="00171D30" w:rsidRDefault="00171D30" w:rsidP="00171D30">
      <w:pPr>
        <w:numPr>
          <w:ilvl w:val="0"/>
          <w:numId w:val="12"/>
        </w:numPr>
        <w:spacing w:line="240" w:lineRule="auto"/>
        <w:jc w:val="both"/>
        <w:rPr>
          <w:rFonts w:cs="Arial"/>
          <w:szCs w:val="20"/>
          <w:lang w:val="en-US" w:eastAsia="en-US"/>
        </w:rPr>
      </w:pPr>
      <w:r w:rsidRPr="00171D30">
        <w:rPr>
          <w:rFonts w:cs="Arial"/>
          <w:szCs w:val="20"/>
          <w:lang w:val="en-US" w:eastAsia="en-US"/>
        </w:rPr>
        <w:t>Click the ‘Notification of foreign ownership’ link to open a new form.</w:t>
      </w:r>
    </w:p>
    <w:p w14:paraId="388BA422" w14:textId="3B3C1694" w:rsidR="00171D30" w:rsidRPr="00171D30" w:rsidRDefault="00EE76E2" w:rsidP="003C1930">
      <w:pPr>
        <w:pStyle w:val="Heading2"/>
      </w:pPr>
      <w:bookmarkStart w:id="64" w:name="_Toc504040316"/>
      <w:bookmarkStart w:id="65" w:name="_Toc48889560"/>
      <w:bookmarkStart w:id="66" w:name="_Toc50038414"/>
      <w:r>
        <w:t>Completing the form—section by section</w:t>
      </w:r>
      <w:bookmarkEnd w:id="64"/>
      <w:bookmarkEnd w:id="65"/>
      <w:bookmarkEnd w:id="66"/>
      <w:r w:rsidR="00171D30" w:rsidRPr="00171D30">
        <w:t xml:space="preserve"> </w:t>
      </w:r>
    </w:p>
    <w:p w14:paraId="60247422" w14:textId="77777777" w:rsidR="00171D30" w:rsidRPr="00171D30" w:rsidRDefault="00171D30" w:rsidP="00171D30">
      <w:r w:rsidRPr="00171D30">
        <w:t>The form is divided into pages, each capturing specific information pertaining to the event. Specific page-by-page instructions are detailed below.</w:t>
      </w:r>
    </w:p>
    <w:p w14:paraId="718816A3" w14:textId="77777777" w:rsidR="00171D30" w:rsidRPr="00171D30" w:rsidRDefault="00171D30" w:rsidP="00171D30">
      <w:r w:rsidRPr="00171D30">
        <w:t>A Certification of Notification must be attached with your submission. The form cannot be submitted without this attachment.</w:t>
      </w:r>
    </w:p>
    <w:p w14:paraId="0CD966B3" w14:textId="77777777" w:rsidR="00171D30" w:rsidRPr="00171D30" w:rsidRDefault="00171D30" w:rsidP="00171D30">
      <w:r w:rsidRPr="00171D30">
        <w:t>Please also attach a corporate structure chart on the Appendix Page.</w:t>
      </w:r>
    </w:p>
    <w:p w14:paraId="0B45A1B2" w14:textId="77777777" w:rsidR="00171D30" w:rsidRPr="00171D30" w:rsidRDefault="00171D30" w:rsidP="003C1930">
      <w:pPr>
        <w:pStyle w:val="Heading2"/>
      </w:pPr>
      <w:bookmarkStart w:id="67" w:name="_Toc504040317"/>
      <w:bookmarkStart w:id="68" w:name="_Toc48889561"/>
      <w:bookmarkStart w:id="69" w:name="_Toc50038415"/>
      <w:r w:rsidRPr="003C1930">
        <w:t>Introduction</w:t>
      </w:r>
      <w:bookmarkEnd w:id="67"/>
      <w:r w:rsidRPr="00171D30">
        <w:t xml:space="preserve"> page</w:t>
      </w:r>
      <w:bookmarkEnd w:id="68"/>
      <w:bookmarkEnd w:id="69"/>
    </w:p>
    <w:p w14:paraId="0958D3C7" w14:textId="77777777" w:rsidR="00171D30" w:rsidRPr="00171D30" w:rsidRDefault="00171D30" w:rsidP="00171D30">
      <w:pPr>
        <w:rPr>
          <w:rFonts w:eastAsiaTheme="minorHAnsi" w:cs="Arial"/>
          <w:szCs w:val="20"/>
        </w:rPr>
      </w:pPr>
      <w:r w:rsidRPr="00171D30">
        <w:rPr>
          <w:rFonts w:eastAsiaTheme="minorHAnsi" w:cs="Arial"/>
          <w:szCs w:val="20"/>
        </w:rPr>
        <w:t xml:space="preserve">The Introduction displays when you first access the form. </w:t>
      </w:r>
      <w:r w:rsidRPr="00171D30">
        <w:rPr>
          <w:rFonts w:cs="Arial"/>
          <w:szCs w:val="20"/>
        </w:rPr>
        <w:t xml:space="preserve">It contains some instructions to guide the user in filling out the form and relevant definitions. It also has links to some further information on the ACMA website. </w:t>
      </w:r>
    </w:p>
    <w:p w14:paraId="2FC12FEB" w14:textId="77777777" w:rsidR="00171D30" w:rsidRPr="00171D30" w:rsidRDefault="00171D30" w:rsidP="00171D30">
      <w:pPr>
        <w:rPr>
          <w:rFonts w:eastAsiaTheme="minorHAnsi" w:cs="Arial"/>
          <w:szCs w:val="20"/>
        </w:rPr>
      </w:pPr>
      <w:r w:rsidRPr="00171D30">
        <w:rPr>
          <w:rFonts w:cs="Arial"/>
          <w:b/>
          <w:bCs/>
          <w:szCs w:val="20"/>
        </w:rPr>
        <w:t>Please select the type(s) of notification you wish to perform</w:t>
      </w:r>
      <w:r w:rsidRPr="00171D30">
        <w:rPr>
          <w:rFonts w:eastAsiaTheme="minorHAnsi" w:cs="Arial"/>
          <w:b/>
          <w:bCs/>
          <w:color w:val="000000"/>
          <w:szCs w:val="20"/>
        </w:rPr>
        <w:t xml:space="preserve">: </w:t>
      </w:r>
      <w:r w:rsidRPr="00171D30">
        <w:rPr>
          <w:rFonts w:eastAsiaTheme="minorHAnsi" w:cs="Arial"/>
          <w:szCs w:val="20"/>
        </w:rPr>
        <w:t xml:space="preserve">Click one radio button to identify the type of notification being submitted. </w:t>
      </w:r>
    </w:p>
    <w:p w14:paraId="21580DCF" w14:textId="77777777" w:rsidR="00171D30" w:rsidRPr="00171D30" w:rsidRDefault="00171D30" w:rsidP="00171D30">
      <w:pPr>
        <w:spacing w:before="120"/>
        <w:rPr>
          <w:rFonts w:eastAsiaTheme="minorHAnsi" w:cs="Arial"/>
          <w:szCs w:val="20"/>
        </w:rPr>
      </w:pPr>
      <w:r w:rsidRPr="00171D30">
        <w:rPr>
          <w:noProof/>
        </w:rPr>
        <w:drawing>
          <wp:inline distT="0" distB="0" distL="0" distR="0" wp14:anchorId="5F1E477A" wp14:editId="72D1BA10">
            <wp:extent cx="6088380" cy="1219200"/>
            <wp:effectExtent l="0" t="0" r="762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09141" cy="1223357"/>
                    </a:xfrm>
                    <a:prstGeom prst="rect">
                      <a:avLst/>
                    </a:prstGeom>
                  </pic:spPr>
                </pic:pic>
              </a:graphicData>
            </a:graphic>
          </wp:inline>
        </w:drawing>
      </w:r>
    </w:p>
    <w:p w14:paraId="4A1683F5" w14:textId="77777777" w:rsidR="00171D30" w:rsidRPr="00171D30" w:rsidRDefault="00171D30" w:rsidP="00171D30">
      <w:pPr>
        <w:rPr>
          <w:rFonts w:cs="Arial"/>
          <w:szCs w:val="22"/>
        </w:rPr>
      </w:pPr>
      <w:r w:rsidRPr="00171D30">
        <w:rPr>
          <w:rFonts w:cs="Arial"/>
          <w:b/>
          <w:szCs w:val="22"/>
        </w:rPr>
        <w:t>Are you an executor, administrator, or a liquidator on behalf of a foreign stakeholder that is deceased or wound up?</w:t>
      </w:r>
      <w:r w:rsidRPr="00171D30">
        <w:rPr>
          <w:rFonts w:cs="Arial"/>
          <w:szCs w:val="22"/>
        </w:rPr>
        <w:t xml:space="preserve"> Click on the radio button on the Introduction page to indicate whether you are an executor, administrator, or a liquidator on behalf of a foreign stakeholder that is deceased or wound up. Please provide the name of the executor, administrator, or liquidator and a brief description of the circumstances of your role.</w:t>
      </w:r>
    </w:p>
    <w:p w14:paraId="5CD12BF6" w14:textId="77777777" w:rsidR="00171D30" w:rsidRPr="00171D30" w:rsidRDefault="00171D30" w:rsidP="00B95A9C">
      <w:pPr>
        <w:pStyle w:val="Paragraphbeforelist"/>
      </w:pPr>
      <w:r w:rsidRPr="00171D30">
        <w:t xml:space="preserve">Once a notification type is selected the full </w:t>
      </w:r>
      <w:proofErr w:type="gramStart"/>
      <w:r w:rsidRPr="00171D30">
        <w:t>left hand</w:t>
      </w:r>
      <w:proofErr w:type="gramEnd"/>
      <w:r w:rsidRPr="00171D30">
        <w:t xml:space="preserve"> navigation displays. This may change based on your selection:</w:t>
      </w:r>
    </w:p>
    <w:p w14:paraId="5F907407"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Introduction</w:t>
      </w:r>
    </w:p>
    <w:p w14:paraId="43C00D74"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Contact Details</w:t>
      </w:r>
    </w:p>
    <w:p w14:paraId="39D0FDF9"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Part A—Australian Media Companies</w:t>
      </w:r>
    </w:p>
    <w:p w14:paraId="21AC0357"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Part B1—Foreign stakeholder designated information (74F, 74H, 74J)</w:t>
      </w:r>
    </w:p>
    <w:p w14:paraId="5F08D7D3"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 xml:space="preserve">Part B2—Details of person(s) that has ceased being a foreign stakeholder (74G) </w:t>
      </w:r>
    </w:p>
    <w:p w14:paraId="714CB4D5"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 xml:space="preserve">Part C—Notification by a person who becomes a foreign stakeholder (s74F) </w:t>
      </w:r>
    </w:p>
    <w:p w14:paraId="26C240E6"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Part D—Notification by a foreign person who ceases to be a foreign stakeholder (s74G); or</w:t>
      </w:r>
    </w:p>
    <w:p w14:paraId="0540723A"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Part E—Notification by a foreign stakeholder of company interests held in an Australian media company at the end of a financial year (s74H); or</w:t>
      </w:r>
    </w:p>
    <w:p w14:paraId="146AD72A"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Part F—Notification by a foreign stakeholder of company interests held in an Australian media company at commencement of Division 10A of the BSA (s74J</w:t>
      </w:r>
      <w:proofErr w:type="gramStart"/>
      <w:r w:rsidRPr="00171D30">
        <w:rPr>
          <w:rFonts w:cs="Arial"/>
          <w:szCs w:val="20"/>
          <w:lang w:val="en-US" w:eastAsia="en-US"/>
        </w:rPr>
        <w:t>);</w:t>
      </w:r>
      <w:proofErr w:type="gramEnd"/>
      <w:r w:rsidRPr="00171D30">
        <w:rPr>
          <w:rFonts w:cs="Arial"/>
          <w:szCs w:val="20"/>
          <w:lang w:val="en-US" w:eastAsia="en-US"/>
        </w:rPr>
        <w:t xml:space="preserve"> </w:t>
      </w:r>
    </w:p>
    <w:p w14:paraId="61CD33A8"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Part G—Notification by a person who is a foreign stakeholder—Requirement by the ACMA</w:t>
      </w:r>
    </w:p>
    <w:p w14:paraId="1843A63A"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Part H—Certification of notification</w:t>
      </w:r>
    </w:p>
    <w:p w14:paraId="764CABA6" w14:textId="77777777" w:rsidR="00171D30" w:rsidRPr="00171D30" w:rsidRDefault="00171D30" w:rsidP="00171D30">
      <w:pPr>
        <w:numPr>
          <w:ilvl w:val="0"/>
          <w:numId w:val="13"/>
        </w:numPr>
        <w:spacing w:after="80" w:line="240" w:lineRule="auto"/>
        <w:ind w:left="709"/>
        <w:rPr>
          <w:rFonts w:cs="Arial"/>
          <w:szCs w:val="20"/>
          <w:lang w:val="en-US" w:eastAsia="en-US"/>
        </w:rPr>
      </w:pPr>
      <w:r w:rsidRPr="00171D30">
        <w:rPr>
          <w:rFonts w:cs="Arial"/>
          <w:szCs w:val="20"/>
          <w:lang w:val="en-US" w:eastAsia="en-US"/>
        </w:rPr>
        <w:t>Part I—Appendix – Corporate Structure chart and other attachments</w:t>
      </w:r>
    </w:p>
    <w:p w14:paraId="7662026D" w14:textId="77777777" w:rsidR="00171D30" w:rsidRPr="00171D30" w:rsidRDefault="00171D30" w:rsidP="00171D30">
      <w:pPr>
        <w:numPr>
          <w:ilvl w:val="0"/>
          <w:numId w:val="13"/>
        </w:numPr>
        <w:spacing w:line="240" w:lineRule="auto"/>
        <w:ind w:left="709"/>
        <w:rPr>
          <w:rFonts w:cs="Arial"/>
          <w:szCs w:val="20"/>
          <w:lang w:val="en-US" w:eastAsia="en-US"/>
        </w:rPr>
      </w:pPr>
      <w:r w:rsidRPr="00171D30">
        <w:rPr>
          <w:rFonts w:cs="Arial"/>
          <w:szCs w:val="20"/>
          <w:lang w:val="en-US" w:eastAsia="en-US"/>
        </w:rPr>
        <w:t>Finish</w:t>
      </w:r>
    </w:p>
    <w:p w14:paraId="29040B02" w14:textId="77777777" w:rsidR="00171D30" w:rsidRPr="00171D30" w:rsidRDefault="00171D30" w:rsidP="00171D30">
      <w:pPr>
        <w:rPr>
          <w:rFonts w:cs="Arial"/>
          <w:szCs w:val="22"/>
        </w:rPr>
      </w:pPr>
      <w:r w:rsidRPr="00171D30">
        <w:rPr>
          <w:rFonts w:cs="Arial"/>
          <w:szCs w:val="22"/>
        </w:rPr>
        <w:t>Once the Introduction Page is complete click the right arrow (</w:t>
      </w:r>
      <w:r w:rsidRPr="00171D30">
        <w:rPr>
          <w:rFonts w:cs="Arial"/>
          <w:noProof/>
          <w:szCs w:val="22"/>
        </w:rPr>
        <w:drawing>
          <wp:inline distT="0" distB="0" distL="0" distR="0" wp14:anchorId="18A4784A" wp14:editId="78A77B62">
            <wp:extent cx="132700" cy="129614"/>
            <wp:effectExtent l="0" t="0" r="1270" b="381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flipV="1">
                      <a:off x="0" y="0"/>
                      <a:ext cx="145979" cy="142584"/>
                    </a:xfrm>
                    <a:prstGeom prst="rect">
                      <a:avLst/>
                    </a:prstGeom>
                  </pic:spPr>
                </pic:pic>
              </a:graphicData>
            </a:graphic>
          </wp:inline>
        </w:drawing>
      </w:r>
      <w:r w:rsidRPr="00171D30">
        <w:rPr>
          <w:rFonts w:cs="Arial"/>
          <w:szCs w:val="22"/>
        </w:rPr>
        <w:t>) to navigate to the Contact Details page.</w:t>
      </w:r>
    </w:p>
    <w:p w14:paraId="1B270580" w14:textId="0B3AF38D" w:rsidR="00171D30" w:rsidRPr="00171D30" w:rsidRDefault="00171D30" w:rsidP="00B95A9C">
      <w:pPr>
        <w:pStyle w:val="Heading2"/>
      </w:pPr>
      <w:bookmarkStart w:id="70" w:name="_Toc504040318"/>
      <w:bookmarkStart w:id="71" w:name="_Toc48889562"/>
      <w:bookmarkStart w:id="72" w:name="_Toc50038416"/>
      <w:r w:rsidRPr="00171D30">
        <w:t xml:space="preserve">Contact </w:t>
      </w:r>
      <w:r w:rsidR="00EE76E2">
        <w:t>d</w:t>
      </w:r>
      <w:r w:rsidRPr="00171D30">
        <w:t xml:space="preserve">etails </w:t>
      </w:r>
      <w:bookmarkEnd w:id="70"/>
      <w:r w:rsidRPr="00171D30">
        <w:t>page</w:t>
      </w:r>
      <w:bookmarkEnd w:id="71"/>
      <w:bookmarkEnd w:id="72"/>
    </w:p>
    <w:p w14:paraId="430AB4B3" w14:textId="77777777" w:rsidR="00171D30" w:rsidRPr="00171D30" w:rsidRDefault="00171D30" w:rsidP="00171D30">
      <w:pPr>
        <w:rPr>
          <w:rFonts w:eastAsiaTheme="minorHAnsi" w:cs="Arial"/>
          <w:szCs w:val="22"/>
        </w:rPr>
      </w:pPr>
      <w:r w:rsidRPr="00171D30">
        <w:rPr>
          <w:rFonts w:eastAsiaTheme="minorHAnsi" w:cs="Arial"/>
          <w:szCs w:val="22"/>
        </w:rPr>
        <w:t xml:space="preserve">The person completing this form should be authorised by the foreign stakeholder(s) whose information is being provided. Enter the details of the person the ACMA should contact if any further information is required in respect of the form. </w:t>
      </w:r>
    </w:p>
    <w:p w14:paraId="0CC30F85" w14:textId="77777777" w:rsidR="00171D30" w:rsidRPr="00171D30" w:rsidRDefault="00171D30" w:rsidP="00171D30">
      <w:pPr>
        <w:rPr>
          <w:rFonts w:cs="Arial"/>
          <w:szCs w:val="22"/>
        </w:rPr>
      </w:pPr>
      <w:r w:rsidRPr="00171D30">
        <w:rPr>
          <w:rFonts w:cs="Arial"/>
          <w:szCs w:val="22"/>
        </w:rPr>
        <w:t>Once the Contact Details Page is complete click the right arrow (</w:t>
      </w:r>
      <w:r w:rsidRPr="00171D30">
        <w:rPr>
          <w:rFonts w:cs="Arial"/>
          <w:noProof/>
          <w:szCs w:val="22"/>
        </w:rPr>
        <w:drawing>
          <wp:inline distT="0" distB="0" distL="0" distR="0" wp14:anchorId="4C3549E6" wp14:editId="3360DA97">
            <wp:extent cx="132700" cy="129614"/>
            <wp:effectExtent l="0" t="0" r="1270" b="381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flipV="1">
                      <a:off x="0" y="0"/>
                      <a:ext cx="145979" cy="142584"/>
                    </a:xfrm>
                    <a:prstGeom prst="rect">
                      <a:avLst/>
                    </a:prstGeom>
                  </pic:spPr>
                </pic:pic>
              </a:graphicData>
            </a:graphic>
          </wp:inline>
        </w:drawing>
      </w:r>
      <w:r w:rsidRPr="00171D30">
        <w:rPr>
          <w:rFonts w:cs="Arial"/>
          <w:szCs w:val="22"/>
        </w:rPr>
        <w:t>) to navigate to Part A – Australian Media Companies.</w:t>
      </w:r>
    </w:p>
    <w:p w14:paraId="323728A6" w14:textId="77777777" w:rsidR="00171D30" w:rsidRPr="00171D30" w:rsidRDefault="00171D30" w:rsidP="00B95A9C">
      <w:pPr>
        <w:pStyle w:val="Heading2"/>
      </w:pPr>
      <w:bookmarkStart w:id="73" w:name="_Toc504040319"/>
      <w:bookmarkStart w:id="74" w:name="_Toc48889563"/>
      <w:bookmarkStart w:id="75" w:name="_Toc50038417"/>
      <w:r w:rsidRPr="00171D30">
        <w:t xml:space="preserve">Part A—Australian </w:t>
      </w:r>
      <w:bookmarkEnd w:id="73"/>
      <w:r w:rsidRPr="00171D30">
        <w:t>media companies</w:t>
      </w:r>
      <w:bookmarkEnd w:id="74"/>
      <w:bookmarkEnd w:id="75"/>
    </w:p>
    <w:p w14:paraId="091F3F26" w14:textId="77777777" w:rsidR="00171D30" w:rsidRPr="00171D30" w:rsidRDefault="00171D30" w:rsidP="00171D30">
      <w:pPr>
        <w:rPr>
          <w:rFonts w:eastAsiaTheme="minorHAnsi" w:cs="Arial"/>
          <w:szCs w:val="22"/>
        </w:rPr>
      </w:pPr>
      <w:r w:rsidRPr="00171D30">
        <w:rPr>
          <w:rFonts w:eastAsiaTheme="minorHAnsi" w:cs="Arial"/>
          <w:szCs w:val="22"/>
        </w:rPr>
        <w:t>You are required to provide information about the Australian media companies that are the subject of the notification.  An Australian media company is:</w:t>
      </w:r>
    </w:p>
    <w:p w14:paraId="0EC65C4A" w14:textId="77777777" w:rsidR="00171D30" w:rsidRPr="00171D30" w:rsidRDefault="00171D30" w:rsidP="00B95A9C">
      <w:pPr>
        <w:pStyle w:val="Bulletlevel1"/>
        <w:rPr>
          <w:rFonts w:eastAsiaTheme="minorHAnsi"/>
        </w:rPr>
      </w:pPr>
      <w:r w:rsidRPr="00171D30">
        <w:rPr>
          <w:rFonts w:eastAsiaTheme="minorHAnsi"/>
        </w:rPr>
        <w:t>the licensee of a commercial television broadcasting licence</w:t>
      </w:r>
    </w:p>
    <w:p w14:paraId="6ACF414C" w14:textId="77777777" w:rsidR="00171D30" w:rsidRPr="00171D30" w:rsidRDefault="00171D30" w:rsidP="00B95A9C">
      <w:pPr>
        <w:pStyle w:val="Bulletlevel1"/>
        <w:rPr>
          <w:rFonts w:eastAsiaTheme="minorHAnsi"/>
        </w:rPr>
      </w:pPr>
      <w:r w:rsidRPr="00171D30">
        <w:rPr>
          <w:rFonts w:eastAsiaTheme="minorHAnsi"/>
        </w:rPr>
        <w:t>the licensee of a commercial radio broadcasting licence</w:t>
      </w:r>
    </w:p>
    <w:p w14:paraId="2C08E637" w14:textId="77777777" w:rsidR="00171D30" w:rsidRPr="00171D30" w:rsidRDefault="00171D30" w:rsidP="00B95A9C">
      <w:pPr>
        <w:pStyle w:val="Bulletlevel1last"/>
        <w:rPr>
          <w:rFonts w:eastAsiaTheme="minorHAnsi"/>
        </w:rPr>
      </w:pPr>
      <w:r w:rsidRPr="00171D30">
        <w:rPr>
          <w:rFonts w:eastAsiaTheme="minorHAnsi"/>
        </w:rPr>
        <w:t>the publisher of an associated newspaper(s) which is a constitutional corporation.</w:t>
      </w:r>
    </w:p>
    <w:p w14:paraId="6C748B25" w14:textId="77777777" w:rsidR="00171D30" w:rsidRPr="00171D30" w:rsidRDefault="00171D30" w:rsidP="00171D30">
      <w:pPr>
        <w:rPr>
          <w:rFonts w:eastAsiaTheme="minorHAnsi" w:cs="Arial"/>
          <w:szCs w:val="20"/>
        </w:rPr>
      </w:pPr>
      <w:r w:rsidRPr="00171D30">
        <w:rPr>
          <w:rFonts w:eastAsiaTheme="minorHAnsi" w:cs="Arial"/>
          <w:szCs w:val="20"/>
        </w:rPr>
        <w:t>This page captures details of the Australian media companies affected by the event.</w:t>
      </w:r>
    </w:p>
    <w:p w14:paraId="4E0AE900" w14:textId="77777777" w:rsidR="00171D30" w:rsidRPr="00171D30" w:rsidRDefault="00171D30" w:rsidP="00171D30">
      <w:pPr>
        <w:numPr>
          <w:ilvl w:val="0"/>
          <w:numId w:val="19"/>
        </w:numPr>
        <w:spacing w:after="80" w:line="240" w:lineRule="auto"/>
        <w:rPr>
          <w:rFonts w:cs="Arial"/>
          <w:szCs w:val="20"/>
          <w:lang w:val="en-US" w:eastAsia="en-US"/>
        </w:rPr>
      </w:pPr>
      <w:r w:rsidRPr="00171D30">
        <w:rPr>
          <w:rFonts w:cs="Arial"/>
          <w:szCs w:val="20"/>
          <w:lang w:val="en-US" w:eastAsia="en-US"/>
        </w:rPr>
        <w:t xml:space="preserve">Australian media companies are selected from lists sourced from internal ACMA </w:t>
      </w:r>
      <w:proofErr w:type="gramStart"/>
      <w:r w:rsidRPr="00171D30">
        <w:rPr>
          <w:rFonts w:cs="Arial"/>
          <w:szCs w:val="20"/>
          <w:lang w:val="en-US" w:eastAsia="en-US"/>
        </w:rPr>
        <w:t>systems;</w:t>
      </w:r>
      <w:proofErr w:type="gramEnd"/>
      <w:r w:rsidRPr="00171D30">
        <w:rPr>
          <w:rFonts w:cs="Arial"/>
          <w:szCs w:val="20"/>
          <w:lang w:val="en-US" w:eastAsia="en-US"/>
        </w:rPr>
        <w:t xml:space="preserve"> </w:t>
      </w:r>
    </w:p>
    <w:p w14:paraId="139987D5" w14:textId="77777777" w:rsidR="00171D30" w:rsidRPr="00171D30" w:rsidRDefault="00171D30" w:rsidP="00171D30">
      <w:pPr>
        <w:numPr>
          <w:ilvl w:val="0"/>
          <w:numId w:val="19"/>
        </w:numPr>
        <w:spacing w:after="80" w:line="240" w:lineRule="auto"/>
        <w:rPr>
          <w:rFonts w:cs="Arial"/>
          <w:szCs w:val="20"/>
          <w:lang w:val="en-US" w:eastAsia="en-US"/>
        </w:rPr>
      </w:pPr>
      <w:r w:rsidRPr="00171D30">
        <w:rPr>
          <w:rFonts w:cs="Arial"/>
          <w:szCs w:val="20"/>
          <w:lang w:val="en-US" w:eastAsia="en-US"/>
        </w:rPr>
        <w:t>Australian media companies can be selected by choosing:</w:t>
      </w:r>
    </w:p>
    <w:p w14:paraId="03FCC043" w14:textId="77777777" w:rsidR="00171D30" w:rsidRPr="00171D30" w:rsidRDefault="00171D30" w:rsidP="00E72844">
      <w:pPr>
        <w:numPr>
          <w:ilvl w:val="0"/>
          <w:numId w:val="42"/>
        </w:numPr>
        <w:spacing w:after="80" w:line="240" w:lineRule="auto"/>
        <w:rPr>
          <w:rFonts w:cs="Arial"/>
          <w:szCs w:val="20"/>
          <w:lang w:val="en-US" w:eastAsia="en-US"/>
        </w:rPr>
      </w:pPr>
      <w:r w:rsidRPr="00171D30">
        <w:rPr>
          <w:rFonts w:cs="Arial"/>
          <w:szCs w:val="20"/>
          <w:lang w:val="en-US" w:eastAsia="en-US"/>
        </w:rPr>
        <w:t xml:space="preserve">Australian media company(s) with broadcasting </w:t>
      </w:r>
      <w:proofErr w:type="spellStart"/>
      <w:r w:rsidRPr="00171D30">
        <w:rPr>
          <w:rFonts w:cs="Arial"/>
          <w:szCs w:val="20"/>
          <w:lang w:val="en-US" w:eastAsia="en-US"/>
        </w:rPr>
        <w:t>licences</w:t>
      </w:r>
      <w:proofErr w:type="spellEnd"/>
      <w:r w:rsidRPr="00171D30">
        <w:rPr>
          <w:rFonts w:cs="Arial"/>
          <w:szCs w:val="20"/>
          <w:lang w:val="en-US" w:eastAsia="en-US"/>
        </w:rPr>
        <w:t xml:space="preserve"> by network</w:t>
      </w:r>
    </w:p>
    <w:p w14:paraId="12688191" w14:textId="77777777" w:rsidR="00171D30" w:rsidRPr="00171D30" w:rsidRDefault="00171D30" w:rsidP="00E72844">
      <w:pPr>
        <w:numPr>
          <w:ilvl w:val="0"/>
          <w:numId w:val="42"/>
        </w:numPr>
        <w:spacing w:after="80" w:line="240" w:lineRule="auto"/>
        <w:rPr>
          <w:rFonts w:cs="Arial"/>
          <w:szCs w:val="20"/>
          <w:lang w:val="en-US" w:eastAsia="en-US"/>
        </w:rPr>
      </w:pPr>
      <w:r w:rsidRPr="00171D30">
        <w:rPr>
          <w:rFonts w:cs="Arial"/>
          <w:szCs w:val="20"/>
          <w:lang w:val="en-US" w:eastAsia="en-US"/>
        </w:rPr>
        <w:t>Australian media company(s) with associated newspaper network</w:t>
      </w:r>
    </w:p>
    <w:p w14:paraId="4E3F4621" w14:textId="77777777" w:rsidR="00171D30" w:rsidRPr="00171D30" w:rsidRDefault="00171D30" w:rsidP="00E72844">
      <w:pPr>
        <w:numPr>
          <w:ilvl w:val="0"/>
          <w:numId w:val="42"/>
        </w:numPr>
        <w:spacing w:line="240" w:lineRule="auto"/>
        <w:rPr>
          <w:rFonts w:cs="Arial"/>
          <w:szCs w:val="20"/>
          <w:lang w:val="en-US" w:eastAsia="en-US"/>
        </w:rPr>
      </w:pPr>
      <w:r w:rsidRPr="00171D30">
        <w:rPr>
          <w:rFonts w:cs="Arial"/>
          <w:szCs w:val="20"/>
          <w:lang w:val="en-US" w:eastAsia="en-US"/>
        </w:rPr>
        <w:t>Individually select Australian media company(s).</w:t>
      </w:r>
    </w:p>
    <w:p w14:paraId="6C725181" w14:textId="77777777" w:rsidR="00171D30" w:rsidRPr="00171D30" w:rsidRDefault="00171D30" w:rsidP="00171D30">
      <w:pPr>
        <w:rPr>
          <w:rFonts w:cs="Arial"/>
          <w:szCs w:val="20"/>
        </w:rPr>
      </w:pPr>
      <w:r w:rsidRPr="00171D30">
        <w:rPr>
          <w:rFonts w:cs="Arial"/>
          <w:szCs w:val="20"/>
        </w:rPr>
        <w:t xml:space="preserve">The user can select Australian media company(s) using one or all three of the selection options. You may wish to search to the ACMA’s </w:t>
      </w:r>
      <w:hyperlink r:id="rId40" w:history="1">
        <w:r w:rsidRPr="00171D30">
          <w:rPr>
            <w:rFonts w:cs="Arial"/>
            <w:color w:val="0000FF"/>
            <w:szCs w:val="20"/>
            <w:u w:val="single"/>
          </w:rPr>
          <w:t>Media Control Database</w:t>
        </w:r>
      </w:hyperlink>
      <w:r w:rsidRPr="00171D30">
        <w:rPr>
          <w:rFonts w:cs="Arial"/>
          <w:szCs w:val="20"/>
        </w:rPr>
        <w:t xml:space="preserve"> to cross reference information as you complete your foreign stakeholder notification.</w:t>
      </w:r>
    </w:p>
    <w:p w14:paraId="78ADA2D1" w14:textId="77777777" w:rsidR="00171D30" w:rsidRPr="00171D30" w:rsidRDefault="00171D30" w:rsidP="00B95A9C">
      <w:pPr>
        <w:pStyle w:val="Heading3"/>
      </w:pPr>
      <w:bookmarkStart w:id="76" w:name="_Toc50038418"/>
      <w:r w:rsidRPr="00171D30">
        <w:t>How to select Australian media companies with broadcasting licences by network</w:t>
      </w:r>
      <w:bookmarkEnd w:id="76"/>
    </w:p>
    <w:p w14:paraId="384C2DED" w14:textId="77777777" w:rsidR="00171D30" w:rsidRPr="00171D30" w:rsidRDefault="00171D30" w:rsidP="00171D30">
      <w:pPr>
        <w:keepNext/>
        <w:keepLines/>
        <w:numPr>
          <w:ilvl w:val="0"/>
          <w:numId w:val="15"/>
        </w:numPr>
        <w:spacing w:after="80" w:line="240" w:lineRule="auto"/>
        <w:rPr>
          <w:rFonts w:cs="Arial"/>
          <w:szCs w:val="20"/>
          <w:lang w:val="en-US" w:eastAsia="en-US"/>
        </w:rPr>
      </w:pPr>
      <w:r w:rsidRPr="00171D30">
        <w:rPr>
          <w:rFonts w:cs="Arial"/>
          <w:szCs w:val="20"/>
          <w:lang w:val="en-US" w:eastAsia="en-US"/>
        </w:rPr>
        <w:t xml:space="preserve">Click the ‘Australian media company(s) with broadcasting </w:t>
      </w:r>
      <w:proofErr w:type="spellStart"/>
      <w:r w:rsidRPr="00171D30">
        <w:rPr>
          <w:rFonts w:cs="Arial"/>
          <w:szCs w:val="20"/>
          <w:lang w:val="en-US" w:eastAsia="en-US"/>
        </w:rPr>
        <w:t>licences</w:t>
      </w:r>
      <w:proofErr w:type="spellEnd"/>
      <w:r w:rsidRPr="00171D30">
        <w:rPr>
          <w:rFonts w:cs="Arial"/>
          <w:szCs w:val="20"/>
          <w:lang w:val="en-US" w:eastAsia="en-US"/>
        </w:rPr>
        <w:t xml:space="preserve"> by network’ checkbox. A Select Network field displays.</w:t>
      </w:r>
    </w:p>
    <w:p w14:paraId="5D8ABCA1" w14:textId="77777777" w:rsidR="00171D30" w:rsidRPr="00171D30" w:rsidRDefault="00171D30" w:rsidP="00171D30">
      <w:pPr>
        <w:keepNext/>
        <w:keepLines/>
        <w:numPr>
          <w:ilvl w:val="0"/>
          <w:numId w:val="15"/>
        </w:numPr>
        <w:spacing w:after="80" w:line="240" w:lineRule="auto"/>
        <w:rPr>
          <w:rFonts w:cs="Arial"/>
          <w:szCs w:val="20"/>
          <w:lang w:val="en-US" w:eastAsia="en-US"/>
        </w:rPr>
      </w:pPr>
      <w:r w:rsidRPr="00171D30">
        <w:rPr>
          <w:rFonts w:cs="Arial"/>
          <w:szCs w:val="20"/>
          <w:lang w:val="en-US" w:eastAsia="en-US"/>
        </w:rPr>
        <w:t xml:space="preserve">Click the Network down arrow. A dropdown list of existing networks displays. </w:t>
      </w:r>
    </w:p>
    <w:p w14:paraId="2E735D08" w14:textId="77777777" w:rsidR="00171D30" w:rsidRPr="00171D30" w:rsidRDefault="00171D30" w:rsidP="00171D30">
      <w:pPr>
        <w:keepNext/>
        <w:keepLines/>
        <w:numPr>
          <w:ilvl w:val="0"/>
          <w:numId w:val="15"/>
        </w:numPr>
        <w:spacing w:after="80" w:line="240" w:lineRule="auto"/>
        <w:rPr>
          <w:rFonts w:cs="Arial"/>
          <w:szCs w:val="20"/>
          <w:lang w:val="en-US" w:eastAsia="en-US"/>
        </w:rPr>
      </w:pPr>
      <w:r w:rsidRPr="00171D30">
        <w:rPr>
          <w:rFonts w:cs="Arial"/>
          <w:szCs w:val="20"/>
          <w:lang w:val="en-US" w:eastAsia="en-US"/>
        </w:rPr>
        <w:t xml:space="preserve">Select a network from the list. The affiliated Australian media companies are displayed in the Australian media company dialogue box. The Australian company number(s), service </w:t>
      </w:r>
      <w:proofErr w:type="spellStart"/>
      <w:r w:rsidRPr="00171D30">
        <w:rPr>
          <w:rFonts w:cs="Arial"/>
          <w:szCs w:val="20"/>
          <w:lang w:val="en-US" w:eastAsia="en-US"/>
        </w:rPr>
        <w:t>licence</w:t>
      </w:r>
      <w:proofErr w:type="spellEnd"/>
      <w:r w:rsidRPr="00171D30">
        <w:rPr>
          <w:rFonts w:cs="Arial"/>
          <w:szCs w:val="20"/>
          <w:lang w:val="en-US" w:eastAsia="en-US"/>
        </w:rPr>
        <w:t xml:space="preserve"> number(s) and callsign(s) are populated. The checkbox on the left-hand side is checked.</w:t>
      </w:r>
    </w:p>
    <w:p w14:paraId="1AC4CF01" w14:textId="77777777" w:rsidR="00171D30" w:rsidRPr="00171D30" w:rsidRDefault="00171D30" w:rsidP="00171D30">
      <w:pPr>
        <w:keepNext/>
        <w:keepLines/>
        <w:numPr>
          <w:ilvl w:val="0"/>
          <w:numId w:val="15"/>
        </w:numPr>
        <w:spacing w:line="240" w:lineRule="auto"/>
        <w:rPr>
          <w:rFonts w:cs="Arial"/>
          <w:szCs w:val="20"/>
          <w:lang w:val="en-US" w:eastAsia="en-US"/>
        </w:rPr>
      </w:pPr>
      <w:r w:rsidRPr="00171D30">
        <w:rPr>
          <w:rFonts w:cs="Arial"/>
          <w:szCs w:val="20"/>
          <w:lang w:val="en-US" w:eastAsia="en-US"/>
        </w:rPr>
        <w:t>To remove an Australian media company from the list, click the checkbox at the left-hand side then click the minus icon (</w:t>
      </w:r>
      <w:r w:rsidRPr="00171D30">
        <w:rPr>
          <w:rFonts w:cs="Arial"/>
          <w:noProof/>
          <w:szCs w:val="20"/>
        </w:rPr>
        <w:drawing>
          <wp:inline distT="0" distB="0" distL="0" distR="0" wp14:anchorId="25AEAB1F" wp14:editId="38E79D0D">
            <wp:extent cx="151740" cy="145904"/>
            <wp:effectExtent l="0" t="0" r="1270" b="698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61416" cy="155208"/>
                    </a:xfrm>
                    <a:prstGeom prst="rect">
                      <a:avLst/>
                    </a:prstGeom>
                  </pic:spPr>
                </pic:pic>
              </a:graphicData>
            </a:graphic>
          </wp:inline>
        </w:drawing>
      </w:r>
      <w:r w:rsidRPr="00171D30">
        <w:rPr>
          <w:rFonts w:cs="Arial"/>
          <w:szCs w:val="20"/>
          <w:lang w:val="en-US" w:eastAsia="en-US"/>
        </w:rPr>
        <w:t>).</w:t>
      </w:r>
    </w:p>
    <w:p w14:paraId="0B461DB4" w14:textId="77777777" w:rsidR="00171D30" w:rsidRPr="00171D30" w:rsidRDefault="00171D30" w:rsidP="00B95A9C">
      <w:pPr>
        <w:pStyle w:val="Heading3"/>
      </w:pPr>
      <w:bookmarkStart w:id="77" w:name="_Toc50038419"/>
      <w:r w:rsidRPr="00171D30">
        <w:t>How to select Australian media companies by network with associated newspapers</w:t>
      </w:r>
      <w:bookmarkEnd w:id="77"/>
    </w:p>
    <w:p w14:paraId="1BEE28AE" w14:textId="77777777" w:rsidR="00171D30" w:rsidRPr="00171D30" w:rsidRDefault="00171D30" w:rsidP="00171D30">
      <w:pPr>
        <w:numPr>
          <w:ilvl w:val="0"/>
          <w:numId w:val="31"/>
        </w:numPr>
        <w:spacing w:after="80" w:line="240" w:lineRule="auto"/>
        <w:rPr>
          <w:rFonts w:cs="Arial"/>
          <w:szCs w:val="20"/>
          <w:lang w:val="en-US" w:eastAsia="en-US"/>
        </w:rPr>
      </w:pPr>
      <w:r w:rsidRPr="00171D30">
        <w:rPr>
          <w:rFonts w:cs="Arial"/>
          <w:szCs w:val="20"/>
          <w:lang w:val="en-US" w:eastAsia="en-US"/>
        </w:rPr>
        <w:t>Click the ‘Australian media company(s) with associated newspapers by network’ checkbox. A Select Network field displays.</w:t>
      </w:r>
    </w:p>
    <w:p w14:paraId="1A9B6E16" w14:textId="77777777" w:rsidR="00171D30" w:rsidRPr="00171D30" w:rsidRDefault="00171D30" w:rsidP="00171D30">
      <w:pPr>
        <w:numPr>
          <w:ilvl w:val="0"/>
          <w:numId w:val="31"/>
        </w:numPr>
        <w:spacing w:after="80" w:line="240" w:lineRule="auto"/>
        <w:rPr>
          <w:rFonts w:cs="Arial"/>
          <w:szCs w:val="20"/>
          <w:lang w:val="en-US" w:eastAsia="en-US"/>
        </w:rPr>
      </w:pPr>
      <w:r w:rsidRPr="00171D30">
        <w:rPr>
          <w:rFonts w:cs="Arial"/>
          <w:szCs w:val="20"/>
          <w:lang w:val="en-US" w:eastAsia="en-US"/>
        </w:rPr>
        <w:t xml:space="preserve">Click the Network down arrow. A dropdown list of existing networks displays. </w:t>
      </w:r>
    </w:p>
    <w:p w14:paraId="57DAF16C" w14:textId="77777777" w:rsidR="00171D30" w:rsidRPr="00171D30" w:rsidRDefault="00171D30" w:rsidP="00171D30">
      <w:pPr>
        <w:numPr>
          <w:ilvl w:val="0"/>
          <w:numId w:val="31"/>
        </w:numPr>
        <w:spacing w:after="80" w:line="240" w:lineRule="auto"/>
        <w:rPr>
          <w:rFonts w:cs="Arial"/>
          <w:szCs w:val="20"/>
          <w:lang w:val="en-US" w:eastAsia="en-US"/>
        </w:rPr>
      </w:pPr>
      <w:r w:rsidRPr="00171D30">
        <w:rPr>
          <w:rFonts w:cs="Arial"/>
          <w:szCs w:val="20"/>
          <w:lang w:val="en-US" w:eastAsia="en-US"/>
        </w:rPr>
        <w:t xml:space="preserve">Select a network from the list. The affiliated Australian media companies are displayed in the Australian media company dialogue box. The Australian media company, Australian company number(s) and associated newspaper name are populated. </w:t>
      </w:r>
      <w:r w:rsidRPr="00171D30">
        <w:rPr>
          <w:rFonts w:cs="Arial"/>
          <w:szCs w:val="20"/>
          <w:lang w:val="en-US" w:eastAsia="en-US"/>
        </w:rPr>
        <w:br/>
        <w:t>The checkbox on the left-hand side is checked.</w:t>
      </w:r>
    </w:p>
    <w:p w14:paraId="056C9541" w14:textId="77777777" w:rsidR="00171D30" w:rsidRPr="00171D30" w:rsidRDefault="00171D30" w:rsidP="00171D30">
      <w:pPr>
        <w:numPr>
          <w:ilvl w:val="0"/>
          <w:numId w:val="31"/>
        </w:numPr>
        <w:spacing w:line="240" w:lineRule="auto"/>
        <w:rPr>
          <w:rFonts w:cs="Arial"/>
          <w:szCs w:val="20"/>
          <w:lang w:val="en-US" w:eastAsia="en-US"/>
        </w:rPr>
      </w:pPr>
      <w:r w:rsidRPr="00171D30">
        <w:rPr>
          <w:rFonts w:cs="Arial"/>
          <w:szCs w:val="20"/>
          <w:lang w:val="en-US" w:eastAsia="en-US"/>
        </w:rPr>
        <w:t>To remove a publisher from the list, click the checkbox at the left-hand side then click the minus icon (</w:t>
      </w:r>
      <w:r w:rsidRPr="00171D30">
        <w:rPr>
          <w:rFonts w:cs="Arial"/>
          <w:noProof/>
          <w:szCs w:val="20"/>
        </w:rPr>
        <w:drawing>
          <wp:inline distT="0" distB="0" distL="0" distR="0" wp14:anchorId="2880DEEE" wp14:editId="72F516D1">
            <wp:extent cx="151740" cy="145904"/>
            <wp:effectExtent l="0" t="0" r="1270" b="698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61416" cy="155208"/>
                    </a:xfrm>
                    <a:prstGeom prst="rect">
                      <a:avLst/>
                    </a:prstGeom>
                  </pic:spPr>
                </pic:pic>
              </a:graphicData>
            </a:graphic>
          </wp:inline>
        </w:drawing>
      </w:r>
      <w:r w:rsidRPr="00171D30">
        <w:rPr>
          <w:rFonts w:cs="Arial"/>
          <w:szCs w:val="20"/>
          <w:lang w:val="en-US" w:eastAsia="en-US"/>
        </w:rPr>
        <w:t>)</w:t>
      </w:r>
    </w:p>
    <w:p w14:paraId="31A689FF" w14:textId="77777777" w:rsidR="00171D30" w:rsidRPr="00171D30" w:rsidRDefault="00171D30" w:rsidP="00B95A9C">
      <w:pPr>
        <w:pStyle w:val="Heading3"/>
      </w:pPr>
      <w:bookmarkStart w:id="78" w:name="_Toc50038420"/>
      <w:r w:rsidRPr="00171D30">
        <w:t>How to select Australian media companies individually</w:t>
      </w:r>
      <w:bookmarkEnd w:id="78"/>
    </w:p>
    <w:p w14:paraId="5D08DBFE" w14:textId="77777777" w:rsidR="00171D30" w:rsidRPr="00171D30" w:rsidRDefault="00171D30" w:rsidP="00171D30">
      <w:pPr>
        <w:numPr>
          <w:ilvl w:val="0"/>
          <w:numId w:val="14"/>
        </w:numPr>
        <w:spacing w:after="80" w:line="240" w:lineRule="auto"/>
        <w:rPr>
          <w:rFonts w:cs="Arial"/>
          <w:szCs w:val="20"/>
          <w:lang w:val="en-US" w:eastAsia="en-US"/>
        </w:rPr>
      </w:pPr>
      <w:r w:rsidRPr="00171D30">
        <w:rPr>
          <w:rFonts w:cs="Arial"/>
          <w:szCs w:val="20"/>
          <w:lang w:val="en-US" w:eastAsia="en-US"/>
        </w:rPr>
        <w:t>Click the ‘Individually Select Australian media company(s)’ checkbox. An Australian media company dialogue box displays.</w:t>
      </w:r>
    </w:p>
    <w:p w14:paraId="37EC8FBE" w14:textId="77777777" w:rsidR="00171D30" w:rsidRPr="00171D30" w:rsidRDefault="00171D30" w:rsidP="00171D30">
      <w:pPr>
        <w:numPr>
          <w:ilvl w:val="0"/>
          <w:numId w:val="14"/>
        </w:numPr>
        <w:spacing w:after="80" w:line="240" w:lineRule="auto"/>
        <w:rPr>
          <w:rFonts w:cs="Arial"/>
          <w:szCs w:val="20"/>
          <w:lang w:val="en-US" w:eastAsia="en-US"/>
        </w:rPr>
      </w:pPr>
      <w:r w:rsidRPr="00171D30">
        <w:rPr>
          <w:rFonts w:cs="Arial"/>
          <w:szCs w:val="20"/>
          <w:lang w:val="en-US" w:eastAsia="en-US"/>
        </w:rPr>
        <w:t xml:space="preserve">Click the down arrow. A dropdown list of Australian media companies displays (for commercial television broadcasting </w:t>
      </w:r>
      <w:proofErr w:type="spellStart"/>
      <w:r w:rsidRPr="00171D30">
        <w:rPr>
          <w:rFonts w:cs="Arial"/>
          <w:szCs w:val="20"/>
          <w:lang w:val="en-US" w:eastAsia="en-US"/>
        </w:rPr>
        <w:t>licences</w:t>
      </w:r>
      <w:proofErr w:type="spellEnd"/>
      <w:r w:rsidRPr="00171D30">
        <w:rPr>
          <w:rFonts w:cs="Arial"/>
          <w:szCs w:val="20"/>
          <w:lang w:val="en-US" w:eastAsia="en-US"/>
        </w:rPr>
        <w:t xml:space="preserve">, commercial radio broadcasting </w:t>
      </w:r>
      <w:proofErr w:type="spellStart"/>
      <w:r w:rsidRPr="00171D30">
        <w:rPr>
          <w:rFonts w:cs="Arial"/>
          <w:szCs w:val="20"/>
          <w:lang w:val="en-US" w:eastAsia="en-US"/>
        </w:rPr>
        <w:t>licences</w:t>
      </w:r>
      <w:proofErr w:type="spellEnd"/>
      <w:r w:rsidRPr="00171D30">
        <w:rPr>
          <w:rFonts w:cs="Arial"/>
          <w:szCs w:val="20"/>
          <w:lang w:val="en-US" w:eastAsia="en-US"/>
        </w:rPr>
        <w:t xml:space="preserve"> and associated newspapers).</w:t>
      </w:r>
    </w:p>
    <w:p w14:paraId="09533827" w14:textId="77777777" w:rsidR="00171D30" w:rsidRPr="00171D30" w:rsidRDefault="00171D30" w:rsidP="00171D30">
      <w:pPr>
        <w:numPr>
          <w:ilvl w:val="0"/>
          <w:numId w:val="14"/>
        </w:numPr>
        <w:spacing w:after="80" w:line="240" w:lineRule="auto"/>
        <w:rPr>
          <w:rFonts w:cs="Arial"/>
          <w:szCs w:val="20"/>
          <w:lang w:val="en-US" w:eastAsia="en-US"/>
        </w:rPr>
      </w:pPr>
      <w:r w:rsidRPr="00171D30">
        <w:rPr>
          <w:rFonts w:cs="Arial"/>
          <w:szCs w:val="20"/>
          <w:lang w:val="en-US" w:eastAsia="en-US"/>
        </w:rPr>
        <w:t xml:space="preserve">Select an Australian media company from the list. The Australian media company is added to the Australian media company dialogue box. The Australian media company, Australian company number, service </w:t>
      </w:r>
      <w:proofErr w:type="spellStart"/>
      <w:r w:rsidRPr="00171D30">
        <w:rPr>
          <w:rFonts w:cs="Arial"/>
          <w:szCs w:val="20"/>
          <w:lang w:val="en-US" w:eastAsia="en-US"/>
        </w:rPr>
        <w:t>licence</w:t>
      </w:r>
      <w:proofErr w:type="spellEnd"/>
      <w:r w:rsidRPr="00171D30">
        <w:rPr>
          <w:rFonts w:cs="Arial"/>
          <w:szCs w:val="20"/>
          <w:lang w:val="en-US" w:eastAsia="en-US"/>
        </w:rPr>
        <w:t xml:space="preserve"> number, callsign and/or associated newspaper name are populated.</w:t>
      </w:r>
    </w:p>
    <w:p w14:paraId="589DF89F" w14:textId="77777777" w:rsidR="00171D30" w:rsidRPr="00171D30" w:rsidRDefault="00171D30" w:rsidP="00171D30">
      <w:pPr>
        <w:numPr>
          <w:ilvl w:val="0"/>
          <w:numId w:val="14"/>
        </w:numPr>
        <w:spacing w:after="80" w:line="240" w:lineRule="auto"/>
        <w:rPr>
          <w:rFonts w:cs="Arial"/>
          <w:szCs w:val="20"/>
          <w:lang w:val="en-US" w:eastAsia="en-US"/>
        </w:rPr>
      </w:pPr>
      <w:r w:rsidRPr="00171D30">
        <w:rPr>
          <w:rFonts w:cs="Arial"/>
          <w:szCs w:val="20"/>
          <w:lang w:val="en-US" w:eastAsia="en-US"/>
        </w:rPr>
        <w:t>To add more Australian media companies, click the plus icon (</w:t>
      </w:r>
      <w:r w:rsidRPr="00171D30">
        <w:rPr>
          <w:rFonts w:cs="Arial"/>
          <w:noProof/>
          <w:szCs w:val="20"/>
        </w:rPr>
        <w:drawing>
          <wp:inline distT="0" distB="0" distL="0" distR="0" wp14:anchorId="3F793F45" wp14:editId="297D10E9">
            <wp:extent cx="123190" cy="13858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flipV="1">
                      <a:off x="0" y="0"/>
                      <a:ext cx="128452" cy="144509"/>
                    </a:xfrm>
                    <a:prstGeom prst="rect">
                      <a:avLst/>
                    </a:prstGeom>
                  </pic:spPr>
                </pic:pic>
              </a:graphicData>
            </a:graphic>
          </wp:inline>
        </w:drawing>
      </w:r>
      <w:r w:rsidRPr="00171D30">
        <w:rPr>
          <w:rFonts w:cs="Arial"/>
          <w:szCs w:val="20"/>
          <w:lang w:val="en-US" w:eastAsia="en-US"/>
        </w:rPr>
        <w:t xml:space="preserve"> ) and repeat the steps.</w:t>
      </w:r>
    </w:p>
    <w:p w14:paraId="3F57DE67" w14:textId="77777777" w:rsidR="00171D30" w:rsidRPr="00171D30" w:rsidRDefault="00171D30" w:rsidP="00171D30">
      <w:pPr>
        <w:numPr>
          <w:ilvl w:val="0"/>
          <w:numId w:val="14"/>
        </w:numPr>
        <w:spacing w:line="240" w:lineRule="auto"/>
        <w:rPr>
          <w:rFonts w:cs="Arial"/>
          <w:szCs w:val="20"/>
          <w:lang w:val="en-US" w:eastAsia="en-US"/>
        </w:rPr>
      </w:pPr>
      <w:r w:rsidRPr="00171D30">
        <w:rPr>
          <w:rFonts w:cs="Arial"/>
          <w:szCs w:val="20"/>
          <w:lang w:val="en-US" w:eastAsia="en-US"/>
        </w:rPr>
        <w:t>To remove an Australian media company from the list, click the checkbox at the left-hand side then click the minus icon (</w:t>
      </w:r>
      <w:r w:rsidRPr="00171D30">
        <w:rPr>
          <w:rFonts w:cs="Arial"/>
          <w:noProof/>
          <w:szCs w:val="20"/>
        </w:rPr>
        <w:drawing>
          <wp:inline distT="0" distB="0" distL="0" distR="0" wp14:anchorId="3DFE8220" wp14:editId="67D2EA67">
            <wp:extent cx="151740" cy="145904"/>
            <wp:effectExtent l="0" t="0" r="1270" b="698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61416" cy="155208"/>
                    </a:xfrm>
                    <a:prstGeom prst="rect">
                      <a:avLst/>
                    </a:prstGeom>
                  </pic:spPr>
                </pic:pic>
              </a:graphicData>
            </a:graphic>
          </wp:inline>
        </w:drawing>
      </w:r>
      <w:r w:rsidRPr="00171D30">
        <w:rPr>
          <w:rFonts w:cs="Arial"/>
          <w:szCs w:val="20"/>
          <w:lang w:val="en-US" w:eastAsia="en-US"/>
        </w:rPr>
        <w:t>).</w:t>
      </w:r>
    </w:p>
    <w:p w14:paraId="28FBEBD0" w14:textId="77777777" w:rsidR="00171D30" w:rsidRPr="00171D30" w:rsidRDefault="00171D30" w:rsidP="00B95A9C">
      <w:pPr>
        <w:pStyle w:val="Heading3"/>
      </w:pPr>
      <w:bookmarkStart w:id="79" w:name="_Toc50038421"/>
      <w:r w:rsidRPr="00171D30">
        <w:t>How to select Australian media companies which have ceased to exist</w:t>
      </w:r>
      <w:bookmarkEnd w:id="79"/>
    </w:p>
    <w:p w14:paraId="63924E98" w14:textId="77777777" w:rsidR="00171D30" w:rsidRPr="00171D30" w:rsidRDefault="00171D30" w:rsidP="00171D30">
      <w:pPr>
        <w:numPr>
          <w:ilvl w:val="0"/>
          <w:numId w:val="40"/>
        </w:numPr>
        <w:spacing w:after="80" w:line="240" w:lineRule="auto"/>
        <w:rPr>
          <w:rFonts w:cs="Arial"/>
          <w:szCs w:val="20"/>
          <w:lang w:val="en-US" w:eastAsia="en-US"/>
        </w:rPr>
      </w:pPr>
      <w:r w:rsidRPr="00171D30">
        <w:rPr>
          <w:rFonts w:cs="Arial"/>
          <w:szCs w:val="20"/>
          <w:lang w:val="en-US" w:eastAsia="en-US"/>
        </w:rPr>
        <w:t>Click the ‘Individually Select Australian media company(s) (ceased)’ checkbox. An Australian media company dialogue box displays.</w:t>
      </w:r>
    </w:p>
    <w:p w14:paraId="7EDE1AB8" w14:textId="77777777" w:rsidR="00171D30" w:rsidRPr="00171D30" w:rsidRDefault="00171D30" w:rsidP="00171D30">
      <w:pPr>
        <w:numPr>
          <w:ilvl w:val="0"/>
          <w:numId w:val="40"/>
        </w:numPr>
        <w:spacing w:after="80" w:line="240" w:lineRule="auto"/>
        <w:rPr>
          <w:rFonts w:cs="Arial"/>
          <w:szCs w:val="20"/>
          <w:lang w:val="en-US" w:eastAsia="en-US"/>
        </w:rPr>
      </w:pPr>
      <w:r w:rsidRPr="00171D30">
        <w:rPr>
          <w:rFonts w:cs="Arial"/>
          <w:szCs w:val="20"/>
          <w:lang w:val="en-US" w:eastAsia="en-US"/>
        </w:rPr>
        <w:t xml:space="preserve">Click the down arrow. A dropdown list of Australian media companies displays (for commercial television broadcasting </w:t>
      </w:r>
      <w:proofErr w:type="spellStart"/>
      <w:r w:rsidRPr="00171D30">
        <w:rPr>
          <w:rFonts w:cs="Arial"/>
          <w:szCs w:val="20"/>
          <w:lang w:val="en-US" w:eastAsia="en-US"/>
        </w:rPr>
        <w:t>licences</w:t>
      </w:r>
      <w:proofErr w:type="spellEnd"/>
      <w:r w:rsidRPr="00171D30">
        <w:rPr>
          <w:rFonts w:cs="Arial"/>
          <w:szCs w:val="20"/>
          <w:lang w:val="en-US" w:eastAsia="en-US"/>
        </w:rPr>
        <w:t xml:space="preserve">, commercial radio broadcasting </w:t>
      </w:r>
      <w:proofErr w:type="spellStart"/>
      <w:r w:rsidRPr="00171D30">
        <w:rPr>
          <w:rFonts w:cs="Arial"/>
          <w:szCs w:val="20"/>
          <w:lang w:val="en-US" w:eastAsia="en-US"/>
        </w:rPr>
        <w:t>licences</w:t>
      </w:r>
      <w:proofErr w:type="spellEnd"/>
      <w:r w:rsidRPr="00171D30">
        <w:rPr>
          <w:rFonts w:cs="Arial"/>
          <w:szCs w:val="20"/>
          <w:lang w:val="en-US" w:eastAsia="en-US"/>
        </w:rPr>
        <w:t xml:space="preserve"> and associated newspapers).</w:t>
      </w:r>
    </w:p>
    <w:p w14:paraId="29B40E90" w14:textId="77777777" w:rsidR="00171D30" w:rsidRPr="00171D30" w:rsidRDefault="00171D30" w:rsidP="00171D30">
      <w:pPr>
        <w:numPr>
          <w:ilvl w:val="0"/>
          <w:numId w:val="40"/>
        </w:numPr>
        <w:spacing w:after="80" w:line="240" w:lineRule="auto"/>
        <w:rPr>
          <w:rFonts w:cs="Arial"/>
          <w:szCs w:val="20"/>
          <w:lang w:val="en-US" w:eastAsia="en-US"/>
        </w:rPr>
      </w:pPr>
      <w:r w:rsidRPr="00171D30">
        <w:rPr>
          <w:rFonts w:cs="Arial"/>
          <w:szCs w:val="20"/>
          <w:lang w:val="en-US" w:eastAsia="en-US"/>
        </w:rPr>
        <w:t xml:space="preserve">Select an Australian media company from the list. The Australian media company is added to the Australian media company dialogue box. The Australian media company, Australian company number, service </w:t>
      </w:r>
      <w:proofErr w:type="spellStart"/>
      <w:r w:rsidRPr="00171D30">
        <w:rPr>
          <w:rFonts w:cs="Arial"/>
          <w:szCs w:val="20"/>
          <w:lang w:val="en-US" w:eastAsia="en-US"/>
        </w:rPr>
        <w:t>licence</w:t>
      </w:r>
      <w:proofErr w:type="spellEnd"/>
      <w:r w:rsidRPr="00171D30">
        <w:rPr>
          <w:rFonts w:cs="Arial"/>
          <w:szCs w:val="20"/>
          <w:lang w:val="en-US" w:eastAsia="en-US"/>
        </w:rPr>
        <w:t xml:space="preserve"> number, callsign and/or associated newspaper name are populated.</w:t>
      </w:r>
    </w:p>
    <w:p w14:paraId="7B9F7EC1" w14:textId="77777777" w:rsidR="00171D30" w:rsidRPr="00171D30" w:rsidRDefault="00171D30" w:rsidP="00171D30">
      <w:pPr>
        <w:numPr>
          <w:ilvl w:val="0"/>
          <w:numId w:val="40"/>
        </w:numPr>
        <w:spacing w:after="80" w:line="240" w:lineRule="auto"/>
        <w:rPr>
          <w:rFonts w:cs="Arial"/>
          <w:szCs w:val="20"/>
          <w:lang w:val="en-US" w:eastAsia="en-US"/>
        </w:rPr>
      </w:pPr>
      <w:r w:rsidRPr="00171D30">
        <w:rPr>
          <w:rFonts w:cs="Arial"/>
          <w:szCs w:val="20"/>
          <w:lang w:val="en-US" w:eastAsia="en-US"/>
        </w:rPr>
        <w:t>To add more Australian media companies, click the plus icon (</w:t>
      </w:r>
      <w:r w:rsidRPr="00171D30">
        <w:rPr>
          <w:rFonts w:cs="Arial"/>
          <w:noProof/>
          <w:szCs w:val="20"/>
        </w:rPr>
        <w:drawing>
          <wp:inline distT="0" distB="0" distL="0" distR="0" wp14:anchorId="21775706" wp14:editId="7A524057">
            <wp:extent cx="123190" cy="138589"/>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flipV="1">
                      <a:off x="0" y="0"/>
                      <a:ext cx="128452" cy="144509"/>
                    </a:xfrm>
                    <a:prstGeom prst="rect">
                      <a:avLst/>
                    </a:prstGeom>
                  </pic:spPr>
                </pic:pic>
              </a:graphicData>
            </a:graphic>
          </wp:inline>
        </w:drawing>
      </w:r>
      <w:r w:rsidRPr="00171D30">
        <w:rPr>
          <w:rFonts w:cs="Arial"/>
          <w:szCs w:val="20"/>
          <w:lang w:val="en-US" w:eastAsia="en-US"/>
        </w:rPr>
        <w:t xml:space="preserve"> ) and repeat the steps.</w:t>
      </w:r>
    </w:p>
    <w:p w14:paraId="30CEA727" w14:textId="77777777" w:rsidR="00171D30" w:rsidRPr="00171D30" w:rsidRDefault="00171D30" w:rsidP="00171D30">
      <w:pPr>
        <w:numPr>
          <w:ilvl w:val="0"/>
          <w:numId w:val="40"/>
        </w:numPr>
        <w:spacing w:line="240" w:lineRule="auto"/>
        <w:rPr>
          <w:rFonts w:ascii="Times New Roman" w:hAnsi="Times New Roman" w:cs="Arial"/>
          <w:sz w:val="22"/>
          <w:szCs w:val="20"/>
          <w:lang w:val="en-US" w:eastAsia="en-US"/>
        </w:rPr>
      </w:pPr>
      <w:r w:rsidRPr="00171D30">
        <w:rPr>
          <w:rFonts w:cs="Arial"/>
          <w:szCs w:val="20"/>
          <w:lang w:val="en-US" w:eastAsia="en-US"/>
        </w:rPr>
        <w:t>To remove an Australian media company from the list, click the checkbox at the left-hand side then click the minus icon (</w:t>
      </w:r>
      <w:r w:rsidRPr="00171D30">
        <w:rPr>
          <w:rFonts w:cs="Arial"/>
          <w:noProof/>
          <w:szCs w:val="20"/>
        </w:rPr>
        <w:drawing>
          <wp:inline distT="0" distB="0" distL="0" distR="0" wp14:anchorId="407B4E87" wp14:editId="558073DF">
            <wp:extent cx="151740" cy="145904"/>
            <wp:effectExtent l="0" t="0" r="1270" b="6985"/>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61416" cy="155208"/>
                    </a:xfrm>
                    <a:prstGeom prst="rect">
                      <a:avLst/>
                    </a:prstGeom>
                  </pic:spPr>
                </pic:pic>
              </a:graphicData>
            </a:graphic>
          </wp:inline>
        </w:drawing>
      </w:r>
      <w:r w:rsidRPr="00171D30">
        <w:rPr>
          <w:rFonts w:cs="Arial"/>
          <w:szCs w:val="20"/>
          <w:lang w:val="en-US" w:eastAsia="en-US"/>
        </w:rPr>
        <w:t>).</w:t>
      </w:r>
    </w:p>
    <w:p w14:paraId="02EF5285" w14:textId="77777777" w:rsidR="00171D30" w:rsidRPr="00171D30" w:rsidRDefault="00171D30" w:rsidP="00171D30">
      <w:pPr>
        <w:rPr>
          <w:rFonts w:cs="Arial"/>
          <w:szCs w:val="20"/>
        </w:rPr>
      </w:pPr>
      <w:r w:rsidRPr="00171D30">
        <w:rPr>
          <w:rFonts w:cs="Arial"/>
          <w:szCs w:val="20"/>
        </w:rPr>
        <w:t xml:space="preserve">Once the list of Australian media companies is complete click the </w:t>
      </w:r>
      <w:proofErr w:type="gramStart"/>
      <w:r w:rsidRPr="00171D30">
        <w:rPr>
          <w:rFonts w:cs="Arial"/>
          <w:szCs w:val="20"/>
        </w:rPr>
        <w:t>right hand</w:t>
      </w:r>
      <w:proofErr w:type="gramEnd"/>
      <w:r w:rsidRPr="00171D30">
        <w:rPr>
          <w:rFonts w:cs="Arial"/>
          <w:szCs w:val="20"/>
        </w:rPr>
        <w:t xml:space="preserve"> arrow to navigate to the foreign stakeholder designated information.</w:t>
      </w:r>
    </w:p>
    <w:p w14:paraId="323D7981" w14:textId="77777777" w:rsidR="00171D30" w:rsidRPr="00171D30" w:rsidRDefault="00171D30" w:rsidP="00B95A9C">
      <w:pPr>
        <w:pStyle w:val="Heading2"/>
      </w:pPr>
      <w:bookmarkStart w:id="80" w:name="_Toc504040320"/>
      <w:bookmarkStart w:id="81" w:name="_Toc48889564"/>
      <w:bookmarkStart w:id="82" w:name="_Toc50038422"/>
      <w:r w:rsidRPr="00171D30">
        <w:t>Part B1—Foreign stakeholder designated information</w:t>
      </w:r>
      <w:bookmarkEnd w:id="80"/>
      <w:bookmarkEnd w:id="81"/>
      <w:bookmarkEnd w:id="82"/>
    </w:p>
    <w:p w14:paraId="7B6B24C0" w14:textId="77777777" w:rsidR="00171D30" w:rsidRPr="00171D30" w:rsidRDefault="00171D30" w:rsidP="00171D30">
      <w:pPr>
        <w:rPr>
          <w:rFonts w:cs="Arial"/>
          <w:szCs w:val="22"/>
        </w:rPr>
      </w:pPr>
      <w:r w:rsidRPr="00171D30">
        <w:rPr>
          <w:rFonts w:cs="Arial"/>
          <w:szCs w:val="22"/>
        </w:rPr>
        <w:t>The designated information page is where the user enters designated information about the foreign stakeholder. Persons notifying under sections 74F, 74H and 74J of the BSA are required to provide this information. The meaning of designated information is provided under section 74B of the BSA.  See the definition of designated information at the Appendix page.</w:t>
      </w:r>
    </w:p>
    <w:p w14:paraId="586DD741" w14:textId="77777777" w:rsidR="00171D30" w:rsidRPr="00171D30" w:rsidRDefault="00171D30" w:rsidP="00B95A9C">
      <w:pPr>
        <w:pStyle w:val="Heading2"/>
      </w:pPr>
      <w:bookmarkStart w:id="83" w:name="_Toc48889565"/>
      <w:bookmarkStart w:id="84" w:name="_Toc50038423"/>
      <w:r w:rsidRPr="00171D30">
        <w:t>Part B2</w:t>
      </w:r>
      <w:r w:rsidRPr="00171D30">
        <w:rPr>
          <w:rFonts w:hint="eastAsia"/>
        </w:rPr>
        <w:t>—</w:t>
      </w:r>
      <w:bookmarkStart w:id="85" w:name="_Hlk532550961"/>
      <w:r w:rsidRPr="00171D30">
        <w:t xml:space="preserve">Details of the person who has ceased being a foreign stakeholder </w:t>
      </w:r>
      <w:bookmarkEnd w:id="85"/>
      <w:r w:rsidRPr="00171D30">
        <w:t>(s74G)</w:t>
      </w:r>
      <w:bookmarkEnd w:id="83"/>
      <w:bookmarkEnd w:id="84"/>
    </w:p>
    <w:p w14:paraId="08E7BC0C" w14:textId="77777777" w:rsidR="00171D30" w:rsidRPr="00171D30" w:rsidRDefault="00171D30" w:rsidP="00171D30">
      <w:pPr>
        <w:rPr>
          <w:szCs w:val="22"/>
        </w:rPr>
      </w:pPr>
      <w:r w:rsidRPr="00171D30">
        <w:rPr>
          <w:rFonts w:cs="Arial"/>
          <w:szCs w:val="22"/>
        </w:rPr>
        <w:t>Only persons notifying under section 74G of the BSA are required to provide this information.</w:t>
      </w:r>
    </w:p>
    <w:p w14:paraId="3D25CD42" w14:textId="77777777" w:rsidR="00171D30" w:rsidRPr="00171D30" w:rsidRDefault="00171D30" w:rsidP="00B95A9C">
      <w:pPr>
        <w:pStyle w:val="Heading2"/>
      </w:pPr>
      <w:bookmarkStart w:id="86" w:name="_Toc48889566"/>
      <w:bookmarkStart w:id="87" w:name="_Toc50038424"/>
      <w:r w:rsidRPr="00171D30">
        <w:t>Part C—Notification by a person who becomes a foreign stakeholder (s74F)</w:t>
      </w:r>
      <w:bookmarkEnd w:id="86"/>
      <w:bookmarkEnd w:id="87"/>
    </w:p>
    <w:p w14:paraId="6E403FF4" w14:textId="77777777" w:rsidR="00171D30" w:rsidRPr="00171D30" w:rsidRDefault="00171D30" w:rsidP="00171D30">
      <w:pPr>
        <w:keepNext/>
        <w:keepLines/>
        <w:rPr>
          <w:rFonts w:cs="Arial"/>
          <w:b/>
          <w:szCs w:val="22"/>
        </w:rPr>
      </w:pPr>
      <w:r w:rsidRPr="00171D30">
        <w:rPr>
          <w:rFonts w:cs="Arial"/>
          <w:b/>
          <w:szCs w:val="22"/>
        </w:rPr>
        <w:t>Date person(s) became a foreign stakeholder:</w:t>
      </w:r>
      <w:r w:rsidRPr="00171D30">
        <w:rPr>
          <w:rFonts w:cs="Arial"/>
          <w:szCs w:val="22"/>
        </w:rPr>
        <w:t xml:space="preserve"> </w:t>
      </w:r>
      <w:r w:rsidRPr="00171D30">
        <w:rPr>
          <w:rFonts w:eastAsiaTheme="minorHAnsi" w:cs="Arial"/>
          <w:szCs w:val="22"/>
        </w:rPr>
        <w:t>Provide the date of the event resulting in the person(s) becoming a foreign stakeholder.</w:t>
      </w:r>
    </w:p>
    <w:p w14:paraId="31E271D2" w14:textId="77777777" w:rsidR="00171D30" w:rsidRPr="00171D30" w:rsidRDefault="00171D30" w:rsidP="00171D30">
      <w:pPr>
        <w:keepNext/>
        <w:keepLines/>
        <w:rPr>
          <w:rFonts w:cs="Arial"/>
          <w:szCs w:val="22"/>
        </w:rPr>
      </w:pPr>
      <w:r w:rsidRPr="00171D30">
        <w:rPr>
          <w:rFonts w:cs="Arial"/>
          <w:b/>
          <w:szCs w:val="22"/>
        </w:rPr>
        <w:t xml:space="preserve">Circumstances that resulted in person becoming a foreign stakeholder: </w:t>
      </w:r>
      <w:r w:rsidRPr="00171D30">
        <w:rPr>
          <w:rFonts w:cs="Arial"/>
          <w:szCs w:val="22"/>
        </w:rPr>
        <w:t xml:space="preserve">Provide details of the circumstances that resulted in the person becoming a foreign stakeholder in the Australian media company(s).  </w:t>
      </w:r>
    </w:p>
    <w:p w14:paraId="57355AA2" w14:textId="77777777" w:rsidR="00171D30" w:rsidRPr="00171D30" w:rsidRDefault="00171D30" w:rsidP="00171D30">
      <w:pPr>
        <w:rPr>
          <w:rFonts w:cs="Arial"/>
          <w:b/>
          <w:szCs w:val="22"/>
        </w:rPr>
      </w:pPr>
      <w:r w:rsidRPr="00171D30">
        <w:rPr>
          <w:rFonts w:cs="Arial"/>
          <w:b/>
          <w:szCs w:val="22"/>
        </w:rPr>
        <w:t xml:space="preserve">The person’s company interests in the Australian media company (%): </w:t>
      </w:r>
      <w:r w:rsidRPr="00171D30">
        <w:rPr>
          <w:rFonts w:cs="Arial"/>
          <w:szCs w:val="22"/>
        </w:rPr>
        <w:t>Provide the level of company interests, in terms of the BSA, held by the person in the Australian media company, expressed as a percentage. Do not enter a ‘%’ sign after the number.  Company interests include shareholding interests, voting interests, dividend interests and winding-up interests.  Company interests can be direct or indirect and can be traced through a chain of companies. Clause 8 of Schedule 1 to the BSA provides a means of tracing company interests (fractional tracing method). A definition and interpretation of company interests is also provided under sections 6 and 8 of the BSA. The text of these provisions is provided at the Appendix.</w:t>
      </w:r>
    </w:p>
    <w:p w14:paraId="34E2CE6C" w14:textId="77777777" w:rsidR="00171D30" w:rsidRPr="00171D30" w:rsidRDefault="00171D30" w:rsidP="00171D30">
      <w:pPr>
        <w:rPr>
          <w:rFonts w:cs="Arial"/>
          <w:szCs w:val="22"/>
        </w:rPr>
      </w:pPr>
      <w:r w:rsidRPr="00171D30">
        <w:rPr>
          <w:rFonts w:cs="Arial"/>
          <w:b/>
          <w:szCs w:val="22"/>
        </w:rPr>
        <w:t xml:space="preserve">Method used to determine those company interests: </w:t>
      </w:r>
      <w:r w:rsidRPr="00171D30">
        <w:rPr>
          <w:rFonts w:cs="Arial"/>
          <w:szCs w:val="22"/>
        </w:rPr>
        <w:t>Provide a description of the method used to determine the company interests held by the foreign stakeholder in the Australian media company. For example, where the company interests are held indirectly, please indicate that the fractional tracing method under clause 8 under Schedule 1 to the BSA was used to determine the foreign stakeholder’s company interests in the Australian media company and provide a brief description of the company structure between the foreign stakeholder and the Australian media company. If the company interests are held directly in the Australian media company describe the nature of the foreign stakeholder’s shareholding in the Australian media company.</w:t>
      </w:r>
    </w:p>
    <w:p w14:paraId="7C15C957" w14:textId="77777777" w:rsidR="00171D30" w:rsidRPr="00171D30" w:rsidRDefault="00171D30" w:rsidP="00171D30">
      <w:pPr>
        <w:rPr>
          <w:rFonts w:cs="Arial"/>
          <w:szCs w:val="22"/>
        </w:rPr>
      </w:pPr>
      <w:r w:rsidRPr="00171D30">
        <w:rPr>
          <w:rFonts w:cs="Arial"/>
          <w:b/>
          <w:szCs w:val="22"/>
        </w:rPr>
        <w:t xml:space="preserve">Reason why foreign stakeholder is a foreign person: </w:t>
      </w:r>
      <w:r w:rsidRPr="00171D30">
        <w:rPr>
          <w:rFonts w:cs="Arial"/>
          <w:szCs w:val="22"/>
        </w:rPr>
        <w:t xml:space="preserve">Provide the reason why the foreign stakeholder is a foreign person.  The term ‘foreign person’ under the BSA has the same meaning as in the </w:t>
      </w:r>
      <w:r w:rsidRPr="00171D30">
        <w:rPr>
          <w:rFonts w:cs="Arial"/>
          <w:i/>
          <w:szCs w:val="22"/>
        </w:rPr>
        <w:t xml:space="preserve">Foreign Acquisitions and Takeovers Act 1975 </w:t>
      </w:r>
      <w:r w:rsidRPr="00171D30">
        <w:rPr>
          <w:rFonts w:cs="Arial"/>
          <w:szCs w:val="22"/>
        </w:rPr>
        <w:t>(FATA)</w:t>
      </w:r>
      <w:r w:rsidRPr="00171D30">
        <w:rPr>
          <w:rFonts w:cs="Arial"/>
          <w:i/>
          <w:szCs w:val="22"/>
        </w:rPr>
        <w:t xml:space="preserve"> </w:t>
      </w:r>
      <w:r w:rsidRPr="00171D30">
        <w:rPr>
          <w:rFonts w:cs="Arial"/>
          <w:szCs w:val="22"/>
        </w:rPr>
        <w:t>and the Foreign Acquisitions and Takeovers Regulation 2015</w:t>
      </w:r>
      <w:r w:rsidRPr="00171D30">
        <w:rPr>
          <w:rFonts w:cs="Arial"/>
          <w:i/>
          <w:szCs w:val="22"/>
        </w:rPr>
        <w:t xml:space="preserve"> </w:t>
      </w:r>
      <w:r w:rsidRPr="00171D30">
        <w:rPr>
          <w:rFonts w:cs="Arial"/>
          <w:szCs w:val="22"/>
        </w:rPr>
        <w:t xml:space="preserve">(the Regulation).  </w:t>
      </w:r>
    </w:p>
    <w:p w14:paraId="6ADA1314" w14:textId="77777777" w:rsidR="00171D30" w:rsidRPr="00171D30" w:rsidRDefault="00171D30" w:rsidP="00B95A9C">
      <w:pPr>
        <w:pStyle w:val="Paragraphbeforelist"/>
      </w:pPr>
      <w:r w:rsidRPr="00171D30">
        <w:t>A foreign person may include the following entity types:</w:t>
      </w:r>
    </w:p>
    <w:p w14:paraId="59C748EA" w14:textId="6F9E1C25" w:rsidR="00E1162D" w:rsidRPr="00171D30" w:rsidRDefault="00171D30" w:rsidP="00E72844">
      <w:pPr>
        <w:pStyle w:val="Bulletlevel1"/>
      </w:pPr>
      <w:r w:rsidRPr="00171D30">
        <w:t>an individual</w:t>
      </w:r>
    </w:p>
    <w:p w14:paraId="3942E25D" w14:textId="1FAAB2ED" w:rsidR="00E1162D" w:rsidRPr="00171D30" w:rsidRDefault="00171D30" w:rsidP="00E72844">
      <w:pPr>
        <w:pStyle w:val="Bulletlevel1"/>
      </w:pPr>
      <w:r w:rsidRPr="00171D30">
        <w:t>a corporation</w:t>
      </w:r>
    </w:p>
    <w:p w14:paraId="6C9EF912" w14:textId="77777777" w:rsidR="00171D30" w:rsidRPr="00171D30" w:rsidRDefault="00171D30" w:rsidP="00E72844">
      <w:pPr>
        <w:pStyle w:val="Bulletlevel1"/>
      </w:pPr>
      <w:r w:rsidRPr="00171D30">
        <w:t>the trustee (corporation) of a trust</w:t>
      </w:r>
    </w:p>
    <w:p w14:paraId="29C60C9E" w14:textId="77777777" w:rsidR="00171D30" w:rsidRPr="00171D30" w:rsidRDefault="00171D30" w:rsidP="00E72844">
      <w:pPr>
        <w:pStyle w:val="Bulletlevel1"/>
      </w:pPr>
      <w:r w:rsidRPr="00171D30">
        <w:t>a foreign government (a foreign government investor)</w:t>
      </w:r>
    </w:p>
    <w:p w14:paraId="2DDEE496" w14:textId="77777777" w:rsidR="00171D30" w:rsidRPr="00171D30" w:rsidRDefault="00171D30" w:rsidP="00E72844">
      <w:pPr>
        <w:pStyle w:val="Bulletlevel1last"/>
      </w:pPr>
      <w:r w:rsidRPr="00171D30">
        <w:t>a general partner of a limited partnership.</w:t>
      </w:r>
    </w:p>
    <w:p w14:paraId="5AF42A81" w14:textId="77777777" w:rsidR="00171D30" w:rsidRPr="00171D30" w:rsidRDefault="00171D30" w:rsidP="00171D30">
      <w:pPr>
        <w:jc w:val="both"/>
        <w:rPr>
          <w:rFonts w:cs="Arial"/>
          <w:szCs w:val="20"/>
        </w:rPr>
      </w:pPr>
      <w:r w:rsidRPr="00171D30">
        <w:rPr>
          <w:rFonts w:cs="Arial"/>
          <w:szCs w:val="22"/>
        </w:rPr>
        <w:t xml:space="preserve">Under </w:t>
      </w:r>
      <w:r w:rsidRPr="00171D30">
        <w:rPr>
          <w:rFonts w:cs="Arial"/>
          <w:szCs w:val="20"/>
        </w:rPr>
        <w:t xml:space="preserve">section 4 of the FATA a </w:t>
      </w:r>
      <w:r w:rsidRPr="00171D30">
        <w:rPr>
          <w:rFonts w:cs="Arial"/>
          <w:b/>
          <w:szCs w:val="20"/>
        </w:rPr>
        <w:t>foreign person</w:t>
      </w:r>
      <w:r w:rsidRPr="00171D30">
        <w:rPr>
          <w:rFonts w:cs="Arial"/>
          <w:szCs w:val="20"/>
        </w:rPr>
        <w:t xml:space="preserve"> means:</w:t>
      </w:r>
    </w:p>
    <w:p w14:paraId="640F72CC" w14:textId="77777777" w:rsidR="00171D30" w:rsidRPr="00171D30" w:rsidRDefault="00171D30" w:rsidP="00171D30">
      <w:pPr>
        <w:numPr>
          <w:ilvl w:val="0"/>
          <w:numId w:val="23"/>
        </w:numPr>
        <w:autoSpaceDE w:val="0"/>
        <w:autoSpaceDN w:val="0"/>
        <w:adjustRightInd w:val="0"/>
        <w:spacing w:after="80" w:line="240" w:lineRule="auto"/>
        <w:ind w:left="1560" w:hanging="567"/>
        <w:rPr>
          <w:rFonts w:eastAsiaTheme="minorHAnsi" w:cs="Arial"/>
          <w:color w:val="000000"/>
          <w:szCs w:val="20"/>
          <w:lang w:eastAsia="en-US"/>
        </w:rPr>
      </w:pPr>
      <w:r w:rsidRPr="00171D30">
        <w:rPr>
          <w:rFonts w:eastAsiaTheme="minorHAnsi" w:cs="Arial"/>
          <w:color w:val="000000"/>
          <w:szCs w:val="20"/>
          <w:lang w:eastAsia="en-US"/>
        </w:rPr>
        <w:t xml:space="preserve">an individual not ordinarily resident in Australia; or </w:t>
      </w:r>
    </w:p>
    <w:p w14:paraId="3FB3F771" w14:textId="77777777" w:rsidR="00171D30" w:rsidRPr="00171D30" w:rsidRDefault="00171D30" w:rsidP="00171D30">
      <w:pPr>
        <w:numPr>
          <w:ilvl w:val="0"/>
          <w:numId w:val="23"/>
        </w:numPr>
        <w:autoSpaceDE w:val="0"/>
        <w:autoSpaceDN w:val="0"/>
        <w:adjustRightInd w:val="0"/>
        <w:spacing w:after="80" w:line="240" w:lineRule="auto"/>
        <w:ind w:left="1560" w:hanging="567"/>
        <w:rPr>
          <w:rFonts w:eastAsiaTheme="minorHAnsi" w:cs="Arial"/>
          <w:color w:val="000000"/>
          <w:szCs w:val="20"/>
          <w:lang w:eastAsia="en-US"/>
        </w:rPr>
      </w:pPr>
      <w:proofErr w:type="spellStart"/>
      <w:r w:rsidRPr="00171D30">
        <w:rPr>
          <w:rFonts w:eastAsiaTheme="minorHAnsi" w:cs="Arial"/>
          <w:color w:val="000000"/>
          <w:szCs w:val="20"/>
          <w:lang w:eastAsia="en-US"/>
        </w:rPr>
        <w:t>rporation</w:t>
      </w:r>
      <w:proofErr w:type="spellEnd"/>
      <w:r w:rsidRPr="00171D30">
        <w:rPr>
          <w:rFonts w:eastAsiaTheme="minorHAnsi" w:cs="Arial"/>
          <w:color w:val="000000"/>
          <w:szCs w:val="20"/>
          <w:lang w:eastAsia="en-US"/>
        </w:rPr>
        <w:t xml:space="preserve"> in which an individual not ordinarily resident in Australia, a foreign corporation or a foreign government holds a substantial interest; or </w:t>
      </w:r>
    </w:p>
    <w:p w14:paraId="76288323" w14:textId="77777777" w:rsidR="00171D30" w:rsidRPr="00171D30" w:rsidRDefault="00171D30" w:rsidP="00171D30">
      <w:pPr>
        <w:numPr>
          <w:ilvl w:val="0"/>
          <w:numId w:val="23"/>
        </w:numPr>
        <w:autoSpaceDE w:val="0"/>
        <w:autoSpaceDN w:val="0"/>
        <w:adjustRightInd w:val="0"/>
        <w:spacing w:after="80" w:line="240" w:lineRule="auto"/>
        <w:ind w:left="1560" w:hanging="567"/>
        <w:rPr>
          <w:rFonts w:eastAsiaTheme="minorHAnsi" w:cs="Arial"/>
          <w:color w:val="000000"/>
          <w:szCs w:val="20"/>
          <w:lang w:eastAsia="en-US"/>
        </w:rPr>
      </w:pPr>
      <w:r w:rsidRPr="00171D30">
        <w:rPr>
          <w:rFonts w:eastAsiaTheme="minorHAnsi" w:cs="Arial"/>
          <w:color w:val="000000"/>
          <w:szCs w:val="20"/>
          <w:lang w:eastAsia="en-US"/>
        </w:rPr>
        <w:t xml:space="preserve">a corporation in which 2 or more persons, each of whom is an individual not ordinarily resident in Australia, a foreign corporation or a foreign government, hold an aggregate substantial interest; or </w:t>
      </w:r>
    </w:p>
    <w:p w14:paraId="0B3BD4CC" w14:textId="77777777" w:rsidR="00171D30" w:rsidRPr="00171D30" w:rsidRDefault="00171D30" w:rsidP="00171D30">
      <w:pPr>
        <w:numPr>
          <w:ilvl w:val="0"/>
          <w:numId w:val="23"/>
        </w:numPr>
        <w:autoSpaceDE w:val="0"/>
        <w:autoSpaceDN w:val="0"/>
        <w:adjustRightInd w:val="0"/>
        <w:spacing w:after="80" w:line="240" w:lineRule="auto"/>
        <w:ind w:left="1560" w:hanging="567"/>
        <w:rPr>
          <w:rFonts w:eastAsiaTheme="minorHAnsi" w:cs="Arial"/>
          <w:color w:val="000000"/>
          <w:szCs w:val="20"/>
          <w:lang w:eastAsia="en-US"/>
        </w:rPr>
      </w:pPr>
      <w:r w:rsidRPr="00171D30">
        <w:rPr>
          <w:rFonts w:eastAsiaTheme="minorHAnsi" w:cs="Arial"/>
          <w:color w:val="000000"/>
          <w:szCs w:val="20"/>
          <w:lang w:eastAsia="en-US"/>
        </w:rPr>
        <w:t xml:space="preserve">the trustee of a trust in which an individual not ordinarily resident in Australia, a foreign corporation or a foreign government holds a substantial interest; or </w:t>
      </w:r>
    </w:p>
    <w:p w14:paraId="115F4BFC" w14:textId="77777777" w:rsidR="00171D30" w:rsidRPr="00171D30" w:rsidRDefault="00171D30" w:rsidP="00171D30">
      <w:pPr>
        <w:numPr>
          <w:ilvl w:val="0"/>
          <w:numId w:val="23"/>
        </w:numPr>
        <w:autoSpaceDE w:val="0"/>
        <w:autoSpaceDN w:val="0"/>
        <w:adjustRightInd w:val="0"/>
        <w:spacing w:after="80" w:line="240" w:lineRule="auto"/>
        <w:ind w:left="1560" w:hanging="567"/>
        <w:rPr>
          <w:rFonts w:eastAsiaTheme="minorHAnsi" w:cs="Arial"/>
          <w:color w:val="000000"/>
          <w:szCs w:val="20"/>
          <w:lang w:eastAsia="en-US"/>
        </w:rPr>
      </w:pPr>
      <w:r w:rsidRPr="00171D30">
        <w:rPr>
          <w:rFonts w:eastAsiaTheme="minorHAnsi" w:cs="Arial"/>
          <w:color w:val="000000"/>
          <w:szCs w:val="20"/>
          <w:lang w:eastAsia="en-US"/>
        </w:rPr>
        <w:t xml:space="preserve">the trustee of a trust in which 2 or more persons, each of whom is an individual not ordinarily resident in Australia, a foreign corporation or a foreign government, hold an aggregate substantial interest; or </w:t>
      </w:r>
    </w:p>
    <w:p w14:paraId="0FF2CD07" w14:textId="77777777" w:rsidR="00171D30" w:rsidRPr="00171D30" w:rsidRDefault="00171D30" w:rsidP="00171D30">
      <w:pPr>
        <w:numPr>
          <w:ilvl w:val="0"/>
          <w:numId w:val="23"/>
        </w:numPr>
        <w:autoSpaceDE w:val="0"/>
        <w:autoSpaceDN w:val="0"/>
        <w:adjustRightInd w:val="0"/>
        <w:spacing w:after="80" w:line="240" w:lineRule="auto"/>
        <w:ind w:left="1560" w:hanging="567"/>
        <w:rPr>
          <w:rFonts w:eastAsiaTheme="minorHAnsi" w:cs="Arial"/>
          <w:color w:val="000000"/>
          <w:szCs w:val="20"/>
          <w:lang w:eastAsia="en-US"/>
        </w:rPr>
      </w:pPr>
      <w:r w:rsidRPr="00171D30">
        <w:rPr>
          <w:rFonts w:eastAsiaTheme="minorHAnsi" w:cs="Arial"/>
          <w:color w:val="000000"/>
          <w:szCs w:val="20"/>
          <w:lang w:eastAsia="en-US"/>
        </w:rPr>
        <w:t xml:space="preserve">a foreign government; or </w:t>
      </w:r>
    </w:p>
    <w:p w14:paraId="70B04E25" w14:textId="77777777" w:rsidR="00171D30" w:rsidRPr="00171D30" w:rsidRDefault="00171D30" w:rsidP="00171D30">
      <w:pPr>
        <w:numPr>
          <w:ilvl w:val="0"/>
          <w:numId w:val="23"/>
        </w:numPr>
        <w:autoSpaceDE w:val="0"/>
        <w:autoSpaceDN w:val="0"/>
        <w:adjustRightInd w:val="0"/>
        <w:spacing w:after="0" w:line="240" w:lineRule="auto"/>
        <w:ind w:left="1560" w:hanging="567"/>
        <w:rPr>
          <w:rFonts w:eastAsiaTheme="minorHAnsi" w:cs="Arial"/>
          <w:color w:val="000000"/>
          <w:szCs w:val="20"/>
          <w:lang w:eastAsia="en-US"/>
        </w:rPr>
      </w:pPr>
      <w:r w:rsidRPr="00171D30">
        <w:rPr>
          <w:rFonts w:eastAsiaTheme="minorHAnsi" w:cs="Arial"/>
          <w:color w:val="000000"/>
          <w:szCs w:val="20"/>
          <w:lang w:eastAsia="en-US"/>
        </w:rPr>
        <w:t xml:space="preserve">any other person, or any other person that meets the conditions, prescribed by the regulations. </w:t>
      </w:r>
    </w:p>
    <w:p w14:paraId="36B2E205" w14:textId="77777777" w:rsidR="00171D30" w:rsidRPr="00171D30" w:rsidRDefault="00171D30" w:rsidP="00171D30">
      <w:pPr>
        <w:keepNext/>
        <w:keepLines/>
        <w:shd w:val="clear" w:color="auto" w:fill="FFFFFF"/>
        <w:spacing w:before="150"/>
        <w:ind w:left="1560" w:hanging="567"/>
        <w:rPr>
          <w:rFonts w:cs="Arial"/>
          <w:szCs w:val="20"/>
        </w:rPr>
      </w:pPr>
      <w:r w:rsidRPr="00171D30">
        <w:rPr>
          <w:rFonts w:cs="Arial"/>
          <w:szCs w:val="20"/>
        </w:rPr>
        <w:t>Note: In certain circumstances, an associate of a foreign person may be taken to be a foreign person even if the associate is not a foreign person (see subsection 54(7)).</w:t>
      </w:r>
    </w:p>
    <w:p w14:paraId="0795A7F8" w14:textId="77777777" w:rsidR="00171D30" w:rsidRPr="00171D30" w:rsidRDefault="00171D30" w:rsidP="00171D30">
      <w:pPr>
        <w:keepNext/>
        <w:keepLines/>
        <w:spacing w:before="180" w:after="0" w:line="240" w:lineRule="auto"/>
        <w:ind w:left="1134" w:hanging="567"/>
        <w:rPr>
          <w:rFonts w:cs="Arial"/>
          <w:szCs w:val="20"/>
        </w:rPr>
      </w:pPr>
      <w:r w:rsidRPr="00171D30">
        <w:rPr>
          <w:rFonts w:cs="Arial"/>
          <w:b/>
          <w:szCs w:val="20"/>
        </w:rPr>
        <w:t>Substantial interest</w:t>
      </w:r>
      <w:r w:rsidRPr="00171D30">
        <w:rPr>
          <w:rFonts w:cs="Arial"/>
          <w:szCs w:val="20"/>
        </w:rPr>
        <w:t xml:space="preserve"> means:</w:t>
      </w:r>
    </w:p>
    <w:p w14:paraId="135999E2" w14:textId="77777777" w:rsidR="00171D30" w:rsidRPr="00171D30" w:rsidRDefault="00171D30" w:rsidP="00171D30">
      <w:pPr>
        <w:keepNext/>
        <w:keepLines/>
        <w:spacing w:before="180" w:after="0" w:line="240" w:lineRule="auto"/>
        <w:ind w:left="1134" w:hanging="567"/>
        <w:rPr>
          <w:rFonts w:cs="Arial"/>
          <w:szCs w:val="20"/>
        </w:rPr>
      </w:pPr>
      <w:r w:rsidRPr="00171D30">
        <w:rPr>
          <w:rFonts w:cs="Arial"/>
          <w:szCs w:val="20"/>
        </w:rPr>
        <w:t xml:space="preserve">A person holds a </w:t>
      </w:r>
      <w:r w:rsidRPr="00171D30">
        <w:rPr>
          <w:rFonts w:cs="Arial"/>
          <w:b/>
          <w:i/>
          <w:szCs w:val="20"/>
        </w:rPr>
        <w:t xml:space="preserve">substantial interest </w:t>
      </w:r>
      <w:r w:rsidRPr="00171D30">
        <w:rPr>
          <w:rFonts w:cs="Arial"/>
          <w:szCs w:val="20"/>
        </w:rPr>
        <w:t>in an entity or trust if:</w:t>
      </w:r>
    </w:p>
    <w:p w14:paraId="6F711CD6" w14:textId="77777777" w:rsidR="00171D30" w:rsidRPr="00171D30" w:rsidRDefault="00171D30" w:rsidP="00171D30">
      <w:pPr>
        <w:keepNext/>
        <w:keepLines/>
        <w:tabs>
          <w:tab w:val="right" w:pos="1531"/>
        </w:tabs>
        <w:spacing w:before="40" w:after="80" w:line="240" w:lineRule="auto"/>
        <w:ind w:left="1644" w:hanging="1644"/>
        <w:rPr>
          <w:rFonts w:cs="Arial"/>
          <w:szCs w:val="20"/>
        </w:rPr>
      </w:pPr>
      <w:r w:rsidRPr="00171D30">
        <w:rPr>
          <w:rFonts w:cs="Arial"/>
          <w:szCs w:val="20"/>
        </w:rPr>
        <w:tab/>
        <w:t>(a)</w:t>
      </w:r>
      <w:r w:rsidRPr="00171D30">
        <w:rPr>
          <w:rFonts w:cs="Arial"/>
          <w:szCs w:val="20"/>
        </w:rPr>
        <w:tab/>
        <w:t>for an entity—the person holds an interest of at least 20% in the entity; or</w:t>
      </w:r>
    </w:p>
    <w:p w14:paraId="616C1E40" w14:textId="77777777" w:rsidR="00171D30" w:rsidRPr="00171D30" w:rsidRDefault="00171D30" w:rsidP="00171D30">
      <w:pPr>
        <w:keepNext/>
        <w:keepLines/>
        <w:tabs>
          <w:tab w:val="right" w:pos="1531"/>
        </w:tabs>
        <w:spacing w:before="40" w:after="0" w:line="240" w:lineRule="auto"/>
        <w:ind w:left="1644" w:hanging="1644"/>
        <w:rPr>
          <w:rFonts w:cs="Arial"/>
          <w:szCs w:val="20"/>
        </w:rPr>
      </w:pPr>
      <w:r w:rsidRPr="00171D30">
        <w:rPr>
          <w:rFonts w:cs="Arial"/>
          <w:szCs w:val="20"/>
        </w:rPr>
        <w:tab/>
        <w:t>(b)</w:t>
      </w:r>
      <w:r w:rsidRPr="00171D30">
        <w:rPr>
          <w:rFonts w:cs="Arial"/>
          <w:szCs w:val="20"/>
        </w:rPr>
        <w:tab/>
        <w:t>for a trust (including a unit trust)—the person, together with any one or more associates, holds a beneficial interest in at least 20% of the income or property of the trust.</w:t>
      </w:r>
    </w:p>
    <w:p w14:paraId="0BD1554B" w14:textId="77777777" w:rsidR="00171D30" w:rsidRPr="00171D30" w:rsidRDefault="00171D30" w:rsidP="00171D30">
      <w:pPr>
        <w:spacing w:before="122" w:after="0" w:line="240" w:lineRule="auto"/>
        <w:ind w:left="1985" w:hanging="851"/>
        <w:rPr>
          <w:rFonts w:cs="Arial"/>
          <w:szCs w:val="20"/>
        </w:rPr>
      </w:pPr>
      <w:r w:rsidRPr="00171D30">
        <w:rPr>
          <w:rFonts w:cs="Arial"/>
          <w:szCs w:val="20"/>
        </w:rPr>
        <w:t>Note 1:</w:t>
      </w:r>
      <w:r w:rsidRPr="00171D30">
        <w:rPr>
          <w:rFonts w:cs="Arial"/>
          <w:szCs w:val="20"/>
        </w:rPr>
        <w:tab/>
        <w:t xml:space="preserve">See also sections 17 (meanings of </w:t>
      </w:r>
      <w:r w:rsidRPr="00171D30">
        <w:rPr>
          <w:rFonts w:cs="Arial"/>
          <w:b/>
          <w:i/>
          <w:szCs w:val="20"/>
        </w:rPr>
        <w:t>interest</w:t>
      </w:r>
      <w:r w:rsidRPr="00171D30">
        <w:rPr>
          <w:rFonts w:cs="Arial"/>
          <w:szCs w:val="20"/>
        </w:rPr>
        <w:t xml:space="preserve"> and </w:t>
      </w:r>
      <w:r w:rsidRPr="00171D30">
        <w:rPr>
          <w:rFonts w:cs="Arial"/>
          <w:b/>
          <w:i/>
          <w:szCs w:val="20"/>
        </w:rPr>
        <w:t>aggregate interest</w:t>
      </w:r>
      <w:r w:rsidRPr="00171D30">
        <w:rPr>
          <w:rFonts w:cs="Arial"/>
          <w:szCs w:val="20"/>
        </w:rPr>
        <w:t xml:space="preserve"> of a specified percentage in an entity) and 18 (rules relating to determining percentages of interests in entities).</w:t>
      </w:r>
    </w:p>
    <w:p w14:paraId="78C1E221" w14:textId="77777777" w:rsidR="00171D30" w:rsidRPr="00171D30" w:rsidRDefault="00171D30" w:rsidP="00171D30">
      <w:pPr>
        <w:spacing w:before="122" w:after="0" w:line="240" w:lineRule="auto"/>
        <w:ind w:left="1985" w:hanging="851"/>
        <w:rPr>
          <w:rFonts w:cs="Arial"/>
          <w:szCs w:val="20"/>
        </w:rPr>
      </w:pPr>
      <w:r w:rsidRPr="00171D30">
        <w:rPr>
          <w:rFonts w:cs="Arial"/>
          <w:szCs w:val="20"/>
        </w:rPr>
        <w:t>Note 2:</w:t>
      </w:r>
      <w:r w:rsidRPr="00171D30">
        <w:rPr>
          <w:rFonts w:cs="Arial"/>
          <w:szCs w:val="20"/>
        </w:rPr>
        <w:tab/>
        <w:t xml:space="preserve">For when a person </w:t>
      </w:r>
      <w:r w:rsidRPr="00171D30">
        <w:rPr>
          <w:rFonts w:cs="Arial"/>
          <w:b/>
          <w:i/>
          <w:szCs w:val="20"/>
        </w:rPr>
        <w:t xml:space="preserve">acquires </w:t>
      </w:r>
      <w:r w:rsidRPr="00171D30">
        <w:rPr>
          <w:rFonts w:cs="Arial"/>
          <w:szCs w:val="20"/>
        </w:rPr>
        <w:t>a substantial interest in an entity, see section 20.</w:t>
      </w:r>
    </w:p>
    <w:p w14:paraId="410CFB8F" w14:textId="77777777" w:rsidR="00171D30" w:rsidRPr="00171D30" w:rsidRDefault="00171D30" w:rsidP="00171D30">
      <w:pPr>
        <w:shd w:val="clear" w:color="auto" w:fill="FFFFFF"/>
        <w:spacing w:before="150"/>
        <w:rPr>
          <w:rFonts w:cs="Arial"/>
          <w:szCs w:val="20"/>
        </w:rPr>
      </w:pPr>
      <w:r w:rsidRPr="00171D30">
        <w:rPr>
          <w:rFonts w:cs="Arial"/>
          <w:szCs w:val="20"/>
        </w:rPr>
        <w:t>Further provisions relevant to determining whether the person(s) is a foreign person are provided at the Annexure.</w:t>
      </w:r>
    </w:p>
    <w:p w14:paraId="2A1B6242" w14:textId="77777777" w:rsidR="00171D30" w:rsidRPr="00171D30" w:rsidRDefault="00171D30" w:rsidP="00B95A9C">
      <w:pPr>
        <w:pStyle w:val="Heading3"/>
      </w:pPr>
      <w:bookmarkStart w:id="88" w:name="_Toc50038425"/>
      <w:r w:rsidRPr="00171D30">
        <w:t>How to complete Part C – Notification by a person of becoming a foreign stakeholder</w:t>
      </w:r>
      <w:bookmarkEnd w:id="88"/>
    </w:p>
    <w:p w14:paraId="7795587D" w14:textId="77777777" w:rsidR="00171D30" w:rsidRPr="00171D30" w:rsidRDefault="00171D30" w:rsidP="00171D30">
      <w:pPr>
        <w:numPr>
          <w:ilvl w:val="0"/>
          <w:numId w:val="16"/>
        </w:numPr>
        <w:spacing w:after="80" w:line="240" w:lineRule="auto"/>
        <w:jc w:val="both"/>
        <w:rPr>
          <w:rFonts w:cs="Arial"/>
          <w:szCs w:val="20"/>
          <w:lang w:val="en-US" w:eastAsia="en-US"/>
        </w:rPr>
      </w:pPr>
      <w:r w:rsidRPr="00171D30">
        <w:rPr>
          <w:rFonts w:cs="Arial"/>
          <w:szCs w:val="20"/>
          <w:lang w:val="en-US" w:eastAsia="en-US"/>
        </w:rPr>
        <w:t>Enter the date the person became a foreign stakeholder (mandatory).</w:t>
      </w:r>
    </w:p>
    <w:p w14:paraId="37709D6F" w14:textId="77777777" w:rsidR="00171D30" w:rsidRPr="00171D30" w:rsidRDefault="00171D30" w:rsidP="00171D30">
      <w:pPr>
        <w:numPr>
          <w:ilvl w:val="0"/>
          <w:numId w:val="16"/>
        </w:numPr>
        <w:spacing w:after="80" w:line="240" w:lineRule="auto"/>
        <w:jc w:val="both"/>
        <w:rPr>
          <w:rFonts w:cs="Arial"/>
          <w:szCs w:val="20"/>
          <w:lang w:val="en-US" w:eastAsia="en-US"/>
        </w:rPr>
      </w:pPr>
      <w:r w:rsidRPr="00171D30">
        <w:rPr>
          <w:rFonts w:cs="Arial"/>
          <w:szCs w:val="20"/>
          <w:lang w:val="en-US" w:eastAsia="en-US"/>
        </w:rPr>
        <w:t>Enter a description of the circumstances that resulted in the person becoming a foreign stakeholder (mandatory).</w:t>
      </w:r>
    </w:p>
    <w:p w14:paraId="7654860F" w14:textId="77777777" w:rsidR="00171D30" w:rsidRPr="00171D30" w:rsidRDefault="00171D30" w:rsidP="00171D30">
      <w:pPr>
        <w:numPr>
          <w:ilvl w:val="0"/>
          <w:numId w:val="16"/>
        </w:numPr>
        <w:spacing w:after="80" w:line="240" w:lineRule="auto"/>
        <w:jc w:val="both"/>
        <w:rPr>
          <w:rFonts w:cs="Arial"/>
          <w:szCs w:val="20"/>
          <w:lang w:val="en-US" w:eastAsia="en-US"/>
        </w:rPr>
      </w:pPr>
      <w:r w:rsidRPr="00171D30">
        <w:rPr>
          <w:rFonts w:cs="Arial"/>
          <w:szCs w:val="20"/>
          <w:lang w:val="en-US" w:eastAsia="en-US"/>
        </w:rPr>
        <w:t>Enter the person’s company interests in the Australian media company as a percentage (mandatory).</w:t>
      </w:r>
    </w:p>
    <w:p w14:paraId="23A7EC61" w14:textId="77777777" w:rsidR="00171D30" w:rsidRPr="00171D30" w:rsidRDefault="00171D30" w:rsidP="00171D30">
      <w:pPr>
        <w:numPr>
          <w:ilvl w:val="0"/>
          <w:numId w:val="16"/>
        </w:numPr>
        <w:spacing w:after="80" w:line="240" w:lineRule="auto"/>
        <w:jc w:val="both"/>
        <w:rPr>
          <w:rFonts w:cs="Arial"/>
          <w:szCs w:val="20"/>
          <w:lang w:val="en-US" w:eastAsia="en-US"/>
        </w:rPr>
      </w:pPr>
      <w:r w:rsidRPr="00171D30">
        <w:rPr>
          <w:rFonts w:cs="Arial"/>
          <w:szCs w:val="20"/>
          <w:lang w:val="en-US" w:eastAsia="en-US"/>
        </w:rPr>
        <w:t>Enter a description of the method used to determine those company interests (mandatory).</w:t>
      </w:r>
    </w:p>
    <w:p w14:paraId="7C2413AF" w14:textId="77777777" w:rsidR="00171D30" w:rsidRPr="00171D30" w:rsidRDefault="00171D30" w:rsidP="00171D30">
      <w:pPr>
        <w:numPr>
          <w:ilvl w:val="0"/>
          <w:numId w:val="16"/>
        </w:numPr>
        <w:spacing w:after="80" w:line="240" w:lineRule="auto"/>
        <w:jc w:val="both"/>
        <w:rPr>
          <w:rFonts w:cs="Arial"/>
          <w:szCs w:val="20"/>
          <w:lang w:val="en-US" w:eastAsia="en-US"/>
        </w:rPr>
      </w:pPr>
      <w:r w:rsidRPr="00171D30">
        <w:rPr>
          <w:rFonts w:cs="Arial"/>
          <w:szCs w:val="20"/>
          <w:lang w:val="en-US" w:eastAsia="en-US"/>
        </w:rPr>
        <w:t>Enter a description of the reason why the person is a foreign stakeholder (mandatory).</w:t>
      </w:r>
    </w:p>
    <w:p w14:paraId="0F142799" w14:textId="77777777" w:rsidR="00171D30" w:rsidRPr="00171D30" w:rsidRDefault="00171D30" w:rsidP="00171D30">
      <w:pPr>
        <w:numPr>
          <w:ilvl w:val="0"/>
          <w:numId w:val="16"/>
        </w:numPr>
        <w:spacing w:line="240" w:lineRule="auto"/>
        <w:jc w:val="both"/>
        <w:rPr>
          <w:rFonts w:cs="Arial"/>
          <w:szCs w:val="20"/>
          <w:lang w:val="en-US" w:eastAsia="en-US"/>
        </w:rPr>
      </w:pPr>
      <w:r w:rsidRPr="00171D30">
        <w:rPr>
          <w:rFonts w:cs="Arial"/>
          <w:szCs w:val="20"/>
          <w:lang w:val="en-US" w:eastAsia="en-US"/>
        </w:rPr>
        <w:t>Click right hand arrow to navigate to Appendix page.</w:t>
      </w:r>
    </w:p>
    <w:p w14:paraId="133FD859" w14:textId="77777777" w:rsidR="00171D30" w:rsidRPr="00171D30" w:rsidRDefault="00171D30" w:rsidP="00171D30">
      <w:pPr>
        <w:spacing w:line="240" w:lineRule="auto"/>
        <w:ind w:left="720"/>
        <w:jc w:val="both"/>
        <w:rPr>
          <w:rFonts w:cs="Arial"/>
          <w:szCs w:val="20"/>
          <w:lang w:val="en-US" w:eastAsia="en-US"/>
        </w:rPr>
      </w:pPr>
    </w:p>
    <w:p w14:paraId="135B97EA" w14:textId="77777777" w:rsidR="00171D30" w:rsidRPr="00171D30" w:rsidRDefault="00171D30" w:rsidP="00B95A9C">
      <w:pPr>
        <w:pStyle w:val="Heading2"/>
      </w:pPr>
      <w:bookmarkStart w:id="89" w:name="_Toc48889567"/>
      <w:bookmarkStart w:id="90" w:name="_Toc50038426"/>
      <w:r w:rsidRPr="00171D30">
        <w:t>Part D—Notification by a person who ceases to be a foreign stakeholder (s74G)</w:t>
      </w:r>
      <w:bookmarkEnd w:id="89"/>
      <w:bookmarkEnd w:id="90"/>
    </w:p>
    <w:p w14:paraId="3BDFADB8" w14:textId="77777777" w:rsidR="00171D30" w:rsidRPr="00171D30" w:rsidRDefault="00171D30" w:rsidP="00171D30">
      <w:pPr>
        <w:jc w:val="both"/>
        <w:rPr>
          <w:rFonts w:eastAsiaTheme="minorHAnsi" w:cs="Arial"/>
          <w:szCs w:val="22"/>
        </w:rPr>
      </w:pPr>
      <w:r w:rsidRPr="00171D30">
        <w:rPr>
          <w:rFonts w:cs="Arial"/>
          <w:b/>
          <w:szCs w:val="22"/>
        </w:rPr>
        <w:t>Date person ceased to be a foreign stakeholder in an Australian media company</w:t>
      </w:r>
      <w:r w:rsidRPr="00171D30">
        <w:rPr>
          <w:rFonts w:cs="Arial"/>
          <w:szCs w:val="22"/>
        </w:rPr>
        <w:t xml:space="preserve">: </w:t>
      </w:r>
      <w:r w:rsidRPr="00171D30">
        <w:rPr>
          <w:rFonts w:eastAsiaTheme="minorHAnsi" w:cs="Arial"/>
          <w:szCs w:val="22"/>
        </w:rPr>
        <w:t>Provide the date of the event resulting in the person(s) becoming a foreign stakeholder.</w:t>
      </w:r>
    </w:p>
    <w:p w14:paraId="0F185126" w14:textId="77777777" w:rsidR="00171D30" w:rsidRPr="00171D30" w:rsidRDefault="00171D30" w:rsidP="00171D30">
      <w:pPr>
        <w:jc w:val="both"/>
        <w:rPr>
          <w:rFonts w:cs="Arial"/>
          <w:szCs w:val="22"/>
        </w:rPr>
      </w:pPr>
      <w:r w:rsidRPr="00171D30">
        <w:rPr>
          <w:rFonts w:eastAsiaTheme="minorHAnsi" w:cs="Arial"/>
          <w:b/>
          <w:szCs w:val="22"/>
        </w:rPr>
        <w:t xml:space="preserve">Circumstances that resulted in the person ceasing to be a foreign stakeholder: </w:t>
      </w:r>
      <w:r w:rsidRPr="00171D30">
        <w:rPr>
          <w:rFonts w:cs="Arial"/>
          <w:szCs w:val="22"/>
        </w:rPr>
        <w:t xml:space="preserve">Provide details of the circumstances that resulted in the person ceasing to be a foreign stakeholder in the Australian media company(s).  </w:t>
      </w:r>
    </w:p>
    <w:p w14:paraId="32EDE876" w14:textId="77777777" w:rsidR="00171D30" w:rsidRPr="00171D30" w:rsidRDefault="00171D30" w:rsidP="00B95A9C">
      <w:pPr>
        <w:pStyle w:val="Heading3"/>
      </w:pPr>
      <w:bookmarkStart w:id="91" w:name="_Toc50038427"/>
      <w:r w:rsidRPr="00171D30">
        <w:t>How to complete Part D – Notification by a person of becoming a foreign stakeholder</w:t>
      </w:r>
      <w:bookmarkEnd w:id="91"/>
    </w:p>
    <w:p w14:paraId="6BFBBF8C" w14:textId="77777777" w:rsidR="00171D30" w:rsidRPr="00171D30" w:rsidRDefault="00171D30" w:rsidP="00171D30">
      <w:pPr>
        <w:numPr>
          <w:ilvl w:val="0"/>
          <w:numId w:val="35"/>
        </w:numPr>
        <w:spacing w:after="80" w:line="240" w:lineRule="auto"/>
        <w:jc w:val="both"/>
        <w:rPr>
          <w:rFonts w:cs="Arial"/>
          <w:szCs w:val="20"/>
          <w:lang w:val="en-US" w:eastAsia="en-US"/>
        </w:rPr>
      </w:pPr>
      <w:r w:rsidRPr="00171D30">
        <w:rPr>
          <w:rFonts w:cs="Arial"/>
          <w:szCs w:val="20"/>
          <w:lang w:val="en-US" w:eastAsia="en-US"/>
        </w:rPr>
        <w:t>Enter the date the person ceased being a foreign stakeholder (mandatory).</w:t>
      </w:r>
    </w:p>
    <w:p w14:paraId="33F03F0B" w14:textId="77777777" w:rsidR="00171D30" w:rsidRPr="00171D30" w:rsidRDefault="00171D30" w:rsidP="00171D30">
      <w:pPr>
        <w:numPr>
          <w:ilvl w:val="0"/>
          <w:numId w:val="35"/>
        </w:numPr>
        <w:spacing w:after="80" w:line="240" w:lineRule="auto"/>
        <w:jc w:val="both"/>
        <w:rPr>
          <w:rFonts w:cs="Arial"/>
          <w:szCs w:val="20"/>
          <w:lang w:val="en-US" w:eastAsia="en-US"/>
        </w:rPr>
      </w:pPr>
      <w:r w:rsidRPr="00171D30">
        <w:rPr>
          <w:rFonts w:cs="Arial"/>
          <w:szCs w:val="20"/>
          <w:lang w:val="en-US" w:eastAsia="en-US"/>
        </w:rPr>
        <w:t>Enter a description of the circumstances that resulted in the person ceasing to be a foreign stakeholder (mandatory).</w:t>
      </w:r>
    </w:p>
    <w:p w14:paraId="22AF531A" w14:textId="77777777" w:rsidR="00171D30" w:rsidRPr="00171D30" w:rsidRDefault="00171D30" w:rsidP="00171D30">
      <w:pPr>
        <w:numPr>
          <w:ilvl w:val="0"/>
          <w:numId w:val="35"/>
        </w:numPr>
        <w:spacing w:line="240" w:lineRule="auto"/>
        <w:jc w:val="both"/>
        <w:rPr>
          <w:rFonts w:cs="Arial"/>
          <w:szCs w:val="20"/>
          <w:lang w:val="en-US" w:eastAsia="en-US"/>
        </w:rPr>
      </w:pPr>
      <w:r w:rsidRPr="00171D30">
        <w:rPr>
          <w:rFonts w:cs="Arial"/>
          <w:szCs w:val="20"/>
          <w:lang w:val="en-US" w:eastAsia="en-US"/>
        </w:rPr>
        <w:t>Click right hand arrow to navigate to Appendix page.</w:t>
      </w:r>
    </w:p>
    <w:p w14:paraId="3B13D893" w14:textId="77777777" w:rsidR="00171D30" w:rsidRPr="00171D30" w:rsidRDefault="00171D30" w:rsidP="00B95A9C">
      <w:pPr>
        <w:pStyle w:val="Heading2"/>
      </w:pPr>
      <w:bookmarkStart w:id="92" w:name="_Toc48889568"/>
      <w:bookmarkStart w:id="93" w:name="_Toc50038428"/>
      <w:r w:rsidRPr="00171D30">
        <w:t>Part E—Notification by a person who is a foreign stakeholder in an Australian media company at the end of a financial year (s74H)</w:t>
      </w:r>
      <w:bookmarkEnd w:id="92"/>
      <w:bookmarkEnd w:id="93"/>
    </w:p>
    <w:p w14:paraId="036847DD" w14:textId="77777777" w:rsidR="00171D30" w:rsidRPr="00171D30" w:rsidRDefault="00171D30" w:rsidP="00171D30">
      <w:pPr>
        <w:keepNext/>
        <w:keepLines/>
        <w:rPr>
          <w:rFonts w:cs="Arial"/>
          <w:szCs w:val="22"/>
        </w:rPr>
      </w:pPr>
      <w:r w:rsidRPr="00171D30">
        <w:rPr>
          <w:rFonts w:cs="Arial"/>
          <w:b/>
          <w:szCs w:val="22"/>
        </w:rPr>
        <w:t xml:space="preserve">Circumstances that resulted in person becoming a foreign stakeholder: </w:t>
      </w:r>
      <w:r w:rsidRPr="00171D30">
        <w:rPr>
          <w:rFonts w:cs="Arial"/>
          <w:szCs w:val="22"/>
        </w:rPr>
        <w:t xml:space="preserve">Provide details of the circumstances that resulted in the person becoming a foreign stakeholder in the Australian media company(s).  </w:t>
      </w:r>
    </w:p>
    <w:p w14:paraId="52998F33" w14:textId="77777777" w:rsidR="00171D30" w:rsidRPr="00171D30" w:rsidRDefault="00171D30" w:rsidP="00171D30">
      <w:pPr>
        <w:keepNext/>
        <w:keepLines/>
        <w:rPr>
          <w:rFonts w:cs="Arial"/>
          <w:b/>
          <w:sz w:val="28"/>
          <w:szCs w:val="28"/>
        </w:rPr>
      </w:pPr>
      <w:r w:rsidRPr="00171D30">
        <w:rPr>
          <w:rFonts w:cs="Arial"/>
          <w:b/>
          <w:szCs w:val="22"/>
        </w:rPr>
        <w:t xml:space="preserve">The persons’ company interests in the Australian media company (%): </w:t>
      </w:r>
      <w:r w:rsidRPr="00171D30">
        <w:rPr>
          <w:rFonts w:cs="Arial"/>
          <w:szCs w:val="22"/>
        </w:rPr>
        <w:t>Provide the level of company interests, in terms of the BSA, held by the person in the Australian media company, expressed as a percentage.</w:t>
      </w:r>
    </w:p>
    <w:p w14:paraId="68176DEB" w14:textId="77777777" w:rsidR="00171D30" w:rsidRPr="00171D30" w:rsidRDefault="00171D30" w:rsidP="00171D30">
      <w:pPr>
        <w:rPr>
          <w:rFonts w:cs="Arial"/>
          <w:szCs w:val="22"/>
        </w:rPr>
      </w:pPr>
      <w:r w:rsidRPr="00171D30">
        <w:rPr>
          <w:rFonts w:cs="Arial"/>
          <w:b/>
          <w:szCs w:val="22"/>
        </w:rPr>
        <w:t xml:space="preserve">Method used to determine those company interests: </w:t>
      </w:r>
      <w:r w:rsidRPr="00171D30">
        <w:rPr>
          <w:rFonts w:cs="Arial"/>
          <w:szCs w:val="22"/>
        </w:rPr>
        <w:t>Provide a description of the method used to determine the company interests held by the foreign stakeholder in the Australian media company. For example, where the company interests are held indirectly, please indicate that the fractional tracing method under clause 8 under Schedule 1 to the BSA was used to determine the foreign stakeholder’s company interests in the Australian media company and provide a brief description of the company structure between the foreign stakeholder and the Australian media company.  If the company interests are held directly in the Australian media company describe the nature of the foreign stakeholder’s shareholding in the Australian media company.</w:t>
      </w:r>
    </w:p>
    <w:p w14:paraId="65E0BAC4" w14:textId="77777777" w:rsidR="00171D30" w:rsidRPr="00171D30" w:rsidRDefault="00171D30" w:rsidP="00171D30">
      <w:pPr>
        <w:rPr>
          <w:rFonts w:cs="Arial"/>
          <w:szCs w:val="22"/>
        </w:rPr>
      </w:pPr>
      <w:r w:rsidRPr="00171D30">
        <w:rPr>
          <w:rFonts w:cs="Arial"/>
          <w:b/>
          <w:szCs w:val="22"/>
        </w:rPr>
        <w:t xml:space="preserve">Reason why foreign stakeholder is a foreign person: </w:t>
      </w:r>
      <w:r w:rsidRPr="00171D30">
        <w:rPr>
          <w:rFonts w:cs="Arial"/>
          <w:szCs w:val="22"/>
        </w:rPr>
        <w:t xml:space="preserve">Provide the reason why the foreign stakeholder is a foreign person. The term ‘foreign person’ under the BSA has the same meaning as in the </w:t>
      </w:r>
      <w:r w:rsidRPr="00171D30">
        <w:rPr>
          <w:rFonts w:cs="Arial"/>
          <w:i/>
          <w:szCs w:val="22"/>
        </w:rPr>
        <w:t xml:space="preserve">Foreign Acquisitions and Takeovers Act 1975 </w:t>
      </w:r>
      <w:r w:rsidRPr="00171D30">
        <w:rPr>
          <w:rFonts w:cs="Arial"/>
          <w:szCs w:val="22"/>
        </w:rPr>
        <w:t>(the FATA)</w:t>
      </w:r>
      <w:r w:rsidRPr="00171D30">
        <w:rPr>
          <w:rFonts w:cs="Arial"/>
          <w:i/>
          <w:szCs w:val="22"/>
        </w:rPr>
        <w:t xml:space="preserve"> </w:t>
      </w:r>
      <w:r w:rsidRPr="00171D30">
        <w:rPr>
          <w:rFonts w:cs="Arial"/>
          <w:szCs w:val="22"/>
        </w:rPr>
        <w:t>and the Foreign Acquisitions and Takeovers Regulation 2015</w:t>
      </w:r>
      <w:r w:rsidRPr="00171D30">
        <w:rPr>
          <w:rFonts w:cs="Arial"/>
          <w:i/>
          <w:szCs w:val="22"/>
        </w:rPr>
        <w:t xml:space="preserve"> </w:t>
      </w:r>
      <w:r w:rsidRPr="00171D30">
        <w:rPr>
          <w:rFonts w:cs="Arial"/>
          <w:szCs w:val="22"/>
        </w:rPr>
        <w:t xml:space="preserve">(the Regulation).  </w:t>
      </w:r>
    </w:p>
    <w:p w14:paraId="7969EEB4" w14:textId="77777777" w:rsidR="00171D30" w:rsidRPr="00171D30" w:rsidRDefault="00171D30" w:rsidP="00B95A9C">
      <w:pPr>
        <w:pStyle w:val="Heading2"/>
      </w:pPr>
      <w:bookmarkStart w:id="94" w:name="_Toc50038429"/>
      <w:r w:rsidRPr="00171D30">
        <w:t>How to complete Notification by a person who was a foreign stakeholder at the end of a financial year</w:t>
      </w:r>
      <w:bookmarkEnd w:id="94"/>
    </w:p>
    <w:p w14:paraId="6FF7791B" w14:textId="77777777" w:rsidR="00171D30" w:rsidRPr="00171D30" w:rsidRDefault="00171D30" w:rsidP="00171D30">
      <w:pPr>
        <w:numPr>
          <w:ilvl w:val="0"/>
          <w:numId w:val="36"/>
        </w:numPr>
        <w:spacing w:after="80" w:line="240" w:lineRule="auto"/>
        <w:rPr>
          <w:rFonts w:cs="Arial"/>
          <w:szCs w:val="20"/>
          <w:lang w:val="en-US" w:eastAsia="en-US"/>
        </w:rPr>
      </w:pPr>
      <w:r w:rsidRPr="00171D30">
        <w:rPr>
          <w:rFonts w:cs="Arial"/>
          <w:szCs w:val="20"/>
          <w:lang w:val="en-US" w:eastAsia="en-US"/>
        </w:rPr>
        <w:t>Enter the financial year (mandatory).</w:t>
      </w:r>
    </w:p>
    <w:p w14:paraId="03EDFB9F" w14:textId="77777777" w:rsidR="00171D30" w:rsidRPr="00171D30" w:rsidRDefault="00171D30" w:rsidP="00171D30">
      <w:pPr>
        <w:numPr>
          <w:ilvl w:val="0"/>
          <w:numId w:val="36"/>
        </w:numPr>
        <w:spacing w:after="80" w:line="240" w:lineRule="auto"/>
        <w:rPr>
          <w:rFonts w:cs="Arial"/>
          <w:szCs w:val="20"/>
          <w:lang w:val="en-US" w:eastAsia="en-US"/>
        </w:rPr>
      </w:pPr>
      <w:r w:rsidRPr="00171D30">
        <w:rPr>
          <w:rFonts w:cs="Arial"/>
          <w:szCs w:val="20"/>
          <w:lang w:val="en-US" w:eastAsia="en-US"/>
        </w:rPr>
        <w:t>Enter the date of the person became a foreign stakeholder (mandatory).</w:t>
      </w:r>
    </w:p>
    <w:p w14:paraId="5BDAAB26" w14:textId="77777777" w:rsidR="00171D30" w:rsidRPr="00171D30" w:rsidRDefault="00171D30" w:rsidP="00171D30">
      <w:pPr>
        <w:numPr>
          <w:ilvl w:val="0"/>
          <w:numId w:val="36"/>
        </w:numPr>
        <w:spacing w:after="80" w:line="240" w:lineRule="auto"/>
        <w:rPr>
          <w:rFonts w:cs="Arial"/>
          <w:szCs w:val="20"/>
          <w:lang w:val="en-US" w:eastAsia="en-US"/>
        </w:rPr>
      </w:pPr>
      <w:r w:rsidRPr="00171D30">
        <w:rPr>
          <w:rFonts w:cs="Arial"/>
          <w:szCs w:val="20"/>
          <w:lang w:val="en-US" w:eastAsia="en-US"/>
        </w:rPr>
        <w:t>Enter a description of the circumstances that resulted in the person becoming a foreign stakeholder (mandatory).</w:t>
      </w:r>
    </w:p>
    <w:p w14:paraId="6EE4A6F8" w14:textId="77777777" w:rsidR="00171D30" w:rsidRPr="00171D30" w:rsidRDefault="00171D30" w:rsidP="00171D30">
      <w:pPr>
        <w:numPr>
          <w:ilvl w:val="0"/>
          <w:numId w:val="36"/>
        </w:numPr>
        <w:spacing w:after="80" w:line="240" w:lineRule="auto"/>
        <w:rPr>
          <w:rFonts w:cs="Arial"/>
          <w:szCs w:val="20"/>
          <w:lang w:val="en-US" w:eastAsia="en-US"/>
        </w:rPr>
      </w:pPr>
      <w:r w:rsidRPr="00171D30">
        <w:rPr>
          <w:rFonts w:cs="Arial"/>
          <w:szCs w:val="20"/>
          <w:lang w:val="en-US" w:eastAsia="en-US"/>
        </w:rPr>
        <w:t>Enter the person’s company interests in the Australian media company as a percentage (mandatory).</w:t>
      </w:r>
    </w:p>
    <w:p w14:paraId="54E673F3" w14:textId="77777777" w:rsidR="00171D30" w:rsidRPr="00171D30" w:rsidRDefault="00171D30" w:rsidP="00171D30">
      <w:pPr>
        <w:numPr>
          <w:ilvl w:val="0"/>
          <w:numId w:val="36"/>
        </w:numPr>
        <w:spacing w:after="80" w:line="240" w:lineRule="auto"/>
        <w:rPr>
          <w:rFonts w:cs="Arial"/>
          <w:szCs w:val="20"/>
          <w:lang w:val="en-US" w:eastAsia="en-US"/>
        </w:rPr>
      </w:pPr>
      <w:r w:rsidRPr="00171D30">
        <w:rPr>
          <w:rFonts w:cs="Arial"/>
          <w:szCs w:val="20"/>
          <w:lang w:val="en-US" w:eastAsia="en-US"/>
        </w:rPr>
        <w:t>Enter a description of the method used to determine those company interests (mandatory).</w:t>
      </w:r>
    </w:p>
    <w:p w14:paraId="27FB14DC" w14:textId="77777777" w:rsidR="00171D30" w:rsidRPr="00171D30" w:rsidRDefault="00171D30" w:rsidP="00171D30">
      <w:pPr>
        <w:numPr>
          <w:ilvl w:val="0"/>
          <w:numId w:val="36"/>
        </w:numPr>
        <w:spacing w:after="80" w:line="240" w:lineRule="auto"/>
        <w:rPr>
          <w:rFonts w:cs="Arial"/>
          <w:szCs w:val="20"/>
          <w:lang w:val="en-US" w:eastAsia="en-US"/>
        </w:rPr>
      </w:pPr>
      <w:r w:rsidRPr="00171D30">
        <w:rPr>
          <w:rFonts w:cs="Arial"/>
          <w:szCs w:val="20"/>
          <w:lang w:val="en-US" w:eastAsia="en-US"/>
        </w:rPr>
        <w:t>Enter a description of the reason why the person is a foreign stakeholder (mandatory).</w:t>
      </w:r>
    </w:p>
    <w:p w14:paraId="665BFEC2" w14:textId="77777777" w:rsidR="00171D30" w:rsidRPr="00171D30" w:rsidRDefault="00171D30" w:rsidP="00171D30">
      <w:pPr>
        <w:numPr>
          <w:ilvl w:val="0"/>
          <w:numId w:val="36"/>
        </w:numPr>
        <w:spacing w:line="240" w:lineRule="auto"/>
        <w:rPr>
          <w:rFonts w:cs="Arial"/>
          <w:szCs w:val="20"/>
          <w:lang w:val="en-US" w:eastAsia="en-US"/>
        </w:rPr>
      </w:pPr>
      <w:r w:rsidRPr="00171D30">
        <w:rPr>
          <w:rFonts w:cs="Arial"/>
          <w:szCs w:val="20"/>
          <w:lang w:val="en-US" w:eastAsia="en-US"/>
        </w:rPr>
        <w:t>Click right hand arrow to navigate to Appendix page.</w:t>
      </w:r>
    </w:p>
    <w:p w14:paraId="72493336" w14:textId="77777777" w:rsidR="00171D30" w:rsidRPr="00171D30" w:rsidRDefault="00171D30" w:rsidP="00171D30">
      <w:pPr>
        <w:keepNext/>
        <w:keepLines/>
        <w:spacing w:before="320" w:after="60"/>
        <w:outlineLvl w:val="1"/>
        <w:rPr>
          <w:rFonts w:cs="Arial"/>
          <w:b/>
          <w:bCs/>
          <w:iCs/>
          <w:sz w:val="28"/>
          <w:szCs w:val="28"/>
        </w:rPr>
      </w:pPr>
      <w:bookmarkStart w:id="95" w:name="_Toc48889569"/>
      <w:r w:rsidRPr="00171D30">
        <w:rPr>
          <w:rFonts w:cs="Arial"/>
          <w:b/>
          <w:bCs/>
          <w:iCs/>
          <w:sz w:val="28"/>
          <w:szCs w:val="28"/>
        </w:rPr>
        <w:t>Part F—Notification by a person by a person who is a foreign stakeholder in an Australian media company at the commencement of Division 10A of the BSA (s74J)</w:t>
      </w:r>
      <w:bookmarkEnd w:id="95"/>
    </w:p>
    <w:p w14:paraId="7D3E9D8B" w14:textId="77777777" w:rsidR="00171D30" w:rsidRPr="00171D30" w:rsidRDefault="00171D30" w:rsidP="00171D30">
      <w:pPr>
        <w:keepNext/>
        <w:keepLines/>
        <w:rPr>
          <w:rFonts w:cs="Arial"/>
          <w:szCs w:val="22"/>
        </w:rPr>
      </w:pPr>
      <w:r w:rsidRPr="00171D30">
        <w:rPr>
          <w:rFonts w:cs="Arial"/>
          <w:b/>
          <w:szCs w:val="22"/>
        </w:rPr>
        <w:t xml:space="preserve">Circumstances that resulted in person becoming a foreign stakeholder: </w:t>
      </w:r>
      <w:r w:rsidRPr="00171D30">
        <w:rPr>
          <w:rFonts w:cs="Arial"/>
          <w:szCs w:val="22"/>
        </w:rPr>
        <w:t xml:space="preserve">Provide details of the circumstances that resulted in the person becoming a foreign stakeholder in the Australian media company(s).  </w:t>
      </w:r>
    </w:p>
    <w:p w14:paraId="662ED24F" w14:textId="77777777" w:rsidR="00171D30" w:rsidRPr="00171D30" w:rsidRDefault="00171D30" w:rsidP="00171D30">
      <w:pPr>
        <w:rPr>
          <w:rFonts w:cs="Arial"/>
          <w:b/>
          <w:sz w:val="28"/>
          <w:szCs w:val="28"/>
        </w:rPr>
      </w:pPr>
      <w:r w:rsidRPr="00171D30">
        <w:rPr>
          <w:rFonts w:cs="Arial"/>
          <w:b/>
          <w:szCs w:val="22"/>
        </w:rPr>
        <w:t xml:space="preserve">The person’s company interests in the Australian media company (%): </w:t>
      </w:r>
      <w:r w:rsidRPr="00171D30">
        <w:rPr>
          <w:rFonts w:cs="Arial"/>
          <w:szCs w:val="22"/>
        </w:rPr>
        <w:t>Provide the level of company interests, in terms of the BSA, held by the person in the Australian media company, expressed as a percentage.</w:t>
      </w:r>
    </w:p>
    <w:p w14:paraId="2D47016F" w14:textId="77777777" w:rsidR="00171D30" w:rsidRPr="00171D30" w:rsidRDefault="00171D30" w:rsidP="00171D30">
      <w:pPr>
        <w:rPr>
          <w:rFonts w:cs="Arial"/>
          <w:szCs w:val="22"/>
        </w:rPr>
      </w:pPr>
      <w:r w:rsidRPr="00171D30">
        <w:rPr>
          <w:rFonts w:cs="Arial"/>
          <w:b/>
          <w:szCs w:val="22"/>
        </w:rPr>
        <w:t xml:space="preserve">Method used to determine those company interests: </w:t>
      </w:r>
      <w:r w:rsidRPr="00171D30">
        <w:rPr>
          <w:rFonts w:cs="Arial"/>
          <w:szCs w:val="22"/>
        </w:rPr>
        <w:t>Provide a description of the method used to determine the company interests held by the foreign stakeholder in the Australian media company.  For example, where the company interests are held indirectly, please indicate that the fractional tracing method under clause 8 under Schedule 1 to the BSA was used to determine the foreign stakeholder’s company interests in the Australian media company and provide a brief description of the company structure between the foreign stakeholder and the Australian media company. If the company interests are held directly in the Australian media company describe the nature of the foreign stakeholder’s shareholding in the Australian media company.</w:t>
      </w:r>
    </w:p>
    <w:p w14:paraId="180EC5E9" w14:textId="77777777" w:rsidR="00171D30" w:rsidRPr="00171D30" w:rsidRDefault="00171D30" w:rsidP="00171D30">
      <w:pPr>
        <w:rPr>
          <w:rFonts w:cs="Arial"/>
          <w:szCs w:val="22"/>
        </w:rPr>
      </w:pPr>
      <w:r w:rsidRPr="00171D30">
        <w:rPr>
          <w:rFonts w:cs="Arial"/>
          <w:b/>
          <w:szCs w:val="22"/>
        </w:rPr>
        <w:t xml:space="preserve">Reason why foreign stakeholder is a foreign person: </w:t>
      </w:r>
      <w:r w:rsidRPr="00171D30">
        <w:rPr>
          <w:rFonts w:cs="Arial"/>
          <w:szCs w:val="22"/>
        </w:rPr>
        <w:t xml:space="preserve">Provide the reason why the foreign stakeholder is a foreign person. The term ‘foreign person’ under the BSA has the same meaning as in the </w:t>
      </w:r>
      <w:r w:rsidRPr="00171D30">
        <w:rPr>
          <w:rFonts w:cs="Arial"/>
          <w:i/>
          <w:szCs w:val="22"/>
        </w:rPr>
        <w:t xml:space="preserve">Foreign Acquisitions and Takeovers Act 1975 </w:t>
      </w:r>
      <w:r w:rsidRPr="00171D30">
        <w:rPr>
          <w:rFonts w:cs="Arial"/>
          <w:szCs w:val="22"/>
        </w:rPr>
        <w:t>(the FATA)</w:t>
      </w:r>
      <w:r w:rsidRPr="00171D30">
        <w:rPr>
          <w:rFonts w:cs="Arial"/>
          <w:i/>
          <w:szCs w:val="22"/>
        </w:rPr>
        <w:t xml:space="preserve"> </w:t>
      </w:r>
      <w:r w:rsidRPr="00171D30">
        <w:rPr>
          <w:rFonts w:cs="Arial"/>
          <w:szCs w:val="22"/>
        </w:rPr>
        <w:t xml:space="preserve">and the </w:t>
      </w:r>
      <w:r w:rsidRPr="00171D30">
        <w:rPr>
          <w:rFonts w:cs="Arial"/>
          <w:i/>
          <w:szCs w:val="22"/>
        </w:rPr>
        <w:t xml:space="preserve">Foreign Acquisitions and Takeovers Regulation 2015 </w:t>
      </w:r>
      <w:r w:rsidRPr="00171D30">
        <w:rPr>
          <w:rFonts w:cs="Arial"/>
          <w:szCs w:val="22"/>
        </w:rPr>
        <w:t xml:space="preserve">(the Regulation).  </w:t>
      </w:r>
    </w:p>
    <w:p w14:paraId="09CB332C" w14:textId="77777777" w:rsidR="00171D30" w:rsidRPr="00171D30" w:rsidRDefault="00171D30" w:rsidP="00B95A9C">
      <w:pPr>
        <w:pStyle w:val="Heading3"/>
      </w:pPr>
      <w:bookmarkStart w:id="96" w:name="_Toc50038430"/>
      <w:r w:rsidRPr="00171D30">
        <w:t>How to complete Notification by a person who was a foreign stakeholder at the commencement of Division 10A of the BSA</w:t>
      </w:r>
      <w:bookmarkEnd w:id="96"/>
    </w:p>
    <w:p w14:paraId="5376C2F3" w14:textId="77777777" w:rsidR="00171D30" w:rsidRPr="00171D30" w:rsidRDefault="00171D30" w:rsidP="00171D30">
      <w:pPr>
        <w:numPr>
          <w:ilvl w:val="0"/>
          <w:numId w:val="37"/>
        </w:numPr>
        <w:spacing w:after="80" w:line="240" w:lineRule="auto"/>
        <w:rPr>
          <w:rFonts w:cs="Arial"/>
          <w:szCs w:val="20"/>
          <w:lang w:val="en-US" w:eastAsia="en-US"/>
        </w:rPr>
      </w:pPr>
      <w:r w:rsidRPr="00171D30">
        <w:rPr>
          <w:rFonts w:cs="Arial"/>
          <w:szCs w:val="20"/>
          <w:lang w:val="en-US" w:eastAsia="en-US"/>
        </w:rPr>
        <w:t>Enter a description of the circumstances that resulted in the person becoming a foreign stakeholder (mandatory).</w:t>
      </w:r>
    </w:p>
    <w:p w14:paraId="0E21C550" w14:textId="77777777" w:rsidR="00171D30" w:rsidRPr="00171D30" w:rsidRDefault="00171D30" w:rsidP="00171D30">
      <w:pPr>
        <w:numPr>
          <w:ilvl w:val="0"/>
          <w:numId w:val="37"/>
        </w:numPr>
        <w:spacing w:after="80" w:line="240" w:lineRule="auto"/>
        <w:rPr>
          <w:rFonts w:cs="Arial"/>
          <w:szCs w:val="20"/>
          <w:lang w:val="en-US" w:eastAsia="en-US"/>
        </w:rPr>
      </w:pPr>
      <w:r w:rsidRPr="00171D30">
        <w:rPr>
          <w:rFonts w:cs="Arial"/>
          <w:szCs w:val="20"/>
          <w:lang w:val="en-US" w:eastAsia="en-US"/>
        </w:rPr>
        <w:t>Enter the person’s company interests in the Australian media company as a percentage (mandatory).</w:t>
      </w:r>
    </w:p>
    <w:p w14:paraId="409B4A28" w14:textId="77777777" w:rsidR="00171D30" w:rsidRPr="00171D30" w:rsidRDefault="00171D30" w:rsidP="00171D30">
      <w:pPr>
        <w:numPr>
          <w:ilvl w:val="0"/>
          <w:numId w:val="37"/>
        </w:numPr>
        <w:spacing w:after="80" w:line="240" w:lineRule="auto"/>
        <w:rPr>
          <w:rFonts w:cs="Arial"/>
          <w:szCs w:val="20"/>
          <w:lang w:val="en-US" w:eastAsia="en-US"/>
        </w:rPr>
      </w:pPr>
      <w:r w:rsidRPr="00171D30">
        <w:rPr>
          <w:rFonts w:cs="Arial"/>
          <w:szCs w:val="20"/>
          <w:lang w:val="en-US" w:eastAsia="en-US"/>
        </w:rPr>
        <w:t>Enter a description of the method used to determine those company interests (mandatory).</w:t>
      </w:r>
    </w:p>
    <w:p w14:paraId="2078ADEF" w14:textId="77777777" w:rsidR="00171D30" w:rsidRPr="00171D30" w:rsidRDefault="00171D30" w:rsidP="00171D30">
      <w:pPr>
        <w:numPr>
          <w:ilvl w:val="0"/>
          <w:numId w:val="37"/>
        </w:numPr>
        <w:spacing w:after="80" w:line="240" w:lineRule="auto"/>
        <w:rPr>
          <w:rFonts w:cs="Arial"/>
          <w:szCs w:val="20"/>
          <w:lang w:val="en-US" w:eastAsia="en-US"/>
        </w:rPr>
      </w:pPr>
      <w:r w:rsidRPr="00171D30">
        <w:rPr>
          <w:rFonts w:cs="Arial"/>
          <w:szCs w:val="20"/>
          <w:lang w:val="en-US" w:eastAsia="en-US"/>
        </w:rPr>
        <w:t>Enter a description of the reason why the person is a foreign stakeholder (mandatory).</w:t>
      </w:r>
    </w:p>
    <w:p w14:paraId="50B575A7" w14:textId="77777777" w:rsidR="00171D30" w:rsidRPr="00171D30" w:rsidRDefault="00171D30" w:rsidP="00171D30">
      <w:pPr>
        <w:numPr>
          <w:ilvl w:val="0"/>
          <w:numId w:val="37"/>
        </w:numPr>
        <w:spacing w:line="240" w:lineRule="auto"/>
        <w:rPr>
          <w:rFonts w:cs="Arial"/>
          <w:szCs w:val="20"/>
          <w:lang w:val="en-US" w:eastAsia="en-US"/>
        </w:rPr>
      </w:pPr>
      <w:r w:rsidRPr="00171D30">
        <w:rPr>
          <w:rFonts w:cs="Arial"/>
          <w:szCs w:val="20"/>
          <w:lang w:val="en-US" w:eastAsia="en-US"/>
        </w:rPr>
        <w:t>Click right hand arrow to navigate to Appendix page.</w:t>
      </w:r>
    </w:p>
    <w:p w14:paraId="5C6F5A9D" w14:textId="77777777" w:rsidR="00171D30" w:rsidRPr="00171D30" w:rsidRDefault="00171D30" w:rsidP="00B95A9C">
      <w:pPr>
        <w:pStyle w:val="Heading3"/>
      </w:pPr>
      <w:bookmarkStart w:id="97" w:name="_Toc48889570"/>
      <w:bookmarkStart w:id="98" w:name="_Toc504040322"/>
      <w:bookmarkStart w:id="99" w:name="_Toc50038431"/>
      <w:r w:rsidRPr="00171D30">
        <w:t>Part G—Certification of notification</w:t>
      </w:r>
      <w:bookmarkEnd w:id="97"/>
      <w:bookmarkEnd w:id="99"/>
    </w:p>
    <w:p w14:paraId="36F415CC" w14:textId="77777777" w:rsidR="00171D30" w:rsidRPr="00171D30" w:rsidRDefault="00171D30" w:rsidP="00171D30">
      <w:pPr>
        <w:rPr>
          <w:rFonts w:eastAsiaTheme="minorHAnsi" w:cs="Arial"/>
          <w:szCs w:val="22"/>
        </w:rPr>
      </w:pPr>
      <w:r w:rsidRPr="00171D30">
        <w:rPr>
          <w:rFonts w:eastAsiaTheme="minorHAnsi" w:cs="Arial"/>
          <w:b/>
          <w:szCs w:val="22"/>
        </w:rPr>
        <w:t xml:space="preserve">Certification of Notification: </w:t>
      </w:r>
      <w:r w:rsidRPr="00171D30">
        <w:rPr>
          <w:rFonts w:eastAsiaTheme="minorHAnsi" w:cs="Arial"/>
          <w:szCs w:val="22"/>
        </w:rPr>
        <w:t>Download signature block, sign and upload below. The certification may be completed by the person, an authorised agent or authorised officer of the person notifying.</w:t>
      </w:r>
    </w:p>
    <w:p w14:paraId="4CF50801" w14:textId="77777777" w:rsidR="00171D30" w:rsidRPr="00171D30" w:rsidRDefault="00171D30" w:rsidP="00B95A9C">
      <w:pPr>
        <w:pStyle w:val="Heading3"/>
      </w:pPr>
      <w:bookmarkStart w:id="100" w:name="_Toc50038432"/>
      <w:r w:rsidRPr="00171D30">
        <w:t>How to complete the Certification page</w:t>
      </w:r>
      <w:bookmarkEnd w:id="100"/>
    </w:p>
    <w:p w14:paraId="6F40E07B" w14:textId="77777777" w:rsidR="00171D30" w:rsidRPr="00171D30" w:rsidRDefault="00171D30" w:rsidP="00171D30">
      <w:pPr>
        <w:numPr>
          <w:ilvl w:val="0"/>
          <w:numId w:val="17"/>
        </w:numPr>
        <w:spacing w:after="80" w:line="240" w:lineRule="auto"/>
        <w:jc w:val="both"/>
        <w:rPr>
          <w:rFonts w:cs="Arial"/>
          <w:szCs w:val="20"/>
          <w:lang w:val="en-US" w:eastAsia="en-US"/>
        </w:rPr>
      </w:pPr>
      <w:r w:rsidRPr="00171D30">
        <w:rPr>
          <w:rFonts w:cs="Arial"/>
          <w:szCs w:val="20"/>
          <w:lang w:val="en-US" w:eastAsia="en-US"/>
        </w:rPr>
        <w:t>Attach a signed and scanned copy of the Certification of Notification (mandatory) by clicking the Upload New button under the Certification of Notification section. A link to the certificate template is also displayed under this section.</w:t>
      </w:r>
    </w:p>
    <w:p w14:paraId="26F0D1E3" w14:textId="77777777" w:rsidR="00171D30" w:rsidRPr="00171D30" w:rsidRDefault="00171D30" w:rsidP="00171D30">
      <w:pPr>
        <w:numPr>
          <w:ilvl w:val="0"/>
          <w:numId w:val="17"/>
        </w:numPr>
        <w:spacing w:after="0" w:line="240" w:lineRule="auto"/>
        <w:jc w:val="both"/>
        <w:rPr>
          <w:rFonts w:cs="Arial"/>
          <w:szCs w:val="20"/>
          <w:lang w:val="en-US" w:eastAsia="en-US"/>
        </w:rPr>
      </w:pPr>
      <w:r w:rsidRPr="00171D30">
        <w:rPr>
          <w:rFonts w:cs="Arial"/>
          <w:szCs w:val="20"/>
          <w:lang w:val="en-US" w:eastAsia="en-US"/>
        </w:rPr>
        <w:t>Click the right-hand arrow to navigate to the Appendix page.</w:t>
      </w:r>
    </w:p>
    <w:p w14:paraId="7FB0A709" w14:textId="77777777" w:rsidR="00171D30" w:rsidRPr="00171D30" w:rsidRDefault="00171D30" w:rsidP="00B95A9C">
      <w:pPr>
        <w:pStyle w:val="Heading2"/>
      </w:pPr>
      <w:bookmarkStart w:id="101" w:name="_Toc48889571"/>
      <w:bookmarkStart w:id="102" w:name="_Toc50038433"/>
      <w:r w:rsidRPr="00171D30">
        <w:t>Part H—Appendix</w:t>
      </w:r>
      <w:bookmarkEnd w:id="98"/>
      <w:bookmarkEnd w:id="101"/>
      <w:bookmarkEnd w:id="102"/>
    </w:p>
    <w:p w14:paraId="3704FF9A" w14:textId="77777777" w:rsidR="00171D30" w:rsidRPr="00171D30" w:rsidRDefault="00171D30" w:rsidP="00171D30">
      <w:pPr>
        <w:jc w:val="both"/>
        <w:rPr>
          <w:rFonts w:eastAsiaTheme="minorHAnsi" w:cs="Arial"/>
          <w:szCs w:val="22"/>
        </w:rPr>
      </w:pPr>
      <w:r w:rsidRPr="00171D30">
        <w:rPr>
          <w:rFonts w:eastAsiaTheme="minorHAnsi" w:cs="Arial"/>
          <w:b/>
          <w:szCs w:val="22"/>
        </w:rPr>
        <w:t xml:space="preserve">Attach Structure chart: </w:t>
      </w:r>
      <w:r w:rsidRPr="00171D30">
        <w:rPr>
          <w:rFonts w:eastAsiaTheme="minorHAnsi" w:cs="Arial"/>
          <w:szCs w:val="22"/>
        </w:rPr>
        <w:t xml:space="preserve">You are required to provide an ownership structure chart showing all persons with company interests in the Australian media company(s), indicating the relevant percentages. </w:t>
      </w:r>
    </w:p>
    <w:p w14:paraId="55CE902F" w14:textId="77777777" w:rsidR="00171D30" w:rsidRPr="00171D30" w:rsidRDefault="00171D30" w:rsidP="00171D30">
      <w:pPr>
        <w:jc w:val="both"/>
        <w:rPr>
          <w:rFonts w:eastAsiaTheme="minorHAnsi" w:cs="Arial"/>
          <w:szCs w:val="22"/>
        </w:rPr>
      </w:pPr>
      <w:r w:rsidRPr="00171D30">
        <w:rPr>
          <w:rFonts w:eastAsiaTheme="minorHAnsi" w:cs="Arial"/>
          <w:b/>
          <w:szCs w:val="22"/>
        </w:rPr>
        <w:t xml:space="preserve">Other Attachments: </w:t>
      </w:r>
      <w:r w:rsidRPr="00171D30">
        <w:rPr>
          <w:rFonts w:eastAsiaTheme="minorHAnsi" w:cs="Arial"/>
          <w:szCs w:val="22"/>
        </w:rPr>
        <w:t>You can attach other supporting attachments as required.</w:t>
      </w:r>
    </w:p>
    <w:p w14:paraId="707E41B9" w14:textId="77777777" w:rsidR="00171D30" w:rsidRPr="00171D30" w:rsidRDefault="00171D30" w:rsidP="00B95A9C">
      <w:pPr>
        <w:pStyle w:val="Heading3"/>
      </w:pPr>
      <w:bookmarkStart w:id="103" w:name="_Toc50038434"/>
      <w:r w:rsidRPr="00171D30">
        <w:t>How to complete the Appendix page</w:t>
      </w:r>
      <w:bookmarkEnd w:id="103"/>
    </w:p>
    <w:p w14:paraId="36AC5091" w14:textId="77777777" w:rsidR="00171D30" w:rsidRPr="00171D30" w:rsidRDefault="00171D30" w:rsidP="00171D30">
      <w:pPr>
        <w:numPr>
          <w:ilvl w:val="0"/>
          <w:numId w:val="39"/>
        </w:numPr>
        <w:spacing w:after="80" w:line="240" w:lineRule="auto"/>
        <w:rPr>
          <w:rFonts w:cs="Arial"/>
          <w:szCs w:val="20"/>
          <w:lang w:val="en-US" w:eastAsia="en-US"/>
        </w:rPr>
      </w:pPr>
      <w:r w:rsidRPr="00171D30">
        <w:rPr>
          <w:rFonts w:cs="Arial"/>
          <w:szCs w:val="20"/>
          <w:lang w:val="en-US" w:eastAsia="en-US"/>
        </w:rPr>
        <w:t>Attach a corporate structure chart of persons with company interests in the Australian media company(s) by clicking the Upload New button (optional).</w:t>
      </w:r>
    </w:p>
    <w:p w14:paraId="0B9B95FB" w14:textId="77777777" w:rsidR="00171D30" w:rsidRPr="00171D30" w:rsidRDefault="00171D30" w:rsidP="00171D30">
      <w:pPr>
        <w:numPr>
          <w:ilvl w:val="0"/>
          <w:numId w:val="39"/>
        </w:numPr>
        <w:spacing w:after="80" w:line="240" w:lineRule="auto"/>
        <w:rPr>
          <w:rFonts w:cs="Arial"/>
          <w:szCs w:val="20"/>
          <w:lang w:val="en-US" w:eastAsia="en-US"/>
        </w:rPr>
      </w:pPr>
      <w:r w:rsidRPr="00171D30">
        <w:rPr>
          <w:rFonts w:cs="Arial"/>
          <w:szCs w:val="20"/>
          <w:lang w:val="en-US" w:eastAsia="en-US"/>
        </w:rPr>
        <w:t>To upload additional attachments, click the checkbox under Other Attachments then click Upload New (optional). You can multiple upload supporting attachments as required.</w:t>
      </w:r>
    </w:p>
    <w:p w14:paraId="6AD586B6" w14:textId="77777777" w:rsidR="00171D30" w:rsidRPr="00171D30" w:rsidRDefault="00171D30" w:rsidP="00B95A9C">
      <w:pPr>
        <w:numPr>
          <w:ilvl w:val="0"/>
          <w:numId w:val="39"/>
        </w:numPr>
        <w:spacing w:line="240" w:lineRule="auto"/>
        <w:ind w:left="714" w:hanging="357"/>
        <w:rPr>
          <w:rFonts w:cs="Arial"/>
          <w:szCs w:val="20"/>
          <w:lang w:val="en-US" w:eastAsia="en-US"/>
        </w:rPr>
      </w:pPr>
      <w:r w:rsidRPr="00171D30">
        <w:rPr>
          <w:rFonts w:cs="Arial"/>
          <w:szCs w:val="20"/>
          <w:lang w:val="en-US" w:eastAsia="en-US"/>
        </w:rPr>
        <w:t>Click the right-hand arrow to navigate to the Finish page.</w:t>
      </w:r>
    </w:p>
    <w:p w14:paraId="1C9DEDBA" w14:textId="77777777" w:rsidR="00171D30" w:rsidRPr="00171D30" w:rsidRDefault="00171D30" w:rsidP="00B95A9C">
      <w:pPr>
        <w:pStyle w:val="Heading3"/>
      </w:pPr>
      <w:bookmarkStart w:id="104" w:name="_Toc504040323"/>
      <w:bookmarkStart w:id="105" w:name="_Toc48889572"/>
      <w:bookmarkStart w:id="106" w:name="_Toc50038435"/>
      <w:r w:rsidRPr="00171D30">
        <w:t>Submitting the form</w:t>
      </w:r>
      <w:bookmarkEnd w:id="104"/>
      <w:bookmarkEnd w:id="105"/>
      <w:bookmarkEnd w:id="106"/>
    </w:p>
    <w:p w14:paraId="71B5CAEA" w14:textId="77777777" w:rsidR="00171D30" w:rsidRPr="00171D30" w:rsidRDefault="00171D30" w:rsidP="00171D30">
      <w:pPr>
        <w:rPr>
          <w:rFonts w:cs="Arial"/>
          <w:szCs w:val="20"/>
        </w:rPr>
      </w:pPr>
      <w:r w:rsidRPr="00171D30">
        <w:rPr>
          <w:rFonts w:cs="Arial"/>
          <w:szCs w:val="20"/>
        </w:rPr>
        <w:t xml:space="preserve">Once all sections are completed. </w:t>
      </w:r>
      <w:r w:rsidRPr="00171D30">
        <w:rPr>
          <w:rFonts w:cs="Arial"/>
          <w:b/>
          <w:szCs w:val="20"/>
        </w:rPr>
        <w:t>Note:</w:t>
      </w:r>
      <w:r w:rsidRPr="00171D30">
        <w:rPr>
          <w:rFonts w:cs="Arial"/>
          <w:szCs w:val="20"/>
        </w:rPr>
        <w:t xml:space="preserve"> The completed form cannot be re-accessed after submission. Please preview and save a local copy prior to submission if required. </w:t>
      </w:r>
    </w:p>
    <w:p w14:paraId="663664BF" w14:textId="77777777" w:rsidR="00171D30" w:rsidRPr="00171D30" w:rsidRDefault="00171D30" w:rsidP="00B95A9C">
      <w:pPr>
        <w:pStyle w:val="Heading3"/>
      </w:pPr>
      <w:bookmarkStart w:id="107" w:name="_Toc50038436"/>
      <w:r w:rsidRPr="00171D30">
        <w:t>How to submit the form</w:t>
      </w:r>
      <w:bookmarkEnd w:id="107"/>
    </w:p>
    <w:p w14:paraId="4FC3E966" w14:textId="77777777" w:rsidR="00171D30" w:rsidRPr="00171D30" w:rsidRDefault="00171D30" w:rsidP="00171D30">
      <w:pPr>
        <w:numPr>
          <w:ilvl w:val="0"/>
          <w:numId w:val="18"/>
        </w:numPr>
        <w:spacing w:after="80" w:line="240" w:lineRule="auto"/>
        <w:rPr>
          <w:rFonts w:cs="Arial"/>
          <w:szCs w:val="20"/>
          <w:lang w:val="en-US" w:eastAsia="en-US"/>
        </w:rPr>
      </w:pPr>
      <w:r w:rsidRPr="00171D30">
        <w:rPr>
          <w:rFonts w:cs="Arial"/>
          <w:szCs w:val="20"/>
          <w:lang w:val="en-US" w:eastAsia="en-US"/>
        </w:rPr>
        <w:t>Navigate to the Appendix page.</w:t>
      </w:r>
    </w:p>
    <w:p w14:paraId="29DDCB1E" w14:textId="77777777" w:rsidR="00171D30" w:rsidRPr="00171D30" w:rsidRDefault="00171D30" w:rsidP="00171D30">
      <w:pPr>
        <w:numPr>
          <w:ilvl w:val="0"/>
          <w:numId w:val="18"/>
        </w:numPr>
        <w:spacing w:after="80" w:line="240" w:lineRule="auto"/>
        <w:rPr>
          <w:rFonts w:cs="Arial"/>
          <w:szCs w:val="20"/>
          <w:lang w:val="en-US" w:eastAsia="en-US"/>
        </w:rPr>
      </w:pPr>
      <w:r w:rsidRPr="00171D30">
        <w:rPr>
          <w:rFonts w:cs="Arial"/>
          <w:szCs w:val="20"/>
          <w:lang w:val="en-US" w:eastAsia="en-US"/>
        </w:rPr>
        <w:t xml:space="preserve">Make sure all the items on the left-hand navigation bar have a green tick </w:t>
      </w:r>
      <w:r w:rsidRPr="00171D30">
        <w:rPr>
          <w:rFonts w:cs="Arial"/>
          <w:szCs w:val="20"/>
          <w:lang w:val="en-US" w:eastAsia="en-US"/>
        </w:rPr>
        <w:br/>
        <w:t>(</w:t>
      </w:r>
      <w:r w:rsidRPr="00171D30">
        <w:rPr>
          <w:rFonts w:cs="Arial"/>
          <w:noProof/>
          <w:szCs w:val="20"/>
        </w:rPr>
        <w:drawing>
          <wp:inline distT="0" distB="0" distL="0" distR="0" wp14:anchorId="3BEA2241" wp14:editId="2030F533">
            <wp:extent cx="161290" cy="16129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61654" cy="161654"/>
                    </a:xfrm>
                    <a:prstGeom prst="rect">
                      <a:avLst/>
                    </a:prstGeom>
                  </pic:spPr>
                </pic:pic>
              </a:graphicData>
            </a:graphic>
          </wp:inline>
        </w:drawing>
      </w:r>
      <w:r w:rsidRPr="00171D30">
        <w:rPr>
          <w:rFonts w:cs="Arial"/>
          <w:szCs w:val="20"/>
          <w:lang w:val="en-US" w:eastAsia="en-US"/>
        </w:rPr>
        <w:t>). A cross indicates that information is missing. Go back and complete the page then navigate back to the Appendix page.</w:t>
      </w:r>
    </w:p>
    <w:p w14:paraId="3CC6084E" w14:textId="77777777" w:rsidR="00171D30" w:rsidRPr="00171D30" w:rsidRDefault="00171D30" w:rsidP="00171D30">
      <w:pPr>
        <w:numPr>
          <w:ilvl w:val="0"/>
          <w:numId w:val="18"/>
        </w:numPr>
        <w:spacing w:after="80" w:line="240" w:lineRule="auto"/>
        <w:rPr>
          <w:rFonts w:cs="Arial"/>
          <w:szCs w:val="20"/>
          <w:lang w:val="en-US" w:eastAsia="en-US"/>
        </w:rPr>
      </w:pPr>
      <w:r w:rsidRPr="00171D30">
        <w:rPr>
          <w:rFonts w:cs="Arial"/>
          <w:szCs w:val="20"/>
          <w:lang w:val="en-US" w:eastAsia="en-US"/>
        </w:rPr>
        <w:t>Click Submit button (</w:t>
      </w:r>
      <w:r w:rsidRPr="00171D30">
        <w:rPr>
          <w:rFonts w:cs="Arial"/>
          <w:noProof/>
          <w:szCs w:val="20"/>
        </w:rPr>
        <w:drawing>
          <wp:inline distT="0" distB="0" distL="0" distR="0" wp14:anchorId="113B7A59" wp14:editId="31D1737C">
            <wp:extent cx="379540" cy="165017"/>
            <wp:effectExtent l="0" t="0" r="1905" b="698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00681" cy="174209"/>
                    </a:xfrm>
                    <a:prstGeom prst="rect">
                      <a:avLst/>
                    </a:prstGeom>
                  </pic:spPr>
                </pic:pic>
              </a:graphicData>
            </a:graphic>
          </wp:inline>
        </w:drawing>
      </w:r>
      <w:r w:rsidRPr="00171D30">
        <w:rPr>
          <w:rFonts w:cs="Arial"/>
          <w:szCs w:val="20"/>
          <w:lang w:val="en-US" w:eastAsia="en-US"/>
        </w:rPr>
        <w:t>).</w:t>
      </w:r>
    </w:p>
    <w:p w14:paraId="143959FA" w14:textId="77777777" w:rsidR="00171D30" w:rsidRPr="00171D30" w:rsidRDefault="00171D30" w:rsidP="00171D30">
      <w:pPr>
        <w:numPr>
          <w:ilvl w:val="0"/>
          <w:numId w:val="18"/>
        </w:numPr>
        <w:spacing w:after="80" w:line="240" w:lineRule="auto"/>
        <w:rPr>
          <w:rFonts w:cs="Arial"/>
          <w:szCs w:val="20"/>
          <w:lang w:val="en-US" w:eastAsia="en-US"/>
        </w:rPr>
      </w:pPr>
      <w:r w:rsidRPr="00171D30">
        <w:rPr>
          <w:rFonts w:cs="Arial"/>
          <w:szCs w:val="20"/>
          <w:lang w:val="en-US" w:eastAsia="en-US"/>
        </w:rPr>
        <w:t xml:space="preserve">A success notification will display with a reference number in the format </w:t>
      </w:r>
      <w:r w:rsidRPr="00171D30">
        <w:rPr>
          <w:rFonts w:cs="Arial"/>
          <w:bCs/>
          <w:szCs w:val="20"/>
          <w:lang w:val="en-US" w:eastAsia="en-US"/>
        </w:rPr>
        <w:t>ACMA-MOD-XXXXX9999”. Use this reference in any future contact with ACMA relating to the B2/B3 submission.</w:t>
      </w:r>
    </w:p>
    <w:p w14:paraId="773D83CA" w14:textId="77777777" w:rsidR="00171D30" w:rsidRPr="00171D30" w:rsidRDefault="00171D30" w:rsidP="00171D30">
      <w:pPr>
        <w:numPr>
          <w:ilvl w:val="0"/>
          <w:numId w:val="18"/>
        </w:numPr>
        <w:spacing w:after="80" w:line="240" w:lineRule="auto"/>
        <w:rPr>
          <w:rFonts w:cs="Arial"/>
          <w:szCs w:val="20"/>
          <w:lang w:val="en-US" w:eastAsia="en-US"/>
        </w:rPr>
      </w:pPr>
      <w:r w:rsidRPr="00171D30">
        <w:rPr>
          <w:rFonts w:cs="Arial"/>
          <w:szCs w:val="20"/>
          <w:lang w:val="en-US" w:eastAsia="en-US"/>
        </w:rPr>
        <w:t>A list of attachments also displays on the success notification page.</w:t>
      </w:r>
    </w:p>
    <w:p w14:paraId="0DF5D086" w14:textId="77777777" w:rsidR="00171D30" w:rsidRPr="00171D30" w:rsidRDefault="00171D30" w:rsidP="00171D30">
      <w:pPr>
        <w:numPr>
          <w:ilvl w:val="0"/>
          <w:numId w:val="18"/>
        </w:numPr>
        <w:spacing w:line="240" w:lineRule="auto"/>
        <w:rPr>
          <w:rFonts w:cs="Arial"/>
          <w:szCs w:val="20"/>
          <w:lang w:val="en-US" w:eastAsia="en-US"/>
        </w:rPr>
      </w:pPr>
      <w:r w:rsidRPr="00171D30">
        <w:rPr>
          <w:rFonts w:cs="Arial"/>
          <w:szCs w:val="20"/>
          <w:lang w:val="en-US" w:eastAsia="en-US"/>
        </w:rPr>
        <w:t>An email will be forwarded to the email address on the Contacts page including a formatted pdf attachment with the form contents.</w:t>
      </w:r>
    </w:p>
    <w:p w14:paraId="2A4D6D23" w14:textId="78D3F26E" w:rsidR="00171D30" w:rsidRPr="00171D30" w:rsidRDefault="00171D30" w:rsidP="00B95A9C">
      <w:pPr>
        <w:pStyle w:val="Heading1"/>
      </w:pPr>
      <w:bookmarkStart w:id="108" w:name="_Toc504040324"/>
      <w:bookmarkStart w:id="109" w:name="_Toc48889573"/>
      <w:bookmarkStart w:id="110" w:name="_Toc50038437"/>
      <w:r w:rsidRPr="00171D30">
        <w:t>C</w:t>
      </w:r>
      <w:r w:rsidR="00B95A9C">
        <w:t>ontact information</w:t>
      </w:r>
      <w:bookmarkEnd w:id="108"/>
      <w:bookmarkEnd w:id="109"/>
      <w:bookmarkEnd w:id="110"/>
    </w:p>
    <w:p w14:paraId="7760A3FD" w14:textId="77777777" w:rsidR="00171D30" w:rsidRPr="00171D30" w:rsidRDefault="00171D30" w:rsidP="00171D30">
      <w:pPr>
        <w:keepNext/>
        <w:jc w:val="both"/>
        <w:rPr>
          <w:rFonts w:eastAsiaTheme="minorHAnsi" w:cs="Arial"/>
          <w:szCs w:val="22"/>
        </w:rPr>
      </w:pPr>
      <w:r w:rsidRPr="00171D30">
        <w:rPr>
          <w:rFonts w:eastAsiaTheme="minorHAnsi" w:cs="Arial"/>
          <w:szCs w:val="22"/>
        </w:rPr>
        <w:t xml:space="preserve">For more information about the form contact the Diversity, Localism and Accessibility section on 1800 226 667. </w:t>
      </w:r>
    </w:p>
    <w:p w14:paraId="51801DAA" w14:textId="77777777" w:rsidR="00171D30" w:rsidRPr="00171D30" w:rsidRDefault="00171D30" w:rsidP="00171D30">
      <w:pPr>
        <w:keepNext/>
        <w:spacing w:after="0"/>
        <w:jc w:val="both"/>
        <w:rPr>
          <w:rFonts w:eastAsiaTheme="minorHAnsi" w:cs="Arial"/>
          <w:szCs w:val="22"/>
        </w:rPr>
      </w:pPr>
      <w:r w:rsidRPr="00171D30">
        <w:rPr>
          <w:rFonts w:eastAsiaTheme="minorHAnsi" w:cs="Arial"/>
          <w:szCs w:val="22"/>
        </w:rPr>
        <w:t xml:space="preserve">Australian Communications and Media Authority </w:t>
      </w:r>
    </w:p>
    <w:p w14:paraId="3AFEED3B" w14:textId="77777777" w:rsidR="00171D30" w:rsidRPr="00171D30" w:rsidRDefault="00171D30" w:rsidP="00171D30">
      <w:pPr>
        <w:keepNext/>
        <w:spacing w:after="0"/>
        <w:jc w:val="both"/>
        <w:rPr>
          <w:rFonts w:eastAsiaTheme="minorHAnsi" w:cs="Arial"/>
          <w:szCs w:val="22"/>
        </w:rPr>
      </w:pPr>
      <w:r w:rsidRPr="00171D30">
        <w:rPr>
          <w:rFonts w:eastAsiaTheme="minorHAnsi" w:cs="Arial"/>
          <w:szCs w:val="22"/>
        </w:rPr>
        <w:t xml:space="preserve">PO Box Q500 </w:t>
      </w:r>
    </w:p>
    <w:p w14:paraId="60DFCE8B" w14:textId="77777777" w:rsidR="00171D30" w:rsidRPr="00171D30" w:rsidRDefault="00171D30" w:rsidP="00171D30">
      <w:pPr>
        <w:keepNext/>
        <w:spacing w:after="0"/>
        <w:jc w:val="both"/>
        <w:rPr>
          <w:rFonts w:eastAsiaTheme="minorHAnsi" w:cs="Arial"/>
          <w:szCs w:val="22"/>
        </w:rPr>
      </w:pPr>
      <w:r w:rsidRPr="00171D30">
        <w:rPr>
          <w:rFonts w:eastAsiaTheme="minorHAnsi" w:cs="Arial"/>
          <w:szCs w:val="22"/>
        </w:rPr>
        <w:t xml:space="preserve">Queen Victoria Building NSW 1230 </w:t>
      </w:r>
    </w:p>
    <w:p w14:paraId="050389BC" w14:textId="77777777" w:rsidR="00171D30" w:rsidRPr="00171D30" w:rsidRDefault="00171D30" w:rsidP="00171D30">
      <w:pPr>
        <w:spacing w:after="0"/>
        <w:jc w:val="both"/>
        <w:rPr>
          <w:rFonts w:eastAsiaTheme="minorHAnsi" w:cs="Arial"/>
          <w:szCs w:val="22"/>
        </w:rPr>
      </w:pPr>
      <w:r w:rsidRPr="00171D30">
        <w:rPr>
          <w:rFonts w:eastAsiaTheme="minorHAnsi" w:cs="Arial"/>
          <w:szCs w:val="22"/>
        </w:rPr>
        <w:t xml:space="preserve">Tel: 02 9334 7700 </w:t>
      </w:r>
    </w:p>
    <w:p w14:paraId="73C79F9A" w14:textId="77777777" w:rsidR="00171D30" w:rsidRPr="00171D30" w:rsidRDefault="00171D30" w:rsidP="00171D30">
      <w:pPr>
        <w:spacing w:after="0"/>
        <w:jc w:val="both"/>
        <w:rPr>
          <w:rFonts w:eastAsiaTheme="minorHAnsi" w:cs="Arial"/>
          <w:szCs w:val="22"/>
        </w:rPr>
      </w:pPr>
      <w:r w:rsidRPr="00171D30">
        <w:rPr>
          <w:rFonts w:eastAsiaTheme="minorHAnsi" w:cs="Arial"/>
          <w:szCs w:val="22"/>
        </w:rPr>
        <w:t xml:space="preserve">Fax: 02 9334 7799 </w:t>
      </w:r>
    </w:p>
    <w:p w14:paraId="4C42BA86" w14:textId="77777777" w:rsidR="00171D30" w:rsidRPr="00171D30" w:rsidRDefault="00171D30" w:rsidP="00171D30">
      <w:pPr>
        <w:spacing w:after="0"/>
        <w:jc w:val="both"/>
        <w:rPr>
          <w:rFonts w:eastAsiaTheme="minorHAnsi" w:cs="Arial"/>
          <w:szCs w:val="22"/>
        </w:rPr>
      </w:pPr>
      <w:r w:rsidRPr="00171D30">
        <w:rPr>
          <w:rFonts w:eastAsiaTheme="minorHAnsi" w:cs="Arial"/>
          <w:szCs w:val="22"/>
        </w:rPr>
        <w:t xml:space="preserve">Email enquiries: </w:t>
      </w:r>
      <w:hyperlink r:id="rId45" w:history="1">
        <w:r w:rsidRPr="00171D30">
          <w:rPr>
            <w:rFonts w:cs="Arial"/>
            <w:color w:val="0000FF"/>
            <w:u w:val="single"/>
          </w:rPr>
          <w:t>foreignmediaownership@acma.gov.au</w:t>
        </w:r>
      </w:hyperlink>
      <w:r w:rsidRPr="00171D30">
        <w:rPr>
          <w:rFonts w:eastAsiaTheme="minorHAnsi" w:cs="Arial"/>
          <w:szCs w:val="22"/>
        </w:rPr>
        <w:t xml:space="preserve"> </w:t>
      </w:r>
    </w:p>
    <w:p w14:paraId="36FA8FF4" w14:textId="0D5F2A6F" w:rsidR="00171D30" w:rsidRPr="00171D30" w:rsidRDefault="00171D30" w:rsidP="00171D30">
      <w:pPr>
        <w:jc w:val="both"/>
        <w:rPr>
          <w:rFonts w:eastAsiaTheme="minorHAnsi" w:cs="Arial"/>
          <w:szCs w:val="22"/>
        </w:rPr>
      </w:pPr>
      <w:r w:rsidRPr="00171D30">
        <w:rPr>
          <w:rFonts w:eastAsiaTheme="minorHAnsi" w:cs="Arial"/>
          <w:szCs w:val="22"/>
        </w:rPr>
        <w:t>Web:</w:t>
      </w:r>
      <w:r w:rsidR="00B95A9C">
        <w:rPr>
          <w:rFonts w:eastAsiaTheme="minorHAnsi" w:cs="Arial"/>
          <w:szCs w:val="22"/>
        </w:rPr>
        <w:t xml:space="preserve"> </w:t>
      </w:r>
      <w:hyperlink r:id="rId46" w:history="1">
        <w:r w:rsidRPr="00B95A9C">
          <w:rPr>
            <w:rStyle w:val="Hyperlink"/>
            <w:rFonts w:eastAsiaTheme="minorHAnsi" w:cs="Arial"/>
            <w:szCs w:val="22"/>
          </w:rPr>
          <w:t>acma.gov.au</w:t>
        </w:r>
      </w:hyperlink>
    </w:p>
    <w:p w14:paraId="45716559" w14:textId="1280E2F8" w:rsidR="00171D30" w:rsidRPr="00171D30" w:rsidRDefault="00171D30" w:rsidP="00B95A9C">
      <w:pPr>
        <w:pStyle w:val="Heading1"/>
      </w:pPr>
      <w:bookmarkStart w:id="111" w:name="_Toc504040325"/>
      <w:bookmarkStart w:id="112" w:name="_Toc48889574"/>
      <w:bookmarkStart w:id="113" w:name="_Toc50038438"/>
      <w:r w:rsidRPr="00171D30">
        <w:t>A</w:t>
      </w:r>
      <w:r w:rsidR="00B95A9C">
        <w:t>ppendix</w:t>
      </w:r>
      <w:bookmarkEnd w:id="111"/>
      <w:bookmarkEnd w:id="112"/>
      <w:bookmarkEnd w:id="113"/>
    </w:p>
    <w:p w14:paraId="2A49DBC7" w14:textId="77777777" w:rsidR="00171D30" w:rsidRPr="00171D30" w:rsidRDefault="00171D30" w:rsidP="00B95A9C">
      <w:pPr>
        <w:pStyle w:val="Heading2"/>
      </w:pPr>
      <w:bookmarkStart w:id="114" w:name="_Toc50038439"/>
      <w:r w:rsidRPr="00171D30">
        <w:t>Definitions</w:t>
      </w:r>
      <w:bookmarkEnd w:id="114"/>
    </w:p>
    <w:p w14:paraId="6E812FF7" w14:textId="77777777" w:rsidR="00171D30" w:rsidRPr="00171D30" w:rsidRDefault="00171D30" w:rsidP="00171D30">
      <w:pPr>
        <w:rPr>
          <w:rFonts w:cs="Arial"/>
        </w:rPr>
      </w:pPr>
      <w:r w:rsidRPr="00171D30">
        <w:rPr>
          <w:rFonts w:cs="Arial"/>
          <w:b/>
        </w:rPr>
        <w:t>Important note</w:t>
      </w:r>
      <w:r w:rsidRPr="00171D30">
        <w:rPr>
          <w:rFonts w:cs="Arial"/>
        </w:rPr>
        <w:t xml:space="preserve">: Excerpts from legislation and regulations reproduced on the foreign stakeholder notification form and in these </w:t>
      </w:r>
      <w:proofErr w:type="gramStart"/>
      <w:r w:rsidRPr="00171D30">
        <w:rPr>
          <w:rFonts w:cs="Arial"/>
        </w:rPr>
        <w:t>Guidance</w:t>
      </w:r>
      <w:proofErr w:type="gramEnd"/>
      <w:r w:rsidRPr="00171D30">
        <w:rPr>
          <w:rFonts w:cs="Arial"/>
        </w:rPr>
        <w:t xml:space="preserve"> Notes may not reflect current versions in operation. Persons </w:t>
      </w:r>
      <w:r w:rsidRPr="00171D30">
        <w:rPr>
          <w:lang w:val="en"/>
        </w:rPr>
        <w:t>accessing this document undertake responsibility for assessing the relevance and accuracy of its content. Current versions are available online at the Australian Government Federal Register of Legislation.</w:t>
      </w:r>
      <w:r w:rsidRPr="00171D30">
        <w:rPr>
          <w:rFonts w:cs="Arial"/>
        </w:rPr>
        <w:t xml:space="preserve">    </w:t>
      </w:r>
    </w:p>
    <w:p w14:paraId="6D1A0C4A" w14:textId="77777777" w:rsidR="00171D30" w:rsidRPr="00171D30" w:rsidRDefault="00171D30" w:rsidP="00171D30">
      <w:pPr>
        <w:spacing w:before="180" w:after="0" w:line="240" w:lineRule="auto"/>
        <w:rPr>
          <w:rFonts w:cs="Arial"/>
          <w:szCs w:val="20"/>
        </w:rPr>
      </w:pPr>
      <w:r w:rsidRPr="00171D30">
        <w:rPr>
          <w:rFonts w:cs="Arial"/>
          <w:szCs w:val="20"/>
        </w:rPr>
        <w:t>(</w:t>
      </w:r>
      <w:r w:rsidRPr="00171D30">
        <w:rPr>
          <w:rFonts w:cs="Arial"/>
          <w:b/>
          <w:szCs w:val="20"/>
        </w:rPr>
        <w:t>Section 74B of the BSA</w:t>
      </w:r>
      <w:r w:rsidRPr="00171D30">
        <w:rPr>
          <w:rFonts w:cs="Arial"/>
          <w:szCs w:val="20"/>
        </w:rPr>
        <w:t xml:space="preserve">) </w:t>
      </w:r>
    </w:p>
    <w:p w14:paraId="1B5672F0" w14:textId="77777777" w:rsidR="00171D30" w:rsidRPr="00171D30" w:rsidRDefault="00171D30" w:rsidP="00171D30">
      <w:pPr>
        <w:spacing w:before="180" w:after="0" w:line="240" w:lineRule="auto"/>
        <w:ind w:left="567"/>
        <w:rPr>
          <w:rFonts w:cs="Arial"/>
          <w:szCs w:val="20"/>
        </w:rPr>
      </w:pPr>
      <w:r w:rsidRPr="00171D30">
        <w:rPr>
          <w:rFonts w:cs="Arial"/>
          <w:b/>
          <w:i/>
          <w:szCs w:val="20"/>
        </w:rPr>
        <w:t>Australian media company</w:t>
      </w:r>
      <w:r w:rsidRPr="00171D30">
        <w:rPr>
          <w:rFonts w:cs="Arial"/>
          <w:szCs w:val="20"/>
        </w:rPr>
        <w:t xml:space="preserve"> means:</w:t>
      </w:r>
    </w:p>
    <w:p w14:paraId="5E8424FF" w14:textId="77777777" w:rsidR="00171D30" w:rsidRPr="00171D30" w:rsidRDefault="00171D30" w:rsidP="00171D30">
      <w:pPr>
        <w:numPr>
          <w:ilvl w:val="1"/>
          <w:numId w:val="22"/>
        </w:numPr>
        <w:spacing w:before="40" w:after="0" w:line="240" w:lineRule="auto"/>
        <w:ind w:left="1276" w:hanging="512"/>
        <w:rPr>
          <w:rFonts w:cs="Arial"/>
          <w:szCs w:val="20"/>
        </w:rPr>
      </w:pPr>
      <w:r w:rsidRPr="00171D30">
        <w:rPr>
          <w:rFonts w:cs="Arial"/>
          <w:szCs w:val="20"/>
        </w:rPr>
        <w:t>a company that holds a commercial television broadcasting licence; or</w:t>
      </w:r>
    </w:p>
    <w:p w14:paraId="0E8C333D" w14:textId="77777777" w:rsidR="00171D30" w:rsidRPr="00171D30" w:rsidRDefault="00171D30" w:rsidP="00171D30">
      <w:pPr>
        <w:numPr>
          <w:ilvl w:val="1"/>
          <w:numId w:val="22"/>
        </w:numPr>
        <w:spacing w:before="40" w:after="0" w:line="240" w:lineRule="auto"/>
        <w:ind w:left="1276" w:hanging="512"/>
        <w:rPr>
          <w:rFonts w:cs="Arial"/>
          <w:szCs w:val="20"/>
        </w:rPr>
      </w:pPr>
      <w:r w:rsidRPr="00171D30">
        <w:rPr>
          <w:rFonts w:cs="Arial"/>
          <w:szCs w:val="20"/>
        </w:rPr>
        <w:t>a company that holds a commercial radio broadcasting licence; or</w:t>
      </w:r>
    </w:p>
    <w:p w14:paraId="33967484" w14:textId="77777777" w:rsidR="00171D30" w:rsidRPr="00171D30" w:rsidRDefault="00171D30" w:rsidP="00171D30">
      <w:pPr>
        <w:numPr>
          <w:ilvl w:val="1"/>
          <w:numId w:val="22"/>
        </w:numPr>
        <w:spacing w:before="40" w:after="0" w:line="240" w:lineRule="auto"/>
        <w:ind w:left="1276" w:hanging="512"/>
        <w:rPr>
          <w:rFonts w:cs="Arial"/>
          <w:szCs w:val="20"/>
        </w:rPr>
      </w:pPr>
      <w:r w:rsidRPr="00171D30">
        <w:rPr>
          <w:rFonts w:cs="Arial"/>
          <w:szCs w:val="20"/>
        </w:rPr>
        <w:t>a company that is:</w:t>
      </w:r>
    </w:p>
    <w:p w14:paraId="2E00BF20" w14:textId="77777777" w:rsidR="00171D30" w:rsidRPr="00171D30" w:rsidRDefault="00171D30" w:rsidP="00171D30">
      <w:pPr>
        <w:numPr>
          <w:ilvl w:val="0"/>
          <w:numId w:val="25"/>
        </w:numPr>
        <w:spacing w:before="40" w:after="0" w:line="240" w:lineRule="auto"/>
        <w:ind w:left="1560"/>
        <w:rPr>
          <w:rFonts w:cs="Arial"/>
          <w:szCs w:val="20"/>
        </w:rPr>
      </w:pPr>
      <w:r w:rsidRPr="00171D30">
        <w:rPr>
          <w:rFonts w:cs="Arial"/>
          <w:szCs w:val="20"/>
        </w:rPr>
        <w:t>the publisher of a newspaper that is associated with the licence area of a commercial television broadcasting licence or a commercial radio broadcasting licence; and</w:t>
      </w:r>
    </w:p>
    <w:p w14:paraId="6DB0F9ED" w14:textId="77777777" w:rsidR="00171D30" w:rsidRPr="00171D30" w:rsidRDefault="00171D30" w:rsidP="00171D30">
      <w:pPr>
        <w:tabs>
          <w:tab w:val="left" w:pos="1276"/>
        </w:tabs>
        <w:spacing w:before="40" w:after="0" w:line="240" w:lineRule="auto"/>
        <w:ind w:left="1560" w:hanging="425"/>
        <w:rPr>
          <w:rFonts w:cs="Arial"/>
          <w:szCs w:val="20"/>
        </w:rPr>
      </w:pPr>
      <w:r w:rsidRPr="00171D30">
        <w:rPr>
          <w:rFonts w:cs="Arial"/>
          <w:szCs w:val="20"/>
        </w:rPr>
        <w:t>(ii)</w:t>
      </w:r>
      <w:r w:rsidRPr="00171D30">
        <w:rPr>
          <w:rFonts w:cs="Arial"/>
          <w:szCs w:val="20"/>
        </w:rPr>
        <w:tab/>
        <w:t>a constitutional corporation.</w:t>
      </w:r>
    </w:p>
    <w:p w14:paraId="3970E7FE" w14:textId="77777777" w:rsidR="00171D30" w:rsidRPr="00171D30" w:rsidRDefault="00171D30" w:rsidP="00171D30">
      <w:pPr>
        <w:spacing w:before="180" w:after="0" w:line="240" w:lineRule="auto"/>
        <w:ind w:left="567"/>
        <w:rPr>
          <w:rFonts w:cs="Arial"/>
          <w:b/>
          <w:i/>
          <w:szCs w:val="20"/>
        </w:rPr>
      </w:pPr>
      <w:r w:rsidRPr="00171D30">
        <w:rPr>
          <w:rFonts w:cs="Arial"/>
          <w:b/>
          <w:i/>
          <w:szCs w:val="20"/>
        </w:rPr>
        <w:t xml:space="preserve">Designated information </w:t>
      </w:r>
      <w:r w:rsidRPr="00171D30">
        <w:rPr>
          <w:rFonts w:cs="Arial"/>
          <w:szCs w:val="20"/>
        </w:rPr>
        <w:t>in relation to a person, means:</w:t>
      </w:r>
    </w:p>
    <w:p w14:paraId="3B80CE85" w14:textId="77777777" w:rsidR="00171D30" w:rsidRPr="00171D30" w:rsidRDefault="00171D30" w:rsidP="00171D30">
      <w:pPr>
        <w:tabs>
          <w:tab w:val="left" w:pos="993"/>
        </w:tabs>
        <w:spacing w:before="40" w:after="0" w:line="240" w:lineRule="auto"/>
        <w:ind w:left="1418" w:hanging="510"/>
        <w:rPr>
          <w:rFonts w:cs="Arial"/>
          <w:szCs w:val="20"/>
        </w:rPr>
      </w:pPr>
      <w:r w:rsidRPr="00171D30">
        <w:rPr>
          <w:rFonts w:cs="Arial"/>
          <w:szCs w:val="20"/>
        </w:rPr>
        <w:tab/>
        <w:t>(a)</w:t>
      </w:r>
      <w:r w:rsidRPr="00171D30">
        <w:rPr>
          <w:rFonts w:cs="Arial"/>
          <w:szCs w:val="20"/>
        </w:rPr>
        <w:tab/>
        <w:t>if the person is an individual:</w:t>
      </w:r>
    </w:p>
    <w:p w14:paraId="577F9696" w14:textId="77777777" w:rsidR="00171D30" w:rsidRPr="00171D30" w:rsidRDefault="00171D30" w:rsidP="00171D30">
      <w:pPr>
        <w:tabs>
          <w:tab w:val="left" w:pos="1843"/>
        </w:tabs>
        <w:spacing w:before="40" w:after="0" w:line="240" w:lineRule="auto"/>
        <w:ind w:left="1560" w:hanging="397"/>
        <w:rPr>
          <w:rFonts w:cs="Arial"/>
          <w:szCs w:val="20"/>
        </w:rPr>
      </w:pPr>
      <w:r w:rsidRPr="00171D30">
        <w:rPr>
          <w:rFonts w:cs="Arial"/>
          <w:szCs w:val="20"/>
        </w:rPr>
        <w:tab/>
        <w:t>(</w:t>
      </w:r>
      <w:proofErr w:type="spellStart"/>
      <w:r w:rsidRPr="00171D30">
        <w:rPr>
          <w:rFonts w:cs="Arial"/>
          <w:szCs w:val="20"/>
        </w:rPr>
        <w:t>i</w:t>
      </w:r>
      <w:proofErr w:type="spellEnd"/>
      <w:r w:rsidRPr="00171D30">
        <w:rPr>
          <w:rFonts w:cs="Arial"/>
          <w:szCs w:val="20"/>
        </w:rPr>
        <w:t>)</w:t>
      </w:r>
      <w:r w:rsidRPr="00171D30">
        <w:rPr>
          <w:rFonts w:cs="Arial"/>
          <w:szCs w:val="20"/>
        </w:rPr>
        <w:tab/>
        <w:t>the person’s date of birth; and</w:t>
      </w:r>
    </w:p>
    <w:p w14:paraId="54C0E344" w14:textId="77777777" w:rsidR="00171D30" w:rsidRPr="00171D30" w:rsidRDefault="00171D30" w:rsidP="00171D30">
      <w:pPr>
        <w:tabs>
          <w:tab w:val="left" w:pos="1843"/>
        </w:tabs>
        <w:spacing w:before="40" w:after="0" w:line="240" w:lineRule="auto"/>
        <w:ind w:left="1560" w:hanging="397"/>
        <w:rPr>
          <w:rFonts w:cs="Arial"/>
          <w:szCs w:val="20"/>
        </w:rPr>
      </w:pPr>
      <w:r w:rsidRPr="00171D30">
        <w:rPr>
          <w:rFonts w:cs="Arial"/>
          <w:szCs w:val="20"/>
        </w:rPr>
        <w:tab/>
        <w:t>(ii)</w:t>
      </w:r>
      <w:r w:rsidRPr="00171D30">
        <w:rPr>
          <w:rFonts w:cs="Arial"/>
          <w:szCs w:val="20"/>
        </w:rPr>
        <w:tab/>
        <w:t>the country in which the person is ordinarily resident; and</w:t>
      </w:r>
    </w:p>
    <w:p w14:paraId="06DB7B54" w14:textId="77777777" w:rsidR="00171D30" w:rsidRPr="00171D30" w:rsidRDefault="00171D30" w:rsidP="00171D30">
      <w:pPr>
        <w:tabs>
          <w:tab w:val="left" w:pos="993"/>
        </w:tabs>
        <w:spacing w:before="40" w:after="0" w:line="240" w:lineRule="auto"/>
        <w:ind w:left="1418" w:hanging="510"/>
        <w:rPr>
          <w:rFonts w:cs="Arial"/>
          <w:szCs w:val="20"/>
        </w:rPr>
      </w:pPr>
      <w:r w:rsidRPr="00171D30">
        <w:rPr>
          <w:rFonts w:cs="Arial"/>
          <w:szCs w:val="20"/>
        </w:rPr>
        <w:tab/>
        <w:t>(b)</w:t>
      </w:r>
      <w:r w:rsidRPr="00171D30">
        <w:rPr>
          <w:rFonts w:cs="Arial"/>
          <w:szCs w:val="20"/>
        </w:rPr>
        <w:tab/>
        <w:t>if the person is a corporation—the country in which the corporation was formed; and</w:t>
      </w:r>
    </w:p>
    <w:p w14:paraId="2D16EDE7" w14:textId="77777777" w:rsidR="00171D30" w:rsidRPr="00171D30" w:rsidRDefault="00171D30" w:rsidP="00171D30">
      <w:pPr>
        <w:spacing w:before="40" w:after="0" w:line="240" w:lineRule="auto"/>
        <w:ind w:left="993" w:hanging="425"/>
        <w:rPr>
          <w:rFonts w:cs="Arial"/>
          <w:szCs w:val="20"/>
        </w:rPr>
      </w:pPr>
      <w:r w:rsidRPr="00171D30">
        <w:rPr>
          <w:rFonts w:cs="Arial"/>
          <w:szCs w:val="20"/>
        </w:rPr>
        <w:tab/>
        <w:t>(c)</w:t>
      </w:r>
      <w:r w:rsidRPr="00171D30">
        <w:rPr>
          <w:rFonts w:cs="Arial"/>
          <w:szCs w:val="20"/>
        </w:rPr>
        <w:tab/>
        <w:t>if the person is a trustee of a trust:</w:t>
      </w:r>
    </w:p>
    <w:p w14:paraId="63B18D15" w14:textId="77777777" w:rsidR="00171D30" w:rsidRPr="00171D30" w:rsidRDefault="00171D30" w:rsidP="00171D30">
      <w:pPr>
        <w:tabs>
          <w:tab w:val="left" w:pos="1843"/>
        </w:tabs>
        <w:spacing w:before="40" w:after="0" w:line="240" w:lineRule="auto"/>
        <w:ind w:left="1560" w:hanging="397"/>
        <w:rPr>
          <w:rFonts w:cs="Arial"/>
          <w:szCs w:val="20"/>
        </w:rPr>
      </w:pPr>
      <w:r w:rsidRPr="00171D30">
        <w:rPr>
          <w:rFonts w:cs="Arial"/>
          <w:szCs w:val="20"/>
        </w:rPr>
        <w:tab/>
        <w:t>(</w:t>
      </w:r>
      <w:proofErr w:type="spellStart"/>
      <w:r w:rsidRPr="00171D30">
        <w:rPr>
          <w:rFonts w:cs="Arial"/>
          <w:szCs w:val="20"/>
        </w:rPr>
        <w:t>i</w:t>
      </w:r>
      <w:proofErr w:type="spellEnd"/>
      <w:r w:rsidRPr="00171D30">
        <w:rPr>
          <w:rFonts w:cs="Arial"/>
          <w:szCs w:val="20"/>
        </w:rPr>
        <w:t>) the name of the trust; and</w:t>
      </w:r>
    </w:p>
    <w:p w14:paraId="2D7E5A7D" w14:textId="77777777" w:rsidR="00171D30" w:rsidRPr="00171D30" w:rsidRDefault="00171D30" w:rsidP="00171D30">
      <w:pPr>
        <w:tabs>
          <w:tab w:val="left" w:pos="1843"/>
        </w:tabs>
        <w:spacing w:before="40" w:after="0" w:line="240" w:lineRule="auto"/>
        <w:ind w:left="1560" w:hanging="397"/>
        <w:rPr>
          <w:rFonts w:cs="Arial"/>
          <w:szCs w:val="20"/>
        </w:rPr>
      </w:pPr>
      <w:r w:rsidRPr="00171D30">
        <w:rPr>
          <w:rFonts w:cs="Arial"/>
          <w:szCs w:val="20"/>
        </w:rPr>
        <w:t xml:space="preserve"> </w:t>
      </w:r>
      <w:r w:rsidRPr="00171D30">
        <w:rPr>
          <w:rFonts w:cs="Arial"/>
          <w:szCs w:val="20"/>
        </w:rPr>
        <w:tab/>
        <w:t>(ii) the country in which the trust was established; and</w:t>
      </w:r>
    </w:p>
    <w:p w14:paraId="63622A8D" w14:textId="77777777" w:rsidR="00171D30" w:rsidRPr="00171D30" w:rsidRDefault="00171D30" w:rsidP="00171D30">
      <w:pPr>
        <w:tabs>
          <w:tab w:val="left" w:pos="993"/>
        </w:tabs>
        <w:spacing w:before="40" w:after="0" w:line="240" w:lineRule="auto"/>
        <w:ind w:left="1418" w:hanging="425"/>
        <w:rPr>
          <w:rFonts w:cs="Arial"/>
          <w:szCs w:val="20"/>
        </w:rPr>
      </w:pPr>
      <w:r w:rsidRPr="00171D30">
        <w:rPr>
          <w:rFonts w:cs="Arial"/>
          <w:szCs w:val="20"/>
        </w:rPr>
        <w:t>(d)</w:t>
      </w:r>
      <w:r w:rsidRPr="00171D30">
        <w:rPr>
          <w:rFonts w:cs="Arial"/>
          <w:szCs w:val="20"/>
        </w:rPr>
        <w:tab/>
        <w:t>if the person is a foreign government investor as the result of the application of  paragraph 17(a) of the Foreign Acquisitions and Takeovers Regulation 2015 to a separate government entity of a foreign country or a part of a foreign country—the foreign country or the part of the foreign country, as the case may be; and</w:t>
      </w:r>
    </w:p>
    <w:p w14:paraId="48074574" w14:textId="77777777" w:rsidR="00171D30" w:rsidRPr="00171D30" w:rsidRDefault="00171D30" w:rsidP="00171D30">
      <w:pPr>
        <w:tabs>
          <w:tab w:val="left" w:pos="993"/>
        </w:tabs>
        <w:spacing w:before="40" w:after="0" w:line="240" w:lineRule="auto"/>
        <w:ind w:left="1418" w:hanging="510"/>
        <w:rPr>
          <w:rFonts w:cs="Arial"/>
          <w:szCs w:val="20"/>
        </w:rPr>
      </w:pPr>
      <w:r w:rsidRPr="00171D30">
        <w:rPr>
          <w:rFonts w:cs="Arial"/>
          <w:szCs w:val="20"/>
        </w:rPr>
        <w:tab/>
        <w:t>(e)</w:t>
      </w:r>
      <w:r w:rsidRPr="00171D30">
        <w:rPr>
          <w:rFonts w:cs="Arial"/>
          <w:szCs w:val="20"/>
        </w:rPr>
        <w:tab/>
        <w:t>if the person is a foreign government investor wholly or partly as the result of the application of paragraph 17(b), (c), (d) or (e) of the Foreign Acquisitions and Takeovers Regulation 2015 to a foreign government—the foreign government; and</w:t>
      </w:r>
    </w:p>
    <w:p w14:paraId="5A005200" w14:textId="77777777" w:rsidR="00171D30" w:rsidRPr="00171D30" w:rsidRDefault="00171D30" w:rsidP="00171D30">
      <w:pPr>
        <w:tabs>
          <w:tab w:val="left" w:pos="993"/>
        </w:tabs>
        <w:spacing w:before="40" w:after="0" w:line="240" w:lineRule="auto"/>
        <w:ind w:left="1418" w:hanging="510"/>
        <w:rPr>
          <w:rFonts w:cs="Arial"/>
          <w:szCs w:val="20"/>
        </w:rPr>
      </w:pPr>
      <w:r w:rsidRPr="00171D30">
        <w:rPr>
          <w:rFonts w:cs="Arial"/>
          <w:szCs w:val="20"/>
        </w:rPr>
        <w:tab/>
        <w:t>(f)</w:t>
      </w:r>
      <w:r w:rsidRPr="00171D30">
        <w:rPr>
          <w:rFonts w:cs="Arial"/>
          <w:szCs w:val="20"/>
        </w:rPr>
        <w:tab/>
        <w:t>if the person is a foreign government investor wholly or partly as the result of the application of paragraph 17(b), (c), (d) or (e) of the Foreign Acquisitions and Takeovers Regulation 2015 to a separate government entity of a foreign country or a part of a foreign country—the foreign country or the part of the foreign country, as the case may be; and</w:t>
      </w:r>
    </w:p>
    <w:p w14:paraId="5956A230" w14:textId="77777777" w:rsidR="00171D30" w:rsidRPr="00171D30" w:rsidRDefault="00171D30" w:rsidP="00171D30">
      <w:pPr>
        <w:tabs>
          <w:tab w:val="left" w:pos="993"/>
        </w:tabs>
        <w:spacing w:before="40" w:after="0" w:line="240" w:lineRule="auto"/>
        <w:ind w:left="1418" w:hanging="510"/>
        <w:rPr>
          <w:rFonts w:cs="Arial"/>
          <w:szCs w:val="20"/>
        </w:rPr>
      </w:pPr>
      <w:r w:rsidRPr="00171D30">
        <w:rPr>
          <w:rFonts w:cs="Arial"/>
          <w:szCs w:val="20"/>
        </w:rPr>
        <w:tab/>
        <w:t>(g)</w:t>
      </w:r>
      <w:r w:rsidRPr="00171D30">
        <w:rPr>
          <w:rFonts w:cs="Arial"/>
          <w:szCs w:val="20"/>
        </w:rPr>
        <w:tab/>
        <w:t>the following contact details:</w:t>
      </w:r>
    </w:p>
    <w:p w14:paraId="6B99039F" w14:textId="77777777" w:rsidR="00171D30" w:rsidRPr="00171D30" w:rsidRDefault="00171D30" w:rsidP="00171D30">
      <w:pPr>
        <w:spacing w:before="40" w:after="0" w:line="240" w:lineRule="auto"/>
        <w:ind w:left="993" w:hanging="425"/>
        <w:rPr>
          <w:rFonts w:cs="Arial"/>
          <w:szCs w:val="20"/>
        </w:rPr>
      </w:pPr>
      <w:r w:rsidRPr="00171D30">
        <w:rPr>
          <w:rFonts w:cs="Arial"/>
          <w:szCs w:val="20"/>
        </w:rPr>
        <w:tab/>
      </w:r>
      <w:r w:rsidRPr="00171D30">
        <w:rPr>
          <w:rFonts w:cs="Arial"/>
          <w:szCs w:val="20"/>
        </w:rPr>
        <w:tab/>
        <w:t>(</w:t>
      </w:r>
      <w:proofErr w:type="spellStart"/>
      <w:r w:rsidRPr="00171D30">
        <w:rPr>
          <w:rFonts w:cs="Arial"/>
          <w:szCs w:val="20"/>
        </w:rPr>
        <w:t>i</w:t>
      </w:r>
      <w:proofErr w:type="spellEnd"/>
      <w:r w:rsidRPr="00171D30">
        <w:rPr>
          <w:rFonts w:cs="Arial"/>
          <w:szCs w:val="20"/>
        </w:rPr>
        <w:t xml:space="preserve">) the person’s </w:t>
      </w:r>
      <w:proofErr w:type="gramStart"/>
      <w:r w:rsidRPr="00171D30">
        <w:rPr>
          <w:rFonts w:cs="Arial"/>
          <w:szCs w:val="20"/>
        </w:rPr>
        <w:t>address;</w:t>
      </w:r>
      <w:proofErr w:type="gramEnd"/>
    </w:p>
    <w:p w14:paraId="682CD216" w14:textId="77777777" w:rsidR="00171D30" w:rsidRPr="00171D30" w:rsidRDefault="00171D30" w:rsidP="00171D30">
      <w:pPr>
        <w:spacing w:before="40" w:after="0" w:line="240" w:lineRule="auto"/>
        <w:ind w:left="993" w:hanging="425"/>
        <w:rPr>
          <w:rFonts w:cs="Arial"/>
          <w:szCs w:val="20"/>
        </w:rPr>
      </w:pPr>
      <w:r w:rsidRPr="00171D30">
        <w:rPr>
          <w:rFonts w:cs="Arial"/>
          <w:szCs w:val="20"/>
        </w:rPr>
        <w:tab/>
      </w:r>
      <w:r w:rsidRPr="00171D30">
        <w:rPr>
          <w:rFonts w:cs="Arial"/>
          <w:szCs w:val="20"/>
        </w:rPr>
        <w:tab/>
        <w:t>(ii) the person’s email address (if any</w:t>
      </w:r>
      <w:proofErr w:type="gramStart"/>
      <w:r w:rsidRPr="00171D30">
        <w:rPr>
          <w:rFonts w:cs="Arial"/>
          <w:szCs w:val="20"/>
        </w:rPr>
        <w:t>);</w:t>
      </w:r>
      <w:proofErr w:type="gramEnd"/>
    </w:p>
    <w:p w14:paraId="1A84826B" w14:textId="77777777" w:rsidR="00171D30" w:rsidRPr="00171D30" w:rsidRDefault="00171D30" w:rsidP="00171D30">
      <w:pPr>
        <w:spacing w:before="40" w:after="0" w:line="240" w:lineRule="auto"/>
        <w:ind w:left="993" w:hanging="425"/>
        <w:rPr>
          <w:rFonts w:cs="Arial"/>
          <w:szCs w:val="20"/>
        </w:rPr>
      </w:pPr>
      <w:r w:rsidRPr="00171D30">
        <w:rPr>
          <w:rFonts w:cs="Arial"/>
          <w:szCs w:val="20"/>
        </w:rPr>
        <w:tab/>
      </w:r>
      <w:r w:rsidRPr="00171D30">
        <w:rPr>
          <w:rFonts w:cs="Arial"/>
          <w:szCs w:val="20"/>
        </w:rPr>
        <w:tab/>
        <w:t>(iii) the person’s telephone number (if any).</w:t>
      </w:r>
    </w:p>
    <w:p w14:paraId="688BEFFA" w14:textId="77777777" w:rsidR="00171D30" w:rsidRPr="00171D30" w:rsidRDefault="00171D30" w:rsidP="00171D30">
      <w:pPr>
        <w:spacing w:before="180" w:after="0" w:line="240" w:lineRule="auto"/>
        <w:ind w:left="567"/>
        <w:rPr>
          <w:rFonts w:cs="Arial"/>
          <w:szCs w:val="20"/>
        </w:rPr>
      </w:pPr>
      <w:r w:rsidRPr="00171D30">
        <w:rPr>
          <w:rFonts w:cs="Arial"/>
          <w:b/>
          <w:i/>
          <w:szCs w:val="20"/>
        </w:rPr>
        <w:t xml:space="preserve">Foreign government </w:t>
      </w:r>
      <w:r w:rsidRPr="00171D30">
        <w:rPr>
          <w:rFonts w:cs="Arial"/>
          <w:szCs w:val="20"/>
        </w:rPr>
        <w:t xml:space="preserve">has the same meaning as in the </w:t>
      </w:r>
      <w:r w:rsidRPr="00171D30">
        <w:rPr>
          <w:rFonts w:cs="Arial"/>
          <w:i/>
          <w:szCs w:val="20"/>
        </w:rPr>
        <w:t>Foreign Acquisitions and Takeovers Act 1975</w:t>
      </w:r>
      <w:r w:rsidRPr="00171D30">
        <w:rPr>
          <w:rFonts w:cs="Arial"/>
          <w:szCs w:val="20"/>
        </w:rPr>
        <w:t>.</w:t>
      </w:r>
    </w:p>
    <w:p w14:paraId="5B8230FF" w14:textId="77777777" w:rsidR="00171D30" w:rsidRPr="00171D30" w:rsidRDefault="00171D30" w:rsidP="00171D30">
      <w:pPr>
        <w:spacing w:before="180" w:after="0" w:line="240" w:lineRule="auto"/>
        <w:ind w:left="567"/>
        <w:rPr>
          <w:rFonts w:cs="Arial"/>
          <w:i/>
          <w:szCs w:val="20"/>
        </w:rPr>
      </w:pPr>
      <w:r w:rsidRPr="00171D30">
        <w:rPr>
          <w:rFonts w:cs="Arial"/>
          <w:b/>
          <w:i/>
          <w:szCs w:val="20"/>
        </w:rPr>
        <w:t>Foreign government investor</w:t>
      </w:r>
      <w:r w:rsidRPr="00171D30">
        <w:rPr>
          <w:rFonts w:cs="Arial"/>
          <w:i/>
          <w:szCs w:val="20"/>
        </w:rPr>
        <w:t xml:space="preserve"> </w:t>
      </w:r>
      <w:r w:rsidRPr="00171D30">
        <w:rPr>
          <w:rFonts w:cs="Arial"/>
          <w:szCs w:val="20"/>
        </w:rPr>
        <w:t xml:space="preserve">has the same meaning as in the </w:t>
      </w:r>
      <w:r w:rsidRPr="00171D30">
        <w:rPr>
          <w:rFonts w:cs="Arial"/>
          <w:i/>
          <w:szCs w:val="20"/>
        </w:rPr>
        <w:t>Foreign Acquisitions and Takeovers Act 1975.</w:t>
      </w:r>
    </w:p>
    <w:p w14:paraId="2C9E850C" w14:textId="77777777" w:rsidR="00171D30" w:rsidRPr="00171D30" w:rsidRDefault="00171D30" w:rsidP="00171D30">
      <w:pPr>
        <w:spacing w:before="180" w:after="0" w:line="240" w:lineRule="auto"/>
        <w:ind w:left="567"/>
        <w:rPr>
          <w:rFonts w:ascii="Times New Roman" w:hAnsi="Times New Roman" w:cs="Arial"/>
          <w:i/>
          <w:sz w:val="22"/>
          <w:szCs w:val="20"/>
        </w:rPr>
      </w:pPr>
      <w:r w:rsidRPr="00171D30">
        <w:rPr>
          <w:rFonts w:cs="Arial"/>
          <w:b/>
          <w:i/>
          <w:szCs w:val="20"/>
        </w:rPr>
        <w:t>Foreign person</w:t>
      </w:r>
      <w:r w:rsidRPr="00171D30">
        <w:rPr>
          <w:rFonts w:cs="Arial"/>
          <w:i/>
          <w:szCs w:val="20"/>
        </w:rPr>
        <w:t xml:space="preserve"> </w:t>
      </w:r>
      <w:r w:rsidRPr="00171D30">
        <w:rPr>
          <w:rFonts w:cs="Arial"/>
          <w:szCs w:val="20"/>
        </w:rPr>
        <w:t>has the same meaning as the</w:t>
      </w:r>
      <w:r w:rsidRPr="00171D30">
        <w:rPr>
          <w:rFonts w:cs="Arial"/>
          <w:i/>
          <w:szCs w:val="20"/>
        </w:rPr>
        <w:t xml:space="preserve"> Foreign Acquisitions and Takeovers Act 1975.</w:t>
      </w:r>
    </w:p>
    <w:p w14:paraId="5862F21A" w14:textId="77777777" w:rsidR="00171D30" w:rsidRPr="00171D30" w:rsidRDefault="00171D30" w:rsidP="00171D30">
      <w:pPr>
        <w:spacing w:before="180" w:after="0" w:line="240" w:lineRule="auto"/>
        <w:ind w:left="567"/>
        <w:rPr>
          <w:rFonts w:cs="Arial"/>
          <w:szCs w:val="20"/>
        </w:rPr>
      </w:pPr>
      <w:r w:rsidRPr="00171D30">
        <w:rPr>
          <w:rFonts w:cs="Arial"/>
          <w:b/>
          <w:i/>
          <w:szCs w:val="20"/>
        </w:rPr>
        <w:t>Foreign stakeholder</w:t>
      </w:r>
      <w:r w:rsidRPr="00171D30">
        <w:rPr>
          <w:rFonts w:cs="Arial"/>
          <w:szCs w:val="20"/>
        </w:rPr>
        <w:t>, in relation to an Australian media company, has the meaning given by section 74C of the BSA.</w:t>
      </w:r>
    </w:p>
    <w:p w14:paraId="66EEB9FE" w14:textId="77777777" w:rsidR="00171D30" w:rsidRPr="00171D30" w:rsidRDefault="00171D30" w:rsidP="00171D30">
      <w:pPr>
        <w:spacing w:before="180" w:after="0" w:line="240" w:lineRule="auto"/>
        <w:ind w:left="567"/>
        <w:rPr>
          <w:rFonts w:cs="Arial"/>
          <w:b/>
          <w:i/>
          <w:szCs w:val="20"/>
        </w:rPr>
      </w:pPr>
      <w:r w:rsidRPr="00171D30">
        <w:rPr>
          <w:rFonts w:cs="Arial"/>
          <w:b/>
          <w:i/>
          <w:szCs w:val="20"/>
        </w:rPr>
        <w:t xml:space="preserve">Initial disclosure period </w:t>
      </w:r>
      <w:r w:rsidRPr="00171D30">
        <w:rPr>
          <w:rFonts w:cs="Arial"/>
          <w:szCs w:val="20"/>
        </w:rPr>
        <w:t>means the period of 6 months beginning at the commencement of this Division.</w:t>
      </w:r>
    </w:p>
    <w:p w14:paraId="6F622A59" w14:textId="77777777" w:rsidR="00171D30" w:rsidRPr="00171D30" w:rsidRDefault="00171D30" w:rsidP="00171D30">
      <w:pPr>
        <w:spacing w:before="180" w:after="0" w:line="240" w:lineRule="auto"/>
        <w:ind w:left="567"/>
        <w:rPr>
          <w:rFonts w:cs="Arial"/>
          <w:bCs/>
          <w:iCs/>
          <w:color w:val="000000"/>
          <w:szCs w:val="20"/>
        </w:rPr>
      </w:pPr>
      <w:r w:rsidRPr="00171D30">
        <w:rPr>
          <w:rFonts w:cs="Arial"/>
          <w:b/>
          <w:i/>
          <w:szCs w:val="20"/>
        </w:rPr>
        <w:t>Person</w:t>
      </w:r>
      <w:r w:rsidRPr="00171D30">
        <w:rPr>
          <w:rFonts w:cs="Arial"/>
          <w:szCs w:val="20"/>
        </w:rPr>
        <w:t xml:space="preserve"> includes a foreign person.</w:t>
      </w:r>
    </w:p>
    <w:p w14:paraId="23FF99CF" w14:textId="77777777" w:rsidR="00171D30" w:rsidRPr="00171D30" w:rsidRDefault="00171D30" w:rsidP="00171D30">
      <w:pPr>
        <w:spacing w:before="180" w:line="240" w:lineRule="auto"/>
        <w:ind w:left="567"/>
        <w:rPr>
          <w:rFonts w:cs="Arial"/>
          <w:szCs w:val="20"/>
        </w:rPr>
      </w:pPr>
      <w:r w:rsidRPr="00171D30">
        <w:rPr>
          <w:rFonts w:cs="Arial"/>
          <w:b/>
          <w:i/>
          <w:szCs w:val="20"/>
        </w:rPr>
        <w:t xml:space="preserve">Separate government entity </w:t>
      </w:r>
      <w:r w:rsidRPr="00171D30">
        <w:rPr>
          <w:rFonts w:cs="Arial"/>
          <w:szCs w:val="20"/>
        </w:rPr>
        <w:t xml:space="preserve">has the same meaning as in the </w:t>
      </w:r>
      <w:r w:rsidRPr="00171D30">
        <w:rPr>
          <w:rFonts w:cs="Arial"/>
          <w:i/>
          <w:szCs w:val="20"/>
        </w:rPr>
        <w:t>Foreign Acquisitions and Takeovers Act 1975</w:t>
      </w:r>
      <w:r w:rsidRPr="00171D30">
        <w:rPr>
          <w:rFonts w:cs="Arial"/>
          <w:szCs w:val="20"/>
        </w:rPr>
        <w:t>.</w:t>
      </w:r>
    </w:p>
    <w:p w14:paraId="1FBC6F3F" w14:textId="77777777" w:rsidR="00171D30" w:rsidRPr="00171D30" w:rsidRDefault="00171D30" w:rsidP="00171D30">
      <w:pPr>
        <w:shd w:val="clear" w:color="auto" w:fill="FFFFFF"/>
        <w:rPr>
          <w:rFonts w:cs="Arial"/>
          <w:i/>
          <w:szCs w:val="20"/>
        </w:rPr>
      </w:pPr>
      <w:r w:rsidRPr="00171D30">
        <w:rPr>
          <w:rFonts w:cs="Arial"/>
          <w:szCs w:val="20"/>
        </w:rPr>
        <w:t>(</w:t>
      </w:r>
      <w:r w:rsidRPr="00171D30">
        <w:rPr>
          <w:rFonts w:cs="Arial"/>
          <w:b/>
          <w:szCs w:val="20"/>
        </w:rPr>
        <w:t>Section 74C of the BSA</w:t>
      </w:r>
      <w:r w:rsidRPr="00171D30">
        <w:rPr>
          <w:rFonts w:cs="Arial"/>
          <w:szCs w:val="20"/>
        </w:rPr>
        <w:t>)</w:t>
      </w:r>
    </w:p>
    <w:p w14:paraId="1B047D96" w14:textId="77777777" w:rsidR="00171D30" w:rsidRPr="00171D30" w:rsidRDefault="00171D30" w:rsidP="00171D30">
      <w:pPr>
        <w:shd w:val="clear" w:color="auto" w:fill="FFFFFF"/>
        <w:ind w:left="567"/>
        <w:rPr>
          <w:rFonts w:cs="Arial"/>
          <w:szCs w:val="20"/>
        </w:rPr>
      </w:pPr>
      <w:r w:rsidRPr="00171D30">
        <w:rPr>
          <w:rFonts w:cs="Arial"/>
          <w:b/>
          <w:i/>
          <w:szCs w:val="20"/>
        </w:rPr>
        <w:t>Foreign stakeholder</w:t>
      </w:r>
      <w:r w:rsidRPr="00171D30">
        <w:rPr>
          <w:rFonts w:cs="Arial"/>
          <w:szCs w:val="20"/>
        </w:rPr>
        <w:t xml:space="preserve">—for the purposes of Division 10A of the BSA, if a foreign person has company interests in an Australian media company of 2.5% or more, that person is a </w:t>
      </w:r>
      <w:r w:rsidRPr="00171D30">
        <w:rPr>
          <w:rFonts w:cs="Arial"/>
          <w:b/>
          <w:i/>
          <w:szCs w:val="20"/>
        </w:rPr>
        <w:t>foreign stakeholder</w:t>
      </w:r>
      <w:r w:rsidRPr="00171D30">
        <w:rPr>
          <w:rFonts w:cs="Arial"/>
          <w:szCs w:val="20"/>
        </w:rPr>
        <w:t xml:space="preserve"> in that company.</w:t>
      </w:r>
    </w:p>
    <w:p w14:paraId="165291BA" w14:textId="77777777" w:rsidR="00171D30" w:rsidRPr="00171D30" w:rsidRDefault="00171D30" w:rsidP="00B95A9C">
      <w:pPr>
        <w:spacing w:before="180" w:after="120" w:line="240" w:lineRule="auto"/>
        <w:rPr>
          <w:rFonts w:cs="Arial"/>
          <w:bCs/>
          <w:iCs/>
          <w:color w:val="000000"/>
          <w:szCs w:val="20"/>
        </w:rPr>
      </w:pPr>
      <w:r w:rsidRPr="00171D30">
        <w:rPr>
          <w:rFonts w:cs="Arial"/>
          <w:bCs/>
          <w:iCs/>
          <w:color w:val="000000"/>
          <w:szCs w:val="20"/>
        </w:rPr>
        <w:t>(</w:t>
      </w:r>
      <w:r w:rsidRPr="00171D30">
        <w:rPr>
          <w:rFonts w:cs="Arial"/>
          <w:b/>
          <w:bCs/>
          <w:iCs/>
          <w:color w:val="000000"/>
          <w:szCs w:val="20"/>
        </w:rPr>
        <w:t>Section 4 of the FATA</w:t>
      </w:r>
      <w:r w:rsidRPr="00171D30">
        <w:rPr>
          <w:rFonts w:cs="Arial"/>
          <w:bCs/>
          <w:iCs/>
          <w:color w:val="000000"/>
          <w:szCs w:val="20"/>
        </w:rPr>
        <w:t>)</w:t>
      </w:r>
    </w:p>
    <w:p w14:paraId="78AD42D1" w14:textId="77777777" w:rsidR="00171D30" w:rsidRPr="00171D30" w:rsidRDefault="00171D30" w:rsidP="00171D30">
      <w:pPr>
        <w:numPr>
          <w:ilvl w:val="0"/>
          <w:numId w:val="12"/>
        </w:numPr>
        <w:autoSpaceDE w:val="0"/>
        <w:autoSpaceDN w:val="0"/>
        <w:adjustRightInd w:val="0"/>
        <w:spacing w:after="0" w:line="240" w:lineRule="auto"/>
        <w:ind w:left="709" w:firstLine="0"/>
        <w:rPr>
          <w:rFonts w:eastAsiaTheme="minorHAnsi" w:cs="Arial"/>
          <w:color w:val="000000"/>
          <w:szCs w:val="20"/>
          <w:lang w:eastAsia="en-US"/>
        </w:rPr>
      </w:pPr>
      <w:r w:rsidRPr="00171D30">
        <w:rPr>
          <w:rFonts w:eastAsiaTheme="minorHAnsi" w:cs="Arial"/>
          <w:b/>
          <w:bCs/>
          <w:i/>
          <w:iCs/>
          <w:color w:val="000000"/>
          <w:szCs w:val="20"/>
          <w:lang w:eastAsia="en-US"/>
        </w:rPr>
        <w:t xml:space="preserve">Foreign person </w:t>
      </w:r>
      <w:r w:rsidRPr="00171D30">
        <w:rPr>
          <w:rFonts w:eastAsiaTheme="minorHAnsi" w:cs="Arial"/>
          <w:bCs/>
          <w:iCs/>
          <w:color w:val="000000"/>
          <w:szCs w:val="20"/>
          <w:lang w:eastAsia="en-US"/>
        </w:rPr>
        <w:t>means</w:t>
      </w:r>
      <w:r w:rsidRPr="00171D30">
        <w:rPr>
          <w:rFonts w:eastAsiaTheme="minorHAnsi" w:cs="Arial"/>
          <w:color w:val="000000"/>
          <w:szCs w:val="20"/>
          <w:lang w:eastAsia="en-US"/>
        </w:rPr>
        <w:t>:</w:t>
      </w:r>
    </w:p>
    <w:p w14:paraId="29E9393F" w14:textId="77777777" w:rsidR="00171D30" w:rsidRPr="00171D30" w:rsidRDefault="00171D30" w:rsidP="00171D30">
      <w:pPr>
        <w:numPr>
          <w:ilvl w:val="0"/>
          <w:numId w:val="38"/>
        </w:numPr>
        <w:autoSpaceDE w:val="0"/>
        <w:autoSpaceDN w:val="0"/>
        <w:adjustRightInd w:val="0"/>
        <w:spacing w:after="0" w:line="240" w:lineRule="auto"/>
        <w:ind w:left="1418" w:hanging="425"/>
        <w:rPr>
          <w:rFonts w:eastAsiaTheme="minorHAnsi" w:cs="Arial"/>
          <w:color w:val="000000"/>
          <w:szCs w:val="20"/>
          <w:lang w:eastAsia="en-US"/>
        </w:rPr>
      </w:pPr>
      <w:r w:rsidRPr="00171D30">
        <w:rPr>
          <w:rFonts w:eastAsiaTheme="minorHAnsi" w:cs="Arial"/>
          <w:color w:val="000000"/>
          <w:szCs w:val="20"/>
          <w:lang w:eastAsia="en-US"/>
        </w:rPr>
        <w:t xml:space="preserve">an individual not ordinarily resident in Australia; or </w:t>
      </w:r>
    </w:p>
    <w:p w14:paraId="73460053" w14:textId="77777777" w:rsidR="00171D30" w:rsidRPr="00171D30" w:rsidRDefault="00171D30" w:rsidP="00171D30">
      <w:pPr>
        <w:numPr>
          <w:ilvl w:val="0"/>
          <w:numId w:val="38"/>
        </w:numPr>
        <w:autoSpaceDE w:val="0"/>
        <w:autoSpaceDN w:val="0"/>
        <w:adjustRightInd w:val="0"/>
        <w:spacing w:after="0" w:line="240" w:lineRule="auto"/>
        <w:ind w:left="1418" w:hanging="425"/>
        <w:rPr>
          <w:rFonts w:eastAsiaTheme="minorHAnsi" w:cs="Arial"/>
          <w:color w:val="000000"/>
          <w:szCs w:val="20"/>
          <w:lang w:eastAsia="en-US"/>
        </w:rPr>
      </w:pPr>
      <w:r w:rsidRPr="00171D30">
        <w:rPr>
          <w:rFonts w:eastAsiaTheme="minorHAnsi" w:cs="Arial"/>
          <w:color w:val="000000"/>
          <w:szCs w:val="20"/>
          <w:lang w:eastAsia="en-US"/>
        </w:rPr>
        <w:t xml:space="preserve">a corporation in which an individual not ordinarily resident in Australia, a foreign corporation or a foreign government holds a substantial interest; or </w:t>
      </w:r>
    </w:p>
    <w:p w14:paraId="5F875335" w14:textId="77777777" w:rsidR="00171D30" w:rsidRPr="00171D30" w:rsidRDefault="00171D30" w:rsidP="00171D30">
      <w:pPr>
        <w:numPr>
          <w:ilvl w:val="0"/>
          <w:numId w:val="38"/>
        </w:numPr>
        <w:autoSpaceDE w:val="0"/>
        <w:autoSpaceDN w:val="0"/>
        <w:adjustRightInd w:val="0"/>
        <w:spacing w:after="0" w:line="240" w:lineRule="auto"/>
        <w:ind w:left="1418" w:hanging="425"/>
        <w:rPr>
          <w:rFonts w:eastAsiaTheme="minorHAnsi" w:cs="Arial"/>
          <w:color w:val="000000"/>
          <w:szCs w:val="20"/>
          <w:lang w:eastAsia="en-US"/>
        </w:rPr>
      </w:pPr>
      <w:r w:rsidRPr="00171D30">
        <w:rPr>
          <w:rFonts w:eastAsiaTheme="minorHAnsi" w:cs="Arial"/>
          <w:color w:val="000000"/>
          <w:szCs w:val="20"/>
          <w:lang w:eastAsia="en-US"/>
        </w:rPr>
        <w:t xml:space="preserve">a corporation in which 2 or more persons, each of whom is an individual not ordinarily resident in Australia, a foreign corporation or a foreign government, hold an aggregate substantial interest; or </w:t>
      </w:r>
    </w:p>
    <w:p w14:paraId="658FF730" w14:textId="77777777" w:rsidR="00171D30" w:rsidRPr="00171D30" w:rsidRDefault="00171D30" w:rsidP="00171D30">
      <w:pPr>
        <w:numPr>
          <w:ilvl w:val="0"/>
          <w:numId w:val="38"/>
        </w:numPr>
        <w:autoSpaceDE w:val="0"/>
        <w:autoSpaceDN w:val="0"/>
        <w:adjustRightInd w:val="0"/>
        <w:spacing w:after="0" w:line="240" w:lineRule="auto"/>
        <w:ind w:left="1418" w:hanging="425"/>
        <w:rPr>
          <w:rFonts w:eastAsiaTheme="minorHAnsi" w:cs="Arial"/>
          <w:color w:val="000000"/>
          <w:szCs w:val="20"/>
          <w:lang w:eastAsia="en-US"/>
        </w:rPr>
      </w:pPr>
      <w:r w:rsidRPr="00171D30">
        <w:rPr>
          <w:rFonts w:eastAsiaTheme="minorHAnsi" w:cs="Arial"/>
          <w:color w:val="000000"/>
          <w:szCs w:val="20"/>
          <w:lang w:eastAsia="en-US"/>
        </w:rPr>
        <w:t xml:space="preserve">the trustee of a trust in which an individual not ordinarily resident in Australia, a foreign corporation or a foreign government holds a substantial interest; or </w:t>
      </w:r>
    </w:p>
    <w:p w14:paraId="5F0ACB98" w14:textId="77777777" w:rsidR="00171D30" w:rsidRPr="00171D30" w:rsidRDefault="00171D30" w:rsidP="00171D30">
      <w:pPr>
        <w:numPr>
          <w:ilvl w:val="0"/>
          <w:numId w:val="38"/>
        </w:numPr>
        <w:autoSpaceDE w:val="0"/>
        <w:autoSpaceDN w:val="0"/>
        <w:adjustRightInd w:val="0"/>
        <w:spacing w:after="0" w:line="240" w:lineRule="auto"/>
        <w:ind w:left="1418" w:hanging="425"/>
        <w:rPr>
          <w:rFonts w:eastAsiaTheme="minorHAnsi" w:cs="Arial"/>
          <w:color w:val="000000"/>
          <w:szCs w:val="20"/>
          <w:lang w:eastAsia="en-US"/>
        </w:rPr>
      </w:pPr>
      <w:r w:rsidRPr="00171D30">
        <w:rPr>
          <w:rFonts w:eastAsiaTheme="minorHAnsi" w:cs="Arial"/>
          <w:color w:val="000000"/>
          <w:szCs w:val="20"/>
          <w:lang w:eastAsia="en-US"/>
        </w:rPr>
        <w:t xml:space="preserve">the trustee of a trust in which 2 or more persons, each of whom is an individual not ordinarily resident in Australia, a foreign corporation or a foreign government, hold an aggregate substantial interest; or </w:t>
      </w:r>
    </w:p>
    <w:p w14:paraId="3C317A49" w14:textId="77777777" w:rsidR="00171D30" w:rsidRPr="00171D30" w:rsidRDefault="00171D30" w:rsidP="00171D30">
      <w:pPr>
        <w:numPr>
          <w:ilvl w:val="0"/>
          <w:numId w:val="38"/>
        </w:numPr>
        <w:autoSpaceDE w:val="0"/>
        <w:autoSpaceDN w:val="0"/>
        <w:adjustRightInd w:val="0"/>
        <w:spacing w:after="0" w:line="240" w:lineRule="auto"/>
        <w:ind w:left="1418" w:hanging="425"/>
        <w:rPr>
          <w:rFonts w:eastAsiaTheme="minorHAnsi" w:cs="Arial"/>
          <w:color w:val="000000"/>
          <w:szCs w:val="20"/>
          <w:lang w:eastAsia="en-US"/>
        </w:rPr>
      </w:pPr>
      <w:r w:rsidRPr="00171D30">
        <w:rPr>
          <w:rFonts w:eastAsiaTheme="minorHAnsi" w:cs="Arial"/>
          <w:color w:val="000000"/>
          <w:szCs w:val="20"/>
          <w:lang w:eastAsia="en-US"/>
        </w:rPr>
        <w:t xml:space="preserve">a foreign government; or </w:t>
      </w:r>
    </w:p>
    <w:p w14:paraId="512D03DB" w14:textId="77777777" w:rsidR="00171D30" w:rsidRPr="00171D30" w:rsidRDefault="00171D30" w:rsidP="00171D30">
      <w:pPr>
        <w:numPr>
          <w:ilvl w:val="0"/>
          <w:numId w:val="38"/>
        </w:numPr>
        <w:autoSpaceDE w:val="0"/>
        <w:autoSpaceDN w:val="0"/>
        <w:adjustRightInd w:val="0"/>
        <w:spacing w:after="0" w:line="240" w:lineRule="auto"/>
        <w:ind w:left="1418" w:hanging="425"/>
        <w:rPr>
          <w:rFonts w:eastAsiaTheme="minorHAnsi" w:cs="Arial"/>
          <w:color w:val="000000"/>
          <w:szCs w:val="20"/>
          <w:lang w:eastAsia="en-US"/>
        </w:rPr>
      </w:pPr>
      <w:r w:rsidRPr="00171D30">
        <w:rPr>
          <w:rFonts w:eastAsiaTheme="minorHAnsi" w:cs="Arial"/>
          <w:color w:val="000000"/>
          <w:szCs w:val="20"/>
          <w:lang w:eastAsia="en-US"/>
        </w:rPr>
        <w:t xml:space="preserve">any other person, or any other person that meets the conditions, prescribed by the regulations. </w:t>
      </w:r>
    </w:p>
    <w:p w14:paraId="46F9D162" w14:textId="77777777" w:rsidR="00171D30" w:rsidRPr="00171D30" w:rsidRDefault="00171D30" w:rsidP="00171D30">
      <w:pPr>
        <w:shd w:val="clear" w:color="auto" w:fill="FFFFFF"/>
        <w:spacing w:before="150"/>
        <w:ind w:left="1560" w:hanging="567"/>
        <w:rPr>
          <w:rFonts w:cs="Arial"/>
          <w:szCs w:val="20"/>
        </w:rPr>
      </w:pPr>
      <w:r w:rsidRPr="00171D30">
        <w:rPr>
          <w:rFonts w:cs="Arial"/>
          <w:szCs w:val="20"/>
        </w:rPr>
        <w:t>Note: In certain circumstances, an associate of a foreign person may be taken to be a foreign person even if the associate is not a foreign person (see subsection 54(7)).</w:t>
      </w:r>
    </w:p>
    <w:p w14:paraId="78E27ADC" w14:textId="77777777" w:rsidR="00171D30" w:rsidRPr="00171D30" w:rsidRDefault="00171D30" w:rsidP="00171D30">
      <w:pPr>
        <w:shd w:val="clear" w:color="auto" w:fill="FFFFFF"/>
        <w:spacing w:before="150"/>
        <w:ind w:left="1276" w:hanging="567"/>
        <w:rPr>
          <w:rFonts w:cs="Arial"/>
          <w:szCs w:val="20"/>
        </w:rPr>
      </w:pPr>
      <w:r w:rsidRPr="00171D30">
        <w:rPr>
          <w:rFonts w:cs="Arial"/>
          <w:b/>
          <w:i/>
          <w:szCs w:val="20"/>
        </w:rPr>
        <w:t>Substantial interest</w:t>
      </w:r>
      <w:r w:rsidRPr="00171D30">
        <w:rPr>
          <w:rFonts w:cs="Arial"/>
          <w:szCs w:val="20"/>
        </w:rPr>
        <w:t xml:space="preserve">: </w:t>
      </w:r>
    </w:p>
    <w:p w14:paraId="23903718" w14:textId="77777777" w:rsidR="00171D30" w:rsidRPr="00171D30" w:rsidRDefault="00171D30" w:rsidP="00171D30">
      <w:pPr>
        <w:shd w:val="clear" w:color="auto" w:fill="FFFFFF"/>
        <w:spacing w:before="150"/>
        <w:ind w:left="1276" w:hanging="567"/>
        <w:rPr>
          <w:rFonts w:cs="Arial"/>
          <w:szCs w:val="20"/>
        </w:rPr>
      </w:pPr>
      <w:r w:rsidRPr="00171D30">
        <w:rPr>
          <w:rFonts w:cs="Arial"/>
          <w:szCs w:val="20"/>
        </w:rPr>
        <w:t xml:space="preserve">A person holds a </w:t>
      </w:r>
      <w:r w:rsidRPr="00171D30">
        <w:rPr>
          <w:rFonts w:cs="Arial"/>
          <w:b/>
          <w:i/>
          <w:szCs w:val="20"/>
        </w:rPr>
        <w:t xml:space="preserve">substantial interest </w:t>
      </w:r>
      <w:r w:rsidRPr="00171D30">
        <w:rPr>
          <w:rFonts w:cs="Arial"/>
          <w:szCs w:val="20"/>
        </w:rPr>
        <w:t>in an entity or trust if:</w:t>
      </w:r>
    </w:p>
    <w:p w14:paraId="6E9E6038"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(a)</w:t>
      </w:r>
      <w:r w:rsidRPr="00171D30">
        <w:rPr>
          <w:rFonts w:cs="Arial"/>
          <w:szCs w:val="20"/>
        </w:rPr>
        <w:tab/>
        <w:t>for an entity—the person holds an interest of at least 20% in the entity; or</w:t>
      </w:r>
    </w:p>
    <w:p w14:paraId="4CDE2FA4"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(b)</w:t>
      </w:r>
      <w:r w:rsidRPr="00171D30">
        <w:rPr>
          <w:rFonts w:cs="Arial"/>
          <w:szCs w:val="20"/>
        </w:rPr>
        <w:tab/>
        <w:t>for a trust (including a unit trust)—the person, together with any one or more associates, holds a beneficial interest in at least 20% of the income or property of the trust.</w:t>
      </w:r>
    </w:p>
    <w:p w14:paraId="02D6849E" w14:textId="77777777" w:rsidR="00171D30" w:rsidRPr="00171D30" w:rsidRDefault="00171D30" w:rsidP="00171D30">
      <w:pPr>
        <w:spacing w:before="122" w:after="0" w:line="240" w:lineRule="auto"/>
        <w:ind w:left="1985" w:hanging="851"/>
        <w:rPr>
          <w:rFonts w:cs="Arial"/>
          <w:szCs w:val="20"/>
        </w:rPr>
      </w:pPr>
      <w:r w:rsidRPr="00171D30">
        <w:rPr>
          <w:rFonts w:cs="Arial"/>
          <w:szCs w:val="20"/>
        </w:rPr>
        <w:t>Note 1:</w:t>
      </w:r>
      <w:r w:rsidRPr="00171D30">
        <w:rPr>
          <w:rFonts w:cs="Arial"/>
          <w:szCs w:val="20"/>
        </w:rPr>
        <w:tab/>
        <w:t xml:space="preserve">See also sections 17 (meanings of </w:t>
      </w:r>
      <w:r w:rsidRPr="00171D30">
        <w:rPr>
          <w:rFonts w:cs="Arial"/>
          <w:b/>
          <w:i/>
          <w:szCs w:val="20"/>
        </w:rPr>
        <w:t>interest</w:t>
      </w:r>
      <w:r w:rsidRPr="00171D30">
        <w:rPr>
          <w:rFonts w:cs="Arial"/>
          <w:szCs w:val="20"/>
        </w:rPr>
        <w:t xml:space="preserve"> and </w:t>
      </w:r>
      <w:r w:rsidRPr="00171D30">
        <w:rPr>
          <w:rFonts w:cs="Arial"/>
          <w:b/>
          <w:i/>
          <w:szCs w:val="20"/>
        </w:rPr>
        <w:t>aggregate interest</w:t>
      </w:r>
      <w:r w:rsidRPr="00171D30">
        <w:rPr>
          <w:rFonts w:cs="Arial"/>
          <w:szCs w:val="20"/>
        </w:rPr>
        <w:t xml:space="preserve"> of a specified percentage in an entity) and 18 (rules relating to determining percentages of interests in entities).</w:t>
      </w:r>
    </w:p>
    <w:p w14:paraId="7AAA534C" w14:textId="77777777" w:rsidR="00171D30" w:rsidRPr="00171D30" w:rsidRDefault="00171D30" w:rsidP="00171D30">
      <w:pPr>
        <w:spacing w:before="122" w:line="240" w:lineRule="auto"/>
        <w:ind w:left="1985" w:hanging="851"/>
        <w:rPr>
          <w:rFonts w:cs="Arial"/>
          <w:szCs w:val="20"/>
        </w:rPr>
      </w:pPr>
      <w:r w:rsidRPr="00171D30">
        <w:rPr>
          <w:rFonts w:cs="Arial"/>
          <w:szCs w:val="20"/>
        </w:rPr>
        <w:t>Note 2:</w:t>
      </w:r>
      <w:r w:rsidRPr="00171D30">
        <w:rPr>
          <w:rFonts w:cs="Arial"/>
          <w:szCs w:val="20"/>
        </w:rPr>
        <w:tab/>
        <w:t xml:space="preserve">For when a person </w:t>
      </w:r>
      <w:r w:rsidRPr="00171D30">
        <w:rPr>
          <w:rFonts w:cs="Arial"/>
          <w:b/>
          <w:i/>
          <w:szCs w:val="20"/>
        </w:rPr>
        <w:t xml:space="preserve">acquires </w:t>
      </w:r>
      <w:r w:rsidRPr="00171D30">
        <w:rPr>
          <w:rFonts w:cs="Arial"/>
          <w:szCs w:val="20"/>
        </w:rPr>
        <w:t>a substantial interest in an entity, see section 20.</w:t>
      </w:r>
    </w:p>
    <w:p w14:paraId="734A89C3" w14:textId="23A6C7FF" w:rsidR="00171D30" w:rsidRDefault="00171D30" w:rsidP="00B95A9C">
      <w:pPr>
        <w:spacing w:before="180" w:after="0" w:line="240" w:lineRule="auto"/>
        <w:rPr>
          <w:rFonts w:cs="Arial"/>
          <w:b/>
          <w:bCs/>
          <w:iCs/>
          <w:color w:val="000000"/>
          <w:szCs w:val="20"/>
        </w:rPr>
      </w:pPr>
      <w:bookmarkStart w:id="115" w:name="_Toc499792334"/>
      <w:bookmarkEnd w:id="115"/>
      <w:r w:rsidRPr="00171D30">
        <w:rPr>
          <w:rFonts w:cs="Arial"/>
          <w:b/>
          <w:bCs/>
          <w:iCs/>
          <w:color w:val="000000"/>
          <w:szCs w:val="20"/>
        </w:rPr>
        <w:t>(Section 19 of the FATA)</w:t>
      </w:r>
    </w:p>
    <w:p w14:paraId="50533543" w14:textId="77777777" w:rsidR="00B95A9C" w:rsidRPr="00171D30" w:rsidRDefault="00B95A9C" w:rsidP="00B95A9C">
      <w:pPr>
        <w:spacing w:before="180" w:after="0" w:line="240" w:lineRule="auto"/>
        <w:rPr>
          <w:rFonts w:cs="Arial"/>
          <w:b/>
          <w:bCs/>
          <w:iCs/>
          <w:color w:val="000000"/>
          <w:szCs w:val="20"/>
        </w:rPr>
      </w:pPr>
    </w:p>
    <w:p w14:paraId="0D93F80D" w14:textId="77777777" w:rsidR="00171D30" w:rsidRPr="00171D30" w:rsidRDefault="00171D30" w:rsidP="00B95A9C">
      <w:pPr>
        <w:pStyle w:val="Heading3"/>
      </w:pPr>
      <w:bookmarkStart w:id="116" w:name="_Toc520126530"/>
      <w:bookmarkStart w:id="117" w:name="_Toc50038440"/>
      <w:r w:rsidRPr="00171D30">
        <w:t>Tracing of substantial interests in corporations and trusts</w:t>
      </w:r>
      <w:bookmarkEnd w:id="116"/>
      <w:bookmarkEnd w:id="117"/>
    </w:p>
    <w:p w14:paraId="009FC818" w14:textId="77777777" w:rsidR="00171D30" w:rsidRPr="00171D30" w:rsidRDefault="00171D30" w:rsidP="00171D30">
      <w:pPr>
        <w:spacing w:before="180" w:after="0" w:line="240" w:lineRule="auto"/>
        <w:ind w:left="851" w:hanging="284"/>
        <w:rPr>
          <w:rFonts w:cs="Arial"/>
          <w:szCs w:val="20"/>
        </w:rPr>
      </w:pPr>
      <w:r w:rsidRPr="00171D30">
        <w:rPr>
          <w:rFonts w:cs="Arial"/>
          <w:szCs w:val="20"/>
        </w:rPr>
        <w:tab/>
        <w:t>(1)</w:t>
      </w:r>
      <w:r w:rsidRPr="00171D30">
        <w:rPr>
          <w:rFonts w:cs="Arial"/>
          <w:szCs w:val="20"/>
        </w:rPr>
        <w:tab/>
        <w:t>This section applies (subject to subsection (3)) if:</w:t>
      </w:r>
    </w:p>
    <w:p w14:paraId="0CCBEB22"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(a)</w:t>
      </w:r>
      <w:r w:rsidRPr="00171D30">
        <w:rPr>
          <w:rFonts w:cs="Arial"/>
          <w:szCs w:val="20"/>
        </w:rPr>
        <w:tab/>
        <w:t>either:</w:t>
      </w:r>
    </w:p>
    <w:p w14:paraId="0608237D" w14:textId="77777777" w:rsidR="00171D30" w:rsidRPr="00171D30" w:rsidRDefault="00171D30" w:rsidP="00171D30">
      <w:pPr>
        <w:tabs>
          <w:tab w:val="right" w:pos="1985"/>
        </w:tabs>
        <w:spacing w:before="40" w:after="0" w:line="240" w:lineRule="auto"/>
        <w:ind w:left="2098" w:hanging="2098"/>
        <w:rPr>
          <w:rFonts w:cs="Arial"/>
          <w:szCs w:val="20"/>
        </w:rPr>
      </w:pPr>
      <w:r w:rsidRPr="00171D30">
        <w:rPr>
          <w:rFonts w:cs="Arial"/>
          <w:szCs w:val="20"/>
        </w:rPr>
        <w:tab/>
        <w:t>(</w:t>
      </w:r>
      <w:proofErr w:type="spellStart"/>
      <w:r w:rsidRPr="00171D30">
        <w:rPr>
          <w:rFonts w:cs="Arial"/>
          <w:szCs w:val="20"/>
        </w:rPr>
        <w:t>i</w:t>
      </w:r>
      <w:proofErr w:type="spellEnd"/>
      <w:r w:rsidRPr="00171D30">
        <w:rPr>
          <w:rFonts w:cs="Arial"/>
          <w:szCs w:val="20"/>
        </w:rPr>
        <w:t>)</w:t>
      </w:r>
      <w:r w:rsidRPr="00171D30">
        <w:rPr>
          <w:rFonts w:cs="Arial"/>
          <w:szCs w:val="20"/>
        </w:rPr>
        <w:tab/>
        <w:t xml:space="preserve">a person holds a substantial interest in a corporation or trust (the </w:t>
      </w:r>
      <w:r w:rsidRPr="00171D30">
        <w:rPr>
          <w:rFonts w:cs="Arial"/>
          <w:b/>
          <w:i/>
          <w:szCs w:val="20"/>
        </w:rPr>
        <w:t>higher entity</w:t>
      </w:r>
      <w:r w:rsidRPr="00171D30">
        <w:rPr>
          <w:rFonts w:cs="Arial"/>
          <w:szCs w:val="20"/>
        </w:rPr>
        <w:t>); or</w:t>
      </w:r>
    </w:p>
    <w:p w14:paraId="014630DE" w14:textId="77777777" w:rsidR="00171D30" w:rsidRPr="00171D30" w:rsidRDefault="00171D30" w:rsidP="00171D30">
      <w:pPr>
        <w:tabs>
          <w:tab w:val="right" w:pos="1985"/>
        </w:tabs>
        <w:spacing w:before="40" w:after="0" w:line="240" w:lineRule="auto"/>
        <w:ind w:left="2098" w:hanging="2098"/>
        <w:rPr>
          <w:rFonts w:cs="Arial"/>
          <w:szCs w:val="20"/>
        </w:rPr>
      </w:pPr>
      <w:r w:rsidRPr="00171D30">
        <w:rPr>
          <w:rFonts w:cs="Arial"/>
          <w:szCs w:val="20"/>
        </w:rPr>
        <w:tab/>
        <w:t>(ii)</w:t>
      </w:r>
      <w:r w:rsidRPr="00171D30">
        <w:rPr>
          <w:rFonts w:cs="Arial"/>
          <w:szCs w:val="20"/>
        </w:rPr>
        <w:tab/>
        <w:t xml:space="preserve">2 or more persons hold an aggregate substantial interest in a corporation (the </w:t>
      </w:r>
      <w:r w:rsidRPr="00171D30">
        <w:rPr>
          <w:rFonts w:cs="Arial"/>
          <w:b/>
          <w:i/>
          <w:szCs w:val="20"/>
        </w:rPr>
        <w:t>higher entity</w:t>
      </w:r>
      <w:r w:rsidRPr="00171D30">
        <w:rPr>
          <w:rFonts w:cs="Arial"/>
          <w:szCs w:val="20"/>
        </w:rPr>
        <w:t>); or</w:t>
      </w:r>
    </w:p>
    <w:p w14:paraId="7CCD6430" w14:textId="77777777" w:rsidR="00171D30" w:rsidRPr="00171D30" w:rsidRDefault="00171D30" w:rsidP="00171D30">
      <w:pPr>
        <w:tabs>
          <w:tab w:val="right" w:pos="1985"/>
        </w:tabs>
        <w:spacing w:before="40" w:after="0" w:line="240" w:lineRule="auto"/>
        <w:ind w:left="2098" w:hanging="2098"/>
        <w:rPr>
          <w:rFonts w:cs="Arial"/>
          <w:szCs w:val="20"/>
        </w:rPr>
      </w:pPr>
      <w:r w:rsidRPr="00171D30">
        <w:rPr>
          <w:rFonts w:cs="Arial"/>
          <w:szCs w:val="20"/>
        </w:rPr>
        <w:tab/>
        <w:t>(iii)</w:t>
      </w:r>
      <w:r w:rsidRPr="00171D30">
        <w:rPr>
          <w:rFonts w:cs="Arial"/>
          <w:szCs w:val="20"/>
        </w:rPr>
        <w:tab/>
        <w:t xml:space="preserve">2 or more persons hold an aggregate substantial interest in a trust (the trustee of which is a </w:t>
      </w:r>
      <w:r w:rsidRPr="00171D30">
        <w:rPr>
          <w:rFonts w:cs="Arial"/>
          <w:b/>
          <w:i/>
          <w:szCs w:val="20"/>
        </w:rPr>
        <w:t>higher entity</w:t>
      </w:r>
      <w:proofErr w:type="gramStart"/>
      <w:r w:rsidRPr="00171D30">
        <w:rPr>
          <w:rFonts w:cs="Arial"/>
          <w:szCs w:val="20"/>
        </w:rPr>
        <w:t>);</w:t>
      </w:r>
      <w:proofErr w:type="gramEnd"/>
    </w:p>
    <w:p w14:paraId="6E897C16"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r>
      <w:r w:rsidRPr="00171D30">
        <w:rPr>
          <w:rFonts w:cs="Arial"/>
          <w:szCs w:val="20"/>
        </w:rPr>
        <w:tab/>
        <w:t>including because of one or more applications of this section; and</w:t>
      </w:r>
    </w:p>
    <w:p w14:paraId="2B6A4251"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(b)</w:t>
      </w:r>
      <w:r w:rsidRPr="00171D30">
        <w:rPr>
          <w:rFonts w:cs="Arial"/>
          <w:szCs w:val="20"/>
        </w:rPr>
        <w:tab/>
        <w:t>the higher entity:</w:t>
      </w:r>
    </w:p>
    <w:p w14:paraId="267EEDAD" w14:textId="77777777" w:rsidR="00171D30" w:rsidRPr="00171D30" w:rsidRDefault="00171D30" w:rsidP="00171D30">
      <w:pPr>
        <w:tabs>
          <w:tab w:val="right" w:pos="1985"/>
        </w:tabs>
        <w:spacing w:before="40" w:after="0" w:line="240" w:lineRule="auto"/>
        <w:ind w:left="2098" w:hanging="2098"/>
        <w:rPr>
          <w:rFonts w:cs="Arial"/>
          <w:szCs w:val="20"/>
        </w:rPr>
      </w:pPr>
      <w:r w:rsidRPr="00171D30">
        <w:rPr>
          <w:rFonts w:cs="Arial"/>
          <w:szCs w:val="20"/>
        </w:rPr>
        <w:tab/>
        <w:t>(</w:t>
      </w:r>
      <w:proofErr w:type="spellStart"/>
      <w:r w:rsidRPr="00171D30">
        <w:rPr>
          <w:rFonts w:cs="Arial"/>
          <w:szCs w:val="20"/>
        </w:rPr>
        <w:t>i</w:t>
      </w:r>
      <w:proofErr w:type="spellEnd"/>
      <w:r w:rsidRPr="00171D30">
        <w:rPr>
          <w:rFonts w:cs="Arial"/>
          <w:szCs w:val="20"/>
        </w:rPr>
        <w:t>)</w:t>
      </w:r>
      <w:r w:rsidRPr="00171D30">
        <w:rPr>
          <w:rFonts w:cs="Arial"/>
          <w:szCs w:val="20"/>
        </w:rPr>
        <w:tab/>
        <w:t xml:space="preserve">is in a position to control all or any of the voting power or potential voting power in a corporation (the </w:t>
      </w:r>
      <w:r w:rsidRPr="00171D30">
        <w:rPr>
          <w:rFonts w:cs="Arial"/>
          <w:b/>
          <w:i/>
          <w:szCs w:val="20"/>
        </w:rPr>
        <w:t>lower entity</w:t>
      </w:r>
      <w:r w:rsidRPr="00171D30">
        <w:rPr>
          <w:rFonts w:cs="Arial"/>
          <w:szCs w:val="20"/>
        </w:rPr>
        <w:t>); or</w:t>
      </w:r>
    </w:p>
    <w:p w14:paraId="6E70CDED" w14:textId="77777777" w:rsidR="00171D30" w:rsidRPr="00171D30" w:rsidRDefault="00171D30" w:rsidP="00171D30">
      <w:pPr>
        <w:tabs>
          <w:tab w:val="right" w:pos="1985"/>
        </w:tabs>
        <w:spacing w:before="40" w:after="0" w:line="240" w:lineRule="auto"/>
        <w:ind w:left="2098" w:hanging="2098"/>
        <w:rPr>
          <w:rFonts w:cs="Arial"/>
          <w:szCs w:val="20"/>
        </w:rPr>
      </w:pPr>
      <w:r w:rsidRPr="00171D30">
        <w:rPr>
          <w:rFonts w:cs="Arial"/>
          <w:szCs w:val="20"/>
        </w:rPr>
        <w:tab/>
        <w:t>(ii)</w:t>
      </w:r>
      <w:r w:rsidRPr="00171D30">
        <w:rPr>
          <w:rFonts w:cs="Arial"/>
          <w:szCs w:val="20"/>
        </w:rPr>
        <w:tab/>
        <w:t xml:space="preserve">holds interests in all or any of the shares in a corporation (the </w:t>
      </w:r>
      <w:r w:rsidRPr="00171D30">
        <w:rPr>
          <w:rFonts w:cs="Arial"/>
          <w:b/>
          <w:i/>
          <w:szCs w:val="20"/>
        </w:rPr>
        <w:t>lower entity</w:t>
      </w:r>
      <w:r w:rsidRPr="00171D30">
        <w:rPr>
          <w:rFonts w:cs="Arial"/>
          <w:szCs w:val="20"/>
        </w:rPr>
        <w:t>); or</w:t>
      </w:r>
    </w:p>
    <w:p w14:paraId="7898F342" w14:textId="77777777" w:rsidR="00171D30" w:rsidRPr="00171D30" w:rsidRDefault="00171D30" w:rsidP="00171D30">
      <w:pPr>
        <w:tabs>
          <w:tab w:val="right" w:pos="1985"/>
        </w:tabs>
        <w:spacing w:before="40" w:after="0" w:line="240" w:lineRule="auto"/>
        <w:ind w:left="2098" w:hanging="2098"/>
        <w:rPr>
          <w:rFonts w:cs="Arial"/>
          <w:szCs w:val="20"/>
        </w:rPr>
      </w:pPr>
      <w:r w:rsidRPr="00171D30">
        <w:rPr>
          <w:rFonts w:cs="Arial"/>
          <w:szCs w:val="20"/>
        </w:rPr>
        <w:tab/>
        <w:t>(iii)</w:t>
      </w:r>
      <w:r w:rsidRPr="00171D30">
        <w:rPr>
          <w:rFonts w:cs="Arial"/>
          <w:szCs w:val="20"/>
        </w:rPr>
        <w:tab/>
        <w:t xml:space="preserve">holds an interest in a trust (the </w:t>
      </w:r>
      <w:r w:rsidRPr="00171D30">
        <w:rPr>
          <w:rFonts w:cs="Arial"/>
          <w:b/>
          <w:i/>
          <w:szCs w:val="20"/>
        </w:rPr>
        <w:t>lower entity</w:t>
      </w:r>
      <w:r w:rsidRPr="00171D30">
        <w:rPr>
          <w:rFonts w:cs="Arial"/>
          <w:szCs w:val="20"/>
        </w:rPr>
        <w:t>).</w:t>
      </w:r>
    </w:p>
    <w:p w14:paraId="1EB9160D" w14:textId="77777777" w:rsidR="00171D30" w:rsidRPr="00171D30" w:rsidRDefault="00171D30" w:rsidP="00171D30">
      <w:pPr>
        <w:tabs>
          <w:tab w:val="right" w:pos="1021"/>
        </w:tabs>
        <w:spacing w:before="180" w:after="0" w:line="240" w:lineRule="auto"/>
        <w:ind w:left="1134" w:hanging="1134"/>
        <w:rPr>
          <w:rFonts w:cs="Arial"/>
          <w:szCs w:val="20"/>
        </w:rPr>
      </w:pPr>
      <w:r w:rsidRPr="00171D30">
        <w:rPr>
          <w:rFonts w:cs="Arial"/>
          <w:szCs w:val="20"/>
        </w:rPr>
        <w:tab/>
        <w:t>(2)</w:t>
      </w:r>
      <w:r w:rsidRPr="00171D30">
        <w:rPr>
          <w:rFonts w:cs="Arial"/>
          <w:szCs w:val="20"/>
        </w:rPr>
        <w:tab/>
        <w:t>For the purposes of this Act:</w:t>
      </w:r>
    </w:p>
    <w:p w14:paraId="3D8FB9EE"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(a)</w:t>
      </w:r>
      <w:r w:rsidRPr="00171D30">
        <w:rPr>
          <w:rFonts w:cs="Arial"/>
          <w:szCs w:val="20"/>
        </w:rPr>
        <w:tab/>
        <w:t>if subparagraph (1)(b)(</w:t>
      </w:r>
      <w:proofErr w:type="spellStart"/>
      <w:r w:rsidRPr="00171D30">
        <w:rPr>
          <w:rFonts w:cs="Arial"/>
          <w:szCs w:val="20"/>
        </w:rPr>
        <w:t>i</w:t>
      </w:r>
      <w:proofErr w:type="spellEnd"/>
      <w:r w:rsidRPr="00171D30">
        <w:rPr>
          <w:rFonts w:cs="Arial"/>
          <w:szCs w:val="20"/>
        </w:rPr>
        <w:t>) applies—the person or persons are taken to be in a position to control the voting power or potential voting power of the lower entity that the higher entity is in a position to control; or</w:t>
      </w:r>
    </w:p>
    <w:p w14:paraId="4DDCA4B2"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(b)</w:t>
      </w:r>
      <w:r w:rsidRPr="00171D30">
        <w:rPr>
          <w:rFonts w:cs="Arial"/>
          <w:szCs w:val="20"/>
        </w:rPr>
        <w:tab/>
        <w:t>if subparagraph (1)(b)(ii) applies—the person or persons are taken to hold the interests in the shares in the lower entity that the higher entity holds; or</w:t>
      </w:r>
    </w:p>
    <w:p w14:paraId="24A71436" w14:textId="77777777" w:rsidR="00171D30" w:rsidRPr="00171D30" w:rsidRDefault="00171D30" w:rsidP="00171D30">
      <w:pPr>
        <w:tabs>
          <w:tab w:val="right" w:pos="1531"/>
        </w:tabs>
        <w:spacing w:before="40" w:line="240" w:lineRule="auto"/>
        <w:ind w:left="1644" w:hanging="1644"/>
        <w:rPr>
          <w:rFonts w:cs="Arial"/>
          <w:szCs w:val="20"/>
        </w:rPr>
      </w:pPr>
      <w:r w:rsidRPr="00171D30">
        <w:rPr>
          <w:rFonts w:cs="Arial"/>
          <w:szCs w:val="20"/>
        </w:rPr>
        <w:tab/>
        <w:t>(c)</w:t>
      </w:r>
      <w:r w:rsidRPr="00171D30">
        <w:rPr>
          <w:rFonts w:cs="Arial"/>
          <w:szCs w:val="20"/>
        </w:rPr>
        <w:tab/>
        <w:t>if subparagraph (1)(b)(iii) applies—the person or persons are taken to hold the interest in the lower entity that the higher entity holds.</w:t>
      </w:r>
    </w:p>
    <w:p w14:paraId="38BF2366" w14:textId="77777777" w:rsidR="00171D30" w:rsidRPr="00171D30" w:rsidRDefault="00171D30" w:rsidP="00171D30">
      <w:pPr>
        <w:keepNext/>
        <w:keepLines/>
        <w:shd w:val="clear" w:color="auto" w:fill="FFFFFF"/>
        <w:spacing w:before="150"/>
        <w:rPr>
          <w:rFonts w:cs="Arial"/>
          <w:szCs w:val="20"/>
        </w:rPr>
      </w:pPr>
      <w:r w:rsidRPr="00171D30">
        <w:rPr>
          <w:rFonts w:cs="Arial"/>
          <w:b/>
          <w:szCs w:val="20"/>
        </w:rPr>
        <w:t xml:space="preserve">(Section 17 of the </w:t>
      </w:r>
      <w:r w:rsidRPr="00171D30">
        <w:rPr>
          <w:rFonts w:cs="Arial"/>
          <w:b/>
          <w:bCs/>
          <w:iCs/>
          <w:color w:val="000000"/>
          <w:szCs w:val="20"/>
        </w:rPr>
        <w:t>Foreign Acquisitions and Takeovers Regulation 2015</w:t>
      </w:r>
      <w:r w:rsidRPr="00171D30">
        <w:rPr>
          <w:rFonts w:cs="Arial"/>
          <w:b/>
          <w:bCs/>
          <w:i/>
          <w:iCs/>
          <w:color w:val="000000"/>
          <w:szCs w:val="20"/>
        </w:rPr>
        <w:t xml:space="preserve"> </w:t>
      </w:r>
      <w:r w:rsidRPr="00171D30">
        <w:rPr>
          <w:rFonts w:cs="Arial"/>
          <w:b/>
          <w:bCs/>
          <w:iCs/>
          <w:color w:val="000000"/>
          <w:szCs w:val="20"/>
        </w:rPr>
        <w:t>(the Regulation))</w:t>
      </w:r>
    </w:p>
    <w:p w14:paraId="17BDDA59" w14:textId="77777777" w:rsidR="00171D30" w:rsidRPr="00171D30" w:rsidRDefault="00171D30" w:rsidP="00171D30">
      <w:pPr>
        <w:keepNext/>
        <w:keepLines/>
        <w:shd w:val="clear" w:color="auto" w:fill="FFFFFF"/>
        <w:spacing w:before="150"/>
        <w:ind w:left="851" w:hanging="284"/>
        <w:rPr>
          <w:rFonts w:cs="Arial"/>
          <w:szCs w:val="20"/>
        </w:rPr>
      </w:pPr>
      <w:r w:rsidRPr="00171D30">
        <w:rPr>
          <w:rFonts w:cs="Arial"/>
          <w:b/>
          <w:i/>
          <w:szCs w:val="20"/>
        </w:rPr>
        <w:t>Foreign government investor</w:t>
      </w:r>
      <w:r w:rsidRPr="00171D30">
        <w:rPr>
          <w:rFonts w:cs="Arial"/>
          <w:i/>
          <w:szCs w:val="20"/>
        </w:rPr>
        <w:t>:</w:t>
      </w:r>
    </w:p>
    <w:p w14:paraId="696E3716" w14:textId="77777777" w:rsidR="00171D30" w:rsidRPr="00171D30" w:rsidRDefault="00171D30" w:rsidP="00171D30">
      <w:pPr>
        <w:shd w:val="clear" w:color="auto" w:fill="FFFFFF"/>
        <w:spacing w:after="120"/>
        <w:ind w:left="851" w:hanging="284"/>
        <w:rPr>
          <w:rFonts w:cs="Arial"/>
          <w:szCs w:val="20"/>
        </w:rPr>
      </w:pPr>
      <w:r w:rsidRPr="00171D30">
        <w:rPr>
          <w:rFonts w:cs="Arial"/>
          <w:szCs w:val="20"/>
        </w:rPr>
        <w:t xml:space="preserve">For the definition of </w:t>
      </w:r>
      <w:r w:rsidRPr="00171D30">
        <w:rPr>
          <w:rFonts w:cs="Arial"/>
          <w:b/>
          <w:bCs/>
          <w:i/>
          <w:iCs/>
          <w:szCs w:val="20"/>
        </w:rPr>
        <w:t>foreign government investor</w:t>
      </w:r>
      <w:r w:rsidRPr="00171D30">
        <w:rPr>
          <w:rFonts w:cs="Arial"/>
          <w:bCs/>
          <w:i/>
          <w:iCs/>
          <w:szCs w:val="20"/>
        </w:rPr>
        <w:t xml:space="preserve"> </w:t>
      </w:r>
      <w:r w:rsidRPr="00171D30">
        <w:rPr>
          <w:rFonts w:cs="Arial"/>
          <w:szCs w:val="20"/>
        </w:rPr>
        <w:t xml:space="preserve">in section 4 of the Act, a person is a </w:t>
      </w:r>
      <w:r w:rsidRPr="00171D30">
        <w:rPr>
          <w:rFonts w:cs="Arial"/>
          <w:b/>
          <w:bCs/>
          <w:i/>
          <w:iCs/>
          <w:szCs w:val="20"/>
        </w:rPr>
        <w:t>foreign government investor</w:t>
      </w:r>
      <w:r w:rsidRPr="00171D30">
        <w:rPr>
          <w:rFonts w:cs="Arial"/>
          <w:szCs w:val="20"/>
        </w:rPr>
        <w:t xml:space="preserve"> if the person is:</w:t>
      </w:r>
    </w:p>
    <w:p w14:paraId="44442E05" w14:textId="77777777" w:rsidR="00171D30" w:rsidRPr="00171D30" w:rsidRDefault="00171D30" w:rsidP="00171D30">
      <w:pPr>
        <w:shd w:val="clear" w:color="auto" w:fill="FFFFFF"/>
        <w:spacing w:after="120"/>
        <w:ind w:left="567"/>
        <w:rPr>
          <w:rFonts w:cs="Arial"/>
          <w:szCs w:val="20"/>
        </w:rPr>
      </w:pPr>
      <w:r w:rsidRPr="00171D30">
        <w:rPr>
          <w:rFonts w:cs="Arial"/>
          <w:szCs w:val="20"/>
        </w:rPr>
        <w:t>       (a)  a foreign government or separate government entity; or</w:t>
      </w:r>
    </w:p>
    <w:p w14:paraId="06A6464B" w14:textId="77777777" w:rsidR="00171D30" w:rsidRPr="00171D30" w:rsidRDefault="00171D30" w:rsidP="00171D30">
      <w:pPr>
        <w:shd w:val="clear" w:color="auto" w:fill="FFFFFF"/>
        <w:spacing w:after="120"/>
        <w:ind w:left="567"/>
        <w:rPr>
          <w:rFonts w:cs="Arial"/>
          <w:szCs w:val="20"/>
        </w:rPr>
      </w:pPr>
      <w:r w:rsidRPr="00171D30">
        <w:rPr>
          <w:rFonts w:cs="Arial"/>
          <w:szCs w:val="20"/>
        </w:rPr>
        <w:t>        (b)  a corporation in which:</w:t>
      </w:r>
    </w:p>
    <w:p w14:paraId="33E361DF" w14:textId="77777777" w:rsidR="00171D30" w:rsidRPr="00171D30" w:rsidRDefault="00171D30" w:rsidP="00171D30">
      <w:pPr>
        <w:shd w:val="clear" w:color="auto" w:fill="FFFFFF"/>
        <w:spacing w:after="120"/>
        <w:ind w:left="1701" w:hanging="1276"/>
        <w:rPr>
          <w:rFonts w:cs="Arial"/>
          <w:szCs w:val="20"/>
        </w:rPr>
      </w:pPr>
      <w:r w:rsidRPr="00171D30">
        <w:rPr>
          <w:rFonts w:cs="Arial"/>
          <w:szCs w:val="20"/>
        </w:rPr>
        <w:t>                  (</w:t>
      </w:r>
      <w:proofErr w:type="spellStart"/>
      <w:r w:rsidRPr="00171D30">
        <w:rPr>
          <w:rFonts w:cs="Arial"/>
          <w:szCs w:val="20"/>
        </w:rPr>
        <w:t>i</w:t>
      </w:r>
      <w:proofErr w:type="spellEnd"/>
      <w:r w:rsidRPr="00171D30">
        <w:rPr>
          <w:rFonts w:cs="Arial"/>
          <w:szCs w:val="20"/>
        </w:rPr>
        <w:t>)  a foreign government or separate government entity, alone or together with one or more associates, holds a substantial interest; or</w:t>
      </w:r>
    </w:p>
    <w:p w14:paraId="352E6B73" w14:textId="77777777" w:rsidR="00171D30" w:rsidRPr="00171D30" w:rsidRDefault="00171D30" w:rsidP="00171D30">
      <w:pPr>
        <w:shd w:val="clear" w:color="auto" w:fill="FFFFFF"/>
        <w:spacing w:after="120"/>
        <w:ind w:left="1701" w:hanging="1276"/>
        <w:rPr>
          <w:rFonts w:cs="Arial"/>
          <w:szCs w:val="20"/>
        </w:rPr>
      </w:pPr>
      <w:r w:rsidRPr="00171D30">
        <w:rPr>
          <w:rFonts w:cs="Arial"/>
          <w:szCs w:val="20"/>
        </w:rPr>
        <w:t>                  (ii)  foreign governments or separate government entities of more than one foreign country (or parts of more than one foreign country), together with any one or more associates, hold an aggregate substantial interest; or</w:t>
      </w:r>
    </w:p>
    <w:p w14:paraId="50DCE089" w14:textId="77777777" w:rsidR="00171D30" w:rsidRPr="00171D30" w:rsidRDefault="00171D30" w:rsidP="00171D30">
      <w:pPr>
        <w:shd w:val="clear" w:color="auto" w:fill="FFFFFF"/>
        <w:spacing w:after="120"/>
        <w:ind w:left="709" w:hanging="426"/>
        <w:rPr>
          <w:rFonts w:cs="Arial"/>
          <w:szCs w:val="20"/>
        </w:rPr>
      </w:pPr>
      <w:r w:rsidRPr="00171D30">
        <w:rPr>
          <w:rFonts w:cs="Arial"/>
          <w:szCs w:val="20"/>
        </w:rPr>
        <w:t>              (c)  the trustee of a trust in which:</w:t>
      </w:r>
      <w:r w:rsidRPr="00171D30">
        <w:rPr>
          <w:rFonts w:cs="Arial"/>
          <w:szCs w:val="20"/>
        </w:rPr>
        <w:tab/>
      </w:r>
    </w:p>
    <w:p w14:paraId="449EC5BB" w14:textId="77777777" w:rsidR="00171D30" w:rsidRPr="00171D30" w:rsidRDefault="00171D30" w:rsidP="00171D30">
      <w:pPr>
        <w:shd w:val="clear" w:color="auto" w:fill="FFFFFF"/>
        <w:spacing w:after="120"/>
        <w:ind w:left="1701" w:hanging="261"/>
        <w:rPr>
          <w:rFonts w:cs="Arial"/>
          <w:szCs w:val="20"/>
        </w:rPr>
      </w:pPr>
      <w:r w:rsidRPr="00171D30">
        <w:rPr>
          <w:rFonts w:cs="Arial"/>
          <w:szCs w:val="20"/>
        </w:rPr>
        <w:t>(</w:t>
      </w:r>
      <w:proofErr w:type="spellStart"/>
      <w:r w:rsidRPr="00171D30">
        <w:rPr>
          <w:rFonts w:cs="Arial"/>
          <w:szCs w:val="20"/>
        </w:rPr>
        <w:t>i</w:t>
      </w:r>
      <w:proofErr w:type="spellEnd"/>
      <w:r w:rsidRPr="00171D30">
        <w:rPr>
          <w:rFonts w:cs="Arial"/>
          <w:szCs w:val="20"/>
        </w:rPr>
        <w:t xml:space="preserve">) a foreign government or separate government entity, alone or together with one or </w:t>
      </w:r>
      <w:proofErr w:type="gramStart"/>
      <w:r w:rsidRPr="00171D30">
        <w:rPr>
          <w:rFonts w:cs="Arial"/>
          <w:szCs w:val="20"/>
        </w:rPr>
        <w:t>more  associates</w:t>
      </w:r>
      <w:proofErr w:type="gramEnd"/>
      <w:r w:rsidRPr="00171D30">
        <w:rPr>
          <w:rFonts w:cs="Arial"/>
          <w:szCs w:val="20"/>
        </w:rPr>
        <w:t>, holds a substantial interest; or</w:t>
      </w:r>
    </w:p>
    <w:p w14:paraId="1A14683C" w14:textId="77777777" w:rsidR="00171D30" w:rsidRPr="00171D30" w:rsidRDefault="00171D30" w:rsidP="00171D30">
      <w:pPr>
        <w:shd w:val="clear" w:color="auto" w:fill="FFFFFF"/>
        <w:spacing w:after="120"/>
        <w:ind w:left="1701" w:hanging="261"/>
        <w:rPr>
          <w:rFonts w:cs="Arial"/>
          <w:szCs w:val="20"/>
        </w:rPr>
      </w:pPr>
      <w:r w:rsidRPr="00171D30">
        <w:rPr>
          <w:rFonts w:cs="Arial"/>
          <w:szCs w:val="20"/>
        </w:rPr>
        <w:t>(ii)  foreign governments or separate government entities of more than one foreign country (or parts of more than one foreign country), together with any one or more associates, hold an aggregate substantial interest; or</w:t>
      </w:r>
    </w:p>
    <w:p w14:paraId="1BEF7C59" w14:textId="77777777" w:rsidR="00171D30" w:rsidRPr="00171D30" w:rsidRDefault="00171D30" w:rsidP="00171D30">
      <w:pPr>
        <w:shd w:val="clear" w:color="auto" w:fill="FFFFFF"/>
        <w:spacing w:after="120"/>
        <w:ind w:left="567"/>
        <w:rPr>
          <w:rFonts w:cs="Arial"/>
          <w:szCs w:val="20"/>
        </w:rPr>
      </w:pPr>
      <w:r w:rsidRPr="00171D30">
        <w:rPr>
          <w:rFonts w:cs="Arial"/>
          <w:szCs w:val="20"/>
        </w:rPr>
        <w:t>       (d)  the general partner of a limited partnership in which:</w:t>
      </w:r>
    </w:p>
    <w:p w14:paraId="4D821ECC" w14:textId="77777777" w:rsidR="00171D30" w:rsidRPr="00171D30" w:rsidRDefault="00171D30" w:rsidP="00171D30">
      <w:pPr>
        <w:shd w:val="clear" w:color="auto" w:fill="FFFFFF"/>
        <w:spacing w:after="120"/>
        <w:ind w:left="1701" w:hanging="261"/>
        <w:rPr>
          <w:rFonts w:cs="Arial"/>
          <w:szCs w:val="20"/>
        </w:rPr>
      </w:pPr>
      <w:r w:rsidRPr="00171D30">
        <w:rPr>
          <w:rFonts w:cs="Arial"/>
          <w:szCs w:val="20"/>
        </w:rPr>
        <w:t>(</w:t>
      </w:r>
      <w:proofErr w:type="spellStart"/>
      <w:r w:rsidRPr="00171D30">
        <w:rPr>
          <w:rFonts w:cs="Arial"/>
          <w:szCs w:val="20"/>
        </w:rPr>
        <w:t>i</w:t>
      </w:r>
      <w:proofErr w:type="spellEnd"/>
      <w:r w:rsidRPr="00171D30">
        <w:rPr>
          <w:rFonts w:cs="Arial"/>
          <w:szCs w:val="20"/>
        </w:rPr>
        <w:t>)</w:t>
      </w:r>
      <w:r w:rsidRPr="00171D30">
        <w:rPr>
          <w:rFonts w:cs="Arial"/>
          <w:szCs w:val="20"/>
        </w:rPr>
        <w:tab/>
        <w:t>a foreign government or separate government entity, alone or together with one or more associates, holds an interest of at least 20%; or</w:t>
      </w:r>
    </w:p>
    <w:p w14:paraId="13E4685B" w14:textId="77777777" w:rsidR="00171D30" w:rsidRPr="00171D30" w:rsidRDefault="00171D30" w:rsidP="00171D30">
      <w:pPr>
        <w:shd w:val="clear" w:color="auto" w:fill="FFFFFF"/>
        <w:spacing w:after="120"/>
        <w:ind w:left="1701" w:hanging="261"/>
        <w:rPr>
          <w:rFonts w:cs="Arial"/>
          <w:szCs w:val="20"/>
        </w:rPr>
      </w:pPr>
      <w:r w:rsidRPr="00171D30">
        <w:rPr>
          <w:rFonts w:cs="Arial"/>
          <w:szCs w:val="20"/>
        </w:rPr>
        <w:t>(ii) foreign governments or separate government entities of more than one foreign country (or parts of more than one foreign country), together with any one or more associates, old an aggregate interest of at least 40%; or</w:t>
      </w:r>
    </w:p>
    <w:p w14:paraId="3C842248" w14:textId="77777777" w:rsidR="00171D30" w:rsidRPr="00171D30" w:rsidRDefault="00171D30" w:rsidP="00171D30">
      <w:pPr>
        <w:numPr>
          <w:ilvl w:val="0"/>
          <w:numId w:val="30"/>
        </w:numPr>
        <w:shd w:val="clear" w:color="auto" w:fill="FFFFFF"/>
        <w:spacing w:after="120" w:line="240" w:lineRule="auto"/>
        <w:ind w:left="1276"/>
        <w:contextualSpacing/>
        <w:rPr>
          <w:rFonts w:cs="Arial"/>
          <w:szCs w:val="20"/>
          <w:lang w:val="en-US"/>
        </w:rPr>
      </w:pPr>
      <w:r w:rsidRPr="00171D30">
        <w:rPr>
          <w:rFonts w:cs="Arial"/>
          <w:szCs w:val="20"/>
          <w:lang w:val="en-US"/>
        </w:rPr>
        <w:t>a corporation, trustee or partner of a kind described in paragraph (b), (c) or (d) assuming the references to foreign government (or foreign governments) in those paragraphs included references to a foreign government investor (or foreign government investors):</w:t>
      </w:r>
    </w:p>
    <w:p w14:paraId="3423F8FA" w14:textId="77777777" w:rsidR="00171D30" w:rsidRPr="00171D30" w:rsidRDefault="00171D30" w:rsidP="00171D30">
      <w:pPr>
        <w:shd w:val="clear" w:color="auto" w:fill="FFFFFF"/>
        <w:spacing w:after="120"/>
        <w:ind w:left="1701" w:hanging="261"/>
        <w:rPr>
          <w:rFonts w:cs="Arial"/>
          <w:szCs w:val="20"/>
        </w:rPr>
      </w:pPr>
      <w:r w:rsidRPr="00171D30">
        <w:rPr>
          <w:rFonts w:cs="Arial"/>
          <w:szCs w:val="20"/>
        </w:rPr>
        <w:t>(</w:t>
      </w:r>
      <w:proofErr w:type="spellStart"/>
      <w:r w:rsidRPr="00171D30">
        <w:rPr>
          <w:rFonts w:cs="Arial"/>
          <w:szCs w:val="20"/>
        </w:rPr>
        <w:t>i</w:t>
      </w:r>
      <w:proofErr w:type="spellEnd"/>
      <w:r w:rsidRPr="00171D30">
        <w:rPr>
          <w:rFonts w:cs="Arial"/>
          <w:szCs w:val="20"/>
        </w:rPr>
        <w:t>) within the meaning of those paragraphs; or</w:t>
      </w:r>
    </w:p>
    <w:p w14:paraId="631359F9" w14:textId="77777777" w:rsidR="00171D30" w:rsidRPr="00171D30" w:rsidRDefault="00171D30" w:rsidP="00171D30">
      <w:pPr>
        <w:shd w:val="clear" w:color="auto" w:fill="FFFFFF"/>
        <w:spacing w:before="100" w:beforeAutospacing="1" w:after="100" w:afterAutospacing="1"/>
        <w:ind w:left="1701" w:hanging="261"/>
        <w:rPr>
          <w:rFonts w:cs="Arial"/>
          <w:szCs w:val="20"/>
        </w:rPr>
      </w:pPr>
      <w:r w:rsidRPr="00171D30">
        <w:rPr>
          <w:rFonts w:cs="Arial"/>
          <w:szCs w:val="20"/>
        </w:rPr>
        <w:t>(ii) as a result of a previous application of this paragraph.</w:t>
      </w:r>
    </w:p>
    <w:p w14:paraId="786F8669" w14:textId="77777777" w:rsidR="00171D30" w:rsidRPr="00171D30" w:rsidRDefault="00171D30" w:rsidP="00171D30">
      <w:pPr>
        <w:spacing w:before="180" w:after="0" w:line="240" w:lineRule="auto"/>
        <w:rPr>
          <w:rFonts w:cs="Arial"/>
          <w:b/>
          <w:szCs w:val="20"/>
        </w:rPr>
      </w:pPr>
      <w:r w:rsidRPr="00171D30">
        <w:rPr>
          <w:rFonts w:cs="Arial"/>
          <w:b/>
          <w:szCs w:val="20"/>
        </w:rPr>
        <w:t>(Section 18 of the Regulation)</w:t>
      </w:r>
    </w:p>
    <w:p w14:paraId="69846BFE" w14:textId="77777777" w:rsidR="00171D30" w:rsidRPr="00171D30" w:rsidRDefault="00171D30" w:rsidP="00B95A9C">
      <w:pPr>
        <w:spacing w:before="280" w:after="0" w:line="240" w:lineRule="auto"/>
        <w:outlineLvl w:val="4"/>
        <w:rPr>
          <w:rFonts w:cs="Arial"/>
          <w:b/>
          <w:kern w:val="28"/>
          <w:szCs w:val="20"/>
        </w:rPr>
      </w:pPr>
      <w:bookmarkStart w:id="118" w:name="_Toc502652038"/>
      <w:proofErr w:type="gramStart"/>
      <w:r w:rsidRPr="00171D30">
        <w:rPr>
          <w:rFonts w:cs="Arial"/>
          <w:b/>
          <w:kern w:val="28"/>
          <w:szCs w:val="20"/>
        </w:rPr>
        <w:t>18  Meaning</w:t>
      </w:r>
      <w:proofErr w:type="gramEnd"/>
      <w:r w:rsidRPr="00171D30">
        <w:rPr>
          <w:rFonts w:cs="Arial"/>
          <w:b/>
          <w:kern w:val="28"/>
          <w:szCs w:val="20"/>
        </w:rPr>
        <w:t xml:space="preserve"> of </w:t>
      </w:r>
      <w:r w:rsidRPr="00171D30">
        <w:rPr>
          <w:rFonts w:cs="Arial"/>
          <w:b/>
          <w:i/>
          <w:kern w:val="28"/>
          <w:szCs w:val="20"/>
        </w:rPr>
        <w:t>foreign person</w:t>
      </w:r>
      <w:bookmarkEnd w:id="118"/>
    </w:p>
    <w:p w14:paraId="182FE73D" w14:textId="77777777" w:rsidR="00171D30" w:rsidRPr="00171D30" w:rsidRDefault="00171D30" w:rsidP="00171D30">
      <w:pPr>
        <w:spacing w:before="240" w:after="0" w:line="240" w:lineRule="auto"/>
        <w:ind w:left="426"/>
        <w:rPr>
          <w:rFonts w:cs="Arial"/>
          <w:i/>
          <w:szCs w:val="20"/>
        </w:rPr>
      </w:pPr>
      <w:r w:rsidRPr="00171D30">
        <w:rPr>
          <w:rFonts w:cs="Arial"/>
          <w:i/>
          <w:szCs w:val="20"/>
        </w:rPr>
        <w:t>General partners of limited partnerships</w:t>
      </w:r>
    </w:p>
    <w:p w14:paraId="00C6BB39" w14:textId="77777777" w:rsidR="00171D30" w:rsidRPr="00171D30" w:rsidRDefault="00171D30" w:rsidP="00171D30">
      <w:pPr>
        <w:tabs>
          <w:tab w:val="right" w:pos="1021"/>
        </w:tabs>
        <w:spacing w:before="180" w:after="0" w:line="240" w:lineRule="auto"/>
        <w:ind w:left="1134" w:hanging="1134"/>
        <w:rPr>
          <w:rFonts w:cs="Arial"/>
          <w:szCs w:val="20"/>
        </w:rPr>
      </w:pPr>
      <w:r w:rsidRPr="00171D30">
        <w:rPr>
          <w:rFonts w:cs="Arial"/>
          <w:szCs w:val="20"/>
        </w:rPr>
        <w:tab/>
        <w:t>(1)</w:t>
      </w:r>
      <w:r w:rsidRPr="00171D30">
        <w:rPr>
          <w:rFonts w:cs="Arial"/>
          <w:szCs w:val="20"/>
        </w:rPr>
        <w:tab/>
        <w:t xml:space="preserve">For paragraph (g) of the definition of </w:t>
      </w:r>
      <w:r w:rsidRPr="00171D30">
        <w:rPr>
          <w:rFonts w:cs="Arial"/>
          <w:b/>
          <w:i/>
          <w:szCs w:val="20"/>
        </w:rPr>
        <w:t>foreign person</w:t>
      </w:r>
      <w:r w:rsidRPr="00171D30">
        <w:rPr>
          <w:rFonts w:cs="Arial"/>
          <w:szCs w:val="20"/>
        </w:rPr>
        <w:t xml:space="preserve"> in section 4 of the Act, a person is a </w:t>
      </w:r>
      <w:r w:rsidRPr="00171D30">
        <w:rPr>
          <w:rFonts w:cs="Arial"/>
          <w:b/>
          <w:i/>
          <w:szCs w:val="20"/>
        </w:rPr>
        <w:t>foreign person</w:t>
      </w:r>
      <w:r w:rsidRPr="00171D30">
        <w:rPr>
          <w:rFonts w:cs="Arial"/>
          <w:szCs w:val="20"/>
        </w:rPr>
        <w:t xml:space="preserve"> if:</w:t>
      </w:r>
    </w:p>
    <w:p w14:paraId="630925B0"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(a)</w:t>
      </w:r>
      <w:r w:rsidRPr="00171D30">
        <w:rPr>
          <w:rFonts w:cs="Arial"/>
          <w:szCs w:val="20"/>
        </w:rPr>
        <w:tab/>
        <w:t>the person is a general partner of a limited partnership; and</w:t>
      </w:r>
    </w:p>
    <w:p w14:paraId="70F7C2AD"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(b)</w:t>
      </w:r>
      <w:r w:rsidRPr="00171D30">
        <w:rPr>
          <w:rFonts w:cs="Arial"/>
          <w:szCs w:val="20"/>
        </w:rPr>
        <w:tab/>
        <w:t>either:</w:t>
      </w:r>
    </w:p>
    <w:p w14:paraId="6BF4682C" w14:textId="77777777" w:rsidR="00171D30" w:rsidRPr="00171D30" w:rsidRDefault="00171D30" w:rsidP="00171D30">
      <w:pPr>
        <w:tabs>
          <w:tab w:val="right" w:pos="1985"/>
        </w:tabs>
        <w:spacing w:before="40" w:after="0" w:line="240" w:lineRule="auto"/>
        <w:ind w:left="2098" w:hanging="2098"/>
        <w:rPr>
          <w:rFonts w:cs="Arial"/>
          <w:szCs w:val="20"/>
        </w:rPr>
      </w:pPr>
      <w:r w:rsidRPr="00171D30">
        <w:rPr>
          <w:rFonts w:cs="Arial"/>
          <w:szCs w:val="20"/>
        </w:rPr>
        <w:tab/>
        <w:t>(</w:t>
      </w:r>
      <w:proofErr w:type="spellStart"/>
      <w:r w:rsidRPr="00171D30">
        <w:rPr>
          <w:rFonts w:cs="Arial"/>
          <w:szCs w:val="20"/>
        </w:rPr>
        <w:t>i</w:t>
      </w:r>
      <w:proofErr w:type="spellEnd"/>
      <w:r w:rsidRPr="00171D30">
        <w:rPr>
          <w:rFonts w:cs="Arial"/>
          <w:szCs w:val="20"/>
        </w:rPr>
        <w:t>)</w:t>
      </w:r>
      <w:r w:rsidRPr="00171D30">
        <w:rPr>
          <w:rFonts w:cs="Arial"/>
          <w:szCs w:val="20"/>
        </w:rPr>
        <w:tab/>
        <w:t>an individual not ordinarily resident in Australia, a foreign corporation or a foreign government holds an interest of at least 20% in the limited partnership; or</w:t>
      </w:r>
    </w:p>
    <w:p w14:paraId="1A4D4D9B" w14:textId="77777777" w:rsidR="00171D30" w:rsidRPr="00171D30" w:rsidRDefault="00171D30" w:rsidP="00171D30">
      <w:pPr>
        <w:tabs>
          <w:tab w:val="right" w:pos="1985"/>
        </w:tabs>
        <w:spacing w:before="40" w:after="0" w:line="240" w:lineRule="auto"/>
        <w:ind w:left="2098" w:hanging="2098"/>
        <w:rPr>
          <w:rFonts w:cs="Arial"/>
          <w:szCs w:val="20"/>
        </w:rPr>
      </w:pPr>
      <w:r w:rsidRPr="00171D30">
        <w:rPr>
          <w:rFonts w:cs="Arial"/>
          <w:szCs w:val="20"/>
        </w:rPr>
        <w:tab/>
        <w:t>(ii)</w:t>
      </w:r>
      <w:r w:rsidRPr="00171D30">
        <w:rPr>
          <w:rFonts w:cs="Arial"/>
          <w:szCs w:val="20"/>
        </w:rPr>
        <w:tab/>
        <w:t>2 or more persons, each of whom is an individual not ordinarily resident in Australia, a foreign corporation or a foreign government hold an aggregate interest of at least 40% in the limited partnership.</w:t>
      </w:r>
    </w:p>
    <w:p w14:paraId="22A70342" w14:textId="77777777" w:rsidR="00171D30" w:rsidRPr="00171D30" w:rsidRDefault="00171D30" w:rsidP="00171D30">
      <w:pPr>
        <w:spacing w:before="240" w:after="0" w:line="240" w:lineRule="auto"/>
        <w:ind w:left="709"/>
        <w:rPr>
          <w:rFonts w:cs="Arial"/>
          <w:i/>
          <w:szCs w:val="20"/>
        </w:rPr>
      </w:pPr>
      <w:r w:rsidRPr="00171D30">
        <w:rPr>
          <w:rFonts w:cs="Arial"/>
          <w:i/>
          <w:szCs w:val="20"/>
        </w:rPr>
        <w:t>Certain foreign government investors</w:t>
      </w:r>
    </w:p>
    <w:p w14:paraId="7C34CD8B" w14:textId="77777777" w:rsidR="00171D30" w:rsidRPr="00171D30" w:rsidRDefault="00171D30" w:rsidP="00171D30">
      <w:pPr>
        <w:tabs>
          <w:tab w:val="right" w:pos="1021"/>
        </w:tabs>
        <w:spacing w:before="180" w:after="0" w:line="240" w:lineRule="auto"/>
        <w:ind w:left="1134" w:hanging="1134"/>
        <w:rPr>
          <w:rFonts w:cs="Arial"/>
          <w:szCs w:val="20"/>
        </w:rPr>
      </w:pPr>
      <w:r w:rsidRPr="00171D30">
        <w:rPr>
          <w:rFonts w:cs="Arial"/>
          <w:szCs w:val="20"/>
        </w:rPr>
        <w:tab/>
        <w:t>(2)</w:t>
      </w:r>
      <w:r w:rsidRPr="00171D30">
        <w:rPr>
          <w:rFonts w:cs="Arial"/>
          <w:szCs w:val="20"/>
        </w:rPr>
        <w:tab/>
        <w:t xml:space="preserve">For paragraph (g) of the definition of </w:t>
      </w:r>
      <w:r w:rsidRPr="00171D30">
        <w:rPr>
          <w:rFonts w:cs="Arial"/>
          <w:b/>
          <w:i/>
          <w:szCs w:val="20"/>
        </w:rPr>
        <w:t>foreign person</w:t>
      </w:r>
      <w:r w:rsidRPr="00171D30">
        <w:rPr>
          <w:rFonts w:cs="Arial"/>
          <w:szCs w:val="20"/>
        </w:rPr>
        <w:t xml:space="preserve"> in section 4 of the Act, a person is a </w:t>
      </w:r>
      <w:r w:rsidRPr="00171D30">
        <w:rPr>
          <w:rFonts w:cs="Arial"/>
          <w:b/>
          <w:i/>
          <w:szCs w:val="20"/>
        </w:rPr>
        <w:t xml:space="preserve">foreign person </w:t>
      </w:r>
      <w:r w:rsidRPr="00171D30">
        <w:rPr>
          <w:rFonts w:cs="Arial"/>
          <w:szCs w:val="20"/>
        </w:rPr>
        <w:t>if:</w:t>
      </w:r>
    </w:p>
    <w:p w14:paraId="10BE5425"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(a)</w:t>
      </w:r>
      <w:r w:rsidRPr="00171D30">
        <w:rPr>
          <w:rFonts w:cs="Arial"/>
          <w:szCs w:val="20"/>
        </w:rPr>
        <w:tab/>
        <w:t>the person is a foreign government investor; and</w:t>
      </w:r>
    </w:p>
    <w:p w14:paraId="70AED2A6" w14:textId="77777777" w:rsidR="00171D30" w:rsidRPr="00171D30" w:rsidRDefault="00171D30" w:rsidP="00171D30">
      <w:pPr>
        <w:tabs>
          <w:tab w:val="right" w:pos="1531"/>
        </w:tabs>
        <w:spacing w:before="40" w:after="0" w:line="240" w:lineRule="auto"/>
        <w:ind w:left="1644" w:hanging="1644"/>
        <w:rPr>
          <w:rFonts w:cs="Arial"/>
          <w:szCs w:val="20"/>
        </w:rPr>
      </w:pPr>
      <w:r w:rsidRPr="00171D30">
        <w:rPr>
          <w:rFonts w:cs="Arial"/>
          <w:szCs w:val="20"/>
        </w:rPr>
        <w:tab/>
        <w:t>(b)</w:t>
      </w:r>
      <w:r w:rsidRPr="00171D30">
        <w:rPr>
          <w:rFonts w:cs="Arial"/>
          <w:szCs w:val="20"/>
        </w:rPr>
        <w:tab/>
        <w:t>apart from this subsection, the person would not be a foreign person.</w:t>
      </w:r>
    </w:p>
    <w:p w14:paraId="7DD427E2" w14:textId="77777777" w:rsidR="00171D30" w:rsidRPr="00171D30" w:rsidRDefault="00171D30" w:rsidP="00171D30">
      <w:pPr>
        <w:spacing w:before="180" w:after="0" w:line="240" w:lineRule="auto"/>
        <w:rPr>
          <w:rFonts w:cs="Arial"/>
          <w:b/>
          <w:szCs w:val="20"/>
        </w:rPr>
      </w:pPr>
      <w:r w:rsidRPr="00171D30">
        <w:rPr>
          <w:rFonts w:cs="Arial"/>
          <w:b/>
          <w:szCs w:val="20"/>
        </w:rPr>
        <w:t>(Section 6 of the BSA)</w:t>
      </w:r>
    </w:p>
    <w:p w14:paraId="4F0AF36D" w14:textId="77777777" w:rsidR="00171D30" w:rsidRPr="00171D30" w:rsidRDefault="00171D30" w:rsidP="00171D30">
      <w:pPr>
        <w:spacing w:before="180" w:after="0" w:line="240" w:lineRule="auto"/>
        <w:ind w:left="567"/>
        <w:rPr>
          <w:rFonts w:cs="Arial"/>
          <w:szCs w:val="20"/>
        </w:rPr>
      </w:pPr>
      <w:r w:rsidRPr="00171D30">
        <w:rPr>
          <w:rFonts w:cs="Arial"/>
          <w:b/>
          <w:i/>
          <w:szCs w:val="20"/>
        </w:rPr>
        <w:t>Company interests</w:t>
      </w:r>
      <w:r w:rsidRPr="00171D30">
        <w:rPr>
          <w:rFonts w:cs="Arial"/>
          <w:szCs w:val="20"/>
        </w:rPr>
        <w:t>, in relation to person who has a shareholding interest, a voting interest, a dividend interest or a winding</w:t>
      </w:r>
      <w:r w:rsidRPr="00171D30">
        <w:rPr>
          <w:rFonts w:cs="Arial"/>
          <w:szCs w:val="20"/>
        </w:rPr>
        <w:noBreakHyphen/>
        <w:t>up interest in a company, means the percentage of that interest or, if the person has 2 or more of those interests, whichever of those interests has the greater or greatest percentage (Section 6 of the BSA).</w:t>
      </w:r>
    </w:p>
    <w:p w14:paraId="7F2E48F4" w14:textId="79F36AC7" w:rsidR="00171D30" w:rsidRDefault="00171D30" w:rsidP="00B95A9C">
      <w:pPr>
        <w:keepNext/>
        <w:keepLines/>
        <w:spacing w:before="280" w:line="240" w:lineRule="auto"/>
        <w:outlineLvl w:val="4"/>
        <w:rPr>
          <w:rFonts w:cs="Arial"/>
          <w:b/>
          <w:kern w:val="28"/>
          <w:szCs w:val="20"/>
        </w:rPr>
      </w:pPr>
      <w:r w:rsidRPr="00B95A9C">
        <w:rPr>
          <w:rFonts w:cs="Arial"/>
          <w:b/>
          <w:kern w:val="28"/>
          <w:szCs w:val="20"/>
        </w:rPr>
        <w:t>(Section 8 of the BSA)</w:t>
      </w:r>
    </w:p>
    <w:p w14:paraId="2DB1B194" w14:textId="77777777" w:rsidR="00171D30" w:rsidRPr="00171D30" w:rsidRDefault="00171D30" w:rsidP="00B95A9C">
      <w:pPr>
        <w:pStyle w:val="Heading3"/>
      </w:pPr>
      <w:bookmarkStart w:id="119" w:name="_Toc50038441"/>
      <w:r w:rsidRPr="00171D30">
        <w:t>Interpretation of shareholding interests, voting interests, dividend interests and winding</w:t>
      </w:r>
      <w:r w:rsidRPr="00171D30">
        <w:noBreakHyphen/>
        <w:t>up interests (section 8 of the BSA)</w:t>
      </w:r>
      <w:bookmarkEnd w:id="119"/>
    </w:p>
    <w:p w14:paraId="14F634D7" w14:textId="77777777" w:rsidR="00171D30" w:rsidRPr="00171D30" w:rsidRDefault="00171D30" w:rsidP="00B95A9C">
      <w:pPr>
        <w:keepNext/>
        <w:keepLines/>
        <w:numPr>
          <w:ilvl w:val="2"/>
          <w:numId w:val="22"/>
        </w:numPr>
        <w:spacing w:before="180" w:after="0" w:line="240" w:lineRule="auto"/>
        <w:ind w:left="1276"/>
        <w:rPr>
          <w:rFonts w:cs="Arial"/>
          <w:szCs w:val="20"/>
        </w:rPr>
      </w:pPr>
      <w:r w:rsidRPr="00171D30">
        <w:rPr>
          <w:rFonts w:cs="Arial"/>
          <w:szCs w:val="20"/>
        </w:rPr>
        <w:t>For the purposes of this Act:</w:t>
      </w:r>
    </w:p>
    <w:p w14:paraId="4455C6D1" w14:textId="77777777" w:rsidR="00171D30" w:rsidRPr="00171D30" w:rsidRDefault="00171D30" w:rsidP="00B95A9C">
      <w:pPr>
        <w:keepNext/>
        <w:keepLines/>
        <w:numPr>
          <w:ilvl w:val="0"/>
          <w:numId w:val="26"/>
        </w:numPr>
        <w:spacing w:before="40" w:after="0" w:line="240" w:lineRule="auto"/>
        <w:ind w:left="1418"/>
        <w:rPr>
          <w:rFonts w:cs="Arial"/>
          <w:szCs w:val="20"/>
        </w:rPr>
      </w:pPr>
      <w:r w:rsidRPr="00171D30">
        <w:rPr>
          <w:rFonts w:cs="Arial"/>
          <w:szCs w:val="20"/>
        </w:rPr>
        <w:t>a person has a shareholding interest in a company if the person is beneficially entitled to, or to an interest in, shares in the company, whether or not any part of the legal ownership of the shares is vested in the person; and</w:t>
      </w:r>
    </w:p>
    <w:p w14:paraId="29B907EF" w14:textId="77777777" w:rsidR="00171D30" w:rsidRPr="00171D30" w:rsidRDefault="00171D30" w:rsidP="00171D30">
      <w:pPr>
        <w:numPr>
          <w:ilvl w:val="0"/>
          <w:numId w:val="26"/>
        </w:numPr>
        <w:spacing w:before="40" w:after="0" w:line="240" w:lineRule="auto"/>
        <w:ind w:left="1418"/>
        <w:rPr>
          <w:rFonts w:cs="Arial"/>
          <w:szCs w:val="20"/>
        </w:rPr>
      </w:pPr>
      <w:r w:rsidRPr="00171D30">
        <w:rPr>
          <w:rFonts w:cs="Arial"/>
          <w:szCs w:val="20"/>
        </w:rPr>
        <w:t>the percentage of the interest is the value of the shares, or of the interest in the shares, as the case may be, on the basis that the value of the shares is equal to the amount paid on the shares, expressed as a percentage of the total of all amounts paid on shares in the company.</w:t>
      </w:r>
    </w:p>
    <w:p w14:paraId="3A7224A8" w14:textId="77777777" w:rsidR="00171D30" w:rsidRPr="00171D30" w:rsidRDefault="00171D30" w:rsidP="00171D30">
      <w:pPr>
        <w:numPr>
          <w:ilvl w:val="2"/>
          <w:numId w:val="22"/>
        </w:numPr>
        <w:spacing w:before="180" w:after="0" w:line="240" w:lineRule="auto"/>
        <w:ind w:left="1276"/>
        <w:rPr>
          <w:rFonts w:cs="Arial"/>
          <w:szCs w:val="20"/>
        </w:rPr>
      </w:pPr>
      <w:r w:rsidRPr="00171D30">
        <w:rPr>
          <w:rFonts w:cs="Arial"/>
          <w:szCs w:val="20"/>
        </w:rPr>
        <w:t>For the purposes of this Act:</w:t>
      </w:r>
    </w:p>
    <w:p w14:paraId="47F509C9" w14:textId="77777777" w:rsidR="00171D30" w:rsidRPr="00171D30" w:rsidRDefault="00171D30" w:rsidP="00171D30">
      <w:pPr>
        <w:numPr>
          <w:ilvl w:val="1"/>
          <w:numId w:val="24"/>
        </w:numPr>
        <w:spacing w:before="40" w:after="0" w:line="240" w:lineRule="auto"/>
        <w:ind w:left="1276"/>
        <w:rPr>
          <w:rFonts w:cs="Arial"/>
          <w:szCs w:val="20"/>
        </w:rPr>
      </w:pPr>
      <w:r w:rsidRPr="00171D30">
        <w:rPr>
          <w:rFonts w:cs="Arial"/>
          <w:szCs w:val="20"/>
        </w:rPr>
        <w:t>a person has a voting interest in a company if the person is in a position to exercise control of votes cast on a poll at a meeting of the company; and</w:t>
      </w:r>
    </w:p>
    <w:p w14:paraId="1E854C2C" w14:textId="77777777" w:rsidR="00171D30" w:rsidRPr="00171D30" w:rsidRDefault="00171D30" w:rsidP="00171D30">
      <w:pPr>
        <w:numPr>
          <w:ilvl w:val="1"/>
          <w:numId w:val="24"/>
        </w:numPr>
        <w:spacing w:before="40" w:after="0" w:line="240" w:lineRule="auto"/>
        <w:ind w:left="1276"/>
        <w:rPr>
          <w:rFonts w:cs="Arial"/>
          <w:szCs w:val="20"/>
        </w:rPr>
      </w:pPr>
      <w:r w:rsidRPr="00171D30">
        <w:rPr>
          <w:rFonts w:cs="Arial"/>
          <w:szCs w:val="20"/>
        </w:rPr>
        <w:t>the percentage of the interest is the greatest percentage of the number of votes, expressed as a percentage of the total number of votes that could be cast on any issue at a meeting of the company, the casting of which the person is in a position to control.</w:t>
      </w:r>
    </w:p>
    <w:p w14:paraId="7AC7F9E4" w14:textId="77777777" w:rsidR="00171D30" w:rsidRPr="00171D30" w:rsidRDefault="00171D30" w:rsidP="00171D30">
      <w:pPr>
        <w:numPr>
          <w:ilvl w:val="2"/>
          <w:numId w:val="22"/>
        </w:numPr>
        <w:spacing w:before="180" w:after="0" w:line="240" w:lineRule="auto"/>
        <w:ind w:left="1276" w:hanging="567"/>
        <w:rPr>
          <w:rFonts w:cs="Arial"/>
          <w:szCs w:val="20"/>
        </w:rPr>
      </w:pPr>
      <w:r w:rsidRPr="00171D30">
        <w:rPr>
          <w:rFonts w:cs="Arial"/>
          <w:szCs w:val="20"/>
        </w:rPr>
        <w:t>For the purposes of this Act:</w:t>
      </w:r>
    </w:p>
    <w:p w14:paraId="64CA8BB9" w14:textId="77777777" w:rsidR="00171D30" w:rsidRPr="00171D30" w:rsidRDefault="00171D30" w:rsidP="00171D30">
      <w:pPr>
        <w:spacing w:before="40" w:after="0" w:line="240" w:lineRule="auto"/>
        <w:ind w:left="993" w:hanging="368"/>
        <w:rPr>
          <w:rFonts w:cs="Arial"/>
          <w:szCs w:val="20"/>
        </w:rPr>
      </w:pPr>
      <w:r w:rsidRPr="00171D30">
        <w:rPr>
          <w:rFonts w:cs="Arial"/>
          <w:szCs w:val="20"/>
        </w:rPr>
        <w:tab/>
        <w:t>(a)</w:t>
      </w:r>
      <w:r w:rsidRPr="00171D30">
        <w:rPr>
          <w:rFonts w:cs="Arial"/>
          <w:szCs w:val="20"/>
        </w:rPr>
        <w:tab/>
        <w:t>a person has a dividend interest in a company if:</w:t>
      </w:r>
    </w:p>
    <w:p w14:paraId="495F27A0" w14:textId="77777777" w:rsidR="00171D30" w:rsidRPr="00171D30" w:rsidRDefault="00171D30" w:rsidP="00171D30">
      <w:pPr>
        <w:numPr>
          <w:ilvl w:val="0"/>
          <w:numId w:val="27"/>
        </w:numPr>
        <w:tabs>
          <w:tab w:val="left" w:pos="1701"/>
        </w:tabs>
        <w:spacing w:before="40" w:after="0" w:line="240" w:lineRule="auto"/>
        <w:ind w:left="1701" w:hanging="142"/>
        <w:rPr>
          <w:rFonts w:cs="Arial"/>
          <w:szCs w:val="20"/>
        </w:rPr>
      </w:pPr>
      <w:r w:rsidRPr="00171D30">
        <w:rPr>
          <w:rFonts w:cs="Arial"/>
          <w:szCs w:val="20"/>
        </w:rPr>
        <w:t>the person is, or would become if a dividend were declared, beneficially entitled to be paid or credited a dividend by the company; or</w:t>
      </w:r>
    </w:p>
    <w:p w14:paraId="628002C9" w14:textId="77777777" w:rsidR="00171D30" w:rsidRPr="00171D30" w:rsidRDefault="00171D30" w:rsidP="00171D30">
      <w:pPr>
        <w:numPr>
          <w:ilvl w:val="0"/>
          <w:numId w:val="27"/>
        </w:numPr>
        <w:spacing w:before="40" w:after="0" w:line="240" w:lineRule="auto"/>
        <w:ind w:left="1701" w:hanging="142"/>
        <w:rPr>
          <w:rFonts w:cs="Arial"/>
          <w:szCs w:val="20"/>
        </w:rPr>
      </w:pPr>
      <w:r w:rsidRPr="00171D30">
        <w:rPr>
          <w:rFonts w:cs="Arial"/>
          <w:szCs w:val="20"/>
        </w:rPr>
        <w:t>under the memorandum and articles of association of the company, a share of any profits of the company is to be, or may be, paid or credited to the person otherwise than as dividends on shares; and</w:t>
      </w:r>
    </w:p>
    <w:p w14:paraId="63F7B4CE" w14:textId="77777777" w:rsidR="00171D30" w:rsidRPr="00171D30" w:rsidRDefault="00171D30" w:rsidP="00171D30">
      <w:pPr>
        <w:spacing w:before="40" w:after="0" w:line="240" w:lineRule="auto"/>
        <w:ind w:left="993" w:hanging="284"/>
        <w:rPr>
          <w:rFonts w:cs="Arial"/>
          <w:szCs w:val="20"/>
        </w:rPr>
      </w:pPr>
      <w:r w:rsidRPr="00171D30">
        <w:rPr>
          <w:rFonts w:cs="Arial"/>
          <w:szCs w:val="20"/>
        </w:rPr>
        <w:tab/>
        <w:t>(b)</w:t>
      </w:r>
      <w:r w:rsidRPr="00171D30">
        <w:rPr>
          <w:rFonts w:cs="Arial"/>
          <w:szCs w:val="20"/>
        </w:rPr>
        <w:tab/>
        <w:t>the percentage of the interest is:</w:t>
      </w:r>
    </w:p>
    <w:p w14:paraId="30E0303C" w14:textId="77777777" w:rsidR="00171D30" w:rsidRPr="00171D30" w:rsidRDefault="00171D30" w:rsidP="00171D30">
      <w:pPr>
        <w:numPr>
          <w:ilvl w:val="0"/>
          <w:numId w:val="28"/>
        </w:numPr>
        <w:spacing w:before="40" w:after="0" w:line="240" w:lineRule="auto"/>
        <w:ind w:left="1701" w:hanging="142"/>
        <w:rPr>
          <w:rFonts w:cs="Arial"/>
          <w:szCs w:val="20"/>
        </w:rPr>
      </w:pPr>
      <w:r w:rsidRPr="00171D30">
        <w:rPr>
          <w:rFonts w:cs="Arial"/>
          <w:szCs w:val="20"/>
        </w:rPr>
        <w:t>if subparagraph (a)(</w:t>
      </w:r>
      <w:proofErr w:type="spellStart"/>
      <w:r w:rsidRPr="00171D30">
        <w:rPr>
          <w:rFonts w:cs="Arial"/>
          <w:szCs w:val="20"/>
        </w:rPr>
        <w:t>i</w:t>
      </w:r>
      <w:proofErr w:type="spellEnd"/>
      <w:r w:rsidRPr="00171D30">
        <w:rPr>
          <w:rFonts w:cs="Arial"/>
          <w:szCs w:val="20"/>
        </w:rPr>
        <w:t>) applies—the amount of the dividend to which the person is beneficially entitled or will become beneficially entitled expressed as a percentage of the total of all dividends to which members of the company become entitled at that time; or</w:t>
      </w:r>
    </w:p>
    <w:p w14:paraId="23A728C4" w14:textId="77777777" w:rsidR="00171D30" w:rsidRPr="00171D30" w:rsidRDefault="00171D30" w:rsidP="00171D30">
      <w:pPr>
        <w:numPr>
          <w:ilvl w:val="0"/>
          <w:numId w:val="28"/>
        </w:numPr>
        <w:spacing w:before="180" w:after="0" w:line="240" w:lineRule="auto"/>
        <w:ind w:left="1701" w:hanging="142"/>
        <w:rPr>
          <w:rFonts w:cs="Arial"/>
          <w:szCs w:val="20"/>
        </w:rPr>
      </w:pPr>
      <w:r w:rsidRPr="00171D30">
        <w:rPr>
          <w:rFonts w:cs="Arial"/>
          <w:szCs w:val="20"/>
        </w:rPr>
        <w:t>if subparagraph (a)(ii) applies—the amount of the maximum share of any profits of the company that could be paid or credited to the person at a particular time expressed as a percentage of the total of all shares of profits that could be paid or credited to all members of the company at that time.</w:t>
      </w:r>
    </w:p>
    <w:p w14:paraId="5ED3BF2B" w14:textId="77777777" w:rsidR="00171D30" w:rsidRPr="00171D30" w:rsidRDefault="00171D30" w:rsidP="00171D30">
      <w:pPr>
        <w:numPr>
          <w:ilvl w:val="2"/>
          <w:numId w:val="22"/>
        </w:numPr>
        <w:spacing w:before="180" w:after="0" w:line="240" w:lineRule="auto"/>
        <w:ind w:left="1276" w:hanging="425"/>
        <w:rPr>
          <w:rFonts w:cs="Arial"/>
          <w:szCs w:val="20"/>
        </w:rPr>
      </w:pPr>
      <w:r w:rsidRPr="00171D30">
        <w:rPr>
          <w:rFonts w:cs="Arial"/>
          <w:szCs w:val="20"/>
        </w:rPr>
        <w:t>For the purposes of this Act:</w:t>
      </w:r>
    </w:p>
    <w:p w14:paraId="7C59B7E6" w14:textId="77777777" w:rsidR="00171D30" w:rsidRPr="00171D30" w:rsidRDefault="00171D30" w:rsidP="00171D30">
      <w:pPr>
        <w:numPr>
          <w:ilvl w:val="0"/>
          <w:numId w:val="29"/>
        </w:numPr>
        <w:spacing w:before="40" w:after="0" w:line="240" w:lineRule="auto"/>
        <w:ind w:left="1560"/>
        <w:rPr>
          <w:rFonts w:cs="Arial"/>
          <w:szCs w:val="20"/>
        </w:rPr>
      </w:pPr>
      <w:r w:rsidRPr="00171D30">
        <w:rPr>
          <w:rFonts w:cs="Arial"/>
          <w:szCs w:val="20"/>
        </w:rPr>
        <w:t>a person has a winding</w:t>
      </w:r>
      <w:r w:rsidRPr="00171D30">
        <w:rPr>
          <w:rFonts w:cs="Arial"/>
          <w:szCs w:val="20"/>
        </w:rPr>
        <w:noBreakHyphen/>
        <w:t>up interest in a company if the person would be entitled to a share of the property of the company that could be distributed among members of the company if property of the company were distributed among members, whether as a result of a winding</w:t>
      </w:r>
      <w:r w:rsidRPr="00171D30">
        <w:rPr>
          <w:rFonts w:cs="Arial"/>
          <w:szCs w:val="20"/>
        </w:rPr>
        <w:noBreakHyphen/>
        <w:t>up or otherwise; and</w:t>
      </w:r>
    </w:p>
    <w:p w14:paraId="18F0E63F" w14:textId="77777777" w:rsidR="00171D30" w:rsidRPr="00171D30" w:rsidRDefault="00171D30" w:rsidP="00171D30">
      <w:pPr>
        <w:numPr>
          <w:ilvl w:val="0"/>
          <w:numId w:val="29"/>
        </w:numPr>
        <w:spacing w:before="40" w:after="0" w:line="240" w:lineRule="auto"/>
        <w:ind w:left="1560"/>
        <w:rPr>
          <w:rFonts w:cs="Arial"/>
          <w:szCs w:val="20"/>
        </w:rPr>
      </w:pPr>
      <w:r w:rsidRPr="00171D30">
        <w:rPr>
          <w:rFonts w:cs="Arial"/>
          <w:szCs w:val="20"/>
        </w:rPr>
        <w:t>the percentage of the interest is the percentage that the value of that part of the property of the company to which the person would be so entitled bears to the total value of the property of the company.</w:t>
      </w:r>
    </w:p>
    <w:p w14:paraId="6CBDC3BE" w14:textId="77777777" w:rsidR="00171D30" w:rsidRPr="00171D30" w:rsidRDefault="00171D30" w:rsidP="00171D30">
      <w:pPr>
        <w:spacing w:before="180" w:line="240" w:lineRule="auto"/>
        <w:ind w:left="851"/>
        <w:rPr>
          <w:rFonts w:cs="Arial"/>
          <w:szCs w:val="20"/>
        </w:rPr>
      </w:pPr>
      <w:r w:rsidRPr="00171D30">
        <w:rPr>
          <w:rFonts w:cs="Arial"/>
          <w:szCs w:val="20"/>
        </w:rPr>
        <w:t>A person may have a voting interest, a dividend interest or a winding</w:t>
      </w:r>
      <w:r w:rsidRPr="00171D30">
        <w:rPr>
          <w:rFonts w:cs="Arial"/>
          <w:szCs w:val="20"/>
        </w:rPr>
        <w:noBreakHyphen/>
        <w:t>up interest in a company even if the person does not have a beneficial entitlement to, or to an interest in, shares in the company.</w:t>
      </w:r>
    </w:p>
    <w:p w14:paraId="470B4D74" w14:textId="77777777" w:rsidR="00171D30" w:rsidRPr="00171D30" w:rsidRDefault="00171D30" w:rsidP="00D62FDB">
      <w:pPr>
        <w:pStyle w:val="Heading2"/>
      </w:pPr>
      <w:bookmarkStart w:id="120" w:name="_Toc50038442"/>
      <w:r w:rsidRPr="00171D30">
        <w:t>Schedule 1 of the BSA - Control and ownership of company interests</w:t>
      </w:r>
      <w:bookmarkEnd w:id="120"/>
      <w:r w:rsidRPr="00171D30">
        <w:t xml:space="preserve">  </w:t>
      </w:r>
      <w:bookmarkStart w:id="121" w:name="_Toc517274920"/>
    </w:p>
    <w:p w14:paraId="17A737AE" w14:textId="77777777" w:rsidR="00171D30" w:rsidRPr="00171D30" w:rsidRDefault="00171D30" w:rsidP="00D62FDB">
      <w:pPr>
        <w:pStyle w:val="Heading3"/>
      </w:pPr>
      <w:bookmarkStart w:id="122" w:name="_Toc50038443"/>
      <w:r w:rsidRPr="00171D30">
        <w:t>Part 4—Tracing of ownership</w:t>
      </w:r>
      <w:bookmarkEnd w:id="121"/>
      <w:bookmarkEnd w:id="122"/>
    </w:p>
    <w:p w14:paraId="050FCE34" w14:textId="77777777" w:rsidR="00171D30" w:rsidRPr="00171D30" w:rsidRDefault="00171D30" w:rsidP="00D62FDB">
      <w:pPr>
        <w:spacing w:before="280" w:after="0" w:line="240" w:lineRule="auto"/>
        <w:outlineLvl w:val="4"/>
        <w:rPr>
          <w:rFonts w:cs="Arial"/>
          <w:b/>
          <w:kern w:val="28"/>
          <w:szCs w:val="20"/>
        </w:rPr>
      </w:pPr>
      <w:bookmarkStart w:id="123" w:name="_Toc517274921"/>
      <w:proofErr w:type="gramStart"/>
      <w:r w:rsidRPr="00171D30">
        <w:rPr>
          <w:rFonts w:cs="Arial"/>
          <w:b/>
          <w:kern w:val="28"/>
          <w:szCs w:val="20"/>
        </w:rPr>
        <w:t>8  Tracing</w:t>
      </w:r>
      <w:proofErr w:type="gramEnd"/>
      <w:r w:rsidRPr="00171D30">
        <w:rPr>
          <w:rFonts w:cs="Arial"/>
          <w:b/>
          <w:kern w:val="28"/>
          <w:szCs w:val="20"/>
        </w:rPr>
        <w:t xml:space="preserve"> of ownership</w:t>
      </w:r>
      <w:bookmarkEnd w:id="123"/>
    </w:p>
    <w:p w14:paraId="4A665903" w14:textId="77777777" w:rsidR="00171D30" w:rsidRPr="00171D30" w:rsidRDefault="00171D30" w:rsidP="00171D30">
      <w:pPr>
        <w:spacing w:before="180" w:after="0" w:line="240" w:lineRule="auto"/>
        <w:ind w:left="567"/>
        <w:rPr>
          <w:rFonts w:cs="Arial"/>
          <w:szCs w:val="20"/>
        </w:rPr>
      </w:pPr>
      <w:r w:rsidRPr="00171D30">
        <w:rPr>
          <w:rFonts w:cs="Arial"/>
          <w:szCs w:val="20"/>
        </w:rPr>
        <w:t>Company interests can be traced through a chain of companies using a method known as the fractional tracing method. This method applies a formula to decide what company interest a person has.</w:t>
      </w:r>
    </w:p>
    <w:p w14:paraId="5371A3CD" w14:textId="77777777" w:rsidR="00171D30" w:rsidRPr="00171D30" w:rsidRDefault="00171D30" w:rsidP="00171D30">
      <w:pPr>
        <w:spacing w:before="40" w:after="0" w:line="240" w:lineRule="auto"/>
        <w:ind w:left="1560" w:hanging="993"/>
        <w:rPr>
          <w:rFonts w:cs="Arial"/>
          <w:szCs w:val="20"/>
        </w:rPr>
      </w:pPr>
      <w:r w:rsidRPr="00171D30">
        <w:rPr>
          <w:rFonts w:cs="Arial"/>
          <w:szCs w:val="20"/>
        </w:rPr>
        <w:t>This method is best demonstrated by an example.</w:t>
      </w:r>
    </w:p>
    <w:p w14:paraId="49A5D5E6" w14:textId="77777777" w:rsidR="00171D30" w:rsidRPr="00171D30" w:rsidRDefault="00171D30" w:rsidP="00171D30">
      <w:pPr>
        <w:spacing w:before="180" w:after="0" w:line="240" w:lineRule="auto"/>
        <w:ind w:left="1560" w:hanging="993"/>
        <w:rPr>
          <w:rFonts w:cs="Arial"/>
          <w:szCs w:val="20"/>
        </w:rPr>
      </w:pPr>
      <w:r w:rsidRPr="00171D30">
        <w:rPr>
          <w:rFonts w:cs="Arial"/>
          <w:b/>
          <w:i/>
          <w:szCs w:val="20"/>
        </w:rPr>
        <w:t>Example:</w:t>
      </w:r>
    </w:p>
    <w:p w14:paraId="7A0BBE01" w14:textId="77777777" w:rsidR="00171D30" w:rsidRPr="00171D30" w:rsidRDefault="00171D30" w:rsidP="00171D30">
      <w:pPr>
        <w:ind w:left="142"/>
        <w:rPr>
          <w:rFonts w:cs="Arial"/>
          <w:i/>
          <w:szCs w:val="20"/>
        </w:rPr>
      </w:pPr>
      <w:r w:rsidRPr="00171D30">
        <w:rPr>
          <w:rFonts w:cs="Arial"/>
          <w:noProof/>
          <w:szCs w:val="20"/>
        </w:rPr>
        <mc:AlternateContent>
          <mc:Choice Requires="wpg">
            <w:drawing>
              <wp:anchor distT="0" distB="0" distL="114300" distR="114300" simplePos="0" relativeHeight="251659264" behindDoc="0" locked="0" layoutInCell="0" allowOverlap="1" wp14:anchorId="4B483D01" wp14:editId="2D592ADA">
                <wp:simplePos x="0" y="0"/>
                <wp:positionH relativeFrom="column">
                  <wp:posOffset>735965</wp:posOffset>
                </wp:positionH>
                <wp:positionV relativeFrom="paragraph">
                  <wp:posOffset>12700</wp:posOffset>
                </wp:positionV>
                <wp:extent cx="2192020" cy="374015"/>
                <wp:effectExtent l="2540" t="3175" r="0" b="3810"/>
                <wp:wrapNone/>
                <wp:docPr id="41"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374015"/>
                          <a:chOff x="2504" y="5577"/>
                          <a:chExt cx="3452" cy="589"/>
                        </a:xfrm>
                      </wpg:grpSpPr>
                      <wps:wsp>
                        <wps:cNvPr id="42" name="Line 3"/>
                        <wps:cNvCnPr/>
                        <wps:spPr bwMode="auto">
                          <a:xfrm>
                            <a:off x="4595" y="6030"/>
                            <a:ext cx="567"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Rectangle 7"/>
                        <wps:cNvSpPr>
                          <a:spLocks noChangeArrowheads="1"/>
                        </wps:cNvSpPr>
                        <wps:spPr bwMode="auto">
                          <a:xfrm>
                            <a:off x="5265" y="5895"/>
                            <a:ext cx="691" cy="2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3F6DF9" w14:textId="77777777" w:rsidR="00171D30" w:rsidRDefault="00171D30" w:rsidP="00171D30">
                              <w:smartTag w:uri="urn:schemas-microsoft-com:office:smarttags" w:element="place">
                                <w:r>
                                  <w:rPr>
                                    <w:b/>
                                    <w:i/>
                                  </w:rPr>
                                  <w:t>Co.</w:t>
                                </w:r>
                              </w:smartTag>
                              <w:r>
                                <w:rPr>
                                  <w:b/>
                                  <w:i/>
                                </w:rPr>
                                <w:t xml:space="preserve"> B</w:t>
                              </w:r>
                            </w:p>
                          </w:txbxContent>
                        </wps:txbx>
                        <wps:bodyPr rot="0" vert="horz" wrap="square" lIns="12700" tIns="12700" rIns="12700" bIns="12700" anchor="t" anchorCtr="0" upright="1">
                          <a:noAutofit/>
                        </wps:bodyPr>
                      </wps:wsp>
                      <wps:wsp>
                        <wps:cNvPr id="44" name="Rectangle 13"/>
                        <wps:cNvSpPr>
                          <a:spLocks noChangeArrowheads="1"/>
                        </wps:cNvSpPr>
                        <wps:spPr bwMode="auto">
                          <a:xfrm>
                            <a:off x="4610" y="5577"/>
                            <a:ext cx="579" cy="3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680307" w14:textId="77777777" w:rsidR="00171D30" w:rsidRDefault="00171D30" w:rsidP="00171D30">
                              <w:r>
                                <w:rPr>
                                  <w:b/>
                                  <w:i/>
                                </w:rPr>
                                <w:t>10%</w:t>
                              </w:r>
                            </w:p>
                          </w:txbxContent>
                        </wps:txbx>
                        <wps:bodyPr rot="0" vert="horz" wrap="square" lIns="12700" tIns="12700" rIns="12700" bIns="12700" anchor="t" anchorCtr="0" upright="1">
                          <a:noAutofit/>
                        </wps:bodyPr>
                      </wps:wsp>
                      <wps:wsp>
                        <wps:cNvPr id="45" name="Rectangle 14"/>
                        <wps:cNvSpPr>
                          <a:spLocks noChangeArrowheads="1"/>
                        </wps:cNvSpPr>
                        <wps:spPr bwMode="auto">
                          <a:xfrm>
                            <a:off x="3350" y="5594"/>
                            <a:ext cx="688" cy="34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925CC5" w14:textId="77777777" w:rsidR="00171D30" w:rsidRDefault="00171D30" w:rsidP="00171D30">
                              <w:r>
                                <w:rPr>
                                  <w:b/>
                                  <w:i/>
                                </w:rPr>
                                <w:t>30%</w:t>
                              </w:r>
                            </w:p>
                          </w:txbxContent>
                        </wps:txbx>
                        <wps:bodyPr rot="0" vert="horz" wrap="square" lIns="12700" tIns="12700" rIns="12700" bIns="12700" anchor="t" anchorCtr="0" upright="1">
                          <a:noAutofit/>
                        </wps:bodyPr>
                      </wps:wsp>
                      <wps:wsp>
                        <wps:cNvPr id="46" name="Rectangle 15"/>
                        <wps:cNvSpPr>
                          <a:spLocks noChangeArrowheads="1"/>
                        </wps:cNvSpPr>
                        <wps:spPr bwMode="auto">
                          <a:xfrm>
                            <a:off x="3880" y="5869"/>
                            <a:ext cx="728" cy="2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B3F186" w14:textId="77777777" w:rsidR="00171D30" w:rsidRDefault="00171D30" w:rsidP="00171D30">
                              <w:pPr>
                                <w:rPr>
                                  <w:b/>
                                  <w:i/>
                                </w:rPr>
                              </w:pPr>
                              <w:smartTag w:uri="urn:schemas-microsoft-com:office:smarttags" w:element="place">
                                <w:r>
                                  <w:rPr>
                                    <w:b/>
                                    <w:i/>
                                  </w:rPr>
                                  <w:t>Co.</w:t>
                                </w:r>
                              </w:smartTag>
                              <w:r>
                                <w:rPr>
                                  <w:b/>
                                  <w:i/>
                                </w:rPr>
                                <w:t xml:space="preserve"> A</w:t>
                              </w:r>
                            </w:p>
                          </w:txbxContent>
                        </wps:txbx>
                        <wps:bodyPr rot="0" vert="horz" wrap="square" lIns="12700" tIns="12700" rIns="12700" bIns="12700" anchor="t" anchorCtr="0" upright="1">
                          <a:noAutofit/>
                        </wps:bodyPr>
                      </wps:wsp>
                      <wps:wsp>
                        <wps:cNvPr id="47" name="Rectangle 17"/>
                        <wps:cNvSpPr>
                          <a:spLocks noChangeArrowheads="1"/>
                        </wps:cNvSpPr>
                        <wps:spPr bwMode="auto">
                          <a:xfrm>
                            <a:off x="2504" y="5868"/>
                            <a:ext cx="850" cy="2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8200FB" w14:textId="77777777" w:rsidR="00171D30" w:rsidRDefault="00171D30" w:rsidP="00171D30">
                              <w:r>
                                <w:rPr>
                                  <w:b/>
                                  <w:i/>
                                </w:rPr>
                                <w:t>Person</w:t>
                              </w:r>
                            </w:p>
                          </w:txbxContent>
                        </wps:txbx>
                        <wps:bodyPr rot="0" vert="horz" wrap="square" lIns="12700" tIns="12700" rIns="12700" bIns="12700" anchor="t" anchorCtr="0" upright="1">
                          <a:noAutofit/>
                        </wps:bodyPr>
                      </wps:wsp>
                      <wps:wsp>
                        <wps:cNvPr id="48" name="Line 28"/>
                        <wps:cNvCnPr/>
                        <wps:spPr bwMode="auto">
                          <a:xfrm>
                            <a:off x="3245" y="6015"/>
                            <a:ext cx="621" cy="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B483D01" id="Group 39" o:spid="_x0000_s1026" style="position:absolute;left:0;text-align:left;margin-left:57.95pt;margin-top:1pt;width:172.6pt;height:29.45pt;z-index:251659264" coordorigin="2504,5577" coordsize="3452,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DouAMAAOkRAAAOAAAAZHJzL2Uyb0RvYy54bWzsWNtu3DYQfS+QfyD0Huuu1QqWg8BJjAJu&#10;azTtB3Al6oJKpEpyrXW/PsOhtJLtFtumyCZAvA8LUqSGM2fOHJK6fHPoO3LPpGoFzx3/wnMI44Uo&#10;W17nzu+/fXidOkRpykvaCc5y54Ep583Vqx8uxyFjgWhEVzJJwAhX2TjkTqP1kLmuKhrWU3UhBsZh&#10;sBKypxq6snZLSUew3ndu4HmJOwpZDlIUTCl4+s4OOldov6pYoX+pKsU06XIHfNP4L/F/Z/7dq0ua&#10;1ZIOTVtMbtDP8KKnLYdFj6beUU3JXrbPTPVtIYUSlb4oRO+KqmoLhjFANL73JJobKfYDxlJnYz0c&#10;YQJon+D02WaLn+/vJGnL3Il8h3DaQ45wWRJuDTjjUGcw50YOH4c7aSOE5q0o/lAw7D4dN/3aTia7&#10;8SdRgj261wLBOVSyNyYgbHLAHDwcc8AOmhTwMPC3gRdAqgoYCzeR58c2SUUDmTSvBbEXOQRG43iz&#10;mcfeT6+HURzYd+MUA3BpZpdFVyfXTFzAN7VAqv4fpB8bOjDMlDJwzZCCKxbS25YzElpAccY1v5MI&#10;r8oUAHsSqyjexhh04oUTa2fE4mRjI/aN/WO8NBuk0jdM9MQ0cqcDHzAN9P5WaTt1nmKywsWHtuvg&#10;Oc06Tsbc2cZBjC8o0bWlGTRjSta7606Se2pKCn/Tuo+mAXV5icYaRsv3U1vTtoM20Q8DEEPLlvK6&#10;Y45ZrWelQzoGKmJa1r2OmxUZ1vHks0mcQcymcCfKBwQSsosJPVdmwzmzv4LEYBAEuWjcAALMxaJs&#10;pRAurhuYxd5KKUYDCPDNpuvRC3NwJ+kQB4mlA7B8qo+ZDskWCtkUT7A5QQgJrv9rQjxiCJDsZGr0&#10;YXeALJqQbJaIFFZ+YbuARiPkX5B4kN7cUX/uqQQadD9yA0yw8YxWrzty3dmtO5QXYArI5BDbvNZW&#10;3/eDbOsGVvIxSC7egg5VLTJ/8Qo17KzUAfGyorBQx19Lw5fmTpT4gO4j/Zy5E2+2k/BG6NE/i8mX&#10;5w5uSsjgJVkvFLJbNdT+MwpFRjMNVGeQnzCMZwptcV0Q6WkDTlI48eHe/Y1QKJhxeVGh9dEk+RsK&#10;4U5yLgql6UShNMGD2kKhTTBR6BvYwbDejur8QqE1heDY+UyFznkIWi4CaZKaKl8olBp9socgrP+v&#10;vpEd1fmFQmsKQaGvLkhQ98se9l9vSGEQ2SNxcrwyHvekYDoSnzgQfyc3JLwJw/cEvCxO3z7MB4t1&#10;H4/Fyxeaq08AAAD//wMAUEsDBBQABgAIAAAAIQDJ9hoo3gAAAAgBAAAPAAAAZHJzL2Rvd25yZXYu&#10;eG1sTI9BS8NAFITvgv9heYI3u9lqg43ZlFLUUxFsBfG2zb4modm3IbtN0n/v82SPwwwz3+SrybVi&#10;wD40njSoWQICqfS2oUrD1/7t4RlEiIasaT2hhgsGWBW3N7nJrB/pE4ddrASXUMiMhjrGLpMylDU6&#10;E2a+Q2Lv6HtnIsu+krY3I5e7Vs6TJJXONMQLtelwU2N52p2dhvfRjOtH9TpsT8fN5We/+PjeKtT6&#10;/m5av4CIOMX/MPzhMzoUzHTwZ7JBtKzVYslRDXO+xP5TqhSIg4Y0WYIscnl9oPgFAAD//wMAUEsB&#10;Ai0AFAAGAAgAAAAhALaDOJL+AAAA4QEAABMAAAAAAAAAAAAAAAAAAAAAAFtDb250ZW50X1R5cGVz&#10;XS54bWxQSwECLQAUAAYACAAAACEAOP0h/9YAAACUAQAACwAAAAAAAAAAAAAAAAAvAQAAX3JlbHMv&#10;LnJlbHNQSwECLQAUAAYACAAAACEAdVFA6LgDAADpEQAADgAAAAAAAAAAAAAAAAAuAgAAZHJzL2Uy&#10;b0RvYy54bWxQSwECLQAUAAYACAAAACEAyfYaKN4AAAAIAQAADwAAAAAAAAAAAAAAAAASBgAAZHJz&#10;L2Rvd25yZXYueG1sUEsFBgAAAAAEAAQA8wAAAB0HAAAAAA==&#10;" o:allowincell="f">
                <v:line id="Line 3" o:spid="_x0000_s1027" style="position:absolute;visibility:visible;mso-wrap-style:square" from="4595,6030" to="5162,6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rect id="Rectangle 7" o:spid="_x0000_s1028" style="position:absolute;left:5265;top:5895;width:691;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tExAAAANsAAAAPAAAAZHJzL2Rvd25yZXYueG1sRI/NasMw&#10;EITvgb6D2EAvoZbThqQ4VkJbKISSS34g18Xa2CbWylhrx337qlDocZiZb5h8O7pGDdSF2rOBeZKC&#10;Ii68rbk0cD59Pr2CCoJssfFMBr4pwHbzMMkxs/7OBxqOUqoI4ZChgUqkzbQORUUOQ+Jb4uhdfedQ&#10;ouxKbTu8R7hr9HOaLrXDmuNChS19VFTcjr0zMFwu+3c693o+oKxmu69e6iUZ8zgd39aghEb5D/+1&#10;d9bA4gV+v8QfoDc/AAAA//8DAFBLAQItABQABgAIAAAAIQDb4fbL7gAAAIUBAAATAAAAAAAAAAAA&#10;AAAAAAAAAABbQ29udGVudF9UeXBlc10ueG1sUEsBAi0AFAAGAAgAAAAhAFr0LFu/AAAAFQEAAAsA&#10;AAAAAAAAAAAAAAAAHwEAAF9yZWxzLy5yZWxzUEsBAi0AFAAGAAgAAAAhAMiFa0TEAAAA2wAAAA8A&#10;AAAAAAAAAAAAAAAABwIAAGRycy9kb3ducmV2LnhtbFBLBQYAAAAAAwADALcAAAD4AgAAAAA=&#10;" filled="f" stroked="f">
                  <v:textbox inset="1pt,1pt,1pt,1pt">
                    <w:txbxContent>
                      <w:p w14:paraId="543F6DF9" w14:textId="77777777" w:rsidR="00171D30" w:rsidRDefault="00171D30" w:rsidP="00171D30">
                        <w:smartTag w:uri="urn:schemas-microsoft-com:office:smarttags" w:element="place">
                          <w:r>
                            <w:rPr>
                              <w:b/>
                              <w:i/>
                            </w:rPr>
                            <w:t>Co.</w:t>
                          </w:r>
                        </w:smartTag>
                        <w:r>
                          <w:rPr>
                            <w:b/>
                            <w:i/>
                          </w:rPr>
                          <w:t xml:space="preserve"> B</w:t>
                        </w:r>
                      </w:p>
                    </w:txbxContent>
                  </v:textbox>
                </v:rect>
                <v:rect id="Rectangle 13" o:spid="_x0000_s1029" style="position:absolute;left:4610;top:5577;width:57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MwwgAAANsAAAAPAAAAZHJzL2Rvd25yZXYueG1sRI9Ba8JA&#10;FITvBf/D8gQvRTeKqERX0UJBSi9Vwesj+0yC2bch+xLjv3cLhR6HmfmG2ex6V6mOmlB6NjCdJKCI&#10;M29Lzg1czp/jFaggyBYrz2TgSQF228HbBlPrH/xD3UlyFSEcUjRQiNSp1iEryGGY+Jo4ejffOJQo&#10;m1zbBh8R7io9S5KFdlhyXCiwpo+CsvupdQa66/X7QJdWTzuU5fvxq5VyQcaMhv1+DUqol//wX/to&#10;Dczn8Psl/gC9fQEAAP//AwBQSwECLQAUAAYACAAAACEA2+H2y+4AAACFAQAAEwAAAAAAAAAAAAAA&#10;AAAAAAAAW0NvbnRlbnRfVHlwZXNdLnhtbFBLAQItABQABgAIAAAAIQBa9CxbvwAAABUBAAALAAAA&#10;AAAAAAAAAAAAAB8BAABfcmVscy8ucmVsc1BLAQItABQABgAIAAAAIQBHbPMwwgAAANsAAAAPAAAA&#10;AAAAAAAAAAAAAAcCAABkcnMvZG93bnJldi54bWxQSwUGAAAAAAMAAwC3AAAA9gIAAAAA&#10;" filled="f" stroked="f">
                  <v:textbox inset="1pt,1pt,1pt,1pt">
                    <w:txbxContent>
                      <w:p w14:paraId="3E680307" w14:textId="77777777" w:rsidR="00171D30" w:rsidRDefault="00171D30" w:rsidP="00171D30">
                        <w:r>
                          <w:rPr>
                            <w:b/>
                            <w:i/>
                          </w:rPr>
                          <w:t>10%</w:t>
                        </w:r>
                      </w:p>
                    </w:txbxContent>
                  </v:textbox>
                </v:rect>
                <v:rect id="Rectangle 14" o:spid="_x0000_s1030" style="position:absolute;left:3350;top:5594;width:688;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arxAAAANsAAAAPAAAAZHJzL2Rvd25yZXYueG1sRI/NasMw&#10;EITvgb6D2EAvoZZTmqQ4VkJbKISSS34g18Xa2CbWylhrx337qlDocZiZb5h8O7pGDdSF2rOBeZKC&#10;Ii68rbk0cD59Pr2CCoJssfFMBr4pwHbzMMkxs/7OBxqOUqoI4ZChgUqkzbQORUUOQ+Jb4uhdfedQ&#10;ouxKbTu8R7hr9HOaLrXDmuNChS19VFTcjr0zMFwu+3c693o+oKxmu69e6iUZ8zgd39aghEb5D/+1&#10;d9bAywJ+v8QfoDc/AAAA//8DAFBLAQItABQABgAIAAAAIQDb4fbL7gAAAIUBAAATAAAAAAAAAAAA&#10;AAAAAAAAAABbQ29udGVudF9UeXBlc10ueG1sUEsBAi0AFAAGAAgAAAAhAFr0LFu/AAAAFQEAAAsA&#10;AAAAAAAAAAAAAAAAHwEAAF9yZWxzLy5yZWxzUEsBAi0AFAAGAAgAAAAhACggVqvEAAAA2wAAAA8A&#10;AAAAAAAAAAAAAAAABwIAAGRycy9kb3ducmV2LnhtbFBLBQYAAAAAAwADALcAAAD4AgAAAAA=&#10;" filled="f" stroked="f">
                  <v:textbox inset="1pt,1pt,1pt,1pt">
                    <w:txbxContent>
                      <w:p w14:paraId="04925CC5" w14:textId="77777777" w:rsidR="00171D30" w:rsidRDefault="00171D30" w:rsidP="00171D30">
                        <w:r>
                          <w:rPr>
                            <w:b/>
                            <w:i/>
                          </w:rPr>
                          <w:t>30%</w:t>
                        </w:r>
                      </w:p>
                    </w:txbxContent>
                  </v:textbox>
                </v:rect>
                <v:rect id="Rectangle 15" o:spid="_x0000_s1031" style="position:absolute;left:3880;top:5869;width:728;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sjcwgAAANsAAAAPAAAAZHJzL2Rvd25yZXYueG1sRI9Ba8JA&#10;FITvBf/D8oReim4USSW6ii0IIr3UCl4f2WcSzL4N2ZeY/ntXKPQ4zMw3zHo7uFr11IbKs4HZNAFF&#10;nHtbcWHg/LOfLEEFQbZYeyYDvxRguxm9rDGz/s7f1J+kUBHCIUMDpUiTaR3ykhyGqW+Io3f1rUOJ&#10;si20bfEe4a7W8yRJtcOK40KJDX2WlN9OnTPQXy5fH3Tu9KxHeX87HDupUjLmdTzsVqCEBvkP/7UP&#10;1sAiheeX+AP05gEAAP//AwBQSwECLQAUAAYACAAAACEA2+H2y+4AAACFAQAAEwAAAAAAAAAAAAAA&#10;AAAAAAAAW0NvbnRlbnRfVHlwZXNdLnhtbFBLAQItABQABgAIAAAAIQBa9CxbvwAAABUBAAALAAAA&#10;AAAAAAAAAAAAAB8BAABfcmVscy8ucmVsc1BLAQItABQABgAIAAAAIQDY8sjcwgAAANsAAAAPAAAA&#10;AAAAAAAAAAAAAAcCAABkcnMvZG93bnJldi54bWxQSwUGAAAAAAMAAwC3AAAA9gIAAAAA&#10;" filled="f" stroked="f">
                  <v:textbox inset="1pt,1pt,1pt,1pt">
                    <w:txbxContent>
                      <w:p w14:paraId="08B3F186" w14:textId="77777777" w:rsidR="00171D30" w:rsidRDefault="00171D30" w:rsidP="00171D30">
                        <w:pPr>
                          <w:rPr>
                            <w:b/>
                            <w:i/>
                          </w:rPr>
                        </w:pPr>
                        <w:smartTag w:uri="urn:schemas-microsoft-com:office:smarttags" w:element="place">
                          <w:r>
                            <w:rPr>
                              <w:b/>
                              <w:i/>
                            </w:rPr>
                            <w:t>Co.</w:t>
                          </w:r>
                        </w:smartTag>
                        <w:r>
                          <w:rPr>
                            <w:b/>
                            <w:i/>
                          </w:rPr>
                          <w:t xml:space="preserve"> A</w:t>
                        </w:r>
                      </w:p>
                    </w:txbxContent>
                  </v:textbox>
                </v:rect>
                <v:rect id="Rectangle 17" o:spid="_x0000_s1032" style="position:absolute;left:2504;top:5868;width:85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1HwgAAANsAAAAPAAAAZHJzL2Rvd25yZXYueG1sRI9Ba8JA&#10;FITvBf/D8oReim4UUYmuYguCFC9Vwesj+0yC2bch+xLTf98VhB6HmfmGWW97V6mOmlB6NjAZJ6CI&#10;M29Lzg1czvvRElQQZIuVZzLwSwG2m8HbGlPrH/xD3UlyFSEcUjRQiNSp1iEryGEY+5o4ejffOJQo&#10;m1zbBh8R7io9TZK5dlhyXCiwpq+CsvupdQa66/X4SZdWTzqUxcfhu5VyTsa8D/vdCpRQL//hV/tg&#10;DcwW8PwSf4De/AEAAP//AwBQSwECLQAUAAYACAAAACEA2+H2y+4AAACFAQAAEwAAAAAAAAAAAAAA&#10;AAAAAAAAW0NvbnRlbnRfVHlwZXNdLnhtbFBLAQItABQABgAIAAAAIQBa9CxbvwAAABUBAAALAAAA&#10;AAAAAAAAAAAAAB8BAABfcmVscy8ucmVsc1BLAQItABQABgAIAAAAIQC3vm1HwgAAANsAAAAPAAAA&#10;AAAAAAAAAAAAAAcCAABkcnMvZG93bnJldi54bWxQSwUGAAAAAAMAAwC3AAAA9gIAAAAA&#10;" filled="f" stroked="f">
                  <v:textbox inset="1pt,1pt,1pt,1pt">
                    <w:txbxContent>
                      <w:p w14:paraId="4F8200FB" w14:textId="77777777" w:rsidR="00171D30" w:rsidRDefault="00171D30" w:rsidP="00171D30">
                        <w:r>
                          <w:rPr>
                            <w:b/>
                            <w:i/>
                          </w:rPr>
                          <w:t>Person</w:t>
                        </w:r>
                      </w:p>
                    </w:txbxContent>
                  </v:textbox>
                </v:rect>
                <v:line id="Line 28" o:spid="_x0000_s1033" style="position:absolute;visibility:visible;mso-wrap-style:square" from="3245,6015" to="3866,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group>
            </w:pict>
          </mc:Fallback>
        </mc:AlternateContent>
      </w:r>
    </w:p>
    <w:p w14:paraId="2F852A52" w14:textId="77777777" w:rsidR="00171D30" w:rsidRPr="00171D30" w:rsidRDefault="00171D30" w:rsidP="00171D30">
      <w:pPr>
        <w:spacing w:before="180" w:after="0" w:line="240" w:lineRule="auto"/>
        <w:ind w:left="567" w:hanging="567"/>
        <w:rPr>
          <w:rFonts w:cs="Arial"/>
          <w:i/>
          <w:szCs w:val="20"/>
        </w:rPr>
      </w:pPr>
    </w:p>
    <w:p w14:paraId="22B54C4E" w14:textId="77777777" w:rsidR="00171D30" w:rsidRPr="00171D30" w:rsidRDefault="00171D30" w:rsidP="00171D30">
      <w:pPr>
        <w:spacing w:before="180" w:after="0" w:line="240" w:lineRule="auto"/>
        <w:ind w:left="709" w:hanging="567"/>
        <w:rPr>
          <w:rFonts w:cs="Arial"/>
          <w:szCs w:val="20"/>
        </w:rPr>
      </w:pPr>
      <w:r w:rsidRPr="00171D30">
        <w:rPr>
          <w:rFonts w:cs="Arial"/>
          <w:i/>
          <w:szCs w:val="20"/>
        </w:rPr>
        <w:tab/>
        <w:t>The person’s company interest in Company B is worked out using the formula:</w:t>
      </w:r>
    </w:p>
    <w:p w14:paraId="203D0EE0" w14:textId="77777777" w:rsidR="00171D30" w:rsidRPr="00171D30" w:rsidRDefault="00171D30" w:rsidP="00171D30">
      <w:pPr>
        <w:spacing w:before="120" w:after="0" w:line="240" w:lineRule="auto"/>
        <w:ind w:left="709"/>
        <w:rPr>
          <w:rFonts w:cs="Arial"/>
          <w:szCs w:val="20"/>
        </w:rPr>
      </w:pPr>
      <w:r w:rsidRPr="00171D30">
        <w:rPr>
          <w:rFonts w:cs="Arial"/>
          <w:noProof/>
          <w:szCs w:val="20"/>
        </w:rPr>
        <w:drawing>
          <wp:inline distT="0" distB="0" distL="0" distR="0" wp14:anchorId="50CDBEB7" wp14:editId="001A644D">
            <wp:extent cx="2212975" cy="176530"/>
            <wp:effectExtent l="0" t="0" r="0" b="0"/>
            <wp:docPr id="25" name="Picture 25" descr="company interest 1 x company interest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12975" cy="176530"/>
                    </a:xfrm>
                    <a:prstGeom prst="rect">
                      <a:avLst/>
                    </a:prstGeom>
                    <a:noFill/>
                    <a:ln>
                      <a:noFill/>
                    </a:ln>
                  </pic:spPr>
                </pic:pic>
              </a:graphicData>
            </a:graphic>
          </wp:inline>
        </w:drawing>
      </w:r>
    </w:p>
    <w:p w14:paraId="6170663D" w14:textId="77777777" w:rsidR="00171D30" w:rsidRPr="00171D30" w:rsidRDefault="00171D30" w:rsidP="00171D30">
      <w:pPr>
        <w:spacing w:before="40" w:after="0" w:line="240" w:lineRule="auto"/>
        <w:ind w:left="1134" w:hanging="567"/>
        <w:rPr>
          <w:rFonts w:cs="Arial"/>
          <w:szCs w:val="20"/>
        </w:rPr>
      </w:pPr>
      <w:r w:rsidRPr="00171D30">
        <w:rPr>
          <w:rFonts w:cs="Arial"/>
          <w:i/>
          <w:szCs w:val="20"/>
        </w:rPr>
        <w:t>where:</w:t>
      </w:r>
    </w:p>
    <w:p w14:paraId="300F1B36" w14:textId="77777777" w:rsidR="00171D30" w:rsidRPr="00171D30" w:rsidRDefault="00171D30" w:rsidP="00171D30">
      <w:pPr>
        <w:spacing w:before="180" w:after="0" w:line="240" w:lineRule="auto"/>
        <w:ind w:left="1134" w:hanging="567"/>
        <w:rPr>
          <w:rFonts w:cs="Arial"/>
          <w:i/>
          <w:szCs w:val="20"/>
        </w:rPr>
      </w:pPr>
      <w:r w:rsidRPr="00171D30">
        <w:rPr>
          <w:rFonts w:cs="Arial"/>
          <w:b/>
          <w:i/>
          <w:szCs w:val="20"/>
        </w:rPr>
        <w:t>Company Interest 1</w:t>
      </w:r>
      <w:r w:rsidRPr="00171D30">
        <w:rPr>
          <w:rFonts w:cs="Arial"/>
          <w:i/>
          <w:szCs w:val="20"/>
        </w:rPr>
        <w:t xml:space="preserve"> is the company interest of the person, expressed as a fraction, in Company A.</w:t>
      </w:r>
    </w:p>
    <w:p w14:paraId="4E93B36B" w14:textId="77777777" w:rsidR="00171D30" w:rsidRPr="00171D30" w:rsidRDefault="00171D30" w:rsidP="00171D30">
      <w:pPr>
        <w:spacing w:before="180" w:after="0" w:line="240" w:lineRule="auto"/>
        <w:ind w:left="1134" w:hanging="567"/>
        <w:rPr>
          <w:rFonts w:cs="Arial"/>
          <w:szCs w:val="20"/>
        </w:rPr>
      </w:pPr>
      <w:r w:rsidRPr="00171D30">
        <w:rPr>
          <w:rFonts w:cs="Arial"/>
          <w:b/>
          <w:i/>
          <w:szCs w:val="20"/>
        </w:rPr>
        <w:t>Company Interest 2</w:t>
      </w:r>
      <w:r w:rsidRPr="00171D30">
        <w:rPr>
          <w:rFonts w:cs="Arial"/>
          <w:szCs w:val="20"/>
        </w:rPr>
        <w:t xml:space="preserve"> </w:t>
      </w:r>
      <w:r w:rsidRPr="00171D30">
        <w:rPr>
          <w:rFonts w:cs="Arial"/>
          <w:i/>
          <w:szCs w:val="20"/>
        </w:rPr>
        <w:t>is the company interest of Company A, expressed as a fraction, in Company B.</w:t>
      </w:r>
    </w:p>
    <w:p w14:paraId="1356F0AE" w14:textId="77777777" w:rsidR="00171D30" w:rsidRPr="00171D30" w:rsidRDefault="00171D30" w:rsidP="00171D30">
      <w:pPr>
        <w:spacing w:before="40" w:after="0" w:line="240" w:lineRule="auto"/>
        <w:ind w:left="851" w:hanging="284"/>
        <w:rPr>
          <w:rFonts w:cs="Arial"/>
          <w:szCs w:val="20"/>
        </w:rPr>
      </w:pPr>
      <w:r w:rsidRPr="00171D30">
        <w:rPr>
          <w:rFonts w:cs="Arial"/>
          <w:i/>
          <w:szCs w:val="20"/>
        </w:rPr>
        <w:t>In this case, the formula produces: 3/10 X 1/10, which means that the person has a 3% company interest in Company B.</w:t>
      </w:r>
    </w:p>
    <w:p w14:paraId="095C10C4" w14:textId="77777777" w:rsidR="00171D30" w:rsidRPr="00171D30" w:rsidRDefault="00171D30" w:rsidP="00171D30">
      <w:pPr>
        <w:spacing w:before="40" w:after="0" w:line="240" w:lineRule="auto"/>
        <w:ind w:left="142"/>
        <w:rPr>
          <w:rFonts w:cs="Arial"/>
          <w:szCs w:val="20"/>
        </w:rPr>
      </w:pPr>
    </w:p>
    <w:p w14:paraId="2BFBE29B" w14:textId="77777777" w:rsidR="00171D30" w:rsidRPr="00171D30" w:rsidRDefault="00171D30" w:rsidP="00171D30">
      <w:pPr>
        <w:spacing w:before="40" w:line="240" w:lineRule="auto"/>
        <w:ind w:left="142"/>
        <w:rPr>
          <w:rFonts w:cs="Arial"/>
          <w:szCs w:val="20"/>
        </w:rPr>
      </w:pPr>
      <w:r w:rsidRPr="00171D30">
        <w:rPr>
          <w:rFonts w:cs="Arial"/>
          <w:szCs w:val="20"/>
        </w:rPr>
        <w:t>Interests traced in this way can be added. If Company B is a licensee and the person had, through other chains of companies, a further 12.5% company interest in Company B, the person would be regarded as being in a position to exercise control of Company B under Part 3 of this Schedule because the person would have company interests exceeding 15% in Company B.</w:t>
      </w:r>
    </w:p>
    <w:p w14:paraId="79311F02" w14:textId="77777777" w:rsidR="00171D30" w:rsidRPr="00171D30" w:rsidRDefault="00171D30" w:rsidP="00171D30">
      <w:pPr>
        <w:keepNext/>
        <w:spacing w:before="40" w:after="0" w:line="240" w:lineRule="auto"/>
        <w:rPr>
          <w:rFonts w:cs="Arial"/>
          <w:b/>
          <w:szCs w:val="20"/>
        </w:rPr>
      </w:pPr>
      <w:r w:rsidRPr="00171D30">
        <w:rPr>
          <w:rFonts w:cs="Arial"/>
          <w:b/>
          <w:szCs w:val="20"/>
        </w:rPr>
        <w:t>Example:</w:t>
      </w:r>
    </w:p>
    <w:p w14:paraId="6C7F9399" w14:textId="77777777" w:rsidR="00171D30" w:rsidRPr="00171D30" w:rsidRDefault="00171D30" w:rsidP="00171D30">
      <w:pPr>
        <w:spacing w:before="180" w:after="0" w:line="240" w:lineRule="auto"/>
        <w:ind w:left="1134" w:hanging="283"/>
        <w:rPr>
          <w:rFonts w:cs="Arial"/>
          <w:szCs w:val="20"/>
        </w:rPr>
      </w:pPr>
      <w:r w:rsidRPr="00171D30">
        <w:rPr>
          <w:rFonts w:cs="Arial"/>
          <w:noProof/>
          <w:szCs w:val="20"/>
        </w:rPr>
        <w:drawing>
          <wp:inline distT="0" distB="0" distL="0" distR="0" wp14:anchorId="0F868E14" wp14:editId="38056045">
            <wp:extent cx="2819400" cy="1354054"/>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842648" cy="1365219"/>
                    </a:xfrm>
                    <a:prstGeom prst="rect">
                      <a:avLst/>
                    </a:prstGeom>
                  </pic:spPr>
                </pic:pic>
              </a:graphicData>
            </a:graphic>
          </wp:inline>
        </w:drawing>
      </w:r>
    </w:p>
    <w:p w14:paraId="754E48CB" w14:textId="77777777" w:rsidR="00171D30" w:rsidRPr="00171D30" w:rsidRDefault="00171D30" w:rsidP="00171D30">
      <w:pPr>
        <w:spacing w:before="180" w:after="0" w:line="240" w:lineRule="auto"/>
        <w:ind w:left="567"/>
        <w:rPr>
          <w:rFonts w:cs="Arial"/>
          <w:szCs w:val="20"/>
        </w:rPr>
      </w:pPr>
      <w:r w:rsidRPr="00171D30">
        <w:rPr>
          <w:rFonts w:cs="Arial"/>
          <w:szCs w:val="20"/>
        </w:rPr>
        <w:t>In this example, the person has a 15.5% company interest in Company B. This is made up of 3% (through Company A), 8% (through Company C) and 4.5% (through Company D).</w:t>
      </w:r>
    </w:p>
    <w:p w14:paraId="574B8975" w14:textId="77777777" w:rsidR="00171D30" w:rsidRPr="00171D30" w:rsidRDefault="00171D30" w:rsidP="00171D30">
      <w:pPr>
        <w:spacing w:before="40" w:after="0" w:line="240" w:lineRule="auto"/>
        <w:ind w:left="567"/>
        <w:rPr>
          <w:rFonts w:cs="Arial"/>
          <w:szCs w:val="20"/>
        </w:rPr>
      </w:pPr>
      <w:r w:rsidRPr="00171D30">
        <w:rPr>
          <w:rFonts w:cs="Arial"/>
          <w:szCs w:val="20"/>
        </w:rPr>
        <w:t>This method of tracing ownership may be used through any number of companies. However, the ACMA is not required to trace every minor company interest.</w:t>
      </w:r>
    </w:p>
    <w:p w14:paraId="1DEA8C17" w14:textId="3BE55DBD" w:rsidR="00FF3C69" w:rsidRDefault="00FF3C69" w:rsidP="00851F3F"/>
    <w:sectPr w:rsidR="00FF3C69" w:rsidSect="00C77380">
      <w:headerReference w:type="even" r:id="rId49"/>
      <w:headerReference w:type="default" r:id="rId50"/>
      <w:footerReference w:type="even" r:id="rId51"/>
      <w:footerReference w:type="default" r:id="rId5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FF5E3" w14:textId="77777777" w:rsidR="00FE4514" w:rsidRDefault="00FE4514">
      <w:r>
        <w:separator/>
      </w:r>
    </w:p>
  </w:endnote>
  <w:endnote w:type="continuationSeparator" w:id="0">
    <w:p w14:paraId="6DA82D02" w14:textId="77777777" w:rsidR="00FE4514" w:rsidRDefault="00FE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C73AA" w14:textId="77777777" w:rsidR="00171D30" w:rsidRDefault="00171D30" w:rsidP="005E250B">
    <w:pPr>
      <w:pStyle w:val="Footer"/>
      <w:jc w:val="right"/>
    </w:pPr>
    <w:r w:rsidRPr="005E250B">
      <w:rPr>
        <w:noProof/>
        <w:vertAlign w:val="subscript"/>
      </w:rPr>
      <w:drawing>
        <wp:inline distT="0" distB="0" distL="0" distR="0" wp14:anchorId="43B22C9A" wp14:editId="2565D927">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E66B1" w14:textId="77777777" w:rsidR="00171D30" w:rsidRDefault="00171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43B2E" w14:textId="77777777" w:rsidR="00171D30" w:rsidRDefault="00171D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F22F8" w14:textId="77777777" w:rsidR="00171D30" w:rsidRPr="00622A3B" w:rsidRDefault="00171D30"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09DD80B4" w14:textId="77777777" w:rsidR="00171D30" w:rsidRPr="00A5474E" w:rsidRDefault="00171D30"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08DAB" w14:textId="77777777" w:rsidR="00171D30" w:rsidRPr="00622A3B" w:rsidRDefault="00171D30"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0177913F" w14:textId="77777777" w:rsidR="00171D30" w:rsidRPr="00A5474E" w:rsidRDefault="00171D30"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38B39" w14:textId="77777777" w:rsidR="00171D30" w:rsidRPr="00622A3B" w:rsidRDefault="00171D30"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1DF0FAA0" w14:textId="77777777" w:rsidR="00171D30" w:rsidRPr="00A5474E" w:rsidRDefault="00171D30"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D2A73" w14:textId="77777777" w:rsidR="00171D30" w:rsidRPr="00622A3B" w:rsidRDefault="00171D30"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44227058" w14:textId="77777777" w:rsidR="00171D30" w:rsidRPr="00A5474E" w:rsidRDefault="00171D30"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45DB8" w14:textId="77777777" w:rsidR="00171D30" w:rsidRPr="00622A3B" w:rsidRDefault="00171D30"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4D2C2E7D" w14:textId="77777777" w:rsidR="00171D30" w:rsidRPr="00A5474E" w:rsidRDefault="00171D30"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A3130" w14:textId="77777777" w:rsidR="00FE4514" w:rsidRDefault="00FE4514">
      <w:r>
        <w:separator/>
      </w:r>
    </w:p>
  </w:footnote>
  <w:footnote w:type="continuationSeparator" w:id="0">
    <w:p w14:paraId="272A51FE" w14:textId="77777777" w:rsidR="00FE4514" w:rsidRDefault="00FE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97CEE" w14:textId="77777777" w:rsidR="00171D30" w:rsidRPr="00A5474E" w:rsidRDefault="00171D30" w:rsidP="00A5474E">
    <w:pPr>
      <w:pStyle w:val="Header"/>
    </w:pPr>
    <w:r>
      <w:rPr>
        <w:noProof/>
      </w:rPr>
      <w:drawing>
        <wp:inline distT="0" distB="0" distL="0" distR="0" wp14:anchorId="6E487292" wp14:editId="6C604133">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9C889" w14:textId="77777777" w:rsidR="00171D30" w:rsidRPr="00A5474E" w:rsidRDefault="00171D30"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DE416" w14:textId="77777777" w:rsidR="00171D30" w:rsidRDefault="00171D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9E590" w14:textId="77777777" w:rsidR="00171D30" w:rsidRDefault="00171D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171D30" w14:paraId="3756B09F" w14:textId="77777777" w:rsidTr="00171D30">
      <w:trPr>
        <w:trHeight w:hRule="exact" w:val="988"/>
      </w:trPr>
      <w:tc>
        <w:tcPr>
          <w:tcW w:w="7678" w:type="dxa"/>
          <w:shd w:val="clear" w:color="auto" w:fill="auto"/>
        </w:tcPr>
        <w:p w14:paraId="7E810982" w14:textId="77777777" w:rsidR="00171D30" w:rsidRDefault="00171D30" w:rsidP="00971914">
          <w:pPr>
            <w:pStyle w:val="Header"/>
          </w:pPr>
        </w:p>
      </w:tc>
    </w:tr>
    <w:tr w:rsidR="00171D30" w14:paraId="290B9250" w14:textId="77777777" w:rsidTr="00171D30">
      <w:tc>
        <w:tcPr>
          <w:tcW w:w="7678" w:type="dxa"/>
          <w:shd w:val="clear" w:color="auto" w:fill="auto"/>
        </w:tcPr>
        <w:p w14:paraId="13C288EC" w14:textId="77777777" w:rsidR="00171D30" w:rsidRDefault="00171D30" w:rsidP="00971914">
          <w:pPr>
            <w:pStyle w:val="GridTable31"/>
          </w:pPr>
          <w:r>
            <w:t xml:space="preserve">Contents </w:t>
          </w:r>
          <w:r w:rsidRPr="00915B1C">
            <w:rPr>
              <w:b w:val="0"/>
              <w:spacing w:val="0"/>
              <w:sz w:val="28"/>
              <w:szCs w:val="28"/>
            </w:rPr>
            <w:t>(Continued)</w:t>
          </w:r>
        </w:p>
      </w:tc>
    </w:tr>
    <w:tr w:rsidR="00171D30" w14:paraId="53C227A5" w14:textId="77777777" w:rsidTr="00171D30">
      <w:trPr>
        <w:trHeight w:val="1220"/>
      </w:trPr>
      <w:tc>
        <w:tcPr>
          <w:tcW w:w="7678" w:type="dxa"/>
          <w:shd w:val="clear" w:color="auto" w:fill="auto"/>
        </w:tcPr>
        <w:p w14:paraId="3BF8D2F7" w14:textId="77777777" w:rsidR="00171D30" w:rsidRDefault="00171D30" w:rsidP="00971914"/>
      </w:tc>
    </w:tr>
  </w:tbl>
  <w:p w14:paraId="5A77BD95" w14:textId="77777777" w:rsidR="00171D30" w:rsidRDefault="00171D30"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171D30" w14:paraId="11A33244" w14:textId="77777777" w:rsidTr="00171D30">
      <w:trPr>
        <w:trHeight w:hRule="exact" w:val="988"/>
      </w:trPr>
      <w:tc>
        <w:tcPr>
          <w:tcW w:w="7678" w:type="dxa"/>
          <w:shd w:val="clear" w:color="auto" w:fill="auto"/>
        </w:tcPr>
        <w:p w14:paraId="208461A8" w14:textId="77777777" w:rsidR="00171D30" w:rsidRDefault="00171D30" w:rsidP="00971914">
          <w:pPr>
            <w:pStyle w:val="Header"/>
          </w:pPr>
        </w:p>
      </w:tc>
    </w:tr>
    <w:tr w:rsidR="00171D30" w14:paraId="7BDE45A8" w14:textId="77777777" w:rsidTr="00171D30">
      <w:tc>
        <w:tcPr>
          <w:tcW w:w="7678" w:type="dxa"/>
          <w:shd w:val="clear" w:color="auto" w:fill="auto"/>
        </w:tcPr>
        <w:p w14:paraId="3CCC1213" w14:textId="77777777" w:rsidR="00171D30" w:rsidRDefault="00171D30" w:rsidP="00971914">
          <w:pPr>
            <w:pStyle w:val="GridTable31"/>
          </w:pPr>
          <w:r>
            <w:t xml:space="preserve">Contents </w:t>
          </w:r>
          <w:r w:rsidRPr="00915B1C">
            <w:rPr>
              <w:b w:val="0"/>
              <w:spacing w:val="0"/>
              <w:sz w:val="28"/>
              <w:szCs w:val="28"/>
            </w:rPr>
            <w:t>(Continued)</w:t>
          </w:r>
        </w:p>
      </w:tc>
    </w:tr>
    <w:tr w:rsidR="00171D30" w14:paraId="74A7BD1D" w14:textId="77777777" w:rsidTr="00171D30">
      <w:trPr>
        <w:trHeight w:val="1220"/>
      </w:trPr>
      <w:tc>
        <w:tcPr>
          <w:tcW w:w="7678" w:type="dxa"/>
          <w:shd w:val="clear" w:color="auto" w:fill="auto"/>
        </w:tcPr>
        <w:p w14:paraId="1923274F" w14:textId="77777777" w:rsidR="00171D30" w:rsidRDefault="00171D30" w:rsidP="00971914"/>
      </w:tc>
    </w:tr>
  </w:tbl>
  <w:p w14:paraId="620F034F" w14:textId="77777777" w:rsidR="00171D30" w:rsidRPr="00A5474E" w:rsidRDefault="00171D30"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B1874" w14:textId="77777777" w:rsidR="00171D30" w:rsidRDefault="00171D3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EFF7C" w14:textId="77777777" w:rsidR="00171D30" w:rsidRDefault="00171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1640AD9"/>
    <w:multiLevelType w:val="hybridMultilevel"/>
    <w:tmpl w:val="96244B00"/>
    <w:lvl w:ilvl="0" w:tplc="7C4E41A6">
      <w:start w:val="1"/>
      <w:numFmt w:val="lowerLetter"/>
      <w:lvlText w:val="(%1)"/>
      <w:lvlJc w:val="left"/>
      <w:pPr>
        <w:ind w:left="1353" w:hanging="360"/>
      </w:pPr>
      <w:rPr>
        <w:rFonts w:asciiTheme="minorHAnsi" w:eastAsiaTheme="minorHAnsi" w:hAnsiTheme="minorHAnsi" w:cs="Times New Roman"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15:restartNumberingAfterBreak="0">
    <w:nsid w:val="02FC1ECB"/>
    <w:multiLevelType w:val="hybridMultilevel"/>
    <w:tmpl w:val="337EEE6A"/>
    <w:lvl w:ilvl="0" w:tplc="D3AAC95C">
      <w:start w:val="1"/>
      <w:numFmt w:val="lowerLetter"/>
      <w:lvlText w:val="(%1)"/>
      <w:lvlJc w:val="left"/>
      <w:pPr>
        <w:ind w:left="720" w:hanging="360"/>
      </w:pPr>
      <w:rPr>
        <w:rFonts w:asciiTheme="minorHAnsi" w:eastAsiaTheme="minorHAnsi" w:hAnsiTheme="minorHAnsi" w:cs="Times New Roman"/>
      </w:rPr>
    </w:lvl>
    <w:lvl w:ilvl="1" w:tplc="D3AAC95C">
      <w:start w:val="1"/>
      <w:numFmt w:val="lowerLetter"/>
      <w:lvlText w:val="(%2)"/>
      <w:lvlJc w:val="left"/>
      <w:pPr>
        <w:ind w:left="1440" w:hanging="360"/>
      </w:pPr>
      <w:rPr>
        <w:rFonts w:asciiTheme="minorHAnsi" w:eastAsiaTheme="minorHAnsi" w:hAnsiTheme="minorHAnsi"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363E5A"/>
    <w:multiLevelType w:val="hybridMultilevel"/>
    <w:tmpl w:val="E1CE4F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35566A"/>
    <w:multiLevelType w:val="hybridMultilevel"/>
    <w:tmpl w:val="E7207898"/>
    <w:lvl w:ilvl="0" w:tplc="C0C017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A9055CD"/>
    <w:multiLevelType w:val="hybridMultilevel"/>
    <w:tmpl w:val="DE7E0EA2"/>
    <w:lvl w:ilvl="0" w:tplc="C0C0174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B3C354F"/>
    <w:multiLevelType w:val="hybridMultilevel"/>
    <w:tmpl w:val="B682526A"/>
    <w:lvl w:ilvl="0" w:tplc="43E2C02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C43EA2"/>
    <w:multiLevelType w:val="hybridMultilevel"/>
    <w:tmpl w:val="816217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9F6B6F"/>
    <w:multiLevelType w:val="hybridMultilevel"/>
    <w:tmpl w:val="BB70646C"/>
    <w:lvl w:ilvl="0" w:tplc="43E2C02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AD75C8"/>
    <w:multiLevelType w:val="hybridMultilevel"/>
    <w:tmpl w:val="418C1548"/>
    <w:lvl w:ilvl="0" w:tplc="D3AAC95C">
      <w:start w:val="1"/>
      <w:numFmt w:val="lowerLetter"/>
      <w:lvlText w:val="(%1)"/>
      <w:lvlJc w:val="left"/>
      <w:pPr>
        <w:ind w:left="720" w:hanging="360"/>
      </w:pPr>
      <w:rPr>
        <w:rFonts w:asciiTheme="minorHAnsi" w:eastAsiaTheme="minorHAnsi"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8127FD"/>
    <w:multiLevelType w:val="hybridMultilevel"/>
    <w:tmpl w:val="A23A0FF0"/>
    <w:lvl w:ilvl="0" w:tplc="D3AAC95C">
      <w:start w:val="1"/>
      <w:numFmt w:val="lowerLetter"/>
      <w:lvlText w:val="(%1)"/>
      <w:lvlJc w:val="left"/>
      <w:pPr>
        <w:ind w:left="720" w:hanging="360"/>
      </w:pPr>
      <w:rPr>
        <w:rFonts w:asciiTheme="minorHAnsi" w:eastAsiaTheme="minorHAnsi"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8303F0"/>
    <w:multiLevelType w:val="hybridMultilevel"/>
    <w:tmpl w:val="9342C846"/>
    <w:lvl w:ilvl="0" w:tplc="D3AAC95C">
      <w:start w:val="1"/>
      <w:numFmt w:val="lowerLetter"/>
      <w:lvlText w:val="(%1)"/>
      <w:lvlJc w:val="left"/>
      <w:pPr>
        <w:ind w:left="494" w:hanging="360"/>
      </w:pPr>
      <w:rPr>
        <w:rFonts w:asciiTheme="minorHAnsi" w:eastAsiaTheme="minorHAnsi" w:hAnsiTheme="minorHAnsi" w:cs="Times New Roman"/>
      </w:rPr>
    </w:lvl>
    <w:lvl w:ilvl="1" w:tplc="0C090019" w:tentative="1">
      <w:start w:val="1"/>
      <w:numFmt w:val="lowerLetter"/>
      <w:lvlText w:val="%2."/>
      <w:lvlJc w:val="left"/>
      <w:pPr>
        <w:ind w:left="1214" w:hanging="360"/>
      </w:pPr>
    </w:lvl>
    <w:lvl w:ilvl="2" w:tplc="0C09001B" w:tentative="1">
      <w:start w:val="1"/>
      <w:numFmt w:val="lowerRoman"/>
      <w:lvlText w:val="%3."/>
      <w:lvlJc w:val="right"/>
      <w:pPr>
        <w:ind w:left="1934" w:hanging="180"/>
      </w:pPr>
    </w:lvl>
    <w:lvl w:ilvl="3" w:tplc="0C09000F" w:tentative="1">
      <w:start w:val="1"/>
      <w:numFmt w:val="decimal"/>
      <w:lvlText w:val="%4."/>
      <w:lvlJc w:val="left"/>
      <w:pPr>
        <w:ind w:left="2654" w:hanging="360"/>
      </w:pPr>
    </w:lvl>
    <w:lvl w:ilvl="4" w:tplc="0C090019" w:tentative="1">
      <w:start w:val="1"/>
      <w:numFmt w:val="lowerLetter"/>
      <w:lvlText w:val="%5."/>
      <w:lvlJc w:val="left"/>
      <w:pPr>
        <w:ind w:left="3374" w:hanging="360"/>
      </w:pPr>
    </w:lvl>
    <w:lvl w:ilvl="5" w:tplc="0C09001B" w:tentative="1">
      <w:start w:val="1"/>
      <w:numFmt w:val="lowerRoman"/>
      <w:lvlText w:val="%6."/>
      <w:lvlJc w:val="right"/>
      <w:pPr>
        <w:ind w:left="4094" w:hanging="180"/>
      </w:pPr>
    </w:lvl>
    <w:lvl w:ilvl="6" w:tplc="0C09000F" w:tentative="1">
      <w:start w:val="1"/>
      <w:numFmt w:val="decimal"/>
      <w:lvlText w:val="%7."/>
      <w:lvlJc w:val="left"/>
      <w:pPr>
        <w:ind w:left="4814" w:hanging="360"/>
      </w:pPr>
    </w:lvl>
    <w:lvl w:ilvl="7" w:tplc="0C090019" w:tentative="1">
      <w:start w:val="1"/>
      <w:numFmt w:val="lowerLetter"/>
      <w:lvlText w:val="%8."/>
      <w:lvlJc w:val="left"/>
      <w:pPr>
        <w:ind w:left="5534" w:hanging="360"/>
      </w:pPr>
    </w:lvl>
    <w:lvl w:ilvl="8" w:tplc="0C09001B" w:tentative="1">
      <w:start w:val="1"/>
      <w:numFmt w:val="lowerRoman"/>
      <w:lvlText w:val="%9."/>
      <w:lvlJc w:val="right"/>
      <w:pPr>
        <w:ind w:left="6254" w:hanging="180"/>
      </w:pPr>
    </w:lvl>
  </w:abstractNum>
  <w:abstractNum w:abstractNumId="16" w15:restartNumberingAfterBreak="0">
    <w:nsid w:val="23FC34A2"/>
    <w:multiLevelType w:val="hybridMultilevel"/>
    <w:tmpl w:val="4E3CBA0C"/>
    <w:lvl w:ilvl="0" w:tplc="0D08275C">
      <w:start w:val="9"/>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7" w15:restartNumberingAfterBreak="0">
    <w:nsid w:val="29D92A3A"/>
    <w:multiLevelType w:val="hybridMultilevel"/>
    <w:tmpl w:val="98B0221A"/>
    <w:lvl w:ilvl="0" w:tplc="D8D2A520">
      <w:start w:val="1"/>
      <w:numFmt w:val="decimal"/>
      <w:lvlText w:val="(%1)"/>
      <w:lvlJc w:val="left"/>
      <w:pPr>
        <w:ind w:left="720" w:hanging="360"/>
      </w:pPr>
      <w:rPr>
        <w:rFonts w:hint="default"/>
      </w:rPr>
    </w:lvl>
    <w:lvl w:ilvl="1" w:tplc="C1B00E5C">
      <w:start w:val="1"/>
      <w:numFmt w:val="lowerLetter"/>
      <w:lvlText w:val="(%2)"/>
      <w:lvlJc w:val="left"/>
      <w:pPr>
        <w:ind w:left="1455" w:hanging="37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4A6CE8"/>
    <w:multiLevelType w:val="hybridMultilevel"/>
    <w:tmpl w:val="C868BB0C"/>
    <w:lvl w:ilvl="0" w:tplc="0C090017">
      <w:start w:val="1"/>
      <w:numFmt w:val="lowerLetter"/>
      <w:lvlText w:val="%1)"/>
      <w:lvlJc w:val="left"/>
      <w:pPr>
        <w:ind w:left="721" w:hanging="360"/>
      </w:pPr>
    </w:lvl>
    <w:lvl w:ilvl="1" w:tplc="D3AAC95C">
      <w:start w:val="1"/>
      <w:numFmt w:val="lowerLetter"/>
      <w:lvlText w:val="(%2)"/>
      <w:lvlJc w:val="left"/>
      <w:pPr>
        <w:ind w:left="1441" w:hanging="360"/>
      </w:pPr>
      <w:rPr>
        <w:rFonts w:asciiTheme="minorHAnsi" w:eastAsiaTheme="minorHAnsi" w:hAnsiTheme="minorHAnsi" w:cs="Times New Roman"/>
      </w:rPr>
    </w:lvl>
    <w:lvl w:ilvl="2" w:tplc="6A3ACD44">
      <w:start w:val="6"/>
      <w:numFmt w:val="decimal"/>
      <w:lvlText w:val="(%3)"/>
      <w:lvlJc w:val="left"/>
      <w:pPr>
        <w:ind w:left="2341" w:hanging="360"/>
      </w:pPr>
      <w:rPr>
        <w:rFonts w:eastAsiaTheme="minorHAnsi" w:hint="default"/>
        <w:color w:val="000000"/>
      </w:r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319434D8"/>
    <w:multiLevelType w:val="hybridMultilevel"/>
    <w:tmpl w:val="816217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9317E8"/>
    <w:multiLevelType w:val="hybridMultilevel"/>
    <w:tmpl w:val="816217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A56DF6"/>
    <w:multiLevelType w:val="hybridMultilevel"/>
    <w:tmpl w:val="816217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30778E"/>
    <w:multiLevelType w:val="hybridMultilevel"/>
    <w:tmpl w:val="816217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3620F0"/>
    <w:multiLevelType w:val="hybridMultilevel"/>
    <w:tmpl w:val="63B233B4"/>
    <w:lvl w:ilvl="0" w:tplc="592EC872">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C55726"/>
    <w:multiLevelType w:val="hybridMultilevel"/>
    <w:tmpl w:val="8B7CA2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8053B62"/>
    <w:multiLevelType w:val="hybridMultilevel"/>
    <w:tmpl w:val="816217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AB1AC7"/>
    <w:multiLevelType w:val="multilevel"/>
    <w:tmpl w:val="407643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788" w:hanging="708"/>
      </w:pPr>
      <w:rPr>
        <w:rFonts w:hint="default"/>
      </w:rPr>
    </w:lvl>
    <w:lvl w:ilvl="2">
      <w:start w:val="1"/>
      <w:numFmt w:val="decimal"/>
      <w:lvlText w:val="(%3)"/>
      <w:lvlJc w:val="left"/>
      <w:pPr>
        <w:ind w:left="2415" w:hanging="61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60386"/>
    <w:multiLevelType w:val="hybridMultilevel"/>
    <w:tmpl w:val="816217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9463E4"/>
    <w:multiLevelType w:val="hybridMultilevel"/>
    <w:tmpl w:val="816217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874FE9"/>
    <w:multiLevelType w:val="hybridMultilevel"/>
    <w:tmpl w:val="816217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0F6F44"/>
    <w:multiLevelType w:val="hybridMultilevel"/>
    <w:tmpl w:val="816217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C1563"/>
    <w:multiLevelType w:val="hybridMultilevel"/>
    <w:tmpl w:val="4CB4EE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3D469FE"/>
    <w:multiLevelType w:val="hybridMultilevel"/>
    <w:tmpl w:val="816217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867E89"/>
    <w:multiLevelType w:val="hybridMultilevel"/>
    <w:tmpl w:val="308CD4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78340B"/>
    <w:multiLevelType w:val="hybridMultilevel"/>
    <w:tmpl w:val="6428AF96"/>
    <w:lvl w:ilvl="0" w:tplc="D14E39F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D993A7F"/>
    <w:multiLevelType w:val="hybridMultilevel"/>
    <w:tmpl w:val="A198EDD0"/>
    <w:lvl w:ilvl="0" w:tplc="43E2C02C">
      <w:start w:val="1"/>
      <w:numFmt w:val="lowerRoman"/>
      <w:lvlText w:val="(%1)"/>
      <w:lvlJc w:val="right"/>
      <w:pPr>
        <w:ind w:left="2705" w:hanging="360"/>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num w:numId="1">
    <w:abstractNumId w:val="3"/>
  </w:num>
  <w:num w:numId="2">
    <w:abstractNumId w:val="1"/>
  </w:num>
  <w:num w:numId="3">
    <w:abstractNumId w:val="2"/>
  </w:num>
  <w:num w:numId="4">
    <w:abstractNumId w:val="0"/>
  </w:num>
  <w:num w:numId="5">
    <w:abstractNumId w:val="19"/>
  </w:num>
  <w:num w:numId="6">
    <w:abstractNumId w:val="34"/>
  </w:num>
  <w:num w:numId="7">
    <w:abstractNumId w:val="28"/>
  </w:num>
  <w:num w:numId="8">
    <w:abstractNumId w:val="33"/>
  </w:num>
  <w:num w:numId="9">
    <w:abstractNumId w:val="35"/>
  </w:num>
  <w:num w:numId="10">
    <w:abstractNumId w:val="7"/>
  </w:num>
  <w:num w:numId="11">
    <w:abstractNumId w:val="2"/>
    <w:lvlOverride w:ilvl="0">
      <w:startOverride w:val="1"/>
    </w:lvlOverride>
  </w:num>
  <w:num w:numId="12">
    <w:abstractNumId w:val="38"/>
  </w:num>
  <w:num w:numId="13">
    <w:abstractNumId w:val="25"/>
  </w:num>
  <w:num w:numId="14">
    <w:abstractNumId w:val="21"/>
  </w:num>
  <w:num w:numId="15">
    <w:abstractNumId w:val="37"/>
  </w:num>
  <w:num w:numId="16">
    <w:abstractNumId w:val="22"/>
  </w:num>
  <w:num w:numId="17">
    <w:abstractNumId w:val="11"/>
  </w:num>
  <w:num w:numId="18">
    <w:abstractNumId w:val="30"/>
  </w:num>
  <w:num w:numId="19">
    <w:abstractNumId w:val="6"/>
  </w:num>
  <w:num w:numId="20">
    <w:abstractNumId w:val="17"/>
  </w:num>
  <w:num w:numId="21">
    <w:abstractNumId w:val="39"/>
  </w:num>
  <w:num w:numId="22">
    <w:abstractNumId w:val="27"/>
  </w:num>
  <w:num w:numId="23">
    <w:abstractNumId w:val="13"/>
  </w:num>
  <w:num w:numId="24">
    <w:abstractNumId w:val="18"/>
  </w:num>
  <w:num w:numId="25">
    <w:abstractNumId w:val="16"/>
  </w:num>
  <w:num w:numId="26">
    <w:abstractNumId w:val="15"/>
  </w:num>
  <w:num w:numId="27">
    <w:abstractNumId w:val="40"/>
  </w:num>
  <w:num w:numId="28">
    <w:abstractNumId w:val="10"/>
  </w:num>
  <w:num w:numId="29">
    <w:abstractNumId w:val="14"/>
  </w:num>
  <w:num w:numId="30">
    <w:abstractNumId w:val="24"/>
  </w:num>
  <w:num w:numId="31">
    <w:abstractNumId w:val="29"/>
  </w:num>
  <w:num w:numId="32">
    <w:abstractNumId w:val="5"/>
  </w:num>
  <w:num w:numId="33">
    <w:abstractNumId w:val="12"/>
  </w:num>
  <w:num w:numId="34">
    <w:abstractNumId w:val="36"/>
  </w:num>
  <w:num w:numId="35">
    <w:abstractNumId w:val="32"/>
  </w:num>
  <w:num w:numId="36">
    <w:abstractNumId w:val="26"/>
  </w:num>
  <w:num w:numId="37">
    <w:abstractNumId w:val="31"/>
  </w:num>
  <w:num w:numId="38">
    <w:abstractNumId w:val="4"/>
  </w:num>
  <w:num w:numId="39">
    <w:abstractNumId w:val="20"/>
  </w:num>
  <w:num w:numId="40">
    <w:abstractNumId w:val="23"/>
  </w:num>
  <w:num w:numId="41">
    <w:abstractNumId w:val="8"/>
  </w:num>
  <w:num w:numId="4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4097">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CE"/>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9A5"/>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1D30"/>
    <w:rsid w:val="0017293B"/>
    <w:rsid w:val="00173981"/>
    <w:rsid w:val="0017719D"/>
    <w:rsid w:val="00183FD7"/>
    <w:rsid w:val="00185CAB"/>
    <w:rsid w:val="001875B7"/>
    <w:rsid w:val="00187CB3"/>
    <w:rsid w:val="0019050A"/>
    <w:rsid w:val="001910D4"/>
    <w:rsid w:val="001976E3"/>
    <w:rsid w:val="001A44EC"/>
    <w:rsid w:val="001B28D9"/>
    <w:rsid w:val="001B58AA"/>
    <w:rsid w:val="001B7E48"/>
    <w:rsid w:val="001C17CE"/>
    <w:rsid w:val="001C36CA"/>
    <w:rsid w:val="001C44D1"/>
    <w:rsid w:val="001C6AEE"/>
    <w:rsid w:val="001C7630"/>
    <w:rsid w:val="001D6D15"/>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4DDC"/>
    <w:rsid w:val="00302480"/>
    <w:rsid w:val="00302758"/>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45E8"/>
    <w:rsid w:val="003610E1"/>
    <w:rsid w:val="003671BE"/>
    <w:rsid w:val="00372485"/>
    <w:rsid w:val="00373200"/>
    <w:rsid w:val="00375EF5"/>
    <w:rsid w:val="003767A5"/>
    <w:rsid w:val="00381D15"/>
    <w:rsid w:val="00385254"/>
    <w:rsid w:val="003A04DB"/>
    <w:rsid w:val="003A5F5B"/>
    <w:rsid w:val="003A789A"/>
    <w:rsid w:val="003B12EC"/>
    <w:rsid w:val="003C1930"/>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95A96"/>
    <w:rsid w:val="00495BB3"/>
    <w:rsid w:val="004A56BB"/>
    <w:rsid w:val="004A70D6"/>
    <w:rsid w:val="004B1751"/>
    <w:rsid w:val="004C0253"/>
    <w:rsid w:val="004D56FF"/>
    <w:rsid w:val="004E39D3"/>
    <w:rsid w:val="004E508A"/>
    <w:rsid w:val="004E616D"/>
    <w:rsid w:val="004F1BDE"/>
    <w:rsid w:val="004F2CEE"/>
    <w:rsid w:val="004F556E"/>
    <w:rsid w:val="004F591C"/>
    <w:rsid w:val="004F7F44"/>
    <w:rsid w:val="005037B4"/>
    <w:rsid w:val="005079BF"/>
    <w:rsid w:val="0051269A"/>
    <w:rsid w:val="005144FA"/>
    <w:rsid w:val="005219E7"/>
    <w:rsid w:val="00521ED4"/>
    <w:rsid w:val="00531B9A"/>
    <w:rsid w:val="00531D15"/>
    <w:rsid w:val="00537604"/>
    <w:rsid w:val="00542377"/>
    <w:rsid w:val="005476EB"/>
    <w:rsid w:val="00551782"/>
    <w:rsid w:val="00563EF1"/>
    <w:rsid w:val="005642D4"/>
    <w:rsid w:val="00566AB4"/>
    <w:rsid w:val="00575AC5"/>
    <w:rsid w:val="0057605D"/>
    <w:rsid w:val="00581347"/>
    <w:rsid w:val="00581AC9"/>
    <w:rsid w:val="005849F8"/>
    <w:rsid w:val="005938DF"/>
    <w:rsid w:val="00594E9C"/>
    <w:rsid w:val="005A099B"/>
    <w:rsid w:val="005A2D9C"/>
    <w:rsid w:val="005A55FE"/>
    <w:rsid w:val="005A6A11"/>
    <w:rsid w:val="005D2502"/>
    <w:rsid w:val="005D40BB"/>
    <w:rsid w:val="005D47F3"/>
    <w:rsid w:val="005D49BF"/>
    <w:rsid w:val="005D4AA5"/>
    <w:rsid w:val="005D6F4E"/>
    <w:rsid w:val="005D7C73"/>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63E6"/>
    <w:rsid w:val="006C70A0"/>
    <w:rsid w:val="006D27CB"/>
    <w:rsid w:val="006D2F08"/>
    <w:rsid w:val="006D576C"/>
    <w:rsid w:val="006D5865"/>
    <w:rsid w:val="006E4B1B"/>
    <w:rsid w:val="006E5445"/>
    <w:rsid w:val="006E7D93"/>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2012"/>
    <w:rsid w:val="007C5D5A"/>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10AB4"/>
    <w:rsid w:val="00817B56"/>
    <w:rsid w:val="00821A88"/>
    <w:rsid w:val="0082495D"/>
    <w:rsid w:val="00831AC3"/>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E4767"/>
    <w:rsid w:val="008E7A8C"/>
    <w:rsid w:val="008F07D3"/>
    <w:rsid w:val="0090203B"/>
    <w:rsid w:val="00903285"/>
    <w:rsid w:val="00906F40"/>
    <w:rsid w:val="0090731E"/>
    <w:rsid w:val="00915B1C"/>
    <w:rsid w:val="009174F3"/>
    <w:rsid w:val="0091797D"/>
    <w:rsid w:val="00923CBA"/>
    <w:rsid w:val="009242EB"/>
    <w:rsid w:val="00926703"/>
    <w:rsid w:val="00927691"/>
    <w:rsid w:val="00927A5F"/>
    <w:rsid w:val="00930510"/>
    <w:rsid w:val="00932F78"/>
    <w:rsid w:val="00935B63"/>
    <w:rsid w:val="0094078F"/>
    <w:rsid w:val="00940FA3"/>
    <w:rsid w:val="00941FB0"/>
    <w:rsid w:val="009426D4"/>
    <w:rsid w:val="00947F25"/>
    <w:rsid w:val="00950159"/>
    <w:rsid w:val="0095490B"/>
    <w:rsid w:val="00960A33"/>
    <w:rsid w:val="00971914"/>
    <w:rsid w:val="00974363"/>
    <w:rsid w:val="00981898"/>
    <w:rsid w:val="0099577C"/>
    <w:rsid w:val="009B24A5"/>
    <w:rsid w:val="009B2601"/>
    <w:rsid w:val="009B4E9E"/>
    <w:rsid w:val="009C1690"/>
    <w:rsid w:val="009C6881"/>
    <w:rsid w:val="009C7759"/>
    <w:rsid w:val="009D043D"/>
    <w:rsid w:val="009D07C8"/>
    <w:rsid w:val="009D4ACE"/>
    <w:rsid w:val="009D6C71"/>
    <w:rsid w:val="009E0631"/>
    <w:rsid w:val="009E16D0"/>
    <w:rsid w:val="009E2051"/>
    <w:rsid w:val="009E38FD"/>
    <w:rsid w:val="009F13D6"/>
    <w:rsid w:val="009F20CE"/>
    <w:rsid w:val="009F4C6B"/>
    <w:rsid w:val="009F78A8"/>
    <w:rsid w:val="00A02AD6"/>
    <w:rsid w:val="00A07096"/>
    <w:rsid w:val="00A07318"/>
    <w:rsid w:val="00A11370"/>
    <w:rsid w:val="00A224CE"/>
    <w:rsid w:val="00A22522"/>
    <w:rsid w:val="00A2440D"/>
    <w:rsid w:val="00A24AFD"/>
    <w:rsid w:val="00A24F5C"/>
    <w:rsid w:val="00A32F96"/>
    <w:rsid w:val="00A40871"/>
    <w:rsid w:val="00A412AB"/>
    <w:rsid w:val="00A4193E"/>
    <w:rsid w:val="00A440E0"/>
    <w:rsid w:val="00A442EF"/>
    <w:rsid w:val="00A51D1A"/>
    <w:rsid w:val="00A5418D"/>
    <w:rsid w:val="00A5474E"/>
    <w:rsid w:val="00A63C93"/>
    <w:rsid w:val="00A64234"/>
    <w:rsid w:val="00A70ADF"/>
    <w:rsid w:val="00A71466"/>
    <w:rsid w:val="00A7261F"/>
    <w:rsid w:val="00A74B5E"/>
    <w:rsid w:val="00A81BED"/>
    <w:rsid w:val="00A81EC4"/>
    <w:rsid w:val="00A824E8"/>
    <w:rsid w:val="00A967FD"/>
    <w:rsid w:val="00AA2DE5"/>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95A9C"/>
    <w:rsid w:val="00BB45A1"/>
    <w:rsid w:val="00BB7686"/>
    <w:rsid w:val="00BC23F9"/>
    <w:rsid w:val="00BC3421"/>
    <w:rsid w:val="00BC732C"/>
    <w:rsid w:val="00BD4421"/>
    <w:rsid w:val="00BD7249"/>
    <w:rsid w:val="00BE2580"/>
    <w:rsid w:val="00BE266D"/>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4032F"/>
    <w:rsid w:val="00C44047"/>
    <w:rsid w:val="00C45155"/>
    <w:rsid w:val="00C5498F"/>
    <w:rsid w:val="00C55235"/>
    <w:rsid w:val="00C64CD0"/>
    <w:rsid w:val="00C6684F"/>
    <w:rsid w:val="00C70E70"/>
    <w:rsid w:val="00C75F8D"/>
    <w:rsid w:val="00C77380"/>
    <w:rsid w:val="00C87E8A"/>
    <w:rsid w:val="00C97736"/>
    <w:rsid w:val="00CA345A"/>
    <w:rsid w:val="00CB1E82"/>
    <w:rsid w:val="00CB4BA8"/>
    <w:rsid w:val="00CB52D7"/>
    <w:rsid w:val="00CC6732"/>
    <w:rsid w:val="00CE3C96"/>
    <w:rsid w:val="00CE51A8"/>
    <w:rsid w:val="00CF369B"/>
    <w:rsid w:val="00CF38DE"/>
    <w:rsid w:val="00D00E28"/>
    <w:rsid w:val="00D0269E"/>
    <w:rsid w:val="00D05D6C"/>
    <w:rsid w:val="00D15810"/>
    <w:rsid w:val="00D16D4E"/>
    <w:rsid w:val="00D16FE3"/>
    <w:rsid w:val="00D27F41"/>
    <w:rsid w:val="00D36441"/>
    <w:rsid w:val="00D4064E"/>
    <w:rsid w:val="00D44E9B"/>
    <w:rsid w:val="00D45FD2"/>
    <w:rsid w:val="00D47AEB"/>
    <w:rsid w:val="00D50DB9"/>
    <w:rsid w:val="00D51302"/>
    <w:rsid w:val="00D52C43"/>
    <w:rsid w:val="00D62FDB"/>
    <w:rsid w:val="00D6507F"/>
    <w:rsid w:val="00D730BC"/>
    <w:rsid w:val="00D73912"/>
    <w:rsid w:val="00D85226"/>
    <w:rsid w:val="00D87B94"/>
    <w:rsid w:val="00D92D49"/>
    <w:rsid w:val="00D92EC1"/>
    <w:rsid w:val="00D96DEA"/>
    <w:rsid w:val="00DA4E41"/>
    <w:rsid w:val="00DB117A"/>
    <w:rsid w:val="00DB5173"/>
    <w:rsid w:val="00DB7873"/>
    <w:rsid w:val="00DC187B"/>
    <w:rsid w:val="00DC7DEF"/>
    <w:rsid w:val="00DD1A43"/>
    <w:rsid w:val="00DD73C2"/>
    <w:rsid w:val="00DE319B"/>
    <w:rsid w:val="00DF34FE"/>
    <w:rsid w:val="00DF56AA"/>
    <w:rsid w:val="00DF56AF"/>
    <w:rsid w:val="00DF78E7"/>
    <w:rsid w:val="00E110E0"/>
    <w:rsid w:val="00E1162D"/>
    <w:rsid w:val="00E15371"/>
    <w:rsid w:val="00E23372"/>
    <w:rsid w:val="00E24104"/>
    <w:rsid w:val="00E302D0"/>
    <w:rsid w:val="00E35707"/>
    <w:rsid w:val="00E36AA1"/>
    <w:rsid w:val="00E41ECB"/>
    <w:rsid w:val="00E42676"/>
    <w:rsid w:val="00E54FDB"/>
    <w:rsid w:val="00E5617D"/>
    <w:rsid w:val="00E563D7"/>
    <w:rsid w:val="00E663F4"/>
    <w:rsid w:val="00E666F2"/>
    <w:rsid w:val="00E66DD4"/>
    <w:rsid w:val="00E72844"/>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5FB3"/>
    <w:rsid w:val="00EE76E2"/>
    <w:rsid w:val="00EE7F79"/>
    <w:rsid w:val="00EF715A"/>
    <w:rsid w:val="00F01BC3"/>
    <w:rsid w:val="00F042CF"/>
    <w:rsid w:val="00F06E14"/>
    <w:rsid w:val="00F179D4"/>
    <w:rsid w:val="00F33C56"/>
    <w:rsid w:val="00F347C7"/>
    <w:rsid w:val="00F34848"/>
    <w:rsid w:val="00F42D46"/>
    <w:rsid w:val="00F4496C"/>
    <w:rsid w:val="00F44F3A"/>
    <w:rsid w:val="00F45DD5"/>
    <w:rsid w:val="00F51F10"/>
    <w:rsid w:val="00F529A5"/>
    <w:rsid w:val="00F60F00"/>
    <w:rsid w:val="00F614C0"/>
    <w:rsid w:val="00F61C77"/>
    <w:rsid w:val="00F83848"/>
    <w:rsid w:val="00F84AB1"/>
    <w:rsid w:val="00F975E9"/>
    <w:rsid w:val="00FA1B7D"/>
    <w:rsid w:val="00FC07B9"/>
    <w:rsid w:val="00FC4E21"/>
    <w:rsid w:val="00FC5F6D"/>
    <w:rsid w:val="00FD0107"/>
    <w:rsid w:val="00FD2C2F"/>
    <w:rsid w:val="00FD3B31"/>
    <w:rsid w:val="00FE1823"/>
    <w:rsid w:val="00FE4514"/>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A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4097">
      <o:colormru v:ext="edit" colors="red,#4d4d4f"/>
    </o:shapedefaults>
    <o:shapelayout v:ext="edit">
      <o:idmap v:ext="edit" data="1"/>
    </o:shapelayout>
  </w:shapeDefaults>
  <w:decimalSymbol w:val="."/>
  <w:listSeparator w:val=","/>
  <w14:docId w14:val="5FBD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3375"/>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uiPriority w:val="99"/>
    <w:rsid w:val="00971914"/>
    <w:rPr>
      <w:rFonts w:ascii="Arial" w:hAnsi="Arial"/>
      <w:sz w:val="16"/>
    </w:rPr>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customStyle="1" w:styleId="ACMAReportSubTitle">
    <w:name w:val="ACMA_ReportSubTitle"/>
    <w:basedOn w:val="Normal"/>
    <w:qFormat/>
    <w:rsid w:val="009D4ACE"/>
    <w:pPr>
      <w:spacing w:after="200" w:line="560" w:lineRule="exact"/>
    </w:pPr>
    <w:rPr>
      <w:color w:val="323232"/>
      <w:spacing w:val="-28"/>
      <w:sz w:val="53"/>
    </w:rPr>
  </w:style>
  <w:style w:type="paragraph" w:styleId="BalloonText">
    <w:name w:val="Balloon Text"/>
    <w:basedOn w:val="Normal"/>
    <w:link w:val="BalloonTextChar"/>
    <w:semiHidden/>
    <w:unhideWhenUsed/>
    <w:rsid w:val="009D4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D4ACE"/>
    <w:rPr>
      <w:rFonts w:ascii="Segoe UI" w:hAnsi="Segoe UI" w:cs="Segoe UI"/>
      <w:sz w:val="18"/>
      <w:szCs w:val="18"/>
    </w:rPr>
  </w:style>
  <w:style w:type="paragraph" w:styleId="ListParagraph">
    <w:name w:val="List Paragraph"/>
    <w:basedOn w:val="Normal"/>
    <w:semiHidden/>
    <w:rsid w:val="00E11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www.legislation.gov.au/Series/C2004A01402" TargetMode="Externa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5.png"/><Relationship Id="rId42" Type="http://schemas.openxmlformats.org/officeDocument/2006/relationships/image" Target="media/image11.png"/><Relationship Id="rId47" Type="http://schemas.openxmlformats.org/officeDocument/2006/relationships/image" Target="media/image14.emf"/><Relationship Id="rId50"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i.creativecommons.org/l/by/3.0/88x31.png" TargetMode="External"/><Relationship Id="rId17" Type="http://schemas.openxmlformats.org/officeDocument/2006/relationships/header" Target="header4.xml"/><Relationship Id="rId25" Type="http://schemas.openxmlformats.org/officeDocument/2006/relationships/hyperlink" Target="https://www.legislation.gov.au/Series/C2004A04401" TargetMode="External"/><Relationship Id="rId33" Type="http://schemas.openxmlformats.org/officeDocument/2006/relationships/image" Target="media/image4.png"/><Relationship Id="rId38" Type="http://schemas.openxmlformats.org/officeDocument/2006/relationships/image" Target="media/image8.png"/><Relationship Id="rId46" Type="http://schemas.openxmlformats.org/officeDocument/2006/relationships/hyperlink" Target="file:///C:\Users\RWilson\AppData\Local\Microsoft\Windows\INetCache\Content.Outlook\BY79Z9RV\acma.gov.a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mailto:foreignmediaownership@acma.gov.au" TargetMode="External"/><Relationship Id="rId41" Type="http://schemas.openxmlformats.org/officeDocument/2006/relationships/image" Target="media/image1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mailto:privacy@acma.gov.au" TargetMode="External"/><Relationship Id="rId37" Type="http://schemas.openxmlformats.org/officeDocument/2006/relationships/hyperlink" Target="https://complaint.acma.gov.au/Infiniti/Produce" TargetMode="External"/><Relationship Id="rId40" Type="http://schemas.openxmlformats.org/officeDocument/2006/relationships/hyperlink" Target="https://www.acma.gov.au/theACMA/broadcasting-registers-media-ownership-control-acma" TargetMode="External"/><Relationship Id="rId45" Type="http://schemas.openxmlformats.org/officeDocument/2006/relationships/hyperlink" Target="mailto:foreignmediaownership@acma.gov.a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acma.gov.au" TargetMode="External"/><Relationship Id="rId23" Type="http://schemas.openxmlformats.org/officeDocument/2006/relationships/footer" Target="footer5.xml"/><Relationship Id="rId28" Type="http://schemas.openxmlformats.org/officeDocument/2006/relationships/hyperlink" Target="mailto:foreignmediaownership@acma.gov.au" TargetMode="External"/><Relationship Id="rId36" Type="http://schemas.openxmlformats.org/officeDocument/2006/relationships/image" Target="media/image7.png"/><Relationship Id="rId49"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s://www.oaic.gov.au/privacy-law/privacy-act/australian-privacy-principles" TargetMode="External"/><Relationship Id="rId44" Type="http://schemas.openxmlformats.org/officeDocument/2006/relationships/image" Target="media/image13.png"/><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reativecommons.org/licenses/by/4.0/" TargetMode="External"/><Relationship Id="rId22" Type="http://schemas.openxmlformats.org/officeDocument/2006/relationships/footer" Target="footer4.xml"/><Relationship Id="rId27" Type="http://schemas.openxmlformats.org/officeDocument/2006/relationships/hyperlink" Target="https://www.legislation.gov.au/Series/F2015L01854" TargetMode="External"/><Relationship Id="rId30" Type="http://schemas.openxmlformats.org/officeDocument/2006/relationships/hyperlink" Target="https://www.legislation.gov.au/Series/F2011L01778" TargetMode="External"/><Relationship Id="rId35" Type="http://schemas.openxmlformats.org/officeDocument/2006/relationships/image" Target="media/image6.png"/><Relationship Id="rId43" Type="http://schemas.openxmlformats.org/officeDocument/2006/relationships/image" Target="media/image12.png"/><Relationship Id="rId48" Type="http://schemas.openxmlformats.org/officeDocument/2006/relationships/image" Target="media/image15.png"/><Relationship Id="rId8" Type="http://schemas.openxmlformats.org/officeDocument/2006/relationships/hyperlink" Target="https://www.legislation.gov.au/Series/C2004A04401" TargetMode="External"/><Relationship Id="rId51"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D263D-2B12-4625-91EA-78BA5D66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8430</Words>
  <Characters>48051</Characters>
  <Application>Microsoft Office Word</Application>
  <DocSecurity>0</DocSecurity>
  <Lines>400</Lines>
  <Paragraphs>112</Paragraphs>
  <ScaleCrop>false</ScaleCrop>
  <Manager/>
  <Company/>
  <LinksUpToDate>false</LinksUpToDate>
  <CharactersWithSpaces>56369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2020-09-03T05:18:00Z</dcterms:created>
  <dcterms:modified xsi:type="dcterms:W3CDTF">2020-09-03T05:18:00Z</dcterms:modified>
  <cp:category/>
</cp:coreProperties>
</file>