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F71E0" w14:textId="68278924" w:rsidR="00F06E14" w:rsidRPr="00A51D1A" w:rsidRDefault="0090517E" w:rsidP="00A57312">
      <w:pPr>
        <w:pStyle w:val="Reporttitle"/>
        <w:spacing w:after="360"/>
      </w:pPr>
      <w:r>
        <w:t xml:space="preserve">Mobile </w:t>
      </w:r>
      <w:r w:rsidR="000A032F">
        <w:t>p</w:t>
      </w:r>
      <w:r>
        <w:t xml:space="preserve">orting </w:t>
      </w:r>
      <w:r w:rsidR="000A032F">
        <w:t>f</w:t>
      </w:r>
      <w:r>
        <w:t>raud</w:t>
      </w:r>
      <w:r w:rsidR="00C73C7D">
        <w:t>—</w:t>
      </w:r>
      <w:r w:rsidR="00F22DB9">
        <w:br/>
      </w:r>
      <w:r>
        <w:t>Regulation Impact Statement</w:t>
      </w:r>
    </w:p>
    <w:p w14:paraId="418C37B0" w14:textId="18DB4C8C" w:rsidR="00C97736" w:rsidRPr="000D76E0" w:rsidRDefault="0090517E" w:rsidP="00307EC7">
      <w:pPr>
        <w:pStyle w:val="Reportdate"/>
        <w:spacing w:after="720"/>
        <w:rPr>
          <w:rFonts w:cs="Arial"/>
        </w:rPr>
        <w:sectPr w:rsidR="00C97736" w:rsidRPr="000D76E0"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February</w:t>
      </w:r>
      <w:r w:rsidR="00BD4421">
        <w:t xml:space="preserve"> 20</w:t>
      </w:r>
      <w:r w:rsidR="00E83E3C">
        <w:t>20</w:t>
      </w:r>
    </w:p>
    <w:p w14:paraId="3B41409E" w14:textId="77777777" w:rsidR="0005011A" w:rsidRPr="00F44F3A" w:rsidRDefault="0005011A" w:rsidP="00FC07B9">
      <w:pPr>
        <w:pStyle w:val="ACMACorporateAddressHeader"/>
      </w:pPr>
      <w:r w:rsidRPr="00F44F3A">
        <w:lastRenderedPageBreak/>
        <w:t>Canberra</w:t>
      </w:r>
    </w:p>
    <w:p w14:paraId="5158B388"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52EC42D8" w14:textId="77777777" w:rsidR="0005011A" w:rsidRPr="00FC07B9" w:rsidRDefault="0005011A" w:rsidP="00FC07B9">
      <w:pPr>
        <w:pStyle w:val="ACMACorporateAddresses"/>
      </w:pPr>
      <w:r w:rsidRPr="00FC07B9">
        <w:t>PO Box 78</w:t>
      </w:r>
      <w:r w:rsidRPr="00FC07B9">
        <w:br/>
        <w:t>Belconnen ACT 2616</w:t>
      </w:r>
    </w:p>
    <w:p w14:paraId="4CCD3B86"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78716276" w14:textId="77777777" w:rsidR="0005011A" w:rsidRPr="00F44F3A" w:rsidRDefault="0005011A" w:rsidP="00FC07B9">
      <w:pPr>
        <w:pStyle w:val="ACMACorporateAddressHeader"/>
      </w:pPr>
      <w:r w:rsidRPr="00F44F3A">
        <w:t>Melbourne</w:t>
      </w:r>
    </w:p>
    <w:p w14:paraId="30DB4074"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66447815"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6BBFA494"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3219B1A2" w14:textId="77777777" w:rsidR="0005011A" w:rsidRPr="00F44F3A" w:rsidRDefault="0005011A" w:rsidP="00FC07B9">
      <w:pPr>
        <w:pStyle w:val="ACMACorporateAddressHeader"/>
      </w:pPr>
      <w:r w:rsidRPr="00F44F3A">
        <w:t>Sydney</w:t>
      </w:r>
    </w:p>
    <w:p w14:paraId="1EC07509"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856A44C"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0EE9E323"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DBB5BEE" w14:textId="77777777" w:rsidR="00140318" w:rsidRPr="006D46E5" w:rsidRDefault="00140318" w:rsidP="00FC07B9">
      <w:pPr>
        <w:pStyle w:val="ACMACopyrightHeader"/>
      </w:pPr>
      <w:r w:rsidRPr="00140318">
        <w:t>Copyright notice</w:t>
      </w:r>
    </w:p>
    <w:p w14:paraId="57C2855D" w14:textId="77777777" w:rsidR="00140318" w:rsidRPr="006D46E5" w:rsidRDefault="00623FF9" w:rsidP="00623FF9">
      <w:pPr>
        <w:pStyle w:val="ACMACClogo"/>
      </w:pPr>
      <w:r w:rsidRPr="00623FF9">
        <w:rPr>
          <w:noProof/>
        </w:rPr>
        <w:drawing>
          <wp:inline distT="0" distB="0" distL="0" distR="0" wp14:anchorId="667DBE15" wp14:editId="00F21941">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C831AB3" w14:textId="77777777" w:rsidR="00AA2DE5" w:rsidRDefault="00E60892" w:rsidP="00AA2DE5">
      <w:pPr>
        <w:pStyle w:val="ACMACorporateAddresses"/>
        <w:rPr>
          <w:rStyle w:val="Hyperlink"/>
        </w:rPr>
      </w:pPr>
      <w:hyperlink r:id="rId13" w:history="1">
        <w:r w:rsidR="00AA2DE5">
          <w:rPr>
            <w:rStyle w:val="Hyperlink"/>
          </w:rPr>
          <w:t>https://creativecommons.org/licenses/by/4.0/</w:t>
        </w:r>
      </w:hyperlink>
    </w:p>
    <w:p w14:paraId="2CA41DAB"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2F12FE64" w14:textId="29F4B64B" w:rsidR="00AA2DE5" w:rsidRDefault="00AA2DE5" w:rsidP="00AA2DE5">
      <w:pPr>
        <w:pStyle w:val="ACMACorporateAddresses"/>
      </w:pPr>
      <w:r>
        <w:t>We request attribution as © Commonwealth of Australia (Australian Communications and Media Authority) 20</w:t>
      </w:r>
      <w:r w:rsidR="007968DF">
        <w:t>20</w:t>
      </w:r>
      <w:r>
        <w:t>.</w:t>
      </w:r>
    </w:p>
    <w:p w14:paraId="06B610EF" w14:textId="77777777" w:rsidR="00AA2DE5" w:rsidRDefault="00AA2DE5" w:rsidP="00AA2DE5">
      <w:pPr>
        <w:pStyle w:val="ACMACorporateAddresses"/>
      </w:pPr>
      <w:r>
        <w:t>All other rights are reserved.</w:t>
      </w:r>
    </w:p>
    <w:p w14:paraId="11B442B2"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B6F5E09" w14:textId="77777777" w:rsidR="00AA2DE5" w:rsidRDefault="00AA2DE5" w:rsidP="00AA2DE5">
      <w:pPr>
        <w:pStyle w:val="ACMACorporateAddresses"/>
      </w:pPr>
      <w:r>
        <w:t>Written enquiries may be sent to:</w:t>
      </w:r>
    </w:p>
    <w:p w14:paraId="0A776207"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20F86975" w14:textId="77777777" w:rsidR="00D16FE3" w:rsidRDefault="00D16FE3" w:rsidP="00D16FE3">
      <w:pPr>
        <w:pStyle w:val="ACMACorporateAddresses"/>
        <w:rPr>
          <w:rStyle w:val="Hyperlink"/>
        </w:rPr>
      </w:pPr>
    </w:p>
    <w:p w14:paraId="74F268D8"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18D8E111" w14:textId="1A63A7A7" w:rsidR="00D44B85" w:rsidRDefault="005A75D4" w:rsidP="004E7BAF">
      <w:pPr>
        <w:pStyle w:val="TOC1"/>
        <w:keepNext/>
        <w:keepLines/>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\t "Exec summary heading,1" </w:instrText>
      </w:r>
      <w:r>
        <w:rPr>
          <w:rFonts w:cs="Arial"/>
          <w:b w:val="0"/>
        </w:rPr>
        <w:fldChar w:fldCharType="separate"/>
      </w:r>
      <w:hyperlink w:anchor="_Toc33176358" w:history="1">
        <w:r w:rsidR="00D44B85" w:rsidRPr="0084603F">
          <w:rPr>
            <w:rStyle w:val="Hyperlink"/>
          </w:rPr>
          <w:t>Introduction</w:t>
        </w:r>
        <w:r w:rsidR="00D44B85">
          <w:rPr>
            <w:webHidden/>
          </w:rPr>
          <w:tab/>
        </w:r>
        <w:r w:rsidR="00D44B85">
          <w:rPr>
            <w:webHidden/>
          </w:rPr>
          <w:fldChar w:fldCharType="begin"/>
        </w:r>
        <w:r w:rsidR="00D44B85">
          <w:rPr>
            <w:webHidden/>
          </w:rPr>
          <w:instrText xml:space="preserve"> PAGEREF _Toc33176358 \h </w:instrText>
        </w:r>
        <w:r w:rsidR="00D44B85">
          <w:rPr>
            <w:webHidden/>
          </w:rPr>
        </w:r>
        <w:r w:rsidR="00D44B85">
          <w:rPr>
            <w:webHidden/>
          </w:rPr>
          <w:fldChar w:fldCharType="separate"/>
        </w:r>
        <w:r w:rsidR="001232AB">
          <w:rPr>
            <w:webHidden/>
          </w:rPr>
          <w:t>1</w:t>
        </w:r>
        <w:r w:rsidR="00D44B85">
          <w:rPr>
            <w:webHidden/>
          </w:rPr>
          <w:fldChar w:fldCharType="end"/>
        </w:r>
      </w:hyperlink>
    </w:p>
    <w:p w14:paraId="533EF8FB" w14:textId="0CB03D77" w:rsidR="00D44B85" w:rsidRDefault="00E60892" w:rsidP="004E7BAF">
      <w:pPr>
        <w:pStyle w:val="TOC1"/>
        <w:keepNext/>
        <w:keepLines/>
        <w:rPr>
          <w:rFonts w:asciiTheme="minorHAnsi" w:eastAsiaTheme="minorEastAsia" w:hAnsiTheme="minorHAnsi" w:cstheme="minorBidi"/>
          <w:b w:val="0"/>
          <w:spacing w:val="0"/>
          <w:sz w:val="22"/>
          <w:szCs w:val="22"/>
        </w:rPr>
      </w:pPr>
      <w:hyperlink w:anchor="_Toc33176359" w:history="1">
        <w:r w:rsidR="00D44B85" w:rsidRPr="0084603F">
          <w:rPr>
            <w:rStyle w:val="Hyperlink"/>
          </w:rPr>
          <w:t>Regulatory setting</w:t>
        </w:r>
        <w:r w:rsidR="00D44B85">
          <w:rPr>
            <w:webHidden/>
          </w:rPr>
          <w:tab/>
        </w:r>
        <w:r w:rsidR="00D44B85">
          <w:rPr>
            <w:webHidden/>
          </w:rPr>
          <w:fldChar w:fldCharType="begin"/>
        </w:r>
        <w:r w:rsidR="00D44B85">
          <w:rPr>
            <w:webHidden/>
          </w:rPr>
          <w:instrText xml:space="preserve"> PAGEREF _Toc33176359 \h </w:instrText>
        </w:r>
        <w:r w:rsidR="00D44B85">
          <w:rPr>
            <w:webHidden/>
          </w:rPr>
        </w:r>
        <w:r w:rsidR="00D44B85">
          <w:rPr>
            <w:webHidden/>
          </w:rPr>
          <w:fldChar w:fldCharType="separate"/>
        </w:r>
        <w:r w:rsidR="001232AB">
          <w:rPr>
            <w:webHidden/>
          </w:rPr>
          <w:t>2</w:t>
        </w:r>
        <w:r w:rsidR="00D44B85">
          <w:rPr>
            <w:webHidden/>
          </w:rPr>
          <w:fldChar w:fldCharType="end"/>
        </w:r>
      </w:hyperlink>
    </w:p>
    <w:p w14:paraId="31E28AAE" w14:textId="2E62B4EF" w:rsidR="00D44B85" w:rsidRDefault="00E60892" w:rsidP="004E7BAF">
      <w:pPr>
        <w:pStyle w:val="TOC2"/>
        <w:keepNext/>
        <w:keepLines/>
        <w:rPr>
          <w:rFonts w:asciiTheme="minorHAnsi" w:eastAsiaTheme="minorEastAsia" w:hAnsiTheme="minorHAnsi" w:cstheme="minorBidi"/>
          <w:spacing w:val="0"/>
          <w:sz w:val="22"/>
          <w:szCs w:val="22"/>
        </w:rPr>
      </w:pPr>
      <w:hyperlink w:anchor="_Toc33176360" w:history="1">
        <w:r w:rsidR="00D44B85" w:rsidRPr="0084603F">
          <w:rPr>
            <w:rStyle w:val="Hyperlink"/>
          </w:rPr>
          <w:t>Mobile number portability</w:t>
        </w:r>
        <w:r w:rsidR="00D44B85">
          <w:rPr>
            <w:webHidden/>
          </w:rPr>
          <w:tab/>
        </w:r>
        <w:r w:rsidR="00D44B85">
          <w:rPr>
            <w:webHidden/>
          </w:rPr>
          <w:fldChar w:fldCharType="begin"/>
        </w:r>
        <w:r w:rsidR="00D44B85">
          <w:rPr>
            <w:webHidden/>
          </w:rPr>
          <w:instrText xml:space="preserve"> PAGEREF _Toc33176360 \h </w:instrText>
        </w:r>
        <w:r w:rsidR="00D44B85">
          <w:rPr>
            <w:webHidden/>
          </w:rPr>
        </w:r>
        <w:r w:rsidR="00D44B85">
          <w:rPr>
            <w:webHidden/>
          </w:rPr>
          <w:fldChar w:fldCharType="separate"/>
        </w:r>
        <w:r w:rsidR="001232AB">
          <w:rPr>
            <w:webHidden/>
          </w:rPr>
          <w:t>2</w:t>
        </w:r>
        <w:r w:rsidR="00D44B85">
          <w:rPr>
            <w:webHidden/>
          </w:rPr>
          <w:fldChar w:fldCharType="end"/>
        </w:r>
      </w:hyperlink>
    </w:p>
    <w:p w14:paraId="5AEEF25A" w14:textId="1CB2E4FE" w:rsidR="00D44B85" w:rsidRDefault="00E60892" w:rsidP="004E7BAF">
      <w:pPr>
        <w:pStyle w:val="TOC2"/>
        <w:keepNext/>
        <w:keepLines/>
        <w:rPr>
          <w:rFonts w:asciiTheme="minorHAnsi" w:eastAsiaTheme="minorEastAsia" w:hAnsiTheme="minorHAnsi" w:cstheme="minorBidi"/>
          <w:spacing w:val="0"/>
          <w:sz w:val="22"/>
          <w:szCs w:val="22"/>
        </w:rPr>
      </w:pPr>
      <w:hyperlink w:anchor="_Toc33176361" w:history="1">
        <w:r w:rsidR="00D44B85" w:rsidRPr="0084603F">
          <w:rPr>
            <w:rStyle w:val="Hyperlink"/>
          </w:rPr>
          <w:t>Current measures for mobile porting fraud</w:t>
        </w:r>
        <w:r w:rsidR="00D44B85">
          <w:rPr>
            <w:webHidden/>
          </w:rPr>
          <w:tab/>
        </w:r>
        <w:r w:rsidR="00D44B85">
          <w:rPr>
            <w:webHidden/>
          </w:rPr>
          <w:fldChar w:fldCharType="begin"/>
        </w:r>
        <w:r w:rsidR="00D44B85">
          <w:rPr>
            <w:webHidden/>
          </w:rPr>
          <w:instrText xml:space="preserve"> PAGEREF _Toc33176361 \h </w:instrText>
        </w:r>
        <w:r w:rsidR="00D44B85">
          <w:rPr>
            <w:webHidden/>
          </w:rPr>
        </w:r>
        <w:r w:rsidR="00D44B85">
          <w:rPr>
            <w:webHidden/>
          </w:rPr>
          <w:fldChar w:fldCharType="separate"/>
        </w:r>
        <w:r w:rsidR="001232AB">
          <w:rPr>
            <w:webHidden/>
          </w:rPr>
          <w:t>3</w:t>
        </w:r>
        <w:r w:rsidR="00D44B85">
          <w:rPr>
            <w:webHidden/>
          </w:rPr>
          <w:fldChar w:fldCharType="end"/>
        </w:r>
      </w:hyperlink>
    </w:p>
    <w:p w14:paraId="1BD448EE" w14:textId="569FBAC7" w:rsidR="00D44B85" w:rsidRDefault="00E60892" w:rsidP="004E7BAF">
      <w:pPr>
        <w:pStyle w:val="TOC1"/>
        <w:keepNext/>
        <w:keepLines/>
        <w:rPr>
          <w:rFonts w:asciiTheme="minorHAnsi" w:eastAsiaTheme="minorEastAsia" w:hAnsiTheme="minorHAnsi" w:cstheme="minorBidi"/>
          <w:b w:val="0"/>
          <w:spacing w:val="0"/>
          <w:sz w:val="22"/>
          <w:szCs w:val="22"/>
        </w:rPr>
      </w:pPr>
      <w:hyperlink w:anchor="_Toc33176362" w:history="1">
        <w:r w:rsidR="00D44B85" w:rsidRPr="0084603F">
          <w:rPr>
            <w:rStyle w:val="Hyperlink"/>
          </w:rPr>
          <w:t>What is the policy problem?</w:t>
        </w:r>
        <w:r w:rsidR="00D44B85">
          <w:rPr>
            <w:webHidden/>
          </w:rPr>
          <w:tab/>
        </w:r>
        <w:r w:rsidR="00D44B85">
          <w:rPr>
            <w:webHidden/>
          </w:rPr>
          <w:fldChar w:fldCharType="begin"/>
        </w:r>
        <w:r w:rsidR="00D44B85">
          <w:rPr>
            <w:webHidden/>
          </w:rPr>
          <w:instrText xml:space="preserve"> PAGEREF _Toc33176362 \h </w:instrText>
        </w:r>
        <w:r w:rsidR="00D44B85">
          <w:rPr>
            <w:webHidden/>
          </w:rPr>
        </w:r>
        <w:r w:rsidR="00D44B85">
          <w:rPr>
            <w:webHidden/>
          </w:rPr>
          <w:fldChar w:fldCharType="separate"/>
        </w:r>
        <w:r w:rsidR="001232AB">
          <w:rPr>
            <w:webHidden/>
          </w:rPr>
          <w:t>4</w:t>
        </w:r>
        <w:r w:rsidR="00D44B85">
          <w:rPr>
            <w:webHidden/>
          </w:rPr>
          <w:fldChar w:fldCharType="end"/>
        </w:r>
      </w:hyperlink>
    </w:p>
    <w:p w14:paraId="39FE8AF5" w14:textId="7B26834E" w:rsidR="00D44B85" w:rsidRDefault="00E60892" w:rsidP="004E7BAF">
      <w:pPr>
        <w:pStyle w:val="TOC2"/>
        <w:keepNext/>
        <w:keepLines/>
        <w:rPr>
          <w:rFonts w:asciiTheme="minorHAnsi" w:eastAsiaTheme="minorEastAsia" w:hAnsiTheme="minorHAnsi" w:cstheme="minorBidi"/>
          <w:spacing w:val="0"/>
          <w:sz w:val="22"/>
          <w:szCs w:val="22"/>
        </w:rPr>
      </w:pPr>
      <w:hyperlink w:anchor="_Toc33176363" w:history="1">
        <w:r w:rsidR="00D44B85" w:rsidRPr="0084603F">
          <w:rPr>
            <w:rStyle w:val="Hyperlink"/>
          </w:rPr>
          <w:t>Fraud</w:t>
        </w:r>
        <w:r w:rsidR="00D44B85">
          <w:rPr>
            <w:webHidden/>
          </w:rPr>
          <w:tab/>
        </w:r>
        <w:r w:rsidR="00D44B85">
          <w:rPr>
            <w:webHidden/>
          </w:rPr>
          <w:tab/>
        </w:r>
        <w:r w:rsidR="00D44B85">
          <w:rPr>
            <w:webHidden/>
          </w:rPr>
          <w:fldChar w:fldCharType="begin"/>
        </w:r>
        <w:r w:rsidR="00D44B85">
          <w:rPr>
            <w:webHidden/>
          </w:rPr>
          <w:instrText xml:space="preserve"> PAGEREF _Toc33176363 \h </w:instrText>
        </w:r>
        <w:r w:rsidR="00D44B85">
          <w:rPr>
            <w:webHidden/>
          </w:rPr>
        </w:r>
        <w:r w:rsidR="00D44B85">
          <w:rPr>
            <w:webHidden/>
          </w:rPr>
          <w:fldChar w:fldCharType="separate"/>
        </w:r>
        <w:r w:rsidR="001232AB">
          <w:rPr>
            <w:webHidden/>
          </w:rPr>
          <w:t>4</w:t>
        </w:r>
        <w:r w:rsidR="00D44B85">
          <w:rPr>
            <w:webHidden/>
          </w:rPr>
          <w:fldChar w:fldCharType="end"/>
        </w:r>
      </w:hyperlink>
    </w:p>
    <w:p w14:paraId="7525B131" w14:textId="14D3F7BB" w:rsidR="00D44B85" w:rsidRDefault="00E60892" w:rsidP="004E7BAF">
      <w:pPr>
        <w:pStyle w:val="TOC2"/>
        <w:keepNext/>
        <w:keepLines/>
        <w:rPr>
          <w:rFonts w:asciiTheme="minorHAnsi" w:eastAsiaTheme="minorEastAsia" w:hAnsiTheme="minorHAnsi" w:cstheme="minorBidi"/>
          <w:spacing w:val="0"/>
          <w:sz w:val="22"/>
          <w:szCs w:val="22"/>
        </w:rPr>
      </w:pPr>
      <w:hyperlink w:anchor="_Toc33176364" w:history="1">
        <w:r w:rsidR="00D44B85" w:rsidRPr="0084603F">
          <w:rPr>
            <w:rStyle w:val="Hyperlink"/>
          </w:rPr>
          <w:t>Mobile porting fraud</w:t>
        </w:r>
        <w:r w:rsidR="00D44B85">
          <w:rPr>
            <w:webHidden/>
          </w:rPr>
          <w:tab/>
        </w:r>
        <w:r w:rsidR="00D44B85">
          <w:rPr>
            <w:webHidden/>
          </w:rPr>
          <w:fldChar w:fldCharType="begin"/>
        </w:r>
        <w:r w:rsidR="00D44B85">
          <w:rPr>
            <w:webHidden/>
          </w:rPr>
          <w:instrText xml:space="preserve"> PAGEREF _Toc33176364 \h </w:instrText>
        </w:r>
        <w:r w:rsidR="00D44B85">
          <w:rPr>
            <w:webHidden/>
          </w:rPr>
        </w:r>
        <w:r w:rsidR="00D44B85">
          <w:rPr>
            <w:webHidden/>
          </w:rPr>
          <w:fldChar w:fldCharType="separate"/>
        </w:r>
        <w:r w:rsidR="001232AB">
          <w:rPr>
            <w:webHidden/>
          </w:rPr>
          <w:t>5</w:t>
        </w:r>
        <w:r w:rsidR="00D44B85">
          <w:rPr>
            <w:webHidden/>
          </w:rPr>
          <w:fldChar w:fldCharType="end"/>
        </w:r>
      </w:hyperlink>
    </w:p>
    <w:p w14:paraId="529256DF" w14:textId="1CE932FD" w:rsidR="00D44B85" w:rsidRDefault="00E60892" w:rsidP="004E7BAF">
      <w:pPr>
        <w:pStyle w:val="TOC2"/>
        <w:keepNext/>
        <w:keepLines/>
        <w:rPr>
          <w:rFonts w:asciiTheme="minorHAnsi" w:eastAsiaTheme="minorEastAsia" w:hAnsiTheme="minorHAnsi" w:cstheme="minorBidi"/>
          <w:spacing w:val="0"/>
          <w:sz w:val="22"/>
          <w:szCs w:val="22"/>
        </w:rPr>
      </w:pPr>
      <w:hyperlink w:anchor="_Toc33176366" w:history="1">
        <w:r w:rsidR="00D44B85" w:rsidRPr="0084603F">
          <w:rPr>
            <w:rStyle w:val="Hyperlink"/>
          </w:rPr>
          <w:t>How mobile porting fraud occurs</w:t>
        </w:r>
        <w:r w:rsidR="00D44B85">
          <w:rPr>
            <w:webHidden/>
          </w:rPr>
          <w:tab/>
        </w:r>
        <w:r w:rsidR="00D44B85">
          <w:rPr>
            <w:webHidden/>
          </w:rPr>
          <w:fldChar w:fldCharType="begin"/>
        </w:r>
        <w:r w:rsidR="00D44B85">
          <w:rPr>
            <w:webHidden/>
          </w:rPr>
          <w:instrText xml:space="preserve"> PAGEREF _Toc33176366 \h </w:instrText>
        </w:r>
        <w:r w:rsidR="00D44B85">
          <w:rPr>
            <w:webHidden/>
          </w:rPr>
        </w:r>
        <w:r w:rsidR="00D44B85">
          <w:rPr>
            <w:webHidden/>
          </w:rPr>
          <w:fldChar w:fldCharType="separate"/>
        </w:r>
        <w:r w:rsidR="001232AB">
          <w:rPr>
            <w:webHidden/>
          </w:rPr>
          <w:t>5</w:t>
        </w:r>
        <w:r w:rsidR="00D44B85">
          <w:rPr>
            <w:webHidden/>
          </w:rPr>
          <w:fldChar w:fldCharType="end"/>
        </w:r>
      </w:hyperlink>
    </w:p>
    <w:p w14:paraId="531B955B" w14:textId="5A4C4A33" w:rsidR="00D44B85" w:rsidRDefault="00E60892" w:rsidP="004E7BAF">
      <w:pPr>
        <w:pStyle w:val="TOC2"/>
        <w:keepNext/>
        <w:keepLines/>
        <w:rPr>
          <w:rFonts w:asciiTheme="minorHAnsi" w:eastAsiaTheme="minorEastAsia" w:hAnsiTheme="minorHAnsi" w:cstheme="minorBidi"/>
          <w:spacing w:val="0"/>
          <w:sz w:val="22"/>
          <w:szCs w:val="22"/>
        </w:rPr>
      </w:pPr>
      <w:hyperlink w:anchor="_Toc33176367" w:history="1">
        <w:r w:rsidR="00D44B85" w:rsidRPr="0084603F">
          <w:rPr>
            <w:rStyle w:val="Hyperlink"/>
          </w:rPr>
          <w:t>Who is affected by mobile porting fraud?</w:t>
        </w:r>
        <w:r w:rsidR="00D44B85">
          <w:rPr>
            <w:webHidden/>
          </w:rPr>
          <w:tab/>
        </w:r>
        <w:r w:rsidR="00D44B85">
          <w:rPr>
            <w:webHidden/>
          </w:rPr>
          <w:fldChar w:fldCharType="begin"/>
        </w:r>
        <w:r w:rsidR="00D44B85">
          <w:rPr>
            <w:webHidden/>
          </w:rPr>
          <w:instrText xml:space="preserve"> PAGEREF _Toc33176367 \h </w:instrText>
        </w:r>
        <w:r w:rsidR="00D44B85">
          <w:rPr>
            <w:webHidden/>
          </w:rPr>
        </w:r>
        <w:r w:rsidR="00D44B85">
          <w:rPr>
            <w:webHidden/>
          </w:rPr>
          <w:fldChar w:fldCharType="separate"/>
        </w:r>
        <w:r w:rsidR="001232AB">
          <w:rPr>
            <w:webHidden/>
          </w:rPr>
          <w:t>6</w:t>
        </w:r>
        <w:r w:rsidR="00D44B85">
          <w:rPr>
            <w:webHidden/>
          </w:rPr>
          <w:fldChar w:fldCharType="end"/>
        </w:r>
      </w:hyperlink>
    </w:p>
    <w:p w14:paraId="2E9F6708" w14:textId="439F713D" w:rsidR="00D44B85" w:rsidRDefault="00E60892" w:rsidP="004E7BAF">
      <w:pPr>
        <w:pStyle w:val="TOC1"/>
        <w:keepNext/>
        <w:keepLines/>
        <w:rPr>
          <w:rFonts w:asciiTheme="minorHAnsi" w:eastAsiaTheme="minorEastAsia" w:hAnsiTheme="minorHAnsi" w:cstheme="minorBidi"/>
          <w:b w:val="0"/>
          <w:spacing w:val="0"/>
          <w:sz w:val="22"/>
          <w:szCs w:val="22"/>
        </w:rPr>
      </w:pPr>
      <w:hyperlink w:anchor="_Toc33176369" w:history="1">
        <w:r w:rsidR="00D44B85" w:rsidRPr="0084603F">
          <w:rPr>
            <w:rStyle w:val="Hyperlink"/>
          </w:rPr>
          <w:t>Why is government action needed?</w:t>
        </w:r>
        <w:r w:rsidR="00D44B85">
          <w:rPr>
            <w:webHidden/>
          </w:rPr>
          <w:tab/>
        </w:r>
        <w:r w:rsidR="00D44B85">
          <w:rPr>
            <w:webHidden/>
          </w:rPr>
          <w:fldChar w:fldCharType="begin"/>
        </w:r>
        <w:r w:rsidR="00D44B85">
          <w:rPr>
            <w:webHidden/>
          </w:rPr>
          <w:instrText xml:space="preserve"> PAGEREF _Toc33176369 \h </w:instrText>
        </w:r>
        <w:r w:rsidR="00D44B85">
          <w:rPr>
            <w:webHidden/>
          </w:rPr>
        </w:r>
        <w:r w:rsidR="00D44B85">
          <w:rPr>
            <w:webHidden/>
          </w:rPr>
          <w:fldChar w:fldCharType="separate"/>
        </w:r>
        <w:r w:rsidR="001232AB">
          <w:rPr>
            <w:webHidden/>
          </w:rPr>
          <w:t>8</w:t>
        </w:r>
        <w:r w:rsidR="00D44B85">
          <w:rPr>
            <w:webHidden/>
          </w:rPr>
          <w:fldChar w:fldCharType="end"/>
        </w:r>
      </w:hyperlink>
    </w:p>
    <w:p w14:paraId="34407BF1" w14:textId="5A174AA3" w:rsidR="00D44B85" w:rsidRDefault="00E60892" w:rsidP="004E7BAF">
      <w:pPr>
        <w:pStyle w:val="TOC2"/>
        <w:keepNext/>
        <w:keepLines/>
        <w:rPr>
          <w:rFonts w:asciiTheme="minorHAnsi" w:eastAsiaTheme="minorEastAsia" w:hAnsiTheme="minorHAnsi" w:cstheme="minorBidi"/>
          <w:spacing w:val="0"/>
          <w:sz w:val="22"/>
          <w:szCs w:val="22"/>
        </w:rPr>
      </w:pPr>
      <w:hyperlink w:anchor="_Toc33176370" w:history="1">
        <w:r w:rsidR="00D44B85" w:rsidRPr="0084603F">
          <w:rPr>
            <w:rStyle w:val="Hyperlink"/>
          </w:rPr>
          <w:t>Market action</w:t>
        </w:r>
        <w:r w:rsidR="00D44B85">
          <w:rPr>
            <w:webHidden/>
          </w:rPr>
          <w:tab/>
        </w:r>
        <w:r w:rsidR="00D44B85">
          <w:rPr>
            <w:webHidden/>
          </w:rPr>
          <w:fldChar w:fldCharType="begin"/>
        </w:r>
        <w:r w:rsidR="00D44B85">
          <w:rPr>
            <w:webHidden/>
          </w:rPr>
          <w:instrText xml:space="preserve"> PAGEREF _Toc33176370 \h </w:instrText>
        </w:r>
        <w:r w:rsidR="00D44B85">
          <w:rPr>
            <w:webHidden/>
          </w:rPr>
        </w:r>
        <w:r w:rsidR="00D44B85">
          <w:rPr>
            <w:webHidden/>
          </w:rPr>
          <w:fldChar w:fldCharType="separate"/>
        </w:r>
        <w:r w:rsidR="001232AB">
          <w:rPr>
            <w:webHidden/>
          </w:rPr>
          <w:t>8</w:t>
        </w:r>
        <w:r w:rsidR="00D44B85">
          <w:rPr>
            <w:webHidden/>
          </w:rPr>
          <w:fldChar w:fldCharType="end"/>
        </w:r>
      </w:hyperlink>
    </w:p>
    <w:p w14:paraId="28DFA4D1" w14:textId="1BD64FA9" w:rsidR="00D44B85" w:rsidRDefault="00E60892" w:rsidP="004E7BAF">
      <w:pPr>
        <w:pStyle w:val="TOC1"/>
        <w:keepNext/>
        <w:keepLines/>
        <w:rPr>
          <w:rFonts w:asciiTheme="minorHAnsi" w:eastAsiaTheme="minorEastAsia" w:hAnsiTheme="minorHAnsi" w:cstheme="minorBidi"/>
          <w:b w:val="0"/>
          <w:spacing w:val="0"/>
          <w:sz w:val="22"/>
          <w:szCs w:val="22"/>
        </w:rPr>
      </w:pPr>
      <w:hyperlink w:anchor="_Toc33176371" w:history="1">
        <w:r w:rsidR="00D44B85" w:rsidRPr="0084603F">
          <w:rPr>
            <w:rStyle w:val="Hyperlink"/>
          </w:rPr>
          <w:t>What policy options have been considered?</w:t>
        </w:r>
        <w:r w:rsidR="00D44B85">
          <w:rPr>
            <w:webHidden/>
          </w:rPr>
          <w:tab/>
        </w:r>
        <w:r w:rsidR="00D44B85">
          <w:rPr>
            <w:webHidden/>
          </w:rPr>
          <w:fldChar w:fldCharType="begin"/>
        </w:r>
        <w:r w:rsidR="00D44B85">
          <w:rPr>
            <w:webHidden/>
          </w:rPr>
          <w:instrText xml:space="preserve"> PAGEREF _Toc33176371 \h </w:instrText>
        </w:r>
        <w:r w:rsidR="00D44B85">
          <w:rPr>
            <w:webHidden/>
          </w:rPr>
        </w:r>
        <w:r w:rsidR="00D44B85">
          <w:rPr>
            <w:webHidden/>
          </w:rPr>
          <w:fldChar w:fldCharType="separate"/>
        </w:r>
        <w:r w:rsidR="001232AB">
          <w:rPr>
            <w:webHidden/>
          </w:rPr>
          <w:t>10</w:t>
        </w:r>
        <w:r w:rsidR="00D44B85">
          <w:rPr>
            <w:webHidden/>
          </w:rPr>
          <w:fldChar w:fldCharType="end"/>
        </w:r>
      </w:hyperlink>
    </w:p>
    <w:p w14:paraId="26C2BEB8" w14:textId="739766D6" w:rsidR="00D44B85" w:rsidRDefault="00E60892" w:rsidP="004E7BAF">
      <w:pPr>
        <w:pStyle w:val="TOC2"/>
        <w:keepNext/>
        <w:keepLines/>
        <w:rPr>
          <w:rFonts w:asciiTheme="minorHAnsi" w:eastAsiaTheme="minorEastAsia" w:hAnsiTheme="minorHAnsi" w:cstheme="minorBidi"/>
          <w:spacing w:val="0"/>
          <w:sz w:val="22"/>
          <w:szCs w:val="22"/>
        </w:rPr>
      </w:pPr>
      <w:hyperlink w:anchor="_Toc33176372" w:history="1">
        <w:r w:rsidR="00D44B85" w:rsidRPr="0084603F">
          <w:rPr>
            <w:rStyle w:val="Hyperlink"/>
          </w:rPr>
          <w:t>1.</w:t>
        </w:r>
        <w:r w:rsidR="00D44B85">
          <w:rPr>
            <w:rFonts w:asciiTheme="minorHAnsi" w:eastAsiaTheme="minorEastAsia" w:hAnsiTheme="minorHAnsi" w:cstheme="minorBidi"/>
            <w:spacing w:val="0"/>
            <w:sz w:val="22"/>
            <w:szCs w:val="22"/>
          </w:rPr>
          <w:tab/>
        </w:r>
        <w:r w:rsidR="00D44B85" w:rsidRPr="0084603F">
          <w:rPr>
            <w:rStyle w:val="Hyperlink"/>
          </w:rPr>
          <w:t>Status quo</w:t>
        </w:r>
        <w:r w:rsidR="00D44B85">
          <w:rPr>
            <w:webHidden/>
          </w:rPr>
          <w:tab/>
        </w:r>
        <w:r w:rsidR="00D44B85">
          <w:rPr>
            <w:webHidden/>
          </w:rPr>
          <w:fldChar w:fldCharType="begin"/>
        </w:r>
        <w:r w:rsidR="00D44B85">
          <w:rPr>
            <w:webHidden/>
          </w:rPr>
          <w:instrText xml:space="preserve"> PAGEREF _Toc33176372 \h </w:instrText>
        </w:r>
        <w:r w:rsidR="00D44B85">
          <w:rPr>
            <w:webHidden/>
          </w:rPr>
        </w:r>
        <w:r w:rsidR="00D44B85">
          <w:rPr>
            <w:webHidden/>
          </w:rPr>
          <w:fldChar w:fldCharType="separate"/>
        </w:r>
        <w:r w:rsidR="001232AB">
          <w:rPr>
            <w:webHidden/>
          </w:rPr>
          <w:t>10</w:t>
        </w:r>
        <w:r w:rsidR="00D44B85">
          <w:rPr>
            <w:webHidden/>
          </w:rPr>
          <w:fldChar w:fldCharType="end"/>
        </w:r>
      </w:hyperlink>
    </w:p>
    <w:p w14:paraId="181B55B0" w14:textId="7E7950FF" w:rsidR="00D44B85" w:rsidRDefault="00E60892" w:rsidP="004E7BAF">
      <w:pPr>
        <w:pStyle w:val="TOC2"/>
        <w:keepNext/>
        <w:keepLines/>
        <w:rPr>
          <w:rFonts w:asciiTheme="minorHAnsi" w:eastAsiaTheme="minorEastAsia" w:hAnsiTheme="minorHAnsi" w:cstheme="minorBidi"/>
          <w:spacing w:val="0"/>
          <w:sz w:val="22"/>
          <w:szCs w:val="22"/>
        </w:rPr>
      </w:pPr>
      <w:hyperlink w:anchor="_Toc33176373" w:history="1">
        <w:r w:rsidR="00D44B85" w:rsidRPr="0084603F">
          <w:rPr>
            <w:rStyle w:val="Hyperlink"/>
          </w:rPr>
          <w:t>2.</w:t>
        </w:r>
        <w:r w:rsidR="00D44B85">
          <w:rPr>
            <w:rFonts w:asciiTheme="minorHAnsi" w:eastAsiaTheme="minorEastAsia" w:hAnsiTheme="minorHAnsi" w:cstheme="minorBidi"/>
            <w:spacing w:val="0"/>
            <w:sz w:val="22"/>
            <w:szCs w:val="22"/>
          </w:rPr>
          <w:tab/>
        </w:r>
        <w:r w:rsidR="00D44B85" w:rsidRPr="0084603F">
          <w:rPr>
            <w:rStyle w:val="Hyperlink"/>
          </w:rPr>
          <w:t>Education campaign</w:t>
        </w:r>
        <w:r w:rsidR="00D44B85">
          <w:rPr>
            <w:webHidden/>
          </w:rPr>
          <w:tab/>
        </w:r>
        <w:r w:rsidR="00D44B85">
          <w:rPr>
            <w:webHidden/>
          </w:rPr>
          <w:fldChar w:fldCharType="begin"/>
        </w:r>
        <w:r w:rsidR="00D44B85">
          <w:rPr>
            <w:webHidden/>
          </w:rPr>
          <w:instrText xml:space="preserve"> PAGEREF _Toc33176373 \h </w:instrText>
        </w:r>
        <w:r w:rsidR="00D44B85">
          <w:rPr>
            <w:webHidden/>
          </w:rPr>
        </w:r>
        <w:r w:rsidR="00D44B85">
          <w:rPr>
            <w:webHidden/>
          </w:rPr>
          <w:fldChar w:fldCharType="separate"/>
        </w:r>
        <w:r w:rsidR="001232AB">
          <w:rPr>
            <w:webHidden/>
          </w:rPr>
          <w:t>10</w:t>
        </w:r>
        <w:r w:rsidR="00D44B85">
          <w:rPr>
            <w:webHidden/>
          </w:rPr>
          <w:fldChar w:fldCharType="end"/>
        </w:r>
      </w:hyperlink>
    </w:p>
    <w:p w14:paraId="6BB3074B" w14:textId="01DF6BC7" w:rsidR="00D44B85" w:rsidRDefault="00E60892" w:rsidP="004E7BAF">
      <w:pPr>
        <w:pStyle w:val="TOC2"/>
        <w:keepNext/>
        <w:keepLines/>
        <w:rPr>
          <w:rFonts w:asciiTheme="minorHAnsi" w:eastAsiaTheme="minorEastAsia" w:hAnsiTheme="minorHAnsi" w:cstheme="minorBidi"/>
          <w:spacing w:val="0"/>
          <w:sz w:val="22"/>
          <w:szCs w:val="22"/>
        </w:rPr>
      </w:pPr>
      <w:hyperlink w:anchor="_Toc33176374" w:history="1">
        <w:r w:rsidR="00D44B85" w:rsidRPr="0084603F">
          <w:rPr>
            <w:rStyle w:val="Hyperlink"/>
          </w:rPr>
          <w:t>3.</w:t>
        </w:r>
        <w:r w:rsidR="00D44B85">
          <w:rPr>
            <w:rFonts w:asciiTheme="minorHAnsi" w:eastAsiaTheme="minorEastAsia" w:hAnsiTheme="minorHAnsi" w:cstheme="minorBidi"/>
            <w:spacing w:val="0"/>
            <w:sz w:val="22"/>
            <w:szCs w:val="22"/>
          </w:rPr>
          <w:tab/>
        </w:r>
        <w:r w:rsidR="00D44B85" w:rsidRPr="0084603F">
          <w:rPr>
            <w:rStyle w:val="Hyperlink"/>
          </w:rPr>
          <w:t>Industry standard (s125AA Telecommunications Act)</w:t>
        </w:r>
        <w:r w:rsidR="00D44B85">
          <w:rPr>
            <w:webHidden/>
          </w:rPr>
          <w:tab/>
        </w:r>
        <w:r w:rsidR="00D44B85">
          <w:rPr>
            <w:webHidden/>
          </w:rPr>
          <w:fldChar w:fldCharType="begin"/>
        </w:r>
        <w:r w:rsidR="00D44B85">
          <w:rPr>
            <w:webHidden/>
          </w:rPr>
          <w:instrText xml:space="preserve"> PAGEREF _Toc33176374 \h </w:instrText>
        </w:r>
        <w:r w:rsidR="00D44B85">
          <w:rPr>
            <w:webHidden/>
          </w:rPr>
        </w:r>
        <w:r w:rsidR="00D44B85">
          <w:rPr>
            <w:webHidden/>
          </w:rPr>
          <w:fldChar w:fldCharType="separate"/>
        </w:r>
        <w:r w:rsidR="001232AB">
          <w:rPr>
            <w:webHidden/>
          </w:rPr>
          <w:t>11</w:t>
        </w:r>
        <w:r w:rsidR="00D44B85">
          <w:rPr>
            <w:webHidden/>
          </w:rPr>
          <w:fldChar w:fldCharType="end"/>
        </w:r>
      </w:hyperlink>
    </w:p>
    <w:p w14:paraId="4E2BB797" w14:textId="0F6B90B2" w:rsidR="00D44B85" w:rsidRDefault="00E60892" w:rsidP="004E7BAF">
      <w:pPr>
        <w:pStyle w:val="TOC1"/>
        <w:keepNext/>
        <w:keepLines/>
        <w:rPr>
          <w:rFonts w:asciiTheme="minorHAnsi" w:eastAsiaTheme="minorEastAsia" w:hAnsiTheme="minorHAnsi" w:cstheme="minorBidi"/>
          <w:b w:val="0"/>
          <w:spacing w:val="0"/>
          <w:sz w:val="22"/>
          <w:szCs w:val="22"/>
        </w:rPr>
      </w:pPr>
      <w:hyperlink w:anchor="_Toc33176375" w:history="1">
        <w:r w:rsidR="00D44B85" w:rsidRPr="0084603F">
          <w:rPr>
            <w:rStyle w:val="Hyperlink"/>
          </w:rPr>
          <w:t>What is the likely net benefit of each option?</w:t>
        </w:r>
        <w:r w:rsidR="00D44B85">
          <w:rPr>
            <w:webHidden/>
          </w:rPr>
          <w:tab/>
        </w:r>
        <w:r w:rsidR="00D44B85">
          <w:rPr>
            <w:webHidden/>
          </w:rPr>
          <w:fldChar w:fldCharType="begin"/>
        </w:r>
        <w:r w:rsidR="00D44B85">
          <w:rPr>
            <w:webHidden/>
          </w:rPr>
          <w:instrText xml:space="preserve"> PAGEREF _Toc33176375 \h </w:instrText>
        </w:r>
        <w:r w:rsidR="00D44B85">
          <w:rPr>
            <w:webHidden/>
          </w:rPr>
        </w:r>
        <w:r w:rsidR="00D44B85">
          <w:rPr>
            <w:webHidden/>
          </w:rPr>
          <w:fldChar w:fldCharType="separate"/>
        </w:r>
        <w:r w:rsidR="001232AB">
          <w:rPr>
            <w:webHidden/>
          </w:rPr>
          <w:t>13</w:t>
        </w:r>
        <w:r w:rsidR="00D44B85">
          <w:rPr>
            <w:webHidden/>
          </w:rPr>
          <w:fldChar w:fldCharType="end"/>
        </w:r>
      </w:hyperlink>
    </w:p>
    <w:p w14:paraId="7E2EF2B2" w14:textId="3B608C7B" w:rsidR="00D44B85" w:rsidRDefault="00E60892" w:rsidP="004E7BAF">
      <w:pPr>
        <w:pStyle w:val="TOC2"/>
        <w:keepNext/>
        <w:keepLines/>
        <w:rPr>
          <w:rFonts w:asciiTheme="minorHAnsi" w:eastAsiaTheme="minorEastAsia" w:hAnsiTheme="minorHAnsi" w:cstheme="minorBidi"/>
          <w:spacing w:val="0"/>
          <w:sz w:val="22"/>
          <w:szCs w:val="22"/>
        </w:rPr>
      </w:pPr>
      <w:hyperlink w:anchor="_Toc33176376" w:history="1">
        <w:r w:rsidR="00D44B85" w:rsidRPr="0084603F">
          <w:rPr>
            <w:rStyle w:val="Hyperlink"/>
          </w:rPr>
          <w:t>1.</w:t>
        </w:r>
        <w:r w:rsidR="00D44B85">
          <w:rPr>
            <w:rFonts w:asciiTheme="minorHAnsi" w:eastAsiaTheme="minorEastAsia" w:hAnsiTheme="minorHAnsi" w:cstheme="minorBidi"/>
            <w:spacing w:val="0"/>
            <w:sz w:val="22"/>
            <w:szCs w:val="22"/>
          </w:rPr>
          <w:tab/>
        </w:r>
        <w:r w:rsidR="00D44B85" w:rsidRPr="0084603F">
          <w:rPr>
            <w:rStyle w:val="Hyperlink"/>
          </w:rPr>
          <w:t>Status quo</w:t>
        </w:r>
        <w:r w:rsidR="00D44B85">
          <w:rPr>
            <w:webHidden/>
          </w:rPr>
          <w:tab/>
        </w:r>
        <w:r w:rsidR="00D44B85">
          <w:rPr>
            <w:webHidden/>
          </w:rPr>
          <w:fldChar w:fldCharType="begin"/>
        </w:r>
        <w:r w:rsidR="00D44B85">
          <w:rPr>
            <w:webHidden/>
          </w:rPr>
          <w:instrText xml:space="preserve"> PAGEREF _Toc33176376 \h </w:instrText>
        </w:r>
        <w:r w:rsidR="00D44B85">
          <w:rPr>
            <w:webHidden/>
          </w:rPr>
        </w:r>
        <w:r w:rsidR="00D44B85">
          <w:rPr>
            <w:webHidden/>
          </w:rPr>
          <w:fldChar w:fldCharType="separate"/>
        </w:r>
        <w:r w:rsidR="001232AB">
          <w:rPr>
            <w:webHidden/>
          </w:rPr>
          <w:t>13</w:t>
        </w:r>
        <w:r w:rsidR="00D44B85">
          <w:rPr>
            <w:webHidden/>
          </w:rPr>
          <w:fldChar w:fldCharType="end"/>
        </w:r>
      </w:hyperlink>
    </w:p>
    <w:p w14:paraId="6A218482" w14:textId="45044FAD" w:rsidR="00D44B85" w:rsidRDefault="00E60892" w:rsidP="004E7BAF">
      <w:pPr>
        <w:pStyle w:val="TOC3"/>
        <w:keepNext/>
        <w:keepLines/>
        <w:rPr>
          <w:rFonts w:asciiTheme="minorHAnsi" w:eastAsiaTheme="minorEastAsia" w:hAnsiTheme="minorHAnsi" w:cstheme="minorBidi"/>
        </w:rPr>
      </w:pPr>
      <w:hyperlink w:anchor="_Toc33176377" w:history="1">
        <w:r w:rsidR="00D44B85" w:rsidRPr="0084603F">
          <w:rPr>
            <w:rStyle w:val="Hyperlink"/>
          </w:rPr>
          <w:t>Benefits</w:t>
        </w:r>
        <w:r w:rsidR="00D44B85">
          <w:rPr>
            <w:webHidden/>
          </w:rPr>
          <w:tab/>
        </w:r>
        <w:r w:rsidR="00D44B85">
          <w:rPr>
            <w:webHidden/>
          </w:rPr>
          <w:fldChar w:fldCharType="begin"/>
        </w:r>
        <w:r w:rsidR="00D44B85">
          <w:rPr>
            <w:webHidden/>
          </w:rPr>
          <w:instrText xml:space="preserve"> PAGEREF _Toc33176377 \h </w:instrText>
        </w:r>
        <w:r w:rsidR="00D44B85">
          <w:rPr>
            <w:webHidden/>
          </w:rPr>
        </w:r>
        <w:r w:rsidR="00D44B85">
          <w:rPr>
            <w:webHidden/>
          </w:rPr>
          <w:fldChar w:fldCharType="separate"/>
        </w:r>
        <w:r w:rsidR="001232AB">
          <w:rPr>
            <w:webHidden/>
          </w:rPr>
          <w:t>13</w:t>
        </w:r>
        <w:r w:rsidR="00D44B85">
          <w:rPr>
            <w:webHidden/>
          </w:rPr>
          <w:fldChar w:fldCharType="end"/>
        </w:r>
      </w:hyperlink>
    </w:p>
    <w:p w14:paraId="22E55428" w14:textId="01EF756A" w:rsidR="00D44B85" w:rsidRDefault="00E60892" w:rsidP="004E7BAF">
      <w:pPr>
        <w:pStyle w:val="TOC3"/>
        <w:keepNext/>
        <w:keepLines/>
        <w:rPr>
          <w:rFonts w:asciiTheme="minorHAnsi" w:eastAsiaTheme="minorEastAsia" w:hAnsiTheme="minorHAnsi" w:cstheme="minorBidi"/>
        </w:rPr>
      </w:pPr>
      <w:hyperlink w:anchor="_Toc33176378" w:history="1">
        <w:r w:rsidR="00D44B85" w:rsidRPr="0084603F">
          <w:rPr>
            <w:rStyle w:val="Hyperlink"/>
          </w:rPr>
          <w:t>Costs</w:t>
        </w:r>
        <w:r w:rsidR="00D44B85">
          <w:rPr>
            <w:webHidden/>
          </w:rPr>
          <w:tab/>
        </w:r>
        <w:r w:rsidR="00D44B85">
          <w:rPr>
            <w:webHidden/>
          </w:rPr>
          <w:fldChar w:fldCharType="begin"/>
        </w:r>
        <w:r w:rsidR="00D44B85">
          <w:rPr>
            <w:webHidden/>
          </w:rPr>
          <w:instrText xml:space="preserve"> PAGEREF _Toc33176378 \h </w:instrText>
        </w:r>
        <w:r w:rsidR="00D44B85">
          <w:rPr>
            <w:webHidden/>
          </w:rPr>
        </w:r>
        <w:r w:rsidR="00D44B85">
          <w:rPr>
            <w:webHidden/>
          </w:rPr>
          <w:fldChar w:fldCharType="separate"/>
        </w:r>
        <w:r w:rsidR="001232AB">
          <w:rPr>
            <w:webHidden/>
          </w:rPr>
          <w:t>13</w:t>
        </w:r>
        <w:r w:rsidR="00D44B85">
          <w:rPr>
            <w:webHidden/>
          </w:rPr>
          <w:fldChar w:fldCharType="end"/>
        </w:r>
      </w:hyperlink>
    </w:p>
    <w:p w14:paraId="1C30B00B" w14:textId="38694345" w:rsidR="00D44B85" w:rsidRDefault="00E60892" w:rsidP="004E7BAF">
      <w:pPr>
        <w:pStyle w:val="TOC3"/>
        <w:keepNext/>
        <w:keepLines/>
        <w:rPr>
          <w:rFonts w:asciiTheme="minorHAnsi" w:eastAsiaTheme="minorEastAsia" w:hAnsiTheme="minorHAnsi" w:cstheme="minorBidi"/>
        </w:rPr>
      </w:pPr>
      <w:hyperlink w:anchor="_Toc33176380" w:history="1">
        <w:r w:rsidR="00D44B85" w:rsidRPr="0084603F">
          <w:rPr>
            <w:rStyle w:val="Hyperlink"/>
            <w:rFonts w:eastAsiaTheme="minorHAnsi"/>
            <w:lang w:eastAsia="en-US"/>
          </w:rPr>
          <w:t>Gateway to further fraud</w:t>
        </w:r>
        <w:r w:rsidR="00D44B85">
          <w:rPr>
            <w:webHidden/>
          </w:rPr>
          <w:tab/>
        </w:r>
        <w:r w:rsidR="00D44B85">
          <w:rPr>
            <w:webHidden/>
          </w:rPr>
          <w:fldChar w:fldCharType="begin"/>
        </w:r>
        <w:r w:rsidR="00D44B85">
          <w:rPr>
            <w:webHidden/>
          </w:rPr>
          <w:instrText xml:space="preserve"> PAGEREF _Toc33176380 \h </w:instrText>
        </w:r>
        <w:r w:rsidR="00D44B85">
          <w:rPr>
            <w:webHidden/>
          </w:rPr>
        </w:r>
        <w:r w:rsidR="00D44B85">
          <w:rPr>
            <w:webHidden/>
          </w:rPr>
          <w:fldChar w:fldCharType="separate"/>
        </w:r>
        <w:r w:rsidR="001232AB">
          <w:rPr>
            <w:webHidden/>
          </w:rPr>
          <w:t>16</w:t>
        </w:r>
        <w:r w:rsidR="00D44B85">
          <w:rPr>
            <w:webHidden/>
          </w:rPr>
          <w:fldChar w:fldCharType="end"/>
        </w:r>
      </w:hyperlink>
    </w:p>
    <w:p w14:paraId="75874F2F" w14:textId="758203BF" w:rsidR="00D44B85" w:rsidRDefault="00E60892" w:rsidP="004E7BAF">
      <w:pPr>
        <w:pStyle w:val="TOC2"/>
        <w:keepNext/>
        <w:keepLines/>
        <w:rPr>
          <w:rFonts w:asciiTheme="minorHAnsi" w:eastAsiaTheme="minorEastAsia" w:hAnsiTheme="minorHAnsi" w:cstheme="minorBidi"/>
          <w:spacing w:val="0"/>
          <w:sz w:val="22"/>
          <w:szCs w:val="22"/>
        </w:rPr>
      </w:pPr>
      <w:hyperlink w:anchor="_Toc33176382" w:history="1">
        <w:r w:rsidR="00D44B85" w:rsidRPr="0084603F">
          <w:rPr>
            <w:rStyle w:val="Hyperlink"/>
          </w:rPr>
          <w:t>2. Education campaign</w:t>
        </w:r>
        <w:r w:rsidR="00D44B85">
          <w:rPr>
            <w:webHidden/>
          </w:rPr>
          <w:tab/>
        </w:r>
        <w:r w:rsidR="00D44B85">
          <w:rPr>
            <w:webHidden/>
          </w:rPr>
          <w:fldChar w:fldCharType="begin"/>
        </w:r>
        <w:r w:rsidR="00D44B85">
          <w:rPr>
            <w:webHidden/>
          </w:rPr>
          <w:instrText xml:space="preserve"> PAGEREF _Toc33176382 \h </w:instrText>
        </w:r>
        <w:r w:rsidR="00D44B85">
          <w:rPr>
            <w:webHidden/>
          </w:rPr>
        </w:r>
        <w:r w:rsidR="00D44B85">
          <w:rPr>
            <w:webHidden/>
          </w:rPr>
          <w:fldChar w:fldCharType="separate"/>
        </w:r>
        <w:r w:rsidR="001232AB">
          <w:rPr>
            <w:webHidden/>
          </w:rPr>
          <w:t>17</w:t>
        </w:r>
        <w:r w:rsidR="00D44B85">
          <w:rPr>
            <w:webHidden/>
          </w:rPr>
          <w:fldChar w:fldCharType="end"/>
        </w:r>
      </w:hyperlink>
    </w:p>
    <w:p w14:paraId="62F5C3E5" w14:textId="7AE3CFED" w:rsidR="00D44B85" w:rsidRDefault="00E60892" w:rsidP="004E7BAF">
      <w:pPr>
        <w:pStyle w:val="TOC3"/>
        <w:keepNext/>
        <w:keepLines/>
        <w:rPr>
          <w:rFonts w:asciiTheme="minorHAnsi" w:eastAsiaTheme="minorEastAsia" w:hAnsiTheme="minorHAnsi" w:cstheme="minorBidi"/>
        </w:rPr>
      </w:pPr>
      <w:hyperlink w:anchor="_Toc33176383" w:history="1">
        <w:r w:rsidR="00D44B85" w:rsidRPr="0084603F">
          <w:rPr>
            <w:rStyle w:val="Hyperlink"/>
          </w:rPr>
          <w:t>Benefits</w:t>
        </w:r>
        <w:r w:rsidR="00D44B85">
          <w:rPr>
            <w:webHidden/>
          </w:rPr>
          <w:tab/>
        </w:r>
        <w:r w:rsidR="00D44B85">
          <w:rPr>
            <w:webHidden/>
          </w:rPr>
          <w:fldChar w:fldCharType="begin"/>
        </w:r>
        <w:r w:rsidR="00D44B85">
          <w:rPr>
            <w:webHidden/>
          </w:rPr>
          <w:instrText xml:space="preserve"> PAGEREF _Toc33176383 \h </w:instrText>
        </w:r>
        <w:r w:rsidR="00D44B85">
          <w:rPr>
            <w:webHidden/>
          </w:rPr>
        </w:r>
        <w:r w:rsidR="00D44B85">
          <w:rPr>
            <w:webHidden/>
          </w:rPr>
          <w:fldChar w:fldCharType="separate"/>
        </w:r>
        <w:r w:rsidR="001232AB">
          <w:rPr>
            <w:webHidden/>
          </w:rPr>
          <w:t>17</w:t>
        </w:r>
        <w:r w:rsidR="00D44B85">
          <w:rPr>
            <w:webHidden/>
          </w:rPr>
          <w:fldChar w:fldCharType="end"/>
        </w:r>
      </w:hyperlink>
    </w:p>
    <w:p w14:paraId="096911EB" w14:textId="657A0E4B" w:rsidR="00D44B85" w:rsidRDefault="00E60892" w:rsidP="004E7BAF">
      <w:pPr>
        <w:pStyle w:val="TOC3"/>
        <w:keepNext/>
        <w:keepLines/>
        <w:rPr>
          <w:rFonts w:asciiTheme="minorHAnsi" w:eastAsiaTheme="minorEastAsia" w:hAnsiTheme="minorHAnsi" w:cstheme="minorBidi"/>
        </w:rPr>
      </w:pPr>
      <w:hyperlink w:anchor="_Toc33176384" w:history="1">
        <w:r w:rsidR="00D44B85" w:rsidRPr="0084603F">
          <w:rPr>
            <w:rStyle w:val="Hyperlink"/>
          </w:rPr>
          <w:t>Costs</w:t>
        </w:r>
        <w:r w:rsidR="00D44B85">
          <w:rPr>
            <w:webHidden/>
          </w:rPr>
          <w:tab/>
        </w:r>
        <w:r w:rsidR="00D44B85">
          <w:rPr>
            <w:webHidden/>
          </w:rPr>
          <w:fldChar w:fldCharType="begin"/>
        </w:r>
        <w:r w:rsidR="00D44B85">
          <w:rPr>
            <w:webHidden/>
          </w:rPr>
          <w:instrText xml:space="preserve"> PAGEREF _Toc33176384 \h </w:instrText>
        </w:r>
        <w:r w:rsidR="00D44B85">
          <w:rPr>
            <w:webHidden/>
          </w:rPr>
        </w:r>
        <w:r w:rsidR="00D44B85">
          <w:rPr>
            <w:webHidden/>
          </w:rPr>
          <w:fldChar w:fldCharType="separate"/>
        </w:r>
        <w:r w:rsidR="001232AB">
          <w:rPr>
            <w:webHidden/>
          </w:rPr>
          <w:t>18</w:t>
        </w:r>
        <w:r w:rsidR="00D44B85">
          <w:rPr>
            <w:webHidden/>
          </w:rPr>
          <w:fldChar w:fldCharType="end"/>
        </w:r>
      </w:hyperlink>
    </w:p>
    <w:p w14:paraId="1EE1232A" w14:textId="79D66D97" w:rsidR="00D44B85" w:rsidRDefault="00E60892" w:rsidP="004E7BAF">
      <w:pPr>
        <w:pStyle w:val="TOC2"/>
        <w:keepNext/>
        <w:keepLines/>
        <w:rPr>
          <w:rFonts w:asciiTheme="minorHAnsi" w:eastAsiaTheme="minorEastAsia" w:hAnsiTheme="minorHAnsi" w:cstheme="minorBidi"/>
          <w:spacing w:val="0"/>
          <w:sz w:val="22"/>
          <w:szCs w:val="22"/>
        </w:rPr>
      </w:pPr>
      <w:hyperlink w:anchor="_Toc33176385" w:history="1">
        <w:r w:rsidR="00D44B85" w:rsidRPr="0084603F">
          <w:rPr>
            <w:rStyle w:val="Hyperlink"/>
          </w:rPr>
          <w:t>3.</w:t>
        </w:r>
        <w:r w:rsidR="00D44B85">
          <w:rPr>
            <w:rFonts w:asciiTheme="minorHAnsi" w:eastAsiaTheme="minorEastAsia" w:hAnsiTheme="minorHAnsi" w:cstheme="minorBidi"/>
            <w:spacing w:val="0"/>
            <w:sz w:val="22"/>
            <w:szCs w:val="22"/>
          </w:rPr>
          <w:tab/>
        </w:r>
        <w:r w:rsidR="00D44B85" w:rsidRPr="0084603F">
          <w:rPr>
            <w:rStyle w:val="Hyperlink"/>
          </w:rPr>
          <w:t>Industry standard</w:t>
        </w:r>
        <w:r w:rsidR="00D44B85">
          <w:rPr>
            <w:webHidden/>
          </w:rPr>
          <w:tab/>
        </w:r>
        <w:r w:rsidR="00D44B85">
          <w:rPr>
            <w:webHidden/>
          </w:rPr>
          <w:fldChar w:fldCharType="begin"/>
        </w:r>
        <w:r w:rsidR="00D44B85">
          <w:rPr>
            <w:webHidden/>
          </w:rPr>
          <w:instrText xml:space="preserve"> PAGEREF _Toc33176385 \h </w:instrText>
        </w:r>
        <w:r w:rsidR="00D44B85">
          <w:rPr>
            <w:webHidden/>
          </w:rPr>
        </w:r>
        <w:r w:rsidR="00D44B85">
          <w:rPr>
            <w:webHidden/>
          </w:rPr>
          <w:fldChar w:fldCharType="separate"/>
        </w:r>
        <w:r w:rsidR="001232AB">
          <w:rPr>
            <w:webHidden/>
          </w:rPr>
          <w:t>19</w:t>
        </w:r>
        <w:r w:rsidR="00D44B85">
          <w:rPr>
            <w:webHidden/>
          </w:rPr>
          <w:fldChar w:fldCharType="end"/>
        </w:r>
      </w:hyperlink>
    </w:p>
    <w:p w14:paraId="3E0EBDFA" w14:textId="0986B6CC" w:rsidR="00D44B85" w:rsidRDefault="00E60892" w:rsidP="004E7BAF">
      <w:pPr>
        <w:pStyle w:val="TOC3"/>
        <w:keepNext/>
        <w:keepLines/>
        <w:rPr>
          <w:rFonts w:asciiTheme="minorHAnsi" w:eastAsiaTheme="minorEastAsia" w:hAnsiTheme="minorHAnsi" w:cstheme="minorBidi"/>
        </w:rPr>
      </w:pPr>
      <w:hyperlink w:anchor="_Toc33176386" w:history="1">
        <w:r w:rsidR="00D44B85" w:rsidRPr="0084603F">
          <w:rPr>
            <w:rStyle w:val="Hyperlink"/>
          </w:rPr>
          <w:t>Benefits</w:t>
        </w:r>
        <w:r w:rsidR="00D44B85">
          <w:rPr>
            <w:webHidden/>
          </w:rPr>
          <w:tab/>
        </w:r>
        <w:r w:rsidR="00D44B85">
          <w:rPr>
            <w:webHidden/>
          </w:rPr>
          <w:fldChar w:fldCharType="begin"/>
        </w:r>
        <w:r w:rsidR="00D44B85">
          <w:rPr>
            <w:webHidden/>
          </w:rPr>
          <w:instrText xml:space="preserve"> PAGEREF _Toc33176386 \h </w:instrText>
        </w:r>
        <w:r w:rsidR="00D44B85">
          <w:rPr>
            <w:webHidden/>
          </w:rPr>
        </w:r>
        <w:r w:rsidR="00D44B85">
          <w:rPr>
            <w:webHidden/>
          </w:rPr>
          <w:fldChar w:fldCharType="separate"/>
        </w:r>
        <w:r w:rsidR="001232AB">
          <w:rPr>
            <w:webHidden/>
          </w:rPr>
          <w:t>19</w:t>
        </w:r>
        <w:r w:rsidR="00D44B85">
          <w:rPr>
            <w:webHidden/>
          </w:rPr>
          <w:fldChar w:fldCharType="end"/>
        </w:r>
      </w:hyperlink>
    </w:p>
    <w:p w14:paraId="569AF0BE" w14:textId="16ACE451" w:rsidR="00D44B85" w:rsidRDefault="00E60892" w:rsidP="004E7BAF">
      <w:pPr>
        <w:pStyle w:val="TOC3"/>
        <w:keepNext/>
        <w:keepLines/>
        <w:rPr>
          <w:rFonts w:asciiTheme="minorHAnsi" w:eastAsiaTheme="minorEastAsia" w:hAnsiTheme="minorHAnsi" w:cstheme="minorBidi"/>
        </w:rPr>
      </w:pPr>
      <w:hyperlink w:anchor="_Toc33176387" w:history="1">
        <w:r w:rsidR="00D44B85" w:rsidRPr="0084603F">
          <w:rPr>
            <w:rStyle w:val="Hyperlink"/>
          </w:rPr>
          <w:t>Costs</w:t>
        </w:r>
        <w:r w:rsidR="00D44B85">
          <w:rPr>
            <w:webHidden/>
          </w:rPr>
          <w:tab/>
        </w:r>
        <w:r w:rsidR="00D44B85">
          <w:rPr>
            <w:webHidden/>
          </w:rPr>
          <w:fldChar w:fldCharType="begin"/>
        </w:r>
        <w:r w:rsidR="00D44B85">
          <w:rPr>
            <w:webHidden/>
          </w:rPr>
          <w:instrText xml:space="preserve"> PAGEREF _Toc33176387 \h </w:instrText>
        </w:r>
        <w:r w:rsidR="00D44B85">
          <w:rPr>
            <w:webHidden/>
          </w:rPr>
        </w:r>
        <w:r w:rsidR="00D44B85">
          <w:rPr>
            <w:webHidden/>
          </w:rPr>
          <w:fldChar w:fldCharType="separate"/>
        </w:r>
        <w:r w:rsidR="001232AB">
          <w:rPr>
            <w:webHidden/>
          </w:rPr>
          <w:t>21</w:t>
        </w:r>
        <w:r w:rsidR="00D44B85">
          <w:rPr>
            <w:webHidden/>
          </w:rPr>
          <w:fldChar w:fldCharType="end"/>
        </w:r>
      </w:hyperlink>
    </w:p>
    <w:p w14:paraId="11128976" w14:textId="515EA57C" w:rsidR="00D44B85" w:rsidRDefault="00E60892" w:rsidP="004E7BAF">
      <w:pPr>
        <w:pStyle w:val="TOC2"/>
        <w:rPr>
          <w:rFonts w:asciiTheme="minorHAnsi" w:eastAsiaTheme="minorEastAsia" w:hAnsiTheme="minorHAnsi" w:cstheme="minorBidi"/>
          <w:spacing w:val="0"/>
          <w:sz w:val="22"/>
          <w:szCs w:val="22"/>
        </w:rPr>
      </w:pPr>
      <w:hyperlink w:anchor="_Toc33176388" w:history="1">
        <w:r w:rsidR="00D44B85" w:rsidRPr="0084603F">
          <w:rPr>
            <w:rStyle w:val="Hyperlink"/>
          </w:rPr>
          <w:t>Regulatory burden measurement table</w:t>
        </w:r>
        <w:r w:rsidR="00D44B85">
          <w:rPr>
            <w:webHidden/>
          </w:rPr>
          <w:tab/>
        </w:r>
        <w:r w:rsidR="00D44B85">
          <w:rPr>
            <w:webHidden/>
          </w:rPr>
          <w:fldChar w:fldCharType="begin"/>
        </w:r>
        <w:r w:rsidR="00D44B85">
          <w:rPr>
            <w:webHidden/>
          </w:rPr>
          <w:instrText xml:space="preserve"> PAGEREF _Toc33176388 \h </w:instrText>
        </w:r>
        <w:r w:rsidR="00D44B85">
          <w:rPr>
            <w:webHidden/>
          </w:rPr>
        </w:r>
        <w:r w:rsidR="00D44B85">
          <w:rPr>
            <w:webHidden/>
          </w:rPr>
          <w:fldChar w:fldCharType="separate"/>
        </w:r>
        <w:r w:rsidR="001232AB">
          <w:rPr>
            <w:webHidden/>
          </w:rPr>
          <w:t>22</w:t>
        </w:r>
        <w:r w:rsidR="00D44B85">
          <w:rPr>
            <w:webHidden/>
          </w:rPr>
          <w:fldChar w:fldCharType="end"/>
        </w:r>
      </w:hyperlink>
    </w:p>
    <w:p w14:paraId="0F301E94" w14:textId="601E5BA6" w:rsidR="00D44B85" w:rsidRDefault="00E60892" w:rsidP="004E7BAF">
      <w:pPr>
        <w:pStyle w:val="TOC1"/>
        <w:keepNext/>
        <w:keepLines/>
        <w:rPr>
          <w:rFonts w:asciiTheme="minorHAnsi" w:eastAsiaTheme="minorEastAsia" w:hAnsiTheme="minorHAnsi" w:cstheme="minorBidi"/>
          <w:b w:val="0"/>
          <w:spacing w:val="0"/>
          <w:sz w:val="22"/>
          <w:szCs w:val="22"/>
        </w:rPr>
      </w:pPr>
      <w:hyperlink w:anchor="_Toc33176389" w:history="1">
        <w:r w:rsidR="00D44B85" w:rsidRPr="0084603F">
          <w:rPr>
            <w:rStyle w:val="Hyperlink"/>
          </w:rPr>
          <w:t>Who was consulted and what did they say?</w:t>
        </w:r>
        <w:r w:rsidR="00D44B85">
          <w:rPr>
            <w:webHidden/>
          </w:rPr>
          <w:tab/>
        </w:r>
        <w:r w:rsidR="00D44B85">
          <w:rPr>
            <w:webHidden/>
          </w:rPr>
          <w:fldChar w:fldCharType="begin"/>
        </w:r>
        <w:r w:rsidR="00D44B85">
          <w:rPr>
            <w:webHidden/>
          </w:rPr>
          <w:instrText xml:space="preserve"> PAGEREF _Toc33176389 \h </w:instrText>
        </w:r>
        <w:r w:rsidR="00D44B85">
          <w:rPr>
            <w:webHidden/>
          </w:rPr>
        </w:r>
        <w:r w:rsidR="00D44B85">
          <w:rPr>
            <w:webHidden/>
          </w:rPr>
          <w:fldChar w:fldCharType="separate"/>
        </w:r>
        <w:r w:rsidR="001232AB">
          <w:rPr>
            <w:webHidden/>
          </w:rPr>
          <w:t>23</w:t>
        </w:r>
        <w:r w:rsidR="00D44B85">
          <w:rPr>
            <w:webHidden/>
          </w:rPr>
          <w:fldChar w:fldCharType="end"/>
        </w:r>
      </w:hyperlink>
    </w:p>
    <w:p w14:paraId="4411DBC6" w14:textId="377D1FA0" w:rsidR="00D44B85" w:rsidRDefault="00E60892">
      <w:pPr>
        <w:pStyle w:val="TOC2"/>
        <w:rPr>
          <w:rFonts w:asciiTheme="minorHAnsi" w:eastAsiaTheme="minorEastAsia" w:hAnsiTheme="minorHAnsi" w:cstheme="minorBidi"/>
          <w:spacing w:val="0"/>
          <w:sz w:val="22"/>
          <w:szCs w:val="22"/>
        </w:rPr>
      </w:pPr>
      <w:hyperlink w:anchor="_Toc33176390" w:history="1">
        <w:r w:rsidR="00D44B85" w:rsidRPr="0084603F">
          <w:rPr>
            <w:rStyle w:val="Hyperlink"/>
          </w:rPr>
          <w:t>Consultation</w:t>
        </w:r>
        <w:r w:rsidR="00D44B85">
          <w:rPr>
            <w:webHidden/>
          </w:rPr>
          <w:tab/>
        </w:r>
        <w:r w:rsidR="00D44B85">
          <w:rPr>
            <w:webHidden/>
          </w:rPr>
          <w:fldChar w:fldCharType="begin"/>
        </w:r>
        <w:r w:rsidR="00D44B85">
          <w:rPr>
            <w:webHidden/>
          </w:rPr>
          <w:instrText xml:space="preserve"> PAGEREF _Toc33176390 \h </w:instrText>
        </w:r>
        <w:r w:rsidR="00D44B85">
          <w:rPr>
            <w:webHidden/>
          </w:rPr>
        </w:r>
        <w:r w:rsidR="00D44B85">
          <w:rPr>
            <w:webHidden/>
          </w:rPr>
          <w:fldChar w:fldCharType="separate"/>
        </w:r>
        <w:r w:rsidR="001232AB">
          <w:rPr>
            <w:webHidden/>
          </w:rPr>
          <w:t>23</w:t>
        </w:r>
        <w:r w:rsidR="00D44B85">
          <w:rPr>
            <w:webHidden/>
          </w:rPr>
          <w:fldChar w:fldCharType="end"/>
        </w:r>
      </w:hyperlink>
    </w:p>
    <w:p w14:paraId="7C2903C2" w14:textId="56A81D32" w:rsidR="00D44B85" w:rsidRDefault="00E60892">
      <w:pPr>
        <w:pStyle w:val="TOC3"/>
        <w:rPr>
          <w:rFonts w:asciiTheme="minorHAnsi" w:eastAsiaTheme="minorEastAsia" w:hAnsiTheme="minorHAnsi" w:cstheme="minorBidi"/>
        </w:rPr>
      </w:pPr>
      <w:hyperlink w:anchor="_Toc33176391" w:history="1">
        <w:r w:rsidR="00D44B85" w:rsidRPr="0084603F">
          <w:rPr>
            <w:rStyle w:val="Hyperlink"/>
          </w:rPr>
          <w:t>Post-October 2019</w:t>
        </w:r>
        <w:r w:rsidR="00D44B85">
          <w:rPr>
            <w:webHidden/>
          </w:rPr>
          <w:tab/>
        </w:r>
        <w:r w:rsidR="00D44B85">
          <w:rPr>
            <w:webHidden/>
          </w:rPr>
          <w:fldChar w:fldCharType="begin"/>
        </w:r>
        <w:r w:rsidR="00D44B85">
          <w:rPr>
            <w:webHidden/>
          </w:rPr>
          <w:instrText xml:space="preserve"> PAGEREF _Toc33176391 \h </w:instrText>
        </w:r>
        <w:r w:rsidR="00D44B85">
          <w:rPr>
            <w:webHidden/>
          </w:rPr>
        </w:r>
        <w:r w:rsidR="00D44B85">
          <w:rPr>
            <w:webHidden/>
          </w:rPr>
          <w:fldChar w:fldCharType="separate"/>
        </w:r>
        <w:r w:rsidR="001232AB">
          <w:rPr>
            <w:webHidden/>
          </w:rPr>
          <w:t>23</w:t>
        </w:r>
        <w:r w:rsidR="00D44B85">
          <w:rPr>
            <w:webHidden/>
          </w:rPr>
          <w:fldChar w:fldCharType="end"/>
        </w:r>
      </w:hyperlink>
    </w:p>
    <w:p w14:paraId="4C821898" w14:textId="3FBD4DC9" w:rsidR="00D44B85" w:rsidRDefault="00E60892">
      <w:pPr>
        <w:pStyle w:val="TOC2"/>
        <w:rPr>
          <w:rFonts w:asciiTheme="minorHAnsi" w:eastAsiaTheme="minorEastAsia" w:hAnsiTheme="minorHAnsi" w:cstheme="minorBidi"/>
          <w:spacing w:val="0"/>
          <w:sz w:val="22"/>
          <w:szCs w:val="22"/>
        </w:rPr>
      </w:pPr>
      <w:hyperlink w:anchor="_Toc33176392" w:history="1">
        <w:r w:rsidR="00D44B85" w:rsidRPr="0084603F">
          <w:rPr>
            <w:rStyle w:val="Hyperlink"/>
          </w:rPr>
          <w:t>Summary of stakeholder feedback</w:t>
        </w:r>
        <w:r w:rsidR="00D44B85">
          <w:rPr>
            <w:webHidden/>
          </w:rPr>
          <w:tab/>
        </w:r>
        <w:r w:rsidR="00D44B85">
          <w:rPr>
            <w:webHidden/>
          </w:rPr>
          <w:fldChar w:fldCharType="begin"/>
        </w:r>
        <w:r w:rsidR="00D44B85">
          <w:rPr>
            <w:webHidden/>
          </w:rPr>
          <w:instrText xml:space="preserve"> PAGEREF _Toc33176392 \h </w:instrText>
        </w:r>
        <w:r w:rsidR="00D44B85">
          <w:rPr>
            <w:webHidden/>
          </w:rPr>
        </w:r>
        <w:r w:rsidR="00D44B85">
          <w:rPr>
            <w:webHidden/>
          </w:rPr>
          <w:fldChar w:fldCharType="separate"/>
        </w:r>
        <w:r w:rsidR="001232AB">
          <w:rPr>
            <w:webHidden/>
          </w:rPr>
          <w:t>24</w:t>
        </w:r>
        <w:r w:rsidR="00D44B85">
          <w:rPr>
            <w:webHidden/>
          </w:rPr>
          <w:fldChar w:fldCharType="end"/>
        </w:r>
      </w:hyperlink>
    </w:p>
    <w:p w14:paraId="35F66772" w14:textId="274C817D" w:rsidR="00D44B85" w:rsidRDefault="00E60892">
      <w:pPr>
        <w:pStyle w:val="TOC1"/>
        <w:rPr>
          <w:rFonts w:asciiTheme="minorHAnsi" w:eastAsiaTheme="minorEastAsia" w:hAnsiTheme="minorHAnsi" w:cstheme="minorBidi"/>
          <w:b w:val="0"/>
          <w:spacing w:val="0"/>
          <w:sz w:val="22"/>
          <w:szCs w:val="22"/>
        </w:rPr>
      </w:pPr>
      <w:hyperlink w:anchor="_Toc33176393" w:history="1">
        <w:r w:rsidR="00D44B85" w:rsidRPr="0084603F">
          <w:rPr>
            <w:rStyle w:val="Hyperlink"/>
          </w:rPr>
          <w:t>What is the best option from those considered?</w:t>
        </w:r>
        <w:r w:rsidR="00D44B85">
          <w:rPr>
            <w:webHidden/>
          </w:rPr>
          <w:tab/>
        </w:r>
        <w:r w:rsidR="00D44B85">
          <w:rPr>
            <w:webHidden/>
          </w:rPr>
          <w:fldChar w:fldCharType="begin"/>
        </w:r>
        <w:r w:rsidR="00D44B85">
          <w:rPr>
            <w:webHidden/>
          </w:rPr>
          <w:instrText xml:space="preserve"> PAGEREF _Toc33176393 \h </w:instrText>
        </w:r>
        <w:r w:rsidR="00D44B85">
          <w:rPr>
            <w:webHidden/>
          </w:rPr>
        </w:r>
        <w:r w:rsidR="00D44B85">
          <w:rPr>
            <w:webHidden/>
          </w:rPr>
          <w:fldChar w:fldCharType="separate"/>
        </w:r>
        <w:r w:rsidR="001232AB">
          <w:rPr>
            <w:webHidden/>
          </w:rPr>
          <w:t>25</w:t>
        </w:r>
        <w:r w:rsidR="00D44B85">
          <w:rPr>
            <w:webHidden/>
          </w:rPr>
          <w:fldChar w:fldCharType="end"/>
        </w:r>
      </w:hyperlink>
    </w:p>
    <w:p w14:paraId="48EB4D4A" w14:textId="0D69CA74" w:rsidR="00D44B85" w:rsidRDefault="00E60892">
      <w:pPr>
        <w:pStyle w:val="TOC1"/>
        <w:rPr>
          <w:rFonts w:asciiTheme="minorHAnsi" w:eastAsiaTheme="minorEastAsia" w:hAnsiTheme="minorHAnsi" w:cstheme="minorBidi"/>
          <w:b w:val="0"/>
          <w:spacing w:val="0"/>
          <w:sz w:val="22"/>
          <w:szCs w:val="22"/>
        </w:rPr>
      </w:pPr>
      <w:hyperlink w:anchor="_Toc33176394" w:history="1">
        <w:r w:rsidR="00D44B85" w:rsidRPr="0084603F">
          <w:rPr>
            <w:rStyle w:val="Hyperlink"/>
          </w:rPr>
          <w:t>How will you implement and evaluate your chosen option?</w:t>
        </w:r>
        <w:r w:rsidR="00D44B85">
          <w:rPr>
            <w:webHidden/>
          </w:rPr>
          <w:tab/>
        </w:r>
        <w:r w:rsidR="00D44B85">
          <w:rPr>
            <w:webHidden/>
          </w:rPr>
          <w:fldChar w:fldCharType="begin"/>
        </w:r>
        <w:r w:rsidR="00D44B85">
          <w:rPr>
            <w:webHidden/>
          </w:rPr>
          <w:instrText xml:space="preserve"> PAGEREF _Toc33176394 \h </w:instrText>
        </w:r>
        <w:r w:rsidR="00D44B85">
          <w:rPr>
            <w:webHidden/>
          </w:rPr>
        </w:r>
        <w:r w:rsidR="00D44B85">
          <w:rPr>
            <w:webHidden/>
          </w:rPr>
          <w:fldChar w:fldCharType="separate"/>
        </w:r>
        <w:r w:rsidR="001232AB">
          <w:rPr>
            <w:webHidden/>
          </w:rPr>
          <w:t>26</w:t>
        </w:r>
        <w:r w:rsidR="00D44B85">
          <w:rPr>
            <w:webHidden/>
          </w:rPr>
          <w:fldChar w:fldCharType="end"/>
        </w:r>
      </w:hyperlink>
    </w:p>
    <w:p w14:paraId="0600F7AA" w14:textId="6E393785" w:rsidR="00D44B85" w:rsidRDefault="00E60892">
      <w:pPr>
        <w:pStyle w:val="TOC2"/>
        <w:rPr>
          <w:rFonts w:asciiTheme="minorHAnsi" w:eastAsiaTheme="minorEastAsia" w:hAnsiTheme="minorHAnsi" w:cstheme="minorBidi"/>
          <w:spacing w:val="0"/>
          <w:sz w:val="22"/>
          <w:szCs w:val="22"/>
        </w:rPr>
      </w:pPr>
      <w:hyperlink w:anchor="_Toc33176395" w:history="1">
        <w:r w:rsidR="00D44B85" w:rsidRPr="0084603F">
          <w:rPr>
            <w:rStyle w:val="Hyperlink"/>
          </w:rPr>
          <w:t>Implementation</w:t>
        </w:r>
        <w:r w:rsidR="00D44B85">
          <w:rPr>
            <w:webHidden/>
          </w:rPr>
          <w:tab/>
        </w:r>
        <w:r w:rsidR="00D44B85">
          <w:rPr>
            <w:webHidden/>
          </w:rPr>
          <w:fldChar w:fldCharType="begin"/>
        </w:r>
        <w:r w:rsidR="00D44B85">
          <w:rPr>
            <w:webHidden/>
          </w:rPr>
          <w:instrText xml:space="preserve"> PAGEREF _Toc33176395 \h </w:instrText>
        </w:r>
        <w:r w:rsidR="00D44B85">
          <w:rPr>
            <w:webHidden/>
          </w:rPr>
        </w:r>
        <w:r w:rsidR="00D44B85">
          <w:rPr>
            <w:webHidden/>
          </w:rPr>
          <w:fldChar w:fldCharType="separate"/>
        </w:r>
        <w:r w:rsidR="001232AB">
          <w:rPr>
            <w:webHidden/>
          </w:rPr>
          <w:t>26</w:t>
        </w:r>
        <w:r w:rsidR="00D44B85">
          <w:rPr>
            <w:webHidden/>
          </w:rPr>
          <w:fldChar w:fldCharType="end"/>
        </w:r>
      </w:hyperlink>
    </w:p>
    <w:p w14:paraId="6E29D7D2" w14:textId="4DBE39F6" w:rsidR="00D44B85" w:rsidRDefault="00E60892">
      <w:pPr>
        <w:pStyle w:val="TOC3"/>
        <w:rPr>
          <w:rFonts w:asciiTheme="minorHAnsi" w:eastAsiaTheme="minorEastAsia" w:hAnsiTheme="minorHAnsi" w:cstheme="minorBidi"/>
        </w:rPr>
      </w:pPr>
      <w:hyperlink w:anchor="_Toc33176396" w:history="1">
        <w:r w:rsidR="00D44B85" w:rsidRPr="0084603F">
          <w:rPr>
            <w:rStyle w:val="Hyperlink"/>
          </w:rPr>
          <w:t>Engagement with stakeholders</w:t>
        </w:r>
        <w:r w:rsidR="00D44B85">
          <w:rPr>
            <w:webHidden/>
          </w:rPr>
          <w:tab/>
        </w:r>
        <w:r w:rsidR="00D44B85">
          <w:rPr>
            <w:webHidden/>
          </w:rPr>
          <w:fldChar w:fldCharType="begin"/>
        </w:r>
        <w:r w:rsidR="00D44B85">
          <w:rPr>
            <w:webHidden/>
          </w:rPr>
          <w:instrText xml:space="preserve"> PAGEREF _Toc33176396 \h </w:instrText>
        </w:r>
        <w:r w:rsidR="00D44B85">
          <w:rPr>
            <w:webHidden/>
          </w:rPr>
        </w:r>
        <w:r w:rsidR="00D44B85">
          <w:rPr>
            <w:webHidden/>
          </w:rPr>
          <w:fldChar w:fldCharType="separate"/>
        </w:r>
        <w:r w:rsidR="001232AB">
          <w:rPr>
            <w:webHidden/>
          </w:rPr>
          <w:t>26</w:t>
        </w:r>
        <w:r w:rsidR="00D44B85">
          <w:rPr>
            <w:webHidden/>
          </w:rPr>
          <w:fldChar w:fldCharType="end"/>
        </w:r>
      </w:hyperlink>
    </w:p>
    <w:p w14:paraId="564993CA" w14:textId="33F6BD15" w:rsidR="00D44B85" w:rsidRDefault="00E60892">
      <w:pPr>
        <w:pStyle w:val="TOC3"/>
        <w:rPr>
          <w:rFonts w:asciiTheme="minorHAnsi" w:eastAsiaTheme="minorEastAsia" w:hAnsiTheme="minorHAnsi" w:cstheme="minorBidi"/>
        </w:rPr>
      </w:pPr>
      <w:hyperlink w:anchor="_Toc33176397" w:history="1">
        <w:r w:rsidR="00D44B85" w:rsidRPr="0084603F">
          <w:rPr>
            <w:rStyle w:val="Hyperlink"/>
          </w:rPr>
          <w:t>Education campaign</w:t>
        </w:r>
        <w:r w:rsidR="00D44B85">
          <w:rPr>
            <w:webHidden/>
          </w:rPr>
          <w:tab/>
        </w:r>
        <w:r w:rsidR="00D44B85">
          <w:rPr>
            <w:webHidden/>
          </w:rPr>
          <w:fldChar w:fldCharType="begin"/>
        </w:r>
        <w:r w:rsidR="00D44B85">
          <w:rPr>
            <w:webHidden/>
          </w:rPr>
          <w:instrText xml:space="preserve"> PAGEREF _Toc33176397 \h </w:instrText>
        </w:r>
        <w:r w:rsidR="00D44B85">
          <w:rPr>
            <w:webHidden/>
          </w:rPr>
        </w:r>
        <w:r w:rsidR="00D44B85">
          <w:rPr>
            <w:webHidden/>
          </w:rPr>
          <w:fldChar w:fldCharType="separate"/>
        </w:r>
        <w:r w:rsidR="001232AB">
          <w:rPr>
            <w:webHidden/>
          </w:rPr>
          <w:t>26</w:t>
        </w:r>
        <w:r w:rsidR="00D44B85">
          <w:rPr>
            <w:webHidden/>
          </w:rPr>
          <w:fldChar w:fldCharType="end"/>
        </w:r>
      </w:hyperlink>
    </w:p>
    <w:p w14:paraId="5FB79A00" w14:textId="03A0CE04" w:rsidR="00D44B85" w:rsidRDefault="00E60892">
      <w:pPr>
        <w:pStyle w:val="TOC2"/>
        <w:rPr>
          <w:rFonts w:asciiTheme="minorHAnsi" w:eastAsiaTheme="minorEastAsia" w:hAnsiTheme="minorHAnsi" w:cstheme="minorBidi"/>
          <w:spacing w:val="0"/>
          <w:sz w:val="22"/>
          <w:szCs w:val="22"/>
        </w:rPr>
      </w:pPr>
      <w:hyperlink w:anchor="_Toc33176398" w:history="1">
        <w:r w:rsidR="00D44B85" w:rsidRPr="0084603F">
          <w:rPr>
            <w:rStyle w:val="Hyperlink"/>
          </w:rPr>
          <w:t>Evaluation</w:t>
        </w:r>
        <w:r w:rsidR="00D44B85">
          <w:rPr>
            <w:webHidden/>
          </w:rPr>
          <w:tab/>
        </w:r>
        <w:r w:rsidR="00D44B85">
          <w:rPr>
            <w:webHidden/>
          </w:rPr>
          <w:fldChar w:fldCharType="begin"/>
        </w:r>
        <w:r w:rsidR="00D44B85">
          <w:rPr>
            <w:webHidden/>
          </w:rPr>
          <w:instrText xml:space="preserve"> PAGEREF _Toc33176398 \h </w:instrText>
        </w:r>
        <w:r w:rsidR="00D44B85">
          <w:rPr>
            <w:webHidden/>
          </w:rPr>
        </w:r>
        <w:r w:rsidR="00D44B85">
          <w:rPr>
            <w:webHidden/>
          </w:rPr>
          <w:fldChar w:fldCharType="separate"/>
        </w:r>
        <w:r w:rsidR="001232AB">
          <w:rPr>
            <w:webHidden/>
          </w:rPr>
          <w:t>27</w:t>
        </w:r>
        <w:r w:rsidR="00D44B85">
          <w:rPr>
            <w:webHidden/>
          </w:rPr>
          <w:fldChar w:fldCharType="end"/>
        </w:r>
      </w:hyperlink>
    </w:p>
    <w:p w14:paraId="738CB207" w14:textId="63FBAB4C" w:rsidR="004D56FF" w:rsidRPr="000D76E0" w:rsidRDefault="005A75D4">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078EA507" w14:textId="77777777" w:rsidR="00C779F4" w:rsidRPr="0032397E" w:rsidRDefault="00C779F4" w:rsidP="0032397E">
      <w:pPr>
        <w:pStyle w:val="Heading1"/>
      </w:pPr>
      <w:bookmarkStart w:id="0" w:name="_Toc32833676"/>
      <w:bookmarkStart w:id="1" w:name="_Toc32833733"/>
      <w:bookmarkStart w:id="2" w:name="_Toc32833806"/>
      <w:bookmarkStart w:id="3" w:name="_Toc33176358"/>
      <w:bookmarkStart w:id="4" w:name="_Hlk29457115"/>
      <w:bookmarkStart w:id="5" w:name="_Toc298924672"/>
      <w:bookmarkStart w:id="6" w:name="_Toc300909555"/>
      <w:bookmarkStart w:id="7" w:name="_Toc348105636"/>
      <w:r>
        <w:lastRenderedPageBreak/>
        <w:t>Introduction</w:t>
      </w:r>
      <w:bookmarkEnd w:id="0"/>
      <w:bookmarkEnd w:id="1"/>
      <w:bookmarkEnd w:id="2"/>
      <w:bookmarkEnd w:id="3"/>
    </w:p>
    <w:bookmarkEnd w:id="4"/>
    <w:p w14:paraId="73ACDD66" w14:textId="3DCCF498" w:rsidR="006E6FAD" w:rsidRDefault="006E6FAD" w:rsidP="006E6FAD">
      <w:pPr>
        <w:pStyle w:val="Paragraph"/>
      </w:pPr>
      <w:r w:rsidRPr="0015441B">
        <w:t>The Australian Government wants to minimise fraudulent mobile number porting and reduce associated financial loss and hardship to consumers.</w:t>
      </w:r>
    </w:p>
    <w:p w14:paraId="7F2FD811" w14:textId="0124B71F" w:rsidR="006E6FAD" w:rsidRDefault="00984506" w:rsidP="004303DD">
      <w:pPr>
        <w:pStyle w:val="Paragraph"/>
      </w:pPr>
      <w:r w:rsidRPr="002106F1">
        <w:rPr>
          <w:iCs/>
          <w:color w:val="000000" w:themeColor="text1"/>
          <w:szCs w:val="20"/>
        </w:rPr>
        <w:t xml:space="preserve">Mobile number portability allows customers to change </w:t>
      </w:r>
      <w:r w:rsidR="006E6FAD">
        <w:rPr>
          <w:iCs/>
          <w:color w:val="000000" w:themeColor="text1"/>
          <w:szCs w:val="20"/>
        </w:rPr>
        <w:t>telecommunications</w:t>
      </w:r>
      <w:r w:rsidRPr="002106F1">
        <w:rPr>
          <w:iCs/>
          <w:color w:val="000000" w:themeColor="text1"/>
          <w:szCs w:val="20"/>
        </w:rPr>
        <w:t xml:space="preserve"> provider</w:t>
      </w:r>
      <w:r>
        <w:rPr>
          <w:iCs/>
          <w:color w:val="000000" w:themeColor="text1"/>
          <w:szCs w:val="20"/>
        </w:rPr>
        <w:t>s</w:t>
      </w:r>
      <w:r w:rsidRPr="002106F1">
        <w:rPr>
          <w:iCs/>
          <w:color w:val="000000" w:themeColor="text1"/>
          <w:szCs w:val="20"/>
        </w:rPr>
        <w:t xml:space="preserve"> without changing their mobile </w:t>
      </w:r>
      <w:r>
        <w:rPr>
          <w:iCs/>
          <w:color w:val="000000" w:themeColor="text1"/>
          <w:szCs w:val="20"/>
        </w:rPr>
        <w:t xml:space="preserve">phone </w:t>
      </w:r>
      <w:r w:rsidRPr="002106F1">
        <w:rPr>
          <w:iCs/>
          <w:color w:val="000000" w:themeColor="text1"/>
          <w:szCs w:val="20"/>
        </w:rPr>
        <w:t>number.</w:t>
      </w:r>
      <w:r w:rsidR="006E6FAD">
        <w:rPr>
          <w:iCs/>
          <w:color w:val="000000" w:themeColor="text1"/>
          <w:szCs w:val="20"/>
        </w:rPr>
        <w:t xml:space="preserve"> </w:t>
      </w:r>
      <w:r w:rsidR="0080613A" w:rsidRPr="00233855">
        <w:t xml:space="preserve">It is a </w:t>
      </w:r>
      <w:r w:rsidR="00F83E0C" w:rsidRPr="00233855">
        <w:t>fast and effective</w:t>
      </w:r>
      <w:r w:rsidR="0080613A" w:rsidRPr="00233855">
        <w:t xml:space="preserve"> </w:t>
      </w:r>
      <w:r w:rsidR="00F83E0C" w:rsidRPr="00233855">
        <w:t xml:space="preserve">competition measure </w:t>
      </w:r>
      <w:r w:rsidR="003C4DB7" w:rsidRPr="00233855">
        <w:t>for</w:t>
      </w:r>
      <w:r w:rsidR="0080613A" w:rsidRPr="00233855">
        <w:t xml:space="preserve"> mobile carriage service providers</w:t>
      </w:r>
      <w:r w:rsidR="005245FC">
        <w:t xml:space="preserve"> and their customers</w:t>
      </w:r>
      <w:r w:rsidR="0080613A" w:rsidRPr="00233855">
        <w:t>.</w:t>
      </w:r>
    </w:p>
    <w:p w14:paraId="3BF565F8" w14:textId="07D362C8" w:rsidR="00D454D8" w:rsidRDefault="005245FC" w:rsidP="004303DD">
      <w:pPr>
        <w:pStyle w:val="Paragraph"/>
      </w:pPr>
      <w:r w:rsidRPr="002106F1">
        <w:t>An ever-increasing number of adults now use a mobile</w:t>
      </w:r>
      <w:r w:rsidR="00C650C4">
        <w:t xml:space="preserve"> service</w:t>
      </w:r>
      <w:r w:rsidRPr="002106F1">
        <w:t xml:space="preserve"> (and </w:t>
      </w:r>
      <w:r>
        <w:t>fewer</w:t>
      </w:r>
      <w:r w:rsidRPr="002106F1">
        <w:t xml:space="preserve"> have a home landline).</w:t>
      </w:r>
      <w:r w:rsidRPr="002106F1">
        <w:rPr>
          <w:vertAlign w:val="superscript"/>
        </w:rPr>
        <w:footnoteReference w:id="2"/>
      </w:r>
      <w:r w:rsidR="004263C6">
        <w:t xml:space="preserve"> </w:t>
      </w:r>
      <w:r w:rsidR="00C779F4" w:rsidRPr="002106F1">
        <w:t xml:space="preserve">Mobile </w:t>
      </w:r>
      <w:r w:rsidR="00EF1CC7">
        <w:t>devices</w:t>
      </w:r>
      <w:r w:rsidR="00C779F4" w:rsidRPr="002106F1">
        <w:t xml:space="preserve"> often contain large amounts of personal information</w:t>
      </w:r>
      <w:r w:rsidR="00C779F4">
        <w:t xml:space="preserve"> </w:t>
      </w:r>
      <w:r w:rsidR="00C779F4" w:rsidRPr="002106F1">
        <w:t>and are regularly used for security verification for a range of utilities and accounts</w:t>
      </w:r>
      <w:r w:rsidR="004A36EC">
        <w:t xml:space="preserve">, including government services such as </w:t>
      </w:r>
      <w:r w:rsidR="004A4880">
        <w:t xml:space="preserve">the </w:t>
      </w:r>
      <w:r w:rsidR="004A36EC">
        <w:t>my</w:t>
      </w:r>
      <w:r w:rsidR="007A5480">
        <w:t>G</w:t>
      </w:r>
      <w:r w:rsidR="004A36EC">
        <w:t>ov</w:t>
      </w:r>
      <w:r w:rsidR="004A4880">
        <w:t xml:space="preserve"> portal to access government services online</w:t>
      </w:r>
      <w:r w:rsidR="00C779F4" w:rsidRPr="002106F1">
        <w:t>.</w:t>
      </w:r>
    </w:p>
    <w:p w14:paraId="098E1976" w14:textId="77777777" w:rsidR="004263C6" w:rsidRDefault="005245FC" w:rsidP="00307EC7">
      <w:pPr>
        <w:pStyle w:val="Paragraph"/>
      </w:pPr>
      <w:r w:rsidRPr="00172744">
        <w:rPr>
          <w:lang w:val="en-GB"/>
        </w:rPr>
        <w:t>Scams over tel</w:t>
      </w:r>
      <w:r>
        <w:rPr>
          <w:lang w:val="en-GB"/>
        </w:rPr>
        <w:t>e</w:t>
      </w:r>
      <w:r w:rsidRPr="00172744">
        <w:rPr>
          <w:lang w:val="en-GB"/>
        </w:rPr>
        <w:t>co</w:t>
      </w:r>
      <w:r>
        <w:rPr>
          <w:lang w:val="en-GB"/>
        </w:rPr>
        <w:t>mmunications</w:t>
      </w:r>
      <w:r w:rsidRPr="00172744">
        <w:rPr>
          <w:lang w:val="en-GB"/>
        </w:rPr>
        <w:t xml:space="preserve"> networks are a significant problem</w:t>
      </w:r>
      <w:r w:rsidR="004263C6">
        <w:rPr>
          <w:lang w:val="en-GB"/>
        </w:rPr>
        <w:t>—not only</w:t>
      </w:r>
      <w:r w:rsidRPr="00172744">
        <w:rPr>
          <w:lang w:val="en-GB"/>
        </w:rPr>
        <w:t xml:space="preserve"> </w:t>
      </w:r>
      <w:r w:rsidRPr="002B2AD1">
        <w:rPr>
          <w:lang w:val="en-GB"/>
        </w:rPr>
        <w:t xml:space="preserve">causing </w:t>
      </w:r>
      <w:r w:rsidRPr="002B2AD1">
        <w:t xml:space="preserve">financial and emotional harm to victims </w:t>
      </w:r>
      <w:r w:rsidR="004263C6">
        <w:t>but also</w:t>
      </w:r>
      <w:r w:rsidR="004263C6" w:rsidRPr="002B2AD1">
        <w:t xml:space="preserve"> </w:t>
      </w:r>
      <w:r w:rsidRPr="002B2AD1">
        <w:t>undermining confidence in telecommunications networks.</w:t>
      </w:r>
    </w:p>
    <w:p w14:paraId="196C6FDD" w14:textId="4CC4A53C" w:rsidR="00105A95" w:rsidRPr="008C613F" w:rsidRDefault="00105A95" w:rsidP="004263C6">
      <w:pPr>
        <w:pStyle w:val="Paragraph"/>
        <w:rPr>
          <w:szCs w:val="20"/>
        </w:rPr>
      </w:pPr>
      <w:r w:rsidRPr="008C613F">
        <w:rPr>
          <w:szCs w:val="20"/>
        </w:rPr>
        <w:t xml:space="preserve">There have been cases of scammers using </w:t>
      </w:r>
      <w:r w:rsidR="00D74CFD">
        <w:rPr>
          <w:szCs w:val="20"/>
        </w:rPr>
        <w:t>specific</w:t>
      </w:r>
      <w:r w:rsidRPr="008C613F">
        <w:rPr>
          <w:szCs w:val="20"/>
        </w:rPr>
        <w:t xml:space="preserve"> personal information </w:t>
      </w:r>
      <w:r w:rsidR="00D74CFD">
        <w:rPr>
          <w:szCs w:val="20"/>
        </w:rPr>
        <w:t xml:space="preserve">obtained </w:t>
      </w:r>
      <w:r w:rsidR="005624D9">
        <w:rPr>
          <w:szCs w:val="20"/>
        </w:rPr>
        <w:t xml:space="preserve">from online or other sources (such as mailbox theft) </w:t>
      </w:r>
      <w:r w:rsidRPr="008C613F">
        <w:rPr>
          <w:szCs w:val="20"/>
        </w:rPr>
        <w:t>to fraudulently port a person’s mobile number from their current service provider to another.</w:t>
      </w:r>
      <w:r w:rsidR="004263C6">
        <w:rPr>
          <w:szCs w:val="20"/>
        </w:rPr>
        <w:t xml:space="preserve"> </w:t>
      </w:r>
      <w:r w:rsidRPr="008C613F">
        <w:rPr>
          <w:szCs w:val="20"/>
        </w:rPr>
        <w:t>Scammers have then used the ported number to access the consumer’s bank accounts and authorise transactions by sending bank verification codes to the number.</w:t>
      </w:r>
    </w:p>
    <w:p w14:paraId="37760490" w14:textId="77777777" w:rsidR="005245FC" w:rsidRDefault="005245FC" w:rsidP="005245FC">
      <w:pPr>
        <w:pStyle w:val="Paragraph"/>
      </w:pPr>
      <w:r w:rsidRPr="002106F1">
        <w:t xml:space="preserve">Scammers are finding </w:t>
      </w:r>
      <w:r>
        <w:t xml:space="preserve">new </w:t>
      </w:r>
      <w:r w:rsidRPr="002106F1">
        <w:t>ways to target Australian mobile phone customers.</w:t>
      </w:r>
      <w:r w:rsidRPr="002106F1">
        <w:rPr>
          <w:vertAlign w:val="superscript"/>
        </w:rPr>
        <w:footnoteReference w:id="3"/>
      </w:r>
      <w:r w:rsidRPr="002106F1">
        <w:t xml:space="preserve"> </w:t>
      </w:r>
      <w:r w:rsidRPr="002B2AD1">
        <w:t>They are technologically adept, increasingly sophisticated and show no signs of stopping.</w:t>
      </w:r>
    </w:p>
    <w:p w14:paraId="40300F15" w14:textId="6D54B83F" w:rsidR="004263C6" w:rsidRDefault="004B111A" w:rsidP="006E6FAD">
      <w:pPr>
        <w:pStyle w:val="Paragraph"/>
      </w:pPr>
      <w:r>
        <w:t>T</w:t>
      </w:r>
      <w:r w:rsidR="006E6FAD" w:rsidRPr="00233855">
        <w:t xml:space="preserve">he Australian Communications and Media Authority (the ACMA) is </w:t>
      </w:r>
      <w:bookmarkStart w:id="8" w:name="_Hlk32830990"/>
      <w:r w:rsidR="006E6FAD">
        <w:t>seeking</w:t>
      </w:r>
      <w:r w:rsidR="006E6FAD" w:rsidRPr="00233855">
        <w:t xml:space="preserve"> </w:t>
      </w:r>
      <w:r w:rsidR="006E6FAD">
        <w:t xml:space="preserve">to </w:t>
      </w:r>
      <w:r w:rsidR="00A15DCD" w:rsidRPr="00A15DCD">
        <w:t xml:space="preserve">prevent the harm and loss to customers </w:t>
      </w:r>
      <w:r w:rsidR="0082414E">
        <w:t>caused</w:t>
      </w:r>
      <w:r w:rsidR="00A15DCD" w:rsidRPr="00A15DCD">
        <w:t xml:space="preserve"> by unauthorised porting of mobile service numbers.</w:t>
      </w:r>
    </w:p>
    <w:bookmarkEnd w:id="8"/>
    <w:p w14:paraId="4D792397" w14:textId="21110562" w:rsidR="00A15DCD" w:rsidRPr="00A15DCD" w:rsidRDefault="006E6FAD" w:rsidP="006E6FAD">
      <w:pPr>
        <w:pStyle w:val="Paragraph"/>
      </w:pPr>
      <w:r>
        <w:t xml:space="preserve">This </w:t>
      </w:r>
      <w:r w:rsidR="00A15DCD">
        <w:t xml:space="preserve">will help </w:t>
      </w:r>
      <w:r w:rsidR="00A946CC">
        <w:t xml:space="preserve">prevent </w:t>
      </w:r>
      <w:r w:rsidR="00B672B2">
        <w:t>illegi</w:t>
      </w:r>
      <w:r w:rsidR="008B7A27">
        <w:t>ti</w:t>
      </w:r>
      <w:r w:rsidR="00B672B2">
        <w:t xml:space="preserve">mate </w:t>
      </w:r>
      <w:r w:rsidR="00A946CC">
        <w:t xml:space="preserve">access to bank accounts and other </w:t>
      </w:r>
      <w:r w:rsidR="00400F0F">
        <w:t>consumer service accounts</w:t>
      </w:r>
      <w:r w:rsidR="00BF0B27">
        <w:t>—</w:t>
      </w:r>
      <w:r w:rsidR="00A15DCD">
        <w:t xml:space="preserve">no matter which </w:t>
      </w:r>
      <w:r w:rsidR="005245FC">
        <w:t xml:space="preserve">mobile </w:t>
      </w:r>
      <w:r w:rsidR="00AB1BCD">
        <w:t xml:space="preserve">carriage service </w:t>
      </w:r>
      <w:r w:rsidR="005245FC">
        <w:t>provider</w:t>
      </w:r>
      <w:r w:rsidR="00A15DCD">
        <w:t xml:space="preserve"> </w:t>
      </w:r>
      <w:r w:rsidR="00E152FB">
        <w:t xml:space="preserve">a </w:t>
      </w:r>
      <w:r w:rsidR="005D2443">
        <w:t>customer</w:t>
      </w:r>
      <w:r w:rsidR="007479C0">
        <w:t xml:space="preserve"> </w:t>
      </w:r>
      <w:r w:rsidR="00E152FB">
        <w:t>uses</w:t>
      </w:r>
      <w:r w:rsidR="00041CE3">
        <w:t>.</w:t>
      </w:r>
    </w:p>
    <w:p w14:paraId="6B68B75F" w14:textId="699BCFBF" w:rsidR="00D454D8" w:rsidRPr="0032397E" w:rsidRDefault="008C05C1" w:rsidP="00D454D8">
      <w:pPr>
        <w:pStyle w:val="Heading1"/>
      </w:pPr>
      <w:bookmarkStart w:id="9" w:name="_Toc32833677"/>
      <w:bookmarkStart w:id="10" w:name="_Toc32833734"/>
      <w:bookmarkStart w:id="11" w:name="_Toc32833807"/>
      <w:bookmarkStart w:id="12" w:name="_Toc33176359"/>
      <w:r>
        <w:lastRenderedPageBreak/>
        <w:t>Regulatory setting</w:t>
      </w:r>
      <w:bookmarkEnd w:id="9"/>
      <w:bookmarkEnd w:id="10"/>
      <w:bookmarkEnd w:id="11"/>
      <w:bookmarkEnd w:id="12"/>
    </w:p>
    <w:p w14:paraId="5C6ACEAA" w14:textId="48E19CB0" w:rsidR="007516D7" w:rsidRDefault="003E08DD" w:rsidP="00B6693E">
      <w:pPr>
        <w:spacing w:after="0" w:line="240" w:lineRule="auto"/>
        <w:rPr>
          <w:rFonts w:cs="Arial"/>
          <w:color w:val="000000" w:themeColor="text1"/>
          <w:szCs w:val="20"/>
        </w:rPr>
      </w:pPr>
      <w:r>
        <w:rPr>
          <w:rFonts w:cs="Arial"/>
          <w:color w:val="000000" w:themeColor="text1"/>
          <w:szCs w:val="20"/>
        </w:rPr>
        <w:t>The ACMA is</w:t>
      </w:r>
      <w:r w:rsidRPr="008B5193">
        <w:rPr>
          <w:rFonts w:cs="Arial"/>
          <w:color w:val="000000" w:themeColor="text1"/>
          <w:szCs w:val="20"/>
        </w:rPr>
        <w:t xml:space="preserve"> an independent Commonwealth statutory authority. We regulate communications and media services in Australia to maximise the economic and social benefits for Australia.</w:t>
      </w:r>
      <w:r w:rsidR="005C6B11">
        <w:rPr>
          <w:rFonts w:cs="Arial"/>
          <w:color w:val="000000" w:themeColor="text1"/>
          <w:szCs w:val="20"/>
        </w:rPr>
        <w:t xml:space="preserve"> This includes regulating mobile carriage service providers.</w:t>
      </w:r>
    </w:p>
    <w:p w14:paraId="08F44F5B" w14:textId="77777777" w:rsidR="00817E20" w:rsidRDefault="00817E20" w:rsidP="00B6693E">
      <w:pPr>
        <w:spacing w:after="0" w:line="240" w:lineRule="auto"/>
        <w:rPr>
          <w:iCs/>
        </w:rPr>
      </w:pPr>
    </w:p>
    <w:p w14:paraId="28C91883" w14:textId="4B57FEA3" w:rsidR="007516D7" w:rsidRDefault="007516D7" w:rsidP="00B6693E">
      <w:pPr>
        <w:spacing w:after="0" w:line="240" w:lineRule="auto"/>
        <w:rPr>
          <w:iCs/>
        </w:rPr>
      </w:pPr>
      <w:r>
        <w:rPr>
          <w:iCs/>
        </w:rPr>
        <w:t>The</w:t>
      </w:r>
      <w:r w:rsidRPr="007516D7">
        <w:rPr>
          <w:iCs/>
        </w:rPr>
        <w:t xml:space="preserve"> ACMA </w:t>
      </w:r>
      <w:r>
        <w:rPr>
          <w:iCs/>
        </w:rPr>
        <w:t>regulates</w:t>
      </w:r>
      <w:r w:rsidRPr="007516D7">
        <w:rPr>
          <w:iCs/>
        </w:rPr>
        <w:t xml:space="preserve"> in accordance with four principal acts—the </w:t>
      </w:r>
      <w:r w:rsidRPr="007516D7">
        <w:rPr>
          <w:i/>
          <w:iCs/>
        </w:rPr>
        <w:t>Radiocommunications Act 1992</w:t>
      </w:r>
      <w:r w:rsidRPr="007516D7">
        <w:rPr>
          <w:iCs/>
        </w:rPr>
        <w:t xml:space="preserve">, </w:t>
      </w:r>
      <w:r w:rsidRPr="007516D7">
        <w:rPr>
          <w:i/>
          <w:iCs/>
        </w:rPr>
        <w:t>Telecommunications (Consumer Protection and Service Standards) Act 1999,</w:t>
      </w:r>
      <w:r w:rsidRPr="007516D7">
        <w:rPr>
          <w:iCs/>
        </w:rPr>
        <w:t xml:space="preserve"> </w:t>
      </w:r>
      <w:r w:rsidRPr="007516D7">
        <w:rPr>
          <w:i/>
          <w:iCs/>
        </w:rPr>
        <w:t xml:space="preserve">Broadcasting Services Act 1992, </w:t>
      </w:r>
      <w:r w:rsidRPr="00A6787E">
        <w:t>and the</w:t>
      </w:r>
      <w:r w:rsidRPr="007516D7">
        <w:rPr>
          <w:i/>
          <w:iCs/>
        </w:rPr>
        <w:t xml:space="preserve"> </w:t>
      </w:r>
      <w:hyperlink r:id="rId24" w:history="1">
        <w:r w:rsidRPr="001B21A4">
          <w:rPr>
            <w:rStyle w:val="Hyperlink"/>
            <w:i/>
            <w:iCs/>
          </w:rPr>
          <w:t>Telecommunications Act 1997</w:t>
        </w:r>
      </w:hyperlink>
      <w:r>
        <w:rPr>
          <w:i/>
          <w:iCs/>
        </w:rPr>
        <w:t xml:space="preserve"> </w:t>
      </w:r>
      <w:r w:rsidRPr="006F698D">
        <w:t>(the</w:t>
      </w:r>
      <w:r w:rsidRPr="007516D7">
        <w:t xml:space="preserve"> Act</w:t>
      </w:r>
      <w:r>
        <w:rPr>
          <w:i/>
          <w:iCs/>
        </w:rPr>
        <w:t>)</w:t>
      </w:r>
      <w:r w:rsidRPr="007516D7">
        <w:rPr>
          <w:iCs/>
        </w:rPr>
        <w:t>.</w:t>
      </w:r>
    </w:p>
    <w:p w14:paraId="0416ADC7" w14:textId="77777777" w:rsidR="008C05C1" w:rsidRDefault="008C05C1" w:rsidP="008C05C1">
      <w:pPr>
        <w:pStyle w:val="Heading2"/>
      </w:pPr>
      <w:bookmarkStart w:id="13" w:name="_Toc32833678"/>
      <w:bookmarkStart w:id="14" w:name="_Toc32833735"/>
      <w:bookmarkStart w:id="15" w:name="_Toc32833808"/>
      <w:bookmarkStart w:id="16" w:name="_Toc33176360"/>
      <w:r>
        <w:t>Mobile number portability</w:t>
      </w:r>
      <w:bookmarkEnd w:id="13"/>
      <w:bookmarkEnd w:id="14"/>
      <w:bookmarkEnd w:id="15"/>
      <w:bookmarkEnd w:id="16"/>
    </w:p>
    <w:p w14:paraId="4DC235AE" w14:textId="77777777" w:rsidR="008C05C1" w:rsidRPr="00AE04D1" w:rsidRDefault="008C05C1" w:rsidP="008C05C1">
      <w:pPr>
        <w:pStyle w:val="Paragraph"/>
      </w:pPr>
      <w:r w:rsidRPr="00AE04D1">
        <w:t>Mobile number portability is designed to promote competition by allowing customers to quickly and efficiently port between providers.</w:t>
      </w:r>
      <w:r w:rsidRPr="00273A88">
        <w:rPr>
          <w:rFonts w:ascii="HelveticaNeueLTStd-Bd" w:hAnsi="HelveticaNeueLTStd-Bd" w:cs="HelveticaNeueLTStd-Bd"/>
          <w:color w:val="0000A6"/>
          <w:szCs w:val="20"/>
        </w:rPr>
        <w:t xml:space="preserve"> </w:t>
      </w:r>
      <w:r>
        <w:t>In</w:t>
      </w:r>
      <w:r w:rsidRPr="00273A88">
        <w:t xml:space="preserve"> 2018–19, there were 2.55 million mobile numbers ported</w:t>
      </w:r>
      <w:r>
        <w:t xml:space="preserve">. </w:t>
      </w:r>
      <w:r w:rsidRPr="00273A88">
        <w:t>Most mobile ports are completed within a</w:t>
      </w:r>
      <w:r>
        <w:t xml:space="preserve"> </w:t>
      </w:r>
      <w:r w:rsidRPr="00273A88">
        <w:t>few hours, and 99 per cent within two days.</w:t>
      </w:r>
      <w:r>
        <w:rPr>
          <w:rStyle w:val="FootnoteReference"/>
        </w:rPr>
        <w:footnoteReference w:id="4"/>
      </w:r>
    </w:p>
    <w:p w14:paraId="2E92394A" w14:textId="1AE48EF3" w:rsidR="008C05C1" w:rsidRDefault="008C05C1" w:rsidP="008C05C1">
      <w:pPr>
        <w:pStyle w:val="Paragraph"/>
      </w:pPr>
      <w:r w:rsidRPr="00AE04D1">
        <w:t xml:space="preserve">The rules for mobile number portability are set out in </w:t>
      </w:r>
      <w:r w:rsidR="00BB0A33">
        <w:t>C</w:t>
      </w:r>
      <w:r w:rsidR="00BB0A33" w:rsidRPr="00AE04D1">
        <w:t xml:space="preserve">hapter </w:t>
      </w:r>
      <w:r w:rsidRPr="00AE04D1">
        <w:t xml:space="preserve">10 of the </w:t>
      </w:r>
      <w:hyperlink r:id="rId25" w:history="1">
        <w:r w:rsidRPr="00C60774">
          <w:rPr>
            <w:rStyle w:val="Hyperlink"/>
          </w:rPr>
          <w:t>Telecommunications Numbering Plan 2015</w:t>
        </w:r>
        <w:r w:rsidRPr="000A6D7B">
          <w:rPr>
            <w:rStyle w:val="Hyperlink"/>
          </w:rPr>
          <w:t>.</w:t>
        </w:r>
      </w:hyperlink>
      <w:r w:rsidRPr="00AE04D1">
        <w:t xml:space="preserve"> There are also </w:t>
      </w:r>
      <w:r w:rsidR="009D41C0">
        <w:t xml:space="preserve">ACMA-registered </w:t>
      </w:r>
      <w:r w:rsidRPr="00AE04D1">
        <w:t>enforceable industry codes developed by Communications Alliance</w:t>
      </w:r>
      <w:r w:rsidRPr="00AE04D1">
        <w:rPr>
          <w:vertAlign w:val="superscript"/>
        </w:rPr>
        <w:footnoteReference w:id="5"/>
      </w:r>
      <w:r w:rsidRPr="00AE04D1">
        <w:t xml:space="preserve"> that specify </w:t>
      </w:r>
      <w:r w:rsidR="009F695C">
        <w:t>technical and operational</w:t>
      </w:r>
      <w:r w:rsidRPr="00AE04D1">
        <w:t xml:space="preserve"> require</w:t>
      </w:r>
      <w:r w:rsidR="009F695C">
        <w:t>ments</w:t>
      </w:r>
      <w:r w:rsidRPr="00AE04D1">
        <w:t xml:space="preserve"> </w:t>
      </w:r>
      <w:r w:rsidR="009F695C">
        <w:t xml:space="preserve">for </w:t>
      </w:r>
      <w:r w:rsidRPr="00AE04D1">
        <w:t>mobile number</w:t>
      </w:r>
      <w:r>
        <w:t xml:space="preserve"> </w:t>
      </w:r>
      <w:r w:rsidR="009F695C">
        <w:t>portability</w:t>
      </w:r>
      <w:r w:rsidR="000A032F">
        <w:t>,</w:t>
      </w:r>
      <w:r w:rsidR="009F695C">
        <w:t xml:space="preserve"> </w:t>
      </w:r>
      <w:r>
        <w:t>including the</w:t>
      </w:r>
      <w:r w:rsidRPr="00093A23">
        <w:rPr>
          <w:rFonts w:cs="Times New Roman"/>
        </w:rPr>
        <w:t xml:space="preserve"> </w:t>
      </w:r>
      <w:hyperlink r:id="rId26" w:history="1">
        <w:r w:rsidRPr="004A7A51">
          <w:rPr>
            <w:rStyle w:val="Hyperlink"/>
          </w:rPr>
          <w:t>Mobile Number Portability Code</w:t>
        </w:r>
      </w:hyperlink>
      <w:r w:rsidRPr="004A7A51">
        <w:t xml:space="preserve"> and </w:t>
      </w:r>
      <w:hyperlink r:id="rId27" w:history="1">
        <w:r w:rsidRPr="004A7A51">
          <w:rPr>
            <w:rStyle w:val="Hyperlink"/>
          </w:rPr>
          <w:t>Telecommunications Consumer Protections Code</w:t>
        </w:r>
      </w:hyperlink>
      <w:r w:rsidRPr="004A7A51">
        <w:t>.</w:t>
      </w:r>
      <w:r w:rsidRPr="00AE04D1">
        <w:rPr>
          <w:vertAlign w:val="superscript"/>
        </w:rPr>
        <w:footnoteReference w:id="6"/>
      </w:r>
    </w:p>
    <w:p w14:paraId="315343A8" w14:textId="09D0845E" w:rsidR="00A5477A" w:rsidRPr="00AE04D1" w:rsidRDefault="00A5477A" w:rsidP="00A5477A">
      <w:pPr>
        <w:pStyle w:val="Paragraph"/>
      </w:pPr>
      <w:r w:rsidRPr="00AE04D1">
        <w:t xml:space="preserve">Under current porting requirements, </w:t>
      </w:r>
      <w:r>
        <w:t xml:space="preserve">the </w:t>
      </w:r>
      <w:r w:rsidRPr="00AE04D1">
        <w:t>gaining mobile carriage service provider must obtain a customer’s consent and authorisation prior to porting. The minimum detail required is the customer’s name and address plus an account number or reference number or date of birth. For example, a port request would be accepted if a name, address and date of birth was given.</w:t>
      </w:r>
    </w:p>
    <w:p w14:paraId="650BFF1D" w14:textId="32B4D751" w:rsidR="004C6B6B" w:rsidRDefault="008C05C1" w:rsidP="00592AC7">
      <w:pPr>
        <w:pStyle w:val="Paragraphbeforelist"/>
      </w:pPr>
      <w:r w:rsidRPr="00AE04D1">
        <w:t xml:space="preserve">The arrangements for customer authorisation are contained in </w:t>
      </w:r>
      <w:r w:rsidR="00B05184">
        <w:t>the</w:t>
      </w:r>
      <w:r w:rsidR="00B05184" w:rsidRPr="00AE04D1">
        <w:t xml:space="preserve"> </w:t>
      </w:r>
      <w:hyperlink r:id="rId28" w:history="1">
        <w:r>
          <w:rPr>
            <w:rStyle w:val="Hyperlink"/>
          </w:rPr>
          <w:t>Customer Authorisation Industry Guideline</w:t>
        </w:r>
      </w:hyperlink>
      <w:r w:rsidR="004C6B6B">
        <w:t>. The guideline sets out:</w:t>
      </w:r>
    </w:p>
    <w:p w14:paraId="21AB3AA0" w14:textId="4E4668FC" w:rsidR="004C6B6B" w:rsidRPr="00867DDB" w:rsidRDefault="004C6B6B" w:rsidP="00867DDB">
      <w:pPr>
        <w:pStyle w:val="Bulletlevel1"/>
        <w:numPr>
          <w:ilvl w:val="0"/>
          <w:numId w:val="17"/>
        </w:numPr>
        <w:rPr>
          <w:rFonts w:eastAsiaTheme="minorHAnsi"/>
          <w:lang w:eastAsia="en-US"/>
        </w:rPr>
      </w:pPr>
      <w:r w:rsidRPr="00867DDB">
        <w:rPr>
          <w:rFonts w:eastAsiaTheme="minorHAnsi"/>
          <w:lang w:eastAsia="en-US"/>
        </w:rPr>
        <w:t>common information to be provided to all customers before they agree to transfer their number</w:t>
      </w:r>
    </w:p>
    <w:p w14:paraId="40F4D27C" w14:textId="34FAC1F3" w:rsidR="004C6B6B" w:rsidRPr="00867DDB" w:rsidRDefault="004C6B6B" w:rsidP="00867DDB">
      <w:pPr>
        <w:pStyle w:val="Bulletlevel1"/>
        <w:numPr>
          <w:ilvl w:val="0"/>
          <w:numId w:val="17"/>
        </w:numPr>
      </w:pPr>
      <w:r w:rsidRPr="00867DDB">
        <w:rPr>
          <w:rFonts w:eastAsiaTheme="minorHAnsi"/>
          <w:lang w:eastAsia="en-US"/>
        </w:rPr>
        <w:t>information to be obtained from the customer</w:t>
      </w:r>
      <w:r w:rsidRPr="00867DDB">
        <w:t xml:space="preserve"> to obtain a valid customer authorisation.</w:t>
      </w:r>
    </w:p>
    <w:p w14:paraId="4750DC0D" w14:textId="1F72B2C3" w:rsidR="008C05C1" w:rsidRDefault="008C05C1" w:rsidP="000C63F7">
      <w:pPr>
        <w:pStyle w:val="Paragraph"/>
        <w:spacing w:before="120" w:after="120"/>
      </w:pPr>
      <w:r w:rsidRPr="00AE04D1">
        <w:t xml:space="preserve">Together, the Act, </w:t>
      </w:r>
      <w:r>
        <w:t xml:space="preserve">industry </w:t>
      </w:r>
      <w:r w:rsidRPr="00AE04D1">
        <w:t>code and guideline provide the regulatory framework that allows</w:t>
      </w:r>
      <w:r>
        <w:t xml:space="preserve"> telco</w:t>
      </w:r>
      <w:r w:rsidRPr="00AE04D1">
        <w:t xml:space="preserve"> customers to </w:t>
      </w:r>
      <w:bookmarkStart w:id="17" w:name="_Hlk32831124"/>
      <w:r w:rsidRPr="00AE04D1">
        <w:t>change providers without changing their mobile phone number</w:t>
      </w:r>
      <w:r>
        <w:t>.</w:t>
      </w:r>
    </w:p>
    <w:p w14:paraId="39536A23" w14:textId="77777777" w:rsidR="0093150E" w:rsidRPr="004D74B3" w:rsidRDefault="0093150E" w:rsidP="0093150E">
      <w:pPr>
        <w:pStyle w:val="Heading2"/>
      </w:pPr>
      <w:bookmarkStart w:id="18" w:name="_Toc32833679"/>
      <w:bookmarkStart w:id="19" w:name="_Toc32833736"/>
      <w:bookmarkStart w:id="20" w:name="_Toc32833809"/>
      <w:bookmarkStart w:id="21" w:name="_Toc33176361"/>
      <w:bookmarkEnd w:id="17"/>
      <w:r>
        <w:lastRenderedPageBreak/>
        <w:t>Current measures for mobile porting fraud</w:t>
      </w:r>
      <w:bookmarkEnd w:id="18"/>
      <w:bookmarkEnd w:id="19"/>
      <w:bookmarkEnd w:id="20"/>
      <w:bookmarkEnd w:id="21"/>
    </w:p>
    <w:p w14:paraId="62E07238" w14:textId="4D4CBAA5" w:rsidR="003D7299" w:rsidRDefault="0093150E" w:rsidP="008B7130">
      <w:pPr>
        <w:pStyle w:val="Paragraph"/>
      </w:pPr>
      <w:r>
        <w:t xml:space="preserve">Mobile carriage service providers have an obligation under </w:t>
      </w:r>
      <w:r w:rsidR="00BB0A33">
        <w:t xml:space="preserve">Part </w:t>
      </w:r>
      <w:r>
        <w:t xml:space="preserve">14 of the Act to do their best to prevent their networks or facilities being used in the commission of offences against the laws of the Commonwealth, </w:t>
      </w:r>
      <w:r w:rsidR="000A032F">
        <w:t>s</w:t>
      </w:r>
      <w:r>
        <w:t xml:space="preserve">tates and </w:t>
      </w:r>
      <w:r w:rsidR="000A032F">
        <w:t>t</w:t>
      </w:r>
      <w:r>
        <w:t>erritories.</w:t>
      </w:r>
    </w:p>
    <w:p w14:paraId="25F56FC7" w14:textId="4A6D172A" w:rsidR="008C0D6F" w:rsidRPr="008C0D6F" w:rsidRDefault="008C0D6F" w:rsidP="008C0D6F">
      <w:pPr>
        <w:pStyle w:val="Paragraph"/>
      </w:pPr>
      <w:r w:rsidRPr="008C0D6F">
        <w:t>Communications Alliance d</w:t>
      </w:r>
      <w:r w:rsidR="00262658">
        <w:t>evelo</w:t>
      </w:r>
      <w:r w:rsidR="006F0E63">
        <w:t>p</w:t>
      </w:r>
      <w:r w:rsidRPr="008C0D6F">
        <w:t>ed an industry guidance note</w:t>
      </w:r>
      <w:r w:rsidRPr="008C0D6F">
        <w:rPr>
          <w:vertAlign w:val="superscript"/>
        </w:rPr>
        <w:footnoteReference w:id="7"/>
      </w:r>
      <w:r w:rsidRPr="008C0D6F">
        <w:t xml:space="preserve"> that sets out</w:t>
      </w:r>
      <w:r w:rsidRPr="008C0D6F" w:rsidDel="0011743B">
        <w:t xml:space="preserve"> </w:t>
      </w:r>
      <w:r w:rsidRPr="008C0D6F">
        <w:t xml:space="preserve">measures for mobile carriage service providers to address the problem of mobile porting fraud. </w:t>
      </w:r>
    </w:p>
    <w:p w14:paraId="53CDE7AE" w14:textId="6B2510C0" w:rsidR="008C0D6F" w:rsidRPr="008C0D6F" w:rsidRDefault="008C0D6F" w:rsidP="008C0D6F">
      <w:pPr>
        <w:pStyle w:val="Paragraph"/>
      </w:pPr>
      <w:r w:rsidRPr="008C0D6F">
        <w:t xml:space="preserve">The guidance note sits outside of the mobile portability arrangements explored above—it is an additional </w:t>
      </w:r>
      <w:r w:rsidR="00275E14">
        <w:t xml:space="preserve">voluntary </w:t>
      </w:r>
      <w:r w:rsidRPr="008C0D6F">
        <w:t>verification step used by industry to assist in confirming the person requesting a port is the rights</w:t>
      </w:r>
      <w:r w:rsidR="00F75868">
        <w:t>-</w:t>
      </w:r>
      <w:r w:rsidRPr="008C0D6F">
        <w:t>of</w:t>
      </w:r>
      <w:r w:rsidR="00F75868">
        <w:t>-</w:t>
      </w:r>
      <w:r w:rsidRPr="008C0D6F">
        <w:t>use holder</w:t>
      </w:r>
      <w:r w:rsidR="00520695">
        <w:t>.</w:t>
      </w:r>
      <w:r w:rsidR="00520695">
        <w:rPr>
          <w:rStyle w:val="FootnoteReference"/>
        </w:rPr>
        <w:footnoteReference w:id="8"/>
      </w:r>
      <w:r w:rsidR="00520695">
        <w:t xml:space="preserve"> </w:t>
      </w:r>
      <w:r w:rsidR="009A65DD">
        <w:t xml:space="preserve"> </w:t>
      </w:r>
    </w:p>
    <w:p w14:paraId="1D3DD581" w14:textId="6E003FA1" w:rsidR="008C0D6F" w:rsidRPr="008C0D6F" w:rsidRDefault="008C0D6F" w:rsidP="008C0D6F">
      <w:pPr>
        <w:pStyle w:val="Paragraph"/>
      </w:pPr>
      <w:r w:rsidRPr="008C0D6F">
        <w:t xml:space="preserve">The government </w:t>
      </w:r>
      <w:r w:rsidR="006A2B6A">
        <w:t>was not involved in drafting the guidance note</w:t>
      </w:r>
      <w:r w:rsidRPr="008C0D6F">
        <w:t>. Compliance with an industry guidance note is not mandatory nor enforceable by the ACMA.</w:t>
      </w:r>
    </w:p>
    <w:p w14:paraId="683480CA" w14:textId="311F0409" w:rsidR="008C0D6F" w:rsidRPr="008C0D6F" w:rsidRDefault="008C0D6F" w:rsidP="008C0D6F">
      <w:pPr>
        <w:pStyle w:val="Paragraph"/>
      </w:pPr>
      <w:r w:rsidRPr="008C0D6F">
        <w:t>The guidance note identifies additional identity verification processes that gaining mobile carriage providers may complete prior to initiating a port of a customer’s number.</w:t>
      </w:r>
    </w:p>
    <w:p w14:paraId="413DB7CC" w14:textId="2B65AF0E" w:rsidR="008C0D6F" w:rsidRPr="008C0D6F" w:rsidRDefault="008C0D6F" w:rsidP="008C0D6F">
      <w:pPr>
        <w:pStyle w:val="Paragraph"/>
      </w:pPr>
      <w:r w:rsidRPr="008C0D6F">
        <w:t>While many Australian mobile carriage service providers have introduced stronger pre-port verification arrangements</w:t>
      </w:r>
      <w:r w:rsidR="006A2B6A">
        <w:t xml:space="preserve"> consistent with the guidance note</w:t>
      </w:r>
      <w:r w:rsidRPr="008C0D6F">
        <w:t>, not all providers had committed to do so.</w:t>
      </w:r>
    </w:p>
    <w:p w14:paraId="103F08D0" w14:textId="6FE5D406" w:rsidR="0093150E" w:rsidRDefault="0093150E" w:rsidP="0093150E">
      <w:pPr>
        <w:pStyle w:val="Paragraph"/>
      </w:pPr>
      <w:r>
        <w:t>Those providers who have chosen to implement the guidance note voluntarily did so to assist them to reduce instances of mobile porting fraud experienced by customers.</w:t>
      </w:r>
    </w:p>
    <w:p w14:paraId="5D41DDBD" w14:textId="2F00147E" w:rsidR="0093150E" w:rsidRPr="00F5795B" w:rsidRDefault="0093150E" w:rsidP="00592AC7">
      <w:pPr>
        <w:pStyle w:val="Paragraphbeforelist"/>
      </w:pPr>
      <w:r w:rsidRPr="00D4594B">
        <w:t>The remaining mobile carriage service providers represent</w:t>
      </w:r>
      <w:r>
        <w:t xml:space="preserve"> approximately </w:t>
      </w:r>
      <w:r w:rsidRPr="00F5795B">
        <w:t xml:space="preserve">three per cent of </w:t>
      </w:r>
      <w:r>
        <w:t xml:space="preserve">all </w:t>
      </w:r>
      <w:r w:rsidRPr="00F5795B">
        <w:t>mobile services</w:t>
      </w:r>
      <w:r>
        <w:t>. It is</w:t>
      </w:r>
      <w:r w:rsidRPr="00F5795B">
        <w:t xml:space="preserve"> unlikely t</w:t>
      </w:r>
      <w:r>
        <w:t>hat they will</w:t>
      </w:r>
      <w:r w:rsidRPr="00F5795B">
        <w:t xml:space="preserve"> </w:t>
      </w:r>
      <w:r>
        <w:t>adopt the guidance note measures becaus</w:t>
      </w:r>
      <w:r w:rsidRPr="00F5795B">
        <w:t>e the</w:t>
      </w:r>
      <w:r>
        <w:t>se providers</w:t>
      </w:r>
      <w:r w:rsidRPr="00F5795B">
        <w:t xml:space="preserve"> are:</w:t>
      </w:r>
    </w:p>
    <w:p w14:paraId="42E4951E" w14:textId="4C772A3A" w:rsidR="0093150E" w:rsidRPr="00F5795B" w:rsidRDefault="0093150E" w:rsidP="000A53D8">
      <w:pPr>
        <w:pStyle w:val="Bulletlevel1"/>
        <w:numPr>
          <w:ilvl w:val="0"/>
          <w:numId w:val="17"/>
        </w:numPr>
        <w:rPr>
          <w:rFonts w:eastAsiaTheme="minorHAnsi"/>
          <w:lang w:eastAsia="en-US"/>
        </w:rPr>
      </w:pPr>
      <w:r w:rsidRPr="00F5795B">
        <w:rPr>
          <w:rFonts w:eastAsiaTheme="minorHAnsi"/>
          <w:lang w:eastAsia="en-US"/>
        </w:rPr>
        <w:t>smaller in size</w:t>
      </w:r>
    </w:p>
    <w:p w14:paraId="56398A98" w14:textId="7FE5633C" w:rsidR="0093150E" w:rsidRPr="00F5795B" w:rsidRDefault="0093150E" w:rsidP="000A53D8">
      <w:pPr>
        <w:pStyle w:val="Bulletlevel1"/>
        <w:numPr>
          <w:ilvl w:val="0"/>
          <w:numId w:val="17"/>
        </w:numPr>
        <w:rPr>
          <w:rFonts w:eastAsiaTheme="minorHAnsi"/>
          <w:lang w:eastAsia="en-US"/>
        </w:rPr>
      </w:pPr>
      <w:r w:rsidRPr="00F5795B">
        <w:rPr>
          <w:rFonts w:eastAsiaTheme="minorHAnsi"/>
          <w:lang w:eastAsia="en-US"/>
        </w:rPr>
        <w:t xml:space="preserve">not actively engaged with Communications Alliance and </w:t>
      </w:r>
      <w:r w:rsidR="00A10286">
        <w:rPr>
          <w:rFonts w:eastAsiaTheme="minorHAnsi"/>
          <w:lang w:eastAsia="en-US"/>
        </w:rPr>
        <w:t xml:space="preserve">the </w:t>
      </w:r>
      <w:r w:rsidRPr="00F5795B">
        <w:rPr>
          <w:rFonts w:eastAsiaTheme="minorHAnsi"/>
          <w:lang w:eastAsia="en-US"/>
        </w:rPr>
        <w:t xml:space="preserve">industry guidance </w:t>
      </w:r>
      <w:r w:rsidR="00A10286">
        <w:rPr>
          <w:rFonts w:eastAsiaTheme="minorHAnsi"/>
          <w:lang w:eastAsia="en-US"/>
        </w:rPr>
        <w:t>it provides</w:t>
      </w:r>
    </w:p>
    <w:p w14:paraId="7886DC3B" w14:textId="289B5907" w:rsidR="0093150E" w:rsidRPr="00F5795B" w:rsidRDefault="0093150E" w:rsidP="007E1647">
      <w:pPr>
        <w:pStyle w:val="Bulletlevel1last"/>
        <w:numPr>
          <w:ilvl w:val="0"/>
          <w:numId w:val="1"/>
        </w:numPr>
        <w:ind w:left="360"/>
        <w:rPr>
          <w:rFonts w:eastAsiaTheme="minorHAnsi"/>
          <w:lang w:eastAsia="en-US"/>
        </w:rPr>
      </w:pPr>
      <w:r w:rsidRPr="00F5795B">
        <w:rPr>
          <w:rFonts w:eastAsiaTheme="minorHAnsi"/>
          <w:lang w:eastAsia="en-US"/>
        </w:rPr>
        <w:t>potentially unaware of their regulatory obligations.</w:t>
      </w:r>
    </w:p>
    <w:p w14:paraId="301B65A1" w14:textId="77777777" w:rsidR="0093150E" w:rsidRDefault="0093150E" w:rsidP="000C63F7">
      <w:pPr>
        <w:pStyle w:val="Paragraph"/>
        <w:spacing w:before="120" w:after="120"/>
      </w:pPr>
    </w:p>
    <w:p w14:paraId="2DB86AD7" w14:textId="37B8CB02" w:rsidR="0090517E" w:rsidRDefault="0090517E" w:rsidP="002867FE">
      <w:pPr>
        <w:pStyle w:val="Heading1"/>
      </w:pPr>
      <w:bookmarkStart w:id="22" w:name="_Toc32833680"/>
      <w:bookmarkStart w:id="23" w:name="_Toc32833737"/>
      <w:bookmarkStart w:id="24" w:name="_Toc32833810"/>
      <w:bookmarkStart w:id="25" w:name="_Toc33176362"/>
      <w:r>
        <w:lastRenderedPageBreak/>
        <w:t>What is the policy problem?</w:t>
      </w:r>
      <w:bookmarkEnd w:id="22"/>
      <w:bookmarkEnd w:id="23"/>
      <w:bookmarkEnd w:id="24"/>
      <w:bookmarkEnd w:id="25"/>
    </w:p>
    <w:p w14:paraId="1A8391F9" w14:textId="77777777" w:rsidR="00597DBE" w:rsidRDefault="00597DBE" w:rsidP="00597DBE">
      <w:pPr>
        <w:pStyle w:val="Heading2"/>
      </w:pPr>
      <w:bookmarkStart w:id="26" w:name="_Toc33176363"/>
      <w:r w:rsidRPr="00CB4855">
        <w:t>Fraud</w:t>
      </w:r>
      <w:bookmarkEnd w:id="26"/>
    </w:p>
    <w:p w14:paraId="4483C3AA" w14:textId="77777777" w:rsidR="00597DBE" w:rsidRPr="003C0F78" w:rsidRDefault="00597DBE" w:rsidP="00597DBE">
      <w:pPr>
        <w:pStyle w:val="Paragraph"/>
      </w:pPr>
      <w:r>
        <w:t xml:space="preserve">Fraud </w:t>
      </w:r>
      <w:r w:rsidRPr="003C0F78">
        <w:t>can be categorised by type or by the industry in which it occurs. The main categories of fraud in Australia include superannuation fraud, serious and organised investment fraud, mass marketed fraud, revenue and taxation fraud, financial market fraud, card fraud and identity fraud.</w:t>
      </w:r>
      <w:r>
        <w:rPr>
          <w:rStyle w:val="FootnoteReference"/>
        </w:rPr>
        <w:footnoteReference w:id="9"/>
      </w:r>
    </w:p>
    <w:p w14:paraId="0DF6322B" w14:textId="17407C3C" w:rsidR="00597DBE" w:rsidRPr="003C0F78" w:rsidRDefault="00597DBE" w:rsidP="003A421C">
      <w:pPr>
        <w:pStyle w:val="Paragraphbeforelist"/>
      </w:pPr>
      <w:r w:rsidRPr="003C0F78">
        <w:t>Identity fraud is committed when a criminal uses someone else’s personal information to commit a crime. Identity crime can take many forms, including:</w:t>
      </w:r>
    </w:p>
    <w:p w14:paraId="38EF5431" w14:textId="77777777" w:rsidR="00597DBE" w:rsidRPr="00687927" w:rsidRDefault="00597DBE" w:rsidP="002A2AFE">
      <w:pPr>
        <w:pStyle w:val="Bulletlevel1"/>
        <w:numPr>
          <w:ilvl w:val="0"/>
          <w:numId w:val="1"/>
        </w:numPr>
        <w:ind w:left="360"/>
        <w:rPr>
          <w:rFonts w:eastAsiaTheme="minorHAnsi"/>
          <w:lang w:eastAsia="en-US"/>
        </w:rPr>
      </w:pPr>
      <w:r w:rsidRPr="00687927">
        <w:rPr>
          <w:rFonts w:eastAsiaTheme="minorHAnsi"/>
          <w:lang w:eastAsia="en-US"/>
        </w:rPr>
        <w:t>the theft of personal identity information and related financial information</w:t>
      </w:r>
    </w:p>
    <w:p w14:paraId="507DBAF6" w14:textId="77777777" w:rsidR="00597DBE" w:rsidRPr="00B50FF1" w:rsidRDefault="00597DBE" w:rsidP="002A2AFE">
      <w:pPr>
        <w:pStyle w:val="Bulletlevel1"/>
        <w:numPr>
          <w:ilvl w:val="0"/>
          <w:numId w:val="1"/>
        </w:numPr>
        <w:ind w:left="360"/>
      </w:pPr>
      <w:r w:rsidRPr="00B50FF1">
        <w:rPr>
          <w:rFonts w:eastAsiaTheme="minorHAnsi"/>
          <w:lang w:eastAsia="en-US"/>
        </w:rPr>
        <w:t>assuming another person’s identity for fraudulent purposes</w:t>
      </w:r>
    </w:p>
    <w:p w14:paraId="027A3D12" w14:textId="77777777" w:rsidR="00597DBE" w:rsidRPr="00687927" w:rsidRDefault="00597DBE" w:rsidP="00597DBE">
      <w:pPr>
        <w:pStyle w:val="Paragraph"/>
        <w:numPr>
          <w:ilvl w:val="0"/>
          <w:numId w:val="1"/>
        </w:numPr>
        <w:ind w:left="360"/>
      </w:pPr>
      <w:r w:rsidRPr="00B50FF1">
        <w:rPr>
          <w:rFonts w:eastAsiaTheme="minorHAnsi"/>
          <w:lang w:eastAsia="en-US"/>
        </w:rPr>
        <w:t>producing false identities and financial documents to enable other crimes.</w:t>
      </w:r>
    </w:p>
    <w:p w14:paraId="26859CE1" w14:textId="3E33ED9F" w:rsidR="00597DBE" w:rsidRDefault="00597DBE" w:rsidP="00597DBE">
      <w:pPr>
        <w:pStyle w:val="Paragraph"/>
      </w:pPr>
      <w:r w:rsidRPr="00687927">
        <w:t>The Australian Institute of Criminology estimate</w:t>
      </w:r>
      <w:r w:rsidR="002A2AFE">
        <w:t>s</w:t>
      </w:r>
      <w:r w:rsidRPr="00687927">
        <w:t xml:space="preserve"> that one in four Australians have been a vic</w:t>
      </w:r>
      <w:r w:rsidRPr="00CA2F99">
        <w:t>tim of identity crime at some point in their lives. Identity crime is a key enabler of serious and organised crime.</w:t>
      </w:r>
      <w:r>
        <w:rPr>
          <w:rStyle w:val="FootnoteReference"/>
        </w:rPr>
        <w:footnoteReference w:id="10"/>
      </w:r>
    </w:p>
    <w:p w14:paraId="282667CB" w14:textId="77777777" w:rsidR="00597DBE" w:rsidRDefault="00597DBE" w:rsidP="003A421C">
      <w:pPr>
        <w:pStyle w:val="Paragraphbeforelist"/>
      </w:pPr>
      <w:r>
        <w:t>Criminals use false identities for a variety of reasons, including to:</w:t>
      </w:r>
    </w:p>
    <w:p w14:paraId="6468948F" w14:textId="09A10BCD" w:rsidR="00597DBE" w:rsidRPr="00687927" w:rsidRDefault="00597DBE" w:rsidP="00597DBE">
      <w:pPr>
        <w:pStyle w:val="Bulletlevel1"/>
        <w:numPr>
          <w:ilvl w:val="0"/>
          <w:numId w:val="1"/>
        </w:numPr>
        <w:tabs>
          <w:tab w:val="num" w:pos="295"/>
        </w:tabs>
        <w:ind w:left="295" w:hanging="295"/>
        <w:rPr>
          <w:rFonts w:eastAsiaTheme="minorHAnsi"/>
          <w:lang w:eastAsia="en-US"/>
        </w:rPr>
      </w:pPr>
      <w:r w:rsidRPr="00687927">
        <w:rPr>
          <w:rFonts w:eastAsiaTheme="minorHAnsi"/>
          <w:lang w:eastAsia="en-US"/>
        </w:rPr>
        <w:t>perpetrate frauds</w:t>
      </w:r>
      <w:r w:rsidR="00C36B63">
        <w:rPr>
          <w:rFonts w:eastAsiaTheme="minorHAnsi"/>
          <w:lang w:eastAsia="en-US"/>
        </w:rPr>
        <w:t xml:space="preserve">, including </w:t>
      </w:r>
      <w:r w:rsidR="001B70A9">
        <w:rPr>
          <w:rFonts w:eastAsiaTheme="minorHAnsi"/>
          <w:lang w:eastAsia="en-US"/>
        </w:rPr>
        <w:t xml:space="preserve">for financial gain such as </w:t>
      </w:r>
      <w:r w:rsidR="00B43D8F">
        <w:rPr>
          <w:rFonts w:eastAsiaTheme="minorHAnsi"/>
          <w:lang w:eastAsia="en-US"/>
        </w:rPr>
        <w:t>removing funds from bank accounts</w:t>
      </w:r>
      <w:r w:rsidR="001B70A9">
        <w:rPr>
          <w:rFonts w:eastAsiaTheme="minorHAnsi"/>
          <w:lang w:eastAsia="en-US"/>
        </w:rPr>
        <w:t xml:space="preserve"> </w:t>
      </w:r>
    </w:p>
    <w:p w14:paraId="1B182C89" w14:textId="77777777" w:rsidR="00597DBE" w:rsidRPr="00687927" w:rsidRDefault="00597DBE" w:rsidP="00597DBE">
      <w:pPr>
        <w:pStyle w:val="Bulletlevel1"/>
        <w:numPr>
          <w:ilvl w:val="0"/>
          <w:numId w:val="1"/>
        </w:numPr>
        <w:tabs>
          <w:tab w:val="num" w:pos="295"/>
        </w:tabs>
        <w:ind w:left="295" w:hanging="295"/>
        <w:rPr>
          <w:rFonts w:eastAsiaTheme="minorHAnsi"/>
          <w:lang w:eastAsia="en-US"/>
        </w:rPr>
      </w:pPr>
      <w:r w:rsidRPr="00687927">
        <w:rPr>
          <w:rFonts w:eastAsiaTheme="minorHAnsi"/>
          <w:lang w:eastAsia="en-US"/>
        </w:rPr>
        <w:t>establish business structures and companies to facilitate other crimes such as money laundering or importing illicit commodities</w:t>
      </w:r>
    </w:p>
    <w:p w14:paraId="09713D8B" w14:textId="77777777" w:rsidR="00597DBE" w:rsidRPr="003C0F78" w:rsidRDefault="00597DBE" w:rsidP="003A421C">
      <w:pPr>
        <w:pStyle w:val="Bulletlevel1"/>
        <w:numPr>
          <w:ilvl w:val="0"/>
          <w:numId w:val="1"/>
        </w:numPr>
        <w:tabs>
          <w:tab w:val="num" w:pos="295"/>
        </w:tabs>
        <w:spacing w:after="240"/>
        <w:ind w:left="295" w:hanging="295"/>
      </w:pPr>
      <w:r w:rsidRPr="00687927">
        <w:rPr>
          <w:rFonts w:eastAsiaTheme="minorHAnsi"/>
          <w:lang w:eastAsia="en-US"/>
        </w:rPr>
        <w:t>undertake national or international travel without being identified or traced by law enforcement agencies.</w:t>
      </w:r>
      <w:r>
        <w:rPr>
          <w:rStyle w:val="FootnoteReference"/>
        </w:rPr>
        <w:footnoteReference w:id="11"/>
      </w:r>
    </w:p>
    <w:p w14:paraId="5852B2B2" w14:textId="3FC251F4" w:rsidR="00597DBE" w:rsidRPr="00F85B0F" w:rsidRDefault="00597DBE" w:rsidP="00597DBE">
      <w:pPr>
        <w:pStyle w:val="Paragraph"/>
      </w:pPr>
      <w:r w:rsidRPr="00F85B0F">
        <w:t xml:space="preserve">Responsibility for fraud is split </w:t>
      </w:r>
      <w:r w:rsidR="002A2AFE">
        <w:t>between</w:t>
      </w:r>
      <w:r w:rsidRPr="00F85B0F">
        <w:t xml:space="preserve"> federal and state jurisdictions. The Australian Government is responsible for fraud against itself and its programs. Each agency is responsible for its own fraud control arrangements.</w:t>
      </w:r>
      <w:r>
        <w:rPr>
          <w:rStyle w:val="FootnoteReference"/>
        </w:rPr>
        <w:footnoteReference w:id="12"/>
      </w:r>
    </w:p>
    <w:p w14:paraId="779E2F27" w14:textId="024E7033" w:rsidR="00597DBE" w:rsidRPr="00F85B0F" w:rsidRDefault="00597DBE" w:rsidP="00597DBE">
      <w:pPr>
        <w:pStyle w:val="Paragraph"/>
      </w:pPr>
      <w:r w:rsidRPr="00F85B0F">
        <w:t>The A</w:t>
      </w:r>
      <w:r>
        <w:t xml:space="preserve">ustralian </w:t>
      </w:r>
      <w:r w:rsidRPr="00F85B0F">
        <w:t>F</w:t>
      </w:r>
      <w:r>
        <w:t xml:space="preserve">ederal </w:t>
      </w:r>
      <w:r w:rsidRPr="00F85B0F">
        <w:t>P</w:t>
      </w:r>
      <w:r>
        <w:t>olice</w:t>
      </w:r>
      <w:r w:rsidRPr="00F85B0F">
        <w:t xml:space="preserve"> investigates most serious or complex crime against the Commonwealth, including internal and external fraud. They also conduct quality assurance reviews of agencies</w:t>
      </w:r>
      <w:r w:rsidR="00975C0B">
        <w:t>’</w:t>
      </w:r>
      <w:r w:rsidRPr="00F85B0F">
        <w:t xml:space="preserve"> fraud investigations and provide advice and assistance to entities investigating fraud. This includes recovery action under the </w:t>
      </w:r>
      <w:r w:rsidRPr="00F85B0F">
        <w:rPr>
          <w:i/>
          <w:iCs/>
        </w:rPr>
        <w:t>Proceeds of Crime Act 2002</w:t>
      </w:r>
      <w:r w:rsidRPr="00F85B0F">
        <w:t> (Cth).</w:t>
      </w:r>
    </w:p>
    <w:p w14:paraId="0A83D8DE" w14:textId="15365FAE" w:rsidR="00597DBE" w:rsidRPr="003C0F78" w:rsidRDefault="00597DBE" w:rsidP="00597DBE">
      <w:pPr>
        <w:pStyle w:val="Paragraph"/>
      </w:pPr>
      <w:r w:rsidRPr="003C0F78">
        <w:t xml:space="preserve">State and territory governments are generally responsible for most </w:t>
      </w:r>
      <w:r w:rsidR="00D66807">
        <w:t xml:space="preserve">other </w:t>
      </w:r>
      <w:r w:rsidRPr="003C0F78">
        <w:t>types of fraud. This include</w:t>
      </w:r>
      <w:r w:rsidR="000013EA">
        <w:t>s</w:t>
      </w:r>
      <w:r w:rsidRPr="003C0F78">
        <w:t xml:space="preserve"> responsibility for</w:t>
      </w:r>
      <w:r>
        <w:rPr>
          <w:u w:color="0000FF"/>
        </w:rPr>
        <w:t xml:space="preserve"> </w:t>
      </w:r>
      <w:r w:rsidRPr="00F77746">
        <w:rPr>
          <w:u w:color="0000FF"/>
        </w:rPr>
        <w:t>fraud against members of the public</w:t>
      </w:r>
      <w:r w:rsidRPr="003C0F78">
        <w:t xml:space="preserve"> such as dating and romance scams</w:t>
      </w:r>
      <w:r>
        <w:t>, travel prize scams and identity theft</w:t>
      </w:r>
      <w:r w:rsidRPr="003C0F78">
        <w:t>.</w:t>
      </w:r>
    </w:p>
    <w:p w14:paraId="4539BB0D" w14:textId="448006B0" w:rsidR="00823B01" w:rsidRPr="00975C0B" w:rsidRDefault="00823B01" w:rsidP="003A421C">
      <w:pPr>
        <w:pStyle w:val="Heading2"/>
        <w:keepLines/>
      </w:pPr>
      <w:bookmarkStart w:id="28" w:name="_Toc33176364"/>
      <w:r w:rsidRPr="00975C0B">
        <w:lastRenderedPageBreak/>
        <w:t>Mobile porting fraud</w:t>
      </w:r>
      <w:bookmarkEnd w:id="28"/>
    </w:p>
    <w:p w14:paraId="791015B5" w14:textId="3CF05E4D" w:rsidR="00CA2F99" w:rsidRPr="003C431F" w:rsidRDefault="00E45C50" w:rsidP="003A421C">
      <w:pPr>
        <w:pStyle w:val="Paragraph"/>
        <w:keepNext/>
        <w:keepLines/>
      </w:pPr>
      <w:r w:rsidRPr="003C431F">
        <w:rPr>
          <w:i/>
          <w:noProof/>
        </w:rPr>
        <w:drawing>
          <wp:anchor distT="0" distB="0" distL="114300" distR="114300" simplePos="0" relativeHeight="251658240" behindDoc="1" locked="0" layoutInCell="1" allowOverlap="1" wp14:anchorId="6E1038E5" wp14:editId="1B3DEFC3">
            <wp:simplePos x="0" y="0"/>
            <wp:positionH relativeFrom="column">
              <wp:posOffset>-1270</wp:posOffset>
            </wp:positionH>
            <wp:positionV relativeFrom="paragraph">
              <wp:posOffset>684530</wp:posOffset>
            </wp:positionV>
            <wp:extent cx="410400" cy="410400"/>
            <wp:effectExtent l="0" t="0" r="0" b="8890"/>
            <wp:wrapTight wrapText="bothSides">
              <wp:wrapPolygon edited="0">
                <wp:start x="5015" y="0"/>
                <wp:lineTo x="1003" y="7022"/>
                <wp:lineTo x="1003" y="13040"/>
                <wp:lineTo x="5015" y="21065"/>
                <wp:lineTo x="16050" y="21065"/>
                <wp:lineTo x="20062" y="13040"/>
                <wp:lineTo x="20062" y="7022"/>
                <wp:lineTo x="16050" y="0"/>
                <wp:lineTo x="5015" y="0"/>
              </wp:wrapPolygon>
            </wp:wrapTight>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withleftarrow.svg"/>
                    <pic:cNvPicPr/>
                  </pic:nvPicPr>
                  <pic:blipFill>
                    <a:blip r:embed="rId29">
                      <a:extLst>
                        <a:ext uri="{96DAC541-7B7A-43D3-8B79-37D633B846F1}">
                          <asvg:svgBlip xmlns:asvg="http://schemas.microsoft.com/office/drawing/2016/SVG/main" r:embed="rId30"/>
                        </a:ext>
                      </a:extLst>
                    </a:blip>
                    <a:stretch>
                      <a:fillRect/>
                    </a:stretch>
                  </pic:blipFill>
                  <pic:spPr>
                    <a:xfrm>
                      <a:off x="0" y="0"/>
                      <a:ext cx="410400" cy="410400"/>
                    </a:xfrm>
                    <a:prstGeom prst="rect">
                      <a:avLst/>
                    </a:prstGeom>
                  </pic:spPr>
                </pic:pic>
              </a:graphicData>
            </a:graphic>
            <wp14:sizeRelH relativeFrom="page">
              <wp14:pctWidth>0</wp14:pctWidth>
            </wp14:sizeRelH>
            <wp14:sizeRelV relativeFrom="page">
              <wp14:pctHeight>0</wp14:pctHeight>
            </wp14:sizeRelV>
          </wp:anchor>
        </w:drawing>
      </w:r>
      <w:r w:rsidR="00823B01" w:rsidRPr="00A4410D">
        <w:t xml:space="preserve">Mobile number </w:t>
      </w:r>
      <w:r w:rsidR="00823B01">
        <w:t xml:space="preserve">porting </w:t>
      </w:r>
      <w:r w:rsidR="00823B01" w:rsidRPr="00A4410D">
        <w:t xml:space="preserve">fraud occurs </w:t>
      </w:r>
      <w:r w:rsidR="00466752">
        <w:t xml:space="preserve">in the context of broader identity </w:t>
      </w:r>
      <w:r w:rsidR="000013EA">
        <w:t>theft</w:t>
      </w:r>
      <w:r w:rsidR="00466752">
        <w:t xml:space="preserve"> </w:t>
      </w:r>
      <w:r w:rsidR="000013EA">
        <w:t>and</w:t>
      </w:r>
      <w:r w:rsidR="00466752">
        <w:t xml:space="preserve"> misuse of personal information. </w:t>
      </w:r>
      <w:r w:rsidR="00466752">
        <w:rPr>
          <w:szCs w:val="20"/>
        </w:rPr>
        <w:t>S</w:t>
      </w:r>
      <w:r w:rsidR="00823B01" w:rsidRPr="008C613F">
        <w:rPr>
          <w:szCs w:val="20"/>
        </w:rPr>
        <w:t>cammers</w:t>
      </w:r>
      <w:r w:rsidR="00823B01">
        <w:rPr>
          <w:szCs w:val="20"/>
        </w:rPr>
        <w:t xml:space="preserve"> (malicious third-party actors) gain access to </w:t>
      </w:r>
      <w:r w:rsidR="00823B01" w:rsidRPr="008C613F">
        <w:rPr>
          <w:szCs w:val="20"/>
        </w:rPr>
        <w:t>personal information</w:t>
      </w:r>
      <w:r w:rsidR="00823B01">
        <w:rPr>
          <w:szCs w:val="20"/>
        </w:rPr>
        <w:t xml:space="preserve"> </w:t>
      </w:r>
      <w:r w:rsidR="00823B01">
        <w:t xml:space="preserve">to </w:t>
      </w:r>
      <w:r w:rsidR="00823B01" w:rsidRPr="005C6B11">
        <w:t>exploit a necessary and legitimate</w:t>
      </w:r>
      <w:r w:rsidR="00CA2F99">
        <w:t xml:space="preserve"> telecommunications</w:t>
      </w:r>
      <w:r w:rsidR="00823B01" w:rsidRPr="005C6B11">
        <w:t xml:space="preserve"> process </w:t>
      </w:r>
      <w:r w:rsidR="00823B01" w:rsidRPr="003C431F">
        <w:t>(porting) for their own gain.</w:t>
      </w:r>
    </w:p>
    <w:p w14:paraId="52C9B6FD" w14:textId="23743A61" w:rsidR="00823B01" w:rsidRPr="003C431F" w:rsidRDefault="00823B01" w:rsidP="003A421C">
      <w:pPr>
        <w:pStyle w:val="ListBullet"/>
        <w:spacing w:after="240"/>
      </w:pPr>
      <w:r w:rsidRPr="003C431F">
        <w:rPr>
          <w:i/>
        </w:rPr>
        <w:t>Mobile porting fraud is a crime that also acts as a gateway to broader identity and financial theft.</w:t>
      </w:r>
    </w:p>
    <w:p w14:paraId="50BF99A8" w14:textId="57AE04D6" w:rsidR="004000D7" w:rsidRDefault="00BD6160" w:rsidP="00C73C7D">
      <w:pPr>
        <w:pStyle w:val="Paragraph"/>
      </w:pPr>
      <w:r>
        <w:t>T</w:t>
      </w:r>
      <w:r w:rsidR="008045B8">
        <w:t xml:space="preserve">he </w:t>
      </w:r>
      <w:r w:rsidR="00FE6DDB">
        <w:t>government’s</w:t>
      </w:r>
      <w:r w:rsidR="008045B8">
        <w:t xml:space="preserve"> policy objective is to prevent unauthorised ports occurring and </w:t>
      </w:r>
      <w:r w:rsidR="0053769E">
        <w:t xml:space="preserve">to </w:t>
      </w:r>
      <w:r w:rsidR="008045B8">
        <w:t>reduce harm to Australian consumers</w:t>
      </w:r>
      <w:r w:rsidR="00065C11">
        <w:t>,</w:t>
      </w:r>
      <w:r w:rsidR="004000D7" w:rsidRPr="004000D7">
        <w:t xml:space="preserve"> </w:t>
      </w:r>
      <w:r w:rsidR="004000D7">
        <w:t>as the number of potential victims of mobile porting fraud is large—anyone with a mobile phone in Australia is at risk.</w:t>
      </w:r>
    </w:p>
    <w:p w14:paraId="13FFA89D" w14:textId="3BE9E104" w:rsidR="00BE037C" w:rsidRDefault="00065C11" w:rsidP="00FA699C">
      <w:pPr>
        <w:pStyle w:val="Paragraph"/>
      </w:pPr>
      <w:r>
        <w:t>C</w:t>
      </w:r>
      <w:r w:rsidR="00BE037C">
        <w:t>urrent customer authorisation processes have been inadequate in preventing mobile porting fraud.</w:t>
      </w:r>
      <w:r w:rsidR="00BE037C" w:rsidRPr="00BE037C">
        <w:t xml:space="preserve"> </w:t>
      </w:r>
      <w:r w:rsidR="00BE037C">
        <w:t>While mobile carriage service providers are not responsible for the actions of scammers, they have a role to play in prevention and reduction of harm for customers.</w:t>
      </w:r>
    </w:p>
    <w:p w14:paraId="7D6BF346" w14:textId="260A43D1" w:rsidR="00C65D59" w:rsidRDefault="00E96DAD" w:rsidP="00C65D59">
      <w:pPr>
        <w:pStyle w:val="Paragraph"/>
      </w:pPr>
      <w:bookmarkStart w:id="29" w:name="_Hlk32831231"/>
      <w:bookmarkStart w:id="30" w:name="_Hlk29914255"/>
      <w:r>
        <w:t>B</w:t>
      </w:r>
      <w:r w:rsidR="00BD6160">
        <w:t>y</w:t>
      </w:r>
      <w:r w:rsidR="00151BB2">
        <w:t xml:space="preserve"> improving the </w:t>
      </w:r>
      <w:r w:rsidR="00DE70F8">
        <w:t xml:space="preserve">mobile portability </w:t>
      </w:r>
      <w:r w:rsidR="00151BB2">
        <w:t>regulatory framework</w:t>
      </w:r>
      <w:r w:rsidR="00BD6160">
        <w:t xml:space="preserve">, </w:t>
      </w:r>
      <w:r w:rsidR="002D326A">
        <w:t xml:space="preserve">via enhanced </w:t>
      </w:r>
      <w:r w:rsidR="005C6044">
        <w:t xml:space="preserve">pre-port verification processes, </w:t>
      </w:r>
      <w:r w:rsidR="00084325">
        <w:t xml:space="preserve">we </w:t>
      </w:r>
      <w:r w:rsidR="00BD6160">
        <w:t xml:space="preserve">can significantly reduce the number of </w:t>
      </w:r>
      <w:r w:rsidR="00BD6160" w:rsidRPr="000A2FD6">
        <w:rPr>
          <w:iCs/>
        </w:rPr>
        <w:t>Australian</w:t>
      </w:r>
      <w:r w:rsidR="005E7DE8">
        <w:rPr>
          <w:iCs/>
        </w:rPr>
        <w:t>s</w:t>
      </w:r>
      <w:r w:rsidR="00BD6160" w:rsidRPr="000A2FD6">
        <w:rPr>
          <w:iCs/>
        </w:rPr>
        <w:t xml:space="preserve"> </w:t>
      </w:r>
      <w:r w:rsidR="00581833">
        <w:rPr>
          <w:iCs/>
        </w:rPr>
        <w:t>impacted</w:t>
      </w:r>
      <w:r w:rsidR="00581833" w:rsidRPr="000A2FD6">
        <w:rPr>
          <w:iCs/>
        </w:rPr>
        <w:t xml:space="preserve"> </w:t>
      </w:r>
      <w:r w:rsidR="00BD6160" w:rsidRPr="000A2FD6">
        <w:rPr>
          <w:iCs/>
        </w:rPr>
        <w:t>by fraud</w:t>
      </w:r>
      <w:r w:rsidR="00CD30B9" w:rsidRPr="000A2FD6">
        <w:rPr>
          <w:iCs/>
        </w:rPr>
        <w:t>.</w:t>
      </w:r>
      <w:r w:rsidR="00C65D59" w:rsidRPr="00C65D59">
        <w:t xml:space="preserve"> </w:t>
      </w:r>
    </w:p>
    <w:p w14:paraId="5B48B5C2" w14:textId="447E1B28" w:rsidR="00B47948" w:rsidRPr="00B47948" w:rsidRDefault="00B47948" w:rsidP="00B47948">
      <w:pPr>
        <w:pStyle w:val="Paragraph"/>
      </w:pPr>
      <w:r w:rsidRPr="00B47948">
        <w:t>Some of the</w:t>
      </w:r>
      <w:r>
        <w:t xml:space="preserve"> </w:t>
      </w:r>
      <w:r w:rsidRPr="00B47948">
        <w:t>impacts are captured in the four examples in this document.</w:t>
      </w:r>
      <w:r>
        <w:t xml:space="preserve"> </w:t>
      </w:r>
      <w:r w:rsidR="003A1751">
        <w:t xml:space="preserve">These draw on reports from victims of mobile porting fraud to </w:t>
      </w:r>
      <w:r>
        <w:t xml:space="preserve">highlight </w:t>
      </w:r>
      <w:r w:rsidR="003A1751">
        <w:t xml:space="preserve">not only </w:t>
      </w:r>
      <w:r>
        <w:t xml:space="preserve">the </w:t>
      </w:r>
      <w:r w:rsidR="003A1751">
        <w:t>financial impacts but also the</w:t>
      </w:r>
      <w:r>
        <w:t xml:space="preserve"> </w:t>
      </w:r>
      <w:r w:rsidR="003A1751">
        <w:t>psychological</w:t>
      </w:r>
      <w:r>
        <w:t xml:space="preserve"> and </w:t>
      </w:r>
      <w:r w:rsidR="003A1751">
        <w:t>emotional harms.</w:t>
      </w:r>
    </w:p>
    <w:p w14:paraId="79F8AA4D" w14:textId="44734EE3" w:rsidR="002E43AC" w:rsidRPr="00FA699C" w:rsidRDefault="00FC02EA" w:rsidP="00FA699C">
      <w:pPr>
        <w:pStyle w:val="Heading3"/>
        <w:shd w:val="clear" w:color="auto" w:fill="F2F2F2" w:themeFill="background1" w:themeFillShade="F2"/>
        <w:rPr>
          <w:i/>
          <w:iCs/>
        </w:rPr>
      </w:pPr>
      <w:bookmarkStart w:id="31" w:name="_Toc32833682"/>
      <w:bookmarkStart w:id="32" w:name="_Toc33176365"/>
      <w:bookmarkEnd w:id="29"/>
      <w:r>
        <w:rPr>
          <w:i/>
        </w:rPr>
        <w:t>Example</w:t>
      </w:r>
      <w:r w:rsidR="002E43AC" w:rsidRPr="00FA699C">
        <w:rPr>
          <w:i/>
        </w:rPr>
        <w:t xml:space="preserve"> </w:t>
      </w:r>
      <w:r w:rsidR="002E43AC" w:rsidRPr="00FA699C">
        <w:rPr>
          <w:i/>
          <w:iCs/>
        </w:rPr>
        <w:t>1: I lost $6</w:t>
      </w:r>
      <w:r w:rsidR="00055079" w:rsidRPr="00FA699C">
        <w:rPr>
          <w:i/>
          <w:iCs/>
        </w:rPr>
        <w:t>,</w:t>
      </w:r>
      <w:r w:rsidR="002E43AC" w:rsidRPr="00FA699C">
        <w:rPr>
          <w:i/>
          <w:iCs/>
        </w:rPr>
        <w:t>028 when scammers stole my identity</w:t>
      </w:r>
      <w:bookmarkEnd w:id="31"/>
      <w:bookmarkEnd w:id="32"/>
    </w:p>
    <w:p w14:paraId="53AA394B" w14:textId="77777777" w:rsidR="002E43AC" w:rsidRPr="002E43AC" w:rsidRDefault="002E43AC" w:rsidP="00FA699C">
      <w:pPr>
        <w:pStyle w:val="Paragraph"/>
        <w:shd w:val="clear" w:color="auto" w:fill="F2F2F2" w:themeFill="background1" w:themeFillShade="F2"/>
        <w:spacing w:after="120"/>
        <w:rPr>
          <w:iCs/>
        </w:rPr>
      </w:pPr>
      <w:r w:rsidRPr="002E43AC">
        <w:rPr>
          <w:iCs/>
        </w:rPr>
        <w:t>My story*</w:t>
      </w:r>
    </w:p>
    <w:p w14:paraId="4464CCAF" w14:textId="77777777" w:rsidR="002E43AC" w:rsidRPr="002E43AC" w:rsidRDefault="002E43AC" w:rsidP="00FA699C">
      <w:pPr>
        <w:pStyle w:val="Paragraph"/>
        <w:shd w:val="clear" w:color="auto" w:fill="F2F2F2" w:themeFill="background1" w:themeFillShade="F2"/>
        <w:rPr>
          <w:iCs/>
        </w:rPr>
      </w:pPr>
      <w:r w:rsidRPr="002E43AC">
        <w:rPr>
          <w:iCs/>
        </w:rPr>
        <w:t>I received an SMS informing me that my mobile number was being ported to a different network provider. As I had not authorised this, I contacted my mobile provider to find out why my number was being ported. I immediately realised what was going on and phoned my bank. While on the phone, I tried logging in to my internet banking, but to no avail. As I was talking to the bank, I started receiving emails about my personal details being changed and the PIN to the credit card being changed.</w:t>
      </w:r>
    </w:p>
    <w:p w14:paraId="559C8D90" w14:textId="2F1AF68A" w:rsidR="002E43AC" w:rsidRDefault="002E43AC" w:rsidP="00FA699C">
      <w:pPr>
        <w:pStyle w:val="Paragraph"/>
        <w:shd w:val="clear" w:color="auto" w:fill="F2F2F2" w:themeFill="background1" w:themeFillShade="F2"/>
        <w:rPr>
          <w:iCs/>
        </w:rPr>
      </w:pPr>
      <w:r w:rsidRPr="002E43AC">
        <w:rPr>
          <w:iCs/>
        </w:rPr>
        <w:t>I ordered this credit card two weeks ago. It was supposed to be delivered to my address, but I have not received the card to date. I told the consultant that my credit card just got activated and that the PIN had been changed. The consultant started blocking my accounts and cards.</w:t>
      </w:r>
    </w:p>
    <w:p w14:paraId="6A0D38A1" w14:textId="2FF7EF1A" w:rsidR="002E43AC" w:rsidRPr="002E43AC" w:rsidRDefault="002E43AC" w:rsidP="00FA699C">
      <w:pPr>
        <w:pStyle w:val="Paragraph"/>
        <w:shd w:val="clear" w:color="auto" w:fill="F2F2F2" w:themeFill="background1" w:themeFillShade="F2"/>
        <w:spacing w:after="120"/>
        <w:rPr>
          <w:iCs/>
        </w:rPr>
      </w:pPr>
      <w:r w:rsidRPr="002E43AC">
        <w:rPr>
          <w:iCs/>
        </w:rPr>
        <w:t>However, the following day when I went to the bank, they realised that the fraudster managed to lift the block and maxed out my credit card. The fraudsters have stolen my identity to create a new mobile account at the different network provider, hacked my internet banking account, and stolen funds.</w:t>
      </w:r>
    </w:p>
    <w:p w14:paraId="18425746" w14:textId="34E4A6D9" w:rsidR="002E43AC" w:rsidRDefault="002E43AC" w:rsidP="00FA699C">
      <w:pPr>
        <w:pStyle w:val="Paragraph"/>
        <w:shd w:val="clear" w:color="auto" w:fill="F2F2F2" w:themeFill="background1" w:themeFillShade="F2"/>
        <w:rPr>
          <w:i/>
          <w:iCs/>
          <w:sz w:val="16"/>
          <w:szCs w:val="16"/>
        </w:rPr>
      </w:pPr>
      <w:r w:rsidRPr="00CC19BE">
        <w:rPr>
          <w:i/>
          <w:iCs/>
          <w:sz w:val="16"/>
          <w:szCs w:val="16"/>
        </w:rPr>
        <w:t xml:space="preserve">*The </w:t>
      </w:r>
      <w:r w:rsidR="00E21676">
        <w:rPr>
          <w:i/>
          <w:iCs/>
          <w:sz w:val="16"/>
          <w:szCs w:val="16"/>
        </w:rPr>
        <w:t xml:space="preserve">example </w:t>
      </w:r>
      <w:r w:rsidRPr="00CC19BE">
        <w:rPr>
          <w:i/>
          <w:iCs/>
          <w:sz w:val="16"/>
          <w:szCs w:val="16"/>
        </w:rPr>
        <w:t xml:space="preserve">above is based on one or more real scam reports received by the </w:t>
      </w:r>
      <w:r w:rsidR="00C3700D" w:rsidRPr="00C3700D">
        <w:rPr>
          <w:i/>
          <w:iCs/>
          <w:sz w:val="16"/>
          <w:szCs w:val="16"/>
        </w:rPr>
        <w:t>Australian Competition and Consumer Commission</w:t>
      </w:r>
      <w:r w:rsidRPr="00CC19BE">
        <w:rPr>
          <w:i/>
          <w:iCs/>
          <w:sz w:val="16"/>
          <w:szCs w:val="16"/>
        </w:rPr>
        <w:t>.</w:t>
      </w:r>
    </w:p>
    <w:p w14:paraId="43974941" w14:textId="19CF0CEF" w:rsidR="001D5C79" w:rsidRPr="001D5C79" w:rsidRDefault="00CE2F8C" w:rsidP="004E7BAF">
      <w:pPr>
        <w:pStyle w:val="Heading2"/>
        <w:keepLines/>
      </w:pPr>
      <w:bookmarkStart w:id="33" w:name="_Toc32833683"/>
      <w:bookmarkStart w:id="34" w:name="_Toc32833739"/>
      <w:bookmarkStart w:id="35" w:name="_Toc32833812"/>
      <w:bookmarkStart w:id="36" w:name="_Toc33176366"/>
      <w:bookmarkEnd w:id="30"/>
      <w:r>
        <w:lastRenderedPageBreak/>
        <w:t>How m</w:t>
      </w:r>
      <w:r w:rsidR="001D5C79" w:rsidRPr="001D5C79">
        <w:t>obile porting fraud</w:t>
      </w:r>
      <w:r>
        <w:t xml:space="preserve"> occurs</w:t>
      </w:r>
      <w:bookmarkEnd w:id="33"/>
      <w:bookmarkEnd w:id="34"/>
      <w:bookmarkEnd w:id="35"/>
      <w:bookmarkEnd w:id="36"/>
    </w:p>
    <w:p w14:paraId="70CE4699" w14:textId="441E6C93" w:rsidR="0018781E" w:rsidRDefault="00C43BB2" w:rsidP="004E7BAF">
      <w:pPr>
        <w:keepNext/>
        <w:keepLines/>
        <w:rPr>
          <w:rFonts w:cs="Arial"/>
        </w:rPr>
      </w:pPr>
      <w:r>
        <w:rPr>
          <w:rFonts w:cs="Arial"/>
        </w:rPr>
        <w:t xml:space="preserve">Mobile porting fraud </w:t>
      </w:r>
      <w:r w:rsidR="00500A9E">
        <w:rPr>
          <w:rFonts w:cs="Arial"/>
        </w:rPr>
        <w:t>is used by malicious third-party actors to ‘hijack’ a person’s mobile phone</w:t>
      </w:r>
      <w:r w:rsidR="006C2C4C">
        <w:rPr>
          <w:rFonts w:cs="Arial"/>
        </w:rPr>
        <w:t xml:space="preserve"> </w:t>
      </w:r>
      <w:r w:rsidR="00500A9E">
        <w:rPr>
          <w:rFonts w:cs="Arial"/>
        </w:rPr>
        <w:t xml:space="preserve">and gain access to their </w:t>
      </w:r>
      <w:r w:rsidR="00825216">
        <w:rPr>
          <w:rFonts w:cs="Arial"/>
        </w:rPr>
        <w:t xml:space="preserve">bank accounts </w:t>
      </w:r>
      <w:r w:rsidR="00500A9E">
        <w:rPr>
          <w:rFonts w:cs="Arial"/>
        </w:rPr>
        <w:t xml:space="preserve">and </w:t>
      </w:r>
      <w:r w:rsidR="00825216">
        <w:rPr>
          <w:rFonts w:cs="Arial"/>
        </w:rPr>
        <w:t>other applications containing sensitive information</w:t>
      </w:r>
      <w:r w:rsidR="00262382">
        <w:rPr>
          <w:rFonts w:cs="Arial"/>
        </w:rPr>
        <w:t xml:space="preserve"> or capable of receiving </w:t>
      </w:r>
      <w:r w:rsidR="00AA1FC4">
        <w:rPr>
          <w:rFonts w:cs="Arial"/>
        </w:rPr>
        <w:t xml:space="preserve">personal information, such as </w:t>
      </w:r>
      <w:r w:rsidR="00D91653">
        <w:rPr>
          <w:rFonts w:cs="Arial"/>
        </w:rPr>
        <w:t>unique verification codes</w:t>
      </w:r>
      <w:r w:rsidR="00500A9E">
        <w:rPr>
          <w:rFonts w:cs="Arial"/>
        </w:rPr>
        <w:t>.</w:t>
      </w:r>
    </w:p>
    <w:p w14:paraId="62C6B299" w14:textId="35624AB5" w:rsidR="00CA2F99" w:rsidRDefault="00307E52" w:rsidP="004E7BAF">
      <w:pPr>
        <w:keepNext/>
        <w:keepLines/>
        <w:rPr>
          <w:szCs w:val="20"/>
        </w:rPr>
      </w:pPr>
      <w:r>
        <w:rPr>
          <w:rFonts w:cs="Arial"/>
        </w:rPr>
        <w:t>Scammers commit identity theft</w:t>
      </w:r>
      <w:r w:rsidR="00060A34">
        <w:rPr>
          <w:rFonts w:cs="Arial"/>
        </w:rPr>
        <w:t xml:space="preserve"> or use a person’s online information</w:t>
      </w:r>
      <w:r>
        <w:rPr>
          <w:rFonts w:cs="Arial"/>
        </w:rPr>
        <w:t xml:space="preserve"> to</w:t>
      </w:r>
      <w:r w:rsidR="00B74374">
        <w:rPr>
          <w:rFonts w:cs="Arial"/>
        </w:rPr>
        <w:t xml:space="preserve"> fraudulently</w:t>
      </w:r>
      <w:r>
        <w:rPr>
          <w:rFonts w:cs="Arial"/>
        </w:rPr>
        <w:t xml:space="preserve"> appear to be </w:t>
      </w:r>
      <w:r w:rsidR="00520695">
        <w:rPr>
          <w:rFonts w:cs="Arial"/>
        </w:rPr>
        <w:t xml:space="preserve">the </w:t>
      </w:r>
      <w:r>
        <w:rPr>
          <w:rFonts w:cs="Arial"/>
        </w:rPr>
        <w:t>rights</w:t>
      </w:r>
      <w:r w:rsidR="00F75868">
        <w:rPr>
          <w:rFonts w:cs="Arial"/>
        </w:rPr>
        <w:t>-</w:t>
      </w:r>
      <w:r>
        <w:rPr>
          <w:rFonts w:cs="Arial"/>
        </w:rPr>
        <w:t>of</w:t>
      </w:r>
      <w:r w:rsidR="00F75868">
        <w:rPr>
          <w:rFonts w:cs="Arial"/>
        </w:rPr>
        <w:t>-</w:t>
      </w:r>
      <w:r>
        <w:rPr>
          <w:rFonts w:cs="Arial"/>
        </w:rPr>
        <w:t>use holder</w:t>
      </w:r>
      <w:r w:rsidR="00763974">
        <w:rPr>
          <w:rFonts w:cs="Arial"/>
        </w:rPr>
        <w:t xml:space="preserve"> </w:t>
      </w:r>
      <w:r w:rsidR="00A947C6">
        <w:rPr>
          <w:rFonts w:cs="Arial"/>
        </w:rPr>
        <w:t xml:space="preserve">in order </w:t>
      </w:r>
      <w:r>
        <w:rPr>
          <w:rFonts w:cs="Arial"/>
        </w:rPr>
        <w:t>to complete a customer authorisation. They then request a port to a new mobile carriage service provider</w:t>
      </w:r>
      <w:r w:rsidR="00A947C6">
        <w:rPr>
          <w:rFonts w:cs="Arial"/>
        </w:rPr>
        <w:t>—</w:t>
      </w:r>
      <w:r>
        <w:rPr>
          <w:rFonts w:cs="Arial"/>
        </w:rPr>
        <w:t>allowing them to gain control of the mobile service number</w:t>
      </w:r>
      <w:r w:rsidR="00763974">
        <w:rPr>
          <w:rFonts w:cs="Arial"/>
        </w:rPr>
        <w:t>.</w:t>
      </w:r>
    </w:p>
    <w:p w14:paraId="4A9CE1AE" w14:textId="1DABCC3B" w:rsidR="00EC3719" w:rsidRDefault="00307E52" w:rsidP="004F5482">
      <w:pPr>
        <w:rPr>
          <w:rFonts w:cs="Arial"/>
        </w:rPr>
      </w:pPr>
      <w:r>
        <w:rPr>
          <w:szCs w:val="20"/>
        </w:rPr>
        <w:t>The</w:t>
      </w:r>
      <w:r w:rsidR="0095724C">
        <w:rPr>
          <w:szCs w:val="20"/>
        </w:rPr>
        <w:t xml:space="preserve"> </w:t>
      </w:r>
      <w:r w:rsidR="00EC3719">
        <w:rPr>
          <w:szCs w:val="20"/>
        </w:rPr>
        <w:t>process is fraudulent because the scammer is not the rights</w:t>
      </w:r>
      <w:r w:rsidR="00F75868">
        <w:rPr>
          <w:szCs w:val="20"/>
        </w:rPr>
        <w:t>-</w:t>
      </w:r>
      <w:r w:rsidR="00EC3719">
        <w:rPr>
          <w:szCs w:val="20"/>
        </w:rPr>
        <w:t>of</w:t>
      </w:r>
      <w:r w:rsidR="00F75868">
        <w:rPr>
          <w:szCs w:val="20"/>
        </w:rPr>
        <w:t>-</w:t>
      </w:r>
      <w:r w:rsidR="00EC3719">
        <w:rPr>
          <w:szCs w:val="20"/>
        </w:rPr>
        <w:t>use holder and has impersonated the</w:t>
      </w:r>
      <w:r w:rsidR="006A7F3C">
        <w:rPr>
          <w:szCs w:val="20"/>
        </w:rPr>
        <w:t xml:space="preserve"> legiti</w:t>
      </w:r>
      <w:r w:rsidR="00EC3719">
        <w:rPr>
          <w:szCs w:val="20"/>
        </w:rPr>
        <w:t>m</w:t>
      </w:r>
      <w:r w:rsidR="006A7F3C">
        <w:rPr>
          <w:szCs w:val="20"/>
        </w:rPr>
        <w:t>ate customer</w:t>
      </w:r>
      <w:r w:rsidR="00EC3719">
        <w:rPr>
          <w:szCs w:val="20"/>
        </w:rPr>
        <w:t xml:space="preserve"> to gain access to a benefit</w:t>
      </w:r>
      <w:r w:rsidR="004A718B">
        <w:rPr>
          <w:rFonts w:cs="Arial"/>
          <w:szCs w:val="20"/>
        </w:rPr>
        <w:t>—</w:t>
      </w:r>
      <w:r w:rsidR="00EC3719">
        <w:rPr>
          <w:szCs w:val="20"/>
        </w:rPr>
        <w:t>the mobile service number</w:t>
      </w:r>
      <w:r w:rsidR="006A7F3C">
        <w:rPr>
          <w:szCs w:val="20"/>
        </w:rPr>
        <w:t xml:space="preserve"> (and associated sensitive information accessed via the mobile phone)</w:t>
      </w:r>
      <w:r w:rsidR="00EC3719">
        <w:rPr>
          <w:szCs w:val="20"/>
        </w:rPr>
        <w:t>.</w:t>
      </w:r>
    </w:p>
    <w:p w14:paraId="29DB6426" w14:textId="0DEC56C6" w:rsidR="0090517E" w:rsidRDefault="00A37B74" w:rsidP="004F5482">
      <w:pPr>
        <w:rPr>
          <w:rFonts w:cs="Arial"/>
        </w:rPr>
      </w:pPr>
      <w:r>
        <w:rPr>
          <w:rFonts w:cs="Arial"/>
        </w:rPr>
        <w:t xml:space="preserve">The </w:t>
      </w:r>
      <w:r w:rsidR="00FC69AE">
        <w:rPr>
          <w:rFonts w:cs="Arial"/>
        </w:rPr>
        <w:t xml:space="preserve">legitimate </w:t>
      </w:r>
      <w:r w:rsidR="00084CE8">
        <w:rPr>
          <w:rFonts w:cs="Arial"/>
        </w:rPr>
        <w:t>customer</w:t>
      </w:r>
      <w:r w:rsidR="00F6453C">
        <w:rPr>
          <w:rFonts w:cs="Arial"/>
        </w:rPr>
        <w:t>—</w:t>
      </w:r>
      <w:r w:rsidR="00FC69AE">
        <w:rPr>
          <w:rFonts w:cs="Arial"/>
        </w:rPr>
        <w:t xml:space="preserve">the </w:t>
      </w:r>
      <w:r w:rsidR="00D6273F">
        <w:rPr>
          <w:rFonts w:cs="Arial"/>
        </w:rPr>
        <w:t>rights</w:t>
      </w:r>
      <w:r w:rsidR="00F75868">
        <w:rPr>
          <w:rFonts w:cs="Arial"/>
        </w:rPr>
        <w:t>-</w:t>
      </w:r>
      <w:r w:rsidR="00D6273F">
        <w:rPr>
          <w:rFonts w:cs="Arial"/>
        </w:rPr>
        <w:t>of</w:t>
      </w:r>
      <w:r w:rsidR="00F75868">
        <w:rPr>
          <w:rFonts w:cs="Arial"/>
        </w:rPr>
        <w:t>-</w:t>
      </w:r>
      <w:r w:rsidR="00D6273F">
        <w:rPr>
          <w:rFonts w:cs="Arial"/>
        </w:rPr>
        <w:t>use holder</w:t>
      </w:r>
      <w:r w:rsidR="00F6453C">
        <w:rPr>
          <w:rFonts w:cs="Arial"/>
        </w:rPr>
        <w:t>—</w:t>
      </w:r>
      <w:r w:rsidR="0090517E" w:rsidRPr="00FE6DDB">
        <w:rPr>
          <w:rFonts w:cs="Arial"/>
        </w:rPr>
        <w:t>may not receive any notification of the port occurring</w:t>
      </w:r>
      <w:r w:rsidR="00D6273F" w:rsidRPr="00D6273F">
        <w:rPr>
          <w:rFonts w:cs="Arial"/>
        </w:rPr>
        <w:t xml:space="preserve"> </w:t>
      </w:r>
      <w:r w:rsidR="00D6273F">
        <w:rPr>
          <w:rFonts w:cs="Arial"/>
        </w:rPr>
        <w:t xml:space="preserve">so </w:t>
      </w:r>
      <w:r w:rsidR="00D6273F" w:rsidRPr="00D6273F">
        <w:rPr>
          <w:rFonts w:cs="Arial"/>
        </w:rPr>
        <w:t xml:space="preserve">may not be aware that this </w:t>
      </w:r>
      <w:r w:rsidR="006764B7">
        <w:rPr>
          <w:rFonts w:cs="Arial"/>
        </w:rPr>
        <w:t xml:space="preserve">fraudulent </w:t>
      </w:r>
      <w:r w:rsidR="008D0D13">
        <w:rPr>
          <w:rFonts w:cs="Arial"/>
        </w:rPr>
        <w:t>activity</w:t>
      </w:r>
      <w:r w:rsidR="006764B7">
        <w:rPr>
          <w:rFonts w:cs="Arial"/>
        </w:rPr>
        <w:t xml:space="preserve"> </w:t>
      </w:r>
      <w:r w:rsidR="00D6273F" w:rsidRPr="00D6273F">
        <w:rPr>
          <w:rFonts w:cs="Arial"/>
        </w:rPr>
        <w:t>has happened until their mobile phone loses coverage</w:t>
      </w:r>
      <w:r w:rsidR="0095724C">
        <w:rPr>
          <w:rFonts w:cs="Arial"/>
        </w:rPr>
        <w:t xml:space="preserve"> and they contact their provider</w:t>
      </w:r>
      <w:r w:rsidR="0090517E" w:rsidRPr="00FE6DDB">
        <w:rPr>
          <w:rFonts w:cs="Arial"/>
        </w:rPr>
        <w:t>.</w:t>
      </w:r>
    </w:p>
    <w:p w14:paraId="609DCD36" w14:textId="649C0FBD" w:rsidR="0090517E" w:rsidRDefault="0090517E" w:rsidP="006A65CE">
      <w:pPr>
        <w:pStyle w:val="Paragraph"/>
      </w:pPr>
      <w:r w:rsidRPr="00FE6DDB">
        <w:t xml:space="preserve">When the </w:t>
      </w:r>
      <w:r w:rsidR="0001463B">
        <w:t xml:space="preserve">ported </w:t>
      </w:r>
      <w:r w:rsidRPr="00FE6DDB">
        <w:t>mobile service activates, the</w:t>
      </w:r>
      <w:r w:rsidR="00D6273F">
        <w:t xml:space="preserve"> </w:t>
      </w:r>
      <w:r w:rsidR="00FC69AE">
        <w:t>scammer</w:t>
      </w:r>
      <w:r w:rsidR="00165098">
        <w:t xml:space="preserve"> </w:t>
      </w:r>
      <w:r w:rsidRPr="00FE6DDB">
        <w:t xml:space="preserve">will receive all </w:t>
      </w:r>
      <w:r w:rsidR="002E79C4">
        <w:t xml:space="preserve">the </w:t>
      </w:r>
      <w:r w:rsidR="008A5DCD">
        <w:t xml:space="preserve">legitimate </w:t>
      </w:r>
      <w:r w:rsidR="00554B2F">
        <w:t>customer</w:t>
      </w:r>
      <w:r w:rsidR="008A5DCD">
        <w:t>’</w:t>
      </w:r>
      <w:r w:rsidR="00554B2F">
        <w:t>s</w:t>
      </w:r>
      <w:r w:rsidR="00D6273F">
        <w:t xml:space="preserve"> </w:t>
      </w:r>
      <w:r w:rsidR="003B42DE">
        <w:t xml:space="preserve">SMS </w:t>
      </w:r>
      <w:r w:rsidRPr="00FE6DDB">
        <w:t xml:space="preserve">messages and calls. </w:t>
      </w:r>
      <w:r w:rsidR="00165098">
        <w:t xml:space="preserve">The scammer </w:t>
      </w:r>
      <w:r w:rsidR="000A6600">
        <w:t xml:space="preserve">can </w:t>
      </w:r>
      <w:r w:rsidR="00165098">
        <w:t xml:space="preserve">then </w:t>
      </w:r>
      <w:r w:rsidR="000A6600">
        <w:t>use</w:t>
      </w:r>
      <w:r w:rsidR="00165098">
        <w:t xml:space="preserve"> the mobile phone number to </w:t>
      </w:r>
      <w:r w:rsidR="000A6600">
        <w:t>access</w:t>
      </w:r>
      <w:r w:rsidR="00165098">
        <w:t xml:space="preserve"> </w:t>
      </w:r>
      <w:r w:rsidR="00453AC7">
        <w:t>bank accounts and other applications containing sensitive information</w:t>
      </w:r>
      <w:r w:rsidR="000F356F">
        <w:t xml:space="preserve"> that use two-factor identification methods</w:t>
      </w:r>
      <w:r w:rsidR="000F356F">
        <w:rPr>
          <w:rStyle w:val="FootnoteReference"/>
        </w:rPr>
        <w:footnoteReference w:id="13"/>
      </w:r>
      <w:r w:rsidR="00453AC7">
        <w:t xml:space="preserve">. </w:t>
      </w:r>
      <w:r w:rsidR="000A6600">
        <w:t xml:space="preserve">For example, using </w:t>
      </w:r>
      <w:r w:rsidR="005409AB">
        <w:t xml:space="preserve">maliciously obtained </w:t>
      </w:r>
      <w:r w:rsidR="000A6600">
        <w:t xml:space="preserve">personal information to target </w:t>
      </w:r>
      <w:r w:rsidRPr="00FE6DDB">
        <w:t>bank account</w:t>
      </w:r>
      <w:r w:rsidR="00555C4A">
        <w:t>/</w:t>
      </w:r>
      <w:r w:rsidRPr="00FE6DDB">
        <w:t>s</w:t>
      </w:r>
      <w:r w:rsidR="00C5621A">
        <w:t>,</w:t>
      </w:r>
      <w:r w:rsidRPr="00FE6DDB">
        <w:t xml:space="preserve"> and using the confirmation code sent to the mobile number</w:t>
      </w:r>
      <w:r w:rsidR="00555C4A">
        <w:t xml:space="preserve"> to </w:t>
      </w:r>
      <w:r w:rsidR="00555C4A" w:rsidRPr="00FE6DDB">
        <w:t>transfer funds from the account/s</w:t>
      </w:r>
      <w:r w:rsidRPr="00FE6DDB">
        <w:t>.</w:t>
      </w:r>
    </w:p>
    <w:p w14:paraId="1CCBA78A" w14:textId="16D8D826" w:rsidR="00F1634C" w:rsidRDefault="00F1634C" w:rsidP="006A65CE">
      <w:pPr>
        <w:pStyle w:val="Paragraph"/>
      </w:pPr>
      <w:r>
        <w:t>If a c</w:t>
      </w:r>
      <w:r w:rsidR="00DC60BB">
        <w:t>ustomer</w:t>
      </w:r>
      <w:r>
        <w:t xml:space="preserve"> has been the victim of mobile porting fraud, they </w:t>
      </w:r>
      <w:r w:rsidR="00655BC7">
        <w:t xml:space="preserve">need to </w:t>
      </w:r>
      <w:r w:rsidR="0090517E" w:rsidRPr="00FE6DDB">
        <w:t xml:space="preserve">take steps to regain their number (reverse the port) and establish their identity with their </w:t>
      </w:r>
      <w:r w:rsidR="00156C62">
        <w:t xml:space="preserve">mobile carriage service </w:t>
      </w:r>
      <w:r w:rsidR="0090517E" w:rsidRPr="00FE6DDB">
        <w:t>provider</w:t>
      </w:r>
      <w:r w:rsidR="00AF763F">
        <w:t>. They will also need to</w:t>
      </w:r>
      <w:r w:rsidR="005D2D47">
        <w:t xml:space="preserve"> </w:t>
      </w:r>
      <w:r w:rsidR="0090517E" w:rsidRPr="00FE6DDB">
        <w:t>recover financial losses (if possible) with their financial institution</w:t>
      </w:r>
      <w:r w:rsidR="005B18B6">
        <w:t>—</w:t>
      </w:r>
      <w:r w:rsidR="0090517E" w:rsidRPr="00FE6DDB">
        <w:t>and deal with</w:t>
      </w:r>
      <w:r w:rsidR="0090517E" w:rsidRPr="00FE6DDB" w:rsidDel="002E43AC">
        <w:t xml:space="preserve"> </w:t>
      </w:r>
      <w:r w:rsidR="0090517E" w:rsidRPr="00FE6DDB">
        <w:t xml:space="preserve">other issues </w:t>
      </w:r>
      <w:r w:rsidR="005409AB">
        <w:t>arising</w:t>
      </w:r>
      <w:r w:rsidR="0090517E" w:rsidRPr="00FE6DDB" w:rsidDel="002E43AC">
        <w:t xml:space="preserve"> </w:t>
      </w:r>
      <w:r w:rsidR="0090517E" w:rsidRPr="00FE6DDB">
        <w:t>from the identity theft.</w:t>
      </w:r>
    </w:p>
    <w:p w14:paraId="74390724" w14:textId="3D1DD7EC" w:rsidR="006F3252" w:rsidRDefault="006F3252" w:rsidP="006F3252">
      <w:pPr>
        <w:rPr>
          <w:rFonts w:cs="Arial"/>
        </w:rPr>
      </w:pPr>
      <w:bookmarkStart w:id="37" w:name="_Hlk29236215"/>
      <w:r>
        <w:rPr>
          <w:rFonts w:cs="Arial"/>
        </w:rPr>
        <w:t xml:space="preserve">Mobile porting fraud victims often need to use support services like IDCARE </w:t>
      </w:r>
      <w:r w:rsidR="00853A83">
        <w:rPr>
          <w:rFonts w:cs="Arial"/>
        </w:rPr>
        <w:t>for</w:t>
      </w:r>
      <w:r>
        <w:rPr>
          <w:rFonts w:cs="Arial"/>
        </w:rPr>
        <w:t xml:space="preserve"> advice on re-establish</w:t>
      </w:r>
      <w:r w:rsidR="00853A83">
        <w:rPr>
          <w:rFonts w:cs="Arial"/>
        </w:rPr>
        <w:t>ing</w:t>
      </w:r>
      <w:r>
        <w:rPr>
          <w:rFonts w:cs="Arial"/>
        </w:rPr>
        <w:t xml:space="preserve"> their identity with government services or financial institutions. </w:t>
      </w:r>
      <w:r>
        <w:t xml:space="preserve">This may require </w:t>
      </w:r>
      <w:r w:rsidRPr="00FE6DDB">
        <w:rPr>
          <w:rFonts w:cs="Arial"/>
        </w:rPr>
        <w:t>present</w:t>
      </w:r>
      <w:r>
        <w:rPr>
          <w:rFonts w:cs="Arial"/>
        </w:rPr>
        <w:t>ing</w:t>
      </w:r>
      <w:r w:rsidRPr="00FE6DDB">
        <w:rPr>
          <w:rFonts w:cs="Arial"/>
        </w:rPr>
        <w:t xml:space="preserve"> in person with photo-identification to </w:t>
      </w:r>
      <w:r>
        <w:rPr>
          <w:rFonts w:cs="Arial"/>
        </w:rPr>
        <w:t>multiple</w:t>
      </w:r>
      <w:r w:rsidRPr="00FE6DDB">
        <w:rPr>
          <w:rFonts w:cs="Arial"/>
        </w:rPr>
        <w:t xml:space="preserve"> government services</w:t>
      </w:r>
      <w:r>
        <w:rPr>
          <w:rFonts w:cs="Arial"/>
        </w:rPr>
        <w:t xml:space="preserve"> or banks, </w:t>
      </w:r>
      <w:r w:rsidR="009E581D">
        <w:rPr>
          <w:rFonts w:cs="Arial"/>
        </w:rPr>
        <w:t xml:space="preserve">which is </w:t>
      </w:r>
      <w:r>
        <w:rPr>
          <w:rFonts w:cs="Arial"/>
        </w:rPr>
        <w:t>a time-consuming process.</w:t>
      </w:r>
    </w:p>
    <w:p w14:paraId="49617609" w14:textId="4EA44653" w:rsidR="004A4237" w:rsidRDefault="003B7676" w:rsidP="004A4237">
      <w:pPr>
        <w:pStyle w:val="Heading2"/>
      </w:pPr>
      <w:bookmarkStart w:id="38" w:name="_Toc32833740"/>
      <w:bookmarkStart w:id="39" w:name="_Toc32833813"/>
      <w:bookmarkStart w:id="40" w:name="_Toc33176367"/>
      <w:bookmarkEnd w:id="37"/>
      <w:r w:rsidRPr="004A4237">
        <w:t>Who is affected by mobile porting fraud</w:t>
      </w:r>
      <w:r w:rsidR="004A4237">
        <w:t>?</w:t>
      </w:r>
      <w:bookmarkEnd w:id="38"/>
      <w:bookmarkEnd w:id="39"/>
      <w:bookmarkEnd w:id="40"/>
    </w:p>
    <w:p w14:paraId="2B956677" w14:textId="582F8A60" w:rsidR="00DC453E" w:rsidRDefault="003B7676" w:rsidP="00D32A06">
      <w:pPr>
        <w:pStyle w:val="Paragraph"/>
      </w:pPr>
      <w:r>
        <w:t xml:space="preserve">Mobile porting fraud </w:t>
      </w:r>
      <w:r w:rsidR="00AC1265">
        <w:t xml:space="preserve">can </w:t>
      </w:r>
      <w:r w:rsidR="009A4029">
        <w:t>happen to any</w:t>
      </w:r>
      <w:r w:rsidR="00A12458">
        <w:t xml:space="preserve">one </w:t>
      </w:r>
      <w:r w:rsidR="00022A19">
        <w:t xml:space="preserve">with </w:t>
      </w:r>
      <w:r w:rsidR="00AC1265">
        <w:t xml:space="preserve">a mobile service number. At </w:t>
      </w:r>
      <w:r w:rsidR="00273A88">
        <w:t>June 2019</w:t>
      </w:r>
      <w:r w:rsidR="00AC1265">
        <w:t xml:space="preserve">, </w:t>
      </w:r>
      <w:r w:rsidR="00372A7F">
        <w:t xml:space="preserve">there were </w:t>
      </w:r>
      <w:r w:rsidR="00AC1265" w:rsidRPr="00B110B3">
        <w:t>3</w:t>
      </w:r>
      <w:r w:rsidR="00273A88" w:rsidRPr="00B110B3">
        <w:t>5.82</w:t>
      </w:r>
      <w:r w:rsidR="00D6565A" w:rsidRPr="00B110B3">
        <w:t xml:space="preserve"> </w:t>
      </w:r>
      <w:r w:rsidR="00AC1265" w:rsidRPr="00B110B3">
        <w:t>million</w:t>
      </w:r>
      <w:r w:rsidR="00BE037C">
        <w:rPr>
          <w:rStyle w:val="FootnoteReference"/>
        </w:rPr>
        <w:footnoteReference w:id="14"/>
      </w:r>
      <w:r w:rsidR="00AC1265">
        <w:t xml:space="preserve"> mobile services in operation</w:t>
      </w:r>
      <w:r w:rsidR="009A4029">
        <w:t>—</w:t>
      </w:r>
      <w:r w:rsidR="00AC1265">
        <w:t xml:space="preserve">each a potential target for scammers. </w:t>
      </w:r>
      <w:r w:rsidR="00277E2A">
        <w:t>While vulnerable members of society are often the target of scammers, anyone can be affected by mobile porting fraud.</w:t>
      </w:r>
    </w:p>
    <w:p w14:paraId="33D2C8C7" w14:textId="35674B2C" w:rsidR="00D40186" w:rsidRPr="00487FC1" w:rsidRDefault="00544DB1" w:rsidP="00D40186">
      <w:pPr>
        <w:pStyle w:val="Paragraph"/>
      </w:pPr>
      <w:r>
        <w:t xml:space="preserve">Businesses impacted by fraud </w:t>
      </w:r>
      <w:r w:rsidR="007F1E76">
        <w:t xml:space="preserve">can </w:t>
      </w:r>
      <w:r>
        <w:t xml:space="preserve">suffer </w:t>
      </w:r>
      <w:r w:rsidR="00022A19">
        <w:t xml:space="preserve">significant </w:t>
      </w:r>
      <w:r>
        <w:t xml:space="preserve">losses due to the costly impact of disruption to essential mobile services and potential </w:t>
      </w:r>
      <w:r w:rsidR="00701222">
        <w:t xml:space="preserve">business </w:t>
      </w:r>
      <w:r>
        <w:t>assets lost through fraud.</w:t>
      </w:r>
      <w:r w:rsidR="00D40186">
        <w:t xml:space="preserve"> </w:t>
      </w:r>
      <w:r w:rsidR="00D40186" w:rsidRPr="00D32A06">
        <w:t xml:space="preserve">Customers are losing trust in Australian telecommunications providers to protect </w:t>
      </w:r>
      <w:r w:rsidR="00D40186" w:rsidRPr="00D32A06">
        <w:lastRenderedPageBreak/>
        <w:t>them from mobile porting fraud and are frustrated that they have no means to protect themselves</w:t>
      </w:r>
      <w:r w:rsidR="00D40186">
        <w:t>.</w:t>
      </w:r>
    </w:p>
    <w:p w14:paraId="2685E9A9" w14:textId="10A807BE" w:rsidR="00E21676" w:rsidRDefault="004667B1" w:rsidP="00E21676">
      <w:pPr>
        <w:pStyle w:val="Paragraph"/>
      </w:pPr>
      <w:r>
        <w:t>C</w:t>
      </w:r>
      <w:r w:rsidR="00313C46">
        <w:t xml:space="preserve">ustomers who are the victim of </w:t>
      </w:r>
      <w:r w:rsidR="00313C46" w:rsidRPr="00313C46">
        <w:t xml:space="preserve">identity theft typically </w:t>
      </w:r>
      <w:r w:rsidR="00313C46">
        <w:t>suffer both financial loss and psy</w:t>
      </w:r>
      <w:r w:rsidR="00457776">
        <w:t xml:space="preserve">chological </w:t>
      </w:r>
      <w:r>
        <w:t>harm</w:t>
      </w:r>
      <w:r w:rsidR="00457776">
        <w:t>s</w:t>
      </w:r>
      <w:r w:rsidR="00E57342">
        <w:t>—</w:t>
      </w:r>
      <w:r w:rsidR="00457776">
        <w:t>t</w:t>
      </w:r>
      <w:r w:rsidR="00313C46" w:rsidRPr="00313C46">
        <w:t>he effects can be life-altering, impacting health, emotional wellbeing, and relationships with others.</w:t>
      </w:r>
      <w:r w:rsidR="00781394">
        <w:rPr>
          <w:rStyle w:val="FootnoteReference"/>
        </w:rPr>
        <w:footnoteReference w:id="15"/>
      </w:r>
      <w:r w:rsidR="00E21676">
        <w:t xml:space="preserve"> </w:t>
      </w:r>
    </w:p>
    <w:p w14:paraId="31E24DC9" w14:textId="7B9CABAF" w:rsidR="00EA0248" w:rsidRPr="005A75D4" w:rsidRDefault="00FC02EA" w:rsidP="00FA699C">
      <w:pPr>
        <w:pStyle w:val="Heading3"/>
        <w:keepLines/>
        <w:shd w:val="clear" w:color="auto" w:fill="F2F2F2" w:themeFill="background1" w:themeFillShade="F2"/>
        <w:rPr>
          <w:i/>
        </w:rPr>
      </w:pPr>
      <w:bookmarkStart w:id="41" w:name="_Toc32833685"/>
      <w:bookmarkStart w:id="42" w:name="_Toc33176368"/>
      <w:r>
        <w:rPr>
          <w:i/>
        </w:rPr>
        <w:t>Example</w:t>
      </w:r>
      <w:r w:rsidR="009C24AA" w:rsidRPr="005A75D4">
        <w:rPr>
          <w:i/>
        </w:rPr>
        <w:t xml:space="preserve"> </w:t>
      </w:r>
      <w:r w:rsidR="002B07B1" w:rsidRPr="005A75D4">
        <w:rPr>
          <w:i/>
        </w:rPr>
        <w:t>2</w:t>
      </w:r>
      <w:r w:rsidR="009C24AA" w:rsidRPr="005A75D4">
        <w:rPr>
          <w:i/>
        </w:rPr>
        <w:t xml:space="preserve">: </w:t>
      </w:r>
      <w:r w:rsidR="00EE3C43" w:rsidRPr="005A75D4">
        <w:rPr>
          <w:i/>
        </w:rPr>
        <w:t>Fraudsters strike</w:t>
      </w:r>
      <w:r w:rsidR="009C24AA" w:rsidRPr="005A75D4">
        <w:rPr>
          <w:i/>
        </w:rPr>
        <w:t xml:space="preserve"> </w:t>
      </w:r>
      <w:r w:rsidR="00CD2CE6" w:rsidRPr="005A75D4">
        <w:rPr>
          <w:i/>
        </w:rPr>
        <w:t xml:space="preserve">quickly with </w:t>
      </w:r>
      <w:r w:rsidR="00EE3C43" w:rsidRPr="005A75D4">
        <w:rPr>
          <w:i/>
        </w:rPr>
        <w:t>mobile porting fraud</w:t>
      </w:r>
      <w:bookmarkEnd w:id="41"/>
      <w:bookmarkEnd w:id="42"/>
      <w:r w:rsidR="00EE3C43" w:rsidRPr="005A75D4">
        <w:rPr>
          <w:i/>
        </w:rPr>
        <w:t xml:space="preserve"> </w:t>
      </w:r>
    </w:p>
    <w:p w14:paraId="60441FFE" w14:textId="2C1CFE23" w:rsidR="004532C7" w:rsidRDefault="004667B1" w:rsidP="00FE5B0C">
      <w:pPr>
        <w:pStyle w:val="Paragraph"/>
        <w:keepNext/>
        <w:keepLines/>
        <w:shd w:val="clear" w:color="auto" w:fill="F2F2F2" w:themeFill="background1" w:themeFillShade="F2"/>
      </w:pPr>
      <w:r>
        <w:t xml:space="preserve">One </w:t>
      </w:r>
      <w:r w:rsidR="00D4245C">
        <w:t xml:space="preserve">Tuesday </w:t>
      </w:r>
      <w:r>
        <w:t>night around</w:t>
      </w:r>
      <w:r w:rsidRPr="00BC042F">
        <w:t xml:space="preserve"> </w:t>
      </w:r>
      <w:r w:rsidR="005448A5">
        <w:t>7</w:t>
      </w:r>
      <w:r w:rsidR="005D7B31">
        <w:t xml:space="preserve"> </w:t>
      </w:r>
      <w:r w:rsidR="00DC453E" w:rsidRPr="00BC042F">
        <w:t>pm</w:t>
      </w:r>
      <w:r w:rsidR="005448A5">
        <w:t xml:space="preserve">, </w:t>
      </w:r>
      <w:r w:rsidR="00BB0D07">
        <w:t>Debbie*</w:t>
      </w:r>
      <w:r w:rsidR="00DC453E" w:rsidRPr="00BC042F">
        <w:t xml:space="preserve"> </w:t>
      </w:r>
      <w:r w:rsidR="007A3F32">
        <w:t>received a</w:t>
      </w:r>
      <w:r w:rsidR="00DC453E" w:rsidRPr="00BC042F">
        <w:t xml:space="preserve"> text from </w:t>
      </w:r>
      <w:r w:rsidR="00402D20">
        <w:t>Blue</w:t>
      </w:r>
      <w:r w:rsidR="005448A5">
        <w:t>Tel</w:t>
      </w:r>
      <w:r w:rsidR="00DC453E" w:rsidRPr="00BC042F" w:rsidDel="007A3F32">
        <w:t xml:space="preserve"> </w:t>
      </w:r>
      <w:r w:rsidR="00DC453E" w:rsidRPr="00BC042F">
        <w:t>telling her that her mobile number had been ported across to a different carrier</w:t>
      </w:r>
      <w:r w:rsidR="007A3F32">
        <w:t xml:space="preserve">. </w:t>
      </w:r>
      <w:r w:rsidR="00DC453E" w:rsidRPr="009A4029">
        <w:t xml:space="preserve">The message urged </w:t>
      </w:r>
      <w:r w:rsidR="00BB0D07">
        <w:t>Debbie</w:t>
      </w:r>
      <w:r w:rsidR="00516372" w:rsidRPr="009A4029">
        <w:t xml:space="preserve"> </w:t>
      </w:r>
      <w:r w:rsidR="00DC453E" w:rsidRPr="009A4029">
        <w:t xml:space="preserve">to call </w:t>
      </w:r>
      <w:r w:rsidR="00402D20">
        <w:t>BlueTel</w:t>
      </w:r>
      <w:r w:rsidR="00DC453E" w:rsidRPr="009A4029">
        <w:t xml:space="preserve"> if she didn’t request for </w:t>
      </w:r>
      <w:r w:rsidR="004532C7">
        <w:t>her</w:t>
      </w:r>
      <w:r w:rsidR="004532C7" w:rsidRPr="009A4029">
        <w:t xml:space="preserve"> </w:t>
      </w:r>
      <w:r w:rsidR="00DC453E" w:rsidRPr="009A4029">
        <w:t xml:space="preserve">number to be ported out. </w:t>
      </w:r>
      <w:r w:rsidR="00790DCB">
        <w:t>But</w:t>
      </w:r>
      <w:r w:rsidR="004532C7">
        <w:t xml:space="preserve"> it was already too late. Her</w:t>
      </w:r>
      <w:r w:rsidR="007A3F32">
        <w:t xml:space="preserve"> mobile phone service had </w:t>
      </w:r>
      <w:r w:rsidR="004532C7">
        <w:t xml:space="preserve">already </w:t>
      </w:r>
      <w:r w:rsidR="007A3F32">
        <w:t>stopped</w:t>
      </w:r>
      <w:r w:rsidR="006D3601">
        <w:t>.</w:t>
      </w:r>
    </w:p>
    <w:p w14:paraId="0EFE0E49" w14:textId="25A6DE71" w:rsidR="00DC453E" w:rsidRPr="009A4029" w:rsidRDefault="004532C7" w:rsidP="00FE5B0C">
      <w:pPr>
        <w:pStyle w:val="Paragraph"/>
        <w:keepNext/>
        <w:keepLines/>
        <w:shd w:val="clear" w:color="auto" w:fill="F2F2F2" w:themeFill="background1" w:themeFillShade="F2"/>
      </w:pPr>
      <w:r>
        <w:t xml:space="preserve">Not long after this, </w:t>
      </w:r>
      <w:r w:rsidR="00A562E2">
        <w:t>Debbie</w:t>
      </w:r>
      <w:r w:rsidR="00DC453E" w:rsidRPr="009A4029" w:rsidDel="00516372">
        <w:t xml:space="preserve"> received</w:t>
      </w:r>
      <w:r w:rsidR="00DC453E" w:rsidRPr="009A4029">
        <w:t xml:space="preserve"> notifications from her </w:t>
      </w:r>
      <w:r w:rsidR="005D7B31">
        <w:t>b</w:t>
      </w:r>
      <w:r w:rsidR="00402D20">
        <w:t xml:space="preserve">ank </w:t>
      </w:r>
      <w:r w:rsidR="00DC453E" w:rsidRPr="009A4029">
        <w:t>app confirming transactions she didn’t make</w:t>
      </w:r>
      <w:r w:rsidR="005D7B31">
        <w:t>,</w:t>
      </w:r>
      <w:r w:rsidR="00516372">
        <w:t xml:space="preserve"> including withdrawals of cash and </w:t>
      </w:r>
      <w:r w:rsidR="00C1104B">
        <w:t>online purchases</w:t>
      </w:r>
      <w:r w:rsidR="00DC453E" w:rsidRPr="009A4029">
        <w:t>.</w:t>
      </w:r>
    </w:p>
    <w:p w14:paraId="4376B174" w14:textId="0DB066E0" w:rsidR="00DC453E" w:rsidRPr="009A4029" w:rsidRDefault="00A562E2" w:rsidP="00FE5B0C">
      <w:pPr>
        <w:pStyle w:val="Paragraph"/>
        <w:keepNext/>
        <w:keepLines/>
        <w:shd w:val="clear" w:color="auto" w:fill="F2F2F2" w:themeFill="background1" w:themeFillShade="F2"/>
      </w:pPr>
      <w:r>
        <w:t>Debbie</w:t>
      </w:r>
      <w:r w:rsidR="00402D20">
        <w:t xml:space="preserve"> is a </w:t>
      </w:r>
      <w:r w:rsidR="00B40848">
        <w:t xml:space="preserve">small </w:t>
      </w:r>
      <w:r w:rsidR="00402D20">
        <w:t>business owner</w:t>
      </w:r>
      <w:r w:rsidR="00DC453E" w:rsidRPr="009A4029">
        <w:t xml:space="preserve"> </w:t>
      </w:r>
      <w:r w:rsidR="00402D20">
        <w:t>with</w:t>
      </w:r>
      <w:r w:rsidR="00DC453E" w:rsidRPr="009A4029">
        <w:t xml:space="preserve"> </w:t>
      </w:r>
      <w:r w:rsidR="00295FDC" w:rsidRPr="009A4029">
        <w:t>several</w:t>
      </w:r>
      <w:r w:rsidR="00DC453E" w:rsidRPr="009A4029">
        <w:t xml:space="preserve"> business </w:t>
      </w:r>
      <w:r w:rsidR="00C1104B">
        <w:t xml:space="preserve">bank </w:t>
      </w:r>
      <w:r w:rsidR="00DC453E" w:rsidRPr="009A4029">
        <w:t>accounts used for clients and staff. She had to freeze all of them, as well as her own personal bank accounts to prevent further theft.</w:t>
      </w:r>
      <w:r w:rsidR="00497A2C">
        <w:t xml:space="preserve"> This meant she was unable to pay her staff.</w:t>
      </w:r>
    </w:p>
    <w:p w14:paraId="3B828C0D" w14:textId="08EEFE50" w:rsidR="00DC453E" w:rsidRPr="009A4029" w:rsidRDefault="00DC453E" w:rsidP="00FE5B0C">
      <w:pPr>
        <w:pStyle w:val="Paragraph"/>
        <w:keepNext/>
        <w:keepLines/>
        <w:shd w:val="clear" w:color="auto" w:fill="F2F2F2" w:themeFill="background1" w:themeFillShade="F2"/>
      </w:pPr>
      <w:r w:rsidRPr="009A4029">
        <w:t xml:space="preserve">She spent all </w:t>
      </w:r>
      <w:r w:rsidR="00D4245C">
        <w:t>Tuesd</w:t>
      </w:r>
      <w:r w:rsidR="00D4245C" w:rsidRPr="009A4029">
        <w:t xml:space="preserve">ay </w:t>
      </w:r>
      <w:r w:rsidRPr="009A4029">
        <w:t xml:space="preserve">night trying to stem the damage done to her business and get her mobile number back, which had </w:t>
      </w:r>
      <w:r w:rsidR="002F4F44">
        <w:t xml:space="preserve">already </w:t>
      </w:r>
      <w:r w:rsidRPr="009A4029">
        <w:t xml:space="preserve">been moved across to </w:t>
      </w:r>
      <w:r w:rsidR="00605F86">
        <w:t>Black</w:t>
      </w:r>
      <w:r w:rsidR="00402D20">
        <w:t>Tel</w:t>
      </w:r>
      <w:r w:rsidRPr="009A4029">
        <w:t>.</w:t>
      </w:r>
      <w:r w:rsidR="002F4F44">
        <w:t xml:space="preserve"> </w:t>
      </w:r>
    </w:p>
    <w:p w14:paraId="1A43B18E" w14:textId="1D6FA60B" w:rsidR="00DC453E" w:rsidRPr="009A4029" w:rsidRDefault="00497A2C" w:rsidP="00FE5B0C">
      <w:pPr>
        <w:pStyle w:val="Paragraph"/>
        <w:shd w:val="clear" w:color="auto" w:fill="F2F2F2" w:themeFill="background1" w:themeFillShade="F2"/>
      </w:pPr>
      <w:r>
        <w:t>The next</w:t>
      </w:r>
      <w:r w:rsidR="00DC453E" w:rsidRPr="009A4029">
        <w:t xml:space="preserve"> morning</w:t>
      </w:r>
      <w:r>
        <w:t>,</w:t>
      </w:r>
      <w:r w:rsidR="00DC453E" w:rsidRPr="009A4029">
        <w:t xml:space="preserve"> she went into the </w:t>
      </w:r>
      <w:r w:rsidR="00402D20">
        <w:t>BlueTel</w:t>
      </w:r>
      <w:r w:rsidR="00402D20" w:rsidRPr="009A4029">
        <w:t xml:space="preserve"> </w:t>
      </w:r>
      <w:r w:rsidR="00DC453E" w:rsidRPr="009A4029">
        <w:t xml:space="preserve">store and was told it would take four days to get her number back. </w:t>
      </w:r>
      <w:r w:rsidR="005D7B31">
        <w:t>S</w:t>
      </w:r>
      <w:r w:rsidR="004E4095">
        <w:t>he</w:t>
      </w:r>
      <w:r w:rsidR="005D7B31">
        <w:t xml:space="preserve"> was told</w:t>
      </w:r>
      <w:r w:rsidR="00DC453E" w:rsidRPr="009A4029">
        <w:t xml:space="preserve"> a woman had stolen her identity, but </w:t>
      </w:r>
      <w:r w:rsidR="00605F86">
        <w:t>Black</w:t>
      </w:r>
      <w:r>
        <w:t xml:space="preserve">Tel staff </w:t>
      </w:r>
      <w:r w:rsidR="00DC453E" w:rsidRPr="009A4029">
        <w:t>could</w:t>
      </w:r>
      <w:r>
        <w:t xml:space="preserve"> </w:t>
      </w:r>
      <w:r w:rsidR="00DC453E" w:rsidRPr="009A4029">
        <w:t>n</w:t>
      </w:r>
      <w:r>
        <w:t>o</w:t>
      </w:r>
      <w:r w:rsidR="00DC453E" w:rsidRPr="009A4029">
        <w:t xml:space="preserve">t tell her </w:t>
      </w:r>
      <w:r w:rsidR="00790DCB">
        <w:t>any other details.</w:t>
      </w:r>
    </w:p>
    <w:p w14:paraId="31FF5E77" w14:textId="7612BB05" w:rsidR="00DC453E" w:rsidRDefault="00A562E2" w:rsidP="00FE5B0C">
      <w:pPr>
        <w:pStyle w:val="Paragraph"/>
        <w:shd w:val="clear" w:color="auto" w:fill="F2F2F2" w:themeFill="background1" w:themeFillShade="F2"/>
        <w:spacing w:after="120"/>
      </w:pPr>
      <w:r>
        <w:t>Debbie</w:t>
      </w:r>
      <w:r w:rsidR="00DC453E" w:rsidRPr="009A4029">
        <w:t xml:space="preserve"> said</w:t>
      </w:r>
      <w:r w:rsidR="005D7B31">
        <w:t>,</w:t>
      </w:r>
      <w:r w:rsidR="00DC453E" w:rsidRPr="009A4029">
        <w:t xml:space="preserve"> </w:t>
      </w:r>
      <w:r w:rsidR="005D7B31">
        <w:t>‘</w:t>
      </w:r>
      <w:r>
        <w:t>It’s been a nightmare</w:t>
      </w:r>
      <w:r w:rsidR="00B62EA3">
        <w:t xml:space="preserve"> for me, my staff and my business</w:t>
      </w:r>
      <w:r>
        <w:t xml:space="preserve">. </w:t>
      </w:r>
      <w:r w:rsidR="00402D20">
        <w:t>BlueTel</w:t>
      </w:r>
      <w:r w:rsidR="00402D20" w:rsidRPr="009A4029">
        <w:t xml:space="preserve"> </w:t>
      </w:r>
      <w:r w:rsidR="00DC453E" w:rsidRPr="009A4029">
        <w:t xml:space="preserve">blames </w:t>
      </w:r>
      <w:r w:rsidR="00605F86">
        <w:t>Black</w:t>
      </w:r>
      <w:r w:rsidR="00402D20">
        <w:t>Tel</w:t>
      </w:r>
      <w:r w:rsidR="00DC453E" w:rsidRPr="009A4029">
        <w:t xml:space="preserve">. </w:t>
      </w:r>
      <w:r w:rsidR="00C1104B">
        <w:t>My b</w:t>
      </w:r>
      <w:r w:rsidR="00DC453E" w:rsidRPr="009A4029">
        <w:t xml:space="preserve">ank blames </w:t>
      </w:r>
      <w:r w:rsidR="00402D20">
        <w:t>BlueTel</w:t>
      </w:r>
      <w:r w:rsidR="00DC453E" w:rsidRPr="009A4029">
        <w:t xml:space="preserve">. </w:t>
      </w:r>
      <w:r w:rsidR="00007573">
        <w:t xml:space="preserve">And </w:t>
      </w:r>
      <w:r w:rsidR="00605F86">
        <w:t>Black</w:t>
      </w:r>
      <w:r w:rsidR="00915EA4">
        <w:t xml:space="preserve">Tel blames BlueTel. </w:t>
      </w:r>
      <w:r w:rsidR="00007573">
        <w:t>It’s been</w:t>
      </w:r>
      <w:r w:rsidR="00DC453E" w:rsidRPr="009A4029">
        <w:t xml:space="preserve"> a massive inconvenience and </w:t>
      </w:r>
      <w:r w:rsidR="00C1104B">
        <w:t>no</w:t>
      </w:r>
      <w:r w:rsidR="00497A2C">
        <w:t xml:space="preserve"> </w:t>
      </w:r>
      <w:r w:rsidR="00C1104B">
        <w:t xml:space="preserve">one </w:t>
      </w:r>
      <w:r w:rsidR="00007573">
        <w:t xml:space="preserve">else </w:t>
      </w:r>
      <w:r w:rsidR="00C1104B">
        <w:t>should</w:t>
      </w:r>
      <w:r w:rsidR="00DC453E" w:rsidRPr="009A4029" w:rsidDel="00C1104B">
        <w:t xml:space="preserve"> </w:t>
      </w:r>
      <w:r w:rsidR="00DC453E" w:rsidRPr="009A4029">
        <w:t>have to go through this</w:t>
      </w:r>
      <w:r w:rsidR="005D7B31">
        <w:t>’</w:t>
      </w:r>
      <w:r w:rsidR="00DC453E" w:rsidRPr="009A4029">
        <w:t>.</w:t>
      </w:r>
    </w:p>
    <w:p w14:paraId="1F67215E" w14:textId="42E19A17" w:rsidR="00CD0C5E" w:rsidRPr="00DC3719" w:rsidRDefault="00487FC1" w:rsidP="00FE5B0C">
      <w:pPr>
        <w:pStyle w:val="Paragraph"/>
        <w:shd w:val="clear" w:color="auto" w:fill="F2F2F2" w:themeFill="background1" w:themeFillShade="F2"/>
        <w:rPr>
          <w:i/>
          <w:sz w:val="16"/>
          <w:szCs w:val="16"/>
        </w:rPr>
      </w:pPr>
      <w:r w:rsidRPr="00DC3719">
        <w:rPr>
          <w:i/>
          <w:iCs/>
          <w:sz w:val="16"/>
          <w:szCs w:val="16"/>
        </w:rPr>
        <w:t>*</w:t>
      </w:r>
      <w:r w:rsidR="00E21676">
        <w:rPr>
          <w:i/>
          <w:iCs/>
          <w:sz w:val="16"/>
          <w:szCs w:val="16"/>
        </w:rPr>
        <w:t>Example is b</w:t>
      </w:r>
      <w:r w:rsidR="00CB6CA9">
        <w:rPr>
          <w:i/>
          <w:iCs/>
          <w:sz w:val="16"/>
          <w:szCs w:val="16"/>
        </w:rPr>
        <w:t xml:space="preserve">ased on one or more reports of mobile porting fraud. </w:t>
      </w:r>
      <w:r w:rsidR="007C003C">
        <w:rPr>
          <w:i/>
          <w:sz w:val="16"/>
          <w:szCs w:val="16"/>
        </w:rPr>
        <w:t>N</w:t>
      </w:r>
      <w:r w:rsidR="00CD0C5E" w:rsidRPr="00DC3719">
        <w:rPr>
          <w:i/>
          <w:sz w:val="16"/>
          <w:szCs w:val="16"/>
        </w:rPr>
        <w:t>ame</w:t>
      </w:r>
      <w:r w:rsidR="005D7B31">
        <w:rPr>
          <w:i/>
          <w:sz w:val="16"/>
          <w:szCs w:val="16"/>
        </w:rPr>
        <w:t>s</w:t>
      </w:r>
      <w:r w:rsidR="00CD0C5E" w:rsidRPr="00DC3719">
        <w:rPr>
          <w:i/>
          <w:sz w:val="16"/>
          <w:szCs w:val="16"/>
        </w:rPr>
        <w:t xml:space="preserve"> of individuals</w:t>
      </w:r>
      <w:r w:rsidR="00655BC7">
        <w:rPr>
          <w:i/>
          <w:sz w:val="16"/>
          <w:szCs w:val="16"/>
        </w:rPr>
        <w:t xml:space="preserve"> and</w:t>
      </w:r>
      <w:r w:rsidR="00CD0C5E" w:rsidRPr="00DC3719">
        <w:rPr>
          <w:i/>
          <w:sz w:val="16"/>
          <w:szCs w:val="16"/>
        </w:rPr>
        <w:t xml:space="preserve"> companies have been changed</w:t>
      </w:r>
      <w:r w:rsidR="00DA3459" w:rsidRPr="00DC3719">
        <w:rPr>
          <w:i/>
          <w:iCs/>
          <w:sz w:val="16"/>
          <w:szCs w:val="16"/>
        </w:rPr>
        <w:t>.</w:t>
      </w:r>
    </w:p>
    <w:p w14:paraId="631DFD73" w14:textId="135CF796" w:rsidR="0090517E" w:rsidRDefault="0090517E" w:rsidP="0090517E">
      <w:pPr>
        <w:pStyle w:val="Heading1"/>
      </w:pPr>
      <w:bookmarkStart w:id="43" w:name="_Toc32833686"/>
      <w:bookmarkStart w:id="44" w:name="_Toc32833741"/>
      <w:bookmarkStart w:id="45" w:name="_Toc32833814"/>
      <w:bookmarkStart w:id="46" w:name="_Toc33176369"/>
      <w:r>
        <w:lastRenderedPageBreak/>
        <w:t xml:space="preserve">Why is </w:t>
      </w:r>
      <w:r w:rsidR="00125A3F">
        <w:t xml:space="preserve">government </w:t>
      </w:r>
      <w:r>
        <w:t>action needed?</w:t>
      </w:r>
      <w:bookmarkEnd w:id="43"/>
      <w:bookmarkEnd w:id="44"/>
      <w:bookmarkEnd w:id="45"/>
      <w:bookmarkEnd w:id="46"/>
    </w:p>
    <w:p w14:paraId="59BCC73B" w14:textId="77777777" w:rsidR="002A39E9" w:rsidRDefault="00881336" w:rsidP="00EC5735">
      <w:r>
        <w:rPr>
          <w:szCs w:val="20"/>
        </w:rPr>
        <w:t xml:space="preserve">ACMA consumer research confirms scams over telecommunications networks are a significant problem, and </w:t>
      </w:r>
      <w:r w:rsidR="00C00DE4">
        <w:rPr>
          <w:szCs w:val="20"/>
        </w:rPr>
        <w:t xml:space="preserve">telco </w:t>
      </w:r>
      <w:r w:rsidR="00442E18">
        <w:rPr>
          <w:szCs w:val="20"/>
        </w:rPr>
        <w:t xml:space="preserve">customers </w:t>
      </w:r>
      <w:r>
        <w:rPr>
          <w:szCs w:val="20"/>
        </w:rPr>
        <w:t xml:space="preserve">expect </w:t>
      </w:r>
      <w:r w:rsidRPr="00C73C7D">
        <w:rPr>
          <w:szCs w:val="20"/>
        </w:rPr>
        <w:t>more to be done</w:t>
      </w:r>
      <w:r>
        <w:rPr>
          <w:szCs w:val="20"/>
        </w:rPr>
        <w:t xml:space="preserve"> by </w:t>
      </w:r>
      <w:r w:rsidR="00125A3F">
        <w:rPr>
          <w:szCs w:val="20"/>
        </w:rPr>
        <w:t>government</w:t>
      </w:r>
      <w:r>
        <w:rPr>
          <w:szCs w:val="20"/>
        </w:rPr>
        <w:t>.</w:t>
      </w:r>
      <w:r>
        <w:rPr>
          <w:rStyle w:val="FootnoteReference"/>
          <w:szCs w:val="20"/>
        </w:rPr>
        <w:footnoteReference w:id="16"/>
      </w:r>
      <w:r>
        <w:rPr>
          <w:szCs w:val="20"/>
        </w:rPr>
        <w:t xml:space="preserve"> </w:t>
      </w:r>
      <w:r w:rsidR="00FE6DDB" w:rsidRPr="00FE6DDB">
        <w:t>Australians lose more than half a billion dollars a year to scams</w:t>
      </w:r>
      <w:r w:rsidR="00B0458C">
        <w:t xml:space="preserve"> </w:t>
      </w:r>
      <w:r w:rsidR="00B63FEE">
        <w:t>and that number is increasing</w:t>
      </w:r>
      <w:r w:rsidR="00FE6DDB" w:rsidRPr="00FE6DDB">
        <w:t>.</w:t>
      </w:r>
      <w:r w:rsidR="00804A3A">
        <w:rPr>
          <w:rStyle w:val="FootnoteReference"/>
        </w:rPr>
        <w:footnoteReference w:id="17"/>
      </w:r>
      <w:r w:rsidR="00FE6DDB" w:rsidRPr="00FE6DDB">
        <w:t xml:space="preserve"> </w:t>
      </w:r>
      <w:bookmarkStart w:id="47" w:name="_Hlk29281180"/>
    </w:p>
    <w:p w14:paraId="293D6A7A" w14:textId="4CD63353" w:rsidR="00EC5735" w:rsidRDefault="00EC5735" w:rsidP="00EC5735">
      <w:r>
        <w:t xml:space="preserve">Combating </w:t>
      </w:r>
      <w:r w:rsidR="0081544C">
        <w:t xml:space="preserve">telecommunications </w:t>
      </w:r>
      <w:r>
        <w:t>scams is a government priority</w:t>
      </w:r>
      <w:r w:rsidR="00E7324B">
        <w:t>. The</w:t>
      </w:r>
      <w:r>
        <w:t xml:space="preserve"> </w:t>
      </w:r>
      <w:hyperlink r:id="rId31" w:history="1">
        <w:r w:rsidRPr="003B2433">
          <w:rPr>
            <w:rStyle w:val="Hyperlink"/>
          </w:rPr>
          <w:t>Minister</w:t>
        </w:r>
      </w:hyperlink>
      <w:r>
        <w:t xml:space="preserve"> </w:t>
      </w:r>
      <w:r w:rsidR="003B2433">
        <w:t xml:space="preserve">signed off on </w:t>
      </w:r>
      <w:r>
        <w:t>the ACMA</w:t>
      </w:r>
      <w:r w:rsidR="00DE6325">
        <w:t>’</w:t>
      </w:r>
      <w:r>
        <w:t xml:space="preserve">s Combating Scams </w:t>
      </w:r>
      <w:r w:rsidR="003B7710">
        <w:t>A</w:t>
      </w:r>
      <w:r>
        <w:t xml:space="preserve">ction </w:t>
      </w:r>
      <w:r w:rsidR="003B7710">
        <w:t>P</w:t>
      </w:r>
      <w:r>
        <w:t>lan in November 2019.</w:t>
      </w:r>
      <w:r w:rsidR="00B469D3">
        <w:t xml:space="preserve"> </w:t>
      </w:r>
      <w:r w:rsidR="00266A37" w:rsidRPr="00B73431">
        <w:t xml:space="preserve">The </w:t>
      </w:r>
      <w:r w:rsidR="00006040">
        <w:t>Australian G</w:t>
      </w:r>
      <w:r w:rsidR="00266A37" w:rsidRPr="00B73431">
        <w:t>overnment wants all mobile service providers to implement stronger pre-port identify checks, to minimise instances of fraudulent mobile number porting and reduce associated financial loss and hardship to customers.</w:t>
      </w:r>
    </w:p>
    <w:bookmarkEnd w:id="47"/>
    <w:p w14:paraId="0BF8871A" w14:textId="1DA90F78" w:rsidR="00A520D6" w:rsidRDefault="00A520D6" w:rsidP="00A520D6">
      <w:pPr>
        <w:pStyle w:val="Paragraph"/>
      </w:pPr>
      <w:r w:rsidRPr="00296DD0">
        <w:t xml:space="preserve">Government action is needed </w:t>
      </w:r>
      <w:r>
        <w:t xml:space="preserve">now </w:t>
      </w:r>
      <w:r w:rsidRPr="00296DD0">
        <w:t xml:space="preserve">to coordinate and enforce </w:t>
      </w:r>
      <w:r w:rsidR="00500A9E">
        <w:t>community</w:t>
      </w:r>
      <w:r>
        <w:t>-</w:t>
      </w:r>
      <w:r w:rsidRPr="00296DD0">
        <w:t xml:space="preserve">wide </w:t>
      </w:r>
      <w:r w:rsidR="00442E18">
        <w:t xml:space="preserve">customer </w:t>
      </w:r>
      <w:r w:rsidRPr="00296DD0">
        <w:t>protection measures.</w:t>
      </w:r>
      <w:r>
        <w:t xml:space="preserve"> Without </w:t>
      </w:r>
      <w:r w:rsidR="00266A37">
        <w:t>this</w:t>
      </w:r>
      <w:r w:rsidR="00500A9E">
        <w:t xml:space="preserve"> action</w:t>
      </w:r>
      <w:r w:rsidRPr="00296DD0">
        <w:t xml:space="preserve">, all Australian mobile users </w:t>
      </w:r>
      <w:r w:rsidR="00500A9E">
        <w:t xml:space="preserve">are </w:t>
      </w:r>
      <w:r w:rsidRPr="00296DD0">
        <w:t xml:space="preserve">at </w:t>
      </w:r>
      <w:r w:rsidR="00181D8D">
        <w:t xml:space="preserve">increasing </w:t>
      </w:r>
      <w:r w:rsidRPr="00296DD0">
        <w:t xml:space="preserve">risk of </w:t>
      </w:r>
      <w:r w:rsidR="00EB5D81">
        <w:t>mobile porting fraud</w:t>
      </w:r>
      <w:r w:rsidRPr="00296DD0">
        <w:t>.</w:t>
      </w:r>
      <w:r w:rsidR="00781394">
        <w:rPr>
          <w:rStyle w:val="FootnoteReference"/>
        </w:rPr>
        <w:footnoteReference w:id="18"/>
      </w:r>
    </w:p>
    <w:p w14:paraId="5F7A11F8" w14:textId="4F4FE2D4" w:rsidR="00C631F1" w:rsidRDefault="00C631F1" w:rsidP="00C00DE4">
      <w:pPr>
        <w:pStyle w:val="Heading2"/>
      </w:pPr>
      <w:bookmarkStart w:id="48" w:name="_Toc32833687"/>
      <w:bookmarkStart w:id="49" w:name="_Toc32833742"/>
      <w:bookmarkStart w:id="50" w:name="_Toc32833815"/>
      <w:bookmarkStart w:id="51" w:name="_Toc33176370"/>
      <w:r>
        <w:t xml:space="preserve">Market </w:t>
      </w:r>
      <w:r w:rsidR="00343347">
        <w:t>action</w:t>
      </w:r>
      <w:bookmarkEnd w:id="48"/>
      <w:bookmarkEnd w:id="49"/>
      <w:bookmarkEnd w:id="50"/>
      <w:bookmarkEnd w:id="51"/>
    </w:p>
    <w:p w14:paraId="6EF9382B" w14:textId="23ECC055" w:rsidR="00517F98" w:rsidRDefault="00517F98" w:rsidP="006534B2">
      <w:pPr>
        <w:pStyle w:val="Paragraph"/>
      </w:pPr>
      <w:r w:rsidRPr="00517F98">
        <w:t>Australia’s communications landscape continues to undergo exponential change. In the past decade developments in digital products and services have reshaped business models, global markets, consumer experience and expectations.</w:t>
      </w:r>
    </w:p>
    <w:p w14:paraId="745CAFA5" w14:textId="22CB3013" w:rsidR="00DA2DE6" w:rsidRDefault="00453A6F" w:rsidP="00453A6F">
      <w:pPr>
        <w:pStyle w:val="Paragraph"/>
      </w:pPr>
      <w:r w:rsidRPr="00453A6F">
        <w:t xml:space="preserve">With technology rapidly evolving, the use of multi-factor authentication </w:t>
      </w:r>
      <w:r>
        <w:t xml:space="preserve">for accounts </w:t>
      </w:r>
      <w:r w:rsidRPr="00453A6F">
        <w:t>has become more prevalent</w:t>
      </w:r>
      <w:r>
        <w:t>.</w:t>
      </w:r>
      <w:r w:rsidRPr="00453A6F">
        <w:t xml:space="preserve"> There</w:t>
      </w:r>
      <w:r>
        <w:t xml:space="preserve"> i</w:t>
      </w:r>
      <w:r w:rsidRPr="00453A6F">
        <w:t xml:space="preserve">s increasing interest in stealing phone numbers because banks often send two-step verification codes over SMS. </w:t>
      </w:r>
    </w:p>
    <w:p w14:paraId="26CD7B36" w14:textId="08EEDDA8" w:rsidR="00DA2DE6" w:rsidRPr="006C2C4C" w:rsidRDefault="00DA2DE6" w:rsidP="00DA2DE6">
      <w:pPr>
        <w:pStyle w:val="Paragraph"/>
      </w:pPr>
      <w:r>
        <w:t>In addition to rising financial loss</w:t>
      </w:r>
      <w:r w:rsidR="00064380">
        <w:t>es</w:t>
      </w:r>
      <w:r>
        <w:t xml:space="preserve"> from scams, a</w:t>
      </w:r>
      <w:r w:rsidRPr="006C2C4C" w:rsidDel="00181D8D">
        <w:t xml:space="preserve"> 2016 report from the Attorney-General's department </w:t>
      </w:r>
      <w:hyperlink r:id="rId32" w:tgtFrame="_self" w:history="1">
        <w:r w:rsidRPr="006C2C4C" w:rsidDel="00181D8D">
          <w:rPr>
            <w:rStyle w:val="Hyperlink"/>
          </w:rPr>
          <w:t>estimated identity crime cost Australians $2.2 billion per year</w:t>
        </w:r>
      </w:hyperlink>
      <w:r w:rsidRPr="006C2C4C" w:rsidDel="00181D8D">
        <w:t>.</w:t>
      </w:r>
      <w:r w:rsidRPr="006C2C4C" w:rsidDel="00181D8D">
        <w:rPr>
          <w:vertAlign w:val="superscript"/>
        </w:rPr>
        <w:footnoteReference w:id="19"/>
      </w:r>
      <w:r w:rsidRPr="006C2C4C">
        <w:t xml:space="preserve"> The implications of fraudulent number porting for mobile customers can be very serious and include but are not limited to financial loss, negative credit ratings, psychological harm and emotional stress. Once a customer has had their identity stolen, it can be very difficult and time-consuming to reverse the effects.</w:t>
      </w:r>
    </w:p>
    <w:p w14:paraId="309BB40E" w14:textId="31A972FC" w:rsidR="00DA2DE6" w:rsidRDefault="00DA2DE6" w:rsidP="00DA2DE6">
      <w:pPr>
        <w:pStyle w:val="Paragraph"/>
      </w:pPr>
      <w:r w:rsidRPr="00DA2DE6">
        <w:t xml:space="preserve">The telecommunications industry </w:t>
      </w:r>
      <w:r>
        <w:t xml:space="preserve">initially categorised mobile porting fraud </w:t>
      </w:r>
      <w:r w:rsidRPr="00DA2DE6">
        <w:t xml:space="preserve">as a financial services industry issue for relying on mobile phones for two-factor authentication. </w:t>
      </w:r>
      <w:r w:rsidR="00956AFC">
        <w:t>However</w:t>
      </w:r>
      <w:r w:rsidR="00402518">
        <w:t>,</w:t>
      </w:r>
      <w:r>
        <w:t xml:space="preserve"> </w:t>
      </w:r>
      <w:r w:rsidRPr="00453A6F">
        <w:t xml:space="preserve">major services such as </w:t>
      </w:r>
      <w:r w:rsidR="00105FE6">
        <w:t xml:space="preserve">social media, email providers and government agencies </w:t>
      </w:r>
      <w:r w:rsidR="00402518">
        <w:t xml:space="preserve">now </w:t>
      </w:r>
      <w:r w:rsidRPr="00453A6F">
        <w:t>us</w:t>
      </w:r>
      <w:r w:rsidR="00402518">
        <w:t>e</w:t>
      </w:r>
      <w:r w:rsidRPr="00453A6F">
        <w:t xml:space="preserve"> mobile </w:t>
      </w:r>
      <w:r w:rsidR="008111FF">
        <w:t>phones</w:t>
      </w:r>
      <w:r w:rsidR="008111FF" w:rsidRPr="00453A6F">
        <w:t xml:space="preserve"> </w:t>
      </w:r>
      <w:r w:rsidRPr="00453A6F">
        <w:t>for password resets</w:t>
      </w:r>
      <w:r w:rsidR="00976023">
        <w:t xml:space="preserve"> and </w:t>
      </w:r>
      <w:r w:rsidR="00A963BE">
        <w:t>multi-factor identification</w:t>
      </w:r>
      <w:r w:rsidR="00BC073E">
        <w:t xml:space="preserve"> purposes</w:t>
      </w:r>
      <w:r>
        <w:t>.</w:t>
      </w:r>
    </w:p>
    <w:p w14:paraId="550161E0" w14:textId="519D8709" w:rsidR="00EF2F18" w:rsidRDefault="003F2E19" w:rsidP="00E04615">
      <w:pPr>
        <w:pStyle w:val="Paragraph"/>
      </w:pPr>
      <w:r>
        <w:t>A</w:t>
      </w:r>
      <w:r w:rsidR="00FD51A6" w:rsidRPr="00FD51A6">
        <w:t xml:space="preserve">ll three carriers and most major resellers </w:t>
      </w:r>
      <w:r w:rsidR="00655BC7">
        <w:t>representin</w:t>
      </w:r>
      <w:r w:rsidR="00655BC7" w:rsidRPr="00FD51A6">
        <w:t xml:space="preserve">g </w:t>
      </w:r>
      <w:r w:rsidR="00FD51A6" w:rsidRPr="00FD51A6">
        <w:t>approximately 97 per cent service coverage or over 34 million mobile services</w:t>
      </w:r>
      <w:r w:rsidR="00FD51A6" w:rsidRPr="00FD51A6">
        <w:rPr>
          <w:vertAlign w:val="superscript"/>
        </w:rPr>
        <w:footnoteReference w:id="20"/>
      </w:r>
      <w:r w:rsidR="00FD51A6" w:rsidRPr="00FD51A6">
        <w:t xml:space="preserve"> ha</w:t>
      </w:r>
      <w:r>
        <w:t>ve</w:t>
      </w:r>
      <w:r w:rsidR="00FD51A6" w:rsidRPr="00FD51A6">
        <w:t xml:space="preserve"> (or </w:t>
      </w:r>
      <w:r w:rsidR="0008057F">
        <w:t>have</w:t>
      </w:r>
      <w:r w:rsidRPr="00FD51A6">
        <w:t xml:space="preserve"> </w:t>
      </w:r>
      <w:r w:rsidR="00731A19">
        <w:t xml:space="preserve">committed to </w:t>
      </w:r>
      <w:r w:rsidR="00A752C1">
        <w:lastRenderedPageBreak/>
        <w:t>implementing</w:t>
      </w:r>
      <w:r w:rsidR="00FD51A6">
        <w:t>)</w:t>
      </w:r>
      <w:r w:rsidR="00DA2DE6">
        <w:t xml:space="preserve"> </w:t>
      </w:r>
      <w:r>
        <w:t>verification</w:t>
      </w:r>
      <w:r w:rsidR="00E04615">
        <w:t xml:space="preserve"> measures to address unauthorised ports</w:t>
      </w:r>
      <w:r w:rsidR="00A729DB">
        <w:t xml:space="preserve"> in</w:t>
      </w:r>
      <w:r w:rsidR="005D7B31">
        <w:t>-</w:t>
      </w:r>
      <w:r w:rsidR="00A729DB">
        <w:t>line with the industry guideline</w:t>
      </w:r>
      <w:r>
        <w:t>.</w:t>
      </w:r>
    </w:p>
    <w:p w14:paraId="711C4460" w14:textId="7D5C74D3" w:rsidR="00E04615" w:rsidRPr="0019604D" w:rsidRDefault="00CB1F01" w:rsidP="00E04615">
      <w:pPr>
        <w:pStyle w:val="Paragraph"/>
      </w:pPr>
      <w:r>
        <w:t xml:space="preserve">However, </w:t>
      </w:r>
      <w:r w:rsidR="00E04615" w:rsidRPr="00E04615">
        <w:t>not all mobile carriage service providers</w:t>
      </w:r>
      <w:r w:rsidR="0019604D">
        <w:t xml:space="preserve"> </w:t>
      </w:r>
      <w:r w:rsidR="008111FF">
        <w:t xml:space="preserve">have acted to </w:t>
      </w:r>
      <w:r w:rsidR="00CE0170">
        <w:t xml:space="preserve">adopt processes to </w:t>
      </w:r>
      <w:r w:rsidR="008111FF">
        <w:t>confirm</w:t>
      </w:r>
      <w:r w:rsidR="0019604D" w:rsidRPr="0019604D">
        <w:t xml:space="preserve"> </w:t>
      </w:r>
      <w:r w:rsidR="0019604D">
        <w:t xml:space="preserve">that </w:t>
      </w:r>
      <w:r w:rsidR="0019604D" w:rsidRPr="0019604D">
        <w:t xml:space="preserve">the person </w:t>
      </w:r>
      <w:r w:rsidR="008111FF">
        <w:t xml:space="preserve">initiating the </w:t>
      </w:r>
      <w:r w:rsidR="0019604D" w:rsidRPr="0019604D">
        <w:t>port</w:t>
      </w:r>
      <w:r w:rsidR="008111FF">
        <w:t xml:space="preserve"> holds the rights of use to</w:t>
      </w:r>
      <w:r w:rsidR="008111FF" w:rsidRPr="0019604D">
        <w:t xml:space="preserve"> </w:t>
      </w:r>
      <w:r w:rsidR="0019604D" w:rsidRPr="0019604D">
        <w:t>that number.</w:t>
      </w:r>
      <w:r w:rsidR="0019604D">
        <w:t xml:space="preserve"> And that gap </w:t>
      </w:r>
      <w:r w:rsidR="00CB0C90">
        <w:t>in</w:t>
      </w:r>
      <w:r w:rsidR="00FD51A6">
        <w:t xml:space="preserve"> protections creates an opportunity for </w:t>
      </w:r>
      <w:r w:rsidR="00CB0C90">
        <w:t>scammers</w:t>
      </w:r>
      <w:r w:rsidR="003C7FA4">
        <w:t>,</w:t>
      </w:r>
      <w:r w:rsidR="00CB0C90">
        <w:t xml:space="preserve"> </w:t>
      </w:r>
      <w:r w:rsidR="003F2E19">
        <w:t xml:space="preserve">which </w:t>
      </w:r>
      <w:r w:rsidR="00FD51A6">
        <w:t>has consequences</w:t>
      </w:r>
      <w:r w:rsidR="0019604D">
        <w:t xml:space="preserve"> for all customers.</w:t>
      </w:r>
    </w:p>
    <w:p w14:paraId="22810504" w14:textId="382F1E25" w:rsidR="00DA2DE6" w:rsidRDefault="00E04615" w:rsidP="00DA2DE6">
      <w:pPr>
        <w:pStyle w:val="Paragraph"/>
      </w:pPr>
      <w:r>
        <w:t xml:space="preserve">More can be done </w:t>
      </w:r>
      <w:r w:rsidR="00DA2DE6">
        <w:t>to address the problem of mobile porting fraud—but government action will provide the strongest incentive to achieve the best outcome for the Australian community.</w:t>
      </w:r>
    </w:p>
    <w:p w14:paraId="389A8C34" w14:textId="0525D106" w:rsidR="00B7733E" w:rsidRDefault="0090517E" w:rsidP="00E21161">
      <w:pPr>
        <w:pStyle w:val="Heading1"/>
      </w:pPr>
      <w:bookmarkStart w:id="52" w:name="_Toc32833688"/>
      <w:bookmarkStart w:id="53" w:name="_Toc32833743"/>
      <w:bookmarkStart w:id="54" w:name="_Toc32833816"/>
      <w:bookmarkStart w:id="55" w:name="_Toc33176371"/>
      <w:bookmarkStart w:id="56" w:name="_Hlk29987546"/>
      <w:r>
        <w:lastRenderedPageBreak/>
        <w:t>What policy options have been considered?</w:t>
      </w:r>
      <w:bookmarkEnd w:id="52"/>
      <w:bookmarkEnd w:id="53"/>
      <w:bookmarkEnd w:id="54"/>
      <w:bookmarkEnd w:id="55"/>
    </w:p>
    <w:p w14:paraId="4A8DC14E" w14:textId="237FA771" w:rsidR="0090517E" w:rsidRDefault="00B7733E" w:rsidP="00E37267">
      <w:pPr>
        <w:pStyle w:val="Paragraph"/>
      </w:pPr>
      <w:r>
        <w:t xml:space="preserve">The policy options below are consistent with regulatory options available in accordance with the </w:t>
      </w:r>
      <w:r w:rsidR="00BF30F1" w:rsidRPr="00BF30F1">
        <w:t>Act</w:t>
      </w:r>
      <w:r w:rsidRPr="00BF30F1">
        <w:t>.</w:t>
      </w:r>
    </w:p>
    <w:p w14:paraId="2E59C17C" w14:textId="6590CFFE" w:rsidR="0090517E" w:rsidRDefault="00E21161" w:rsidP="000A53D8">
      <w:pPr>
        <w:pStyle w:val="Heading2"/>
        <w:numPr>
          <w:ilvl w:val="0"/>
          <w:numId w:val="13"/>
        </w:numPr>
      </w:pPr>
      <w:bookmarkStart w:id="57" w:name="_Toc32833689"/>
      <w:bookmarkStart w:id="58" w:name="_Toc32833744"/>
      <w:bookmarkStart w:id="59" w:name="_Toc32833817"/>
      <w:bookmarkStart w:id="60" w:name="_Toc33176372"/>
      <w:r>
        <w:t xml:space="preserve">Status </w:t>
      </w:r>
      <w:r w:rsidR="00D018E1">
        <w:t>q</w:t>
      </w:r>
      <w:r>
        <w:t>uo</w:t>
      </w:r>
      <w:bookmarkEnd w:id="57"/>
      <w:bookmarkEnd w:id="58"/>
      <w:bookmarkEnd w:id="59"/>
      <w:bookmarkEnd w:id="60"/>
      <w:r>
        <w:t xml:space="preserve"> </w:t>
      </w:r>
    </w:p>
    <w:p w14:paraId="685CC61B" w14:textId="7093B70D" w:rsidR="00A97E37" w:rsidRDefault="00A97E37" w:rsidP="00E21161">
      <w:pPr>
        <w:pStyle w:val="Paragraph"/>
      </w:pPr>
      <w:r>
        <w:t xml:space="preserve">The </w:t>
      </w:r>
      <w:r w:rsidR="004A14E0">
        <w:t xml:space="preserve">government </w:t>
      </w:r>
      <w:r>
        <w:t>maintain</w:t>
      </w:r>
      <w:r w:rsidR="003B087D">
        <w:t>s</w:t>
      </w:r>
      <w:r>
        <w:t xml:space="preserve"> the status</w:t>
      </w:r>
      <w:r w:rsidR="005C38BF">
        <w:t xml:space="preserve"> </w:t>
      </w:r>
      <w:r>
        <w:t>quo</w:t>
      </w:r>
      <w:r w:rsidR="00613376">
        <w:t xml:space="preserve"> by not introducing any new form of regulation</w:t>
      </w:r>
      <w:r w:rsidR="004A14E0">
        <w:t>—</w:t>
      </w:r>
      <w:bookmarkStart w:id="61" w:name="_Hlk31624105"/>
      <w:r w:rsidR="004A14E0">
        <w:t xml:space="preserve">existing legislation and </w:t>
      </w:r>
      <w:r w:rsidR="006A70C0">
        <w:t xml:space="preserve">regulations </w:t>
      </w:r>
      <w:r w:rsidR="004A14E0">
        <w:t>(</w:t>
      </w:r>
      <w:r w:rsidR="00A322A3">
        <w:t xml:space="preserve">including the Numbering Plan, Mobile Number Portability Code, </w:t>
      </w:r>
      <w:r w:rsidR="00257535">
        <w:t>and Customer Authorisation guidelines</w:t>
      </w:r>
      <w:r w:rsidR="004A14E0">
        <w:t>)</w:t>
      </w:r>
      <w:r w:rsidR="00257535">
        <w:t xml:space="preserve"> remain</w:t>
      </w:r>
      <w:r w:rsidR="009953AD">
        <w:t>.</w:t>
      </w:r>
      <w:r w:rsidR="009E2017">
        <w:t xml:space="preserve"> </w:t>
      </w:r>
    </w:p>
    <w:bookmarkEnd w:id="61"/>
    <w:p w14:paraId="5DBCD182" w14:textId="14DFDE67" w:rsidR="00F31198" w:rsidRDefault="00F31198" w:rsidP="00F31198">
      <w:pPr>
        <w:pStyle w:val="Paragraph"/>
      </w:pPr>
      <w:r>
        <w:t>Communications Alliance encourag</w:t>
      </w:r>
      <w:r w:rsidR="00AE58BA">
        <w:t>es</w:t>
      </w:r>
      <w:r>
        <w:t xml:space="preserve"> mobile service providers to act in accordance with the industry guidance note, </w:t>
      </w:r>
      <w:r w:rsidR="00465582">
        <w:t>with</w:t>
      </w:r>
      <w:r>
        <w:t xml:space="preserve"> members decid</w:t>
      </w:r>
      <w:r w:rsidR="00465582">
        <w:t>ing</w:t>
      </w:r>
      <w:r>
        <w:t xml:space="preserve"> whether to </w:t>
      </w:r>
      <w:r w:rsidR="00AE58BA">
        <w:t>comply</w:t>
      </w:r>
      <w:r>
        <w:t xml:space="preserve">. Those who </w:t>
      </w:r>
      <w:r w:rsidR="00A243CF">
        <w:t>use pre-port verification</w:t>
      </w:r>
      <w:r>
        <w:t xml:space="preserve"> processes apply them in addition to existing </w:t>
      </w:r>
      <w:r w:rsidR="004A14E0">
        <w:t xml:space="preserve">laws and </w:t>
      </w:r>
      <w:r>
        <w:t>regulations to help them to prevent instances of mobile porting fraud.</w:t>
      </w:r>
      <w:r w:rsidR="0067501D">
        <w:t xml:space="preserve"> </w:t>
      </w:r>
    </w:p>
    <w:p w14:paraId="7BB250D4" w14:textId="3C37F28A" w:rsidR="00F31198" w:rsidRPr="00420994" w:rsidRDefault="00F31198" w:rsidP="00F31198">
      <w:pPr>
        <w:pStyle w:val="Paragraph"/>
      </w:pPr>
      <w:r w:rsidRPr="00420994">
        <w:t xml:space="preserve">The guidance note addresses mobile porting fraud by adding an additional verification step prior to a gaining mobile carriage service provider accepting a port. </w:t>
      </w:r>
      <w:r w:rsidR="00AE58BA" w:rsidRPr="00420994">
        <w:t>The verification step involves</w:t>
      </w:r>
      <w:r w:rsidR="00E64EFA">
        <w:t>, for example,</w:t>
      </w:r>
      <w:r w:rsidR="00AE58BA" w:rsidRPr="00420994">
        <w:t xml:space="preserve"> the use of multi-factor identification (for example</w:t>
      </w:r>
      <w:r w:rsidR="003C7FA4">
        <w:t>,</w:t>
      </w:r>
      <w:r w:rsidR="00AE58BA" w:rsidRPr="00420994">
        <w:t xml:space="preserve"> use of an SMS code) to check the identity of a person requesting a port.</w:t>
      </w:r>
      <w:r w:rsidR="00AE58BA">
        <w:t xml:space="preserve"> </w:t>
      </w:r>
      <w:r>
        <w:t xml:space="preserve">This assists mobile carriage service providers to </w:t>
      </w:r>
      <w:r w:rsidR="00AE58BA">
        <w:t>ensure the rights</w:t>
      </w:r>
      <w:r w:rsidR="00A12458">
        <w:t>-</w:t>
      </w:r>
      <w:r w:rsidR="00AE58BA">
        <w:t>of</w:t>
      </w:r>
      <w:r w:rsidR="00A12458">
        <w:t>-</w:t>
      </w:r>
      <w:r w:rsidR="00AE58BA">
        <w:t>use holder has requested the port</w:t>
      </w:r>
      <w:r w:rsidR="001658A3">
        <w:t>.</w:t>
      </w:r>
    </w:p>
    <w:p w14:paraId="5AAA1D28" w14:textId="54817D86" w:rsidR="007E191B" w:rsidRPr="00613376" w:rsidRDefault="007E191B" w:rsidP="007E191B">
      <w:pPr>
        <w:pStyle w:val="Paragraph"/>
      </w:pPr>
      <w:r>
        <w:rPr>
          <w:rFonts w:cs="Times New Roman"/>
        </w:rPr>
        <w:t xml:space="preserve">The </w:t>
      </w:r>
      <w:bookmarkStart w:id="62" w:name="_Hlk31707350"/>
      <w:r>
        <w:rPr>
          <w:rFonts w:cs="Times New Roman"/>
        </w:rPr>
        <w:t xml:space="preserve">ACMA </w:t>
      </w:r>
      <w:r w:rsidRPr="00094690">
        <w:t>has no compliance or enforcement powers</w:t>
      </w:r>
      <w:r>
        <w:t xml:space="preserve"> </w:t>
      </w:r>
      <w:r w:rsidR="00F85C79">
        <w:t xml:space="preserve">in relation </w:t>
      </w:r>
      <w:r>
        <w:t>to the guidance note</w:t>
      </w:r>
      <w:bookmarkEnd w:id="62"/>
      <w:r>
        <w:t>.</w:t>
      </w:r>
    </w:p>
    <w:p w14:paraId="3D075B66" w14:textId="6684DE51" w:rsidR="00E21161" w:rsidRDefault="001D322D" w:rsidP="000A53D8">
      <w:pPr>
        <w:pStyle w:val="Heading2"/>
        <w:numPr>
          <w:ilvl w:val="0"/>
          <w:numId w:val="13"/>
        </w:numPr>
      </w:pPr>
      <w:bookmarkStart w:id="63" w:name="_Toc32833690"/>
      <w:bookmarkStart w:id="64" w:name="_Toc32833745"/>
      <w:bookmarkStart w:id="65" w:name="_Toc32833818"/>
      <w:bookmarkStart w:id="66" w:name="_Toc33176373"/>
      <w:r>
        <w:t>Education campaign</w:t>
      </w:r>
      <w:bookmarkEnd w:id="63"/>
      <w:bookmarkEnd w:id="64"/>
      <w:bookmarkEnd w:id="65"/>
      <w:bookmarkEnd w:id="66"/>
    </w:p>
    <w:p w14:paraId="55D434E7" w14:textId="5B8970EC" w:rsidR="00230D23" w:rsidRDefault="005D40AC" w:rsidP="00E21161">
      <w:pPr>
        <w:pStyle w:val="Paragraph"/>
      </w:pPr>
      <w:r>
        <w:t xml:space="preserve">The </w:t>
      </w:r>
      <w:r w:rsidR="004A14E0">
        <w:t xml:space="preserve">government </w:t>
      </w:r>
      <w:r w:rsidR="008E6FB4">
        <w:t xml:space="preserve">does not introduce any new form of regulation </w:t>
      </w:r>
      <w:r w:rsidR="00DF7981">
        <w:t xml:space="preserve">but conducts a targeted </w:t>
      </w:r>
      <w:r w:rsidR="003C7FA4">
        <w:t xml:space="preserve">public </w:t>
      </w:r>
      <w:r w:rsidR="00DF7981" w:rsidRPr="00DF7981">
        <w:t>education campaign</w:t>
      </w:r>
      <w:r w:rsidR="00DF7981">
        <w:t xml:space="preserve"> </w:t>
      </w:r>
      <w:r w:rsidR="001D322D">
        <w:t xml:space="preserve">that provides clear </w:t>
      </w:r>
      <w:r w:rsidR="006A678F">
        <w:t xml:space="preserve">and accessible </w:t>
      </w:r>
      <w:r w:rsidR="001D322D">
        <w:t xml:space="preserve">information </w:t>
      </w:r>
      <w:r w:rsidR="0086541A">
        <w:t>about mobile porting fraud</w:t>
      </w:r>
      <w:r w:rsidR="00DF7981">
        <w:t>.</w:t>
      </w:r>
      <w:r w:rsidR="00AE58BA">
        <w:t xml:space="preserve"> </w:t>
      </w:r>
      <w:r w:rsidR="004A14E0">
        <w:t>The e</w:t>
      </w:r>
      <w:r w:rsidR="00AE58BA">
        <w:t xml:space="preserve">xisting </w:t>
      </w:r>
      <w:r w:rsidR="004A14E0">
        <w:t xml:space="preserve">legislation and </w:t>
      </w:r>
      <w:r w:rsidR="00AE58BA">
        <w:t xml:space="preserve">regulations </w:t>
      </w:r>
      <w:r w:rsidR="004A14E0">
        <w:t>(</w:t>
      </w:r>
      <w:r w:rsidR="00AE58BA">
        <w:t>including the Numbering Plan, Mobile Number Portability Code, and Customer Authorisation guidelines</w:t>
      </w:r>
      <w:r w:rsidR="004A14E0">
        <w:t>)</w:t>
      </w:r>
      <w:r w:rsidR="00AE58BA">
        <w:t xml:space="preserve"> remain.</w:t>
      </w:r>
    </w:p>
    <w:p w14:paraId="6B88A5C7" w14:textId="08C093C8" w:rsidR="00230D23" w:rsidRDefault="00230D23" w:rsidP="00B665B3">
      <w:pPr>
        <w:pStyle w:val="Paragraphbeforelist"/>
      </w:pPr>
      <w:r>
        <w:t>The campaign is run by the ACMA in accordance with usual practice. This involves:</w:t>
      </w:r>
    </w:p>
    <w:p w14:paraId="1870A928" w14:textId="2A3045E1" w:rsidR="00230D23" w:rsidRDefault="002A7568" w:rsidP="000A53D8">
      <w:pPr>
        <w:pStyle w:val="Bulletlevel1"/>
        <w:numPr>
          <w:ilvl w:val="0"/>
          <w:numId w:val="18"/>
        </w:numPr>
      </w:pPr>
      <w:r>
        <w:t>i</w:t>
      </w:r>
      <w:r w:rsidR="00A60986">
        <w:t>nformation on the ACMA website</w:t>
      </w:r>
    </w:p>
    <w:p w14:paraId="7819F5D0" w14:textId="2EDA26BE" w:rsidR="00AA6123" w:rsidRDefault="002A7568" w:rsidP="000A53D8">
      <w:pPr>
        <w:pStyle w:val="Bulletlevel1"/>
        <w:numPr>
          <w:ilvl w:val="0"/>
          <w:numId w:val="18"/>
        </w:numPr>
      </w:pPr>
      <w:r>
        <w:t xml:space="preserve">a </w:t>
      </w:r>
      <w:r w:rsidR="00AA6123">
        <w:t>short</w:t>
      </w:r>
      <w:r>
        <w:t>,</w:t>
      </w:r>
      <w:r w:rsidR="00AA6123">
        <w:t xml:space="preserve"> engaging video </w:t>
      </w:r>
      <w:r w:rsidR="00605F86">
        <w:t>p</w:t>
      </w:r>
      <w:r w:rsidR="00AA6123">
        <w:t xml:space="preserve">roviding customers with relevant information in an accessible format, with a </w:t>
      </w:r>
      <w:r w:rsidR="003C7FA4">
        <w:t xml:space="preserve">production </w:t>
      </w:r>
      <w:r w:rsidR="00AA6123">
        <w:t>budget of $10</w:t>
      </w:r>
      <w:r w:rsidR="003C7FA4">
        <w:t>,000</w:t>
      </w:r>
      <w:r>
        <w:t xml:space="preserve"> to </w:t>
      </w:r>
      <w:r w:rsidR="003C7FA4">
        <w:t>$</w:t>
      </w:r>
      <w:r w:rsidR="00AA6123">
        <w:t>15</w:t>
      </w:r>
      <w:r w:rsidR="003C7FA4">
        <w:t>,000</w:t>
      </w:r>
    </w:p>
    <w:p w14:paraId="3FC799F0" w14:textId="3D2E0658" w:rsidR="00A60986" w:rsidRDefault="002A7568" w:rsidP="000A53D8">
      <w:pPr>
        <w:pStyle w:val="Bulletlevel1"/>
        <w:numPr>
          <w:ilvl w:val="0"/>
          <w:numId w:val="18"/>
        </w:numPr>
      </w:pPr>
      <w:r>
        <w:t xml:space="preserve">targeted ads on </w:t>
      </w:r>
      <w:r w:rsidR="00A60986">
        <w:t>Facebook to reach consumers (an image, post content and link back to the ACMA website)</w:t>
      </w:r>
    </w:p>
    <w:p w14:paraId="429A4736" w14:textId="74EE31DD" w:rsidR="00A60986" w:rsidRDefault="002A7568" w:rsidP="000A53D8">
      <w:pPr>
        <w:pStyle w:val="Bulletlevel1"/>
        <w:numPr>
          <w:ilvl w:val="0"/>
          <w:numId w:val="18"/>
        </w:numPr>
      </w:pPr>
      <w:r>
        <w:t xml:space="preserve">use </w:t>
      </w:r>
      <w:r w:rsidR="00A60986">
        <w:t xml:space="preserve">of LinkedIn to </w:t>
      </w:r>
      <w:r w:rsidR="003C7FA4">
        <w:t xml:space="preserve">reach </w:t>
      </w:r>
      <w:r w:rsidR="00055079">
        <w:t xml:space="preserve">mobile </w:t>
      </w:r>
      <w:r w:rsidR="00776ECD">
        <w:t>carriage service provider</w:t>
      </w:r>
      <w:r w:rsidR="00055079">
        <w:t>s</w:t>
      </w:r>
    </w:p>
    <w:p w14:paraId="0F124F51" w14:textId="7AC94A8F" w:rsidR="00A60986" w:rsidRDefault="002A7568" w:rsidP="000A53D8">
      <w:pPr>
        <w:pStyle w:val="Bulletlevel1"/>
        <w:numPr>
          <w:ilvl w:val="0"/>
          <w:numId w:val="18"/>
        </w:numPr>
      </w:pPr>
      <w:r>
        <w:t xml:space="preserve">use </w:t>
      </w:r>
      <w:r w:rsidR="00A60986">
        <w:t>of direct email lists and line area industry contacts</w:t>
      </w:r>
    </w:p>
    <w:p w14:paraId="3D227FAE" w14:textId="0E16478B" w:rsidR="00AA6123" w:rsidRDefault="002A7568" w:rsidP="000A53D8">
      <w:pPr>
        <w:pStyle w:val="Bulletlevel1last"/>
        <w:numPr>
          <w:ilvl w:val="0"/>
          <w:numId w:val="18"/>
        </w:numPr>
      </w:pPr>
      <w:r>
        <w:t xml:space="preserve">a </w:t>
      </w:r>
      <w:r w:rsidR="00A60986">
        <w:t xml:space="preserve">budget of </w:t>
      </w:r>
      <w:r w:rsidR="003C7FA4">
        <w:t>$5,000 to $10,000</w:t>
      </w:r>
      <w:r w:rsidR="00A60986">
        <w:t xml:space="preserve"> to boost impressions </w:t>
      </w:r>
      <w:r w:rsidR="00AA6123">
        <w:t>of</w:t>
      </w:r>
      <w:r w:rsidR="00A60986">
        <w:t xml:space="preserve"> the social media </w:t>
      </w:r>
      <w:r w:rsidR="00AA6123">
        <w:t>content</w:t>
      </w:r>
      <w:r w:rsidR="00A60986">
        <w:t>.</w:t>
      </w:r>
    </w:p>
    <w:p w14:paraId="59FEE192" w14:textId="4CAD0669" w:rsidR="00C0499A" w:rsidRDefault="0086541A" w:rsidP="00E21161">
      <w:pPr>
        <w:pStyle w:val="Paragraph"/>
      </w:pPr>
      <w:r>
        <w:t>Campaign</w:t>
      </w:r>
      <w:r w:rsidR="00943CD5">
        <w:t xml:space="preserve"> activities are</w:t>
      </w:r>
      <w:r w:rsidR="00F35A2D">
        <w:t xml:space="preserve"> also</w:t>
      </w:r>
      <w:r w:rsidR="00943CD5">
        <w:t xml:space="preserve"> undertaken in collaboration with other government agencies, consumer advocacy groups and mobile carriage service providers</w:t>
      </w:r>
      <w:r>
        <w:t xml:space="preserve">. </w:t>
      </w:r>
      <w:r w:rsidR="00C77129">
        <w:t>These</w:t>
      </w:r>
      <w:r w:rsidR="009231AC">
        <w:t xml:space="preserve"> include </w:t>
      </w:r>
      <w:r w:rsidR="00AA0659">
        <w:t xml:space="preserve">using </w:t>
      </w:r>
      <w:r w:rsidR="006A678F">
        <w:t>website</w:t>
      </w:r>
      <w:r>
        <w:t>s</w:t>
      </w:r>
      <w:r w:rsidR="006A678F">
        <w:t xml:space="preserve"> and social media</w:t>
      </w:r>
      <w:r>
        <w:t xml:space="preserve"> channels</w:t>
      </w:r>
      <w:r w:rsidR="003C7FA4">
        <w:t>,</w:t>
      </w:r>
      <w:r w:rsidR="006A678F">
        <w:t xml:space="preserve"> issuing emails/letters</w:t>
      </w:r>
      <w:r w:rsidR="00892CF6">
        <w:t>/bulletins</w:t>
      </w:r>
      <w:r w:rsidR="003C7FA4">
        <w:t>,</w:t>
      </w:r>
      <w:r>
        <w:t xml:space="preserve"> </w:t>
      </w:r>
      <w:r w:rsidR="00892CF6">
        <w:t xml:space="preserve">and </w:t>
      </w:r>
      <w:r>
        <w:t>stakeholder and community forums</w:t>
      </w:r>
      <w:r w:rsidR="00892CF6">
        <w:t>.</w:t>
      </w:r>
      <w:r>
        <w:t xml:space="preserve"> </w:t>
      </w:r>
      <w:r w:rsidR="007E191B">
        <w:t>Information is provided to</w:t>
      </w:r>
      <w:r w:rsidR="007E191B" w:rsidRPr="007E191B">
        <w:t xml:space="preserve"> culturally</w:t>
      </w:r>
      <w:r w:rsidR="00655BC7">
        <w:t xml:space="preserve"> and</w:t>
      </w:r>
      <w:r w:rsidR="007E191B" w:rsidRPr="007E191B">
        <w:t xml:space="preserve"> linguistic</w:t>
      </w:r>
      <w:r w:rsidR="00655BC7">
        <w:t>ally</w:t>
      </w:r>
      <w:r w:rsidR="007E191B" w:rsidRPr="007E191B">
        <w:t xml:space="preserve"> diverse communities and vulnerable customers.</w:t>
      </w:r>
    </w:p>
    <w:p w14:paraId="02ABE691" w14:textId="1261B855" w:rsidR="00943CD5" w:rsidRDefault="00943CD5" w:rsidP="00E21161">
      <w:pPr>
        <w:pStyle w:val="Paragraph"/>
      </w:pPr>
      <w:r>
        <w:lastRenderedPageBreak/>
        <w:t>Engagement a</w:t>
      </w:r>
      <w:r w:rsidR="00DF7981">
        <w:t xml:space="preserve">ctivities inform </w:t>
      </w:r>
      <w:r w:rsidR="00F85C79">
        <w:t xml:space="preserve">mobile </w:t>
      </w:r>
      <w:r w:rsidR="00DF7981">
        <w:t xml:space="preserve">customers about the </w:t>
      </w:r>
      <w:r w:rsidR="001D322D">
        <w:t xml:space="preserve">risks of mobile porting fraud and </w:t>
      </w:r>
      <w:r>
        <w:t xml:space="preserve">the use of </w:t>
      </w:r>
      <w:r w:rsidR="00DF7981">
        <w:t xml:space="preserve">additional </w:t>
      </w:r>
      <w:r w:rsidR="001D322D">
        <w:t>verification measures</w:t>
      </w:r>
      <w:r>
        <w:t>—</w:t>
      </w:r>
      <w:r w:rsidRPr="006B09E4">
        <w:t>without providing scammers with too much information about how to circumnavigate the verification process</w:t>
      </w:r>
      <w:r>
        <w:t>.</w:t>
      </w:r>
    </w:p>
    <w:p w14:paraId="49D8AF1A" w14:textId="5D57AEA5" w:rsidR="001D322D" w:rsidRDefault="00943CD5" w:rsidP="00E21161">
      <w:pPr>
        <w:pStyle w:val="Paragraph"/>
      </w:pPr>
      <w:r>
        <w:t>The campaign</w:t>
      </w:r>
      <w:r w:rsidR="006B09E4">
        <w:t xml:space="preserve"> </w:t>
      </w:r>
      <w:r>
        <w:t>advises</w:t>
      </w:r>
      <w:r w:rsidR="001D322D">
        <w:t xml:space="preserve"> customers </w:t>
      </w:r>
      <w:r w:rsidR="00235393">
        <w:t>how to improve their mobile phone security</w:t>
      </w:r>
      <w:r w:rsidR="003C7FA4">
        <w:t xml:space="preserve"> and </w:t>
      </w:r>
      <w:r w:rsidR="00671C54" w:rsidRPr="00671C54">
        <w:t xml:space="preserve">what to do if </w:t>
      </w:r>
      <w:r w:rsidR="00831E9B">
        <w:t xml:space="preserve">they become </w:t>
      </w:r>
      <w:r w:rsidR="00671C54" w:rsidRPr="00671C54">
        <w:t xml:space="preserve">a victim of mobile porting </w:t>
      </w:r>
      <w:r w:rsidR="00B665B3" w:rsidRPr="00671C54">
        <w:t>fraud</w:t>
      </w:r>
      <w:r w:rsidR="00B665B3">
        <w:t xml:space="preserve"> and</w:t>
      </w:r>
      <w:r>
        <w:t xml:space="preserve"> </w:t>
      </w:r>
      <w:r w:rsidR="0086541A">
        <w:t>empower</w:t>
      </w:r>
      <w:r w:rsidR="00235393">
        <w:t>s</w:t>
      </w:r>
      <w:r w:rsidR="0086541A">
        <w:t xml:space="preserve"> them to make </w:t>
      </w:r>
      <w:r w:rsidR="00F85C79">
        <w:t xml:space="preserve">informed </w:t>
      </w:r>
      <w:r w:rsidR="0086541A">
        <w:t xml:space="preserve">choices </w:t>
      </w:r>
      <w:r w:rsidR="00F85C79">
        <w:t xml:space="preserve">about </w:t>
      </w:r>
      <w:r w:rsidR="0086541A">
        <w:t xml:space="preserve">providers through </w:t>
      </w:r>
      <w:r>
        <w:t>general consumer awareness tools and templates</w:t>
      </w:r>
      <w:r w:rsidR="001D322D">
        <w:t xml:space="preserve">. </w:t>
      </w:r>
      <w:r w:rsidR="006150FD">
        <w:t xml:space="preserve">However, some members </w:t>
      </w:r>
      <w:r w:rsidR="006150FD" w:rsidRPr="006150FD">
        <w:t xml:space="preserve">of the community may still not receive </w:t>
      </w:r>
      <w:r w:rsidR="002D06BD">
        <w:t>n</w:t>
      </w:r>
      <w:r w:rsidR="006150FD" w:rsidRPr="006150FD">
        <w:t>or understand the campaign information.</w:t>
      </w:r>
    </w:p>
    <w:p w14:paraId="17ABFD99" w14:textId="725C74FE" w:rsidR="00230D23" w:rsidRPr="009231AC" w:rsidRDefault="009231AC" w:rsidP="009231AC">
      <w:pPr>
        <w:pStyle w:val="Paragraph"/>
      </w:pPr>
      <w:r w:rsidRPr="009231AC">
        <w:t xml:space="preserve">Information </w:t>
      </w:r>
      <w:r w:rsidR="00C77129">
        <w:t>is</w:t>
      </w:r>
      <w:r w:rsidRPr="009231AC">
        <w:t xml:space="preserve"> provided to</w:t>
      </w:r>
      <w:r w:rsidR="00F35A2D">
        <w:t xml:space="preserve"> mobile carriage service providers to</w:t>
      </w:r>
      <w:r w:rsidRPr="009231AC">
        <w:t xml:space="preserve"> </w:t>
      </w:r>
      <w:r w:rsidR="005973D3">
        <w:t xml:space="preserve">further </w:t>
      </w:r>
      <w:r w:rsidRPr="009231AC">
        <w:t xml:space="preserve">support </w:t>
      </w:r>
      <w:r w:rsidR="00F35A2D">
        <w:t>their</w:t>
      </w:r>
      <w:r w:rsidR="00F35A2D" w:rsidRPr="009231AC">
        <w:t xml:space="preserve"> </w:t>
      </w:r>
      <w:r w:rsidRPr="009231AC">
        <w:t>understanding of the current regulatory framework so</w:t>
      </w:r>
      <w:r w:rsidR="00964E36" w:rsidRPr="009231AC">
        <w:t xml:space="preserve"> </w:t>
      </w:r>
      <w:r w:rsidR="00BB6D45">
        <w:t>they</w:t>
      </w:r>
      <w:r w:rsidR="00E306AA">
        <w:t xml:space="preserve"> </w:t>
      </w:r>
      <w:r w:rsidRPr="009231AC">
        <w:t xml:space="preserve">act in a manner that will minimise the need for </w:t>
      </w:r>
      <w:r w:rsidR="000D7F96">
        <w:t>regulatory</w:t>
      </w:r>
      <w:r w:rsidRPr="009231AC">
        <w:t xml:space="preserve"> intervention.</w:t>
      </w:r>
      <w:r w:rsidR="001B67F0" w:rsidRPr="001B67F0">
        <w:t xml:space="preserve"> </w:t>
      </w:r>
      <w:r w:rsidR="0055412B">
        <w:t>Better i</w:t>
      </w:r>
      <w:r w:rsidR="001B67F0">
        <w:t>nformed customers pressure mobile carriage service providers to go beyond existing regulation and voluntarily implement additional protections.</w:t>
      </w:r>
    </w:p>
    <w:p w14:paraId="0D48C90A" w14:textId="46387B8C" w:rsidR="00E306AA" w:rsidRDefault="00943CD5" w:rsidP="0087639E">
      <w:pPr>
        <w:pStyle w:val="Paragraph"/>
      </w:pPr>
      <w:r w:rsidRPr="00420994">
        <w:t xml:space="preserve">The </w:t>
      </w:r>
      <w:r w:rsidR="0086541A">
        <w:t xml:space="preserve">industry </w:t>
      </w:r>
      <w:r w:rsidRPr="00420994">
        <w:t xml:space="preserve">guidance note </w:t>
      </w:r>
      <w:r w:rsidR="0087639E">
        <w:t>remains in accordance with the status quo</w:t>
      </w:r>
      <w:r w:rsidR="00B257FC">
        <w:t xml:space="preserve">; however, education </w:t>
      </w:r>
      <w:r w:rsidR="00E306AA">
        <w:t>campaign</w:t>
      </w:r>
      <w:r w:rsidR="00B257FC">
        <w:t xml:space="preserve"> activities</w:t>
      </w:r>
      <w:r w:rsidR="00E306AA">
        <w:t xml:space="preserve"> incentivise voluntary compliance</w:t>
      </w:r>
      <w:r w:rsidR="00F35A2D">
        <w:t xml:space="preserve">. </w:t>
      </w:r>
      <w:r w:rsidR="00BC1160">
        <w:t>More m</w:t>
      </w:r>
      <w:r w:rsidR="00F35A2D">
        <w:t>obile carriage service providers view voluntary additional protections as part of their duty to do their best to prevent</w:t>
      </w:r>
      <w:r w:rsidR="00BC1160">
        <w:t xml:space="preserve"> their networks or facilities being used in commission of criminal activity.</w:t>
      </w:r>
    </w:p>
    <w:p w14:paraId="4E2154A3" w14:textId="77777777" w:rsidR="00E55DD4" w:rsidRPr="00613376" w:rsidRDefault="00E55DD4" w:rsidP="00E55DD4">
      <w:pPr>
        <w:pStyle w:val="Paragraph"/>
      </w:pPr>
      <w:r>
        <w:rPr>
          <w:rFonts w:cs="Times New Roman"/>
        </w:rPr>
        <w:t xml:space="preserve">The ACMA </w:t>
      </w:r>
      <w:r w:rsidRPr="00094690">
        <w:t>has no compliance or enforcement powers</w:t>
      </w:r>
      <w:r>
        <w:t xml:space="preserve"> in relation to the guidance note.</w:t>
      </w:r>
    </w:p>
    <w:p w14:paraId="54305FA5" w14:textId="28F43CC9" w:rsidR="00E21161" w:rsidRDefault="00E21161" w:rsidP="000A53D8">
      <w:pPr>
        <w:pStyle w:val="Heading2"/>
        <w:numPr>
          <w:ilvl w:val="0"/>
          <w:numId w:val="13"/>
        </w:numPr>
      </w:pPr>
      <w:bookmarkStart w:id="67" w:name="_Toc32833691"/>
      <w:bookmarkStart w:id="68" w:name="_Toc32833746"/>
      <w:bookmarkStart w:id="69" w:name="_Toc32833819"/>
      <w:bookmarkStart w:id="70" w:name="_Toc33176374"/>
      <w:r>
        <w:t xml:space="preserve">Industry </w:t>
      </w:r>
      <w:r w:rsidR="00D64C84">
        <w:t>s</w:t>
      </w:r>
      <w:r>
        <w:t>tandard (s125AA Tel</w:t>
      </w:r>
      <w:r w:rsidR="00DF0DA0">
        <w:t>e</w:t>
      </w:r>
      <w:r>
        <w:t>co</w:t>
      </w:r>
      <w:r w:rsidR="00DF0DA0">
        <w:t>mmunications</w:t>
      </w:r>
      <w:r>
        <w:t xml:space="preserve"> Act)</w:t>
      </w:r>
      <w:bookmarkEnd w:id="67"/>
      <w:bookmarkEnd w:id="68"/>
      <w:bookmarkEnd w:id="69"/>
      <w:bookmarkEnd w:id="70"/>
    </w:p>
    <w:p w14:paraId="42BAE9B5" w14:textId="31B2351D" w:rsidR="00907AC2" w:rsidRDefault="006337FF">
      <w:pPr>
        <w:pStyle w:val="Paragraph"/>
      </w:pPr>
      <w:r>
        <w:t>The</w:t>
      </w:r>
      <w:r w:rsidR="00DF0DA0">
        <w:t xml:space="preserve"> </w:t>
      </w:r>
      <w:r w:rsidR="00164A2F">
        <w:t xml:space="preserve">government </w:t>
      </w:r>
      <w:r w:rsidR="00907AC2">
        <w:t xml:space="preserve">introduces </w:t>
      </w:r>
      <w:r w:rsidR="00571A78">
        <w:t xml:space="preserve">new regulation in the form of </w:t>
      </w:r>
      <w:r w:rsidR="00907AC2">
        <w:t xml:space="preserve">an </w:t>
      </w:r>
      <w:r w:rsidR="00C632FF">
        <w:t xml:space="preserve">industry </w:t>
      </w:r>
      <w:r w:rsidR="00DF0DA0">
        <w:t>standard</w:t>
      </w:r>
      <w:r w:rsidR="005A134C" w:rsidRPr="005A134C">
        <w:rPr>
          <w:rFonts w:cs="Times New Roman"/>
          <w:szCs w:val="20"/>
        </w:rPr>
        <w:t xml:space="preserve"> </w:t>
      </w:r>
      <w:r w:rsidR="00571A78">
        <w:rPr>
          <w:rFonts w:cs="Times New Roman"/>
          <w:szCs w:val="20"/>
        </w:rPr>
        <w:t xml:space="preserve">that </w:t>
      </w:r>
      <w:r w:rsidR="005A134C" w:rsidRPr="005A134C">
        <w:t>requir</w:t>
      </w:r>
      <w:r w:rsidR="00571A78">
        <w:t>e</w:t>
      </w:r>
      <w:r w:rsidR="00AB5143">
        <w:t xml:space="preserve">s </w:t>
      </w:r>
      <w:r w:rsidR="005A134C" w:rsidRPr="005A134C">
        <w:t xml:space="preserve">gaining mobile carriage service providers to implement additional identity verification before </w:t>
      </w:r>
      <w:r w:rsidR="009D749A">
        <w:t>they</w:t>
      </w:r>
      <w:r w:rsidR="005A134C" w:rsidRPr="005A134C">
        <w:t xml:space="preserve"> port a mobile service number</w:t>
      </w:r>
      <w:r w:rsidR="005A134C">
        <w:t>.</w:t>
      </w:r>
    </w:p>
    <w:p w14:paraId="2599A187" w14:textId="6001294F" w:rsidR="00AB43AE" w:rsidRPr="004303DD" w:rsidRDefault="008D4093" w:rsidP="004303DD">
      <w:pPr>
        <w:pStyle w:val="Paragraph"/>
      </w:pPr>
      <w:r>
        <w:t xml:space="preserve">The ACMA </w:t>
      </w:r>
      <w:r w:rsidRPr="007046C0">
        <w:rPr>
          <w:i/>
        </w:rPr>
        <w:t>may</w:t>
      </w:r>
      <w:r>
        <w:t xml:space="preserve"> determine an industry standard under Part 6 of the Act</w:t>
      </w:r>
      <w:r w:rsidR="00DA54F8">
        <w:t xml:space="preserve"> in limited circumstances. This includes</w:t>
      </w:r>
      <w:r w:rsidR="007046C0">
        <w:t xml:space="preserve"> where </w:t>
      </w:r>
      <w:r w:rsidR="00B315A1">
        <w:t>it has</w:t>
      </w:r>
      <w:r w:rsidR="007046C0">
        <w:t xml:space="preserve"> requested</w:t>
      </w:r>
      <w:r w:rsidR="00DA54F8">
        <w:t xml:space="preserve"> an</w:t>
      </w:r>
      <w:r w:rsidR="007046C0">
        <w:t xml:space="preserve"> industry</w:t>
      </w:r>
      <w:r w:rsidR="00DA54F8">
        <w:t xml:space="preserve"> body</w:t>
      </w:r>
      <w:r w:rsidR="007046C0">
        <w:t xml:space="preserve"> </w:t>
      </w:r>
      <w:r w:rsidR="00B315A1">
        <w:t xml:space="preserve">to </w:t>
      </w:r>
      <w:r w:rsidR="007046C0">
        <w:t>make a</w:t>
      </w:r>
      <w:r w:rsidR="00DA54F8">
        <w:t>n industry c</w:t>
      </w:r>
      <w:r w:rsidR="007046C0">
        <w:t>ode and they have not</w:t>
      </w:r>
      <w:r w:rsidR="00DA54F8">
        <w:t xml:space="preserve"> (section 123)</w:t>
      </w:r>
      <w:r w:rsidR="007046C0">
        <w:t xml:space="preserve">, </w:t>
      </w:r>
      <w:r w:rsidR="00AB43AE">
        <w:t>if there is no industry body or association form</w:t>
      </w:r>
      <w:r w:rsidR="00FD1224">
        <w:t>ed</w:t>
      </w:r>
      <w:r w:rsidR="00AB43AE">
        <w:t xml:space="preserve"> (section 124) or </w:t>
      </w:r>
      <w:r w:rsidR="007046C0">
        <w:t xml:space="preserve">an industry code </w:t>
      </w:r>
      <w:r w:rsidR="009D749A">
        <w:t xml:space="preserve">that </w:t>
      </w:r>
      <w:r w:rsidR="00AB43AE">
        <w:t xml:space="preserve">has been made </w:t>
      </w:r>
      <w:r w:rsidR="00DA54F8">
        <w:t>is deficient (section 125)</w:t>
      </w:r>
      <w:r w:rsidR="007046C0">
        <w:t>.</w:t>
      </w:r>
      <w:r w:rsidR="00AB43AE">
        <w:t xml:space="preserve"> An industry code is drafted by a representative industry body and registered by the ACMA.</w:t>
      </w:r>
    </w:p>
    <w:p w14:paraId="3D90F234" w14:textId="314A3766" w:rsidR="00126A85" w:rsidRPr="004303DD" w:rsidRDefault="00DA54F8" w:rsidP="004303DD">
      <w:pPr>
        <w:pStyle w:val="Paragraph"/>
      </w:pPr>
      <w:r>
        <w:t>T</w:t>
      </w:r>
      <w:r w:rsidRPr="001C6174">
        <w:t xml:space="preserve">he ACMA </w:t>
      </w:r>
      <w:r w:rsidRPr="007046C0">
        <w:rPr>
          <w:i/>
        </w:rPr>
        <w:t xml:space="preserve">must </w:t>
      </w:r>
      <w:r w:rsidRPr="001C6174">
        <w:t>determine an industry standard if directed by the Minister</w:t>
      </w:r>
      <w:r w:rsidR="00126A85">
        <w:t xml:space="preserve"> i</w:t>
      </w:r>
      <w:r w:rsidR="00126A85" w:rsidRPr="001C6174">
        <w:t>n accordance with section 125AA</w:t>
      </w:r>
      <w:r w:rsidR="00DB6135">
        <w:t xml:space="preserve"> of the Act.</w:t>
      </w:r>
    </w:p>
    <w:p w14:paraId="55B83528" w14:textId="00272531" w:rsidR="008D4093" w:rsidRPr="004303DD" w:rsidRDefault="008D4093" w:rsidP="004303DD">
      <w:pPr>
        <w:pStyle w:val="Paragraph"/>
      </w:pPr>
      <w:r>
        <w:t xml:space="preserve">An industry standard applies to </w:t>
      </w:r>
      <w:r w:rsidRPr="00F768CB">
        <w:t>participants in a particular section of the telecommunications industry; and</w:t>
      </w:r>
      <w:r>
        <w:t xml:space="preserve"> </w:t>
      </w:r>
      <w:r w:rsidRPr="00F768CB">
        <w:t>deals with one or more matters relating to the telecommunications activities of those participants.</w:t>
      </w:r>
    </w:p>
    <w:p w14:paraId="1BC9B60E" w14:textId="403F4DB4" w:rsidR="00126A85" w:rsidRDefault="008D4093" w:rsidP="004303DD">
      <w:pPr>
        <w:pStyle w:val="Paragraph"/>
      </w:pPr>
      <w:r>
        <w:t>Compliance with an industry standard is mandatory.</w:t>
      </w:r>
    </w:p>
    <w:p w14:paraId="4478950E" w14:textId="4AB4CA36" w:rsidR="008D4093" w:rsidRPr="00CE6C47" w:rsidRDefault="008D4093" w:rsidP="004303DD">
      <w:pPr>
        <w:pStyle w:val="Paragraph"/>
      </w:pPr>
      <w:r w:rsidRPr="00CE6C47">
        <w:t>An industry standard is an enforceable legislative instrument with enforcement options under the</w:t>
      </w:r>
      <w:r w:rsidRPr="00CE6C47">
        <w:rPr>
          <w:i/>
        </w:rPr>
        <w:t xml:space="preserve"> </w:t>
      </w:r>
      <w:r w:rsidRPr="00CE6C47">
        <w:t>Act including formal warnings and civil penalties of up to $250,000.</w:t>
      </w:r>
    </w:p>
    <w:p w14:paraId="61CEB753" w14:textId="2A01E0CD" w:rsidR="00CE3275" w:rsidRPr="005F3A73" w:rsidRDefault="00C632FF" w:rsidP="004303DD">
      <w:pPr>
        <w:pStyle w:val="Paragraph"/>
      </w:pPr>
      <w:r w:rsidRPr="00C632FF">
        <w:rPr>
          <w:szCs w:val="20"/>
        </w:rPr>
        <w:t xml:space="preserve">The industry standard option </w:t>
      </w:r>
      <w:r w:rsidR="009A607E">
        <w:rPr>
          <w:szCs w:val="20"/>
        </w:rPr>
        <w:t>sets out</w:t>
      </w:r>
      <w:r w:rsidR="009A607E" w:rsidRPr="00C632FF">
        <w:rPr>
          <w:szCs w:val="20"/>
        </w:rPr>
        <w:t xml:space="preserve"> </w:t>
      </w:r>
      <w:r w:rsidRPr="00C632FF">
        <w:rPr>
          <w:szCs w:val="20"/>
        </w:rPr>
        <w:t>pre-port identity verification processes for gaining providers to use prior to accepting the port of a number</w:t>
      </w:r>
      <w:r w:rsidR="003C64F8">
        <w:rPr>
          <w:szCs w:val="20"/>
        </w:rPr>
        <w:t xml:space="preserve">. </w:t>
      </w:r>
      <w:r w:rsidRPr="00C632FF">
        <w:rPr>
          <w:szCs w:val="20"/>
        </w:rPr>
        <w:t xml:space="preserve">It is new </w:t>
      </w:r>
      <w:r w:rsidR="0013131C" w:rsidRPr="00C632FF">
        <w:rPr>
          <w:szCs w:val="20"/>
        </w:rPr>
        <w:t>regulation</w:t>
      </w:r>
      <w:r w:rsidR="0013131C">
        <w:rPr>
          <w:szCs w:val="20"/>
        </w:rPr>
        <w:t xml:space="preserve"> and</w:t>
      </w:r>
      <w:r w:rsidRPr="00C632FF">
        <w:rPr>
          <w:szCs w:val="20"/>
        </w:rPr>
        <w:t xml:space="preserve"> </w:t>
      </w:r>
      <w:r w:rsidR="00CA3969">
        <w:rPr>
          <w:szCs w:val="20"/>
        </w:rPr>
        <w:t xml:space="preserve">is </w:t>
      </w:r>
      <w:r w:rsidRPr="00C632FF">
        <w:rPr>
          <w:szCs w:val="20"/>
        </w:rPr>
        <w:t xml:space="preserve">additional to </w:t>
      </w:r>
      <w:r w:rsidR="0013131C">
        <w:rPr>
          <w:szCs w:val="20"/>
        </w:rPr>
        <w:t xml:space="preserve">the </w:t>
      </w:r>
      <w:r w:rsidR="00964E36">
        <w:rPr>
          <w:szCs w:val="20"/>
        </w:rPr>
        <w:t>identity verification requirements in the</w:t>
      </w:r>
      <w:r w:rsidR="00964E36" w:rsidRPr="00C632FF">
        <w:rPr>
          <w:szCs w:val="20"/>
        </w:rPr>
        <w:t xml:space="preserve"> </w:t>
      </w:r>
      <w:r w:rsidRPr="00C632FF">
        <w:rPr>
          <w:szCs w:val="20"/>
        </w:rPr>
        <w:t>mobile number portability regulatory framework</w:t>
      </w:r>
      <w:r w:rsidR="00164A2F">
        <w:t xml:space="preserve">, </w:t>
      </w:r>
      <w:r w:rsidR="001403E9">
        <w:t>including the Numbering Plan, Mobile Number Portability Code, and Customer Authorisation guidelines.</w:t>
      </w:r>
    </w:p>
    <w:p w14:paraId="7E5B1432" w14:textId="16DDEF7A" w:rsidR="00CF3899" w:rsidRDefault="00571A78" w:rsidP="00571A78">
      <w:pPr>
        <w:pStyle w:val="Paragraph"/>
        <w:rPr>
          <w:szCs w:val="20"/>
        </w:rPr>
      </w:pPr>
      <w:r>
        <w:rPr>
          <w:szCs w:val="20"/>
        </w:rPr>
        <w:t xml:space="preserve">The standard </w:t>
      </w:r>
      <w:r w:rsidR="00C76C2B">
        <w:rPr>
          <w:szCs w:val="20"/>
        </w:rPr>
        <w:t xml:space="preserve">draws </w:t>
      </w:r>
      <w:r w:rsidR="007576F6">
        <w:rPr>
          <w:szCs w:val="20"/>
        </w:rPr>
        <w:t>on</w:t>
      </w:r>
      <w:r w:rsidR="003D01CE">
        <w:rPr>
          <w:szCs w:val="20"/>
        </w:rPr>
        <w:t xml:space="preserve"> identity </w:t>
      </w:r>
      <w:r w:rsidRPr="00571A78">
        <w:rPr>
          <w:szCs w:val="20"/>
        </w:rPr>
        <w:t xml:space="preserve">verification </w:t>
      </w:r>
      <w:r w:rsidR="003D01CE">
        <w:rPr>
          <w:szCs w:val="20"/>
        </w:rPr>
        <w:t>processes</w:t>
      </w:r>
      <w:r w:rsidR="003D01CE" w:rsidRPr="00571A78">
        <w:rPr>
          <w:szCs w:val="20"/>
        </w:rPr>
        <w:t xml:space="preserve"> </w:t>
      </w:r>
      <w:r>
        <w:rPr>
          <w:szCs w:val="20"/>
        </w:rPr>
        <w:t>already voluntarily adopted by some of the industry</w:t>
      </w:r>
      <w:r w:rsidR="00617941">
        <w:rPr>
          <w:szCs w:val="20"/>
        </w:rPr>
        <w:t xml:space="preserve">. </w:t>
      </w:r>
      <w:r w:rsidR="0027795E">
        <w:rPr>
          <w:szCs w:val="20"/>
        </w:rPr>
        <w:t>These p</w:t>
      </w:r>
      <w:r w:rsidRPr="00571A78">
        <w:rPr>
          <w:szCs w:val="20"/>
        </w:rPr>
        <w:t>rocesses are practicable, robust, technically feasible and do not impose undue financial and administrative costs.</w:t>
      </w:r>
      <w:r w:rsidR="005114B9">
        <w:rPr>
          <w:szCs w:val="20"/>
        </w:rPr>
        <w:t xml:space="preserve"> The verification methods are </w:t>
      </w:r>
      <w:r w:rsidR="005114B9">
        <w:rPr>
          <w:szCs w:val="20"/>
        </w:rPr>
        <w:lastRenderedPageBreak/>
        <w:t>used to match the identity of the person requesting a port with the rights</w:t>
      </w:r>
      <w:r w:rsidR="00A12458">
        <w:rPr>
          <w:szCs w:val="20"/>
        </w:rPr>
        <w:t>-</w:t>
      </w:r>
      <w:r w:rsidR="005114B9">
        <w:rPr>
          <w:szCs w:val="20"/>
        </w:rPr>
        <w:t>of</w:t>
      </w:r>
      <w:r w:rsidR="00A12458">
        <w:rPr>
          <w:szCs w:val="20"/>
        </w:rPr>
        <w:t>-</w:t>
      </w:r>
      <w:r w:rsidR="005114B9">
        <w:rPr>
          <w:szCs w:val="20"/>
        </w:rPr>
        <w:t xml:space="preserve">use holder </w:t>
      </w:r>
      <w:r w:rsidR="003D01CE">
        <w:rPr>
          <w:szCs w:val="20"/>
        </w:rPr>
        <w:t xml:space="preserve">of </w:t>
      </w:r>
      <w:r w:rsidR="005114B9">
        <w:rPr>
          <w:szCs w:val="20"/>
        </w:rPr>
        <w:t>the mobile number to be ported.</w:t>
      </w:r>
    </w:p>
    <w:p w14:paraId="63511EB9" w14:textId="61E4B86F" w:rsidR="00277E2A" w:rsidRPr="00665EBC" w:rsidRDefault="00392D78" w:rsidP="004613F2">
      <w:pPr>
        <w:pStyle w:val="Paragraphbeforelist"/>
      </w:pPr>
      <w:r w:rsidRPr="00665EBC">
        <w:t xml:space="preserve">These </w:t>
      </w:r>
      <w:r w:rsidR="001C5E83">
        <w:t xml:space="preserve">identity </w:t>
      </w:r>
      <w:r w:rsidR="000E52A1" w:rsidRPr="00665EBC">
        <w:t>verification</w:t>
      </w:r>
      <w:r w:rsidR="00DF0DA0" w:rsidRPr="00665EBC">
        <w:t xml:space="preserve"> </w:t>
      </w:r>
      <w:r w:rsidRPr="00665EBC">
        <w:t xml:space="preserve">methods </w:t>
      </w:r>
      <w:r w:rsidR="006C36E1" w:rsidRPr="00665EBC">
        <w:t>include</w:t>
      </w:r>
      <w:r w:rsidR="00277E2A" w:rsidRPr="00665EBC">
        <w:t>:</w:t>
      </w:r>
    </w:p>
    <w:p w14:paraId="6FD360AB" w14:textId="72246D50" w:rsidR="00277E2A" w:rsidRPr="00665EBC" w:rsidRDefault="00C66B11" w:rsidP="004613F2">
      <w:pPr>
        <w:pStyle w:val="Paragraph"/>
        <w:numPr>
          <w:ilvl w:val="0"/>
          <w:numId w:val="19"/>
        </w:numPr>
        <w:spacing w:after="80"/>
      </w:pPr>
      <w:r w:rsidRPr="00665EBC">
        <w:t>use of biometric data</w:t>
      </w:r>
    </w:p>
    <w:p w14:paraId="46F31ADE" w14:textId="702021B6" w:rsidR="00277E2A" w:rsidRPr="00665EBC" w:rsidRDefault="00455829" w:rsidP="004613F2">
      <w:pPr>
        <w:pStyle w:val="Paragraph"/>
        <w:numPr>
          <w:ilvl w:val="0"/>
          <w:numId w:val="19"/>
        </w:numPr>
        <w:spacing w:after="80"/>
      </w:pPr>
      <w:r w:rsidRPr="00665EBC">
        <w:t xml:space="preserve">multi-factor </w:t>
      </w:r>
      <w:r w:rsidR="00C66B11" w:rsidRPr="00665EBC">
        <w:t>authentication</w:t>
      </w:r>
    </w:p>
    <w:p w14:paraId="5B66B196" w14:textId="69C751C7" w:rsidR="00A20733" w:rsidRPr="006C36E1" w:rsidRDefault="00455829" w:rsidP="000A53D8">
      <w:pPr>
        <w:pStyle w:val="Paragraph"/>
        <w:numPr>
          <w:ilvl w:val="0"/>
          <w:numId w:val="19"/>
        </w:numPr>
      </w:pPr>
      <w:r w:rsidRPr="00665EBC">
        <w:t>use of documents</w:t>
      </w:r>
      <w:r w:rsidR="006C36E1" w:rsidRPr="00665EBC">
        <w:t xml:space="preserve"> (</w:t>
      </w:r>
      <w:r w:rsidR="00012F81">
        <w:t>for</w:t>
      </w:r>
      <w:r w:rsidR="00812BD7">
        <w:t xml:space="preserve"> </w:t>
      </w:r>
      <w:r w:rsidR="006C36E1" w:rsidRPr="00665EBC">
        <w:t>limited circumstances)</w:t>
      </w:r>
      <w:r w:rsidRPr="00665EBC">
        <w:t>.</w:t>
      </w:r>
    </w:p>
    <w:p w14:paraId="21FDBDDB" w14:textId="33090A45" w:rsidR="003C64F8" w:rsidRDefault="003C64F8">
      <w:pPr>
        <w:pStyle w:val="Paragraph"/>
      </w:pPr>
      <w:r>
        <w:t xml:space="preserve">The industry standard </w:t>
      </w:r>
      <w:r w:rsidR="00E457C7">
        <w:t xml:space="preserve">requires </w:t>
      </w:r>
      <w:r w:rsidR="005973D3">
        <w:t xml:space="preserve">mobile carriage service providers </w:t>
      </w:r>
      <w:r w:rsidR="00E457C7">
        <w:t xml:space="preserve">to publish customer information </w:t>
      </w:r>
      <w:r w:rsidR="005973D3">
        <w:t xml:space="preserve">on their </w:t>
      </w:r>
      <w:r w:rsidR="00E457C7">
        <w:t>website.</w:t>
      </w:r>
    </w:p>
    <w:p w14:paraId="77B988AE" w14:textId="11918416" w:rsidR="008B3025" w:rsidRDefault="00F7008B" w:rsidP="00665EBC">
      <w:pPr>
        <w:pStyle w:val="Paragraph"/>
      </w:pPr>
      <w:r>
        <w:t>This option allows for m</w:t>
      </w:r>
      <w:r w:rsidR="00417549">
        <w:t>andatory</w:t>
      </w:r>
      <w:r w:rsidR="003C64F8">
        <w:t>,</w:t>
      </w:r>
      <w:r w:rsidR="00417549">
        <w:t xml:space="preserve"> </w:t>
      </w:r>
      <w:r w:rsidR="003C64F8">
        <w:t>enforceable</w:t>
      </w:r>
      <w:r w:rsidR="00417549">
        <w:t xml:space="preserve"> </w:t>
      </w:r>
      <w:r w:rsidR="003C64F8">
        <w:t xml:space="preserve">provisions </w:t>
      </w:r>
      <w:r>
        <w:t xml:space="preserve">that </w:t>
      </w:r>
      <w:r w:rsidR="00205FBF">
        <w:t xml:space="preserve">will provide </w:t>
      </w:r>
      <w:r w:rsidR="004B0FF9">
        <w:t>community</w:t>
      </w:r>
      <w:r w:rsidR="00417549" w:rsidRPr="00417549">
        <w:t xml:space="preserve">-wide </w:t>
      </w:r>
      <w:r w:rsidR="00205FBF">
        <w:t>protection against mobile porting fraud.</w:t>
      </w:r>
      <w:bookmarkEnd w:id="56"/>
    </w:p>
    <w:p w14:paraId="108E1F23" w14:textId="7584515B" w:rsidR="00E40440" w:rsidRDefault="00E40440" w:rsidP="00E40440">
      <w:pPr>
        <w:pStyle w:val="Heading1"/>
      </w:pPr>
      <w:bookmarkStart w:id="71" w:name="_Toc32833692"/>
      <w:bookmarkStart w:id="72" w:name="_Toc32833747"/>
      <w:bookmarkStart w:id="73" w:name="_Toc32833820"/>
      <w:bookmarkStart w:id="74" w:name="_Toc33176375"/>
      <w:bookmarkStart w:id="75" w:name="_Hlk30167323"/>
      <w:r>
        <w:lastRenderedPageBreak/>
        <w:t>What is the likely net benefit of each option?</w:t>
      </w:r>
      <w:bookmarkEnd w:id="71"/>
      <w:bookmarkEnd w:id="72"/>
      <w:bookmarkEnd w:id="73"/>
      <w:bookmarkEnd w:id="74"/>
    </w:p>
    <w:p w14:paraId="53C6F0B6" w14:textId="45B4C598" w:rsidR="00E40440" w:rsidRDefault="00E40440" w:rsidP="000A53D8">
      <w:pPr>
        <w:pStyle w:val="Heading2"/>
        <w:numPr>
          <w:ilvl w:val="0"/>
          <w:numId w:val="14"/>
        </w:numPr>
        <w:ind w:left="0" w:firstLine="0"/>
      </w:pPr>
      <w:bookmarkStart w:id="76" w:name="_Toc32833693"/>
      <w:bookmarkStart w:id="77" w:name="_Toc32833748"/>
      <w:bookmarkStart w:id="78" w:name="_Toc32833821"/>
      <w:bookmarkStart w:id="79" w:name="_Toc33176376"/>
      <w:r>
        <w:t xml:space="preserve">Status </w:t>
      </w:r>
      <w:r w:rsidR="00920CCA">
        <w:t>quo</w:t>
      </w:r>
      <w:bookmarkEnd w:id="76"/>
      <w:bookmarkEnd w:id="77"/>
      <w:bookmarkEnd w:id="78"/>
      <w:bookmarkEnd w:id="79"/>
    </w:p>
    <w:p w14:paraId="21DAC1D6" w14:textId="6BF0E0F8" w:rsidR="00E40440" w:rsidRDefault="00E40440" w:rsidP="00E40440">
      <w:pPr>
        <w:pStyle w:val="Heading3"/>
      </w:pPr>
      <w:bookmarkStart w:id="80" w:name="_Toc32833694"/>
      <w:bookmarkStart w:id="81" w:name="_Toc33176377"/>
      <w:r>
        <w:t>Benefits</w:t>
      </w:r>
      <w:bookmarkEnd w:id="80"/>
      <w:bookmarkEnd w:id="81"/>
    </w:p>
    <w:p w14:paraId="208DB9E9" w14:textId="76D8094A" w:rsidR="00FD6CE9" w:rsidRDefault="0030741B" w:rsidP="000F5C8E">
      <w:pPr>
        <w:pStyle w:val="Paragraph"/>
        <w:rPr>
          <w:rFonts w:eastAsiaTheme="minorHAnsi"/>
          <w:lang w:eastAsia="en-US"/>
        </w:rPr>
      </w:pPr>
      <w:r>
        <w:rPr>
          <w:rFonts w:eastAsiaTheme="minorHAnsi"/>
          <w:lang w:eastAsia="en-US"/>
        </w:rPr>
        <w:t>M</w:t>
      </w:r>
      <w:r w:rsidR="00CD0D93">
        <w:rPr>
          <w:rFonts w:eastAsiaTheme="minorHAnsi"/>
          <w:lang w:eastAsia="en-US"/>
        </w:rPr>
        <w:t xml:space="preserve">obile carriage service providers </w:t>
      </w:r>
      <w:r w:rsidR="0018756F">
        <w:rPr>
          <w:rFonts w:eastAsiaTheme="minorHAnsi"/>
          <w:lang w:eastAsia="en-US"/>
        </w:rPr>
        <w:t xml:space="preserve">without </w:t>
      </w:r>
      <w:r w:rsidR="000E1C2B">
        <w:rPr>
          <w:rFonts w:eastAsiaTheme="minorHAnsi"/>
          <w:lang w:eastAsia="en-US"/>
        </w:rPr>
        <w:t>resources</w:t>
      </w:r>
      <w:r w:rsidR="0018756F">
        <w:rPr>
          <w:rFonts w:eastAsiaTheme="minorHAnsi"/>
          <w:lang w:eastAsia="en-US"/>
        </w:rPr>
        <w:t xml:space="preserve"> to implement pre-port verification </w:t>
      </w:r>
      <w:r w:rsidR="00442E18">
        <w:rPr>
          <w:rFonts w:eastAsiaTheme="minorHAnsi"/>
          <w:lang w:eastAsia="en-US"/>
        </w:rPr>
        <w:t>measure</w:t>
      </w:r>
      <w:r>
        <w:rPr>
          <w:rFonts w:eastAsiaTheme="minorHAnsi"/>
          <w:lang w:eastAsia="en-US"/>
        </w:rPr>
        <w:t>s may</w:t>
      </w:r>
      <w:r w:rsidR="006639B6">
        <w:rPr>
          <w:rFonts w:eastAsiaTheme="minorHAnsi"/>
          <w:lang w:eastAsia="en-US"/>
        </w:rPr>
        <w:t xml:space="preserve"> </w:t>
      </w:r>
      <w:r w:rsidR="0018756F">
        <w:rPr>
          <w:rFonts w:eastAsiaTheme="minorHAnsi"/>
          <w:lang w:eastAsia="en-US"/>
        </w:rPr>
        <w:t xml:space="preserve">benefit from </w:t>
      </w:r>
      <w:r w:rsidR="006639B6">
        <w:rPr>
          <w:rFonts w:eastAsiaTheme="minorHAnsi"/>
          <w:lang w:eastAsia="en-US"/>
        </w:rPr>
        <w:t xml:space="preserve">choosing not to </w:t>
      </w:r>
      <w:r w:rsidR="0018756F">
        <w:rPr>
          <w:rFonts w:eastAsiaTheme="minorHAnsi"/>
          <w:lang w:eastAsia="en-US"/>
        </w:rPr>
        <w:t>implement</w:t>
      </w:r>
      <w:r w:rsidR="006639B6">
        <w:rPr>
          <w:rFonts w:eastAsiaTheme="minorHAnsi"/>
          <w:lang w:eastAsia="en-US"/>
        </w:rPr>
        <w:t xml:space="preserve"> any additional verification methods as set out in the</w:t>
      </w:r>
      <w:r w:rsidR="006639B6" w:rsidRPr="006639B6">
        <w:rPr>
          <w:rFonts w:eastAsiaTheme="minorHAnsi"/>
          <w:lang w:eastAsia="en-US"/>
        </w:rPr>
        <w:t xml:space="preserve"> voluntary industry guidance note</w:t>
      </w:r>
      <w:r w:rsidR="006639B6">
        <w:rPr>
          <w:rFonts w:eastAsiaTheme="minorHAnsi"/>
          <w:lang w:eastAsia="en-US"/>
        </w:rPr>
        <w:t>.</w:t>
      </w:r>
    </w:p>
    <w:p w14:paraId="0FFF00EF" w14:textId="208F9582" w:rsidR="000E1C2B" w:rsidRDefault="006639B6" w:rsidP="000F5C8E">
      <w:pPr>
        <w:pStyle w:val="Paragraph"/>
        <w:rPr>
          <w:rFonts w:eastAsiaTheme="minorHAnsi"/>
          <w:lang w:eastAsia="en-US"/>
        </w:rPr>
      </w:pPr>
      <w:r>
        <w:rPr>
          <w:rFonts w:eastAsiaTheme="minorHAnsi"/>
          <w:lang w:eastAsia="en-US"/>
        </w:rPr>
        <w:t>In addition, t</w:t>
      </w:r>
      <w:r w:rsidR="0018756F">
        <w:rPr>
          <w:rFonts w:eastAsiaTheme="minorHAnsi"/>
          <w:lang w:eastAsia="en-US"/>
        </w:rPr>
        <w:t xml:space="preserve">hese same businesses are likely to </w:t>
      </w:r>
      <w:r w:rsidR="00372CFE">
        <w:rPr>
          <w:rFonts w:eastAsiaTheme="minorHAnsi"/>
          <w:lang w:eastAsia="en-US"/>
        </w:rPr>
        <w:t xml:space="preserve">gain a </w:t>
      </w:r>
      <w:r w:rsidR="0018756F">
        <w:rPr>
          <w:rFonts w:eastAsiaTheme="minorHAnsi"/>
          <w:lang w:eastAsia="en-US"/>
        </w:rPr>
        <w:t xml:space="preserve">benefit from the purchase </w:t>
      </w:r>
      <w:r w:rsidR="00B9119E">
        <w:rPr>
          <w:rFonts w:eastAsiaTheme="minorHAnsi"/>
          <w:lang w:eastAsia="en-US"/>
        </w:rPr>
        <w:t xml:space="preserve">of </w:t>
      </w:r>
      <w:r>
        <w:rPr>
          <w:rFonts w:eastAsiaTheme="minorHAnsi"/>
          <w:lang w:eastAsia="en-US"/>
        </w:rPr>
        <w:t xml:space="preserve">their </w:t>
      </w:r>
      <w:r w:rsidR="00B9119E">
        <w:rPr>
          <w:rFonts w:eastAsiaTheme="minorHAnsi"/>
          <w:lang w:eastAsia="en-US"/>
        </w:rPr>
        <w:t>post</w:t>
      </w:r>
      <w:r w:rsidR="009D749A">
        <w:rPr>
          <w:rFonts w:eastAsiaTheme="minorHAnsi"/>
          <w:lang w:eastAsia="en-US"/>
        </w:rPr>
        <w:t>-</w:t>
      </w:r>
      <w:r w:rsidR="00B9119E">
        <w:rPr>
          <w:rFonts w:eastAsiaTheme="minorHAnsi"/>
          <w:lang w:eastAsia="en-US"/>
        </w:rPr>
        <w:t xml:space="preserve"> or pre-paid services by scammers who </w:t>
      </w:r>
      <w:r w:rsidR="000E1C2B">
        <w:rPr>
          <w:rFonts w:eastAsiaTheme="minorHAnsi"/>
          <w:lang w:eastAsia="en-US"/>
        </w:rPr>
        <w:t xml:space="preserve">can </w:t>
      </w:r>
      <w:r>
        <w:rPr>
          <w:rFonts w:eastAsiaTheme="minorHAnsi"/>
          <w:lang w:eastAsia="en-US"/>
        </w:rPr>
        <w:t xml:space="preserve">continue to </w:t>
      </w:r>
      <w:r w:rsidR="00B9119E">
        <w:rPr>
          <w:rFonts w:eastAsiaTheme="minorHAnsi"/>
          <w:lang w:eastAsia="en-US"/>
        </w:rPr>
        <w:t xml:space="preserve">port a number to a </w:t>
      </w:r>
      <w:r>
        <w:rPr>
          <w:rFonts w:eastAsiaTheme="minorHAnsi"/>
          <w:lang w:eastAsia="en-US"/>
        </w:rPr>
        <w:t xml:space="preserve">new </w:t>
      </w:r>
      <w:r w:rsidR="00B9119E">
        <w:rPr>
          <w:rFonts w:eastAsiaTheme="minorHAnsi"/>
          <w:lang w:eastAsia="en-US"/>
        </w:rPr>
        <w:t>provider without additional security. This benefit is likely to be limited to the initial cost of purchase</w:t>
      </w:r>
      <w:r>
        <w:rPr>
          <w:rFonts w:eastAsiaTheme="minorHAnsi"/>
          <w:lang w:eastAsia="en-US"/>
        </w:rPr>
        <w:t>—</w:t>
      </w:r>
      <w:r w:rsidR="00B9119E">
        <w:rPr>
          <w:rFonts w:eastAsiaTheme="minorHAnsi"/>
          <w:lang w:eastAsia="en-US"/>
        </w:rPr>
        <w:t>as scammers retain the service only long enough to complete identity theft</w:t>
      </w:r>
      <w:r w:rsidR="009D749A">
        <w:rPr>
          <w:rFonts w:eastAsiaTheme="minorHAnsi"/>
          <w:lang w:eastAsia="en-US"/>
        </w:rPr>
        <w:t xml:space="preserve">, for example, </w:t>
      </w:r>
      <w:r w:rsidR="00B9119E">
        <w:rPr>
          <w:rFonts w:eastAsiaTheme="minorHAnsi"/>
          <w:lang w:eastAsia="en-US"/>
        </w:rPr>
        <w:t xml:space="preserve">the initial purchase of a $10 pre-paid </w:t>
      </w:r>
      <w:r w:rsidR="00DE147C">
        <w:rPr>
          <w:rFonts w:eastAsiaTheme="minorHAnsi"/>
          <w:lang w:eastAsia="en-US"/>
        </w:rPr>
        <w:t>SIM</w:t>
      </w:r>
      <w:r w:rsidR="00B9119E">
        <w:rPr>
          <w:rFonts w:eastAsiaTheme="minorHAnsi"/>
          <w:lang w:eastAsia="en-US"/>
        </w:rPr>
        <w:t>.</w:t>
      </w:r>
    </w:p>
    <w:p w14:paraId="0A709B28" w14:textId="452D4333" w:rsidR="00E40440" w:rsidRPr="009D749A" w:rsidRDefault="00E40440" w:rsidP="009D749A">
      <w:pPr>
        <w:pStyle w:val="Heading3"/>
      </w:pPr>
      <w:bookmarkStart w:id="82" w:name="_Toc32833695"/>
      <w:bookmarkStart w:id="83" w:name="_Toc33176378"/>
      <w:r>
        <w:t>Costs</w:t>
      </w:r>
      <w:bookmarkEnd w:id="82"/>
      <w:bookmarkEnd w:id="83"/>
    </w:p>
    <w:p w14:paraId="399169C5" w14:textId="073BD58D" w:rsidR="004960D4" w:rsidRPr="004960D4" w:rsidRDefault="00F9785B" w:rsidP="00C16A5C">
      <w:pPr>
        <w:pStyle w:val="Heading4"/>
        <w:spacing w:before="0"/>
      </w:pPr>
      <w:r>
        <w:t>Reported i</w:t>
      </w:r>
      <w:r w:rsidR="004960D4" w:rsidRPr="004960D4">
        <w:t>ncidents</w:t>
      </w:r>
    </w:p>
    <w:p w14:paraId="04093BA5" w14:textId="0B92D73B" w:rsidR="00B8671C" w:rsidRDefault="00B8671C" w:rsidP="00D13592">
      <w:pPr>
        <w:pStyle w:val="Paragraph"/>
      </w:pPr>
      <w:r>
        <w:t xml:space="preserve">Mobile porting fraud </w:t>
      </w:r>
      <w:r w:rsidR="00BC1E37">
        <w:t>is</w:t>
      </w:r>
      <w:r>
        <w:t xml:space="preserve"> both under</w:t>
      </w:r>
      <w:r w:rsidR="00DE147C">
        <w:t>-reported</w:t>
      </w:r>
      <w:r>
        <w:t xml:space="preserve"> and inconsistently reported.</w:t>
      </w:r>
      <w:r w:rsidDel="00132435">
        <w:t xml:space="preserve"> </w:t>
      </w:r>
      <w:r>
        <w:t xml:space="preserve">Fraud victims may report to </w:t>
      </w:r>
      <w:r w:rsidR="00993298">
        <w:t>n</w:t>
      </w:r>
      <w:r>
        <w:t>one</w:t>
      </w:r>
      <w:r w:rsidR="00993298">
        <w:t>, one</w:t>
      </w:r>
      <w:r>
        <w:t xml:space="preserve"> or all of the </w:t>
      </w:r>
      <w:r w:rsidR="0053552D">
        <w:t xml:space="preserve">government or consumer </w:t>
      </w:r>
      <w:r>
        <w:t>agencies that take reports—such as the ACMA, Australian Competition and Consumer Commission (ACCC), Telecommunications Industry Ombudsman (TIO), IDCARE and the Australian Cyber Security Centre.</w:t>
      </w:r>
    </w:p>
    <w:p w14:paraId="30ED2DF0" w14:textId="47D509AE" w:rsidR="0057122A" w:rsidRDefault="00D13592" w:rsidP="00D13592">
      <w:pPr>
        <w:pStyle w:val="Paragraph"/>
        <w:rPr>
          <w:rFonts w:eastAsiaTheme="minorHAnsi"/>
          <w:lang w:eastAsia="en-US"/>
        </w:rPr>
      </w:pPr>
      <w:r>
        <w:t>B</w:t>
      </w:r>
      <w:r w:rsidRPr="006039A9">
        <w:t>etween July 2017 and September 2018</w:t>
      </w:r>
      <w:r>
        <w:t>, m</w:t>
      </w:r>
      <w:r w:rsidRPr="006039A9">
        <w:t xml:space="preserve">obile carriers Optus, </w:t>
      </w:r>
      <w:r w:rsidR="00BC1E37" w:rsidRPr="006039A9">
        <w:t xml:space="preserve">Telstra </w:t>
      </w:r>
      <w:r w:rsidRPr="006039A9">
        <w:t xml:space="preserve">and </w:t>
      </w:r>
      <w:r w:rsidR="00BC1E37" w:rsidRPr="006039A9">
        <w:t xml:space="preserve">Vodafone </w:t>
      </w:r>
      <w:r w:rsidRPr="006559F4">
        <w:t>reported 2,585 mobile porting fraud complaints to the ACMA</w:t>
      </w:r>
      <w:r w:rsidR="00021941">
        <w:t>—</w:t>
      </w:r>
      <w:r w:rsidR="002748FA">
        <w:t>approximately</w:t>
      </w:r>
      <w:r w:rsidRPr="006559F4">
        <w:t xml:space="preserve"> 2,068 complaints annually.</w:t>
      </w:r>
    </w:p>
    <w:p w14:paraId="5837EAF0" w14:textId="32DE51BF" w:rsidR="00993298" w:rsidRDefault="00D2221C" w:rsidP="00D13592">
      <w:pPr>
        <w:pStyle w:val="Paragraph"/>
      </w:pPr>
      <w:r>
        <w:rPr>
          <w:rFonts w:eastAsiaTheme="minorHAnsi"/>
          <w:lang w:eastAsia="en-US"/>
        </w:rPr>
        <w:t>During 2017</w:t>
      </w:r>
      <w:r w:rsidR="00F25161">
        <w:rPr>
          <w:rFonts w:eastAsiaTheme="minorHAnsi"/>
          <w:lang w:eastAsia="en-US"/>
        </w:rPr>
        <w:t>–</w:t>
      </w:r>
      <w:r>
        <w:rPr>
          <w:rFonts w:eastAsiaTheme="minorHAnsi"/>
          <w:lang w:eastAsia="en-US"/>
        </w:rPr>
        <w:t>18</w:t>
      </w:r>
      <w:r w:rsidR="00D13592" w:rsidRPr="006559F4">
        <w:rPr>
          <w:rFonts w:eastAsiaTheme="minorHAnsi"/>
          <w:lang w:eastAsia="en-US"/>
        </w:rPr>
        <w:t xml:space="preserve">, </w:t>
      </w:r>
      <w:r w:rsidR="00D13592" w:rsidRPr="006559F4">
        <w:t>IDCARE</w:t>
      </w:r>
      <w:r w:rsidR="00964D98">
        <w:t>’s</w:t>
      </w:r>
      <w:r w:rsidR="00C53D8C">
        <w:rPr>
          <w:rStyle w:val="FootnoteReference"/>
        </w:rPr>
        <w:footnoteReference w:id="21"/>
      </w:r>
      <w:r w:rsidR="00D13592" w:rsidRPr="006559F4">
        <w:t xml:space="preserve"> community crisis support services responded to 1,056 engagements</w:t>
      </w:r>
      <w:r w:rsidR="00D13592">
        <w:t xml:space="preserve"> involving the unauthorised porting of a mobile phone service.</w:t>
      </w:r>
      <w:r w:rsidR="00AD4A65">
        <w:rPr>
          <w:rStyle w:val="FootnoteReference"/>
        </w:rPr>
        <w:footnoteReference w:id="22"/>
      </w:r>
      <w:r w:rsidR="00AD4A65" w:rsidRPr="00AD4A65">
        <w:t xml:space="preserve"> </w:t>
      </w:r>
      <w:r w:rsidR="00AD4A65">
        <w:t>It is unclear how many of these engagements are captured in the complaint numbers reported to the ACMA or if all losses have been accounted for.</w:t>
      </w:r>
    </w:p>
    <w:p w14:paraId="222C541B" w14:textId="0B0E6EB6" w:rsidR="00B32AF0" w:rsidRPr="00B32AF0" w:rsidRDefault="00DA470F" w:rsidP="00B32AF0">
      <w:pPr>
        <w:pStyle w:val="Paragraph"/>
      </w:pPr>
      <w:r>
        <w:t>For consistency</w:t>
      </w:r>
      <w:r w:rsidR="009D749A">
        <w:t>,</w:t>
      </w:r>
      <w:r>
        <w:t xml:space="preserve"> </w:t>
      </w:r>
      <w:r w:rsidRPr="00B32AF0">
        <w:t xml:space="preserve">the figures reported directly to the ACMA by mobile carriage service providers will be used </w:t>
      </w:r>
      <w:r>
        <w:t>to assess</w:t>
      </w:r>
      <w:r w:rsidRPr="00B32AF0">
        <w:t xml:space="preserve"> the impact of mobile porting fraud.</w:t>
      </w:r>
      <w:r>
        <w:t xml:space="preserve"> </w:t>
      </w:r>
      <w:r w:rsidR="00C12426">
        <w:t>Due</w:t>
      </w:r>
      <w:r>
        <w:t xml:space="preserve"> to the inconsistent reporting patterns</w:t>
      </w:r>
      <w:r w:rsidR="003F24BB">
        <w:t>,</w:t>
      </w:r>
      <w:r>
        <w:t xml:space="preserve"> it is likely our estimate will not capture the full scope of the problem. </w:t>
      </w:r>
    </w:p>
    <w:p w14:paraId="01C64B34" w14:textId="3824DF1E" w:rsidR="00F9785B" w:rsidRPr="00600416" w:rsidRDefault="00F9785B" w:rsidP="00F70D5C">
      <w:pPr>
        <w:pStyle w:val="Heading4"/>
      </w:pPr>
      <w:r w:rsidRPr="00600416">
        <w:t>Financial losses</w:t>
      </w:r>
    </w:p>
    <w:p w14:paraId="48C30D33" w14:textId="43B9F669" w:rsidR="005205CA" w:rsidRDefault="001E26CC" w:rsidP="00BF01E4">
      <w:pPr>
        <w:pStyle w:val="Paragraph"/>
        <w:rPr>
          <w:vertAlign w:val="superscript"/>
        </w:rPr>
      </w:pPr>
      <w:r>
        <w:t xml:space="preserve">Mobile carriage service providers do not have information on financial losses attributed to mobile porting fraud; however, IDCARE suggest </w:t>
      </w:r>
      <w:r w:rsidR="00D13592" w:rsidRPr="006039A9">
        <w:t>that one in three victims of mobile porting fraud experienced financial loss</w:t>
      </w:r>
      <w:r w:rsidR="003F24BB">
        <w:t>,</w:t>
      </w:r>
      <w:r w:rsidR="00D13592" w:rsidRPr="006039A9">
        <w:t xml:space="preserve"> with an average loss of $11,368.</w:t>
      </w:r>
      <w:r w:rsidRPr="006039A9">
        <w:rPr>
          <w:vertAlign w:val="superscript"/>
        </w:rPr>
        <w:footnoteReference w:id="23"/>
      </w:r>
      <w:r w:rsidR="001E69B3">
        <w:rPr>
          <w:vertAlign w:val="superscript"/>
        </w:rPr>
        <w:t xml:space="preserve"> </w:t>
      </w:r>
    </w:p>
    <w:p w14:paraId="0EAC5B4D" w14:textId="0E0AA0AF" w:rsidR="00D13592" w:rsidRDefault="00D13592" w:rsidP="00BF01E4">
      <w:pPr>
        <w:pStyle w:val="Paragraph"/>
      </w:pPr>
      <w:r w:rsidRPr="006039A9">
        <w:t xml:space="preserve">This represents an estimated financial loss </w:t>
      </w:r>
      <w:r w:rsidRPr="008E41DB">
        <w:t>of $7,848,749.33 in</w:t>
      </w:r>
      <w:r>
        <w:t xml:space="preserve"> the </w:t>
      </w:r>
      <w:r w:rsidR="00F2508F">
        <w:t>2017–</w:t>
      </w:r>
      <w:r>
        <w:t>18 financial year.</w:t>
      </w:r>
      <w:r w:rsidR="00FF6A11">
        <w:rPr>
          <w:rStyle w:val="FootnoteReference"/>
        </w:rPr>
        <w:footnoteReference w:id="24"/>
      </w:r>
    </w:p>
    <w:p w14:paraId="059ADEB0" w14:textId="235248AD" w:rsidR="00D13592" w:rsidRDefault="00ED7AE0" w:rsidP="001F6551">
      <w:pPr>
        <w:pStyle w:val="Paragraph"/>
        <w:rPr>
          <w:rFonts w:eastAsiaTheme="minorHAnsi"/>
          <w:lang w:eastAsia="en-US"/>
        </w:rPr>
      </w:pPr>
      <w:r>
        <w:rPr>
          <w:rFonts w:eastAsiaTheme="minorHAnsi"/>
          <w:lang w:eastAsia="en-US"/>
        </w:rPr>
        <w:lastRenderedPageBreak/>
        <w:t>If the status quo is maintained</w:t>
      </w:r>
      <w:r w:rsidR="00241B3C">
        <w:rPr>
          <w:rFonts w:eastAsiaTheme="minorHAnsi"/>
          <w:lang w:eastAsia="en-US"/>
        </w:rPr>
        <w:t>,</w:t>
      </w:r>
      <w:r>
        <w:rPr>
          <w:rFonts w:eastAsiaTheme="minorHAnsi"/>
          <w:lang w:eastAsia="en-US"/>
        </w:rPr>
        <w:t xml:space="preserve"> it</w:t>
      </w:r>
      <w:r w:rsidRPr="001F6551">
        <w:rPr>
          <w:rFonts w:eastAsiaTheme="minorHAnsi"/>
          <w:lang w:eastAsia="en-US"/>
        </w:rPr>
        <w:t xml:space="preserve"> can be </w:t>
      </w:r>
      <w:r w:rsidR="00A82CD1" w:rsidRPr="001F6551">
        <w:rPr>
          <w:rFonts w:eastAsiaTheme="minorHAnsi"/>
          <w:lang w:eastAsia="en-US"/>
        </w:rPr>
        <w:t>a</w:t>
      </w:r>
      <w:r w:rsidR="00A82CD1">
        <w:rPr>
          <w:rFonts w:eastAsiaTheme="minorHAnsi"/>
          <w:lang w:eastAsia="en-US"/>
        </w:rPr>
        <w:t>nticipated</w:t>
      </w:r>
      <w:r w:rsidR="00A82CD1" w:rsidRPr="001F6551">
        <w:rPr>
          <w:rFonts w:eastAsiaTheme="minorHAnsi"/>
          <w:lang w:eastAsia="en-US"/>
        </w:rPr>
        <w:t xml:space="preserve"> </w:t>
      </w:r>
      <w:r w:rsidRPr="001F6551">
        <w:rPr>
          <w:rFonts w:eastAsiaTheme="minorHAnsi"/>
          <w:lang w:eastAsia="en-US"/>
        </w:rPr>
        <w:t>that the level</w:t>
      </w:r>
      <w:r w:rsidR="00D13592">
        <w:rPr>
          <w:rFonts w:eastAsiaTheme="minorHAnsi"/>
          <w:lang w:eastAsia="en-US"/>
        </w:rPr>
        <w:t>s</w:t>
      </w:r>
      <w:r w:rsidRPr="001F6551">
        <w:rPr>
          <w:rFonts w:eastAsiaTheme="minorHAnsi"/>
          <w:lang w:eastAsia="en-US"/>
        </w:rPr>
        <w:t xml:space="preserve"> of financial losses attributed to mobile porting fraud </w:t>
      </w:r>
      <w:r>
        <w:rPr>
          <w:rFonts w:eastAsiaTheme="minorHAnsi"/>
          <w:lang w:eastAsia="en-US"/>
        </w:rPr>
        <w:t>will</w:t>
      </w:r>
      <w:r w:rsidRPr="001F6551">
        <w:rPr>
          <w:rFonts w:eastAsiaTheme="minorHAnsi"/>
          <w:lang w:eastAsia="en-US"/>
        </w:rPr>
        <w:t xml:space="preserve"> </w:t>
      </w:r>
      <w:r w:rsidR="00D13592">
        <w:rPr>
          <w:rFonts w:eastAsiaTheme="minorHAnsi"/>
          <w:lang w:eastAsia="en-US"/>
        </w:rPr>
        <w:t>continue to increase as scammers become more efficient at targeting customers</w:t>
      </w:r>
      <w:r w:rsidR="00957256">
        <w:rPr>
          <w:rFonts w:eastAsiaTheme="minorHAnsi"/>
          <w:lang w:eastAsia="en-US"/>
        </w:rPr>
        <w:t>.</w:t>
      </w:r>
      <w:r w:rsidR="004326B5">
        <w:rPr>
          <w:rFonts w:eastAsiaTheme="minorHAnsi"/>
          <w:lang w:eastAsia="en-US"/>
        </w:rPr>
        <w:t xml:space="preserve"> </w:t>
      </w:r>
      <w:r w:rsidR="00114DE2">
        <w:rPr>
          <w:rFonts w:eastAsiaTheme="minorHAnsi"/>
          <w:lang w:eastAsia="en-US"/>
        </w:rPr>
        <w:t>There is also the</w:t>
      </w:r>
      <w:r w:rsidR="00922DC8">
        <w:rPr>
          <w:rFonts w:eastAsiaTheme="minorHAnsi"/>
          <w:lang w:eastAsia="en-US"/>
        </w:rPr>
        <w:t xml:space="preserve"> cumulative</w:t>
      </w:r>
      <w:r w:rsidR="00D13592">
        <w:rPr>
          <w:rFonts w:eastAsiaTheme="minorHAnsi"/>
          <w:lang w:eastAsia="en-US"/>
        </w:rPr>
        <w:t xml:space="preserve"> impact </w:t>
      </w:r>
      <w:r w:rsidR="00241B3C">
        <w:rPr>
          <w:rFonts w:eastAsiaTheme="minorHAnsi"/>
          <w:lang w:eastAsia="en-US"/>
        </w:rPr>
        <w:t xml:space="preserve">from </w:t>
      </w:r>
      <w:r w:rsidR="00D13592">
        <w:rPr>
          <w:rFonts w:eastAsiaTheme="minorHAnsi"/>
          <w:lang w:eastAsia="en-US"/>
        </w:rPr>
        <w:t xml:space="preserve">ongoing identity theft </w:t>
      </w:r>
      <w:r w:rsidR="00114DE2">
        <w:rPr>
          <w:rFonts w:eastAsiaTheme="minorHAnsi"/>
          <w:lang w:eastAsia="en-US"/>
        </w:rPr>
        <w:t xml:space="preserve">as </w:t>
      </w:r>
      <w:r w:rsidR="006542AF">
        <w:rPr>
          <w:rFonts w:eastAsiaTheme="minorHAnsi"/>
          <w:lang w:eastAsia="en-US"/>
        </w:rPr>
        <w:t>scammers</w:t>
      </w:r>
      <w:r w:rsidR="00D13592">
        <w:rPr>
          <w:rFonts w:eastAsiaTheme="minorHAnsi"/>
          <w:lang w:eastAsia="en-US"/>
        </w:rPr>
        <w:t xml:space="preserve"> use the ported number to gain further personal information for later use.</w:t>
      </w:r>
    </w:p>
    <w:p w14:paraId="1B458CFB" w14:textId="2302ED54" w:rsidR="00BC2F03" w:rsidRDefault="00BC2F03" w:rsidP="001F6551">
      <w:pPr>
        <w:pStyle w:val="Paragraph"/>
        <w:rPr>
          <w:rFonts w:eastAsiaTheme="minorHAnsi"/>
          <w:lang w:eastAsia="en-US"/>
        </w:rPr>
      </w:pPr>
      <w:r w:rsidRPr="00393AEA">
        <w:rPr>
          <w:rFonts w:eastAsiaTheme="minorHAnsi"/>
          <w:lang w:eastAsia="en-US"/>
        </w:rPr>
        <w:t xml:space="preserve">Assuming </w:t>
      </w:r>
      <w:r w:rsidR="00BC1E37" w:rsidRPr="00393AEA">
        <w:rPr>
          <w:rFonts w:eastAsiaTheme="minorHAnsi"/>
          <w:lang w:eastAsia="en-US"/>
        </w:rPr>
        <w:t xml:space="preserve">customers </w:t>
      </w:r>
      <w:r w:rsidRPr="00393AEA">
        <w:rPr>
          <w:rFonts w:eastAsiaTheme="minorHAnsi"/>
          <w:lang w:eastAsia="en-US"/>
        </w:rPr>
        <w:t>quickly notify their financial institution, the financial cost of fraud may be borne by those institutions—with customers recovering money lost through fraud protection policies.</w:t>
      </w:r>
      <w:r w:rsidRPr="00393AEA">
        <w:rPr>
          <w:rFonts w:eastAsiaTheme="minorHAnsi"/>
          <w:vertAlign w:val="superscript"/>
          <w:lang w:eastAsia="en-US"/>
        </w:rPr>
        <w:footnoteReference w:id="25"/>
      </w:r>
    </w:p>
    <w:p w14:paraId="204502B4" w14:textId="4235BE16" w:rsidR="006614B0" w:rsidRDefault="00ED7AE0" w:rsidP="006614B0">
      <w:pPr>
        <w:pStyle w:val="Paragraph"/>
        <w:rPr>
          <w:rFonts w:eastAsiaTheme="minorHAnsi"/>
          <w:lang w:eastAsia="en-US"/>
        </w:rPr>
      </w:pPr>
      <w:r>
        <w:rPr>
          <w:rFonts w:eastAsiaTheme="minorHAnsi"/>
          <w:lang w:eastAsia="en-US"/>
        </w:rPr>
        <w:t xml:space="preserve">While </w:t>
      </w:r>
      <w:r w:rsidR="00DE147C">
        <w:rPr>
          <w:rFonts w:eastAsiaTheme="minorHAnsi"/>
          <w:lang w:eastAsia="en-US"/>
        </w:rPr>
        <w:t xml:space="preserve">it is </w:t>
      </w:r>
      <w:r>
        <w:rPr>
          <w:rFonts w:eastAsiaTheme="minorHAnsi"/>
          <w:lang w:eastAsia="en-US"/>
        </w:rPr>
        <w:t>difficult to predict</w:t>
      </w:r>
      <w:r w:rsidR="00D13592">
        <w:rPr>
          <w:rFonts w:eastAsiaTheme="minorHAnsi"/>
          <w:lang w:eastAsia="en-US"/>
        </w:rPr>
        <w:t xml:space="preserve"> the losses in 2020</w:t>
      </w:r>
      <w:r>
        <w:rPr>
          <w:rFonts w:eastAsiaTheme="minorHAnsi"/>
          <w:lang w:eastAsia="en-US"/>
        </w:rPr>
        <w:t>, d</w:t>
      </w:r>
      <w:r w:rsidR="007301D4">
        <w:rPr>
          <w:rFonts w:eastAsiaTheme="minorHAnsi"/>
          <w:lang w:eastAsia="en-US"/>
        </w:rPr>
        <w:t xml:space="preserve">ata from </w:t>
      </w:r>
      <w:r>
        <w:rPr>
          <w:rFonts w:eastAsiaTheme="minorHAnsi"/>
          <w:lang w:eastAsia="en-US"/>
        </w:rPr>
        <w:t xml:space="preserve">ACCC’s Scamwatch gathered between </w:t>
      </w:r>
      <w:r w:rsidR="007301D4">
        <w:rPr>
          <w:rFonts w:eastAsiaTheme="minorHAnsi"/>
          <w:lang w:eastAsia="en-US"/>
        </w:rPr>
        <w:t>1 Jan</w:t>
      </w:r>
      <w:r w:rsidR="0009274F">
        <w:rPr>
          <w:rFonts w:eastAsiaTheme="minorHAnsi"/>
          <w:lang w:eastAsia="en-US"/>
        </w:rPr>
        <w:t xml:space="preserve"> </w:t>
      </w:r>
      <w:r w:rsidR="006830B3">
        <w:rPr>
          <w:rFonts w:eastAsiaTheme="minorHAnsi"/>
          <w:lang w:eastAsia="en-US"/>
        </w:rPr>
        <w:t>and</w:t>
      </w:r>
      <w:r w:rsidR="007301D4">
        <w:rPr>
          <w:rFonts w:eastAsiaTheme="minorHAnsi"/>
          <w:lang w:eastAsia="en-US"/>
        </w:rPr>
        <w:t xml:space="preserve"> 15 Dec 2019 demonstrated a </w:t>
      </w:r>
      <w:r w:rsidR="00D32551">
        <w:rPr>
          <w:rFonts w:eastAsiaTheme="minorHAnsi"/>
          <w:lang w:eastAsia="en-US"/>
        </w:rPr>
        <w:t xml:space="preserve">508 per cent </w:t>
      </w:r>
      <w:r w:rsidR="007301D4">
        <w:rPr>
          <w:rFonts w:eastAsiaTheme="minorHAnsi"/>
          <w:lang w:eastAsia="en-US"/>
        </w:rPr>
        <w:t xml:space="preserve">increase in financial losses due to mobile porting </w:t>
      </w:r>
      <w:r w:rsidR="00D32551">
        <w:rPr>
          <w:rFonts w:eastAsiaTheme="minorHAnsi"/>
          <w:lang w:eastAsia="en-US"/>
        </w:rPr>
        <w:t>fraud</w:t>
      </w:r>
      <w:r w:rsidR="003F24BB">
        <w:rPr>
          <w:rFonts w:eastAsiaTheme="minorHAnsi"/>
          <w:lang w:eastAsia="en-US"/>
        </w:rPr>
        <w:t>.</w:t>
      </w:r>
      <w:r w:rsidR="008E41DB">
        <w:rPr>
          <w:rFonts w:eastAsiaTheme="minorHAnsi"/>
          <w:lang w:eastAsia="en-US"/>
        </w:rPr>
        <w:t xml:space="preserve"> </w:t>
      </w:r>
      <w:r w:rsidR="006614B0">
        <w:rPr>
          <w:rFonts w:eastAsiaTheme="minorHAnsi"/>
          <w:lang w:eastAsia="en-US"/>
        </w:rPr>
        <w:t xml:space="preserve">Over that same period, the number of cases reported to the ACCC rose by almost </w:t>
      </w:r>
      <w:r w:rsidR="006614B0" w:rsidRPr="008E41DB">
        <w:rPr>
          <w:rFonts w:eastAsiaTheme="minorHAnsi"/>
          <w:lang w:eastAsia="en-US"/>
        </w:rPr>
        <w:t>30 per cent.</w:t>
      </w:r>
      <w:r w:rsidR="00267CD6" w:rsidRPr="00267CD6">
        <w:rPr>
          <w:rStyle w:val="FootnoteReference"/>
          <w:rFonts w:eastAsiaTheme="minorHAnsi"/>
          <w:lang w:eastAsia="en-US"/>
        </w:rPr>
        <w:t xml:space="preserve"> </w:t>
      </w:r>
      <w:r w:rsidR="00267CD6">
        <w:rPr>
          <w:rStyle w:val="FootnoteReference"/>
          <w:rFonts w:eastAsiaTheme="minorHAnsi"/>
          <w:lang w:eastAsia="en-US"/>
        </w:rPr>
        <w:footnoteReference w:id="26"/>
      </w:r>
    </w:p>
    <w:p w14:paraId="28AE5976" w14:textId="252464E6" w:rsidR="00267CD6" w:rsidRDefault="00267CD6" w:rsidP="006614B0">
      <w:pPr>
        <w:pStyle w:val="Paragraph"/>
        <w:rPr>
          <w:rFonts w:eastAsiaTheme="minorHAnsi"/>
          <w:lang w:eastAsia="en-US"/>
        </w:rPr>
      </w:pPr>
      <w:bookmarkStart w:id="84" w:name="_Hlk33428576"/>
      <w:r w:rsidRPr="003C431F">
        <w:rPr>
          <w:rFonts w:eastAsiaTheme="minorHAnsi"/>
          <w:lang w:eastAsia="en-US"/>
        </w:rPr>
        <w:t xml:space="preserve">During the same period, financial losses </w:t>
      </w:r>
      <w:r w:rsidR="003C431F">
        <w:rPr>
          <w:rFonts w:eastAsiaTheme="minorHAnsi"/>
          <w:lang w:eastAsia="en-US"/>
        </w:rPr>
        <w:t>(</w:t>
      </w:r>
      <w:r w:rsidRPr="003C431F">
        <w:rPr>
          <w:rFonts w:eastAsiaTheme="minorHAnsi"/>
          <w:lang w:eastAsia="en-US"/>
        </w:rPr>
        <w:t>from reports to Scamwatch about ‘attempts to gain your personal information’</w:t>
      </w:r>
      <w:r w:rsidR="003C431F">
        <w:rPr>
          <w:rFonts w:eastAsiaTheme="minorHAnsi"/>
          <w:lang w:eastAsia="en-US"/>
        </w:rPr>
        <w:t>)</w:t>
      </w:r>
      <w:r w:rsidRPr="003C431F">
        <w:rPr>
          <w:rFonts w:eastAsiaTheme="minorHAnsi"/>
          <w:lang w:eastAsia="en-US"/>
        </w:rPr>
        <w:t xml:space="preserve"> rose by nearly </w:t>
      </w:r>
      <w:r w:rsidR="009F0D99" w:rsidRPr="003C431F">
        <w:rPr>
          <w:rFonts w:eastAsiaTheme="minorHAnsi"/>
          <w:lang w:eastAsia="en-US"/>
        </w:rPr>
        <w:t>70</w:t>
      </w:r>
      <w:r w:rsidRPr="003C431F">
        <w:rPr>
          <w:rFonts w:eastAsiaTheme="minorHAnsi"/>
          <w:lang w:eastAsia="en-US"/>
        </w:rPr>
        <w:t xml:space="preserve"> per cent</w:t>
      </w:r>
      <w:r w:rsidR="004613F2" w:rsidRPr="003C431F">
        <w:rPr>
          <w:rFonts w:eastAsiaTheme="minorHAnsi"/>
          <w:lang w:eastAsia="en-US"/>
        </w:rPr>
        <w:t>—</w:t>
      </w:r>
      <w:r w:rsidR="008D4355" w:rsidRPr="003C431F">
        <w:rPr>
          <w:rFonts w:eastAsiaTheme="minorHAnsi"/>
          <w:lang w:eastAsia="en-US"/>
        </w:rPr>
        <w:t xml:space="preserve">indicating </w:t>
      </w:r>
      <w:r w:rsidR="006A039B" w:rsidRPr="003C431F">
        <w:rPr>
          <w:rFonts w:eastAsiaTheme="minorHAnsi"/>
          <w:lang w:eastAsia="en-US"/>
        </w:rPr>
        <w:t xml:space="preserve">the trend in </w:t>
      </w:r>
      <w:r w:rsidR="004613F2" w:rsidRPr="003C431F">
        <w:rPr>
          <w:rFonts w:eastAsiaTheme="minorHAnsi"/>
          <w:lang w:eastAsia="en-US"/>
        </w:rPr>
        <w:t xml:space="preserve">financial </w:t>
      </w:r>
      <w:r w:rsidR="006A039B" w:rsidRPr="003C431F">
        <w:rPr>
          <w:rFonts w:eastAsiaTheme="minorHAnsi"/>
          <w:lang w:eastAsia="en-US"/>
        </w:rPr>
        <w:t xml:space="preserve">losses associated with </w:t>
      </w:r>
      <w:r w:rsidRPr="003C431F">
        <w:rPr>
          <w:rFonts w:eastAsiaTheme="minorHAnsi"/>
          <w:lang w:eastAsia="en-US"/>
        </w:rPr>
        <w:t>identity theft is increasing.</w:t>
      </w:r>
      <w:r w:rsidRPr="003C431F">
        <w:rPr>
          <w:rStyle w:val="FootnoteReference"/>
          <w:rFonts w:eastAsiaTheme="minorHAnsi"/>
          <w:lang w:eastAsia="en-US"/>
        </w:rPr>
        <w:footnoteReference w:id="27"/>
      </w:r>
    </w:p>
    <w:bookmarkEnd w:id="84"/>
    <w:p w14:paraId="23A50D83" w14:textId="504BAEC2" w:rsidR="006614B0" w:rsidRPr="00373DE6" w:rsidRDefault="006614B0" w:rsidP="006614B0">
      <w:pPr>
        <w:pStyle w:val="Paragraph"/>
        <w:rPr>
          <w:rFonts w:eastAsiaTheme="minorHAnsi"/>
          <w:lang w:eastAsia="en-US"/>
        </w:rPr>
      </w:pPr>
      <w:r>
        <w:rPr>
          <w:rFonts w:eastAsiaTheme="minorHAnsi"/>
          <w:lang w:eastAsia="en-US"/>
        </w:rPr>
        <w:t>While an increase in financial losses in 2020</w:t>
      </w:r>
      <w:r w:rsidR="008D4355">
        <w:rPr>
          <w:rFonts w:eastAsiaTheme="minorHAnsi"/>
          <w:lang w:eastAsia="en-US"/>
        </w:rPr>
        <w:t xml:space="preserve"> is anticipated</w:t>
      </w:r>
      <w:r>
        <w:rPr>
          <w:rFonts w:eastAsiaTheme="minorHAnsi"/>
          <w:lang w:eastAsia="en-US"/>
        </w:rPr>
        <w:t xml:space="preserve">, </w:t>
      </w:r>
      <w:r w:rsidR="00210D1F">
        <w:rPr>
          <w:rFonts w:eastAsiaTheme="minorHAnsi"/>
          <w:lang w:eastAsia="en-US"/>
        </w:rPr>
        <w:t>the figures provided are conservative</w:t>
      </w:r>
      <w:r>
        <w:rPr>
          <w:rFonts w:eastAsiaTheme="minorHAnsi"/>
          <w:lang w:eastAsia="en-US"/>
        </w:rPr>
        <w:t xml:space="preserve"> (estimating a 20 per cent increase in losses per victim)— compared to the ACCC data </w:t>
      </w:r>
      <w:r w:rsidR="0079394E">
        <w:rPr>
          <w:rFonts w:eastAsiaTheme="minorHAnsi"/>
          <w:lang w:eastAsia="en-US"/>
        </w:rPr>
        <w:t>that suggests</w:t>
      </w:r>
      <w:r>
        <w:rPr>
          <w:rFonts w:eastAsiaTheme="minorHAnsi"/>
          <w:lang w:eastAsia="en-US"/>
        </w:rPr>
        <w:t xml:space="preserve"> a</w:t>
      </w:r>
      <w:r w:rsidR="006C2EC3">
        <w:rPr>
          <w:rFonts w:eastAsiaTheme="minorHAnsi"/>
          <w:lang w:eastAsia="en-US"/>
        </w:rPr>
        <w:t xml:space="preserve"> potential</w:t>
      </w:r>
      <w:r>
        <w:rPr>
          <w:rFonts w:eastAsiaTheme="minorHAnsi"/>
          <w:lang w:eastAsia="en-US"/>
        </w:rPr>
        <w:t xml:space="preserve"> 508 per cent increase in financial losses </w:t>
      </w:r>
      <w:r w:rsidR="001B67D4">
        <w:rPr>
          <w:rFonts w:eastAsiaTheme="minorHAnsi"/>
          <w:lang w:eastAsia="en-US"/>
        </w:rPr>
        <w:t xml:space="preserve">from mobile porting fraud </w:t>
      </w:r>
      <w:r>
        <w:rPr>
          <w:rFonts w:eastAsiaTheme="minorHAnsi"/>
          <w:lang w:eastAsia="en-US"/>
        </w:rPr>
        <w:t>(rising from $134,666 in 2018 to $1,058,061 in 2019)</w:t>
      </w:r>
      <w:r w:rsidR="00A371B6">
        <w:rPr>
          <w:rFonts w:eastAsiaTheme="minorHAnsi"/>
          <w:lang w:eastAsia="en-US"/>
        </w:rPr>
        <w:t>.</w:t>
      </w:r>
      <w:r>
        <w:rPr>
          <w:rStyle w:val="FootnoteReference"/>
          <w:rFonts w:eastAsiaTheme="minorHAnsi"/>
          <w:lang w:eastAsia="en-US"/>
        </w:rPr>
        <w:footnoteReference w:id="28"/>
      </w:r>
      <w:r>
        <w:rPr>
          <w:rFonts w:eastAsiaTheme="minorHAnsi"/>
          <w:lang w:eastAsia="en-US"/>
        </w:rPr>
        <w:t xml:space="preserve"> </w:t>
      </w:r>
    </w:p>
    <w:p w14:paraId="0B905F73" w14:textId="09D2C7CA" w:rsidR="008E41DB" w:rsidRPr="00806C27" w:rsidRDefault="00D32551" w:rsidP="001F6551">
      <w:pPr>
        <w:pStyle w:val="Paragraph"/>
        <w:rPr>
          <w:rFonts w:eastAsiaTheme="minorHAnsi"/>
          <w:lang w:eastAsia="en-US"/>
        </w:rPr>
      </w:pPr>
      <w:r>
        <w:rPr>
          <w:rFonts w:eastAsiaTheme="minorHAnsi"/>
          <w:lang w:eastAsia="en-US"/>
        </w:rPr>
        <w:t xml:space="preserve">Based </w:t>
      </w:r>
      <w:r w:rsidRPr="00806C27">
        <w:rPr>
          <w:rFonts w:eastAsiaTheme="minorHAnsi"/>
          <w:lang w:eastAsia="en-US"/>
        </w:rPr>
        <w:t>on these figures, a</w:t>
      </w:r>
      <w:r w:rsidR="002748FA" w:rsidRPr="00806C27">
        <w:rPr>
          <w:rFonts w:eastAsiaTheme="minorHAnsi"/>
          <w:lang w:eastAsia="en-US"/>
        </w:rPr>
        <w:t>n</w:t>
      </w:r>
      <w:r w:rsidRPr="00806C27">
        <w:rPr>
          <w:rFonts w:eastAsiaTheme="minorHAnsi"/>
          <w:lang w:eastAsia="en-US"/>
        </w:rPr>
        <w:t xml:space="preserve"> estimate for mobile porting fraud cases </w:t>
      </w:r>
      <w:r w:rsidR="00D513D7" w:rsidRPr="00806C27">
        <w:rPr>
          <w:rFonts w:eastAsiaTheme="minorHAnsi"/>
          <w:lang w:eastAsia="en-US"/>
        </w:rPr>
        <w:t>in 2020</w:t>
      </w:r>
      <w:r w:rsidR="00ED7AE0" w:rsidRPr="00806C27">
        <w:rPr>
          <w:rFonts w:eastAsiaTheme="minorHAnsi"/>
          <w:lang w:eastAsia="en-US"/>
        </w:rPr>
        <w:t xml:space="preserve"> </w:t>
      </w:r>
      <w:r w:rsidR="003F24BB" w:rsidRPr="00806C27">
        <w:rPr>
          <w:rFonts w:eastAsiaTheme="minorHAnsi"/>
          <w:lang w:eastAsia="en-US"/>
        </w:rPr>
        <w:t>is</w:t>
      </w:r>
      <w:r w:rsidR="008E41DB" w:rsidRPr="00806C27">
        <w:rPr>
          <w:rFonts w:eastAsiaTheme="minorHAnsi"/>
          <w:lang w:eastAsia="en-US"/>
        </w:rPr>
        <w:t xml:space="preserve"> </w:t>
      </w:r>
      <w:r w:rsidR="00ED7AE0" w:rsidRPr="00806C27">
        <w:rPr>
          <w:rFonts w:eastAsiaTheme="minorHAnsi"/>
          <w:lang w:eastAsia="en-US"/>
        </w:rPr>
        <w:t>2</w:t>
      </w:r>
      <w:r w:rsidR="00D270D9" w:rsidRPr="00806C27">
        <w:rPr>
          <w:rFonts w:eastAsiaTheme="minorHAnsi"/>
          <w:lang w:eastAsia="en-US"/>
        </w:rPr>
        <w:t>,</w:t>
      </w:r>
      <w:r w:rsidR="00ED7AE0" w:rsidRPr="00806C27">
        <w:rPr>
          <w:rFonts w:eastAsiaTheme="minorHAnsi"/>
          <w:lang w:eastAsia="en-US"/>
        </w:rPr>
        <w:t>688</w:t>
      </w:r>
      <w:r w:rsidR="005C1AD8" w:rsidRPr="00806C27">
        <w:rPr>
          <w:rFonts w:eastAsiaTheme="minorHAnsi"/>
          <w:lang w:eastAsia="en-US"/>
        </w:rPr>
        <w:t>.</w:t>
      </w:r>
      <w:r w:rsidR="00F33DBE" w:rsidRPr="00806C27">
        <w:rPr>
          <w:rStyle w:val="FootnoteReference"/>
          <w:rFonts w:eastAsiaTheme="minorHAnsi"/>
          <w:lang w:eastAsia="en-US"/>
        </w:rPr>
        <w:footnoteReference w:id="29"/>
      </w:r>
      <w:r w:rsidR="006F380A" w:rsidRPr="00806C27">
        <w:rPr>
          <w:rFonts w:eastAsiaTheme="minorHAnsi"/>
          <w:lang w:eastAsia="en-US"/>
        </w:rPr>
        <w:t xml:space="preserve"> </w:t>
      </w:r>
    </w:p>
    <w:p w14:paraId="45A3E648" w14:textId="5F5EB29D" w:rsidR="007301D4" w:rsidRDefault="00806C27" w:rsidP="00806C27">
      <w:pPr>
        <w:pStyle w:val="Paragraph"/>
        <w:rPr>
          <w:rFonts w:eastAsiaTheme="minorHAnsi"/>
          <w:lang w:eastAsia="en-US"/>
        </w:rPr>
      </w:pPr>
      <w:r w:rsidRPr="00806C27">
        <w:rPr>
          <w:i/>
          <w:noProof/>
        </w:rPr>
        <w:drawing>
          <wp:anchor distT="0" distB="0" distL="114300" distR="114300" simplePos="0" relativeHeight="251660288" behindDoc="1" locked="0" layoutInCell="1" allowOverlap="1" wp14:anchorId="4EF71F8E" wp14:editId="376B3F07">
            <wp:simplePos x="0" y="0"/>
            <wp:positionH relativeFrom="column">
              <wp:posOffset>0</wp:posOffset>
            </wp:positionH>
            <wp:positionV relativeFrom="paragraph">
              <wp:posOffset>16510</wp:posOffset>
            </wp:positionV>
            <wp:extent cx="410210" cy="410210"/>
            <wp:effectExtent l="0" t="0" r="0" b="8890"/>
            <wp:wrapTight wrapText="bothSides">
              <wp:wrapPolygon edited="0">
                <wp:start x="5015" y="0"/>
                <wp:lineTo x="1003" y="7022"/>
                <wp:lineTo x="1003" y="13040"/>
                <wp:lineTo x="5015" y="21065"/>
                <wp:lineTo x="16050" y="21065"/>
                <wp:lineTo x="20062" y="13040"/>
                <wp:lineTo x="20062" y="7022"/>
                <wp:lineTo x="16050" y="0"/>
                <wp:lineTo x="5015" y="0"/>
              </wp:wrapPolygon>
            </wp:wrapTight>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withleftarrow.svg"/>
                    <pic:cNvPicPr/>
                  </pic:nvPicPr>
                  <pic:blipFill>
                    <a:blip r:embed="rId29">
                      <a:extLst>
                        <a:ext uri="{96DAC541-7B7A-43D3-8B79-37D633B846F1}">
                          <asvg:svgBlip xmlns:asvg="http://schemas.microsoft.com/office/drawing/2016/SVG/main" r:embed="rId30"/>
                        </a:ext>
                      </a:extLst>
                    </a:blip>
                    <a:stretch>
                      <a:fillRect/>
                    </a:stretch>
                  </pic:blipFill>
                  <pic:spPr>
                    <a:xfrm>
                      <a:off x="0" y="0"/>
                      <a:ext cx="410210" cy="410210"/>
                    </a:xfrm>
                    <a:prstGeom prst="rect">
                      <a:avLst/>
                    </a:prstGeom>
                  </pic:spPr>
                </pic:pic>
              </a:graphicData>
            </a:graphic>
            <wp14:sizeRelH relativeFrom="page">
              <wp14:pctWidth>0</wp14:pctWidth>
            </wp14:sizeRelH>
            <wp14:sizeRelV relativeFrom="page">
              <wp14:pctHeight>0</wp14:pctHeight>
            </wp14:sizeRelV>
          </wp:anchor>
        </w:drawing>
      </w:r>
      <w:r w:rsidR="00ED0731" w:rsidRPr="00806C27">
        <w:rPr>
          <w:rFonts w:eastAsiaTheme="minorHAnsi"/>
          <w:i/>
          <w:lang w:eastAsia="en-US"/>
        </w:rPr>
        <w:t>A</w:t>
      </w:r>
      <w:r w:rsidR="00AD4A65" w:rsidRPr="00806C27">
        <w:rPr>
          <w:rFonts w:eastAsiaTheme="minorHAnsi"/>
          <w:i/>
          <w:lang w:eastAsia="en-US"/>
        </w:rPr>
        <w:t>ssuming one in three victims suffe</w:t>
      </w:r>
      <w:r w:rsidR="00ED0731" w:rsidRPr="00806C27">
        <w:rPr>
          <w:rFonts w:eastAsiaTheme="minorHAnsi"/>
          <w:i/>
          <w:lang w:eastAsia="en-US"/>
        </w:rPr>
        <w:t>r</w:t>
      </w:r>
      <w:r w:rsidR="00AD4A65" w:rsidRPr="00806C27">
        <w:rPr>
          <w:rFonts w:eastAsiaTheme="minorHAnsi"/>
          <w:i/>
          <w:lang w:eastAsia="en-US"/>
        </w:rPr>
        <w:t xml:space="preserve"> financial losses </w:t>
      </w:r>
      <w:r w:rsidR="008E41DB" w:rsidRPr="00806C27">
        <w:rPr>
          <w:rFonts w:eastAsiaTheme="minorHAnsi"/>
          <w:i/>
          <w:lang w:eastAsia="en-US"/>
        </w:rPr>
        <w:t>(</w:t>
      </w:r>
      <w:r w:rsidR="00ED0731" w:rsidRPr="00806C27">
        <w:rPr>
          <w:rFonts w:eastAsiaTheme="minorHAnsi"/>
          <w:i/>
          <w:lang w:eastAsia="en-US"/>
        </w:rPr>
        <w:t>IDCARE)</w:t>
      </w:r>
      <w:r w:rsidR="00AD4A65" w:rsidRPr="00806C27">
        <w:rPr>
          <w:rFonts w:eastAsiaTheme="minorHAnsi"/>
          <w:i/>
          <w:lang w:eastAsia="en-US"/>
        </w:rPr>
        <w:t>, and the losses start</w:t>
      </w:r>
      <w:r w:rsidR="00ED0731" w:rsidRPr="00806C27">
        <w:rPr>
          <w:rFonts w:eastAsiaTheme="minorHAnsi"/>
          <w:i/>
          <w:lang w:eastAsia="en-US"/>
        </w:rPr>
        <w:t xml:space="preserve"> </w:t>
      </w:r>
      <w:r w:rsidR="00AD4A65" w:rsidRPr="00806C27">
        <w:rPr>
          <w:rFonts w:eastAsiaTheme="minorHAnsi"/>
          <w:i/>
          <w:lang w:eastAsia="en-US"/>
        </w:rPr>
        <w:t>at $11,3</w:t>
      </w:r>
      <w:r w:rsidR="00A322A3" w:rsidRPr="00806C27">
        <w:rPr>
          <w:rFonts w:eastAsiaTheme="minorHAnsi"/>
          <w:i/>
          <w:lang w:eastAsia="en-US"/>
        </w:rPr>
        <w:t>68</w:t>
      </w:r>
      <w:r w:rsidR="00AD4A65" w:rsidRPr="00806C27">
        <w:rPr>
          <w:rFonts w:eastAsiaTheme="minorHAnsi"/>
          <w:i/>
          <w:lang w:eastAsia="en-US"/>
        </w:rPr>
        <w:t xml:space="preserve"> per person </w:t>
      </w:r>
      <w:r w:rsidR="008E41DB" w:rsidRPr="00806C27">
        <w:rPr>
          <w:rFonts w:eastAsiaTheme="minorHAnsi"/>
          <w:i/>
          <w:lang w:eastAsia="en-US"/>
        </w:rPr>
        <w:t>(</w:t>
      </w:r>
      <w:r w:rsidR="00A322A3" w:rsidRPr="00806C27">
        <w:rPr>
          <w:rFonts w:eastAsiaTheme="minorHAnsi"/>
          <w:i/>
          <w:lang w:eastAsia="en-US"/>
        </w:rPr>
        <w:t>IDCARE</w:t>
      </w:r>
      <w:r w:rsidR="008E41DB" w:rsidRPr="00806C27">
        <w:rPr>
          <w:rFonts w:eastAsiaTheme="minorHAnsi"/>
          <w:i/>
          <w:lang w:eastAsia="en-US"/>
        </w:rPr>
        <w:t>)</w:t>
      </w:r>
      <w:r w:rsidR="00ED0731" w:rsidRPr="00806C27">
        <w:rPr>
          <w:rFonts w:eastAsiaTheme="minorHAnsi"/>
          <w:i/>
          <w:lang w:eastAsia="en-US"/>
        </w:rPr>
        <w:t xml:space="preserve">, </w:t>
      </w:r>
      <w:r w:rsidR="00AD4A65" w:rsidRPr="00806C27">
        <w:rPr>
          <w:rFonts w:eastAsiaTheme="minorHAnsi"/>
          <w:i/>
          <w:lang w:eastAsia="en-US"/>
        </w:rPr>
        <w:t xml:space="preserve">a </w:t>
      </w:r>
      <w:r w:rsidR="00D17EF7" w:rsidRPr="00806C27">
        <w:rPr>
          <w:rFonts w:eastAsiaTheme="minorHAnsi"/>
          <w:i/>
          <w:lang w:eastAsia="en-US"/>
        </w:rPr>
        <w:t xml:space="preserve">20 </w:t>
      </w:r>
      <w:r w:rsidR="00AD4A65" w:rsidRPr="00806C27">
        <w:rPr>
          <w:rFonts w:eastAsiaTheme="minorHAnsi"/>
          <w:i/>
          <w:lang w:eastAsia="en-US"/>
        </w:rPr>
        <w:t xml:space="preserve">per cent increase </w:t>
      </w:r>
      <w:r w:rsidR="00ED0731" w:rsidRPr="00806C27">
        <w:rPr>
          <w:rFonts w:eastAsiaTheme="minorHAnsi"/>
          <w:i/>
          <w:lang w:eastAsia="en-US"/>
        </w:rPr>
        <w:t xml:space="preserve">would </w:t>
      </w:r>
      <w:r w:rsidR="00AD4A65" w:rsidRPr="00806C27">
        <w:rPr>
          <w:rFonts w:eastAsiaTheme="minorHAnsi"/>
          <w:i/>
          <w:lang w:eastAsia="en-US"/>
        </w:rPr>
        <w:t xml:space="preserve">put losses </w:t>
      </w:r>
      <w:r w:rsidR="001F4E4B" w:rsidRPr="00806C27">
        <w:rPr>
          <w:rFonts w:eastAsiaTheme="minorHAnsi"/>
          <w:i/>
          <w:lang w:eastAsia="en-US"/>
        </w:rPr>
        <w:t xml:space="preserve">per </w:t>
      </w:r>
      <w:r w:rsidR="00ED0731" w:rsidRPr="00806C27">
        <w:rPr>
          <w:rFonts w:eastAsiaTheme="minorHAnsi"/>
          <w:i/>
          <w:lang w:eastAsia="en-US"/>
        </w:rPr>
        <w:t xml:space="preserve">victim </w:t>
      </w:r>
      <w:r w:rsidR="001F4E4B" w:rsidRPr="00806C27">
        <w:rPr>
          <w:rFonts w:eastAsiaTheme="minorHAnsi"/>
          <w:i/>
          <w:lang w:eastAsia="en-US"/>
        </w:rPr>
        <w:t xml:space="preserve">at </w:t>
      </w:r>
      <w:r w:rsidR="00D17EF7" w:rsidRPr="00806C27">
        <w:rPr>
          <w:rFonts w:eastAsiaTheme="minorHAnsi"/>
          <w:i/>
          <w:lang w:eastAsia="en-US"/>
        </w:rPr>
        <w:t>$13,642—and total losses just under $12.2 million</w:t>
      </w:r>
      <w:r w:rsidR="001F4E4B" w:rsidRPr="00373DE6">
        <w:rPr>
          <w:rFonts w:eastAsiaTheme="minorHAnsi"/>
          <w:lang w:eastAsia="en-US"/>
        </w:rPr>
        <w:t>.</w:t>
      </w:r>
      <w:r w:rsidR="002748FA">
        <w:rPr>
          <w:rStyle w:val="FootnoteReference"/>
          <w:rFonts w:eastAsiaTheme="minorHAnsi"/>
          <w:lang w:eastAsia="en-US"/>
        </w:rPr>
        <w:footnoteReference w:id="30"/>
      </w:r>
    </w:p>
    <w:p w14:paraId="11D6DCA1" w14:textId="68D42E39" w:rsidR="00556880" w:rsidRPr="00556880" w:rsidRDefault="00556880" w:rsidP="0057122A">
      <w:pPr>
        <w:pStyle w:val="Heading4"/>
        <w:rPr>
          <w:rFonts w:eastAsiaTheme="minorHAnsi"/>
          <w:lang w:eastAsia="en-US"/>
        </w:rPr>
      </w:pPr>
      <w:bookmarkStart w:id="85" w:name="_Hlk29994502"/>
      <w:r w:rsidRPr="00556880">
        <w:rPr>
          <w:rFonts w:eastAsiaTheme="minorHAnsi"/>
          <w:lang w:eastAsia="en-US"/>
        </w:rPr>
        <w:t>Costs to mobile carriage service providers</w:t>
      </w:r>
    </w:p>
    <w:p w14:paraId="7ADADA1C" w14:textId="7CD9167C" w:rsidR="00556880" w:rsidRDefault="00556880" w:rsidP="00556880">
      <w:pPr>
        <w:pStyle w:val="Paragraph"/>
        <w:rPr>
          <w:rFonts w:eastAsiaTheme="minorHAnsi"/>
          <w:lang w:eastAsia="en-US"/>
        </w:rPr>
      </w:pPr>
      <w:r>
        <w:rPr>
          <w:rFonts w:eastAsiaTheme="minorHAnsi"/>
          <w:lang w:eastAsia="en-US"/>
        </w:rPr>
        <w:t>Mobile carriage service providers spend time and resources responding to instances of mobile porting fraud and assisting their customers to manage the impact and recover their services.</w:t>
      </w:r>
    </w:p>
    <w:p w14:paraId="1A6E3AEA" w14:textId="6AB6C032" w:rsidR="00556880" w:rsidRDefault="00556880" w:rsidP="00556880">
      <w:pPr>
        <w:pStyle w:val="Paragraph"/>
        <w:rPr>
          <w:rFonts w:eastAsiaTheme="minorHAnsi"/>
          <w:i/>
          <w:iCs/>
          <w:lang w:eastAsia="en-US"/>
        </w:rPr>
      </w:pPr>
      <w:r>
        <w:rPr>
          <w:rFonts w:eastAsiaTheme="minorHAnsi"/>
          <w:lang w:eastAsia="en-US"/>
        </w:rPr>
        <w:t>Time is spent on training frontline staff on how to identify potential fraud cases (</w:t>
      </w:r>
      <w:r w:rsidR="003F24BB">
        <w:rPr>
          <w:rFonts w:eastAsiaTheme="minorHAnsi"/>
          <w:lang w:eastAsia="en-US"/>
        </w:rPr>
        <w:t>for example,</w:t>
      </w:r>
      <w:r>
        <w:rPr>
          <w:rFonts w:eastAsiaTheme="minorHAnsi"/>
          <w:lang w:eastAsia="en-US"/>
        </w:rPr>
        <w:t xml:space="preserve"> mobile porting fraud is often identified because a customer says they are not getting service) and resourcing specialist fraud teams to address </w:t>
      </w:r>
      <w:r w:rsidR="00E44644">
        <w:rPr>
          <w:rFonts w:eastAsiaTheme="minorHAnsi"/>
          <w:lang w:eastAsia="en-US"/>
        </w:rPr>
        <w:t xml:space="preserve">the fraud </w:t>
      </w:r>
      <w:r>
        <w:rPr>
          <w:rFonts w:eastAsiaTheme="minorHAnsi"/>
          <w:lang w:eastAsia="en-US"/>
        </w:rPr>
        <w:t>when it occurs.</w:t>
      </w:r>
    </w:p>
    <w:p w14:paraId="5F1952BE" w14:textId="5C1B3287" w:rsidR="00BC2F03" w:rsidRPr="00600416" w:rsidRDefault="00BC2F03" w:rsidP="0057122A">
      <w:pPr>
        <w:pStyle w:val="Heading4"/>
        <w:rPr>
          <w:rFonts w:eastAsiaTheme="minorHAnsi"/>
          <w:lang w:eastAsia="en-US"/>
        </w:rPr>
      </w:pPr>
      <w:r w:rsidRPr="00600416">
        <w:rPr>
          <w:rFonts w:eastAsiaTheme="minorHAnsi"/>
          <w:lang w:eastAsia="en-US"/>
        </w:rPr>
        <w:t>Costs to businesses</w:t>
      </w:r>
    </w:p>
    <w:p w14:paraId="69882241" w14:textId="481C3ED0" w:rsidR="00BC2F03" w:rsidRDefault="00BC2F03" w:rsidP="00BC2F03">
      <w:pPr>
        <w:pStyle w:val="Paragraph"/>
        <w:rPr>
          <w:rFonts w:eastAsiaTheme="minorHAnsi"/>
          <w:lang w:eastAsia="en-US"/>
        </w:rPr>
      </w:pPr>
      <w:r>
        <w:rPr>
          <w:rFonts w:eastAsiaTheme="minorHAnsi"/>
          <w:lang w:eastAsia="en-US"/>
        </w:rPr>
        <w:t>The impact on businesses from mobile porting fraud is often higher than that experienced by individual customers.</w:t>
      </w:r>
    </w:p>
    <w:p w14:paraId="269712A6" w14:textId="77777777" w:rsidR="00BC2F03" w:rsidRDefault="00BC2F03" w:rsidP="00BC2F03">
      <w:pPr>
        <w:pStyle w:val="Paragraph"/>
        <w:rPr>
          <w:rFonts w:eastAsiaTheme="minorHAnsi"/>
          <w:lang w:eastAsia="en-US"/>
        </w:rPr>
      </w:pPr>
      <w:r>
        <w:rPr>
          <w:rFonts w:eastAsiaTheme="minorHAnsi"/>
          <w:lang w:eastAsia="en-US"/>
        </w:rPr>
        <w:t xml:space="preserve">As reported by the </w:t>
      </w:r>
      <w:hyperlink r:id="rId33" w:history="1">
        <w:r w:rsidRPr="009D2824">
          <w:rPr>
            <w:rStyle w:val="Hyperlink"/>
            <w:rFonts w:eastAsiaTheme="minorHAnsi"/>
            <w:lang w:eastAsia="en-US"/>
          </w:rPr>
          <w:t>Australian Institute of Criminology</w:t>
        </w:r>
      </w:hyperlink>
      <w:r>
        <w:rPr>
          <w:rFonts w:eastAsiaTheme="minorHAnsi"/>
          <w:lang w:eastAsia="en-US"/>
        </w:rPr>
        <w:t xml:space="preserve">, a criminal syndicate targeted retail businesses by fraudulently porting the phone of the business owner or manager. With access to the number, they contacted staff to prepare stock for collection by a courier who would quickly collect the goods before staff realised the request had not </w:t>
      </w:r>
      <w:r>
        <w:rPr>
          <w:rFonts w:eastAsiaTheme="minorHAnsi"/>
          <w:lang w:eastAsia="en-US"/>
        </w:rPr>
        <w:lastRenderedPageBreak/>
        <w:t xml:space="preserve">come from the owner. The scam was successful on 25 occasions before members of the syndicate were arrested and charged. The value of this fraud was over </w:t>
      </w:r>
      <w:r w:rsidRPr="00E93BD9">
        <w:rPr>
          <w:rFonts w:eastAsiaTheme="minorHAnsi"/>
          <w:lang w:eastAsia="en-US"/>
        </w:rPr>
        <w:t>$1 million</w:t>
      </w:r>
      <w:r w:rsidRPr="00E93BD9">
        <w:rPr>
          <w:rStyle w:val="FootnoteReference"/>
          <w:rFonts w:eastAsiaTheme="minorHAnsi"/>
          <w:lang w:eastAsia="en-US"/>
        </w:rPr>
        <w:footnoteReference w:id="31"/>
      </w:r>
      <w:r w:rsidRPr="00E93BD9">
        <w:rPr>
          <w:rFonts w:eastAsiaTheme="minorHAnsi"/>
          <w:lang w:eastAsia="en-US"/>
        </w:rPr>
        <w:t>—it is unknown how many other similar instances there might be.</w:t>
      </w:r>
    </w:p>
    <w:p w14:paraId="2B8C68E1" w14:textId="65007029" w:rsidR="00D47FA5" w:rsidRDefault="00BC2F03" w:rsidP="00781394">
      <w:pPr>
        <w:pStyle w:val="Paragraph"/>
        <w:rPr>
          <w:rFonts w:eastAsiaTheme="minorHAnsi"/>
          <w:lang w:eastAsia="en-US"/>
        </w:rPr>
      </w:pPr>
      <w:r>
        <w:rPr>
          <w:rFonts w:eastAsiaTheme="minorHAnsi"/>
          <w:lang w:eastAsia="en-US"/>
        </w:rPr>
        <w:t>The ACMA is also aware of instances of mobile porting fraud designed to interrupt business activity</w:t>
      </w:r>
      <w:r w:rsidR="0029168E">
        <w:rPr>
          <w:rFonts w:eastAsiaTheme="minorHAnsi"/>
          <w:lang w:eastAsia="en-US"/>
        </w:rPr>
        <w:t>,</w:t>
      </w:r>
      <w:r>
        <w:rPr>
          <w:rFonts w:eastAsiaTheme="minorHAnsi"/>
          <w:lang w:eastAsia="en-US"/>
        </w:rPr>
        <w:t xml:space="preserve"> </w:t>
      </w:r>
      <w:r w:rsidR="00E93BD9">
        <w:rPr>
          <w:rFonts w:eastAsiaTheme="minorHAnsi"/>
          <w:lang w:eastAsia="en-US"/>
        </w:rPr>
        <w:t xml:space="preserve">for example, </w:t>
      </w:r>
      <w:r>
        <w:rPr>
          <w:rFonts w:eastAsiaTheme="minorHAnsi"/>
          <w:lang w:eastAsia="en-US"/>
        </w:rPr>
        <w:t>by depriving key staff of their ability to communicate or disrupt</w:t>
      </w:r>
      <w:r w:rsidR="00E93BD9">
        <w:rPr>
          <w:rFonts w:eastAsiaTheme="minorHAnsi"/>
          <w:lang w:eastAsia="en-US"/>
        </w:rPr>
        <w:t>ing</w:t>
      </w:r>
      <w:r>
        <w:rPr>
          <w:rFonts w:eastAsiaTheme="minorHAnsi"/>
          <w:lang w:eastAsia="en-US"/>
        </w:rPr>
        <w:t xml:space="preserve"> time</w:t>
      </w:r>
      <w:r w:rsidR="00E8344C">
        <w:rPr>
          <w:rFonts w:eastAsiaTheme="minorHAnsi"/>
          <w:lang w:eastAsia="en-US"/>
        </w:rPr>
        <w:t>-</w:t>
      </w:r>
      <w:r>
        <w:rPr>
          <w:rFonts w:eastAsiaTheme="minorHAnsi"/>
          <w:lang w:eastAsia="en-US"/>
        </w:rPr>
        <w:t xml:space="preserve">sensitive </w:t>
      </w:r>
      <w:r w:rsidR="00E93BD9">
        <w:rPr>
          <w:rFonts w:eastAsiaTheme="minorHAnsi"/>
          <w:lang w:eastAsia="en-US"/>
        </w:rPr>
        <w:t>transactions.</w:t>
      </w:r>
    </w:p>
    <w:p w14:paraId="68FD790A" w14:textId="413E0737" w:rsidR="00BC2F03" w:rsidRPr="00763ADF" w:rsidRDefault="00AD6CD5" w:rsidP="0057122A">
      <w:pPr>
        <w:pStyle w:val="Heading4"/>
        <w:rPr>
          <w:rFonts w:eastAsiaTheme="minorHAnsi"/>
          <w:lang w:eastAsia="en-US"/>
        </w:rPr>
      </w:pPr>
      <w:r w:rsidRPr="00763ADF">
        <w:rPr>
          <w:rFonts w:eastAsiaTheme="minorHAnsi"/>
          <w:lang w:eastAsia="en-US"/>
        </w:rPr>
        <w:t>Costs of identity theft</w:t>
      </w:r>
    </w:p>
    <w:p w14:paraId="40CD9D5D" w14:textId="4824CF90" w:rsidR="00313C46" w:rsidRPr="00393AEA" w:rsidRDefault="00313C46" w:rsidP="00313C46">
      <w:pPr>
        <w:pStyle w:val="Paragraph"/>
        <w:rPr>
          <w:rFonts w:eastAsiaTheme="minorHAnsi"/>
          <w:lang w:eastAsia="en-US"/>
        </w:rPr>
      </w:pPr>
      <w:bookmarkStart w:id="86" w:name="_Hlk30775340"/>
      <w:r>
        <w:rPr>
          <w:rFonts w:eastAsiaTheme="minorHAnsi"/>
          <w:lang w:eastAsia="en-US"/>
        </w:rPr>
        <w:t>While</w:t>
      </w:r>
      <w:r w:rsidRPr="00313C46">
        <w:rPr>
          <w:rFonts w:eastAsiaTheme="minorHAnsi"/>
          <w:lang w:eastAsia="en-US"/>
        </w:rPr>
        <w:t xml:space="preserve"> victims </w:t>
      </w:r>
      <w:r>
        <w:rPr>
          <w:rFonts w:eastAsiaTheme="minorHAnsi"/>
          <w:lang w:eastAsia="en-US"/>
        </w:rPr>
        <w:t>may</w:t>
      </w:r>
      <w:r w:rsidR="00AC76E8">
        <w:rPr>
          <w:rFonts w:eastAsiaTheme="minorHAnsi"/>
          <w:lang w:eastAsia="en-US"/>
        </w:rPr>
        <w:t>, ultimately,</w:t>
      </w:r>
      <w:r>
        <w:rPr>
          <w:rFonts w:eastAsiaTheme="minorHAnsi"/>
          <w:lang w:eastAsia="en-US"/>
        </w:rPr>
        <w:t xml:space="preserve"> </w:t>
      </w:r>
      <w:r w:rsidR="00AC76E8">
        <w:rPr>
          <w:rFonts w:eastAsiaTheme="minorHAnsi"/>
          <w:lang w:eastAsia="en-US"/>
        </w:rPr>
        <w:t>recoup</w:t>
      </w:r>
      <w:r>
        <w:rPr>
          <w:rFonts w:eastAsiaTheme="minorHAnsi"/>
          <w:lang w:eastAsia="en-US"/>
        </w:rPr>
        <w:t xml:space="preserve"> </w:t>
      </w:r>
      <w:r w:rsidRPr="00313C46">
        <w:rPr>
          <w:rFonts w:eastAsiaTheme="minorHAnsi"/>
          <w:lang w:eastAsia="en-US"/>
        </w:rPr>
        <w:t xml:space="preserve">financial </w:t>
      </w:r>
      <w:r w:rsidR="00AC76E8">
        <w:rPr>
          <w:rFonts w:eastAsiaTheme="minorHAnsi"/>
          <w:lang w:eastAsia="en-US"/>
        </w:rPr>
        <w:t>losses</w:t>
      </w:r>
      <w:r>
        <w:rPr>
          <w:rFonts w:eastAsiaTheme="minorHAnsi"/>
          <w:lang w:eastAsia="en-US"/>
        </w:rPr>
        <w:t>, id</w:t>
      </w:r>
      <w:r w:rsidRPr="00313C46">
        <w:rPr>
          <w:rFonts w:eastAsiaTheme="minorHAnsi"/>
          <w:lang w:eastAsia="en-US"/>
        </w:rPr>
        <w:t>entity theft victims may experience similar emotional effects as victims of violent crimes, ranging from anxiety to emotional volatility</w:t>
      </w:r>
      <w:r w:rsidR="004539F9">
        <w:rPr>
          <w:rFonts w:eastAsiaTheme="minorHAnsi"/>
          <w:lang w:eastAsia="en-US"/>
        </w:rPr>
        <w:t>.</w:t>
      </w:r>
    </w:p>
    <w:bookmarkEnd w:id="85"/>
    <w:bookmarkEnd w:id="86"/>
    <w:p w14:paraId="505C872E" w14:textId="500E1A3E" w:rsidR="006576A4" w:rsidRDefault="00763ADF" w:rsidP="006576A4">
      <w:pPr>
        <w:pStyle w:val="Paragraph"/>
        <w:rPr>
          <w:rFonts w:eastAsiaTheme="minorHAnsi"/>
          <w:lang w:eastAsia="en-US"/>
        </w:rPr>
      </w:pPr>
      <w:r>
        <w:rPr>
          <w:rFonts w:eastAsiaTheme="minorHAnsi"/>
          <w:lang w:eastAsia="en-US"/>
        </w:rPr>
        <w:t>C</w:t>
      </w:r>
      <w:r w:rsidR="00D623A5">
        <w:rPr>
          <w:rFonts w:eastAsiaTheme="minorHAnsi"/>
          <w:lang w:eastAsia="en-US"/>
        </w:rPr>
        <w:t xml:space="preserve">ustomers who have had their identity stolen need to spend time </w:t>
      </w:r>
      <w:r w:rsidR="007B5686">
        <w:rPr>
          <w:rFonts w:eastAsiaTheme="minorHAnsi"/>
          <w:lang w:eastAsia="en-US"/>
        </w:rPr>
        <w:t>addressing</w:t>
      </w:r>
      <w:r w:rsidR="00D623A5">
        <w:rPr>
          <w:rFonts w:eastAsiaTheme="minorHAnsi"/>
          <w:lang w:eastAsia="en-US"/>
        </w:rPr>
        <w:t xml:space="preserve"> their </w:t>
      </w:r>
      <w:r w:rsidR="00EB318C">
        <w:rPr>
          <w:rFonts w:eastAsiaTheme="minorHAnsi"/>
          <w:lang w:eastAsia="en-US"/>
        </w:rPr>
        <w:t>losses</w:t>
      </w:r>
      <w:r w:rsidR="00D623A5">
        <w:rPr>
          <w:rFonts w:eastAsiaTheme="minorHAnsi"/>
          <w:lang w:eastAsia="en-US"/>
        </w:rPr>
        <w:t xml:space="preserve"> </w:t>
      </w:r>
      <w:r w:rsidR="007B5686">
        <w:rPr>
          <w:rFonts w:eastAsiaTheme="minorHAnsi"/>
          <w:lang w:eastAsia="en-US"/>
        </w:rPr>
        <w:t xml:space="preserve">(both financial and </w:t>
      </w:r>
      <w:r w:rsidR="002D70FB">
        <w:rPr>
          <w:rFonts w:eastAsiaTheme="minorHAnsi"/>
          <w:lang w:eastAsia="en-US"/>
        </w:rPr>
        <w:t>of their</w:t>
      </w:r>
      <w:r w:rsidR="007B5686">
        <w:rPr>
          <w:rFonts w:eastAsiaTheme="minorHAnsi"/>
          <w:lang w:eastAsia="en-US"/>
        </w:rPr>
        <w:t xml:space="preserve"> identity) </w:t>
      </w:r>
      <w:r w:rsidR="004D56F0">
        <w:rPr>
          <w:rFonts w:eastAsiaTheme="minorHAnsi"/>
          <w:lang w:eastAsia="en-US"/>
        </w:rPr>
        <w:t>and may</w:t>
      </w:r>
      <w:r w:rsidR="00B11507">
        <w:rPr>
          <w:rFonts w:eastAsiaTheme="minorHAnsi"/>
          <w:lang w:eastAsia="en-US"/>
        </w:rPr>
        <w:t xml:space="preserve"> </w:t>
      </w:r>
      <w:r w:rsidR="00D623A5">
        <w:rPr>
          <w:rFonts w:eastAsiaTheme="minorHAnsi"/>
          <w:lang w:eastAsia="en-US"/>
        </w:rPr>
        <w:t>us</w:t>
      </w:r>
      <w:r w:rsidR="004F03FF">
        <w:rPr>
          <w:rFonts w:eastAsiaTheme="minorHAnsi"/>
          <w:lang w:eastAsia="en-US"/>
        </w:rPr>
        <w:t>e</w:t>
      </w:r>
      <w:r w:rsidR="00D623A5">
        <w:rPr>
          <w:rFonts w:eastAsiaTheme="minorHAnsi"/>
          <w:lang w:eastAsia="en-US"/>
        </w:rPr>
        <w:t xml:space="preserve"> support services to assist them. </w:t>
      </w:r>
      <w:r w:rsidR="00B11507">
        <w:rPr>
          <w:rFonts w:eastAsiaTheme="minorHAnsi"/>
          <w:lang w:eastAsia="en-US"/>
        </w:rPr>
        <w:t xml:space="preserve">For example, </w:t>
      </w:r>
      <w:r w:rsidR="00DB293D">
        <w:rPr>
          <w:rFonts w:eastAsiaTheme="minorHAnsi"/>
          <w:lang w:eastAsia="en-US"/>
        </w:rPr>
        <w:t xml:space="preserve">they may seek advice from IDCARE before </w:t>
      </w:r>
      <w:r w:rsidR="00D623A5">
        <w:rPr>
          <w:rFonts w:eastAsiaTheme="minorHAnsi"/>
          <w:lang w:eastAsia="en-US"/>
        </w:rPr>
        <w:t>contacting government services that might be compromised (</w:t>
      </w:r>
      <w:r w:rsidR="00B11507">
        <w:rPr>
          <w:rFonts w:eastAsiaTheme="minorHAnsi"/>
          <w:lang w:eastAsia="en-US"/>
        </w:rPr>
        <w:t>such as</w:t>
      </w:r>
      <w:r w:rsidR="00D623A5">
        <w:rPr>
          <w:rFonts w:eastAsiaTheme="minorHAnsi"/>
          <w:lang w:eastAsia="en-US"/>
        </w:rPr>
        <w:t xml:space="preserve"> my</w:t>
      </w:r>
      <w:r w:rsidR="00881CBB">
        <w:rPr>
          <w:rFonts w:eastAsiaTheme="minorHAnsi"/>
          <w:lang w:eastAsia="en-US"/>
        </w:rPr>
        <w:t>G</w:t>
      </w:r>
      <w:r w:rsidR="00D623A5">
        <w:rPr>
          <w:rFonts w:eastAsiaTheme="minorHAnsi"/>
          <w:lang w:eastAsia="en-US"/>
        </w:rPr>
        <w:t>ov, ATO</w:t>
      </w:r>
      <w:r w:rsidR="00E576AF">
        <w:rPr>
          <w:rFonts w:eastAsiaTheme="minorHAnsi"/>
          <w:lang w:eastAsia="en-US"/>
        </w:rPr>
        <w:t xml:space="preserve">, </w:t>
      </w:r>
      <w:r w:rsidR="00977F5B">
        <w:rPr>
          <w:rFonts w:eastAsiaTheme="minorHAnsi"/>
          <w:lang w:eastAsia="en-US"/>
        </w:rPr>
        <w:t>Medicare</w:t>
      </w:r>
      <w:r w:rsidR="00D623A5">
        <w:rPr>
          <w:rFonts w:eastAsiaTheme="minorHAnsi"/>
          <w:lang w:eastAsia="en-US"/>
        </w:rPr>
        <w:t xml:space="preserve">), </w:t>
      </w:r>
      <w:r w:rsidR="00B11507">
        <w:rPr>
          <w:rFonts w:eastAsiaTheme="minorHAnsi"/>
          <w:lang w:eastAsia="en-US"/>
        </w:rPr>
        <w:t xml:space="preserve">their </w:t>
      </w:r>
      <w:r w:rsidR="00D623A5">
        <w:rPr>
          <w:rFonts w:eastAsiaTheme="minorHAnsi"/>
          <w:lang w:eastAsia="en-US"/>
        </w:rPr>
        <w:t>financial institutions (banks, superannuation, investment firms)</w:t>
      </w:r>
      <w:r w:rsidR="00FA2CA9">
        <w:rPr>
          <w:rFonts w:eastAsiaTheme="minorHAnsi"/>
          <w:lang w:eastAsia="en-US"/>
        </w:rPr>
        <w:t xml:space="preserve"> and the</w:t>
      </w:r>
      <w:r w:rsidR="007B5686">
        <w:rPr>
          <w:rFonts w:eastAsiaTheme="minorHAnsi"/>
          <w:lang w:eastAsia="en-US"/>
        </w:rPr>
        <w:t>ir</w:t>
      </w:r>
      <w:r w:rsidR="00FA2CA9">
        <w:rPr>
          <w:rFonts w:eastAsiaTheme="minorHAnsi"/>
          <w:lang w:eastAsia="en-US"/>
        </w:rPr>
        <w:t xml:space="preserve"> mobile carriage service provider </w:t>
      </w:r>
      <w:r>
        <w:rPr>
          <w:rFonts w:eastAsiaTheme="minorHAnsi"/>
          <w:lang w:eastAsia="en-US"/>
        </w:rPr>
        <w:t xml:space="preserve">to </w:t>
      </w:r>
      <w:r w:rsidR="00FA2CA9">
        <w:rPr>
          <w:rFonts w:eastAsiaTheme="minorHAnsi"/>
          <w:lang w:eastAsia="en-US"/>
        </w:rPr>
        <w:t>regain control of their mobile number.</w:t>
      </w:r>
    </w:p>
    <w:p w14:paraId="468DF1D5" w14:textId="0472F07D" w:rsidR="00222B6A" w:rsidRDefault="00867DDB" w:rsidP="005A75D4">
      <w:pPr>
        <w:pStyle w:val="Paragraph"/>
        <w:rPr>
          <w:rFonts w:eastAsiaTheme="minorHAnsi"/>
          <w:lang w:eastAsia="en-US"/>
        </w:rPr>
      </w:pPr>
      <w:r w:rsidRPr="00806C27">
        <w:rPr>
          <w:i/>
          <w:noProof/>
        </w:rPr>
        <w:drawing>
          <wp:anchor distT="0" distB="0" distL="114300" distR="114300" simplePos="0" relativeHeight="251662336" behindDoc="1" locked="0" layoutInCell="1" allowOverlap="1" wp14:anchorId="292C942E" wp14:editId="0298CE1A">
            <wp:simplePos x="0" y="0"/>
            <wp:positionH relativeFrom="column">
              <wp:posOffset>635</wp:posOffset>
            </wp:positionH>
            <wp:positionV relativeFrom="paragraph">
              <wp:posOffset>604520</wp:posOffset>
            </wp:positionV>
            <wp:extent cx="410210" cy="410210"/>
            <wp:effectExtent l="0" t="0" r="0" b="8890"/>
            <wp:wrapTight wrapText="bothSides">
              <wp:wrapPolygon edited="0">
                <wp:start x="5015" y="0"/>
                <wp:lineTo x="1003" y="7022"/>
                <wp:lineTo x="1003" y="13040"/>
                <wp:lineTo x="5015" y="21065"/>
                <wp:lineTo x="16050" y="21065"/>
                <wp:lineTo x="20062" y="13040"/>
                <wp:lineTo x="20062" y="7022"/>
                <wp:lineTo x="16050" y="0"/>
                <wp:lineTo x="5015" y="0"/>
              </wp:wrapPolygon>
            </wp:wrapTight>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withleftarrow.svg"/>
                    <pic:cNvPicPr/>
                  </pic:nvPicPr>
                  <pic:blipFill>
                    <a:blip r:embed="rId29">
                      <a:extLst>
                        <a:ext uri="{96DAC541-7B7A-43D3-8B79-37D633B846F1}">
                          <asvg:svgBlip xmlns:asvg="http://schemas.microsoft.com/office/drawing/2016/SVG/main" r:embed="rId30"/>
                        </a:ext>
                      </a:extLst>
                    </a:blip>
                    <a:stretch>
                      <a:fillRect/>
                    </a:stretch>
                  </pic:blipFill>
                  <pic:spPr>
                    <a:xfrm>
                      <a:off x="0" y="0"/>
                      <a:ext cx="410210" cy="410210"/>
                    </a:xfrm>
                    <a:prstGeom prst="rect">
                      <a:avLst/>
                    </a:prstGeom>
                  </pic:spPr>
                </pic:pic>
              </a:graphicData>
            </a:graphic>
            <wp14:sizeRelH relativeFrom="page">
              <wp14:pctWidth>0</wp14:pctWidth>
            </wp14:sizeRelH>
            <wp14:sizeRelV relativeFrom="page">
              <wp14:pctHeight>0</wp14:pctHeight>
            </wp14:sizeRelV>
          </wp:anchor>
        </w:drawing>
      </w:r>
      <w:r w:rsidR="006576A4">
        <w:rPr>
          <w:rFonts w:eastAsiaTheme="minorHAnsi"/>
          <w:lang w:eastAsia="en-US"/>
        </w:rPr>
        <w:t xml:space="preserve">In figures for 2017–18, IDCARE estimated that an average of 32 hours is spent </w:t>
      </w:r>
      <w:r w:rsidR="00D67E36">
        <w:rPr>
          <w:rFonts w:eastAsiaTheme="minorHAnsi"/>
          <w:lang w:eastAsia="en-US"/>
        </w:rPr>
        <w:t xml:space="preserve">by customers </w:t>
      </w:r>
      <w:r w:rsidR="006576A4">
        <w:rPr>
          <w:rFonts w:eastAsiaTheme="minorHAnsi"/>
          <w:lang w:eastAsia="en-US"/>
        </w:rPr>
        <w:t xml:space="preserve">to address identity </w:t>
      </w:r>
      <w:r w:rsidR="006576A4" w:rsidRPr="000F5C8E">
        <w:rPr>
          <w:rFonts w:eastAsiaTheme="minorHAnsi"/>
        </w:rPr>
        <w:t>theft</w:t>
      </w:r>
      <w:r w:rsidR="006576A4">
        <w:rPr>
          <w:rFonts w:eastAsiaTheme="minorHAnsi"/>
        </w:rPr>
        <w:t>.</w:t>
      </w:r>
      <w:r w:rsidR="006576A4">
        <w:rPr>
          <w:rStyle w:val="FootnoteReference"/>
          <w:rFonts w:eastAsiaTheme="minorHAnsi"/>
          <w:lang w:eastAsia="en-US"/>
        </w:rPr>
        <w:footnoteReference w:id="32"/>
      </w:r>
      <w:r w:rsidR="006576A4" w:rsidRPr="00B0458C">
        <w:rPr>
          <w:rFonts w:cs="Times New Roman"/>
        </w:rPr>
        <w:t xml:space="preserve"> </w:t>
      </w:r>
      <w:r w:rsidR="00222B6A">
        <w:t>These figures do not include lost productivity where a customer has taken time off work to address identity theft.</w:t>
      </w:r>
    </w:p>
    <w:p w14:paraId="16386E3E" w14:textId="082B694A" w:rsidR="002D70FB" w:rsidRPr="00763ADF" w:rsidRDefault="006576A4" w:rsidP="00867DDB">
      <w:pPr>
        <w:pStyle w:val="Paragraph"/>
        <w:rPr>
          <w:rFonts w:eastAsiaTheme="minorHAnsi"/>
          <w:lang w:eastAsia="en-US"/>
        </w:rPr>
      </w:pPr>
      <w:r w:rsidRPr="00867DDB">
        <w:rPr>
          <w:rFonts w:eastAsiaTheme="minorHAnsi"/>
          <w:i/>
        </w:rPr>
        <w:t xml:space="preserve">Calculated at </w:t>
      </w:r>
      <w:r w:rsidRPr="00867DDB">
        <w:rPr>
          <w:i/>
        </w:rPr>
        <w:t>the OBPR leisure labour rate of $3</w:t>
      </w:r>
      <w:r w:rsidR="002D70FB" w:rsidRPr="00867DDB">
        <w:rPr>
          <w:i/>
        </w:rPr>
        <w:t>2</w:t>
      </w:r>
      <w:r w:rsidRPr="00867DDB">
        <w:rPr>
          <w:i/>
        </w:rPr>
        <w:t xml:space="preserve"> per hour </w:t>
      </w:r>
      <w:r w:rsidR="005059D1" w:rsidRPr="00867DDB">
        <w:rPr>
          <w:i/>
        </w:rPr>
        <w:t xml:space="preserve">for private citizens </w:t>
      </w:r>
      <w:r w:rsidRPr="00867DDB">
        <w:rPr>
          <w:i/>
        </w:rPr>
        <w:t>(and</w:t>
      </w:r>
      <w:r w:rsidR="00D9054A" w:rsidRPr="00867DDB">
        <w:rPr>
          <w:i/>
        </w:rPr>
        <w:t xml:space="preserve"> based on an</w:t>
      </w:r>
      <w:r w:rsidRPr="00867DDB">
        <w:rPr>
          <w:i/>
        </w:rPr>
        <w:t xml:space="preserve"> estimate of </w:t>
      </w:r>
      <w:r w:rsidR="00D513D7" w:rsidRPr="00867DDB">
        <w:rPr>
          <w:i/>
        </w:rPr>
        <w:t>2</w:t>
      </w:r>
      <w:r w:rsidR="006E10BF" w:rsidRPr="00867DDB">
        <w:rPr>
          <w:i/>
        </w:rPr>
        <w:t>,</w:t>
      </w:r>
      <w:r w:rsidR="00D513D7" w:rsidRPr="00867DDB">
        <w:rPr>
          <w:i/>
        </w:rPr>
        <w:t>688</w:t>
      </w:r>
      <w:r w:rsidRPr="00867DDB">
        <w:rPr>
          <w:i/>
        </w:rPr>
        <w:t xml:space="preserve"> complaints </w:t>
      </w:r>
      <w:r w:rsidR="00D513D7" w:rsidRPr="00867DDB">
        <w:rPr>
          <w:i/>
        </w:rPr>
        <w:t>in 2020</w:t>
      </w:r>
      <w:r w:rsidRPr="00867DDB">
        <w:rPr>
          <w:i/>
        </w:rPr>
        <w:t xml:space="preserve">), </w:t>
      </w:r>
      <w:r w:rsidR="00D9054A" w:rsidRPr="00867DDB">
        <w:rPr>
          <w:i/>
        </w:rPr>
        <w:t xml:space="preserve">this </w:t>
      </w:r>
      <w:r w:rsidRPr="00867DDB">
        <w:rPr>
          <w:i/>
        </w:rPr>
        <w:t>represents a minimum cost of $</w:t>
      </w:r>
      <w:r w:rsidR="009E3625" w:rsidRPr="00867DDB">
        <w:rPr>
          <w:i/>
        </w:rPr>
        <w:t>1,024</w:t>
      </w:r>
      <w:r w:rsidRPr="00867DDB">
        <w:rPr>
          <w:i/>
        </w:rPr>
        <w:t xml:space="preserve"> per </w:t>
      </w:r>
      <w:r w:rsidR="00AD49B7" w:rsidRPr="00867DDB">
        <w:rPr>
          <w:i/>
        </w:rPr>
        <w:t>victim</w:t>
      </w:r>
      <w:r w:rsidR="00D9054A" w:rsidRPr="00867DDB">
        <w:rPr>
          <w:i/>
        </w:rPr>
        <w:t>—</w:t>
      </w:r>
      <w:r w:rsidRPr="00867DDB">
        <w:rPr>
          <w:i/>
        </w:rPr>
        <w:t>or</w:t>
      </w:r>
      <w:r w:rsidR="009E3625" w:rsidRPr="00867DDB">
        <w:rPr>
          <w:i/>
        </w:rPr>
        <w:t xml:space="preserve"> total</w:t>
      </w:r>
      <w:r w:rsidRPr="00867DDB">
        <w:rPr>
          <w:i/>
        </w:rPr>
        <w:t xml:space="preserve"> losses of $</w:t>
      </w:r>
      <w:r w:rsidR="009E3625" w:rsidRPr="00867DDB">
        <w:rPr>
          <w:i/>
        </w:rPr>
        <w:t>2,</w:t>
      </w:r>
      <w:r w:rsidR="00D513D7" w:rsidRPr="00867DDB">
        <w:rPr>
          <w:i/>
        </w:rPr>
        <w:t>752,512</w:t>
      </w:r>
      <w:r w:rsidRPr="00867DDB">
        <w:rPr>
          <w:i/>
        </w:rPr>
        <w:t xml:space="preserve"> per year</w:t>
      </w:r>
      <w:r w:rsidRPr="00763ADF">
        <w:t>.</w:t>
      </w:r>
    </w:p>
    <w:p w14:paraId="022B21CA" w14:textId="27C43F8F" w:rsidR="006542AF" w:rsidRDefault="006542AF" w:rsidP="006542AF">
      <w:pPr>
        <w:pStyle w:val="Paragraph"/>
        <w:rPr>
          <w:rFonts w:eastAsiaTheme="minorHAnsi"/>
          <w:lang w:eastAsia="en-US"/>
        </w:rPr>
      </w:pPr>
      <w:r>
        <w:rPr>
          <w:rFonts w:eastAsiaTheme="minorHAnsi"/>
          <w:lang w:eastAsia="en-US"/>
        </w:rPr>
        <w:t>Victims of identity theft can also experience multiple instances of fraud over months or years.</w:t>
      </w:r>
      <w:r>
        <w:rPr>
          <w:rStyle w:val="FootnoteReference"/>
          <w:rFonts w:eastAsiaTheme="minorHAnsi"/>
          <w:lang w:eastAsia="en-US"/>
        </w:rPr>
        <w:footnoteReference w:id="33"/>
      </w:r>
      <w:r>
        <w:rPr>
          <w:rFonts w:eastAsiaTheme="minorHAnsi"/>
          <w:lang w:eastAsia="en-US"/>
        </w:rPr>
        <w:t xml:space="preserve"> Support service </w:t>
      </w:r>
      <w:hyperlink r:id="rId34" w:history="1">
        <w:r w:rsidRPr="009D2824">
          <w:rPr>
            <w:rStyle w:val="Hyperlink"/>
            <w:rFonts w:eastAsiaTheme="minorHAnsi"/>
            <w:lang w:eastAsia="en-US"/>
          </w:rPr>
          <w:t>IDCARE recommend</w:t>
        </w:r>
      </w:hyperlink>
      <w:r w:rsidR="001947AA">
        <w:rPr>
          <w:rStyle w:val="Hyperlink"/>
          <w:rFonts w:eastAsiaTheme="minorHAnsi"/>
          <w:lang w:eastAsia="en-US"/>
        </w:rPr>
        <w:t>s</w:t>
      </w:r>
      <w:r>
        <w:rPr>
          <w:rFonts w:eastAsiaTheme="minorHAnsi"/>
          <w:lang w:eastAsia="en-US"/>
        </w:rPr>
        <w:t xml:space="preserve"> victims set up yearly reporting to allow for continual monitoring. </w:t>
      </w:r>
      <w:r w:rsidR="006A2876">
        <w:rPr>
          <w:rFonts w:eastAsiaTheme="minorHAnsi"/>
          <w:lang w:eastAsia="en-US"/>
        </w:rPr>
        <w:t xml:space="preserve">Identity theft has </w:t>
      </w:r>
      <w:r>
        <w:rPr>
          <w:rFonts w:eastAsiaTheme="minorHAnsi"/>
          <w:lang w:eastAsia="en-US"/>
        </w:rPr>
        <w:t>long-term</w:t>
      </w:r>
      <w:r w:rsidR="006A2876">
        <w:rPr>
          <w:rFonts w:eastAsiaTheme="minorHAnsi"/>
          <w:lang w:eastAsia="en-US"/>
        </w:rPr>
        <w:t>,</w:t>
      </w:r>
      <w:r>
        <w:rPr>
          <w:rFonts w:eastAsiaTheme="minorHAnsi"/>
          <w:lang w:eastAsia="en-US"/>
        </w:rPr>
        <w:t xml:space="preserve"> unquantifiable repercussions for victim</w:t>
      </w:r>
      <w:r w:rsidR="000D6FE0">
        <w:rPr>
          <w:rFonts w:eastAsiaTheme="minorHAnsi"/>
          <w:lang w:eastAsia="en-US"/>
        </w:rPr>
        <w:t>s</w:t>
      </w:r>
      <w:r>
        <w:rPr>
          <w:rFonts w:eastAsiaTheme="minorHAnsi"/>
          <w:lang w:eastAsia="en-US"/>
        </w:rPr>
        <w:t>.</w:t>
      </w:r>
    </w:p>
    <w:p w14:paraId="4C74059B" w14:textId="419E84D1" w:rsidR="00222B6A" w:rsidDel="00181D8D" w:rsidRDefault="00AC4121" w:rsidP="00682236">
      <w:pPr>
        <w:pStyle w:val="Paragraph"/>
        <w:spacing w:before="240"/>
        <w:rPr>
          <w:rFonts w:eastAsiaTheme="minorHAnsi"/>
          <w:lang w:eastAsia="en-US"/>
        </w:rPr>
      </w:pPr>
      <w:r w:rsidDel="00181D8D">
        <w:rPr>
          <w:rFonts w:eastAsiaTheme="minorHAnsi"/>
          <w:lang w:eastAsia="en-US"/>
        </w:rPr>
        <w:t xml:space="preserve">But </w:t>
      </w:r>
      <w:r w:rsidR="00682236" w:rsidDel="00181D8D">
        <w:rPr>
          <w:rFonts w:eastAsiaTheme="minorHAnsi"/>
          <w:lang w:eastAsia="en-US"/>
        </w:rPr>
        <w:t>t</w:t>
      </w:r>
      <w:r w:rsidR="003C64F8" w:rsidDel="00181D8D">
        <w:rPr>
          <w:rFonts w:eastAsiaTheme="minorHAnsi"/>
          <w:lang w:eastAsia="en-US"/>
        </w:rPr>
        <w:t xml:space="preserve">he impact </w:t>
      </w:r>
      <w:r w:rsidR="008A4D97" w:rsidDel="00181D8D">
        <w:rPr>
          <w:rFonts w:eastAsiaTheme="minorHAnsi"/>
          <w:lang w:eastAsia="en-US"/>
        </w:rPr>
        <w:t>o</w:t>
      </w:r>
      <w:r w:rsidR="003C64F8" w:rsidDel="00181D8D">
        <w:rPr>
          <w:rFonts w:eastAsiaTheme="minorHAnsi"/>
          <w:lang w:eastAsia="en-US"/>
        </w:rPr>
        <w:t xml:space="preserve">f mobile porting fraud on customers whose identity </w:t>
      </w:r>
      <w:r w:rsidR="00682236" w:rsidDel="00181D8D">
        <w:rPr>
          <w:rFonts w:eastAsiaTheme="minorHAnsi"/>
          <w:lang w:eastAsia="en-US"/>
        </w:rPr>
        <w:t xml:space="preserve">is </w:t>
      </w:r>
      <w:r w:rsidR="003C64F8" w:rsidDel="00181D8D">
        <w:rPr>
          <w:rFonts w:eastAsiaTheme="minorHAnsi"/>
          <w:lang w:eastAsia="en-US"/>
        </w:rPr>
        <w:t>stolen goes beyond economic losses suffered</w:t>
      </w:r>
      <w:r w:rsidR="006576A4" w:rsidDel="00181D8D">
        <w:rPr>
          <w:rFonts w:eastAsiaTheme="minorHAnsi"/>
          <w:lang w:eastAsia="en-US"/>
        </w:rPr>
        <w:t>.</w:t>
      </w:r>
      <w:r w:rsidDel="00181D8D">
        <w:rPr>
          <w:rStyle w:val="FootnoteReference"/>
          <w:rFonts w:eastAsiaTheme="minorHAnsi"/>
          <w:lang w:eastAsia="en-US"/>
        </w:rPr>
        <w:footnoteReference w:id="34"/>
      </w:r>
      <w:r w:rsidDel="00181D8D">
        <w:rPr>
          <w:rFonts w:eastAsiaTheme="minorHAnsi"/>
          <w:lang w:eastAsia="en-US"/>
        </w:rPr>
        <w:t xml:space="preserve"> </w:t>
      </w:r>
      <w:r w:rsidR="00421AB0" w:rsidDel="00181D8D">
        <w:rPr>
          <w:rFonts w:eastAsiaTheme="minorHAnsi"/>
          <w:lang w:eastAsia="en-US"/>
        </w:rPr>
        <w:t>I</w:t>
      </w:r>
      <w:r w:rsidR="00421AB0" w:rsidRPr="00A46946" w:rsidDel="00181D8D">
        <w:rPr>
          <w:rFonts w:eastAsiaTheme="minorHAnsi"/>
          <w:lang w:eastAsia="en-US"/>
        </w:rPr>
        <w:t>dentity theft affects more than just any single individual</w:t>
      </w:r>
      <w:r w:rsidR="00421AB0" w:rsidDel="00181D8D">
        <w:rPr>
          <w:rFonts w:eastAsiaTheme="minorHAnsi"/>
          <w:lang w:eastAsia="en-US"/>
        </w:rPr>
        <w:t>. The</w:t>
      </w:r>
      <w:r w:rsidR="006576A4" w:rsidDel="00181D8D">
        <w:rPr>
          <w:rFonts w:eastAsiaTheme="minorHAnsi"/>
          <w:lang w:eastAsia="en-US"/>
        </w:rPr>
        <w:t xml:space="preserve"> fraud </w:t>
      </w:r>
      <w:r w:rsidR="00EC7309">
        <w:rPr>
          <w:rFonts w:eastAsiaTheme="minorHAnsi"/>
          <w:lang w:eastAsia="en-US"/>
        </w:rPr>
        <w:t xml:space="preserve">can </w:t>
      </w:r>
      <w:r w:rsidR="003222B0">
        <w:rPr>
          <w:rFonts w:eastAsiaTheme="minorHAnsi"/>
          <w:lang w:eastAsia="en-US"/>
        </w:rPr>
        <w:t>impact</w:t>
      </w:r>
      <w:r w:rsidR="006576A4" w:rsidDel="00181D8D">
        <w:rPr>
          <w:rFonts w:eastAsiaTheme="minorHAnsi"/>
          <w:lang w:eastAsia="en-US"/>
        </w:rPr>
        <w:t xml:space="preserve"> those close to victims, with financial and psychological stress i</w:t>
      </w:r>
      <w:r w:rsidR="00EC7309">
        <w:rPr>
          <w:rFonts w:eastAsiaTheme="minorHAnsi"/>
          <w:lang w:eastAsia="en-US"/>
        </w:rPr>
        <w:t>nvolved</w:t>
      </w:r>
      <w:r w:rsidR="006576A4" w:rsidDel="00181D8D">
        <w:rPr>
          <w:rFonts w:eastAsiaTheme="minorHAnsi"/>
          <w:lang w:eastAsia="en-US"/>
        </w:rPr>
        <w:t xml:space="preserve">. In some </w:t>
      </w:r>
      <w:r w:rsidR="00A27BE4">
        <w:rPr>
          <w:rFonts w:eastAsiaTheme="minorHAnsi"/>
          <w:lang w:eastAsia="en-US"/>
        </w:rPr>
        <w:t xml:space="preserve">extreme </w:t>
      </w:r>
      <w:r w:rsidR="001E12F2" w:rsidDel="00181D8D">
        <w:rPr>
          <w:rFonts w:eastAsiaTheme="minorHAnsi"/>
          <w:lang w:eastAsia="en-US"/>
        </w:rPr>
        <w:t>cases,</w:t>
      </w:r>
      <w:r w:rsidR="006576A4" w:rsidDel="00181D8D">
        <w:rPr>
          <w:rFonts w:eastAsiaTheme="minorHAnsi"/>
          <w:lang w:eastAsia="en-US"/>
        </w:rPr>
        <w:t xml:space="preserve"> victims have difficulties in finding </w:t>
      </w:r>
      <w:r w:rsidR="00AE63B1" w:rsidDel="00181D8D">
        <w:rPr>
          <w:rFonts w:eastAsiaTheme="minorHAnsi"/>
          <w:lang w:eastAsia="en-US"/>
        </w:rPr>
        <w:t>employment</w:t>
      </w:r>
      <w:r w:rsidR="006576A4" w:rsidDel="00181D8D">
        <w:rPr>
          <w:rFonts w:eastAsiaTheme="minorHAnsi"/>
          <w:lang w:eastAsia="en-US"/>
        </w:rPr>
        <w:t xml:space="preserve">, </w:t>
      </w:r>
      <w:r w:rsidR="0066698E" w:rsidDel="00181D8D">
        <w:rPr>
          <w:rFonts w:eastAsiaTheme="minorHAnsi"/>
          <w:lang w:eastAsia="en-US"/>
        </w:rPr>
        <w:t>are refused services</w:t>
      </w:r>
      <w:r w:rsidR="006576A4" w:rsidDel="00181D8D">
        <w:rPr>
          <w:rFonts w:eastAsiaTheme="minorHAnsi"/>
          <w:lang w:eastAsia="en-US"/>
        </w:rPr>
        <w:t xml:space="preserve"> or </w:t>
      </w:r>
      <w:r w:rsidR="0066698E" w:rsidDel="00181D8D">
        <w:rPr>
          <w:rFonts w:eastAsiaTheme="minorHAnsi"/>
          <w:lang w:eastAsia="en-US"/>
        </w:rPr>
        <w:t>are refused</w:t>
      </w:r>
      <w:r w:rsidR="006576A4" w:rsidDel="00181D8D">
        <w:rPr>
          <w:rFonts w:eastAsiaTheme="minorHAnsi"/>
          <w:lang w:eastAsia="en-US"/>
        </w:rPr>
        <w:t xml:space="preserve"> credit due to the fraud.</w:t>
      </w:r>
      <w:r w:rsidDel="00181D8D">
        <w:rPr>
          <w:rStyle w:val="FootnoteReference"/>
          <w:rFonts w:eastAsiaTheme="minorHAnsi"/>
          <w:lang w:eastAsia="en-US"/>
        </w:rPr>
        <w:footnoteReference w:id="35"/>
      </w:r>
    </w:p>
    <w:p w14:paraId="22EE6BD3" w14:textId="01F2F4D2" w:rsidR="006576A4" w:rsidRDefault="006576A4" w:rsidP="006576A4">
      <w:pPr>
        <w:pStyle w:val="Paragraph"/>
        <w:rPr>
          <w:rFonts w:eastAsiaTheme="minorHAnsi"/>
          <w:lang w:eastAsia="en-US"/>
        </w:rPr>
      </w:pPr>
      <w:r>
        <w:rPr>
          <w:rFonts w:eastAsiaTheme="minorHAnsi"/>
          <w:lang w:eastAsia="en-US"/>
        </w:rPr>
        <w:t xml:space="preserve">In a survey conducted by the </w:t>
      </w:r>
      <w:hyperlink r:id="rId35" w:history="1">
        <w:r w:rsidRPr="00243B40">
          <w:rPr>
            <w:rStyle w:val="Hyperlink"/>
            <w:rFonts w:eastAsiaTheme="minorHAnsi"/>
            <w:lang w:eastAsia="en-US"/>
          </w:rPr>
          <w:t>Identity Theft Resource Centre</w:t>
        </w:r>
      </w:hyperlink>
      <w:r>
        <w:rPr>
          <w:rFonts w:eastAsiaTheme="minorHAnsi"/>
          <w:lang w:eastAsia="en-US"/>
        </w:rPr>
        <w:t>, victims reported significant distress well beyond the initial instance of fraud. They reported feelings of anxiety, anger and frustration, violation, powerlessness and sadness. These feelings result in physical consequences including problems with sleep, increased stress levels, concentration issues, persistent aches, pains or headaches and fatigue.</w:t>
      </w:r>
    </w:p>
    <w:p w14:paraId="4370513D" w14:textId="6C2330C4" w:rsidR="00574DEE" w:rsidRPr="002D5C23" w:rsidRDefault="00DE0F31" w:rsidP="002D5C23">
      <w:pPr>
        <w:pStyle w:val="Heading3"/>
        <w:shd w:val="clear" w:color="auto" w:fill="F2F2F2" w:themeFill="background1" w:themeFillShade="F2"/>
        <w:spacing w:before="0"/>
        <w:rPr>
          <w:rFonts w:eastAsiaTheme="minorHAnsi"/>
          <w:i/>
          <w:lang w:eastAsia="en-US"/>
        </w:rPr>
      </w:pPr>
      <w:bookmarkStart w:id="88" w:name="_Toc32833696"/>
      <w:bookmarkStart w:id="89" w:name="_Toc33176379"/>
      <w:r>
        <w:rPr>
          <w:rFonts w:eastAsiaTheme="minorHAnsi"/>
          <w:i/>
          <w:lang w:eastAsia="en-US"/>
        </w:rPr>
        <w:lastRenderedPageBreak/>
        <w:t>Example</w:t>
      </w:r>
      <w:r w:rsidR="00574DEE" w:rsidRPr="002D5C23">
        <w:rPr>
          <w:rFonts w:eastAsiaTheme="minorHAnsi"/>
          <w:i/>
          <w:lang w:eastAsia="en-US"/>
        </w:rPr>
        <w:t xml:space="preserve"> </w:t>
      </w:r>
      <w:r w:rsidR="00360B41" w:rsidRPr="002D5C23">
        <w:rPr>
          <w:rFonts w:eastAsiaTheme="minorHAnsi"/>
          <w:i/>
          <w:lang w:eastAsia="en-US"/>
        </w:rPr>
        <w:t>3:</w:t>
      </w:r>
      <w:r w:rsidR="00574DEE" w:rsidRPr="002D5C23">
        <w:rPr>
          <w:rFonts w:eastAsiaTheme="minorHAnsi"/>
          <w:i/>
          <w:lang w:eastAsia="en-US"/>
        </w:rPr>
        <w:t xml:space="preserve"> </w:t>
      </w:r>
      <w:r w:rsidR="007F1A98" w:rsidRPr="002D5C23">
        <w:rPr>
          <w:rFonts w:eastAsiaTheme="minorHAnsi"/>
          <w:i/>
          <w:lang w:eastAsia="en-US"/>
        </w:rPr>
        <w:t>Identity theft takes</w:t>
      </w:r>
      <w:r w:rsidR="00EE1539" w:rsidRPr="002D5C23">
        <w:rPr>
          <w:rFonts w:eastAsiaTheme="minorHAnsi"/>
          <w:i/>
          <w:lang w:eastAsia="en-US"/>
        </w:rPr>
        <w:t xml:space="preserve"> an emotional</w:t>
      </w:r>
      <w:r w:rsidR="007F1A98" w:rsidRPr="002D5C23">
        <w:rPr>
          <w:rFonts w:eastAsiaTheme="minorHAnsi"/>
          <w:i/>
          <w:lang w:eastAsia="en-US"/>
        </w:rPr>
        <w:t xml:space="preserve"> toll</w:t>
      </w:r>
      <w:bookmarkEnd w:id="88"/>
      <w:bookmarkEnd w:id="89"/>
      <w:r w:rsidR="00574DEE" w:rsidRPr="002D5C23">
        <w:rPr>
          <w:rFonts w:eastAsiaTheme="minorHAnsi"/>
          <w:i/>
          <w:lang w:eastAsia="en-US"/>
        </w:rPr>
        <w:t xml:space="preserve"> </w:t>
      </w:r>
    </w:p>
    <w:p w14:paraId="5473C55F" w14:textId="25D4D6D9" w:rsidR="007F1A98" w:rsidRDefault="00877616" w:rsidP="002D5C23">
      <w:pPr>
        <w:shd w:val="clear" w:color="auto" w:fill="F2F2F2" w:themeFill="background1" w:themeFillShade="F2"/>
        <w:rPr>
          <w:rFonts w:eastAsia="Calibri" w:cs="Arial"/>
        </w:rPr>
      </w:pPr>
      <w:r>
        <w:rPr>
          <w:rFonts w:eastAsia="Calibri" w:cs="Arial"/>
        </w:rPr>
        <w:t>Cate</w:t>
      </w:r>
      <w:r w:rsidR="00980B62">
        <w:rPr>
          <w:rFonts w:eastAsia="Calibri" w:cs="Arial"/>
        </w:rPr>
        <w:t>*</w:t>
      </w:r>
      <w:r w:rsidR="007F1A98" w:rsidRPr="00AC5D96">
        <w:rPr>
          <w:rFonts w:eastAsia="Calibri" w:cs="Arial"/>
        </w:rPr>
        <w:t xml:space="preserve"> </w:t>
      </w:r>
      <w:r w:rsidR="007F1A98">
        <w:rPr>
          <w:rFonts w:eastAsia="Calibri" w:cs="Arial"/>
        </w:rPr>
        <w:t xml:space="preserve">had her number ported from </w:t>
      </w:r>
      <w:r w:rsidR="00BD602A">
        <w:rPr>
          <w:rFonts w:eastAsia="Calibri" w:cs="Arial"/>
        </w:rPr>
        <w:t>Blue</w:t>
      </w:r>
      <w:r w:rsidR="007F1A98">
        <w:rPr>
          <w:rFonts w:eastAsia="Calibri" w:cs="Arial"/>
        </w:rPr>
        <w:t xml:space="preserve">Tel to </w:t>
      </w:r>
      <w:r w:rsidR="00BB4479">
        <w:rPr>
          <w:rFonts w:eastAsia="Calibri" w:cs="Arial"/>
        </w:rPr>
        <w:t>White</w:t>
      </w:r>
      <w:r w:rsidR="007F1A98">
        <w:rPr>
          <w:rFonts w:eastAsia="Calibri" w:cs="Arial"/>
        </w:rPr>
        <w:t>Tel without authorisation after her driver’s licence was compromised.</w:t>
      </w:r>
    </w:p>
    <w:p w14:paraId="7867AC11" w14:textId="2F7DA64C" w:rsidR="007F1A98" w:rsidRDefault="007F1A98" w:rsidP="002D5C23">
      <w:pPr>
        <w:shd w:val="clear" w:color="auto" w:fill="F2F2F2" w:themeFill="background1" w:themeFillShade="F2"/>
        <w:rPr>
          <w:rFonts w:eastAsia="Calibri" w:cs="Arial"/>
        </w:rPr>
      </w:pPr>
      <w:r>
        <w:rPr>
          <w:rFonts w:eastAsia="Calibri" w:cs="Arial"/>
        </w:rPr>
        <w:t xml:space="preserve">Within </w:t>
      </w:r>
      <w:r w:rsidR="0096137B">
        <w:rPr>
          <w:rFonts w:eastAsia="Calibri" w:cs="Arial"/>
        </w:rPr>
        <w:t xml:space="preserve">10 </w:t>
      </w:r>
      <w:r>
        <w:rPr>
          <w:rFonts w:eastAsia="Calibri" w:cs="Arial"/>
        </w:rPr>
        <w:t>minutes of receiving a text notifying her that her number was to be ported, her phone had stopped sending or receiving text messages and phone calls. By the time she was able to check her accounts, the scammers had accessed her email, bank account, Facebook and committed fraud—transferring nearly $</w:t>
      </w:r>
      <w:r w:rsidR="0020289B">
        <w:rPr>
          <w:rFonts w:eastAsia="Calibri" w:cs="Arial"/>
        </w:rPr>
        <w:t>10</w:t>
      </w:r>
      <w:r>
        <w:rPr>
          <w:rFonts w:eastAsia="Calibri" w:cs="Arial"/>
        </w:rPr>
        <w:t>,000 out of her account.</w:t>
      </w:r>
    </w:p>
    <w:p w14:paraId="3C411138" w14:textId="59B64660" w:rsidR="007F1A98" w:rsidRDefault="007F1A98" w:rsidP="002D5C23">
      <w:pPr>
        <w:shd w:val="clear" w:color="auto" w:fill="F2F2F2" w:themeFill="background1" w:themeFillShade="F2"/>
        <w:rPr>
          <w:rFonts w:eastAsia="Calibri" w:cs="Arial"/>
        </w:rPr>
      </w:pPr>
      <w:r>
        <w:rPr>
          <w:rFonts w:eastAsia="Calibri" w:cs="Arial"/>
        </w:rPr>
        <w:t xml:space="preserve">For weeks afterwards, she could not sleep properly, and was constantly checking her phone, emails and social media accounts for more attempts to take control. While the financial loss has been significant, </w:t>
      </w:r>
      <w:r w:rsidR="00877616">
        <w:rPr>
          <w:rFonts w:eastAsia="Calibri" w:cs="Arial"/>
        </w:rPr>
        <w:t xml:space="preserve">Cate </w:t>
      </w:r>
      <w:r>
        <w:rPr>
          <w:rFonts w:eastAsia="Calibri" w:cs="Arial"/>
        </w:rPr>
        <w:t xml:space="preserve">said the ongoing </w:t>
      </w:r>
      <w:r w:rsidRPr="00AC5D96">
        <w:rPr>
          <w:rFonts w:eastAsia="Calibri" w:cs="Arial"/>
        </w:rPr>
        <w:t>feeling of persecution</w:t>
      </w:r>
      <w:r>
        <w:rPr>
          <w:rFonts w:eastAsia="Calibri" w:cs="Arial"/>
        </w:rPr>
        <w:t xml:space="preserve"> and n</w:t>
      </w:r>
      <w:r w:rsidRPr="00AC5D96">
        <w:rPr>
          <w:rFonts w:eastAsia="Calibri" w:cs="Arial"/>
        </w:rPr>
        <w:t xml:space="preserve">ot being able to trust </w:t>
      </w:r>
      <w:r>
        <w:rPr>
          <w:rFonts w:eastAsia="Calibri" w:cs="Arial"/>
        </w:rPr>
        <w:t>anyone</w:t>
      </w:r>
      <w:r w:rsidRPr="00AC5D96">
        <w:rPr>
          <w:rFonts w:eastAsia="Calibri" w:cs="Arial"/>
        </w:rPr>
        <w:t xml:space="preserve"> </w:t>
      </w:r>
      <w:r>
        <w:rPr>
          <w:rFonts w:eastAsia="Calibri" w:cs="Arial"/>
        </w:rPr>
        <w:t>has been the worst aspect</w:t>
      </w:r>
      <w:r w:rsidR="00407083">
        <w:rPr>
          <w:rFonts w:eastAsia="Calibri" w:cs="Arial"/>
        </w:rPr>
        <w:t xml:space="preserve"> of the fraud</w:t>
      </w:r>
      <w:r>
        <w:rPr>
          <w:rFonts w:eastAsia="Calibri" w:cs="Arial"/>
        </w:rPr>
        <w:t>.</w:t>
      </w:r>
    </w:p>
    <w:p w14:paraId="273E73BA" w14:textId="19AEEE4F" w:rsidR="007F1A98" w:rsidRPr="00547711" w:rsidRDefault="0096137B" w:rsidP="002D5C23">
      <w:pPr>
        <w:shd w:val="clear" w:color="auto" w:fill="F2F2F2" w:themeFill="background1" w:themeFillShade="F2"/>
        <w:spacing w:after="120"/>
        <w:rPr>
          <w:rFonts w:eastAsia="Calibri" w:cs="Arial"/>
        </w:rPr>
      </w:pPr>
      <w:r>
        <w:rPr>
          <w:rFonts w:eastAsia="Calibri" w:cs="Arial"/>
        </w:rPr>
        <w:t>‘</w:t>
      </w:r>
      <w:r w:rsidR="007F1A98">
        <w:rPr>
          <w:rFonts w:eastAsia="Calibri" w:cs="Arial"/>
        </w:rPr>
        <w:t xml:space="preserve">The </w:t>
      </w:r>
      <w:r w:rsidR="007F1A98" w:rsidRPr="00963D61">
        <w:rPr>
          <w:rFonts w:eastAsia="Calibri" w:cs="Arial"/>
        </w:rPr>
        <w:t>emotional stress from</w:t>
      </w:r>
      <w:r w:rsidR="007F1A98">
        <w:rPr>
          <w:rFonts w:eastAsia="Calibri" w:cs="Arial"/>
        </w:rPr>
        <w:t xml:space="preserve"> be</w:t>
      </w:r>
      <w:r w:rsidR="007F1A98" w:rsidRPr="00AC5D96">
        <w:rPr>
          <w:rFonts w:eastAsia="Calibri" w:cs="Arial"/>
        </w:rPr>
        <w:t xml:space="preserve">ing borderline paranoid when anyone asks for </w:t>
      </w:r>
      <w:r w:rsidR="007F1A98">
        <w:rPr>
          <w:rFonts w:eastAsia="Calibri" w:cs="Arial"/>
        </w:rPr>
        <w:t>any</w:t>
      </w:r>
      <w:r w:rsidR="007F1A98" w:rsidRPr="00AC5D96">
        <w:rPr>
          <w:rFonts w:eastAsia="Calibri" w:cs="Arial"/>
        </w:rPr>
        <w:t xml:space="preserve"> personal information for any reason </w:t>
      </w:r>
      <w:r w:rsidR="007F1A98">
        <w:rPr>
          <w:rFonts w:eastAsia="Calibri" w:cs="Arial"/>
        </w:rPr>
        <w:t>is overwhelming at times</w:t>
      </w:r>
      <w:r w:rsidR="007F1A98" w:rsidRPr="00AC5D96">
        <w:rPr>
          <w:rFonts w:eastAsia="Calibri" w:cs="Arial"/>
        </w:rPr>
        <w:t>.</w:t>
      </w:r>
      <w:r w:rsidR="007F1A98">
        <w:rPr>
          <w:rFonts w:eastAsia="Calibri" w:cs="Arial"/>
        </w:rPr>
        <w:t xml:space="preserve"> </w:t>
      </w:r>
      <w:r w:rsidR="007F1A98" w:rsidRPr="00AC5D96">
        <w:rPr>
          <w:rFonts w:eastAsia="Calibri" w:cs="Arial"/>
        </w:rPr>
        <w:t>Feeling exposed</w:t>
      </w:r>
      <w:r w:rsidR="007F1A98">
        <w:rPr>
          <w:rFonts w:eastAsia="Calibri" w:cs="Arial"/>
        </w:rPr>
        <w:t xml:space="preserve"> </w:t>
      </w:r>
      <w:r w:rsidR="007F1A98" w:rsidRPr="00AC5D96">
        <w:rPr>
          <w:rFonts w:eastAsia="Calibri" w:cs="Arial"/>
        </w:rPr>
        <w:t>and unsafe doesn</w:t>
      </w:r>
      <w:r w:rsidR="003F718D">
        <w:rPr>
          <w:rFonts w:eastAsia="Calibri" w:cs="Arial"/>
        </w:rPr>
        <w:t>’</w:t>
      </w:r>
      <w:r w:rsidR="007F1A98" w:rsidRPr="00AC5D96">
        <w:rPr>
          <w:rFonts w:eastAsia="Calibri" w:cs="Arial"/>
        </w:rPr>
        <w:t>t just go away.</w:t>
      </w:r>
      <w:r>
        <w:rPr>
          <w:rFonts w:eastAsia="Calibri" w:cs="Arial"/>
        </w:rPr>
        <w:t>’</w:t>
      </w:r>
    </w:p>
    <w:p w14:paraId="14A9F4E4" w14:textId="07ED5013" w:rsidR="005B3671" w:rsidRPr="002C5288" w:rsidRDefault="005B3671" w:rsidP="002D5C23">
      <w:pPr>
        <w:shd w:val="clear" w:color="auto" w:fill="F2F2F2" w:themeFill="background1" w:themeFillShade="F2"/>
        <w:rPr>
          <w:sz w:val="16"/>
          <w:szCs w:val="16"/>
        </w:rPr>
      </w:pPr>
      <w:r w:rsidRPr="002C5288">
        <w:rPr>
          <w:i/>
          <w:iCs/>
          <w:sz w:val="16"/>
          <w:szCs w:val="16"/>
        </w:rPr>
        <w:t xml:space="preserve">*The </w:t>
      </w:r>
      <w:r w:rsidR="00E21676">
        <w:rPr>
          <w:i/>
          <w:iCs/>
          <w:sz w:val="16"/>
          <w:szCs w:val="16"/>
        </w:rPr>
        <w:t>example</w:t>
      </w:r>
      <w:r w:rsidR="00E21676" w:rsidRPr="002C5288">
        <w:rPr>
          <w:i/>
          <w:iCs/>
          <w:sz w:val="16"/>
          <w:szCs w:val="16"/>
        </w:rPr>
        <w:t xml:space="preserve"> </w:t>
      </w:r>
      <w:r w:rsidRPr="002C5288">
        <w:rPr>
          <w:i/>
          <w:iCs/>
          <w:sz w:val="16"/>
          <w:szCs w:val="16"/>
        </w:rPr>
        <w:t>above is based on one or more real mobile porting fraud reports.</w:t>
      </w:r>
      <w:r w:rsidR="00001B4F" w:rsidRPr="002C5288">
        <w:rPr>
          <w:i/>
          <w:iCs/>
          <w:sz w:val="16"/>
          <w:szCs w:val="16"/>
        </w:rPr>
        <w:t xml:space="preserve"> </w:t>
      </w:r>
      <w:r w:rsidR="007C003C">
        <w:rPr>
          <w:rFonts w:cs="Arial"/>
          <w:i/>
          <w:iCs/>
          <w:sz w:val="16"/>
          <w:szCs w:val="16"/>
        </w:rPr>
        <w:t>T</w:t>
      </w:r>
      <w:r w:rsidR="00BF1067" w:rsidRPr="002C5288">
        <w:rPr>
          <w:rFonts w:cs="Arial"/>
          <w:i/>
          <w:iCs/>
          <w:sz w:val="16"/>
          <w:szCs w:val="16"/>
        </w:rPr>
        <w:t>he</w:t>
      </w:r>
      <w:r w:rsidR="005D74C5">
        <w:rPr>
          <w:rFonts w:cs="Arial"/>
          <w:i/>
          <w:iCs/>
          <w:sz w:val="16"/>
          <w:szCs w:val="16"/>
        </w:rPr>
        <w:t xml:space="preserve"> </w:t>
      </w:r>
      <w:r w:rsidR="00BF1067" w:rsidRPr="002C5288">
        <w:rPr>
          <w:rFonts w:cs="Arial"/>
          <w:i/>
          <w:iCs/>
          <w:sz w:val="16"/>
          <w:szCs w:val="16"/>
        </w:rPr>
        <w:t>identities of victims and some details have been changed.</w:t>
      </w:r>
    </w:p>
    <w:p w14:paraId="4B0DC8DB" w14:textId="773D37E1" w:rsidR="004708EC" w:rsidRPr="00C01FB3" w:rsidRDefault="00F010B3" w:rsidP="00183125">
      <w:pPr>
        <w:pStyle w:val="Heading3"/>
        <w:rPr>
          <w:rFonts w:eastAsiaTheme="minorHAnsi"/>
          <w:lang w:eastAsia="en-US"/>
        </w:rPr>
      </w:pPr>
      <w:bookmarkStart w:id="90" w:name="_Toc32833697"/>
      <w:bookmarkStart w:id="91" w:name="_Toc33176380"/>
      <w:r w:rsidRPr="00C01FB3">
        <w:rPr>
          <w:rFonts w:eastAsiaTheme="minorHAnsi"/>
          <w:lang w:eastAsia="en-US"/>
        </w:rPr>
        <w:t>Gateway to further fraud</w:t>
      </w:r>
      <w:bookmarkEnd w:id="90"/>
      <w:bookmarkEnd w:id="91"/>
    </w:p>
    <w:p w14:paraId="76AA43A5" w14:textId="429BE995" w:rsidR="002E259C" w:rsidRDefault="00E21A7F" w:rsidP="002D5C23">
      <w:pPr>
        <w:pStyle w:val="Paragraphbeforelist"/>
      </w:pPr>
      <w:r>
        <w:rPr>
          <w:rFonts w:eastAsiaTheme="minorHAnsi"/>
          <w:lang w:eastAsia="en-US"/>
        </w:rPr>
        <w:t>There are</w:t>
      </w:r>
      <w:r w:rsidR="002E259C">
        <w:t xml:space="preserve"> a range of organisations </w:t>
      </w:r>
      <w:r w:rsidR="0096137B">
        <w:t>that</w:t>
      </w:r>
      <w:r w:rsidR="002E259C">
        <w:t xml:space="preserve"> actively use codes or confirmation links sent to mobile numbers</w:t>
      </w:r>
      <w:r w:rsidR="0096137B">
        <w:t>:</w:t>
      </w:r>
    </w:p>
    <w:p w14:paraId="7CF20A8C" w14:textId="77777777" w:rsidR="002E259C" w:rsidRPr="00E225D5" w:rsidRDefault="002E259C" w:rsidP="00D17EF7">
      <w:pPr>
        <w:pStyle w:val="Bulletlevel1"/>
        <w:numPr>
          <w:ilvl w:val="0"/>
          <w:numId w:val="20"/>
        </w:numPr>
      </w:pPr>
      <w:r w:rsidRPr="00E225D5">
        <w:t>banks and financial institutions</w:t>
      </w:r>
    </w:p>
    <w:p w14:paraId="6C8B9591" w14:textId="77777777" w:rsidR="002E259C" w:rsidRPr="00E225D5" w:rsidRDefault="002E259C" w:rsidP="00D17EF7">
      <w:pPr>
        <w:pStyle w:val="Bulletlevel1"/>
        <w:numPr>
          <w:ilvl w:val="0"/>
          <w:numId w:val="20"/>
        </w:numPr>
      </w:pPr>
      <w:r w:rsidRPr="00E225D5">
        <w:t>superannuation funds</w:t>
      </w:r>
    </w:p>
    <w:p w14:paraId="41F5CD7E" w14:textId="77777777" w:rsidR="002E259C" w:rsidRPr="00E225D5" w:rsidRDefault="002E259C" w:rsidP="00D17EF7">
      <w:pPr>
        <w:pStyle w:val="Bulletlevel1"/>
        <w:numPr>
          <w:ilvl w:val="0"/>
          <w:numId w:val="20"/>
        </w:numPr>
      </w:pPr>
      <w:r w:rsidRPr="00E225D5">
        <w:t>technology companies</w:t>
      </w:r>
    </w:p>
    <w:p w14:paraId="0DD93152" w14:textId="77777777" w:rsidR="002E259C" w:rsidRPr="00E225D5" w:rsidRDefault="002E259C" w:rsidP="00D17EF7">
      <w:pPr>
        <w:pStyle w:val="Bulletlevel1"/>
        <w:numPr>
          <w:ilvl w:val="0"/>
          <w:numId w:val="20"/>
        </w:numPr>
      </w:pPr>
      <w:r w:rsidRPr="00E225D5">
        <w:t>health booking services</w:t>
      </w:r>
    </w:p>
    <w:p w14:paraId="6045C265" w14:textId="77777777" w:rsidR="002E259C" w:rsidRDefault="002E259C" w:rsidP="00D17EF7">
      <w:pPr>
        <w:pStyle w:val="Bulletlevel1"/>
        <w:numPr>
          <w:ilvl w:val="0"/>
          <w:numId w:val="20"/>
        </w:numPr>
      </w:pPr>
      <w:r w:rsidRPr="00E225D5">
        <w:t>social media</w:t>
      </w:r>
    </w:p>
    <w:p w14:paraId="6F3F91F4" w14:textId="77777777" w:rsidR="002E259C" w:rsidRPr="00E225D5" w:rsidRDefault="002E259C" w:rsidP="00D17EF7">
      <w:pPr>
        <w:pStyle w:val="Bulletlevel1"/>
        <w:numPr>
          <w:ilvl w:val="0"/>
          <w:numId w:val="20"/>
        </w:numPr>
      </w:pPr>
      <w:r>
        <w:t>airlines and transport companies</w:t>
      </w:r>
    </w:p>
    <w:p w14:paraId="74CF21BE" w14:textId="2D26F11F" w:rsidR="002E259C" w:rsidRPr="00E225D5" w:rsidRDefault="002E259C" w:rsidP="00D17EF7">
      <w:pPr>
        <w:pStyle w:val="Bulletlevel1"/>
        <w:numPr>
          <w:ilvl w:val="0"/>
          <w:numId w:val="20"/>
        </w:numPr>
        <w:rPr>
          <w:szCs w:val="20"/>
        </w:rPr>
      </w:pPr>
      <w:r w:rsidRPr="00E225D5">
        <w:rPr>
          <w:szCs w:val="20"/>
        </w:rPr>
        <w:t xml:space="preserve">online </w:t>
      </w:r>
      <w:r w:rsidR="00DE147C">
        <w:rPr>
          <w:szCs w:val="20"/>
        </w:rPr>
        <w:t>retailers</w:t>
      </w:r>
    </w:p>
    <w:p w14:paraId="494E69A3" w14:textId="77777777" w:rsidR="002E259C" w:rsidRPr="00E225D5" w:rsidRDefault="002E259C" w:rsidP="00D17EF7">
      <w:pPr>
        <w:pStyle w:val="Bulletlevel1"/>
        <w:numPr>
          <w:ilvl w:val="0"/>
          <w:numId w:val="20"/>
        </w:numPr>
        <w:rPr>
          <w:szCs w:val="20"/>
        </w:rPr>
      </w:pPr>
      <w:r w:rsidRPr="00E225D5">
        <w:rPr>
          <w:szCs w:val="20"/>
        </w:rPr>
        <w:t>delivery services</w:t>
      </w:r>
    </w:p>
    <w:p w14:paraId="6037768B" w14:textId="77777777" w:rsidR="002E259C" w:rsidRPr="00E225D5" w:rsidRDefault="002E259C" w:rsidP="00D17EF7">
      <w:pPr>
        <w:pStyle w:val="Bulletlevel1"/>
        <w:numPr>
          <w:ilvl w:val="0"/>
          <w:numId w:val="20"/>
        </w:numPr>
        <w:rPr>
          <w:szCs w:val="20"/>
        </w:rPr>
      </w:pPr>
      <w:r w:rsidRPr="00E225D5">
        <w:rPr>
          <w:szCs w:val="20"/>
        </w:rPr>
        <w:t>email providers</w:t>
      </w:r>
    </w:p>
    <w:p w14:paraId="4ACB94A7" w14:textId="77777777" w:rsidR="002E259C" w:rsidRPr="00E225D5" w:rsidRDefault="002E259C" w:rsidP="00D17EF7">
      <w:pPr>
        <w:pStyle w:val="Bulletlevel1last"/>
        <w:numPr>
          <w:ilvl w:val="0"/>
          <w:numId w:val="20"/>
        </w:numPr>
      </w:pPr>
      <w:r w:rsidRPr="00E225D5">
        <w:t>energy and utility companies</w:t>
      </w:r>
      <w:r>
        <w:t>.</w:t>
      </w:r>
    </w:p>
    <w:p w14:paraId="73D9FFD9" w14:textId="386EF460" w:rsidR="00A22AE4" w:rsidRDefault="00FA1EBE" w:rsidP="00A859E3">
      <w:pPr>
        <w:pStyle w:val="Paragraph"/>
      </w:pPr>
      <w:r>
        <w:t>O</w:t>
      </w:r>
      <w:r w:rsidR="002E259C" w:rsidRPr="00B114E7">
        <w:t xml:space="preserve">rganisations </w:t>
      </w:r>
      <w:r>
        <w:t>that</w:t>
      </w:r>
      <w:r w:rsidRPr="00B114E7" w:rsidDel="005F08DA">
        <w:t xml:space="preserve"> </w:t>
      </w:r>
      <w:r w:rsidR="005F08DA" w:rsidRPr="00B114E7">
        <w:t>u</w:t>
      </w:r>
      <w:r w:rsidR="005F08DA">
        <w:t xml:space="preserve">se </w:t>
      </w:r>
      <w:r w:rsidR="002E259C" w:rsidRPr="00B114E7">
        <w:t>mobile phones for their own multi-factor authentication checks</w:t>
      </w:r>
      <w:r w:rsidR="002E259C">
        <w:t xml:space="preserve"> face a secondary cost where mobile porting fraud occurs. They are disadvantaged by needing to mitigate the effects of mobile porting fraud on their customers and</w:t>
      </w:r>
      <w:r w:rsidR="00DE147C">
        <w:t xml:space="preserve"> expending</w:t>
      </w:r>
      <w:r w:rsidR="002E259C">
        <w:t xml:space="preserve"> the resources required to </w:t>
      </w:r>
      <w:r w:rsidR="00957F61">
        <w:t xml:space="preserve">do </w:t>
      </w:r>
      <w:r w:rsidR="002E259C">
        <w:t>this.</w:t>
      </w:r>
    </w:p>
    <w:p w14:paraId="1C7024FE" w14:textId="6DFC3005" w:rsidR="0069788E" w:rsidRDefault="002E259C" w:rsidP="00A859E3">
      <w:pPr>
        <w:pStyle w:val="Paragraph"/>
      </w:pPr>
      <w:r>
        <w:t>Mobile porting fraud is a security risk to the services</w:t>
      </w:r>
      <w:r w:rsidR="00891818">
        <w:t xml:space="preserve"> they offer. In some </w:t>
      </w:r>
      <w:r w:rsidR="00891818" w:rsidDel="00FB2192">
        <w:t>cases</w:t>
      </w:r>
      <w:r w:rsidR="00FB2192">
        <w:t>,</w:t>
      </w:r>
      <w:r w:rsidR="00891818">
        <w:t xml:space="preserve"> mobile porting fraud of one customer also impacts another customer using that service</w:t>
      </w:r>
      <w:r w:rsidR="0096137B">
        <w:t>;</w:t>
      </w:r>
      <w:r w:rsidR="00891818">
        <w:t xml:space="preserve"> </w:t>
      </w:r>
      <w:r w:rsidR="00E52A8F">
        <w:t xml:space="preserve">for example, </w:t>
      </w:r>
      <w:r w:rsidR="00891818">
        <w:t>access to on</w:t>
      </w:r>
      <w:r w:rsidR="00E52A8F">
        <w:t>e</w:t>
      </w:r>
      <w:r w:rsidR="00891818">
        <w:t xml:space="preserve"> social media account </w:t>
      </w:r>
      <w:r w:rsidR="00CD148A">
        <w:t xml:space="preserve">may </w:t>
      </w:r>
      <w:r w:rsidR="00891818">
        <w:t>provide a</w:t>
      </w:r>
      <w:r w:rsidR="00CD148A">
        <w:t xml:space="preserve"> gateway</w:t>
      </w:r>
      <w:r w:rsidR="00891818">
        <w:t xml:space="preserve"> to identity theft of other customers using that service.</w:t>
      </w:r>
    </w:p>
    <w:p w14:paraId="17100AB4" w14:textId="725CDCEE" w:rsidR="00A22AE4" w:rsidRDefault="00A22AE4" w:rsidP="00A859E3">
      <w:pPr>
        <w:pStyle w:val="Paragraph"/>
      </w:pPr>
      <w:r w:rsidRPr="00A22AE4">
        <w:t>This represents both a security and reputational risk for the telecommunications industry and for all organisation</w:t>
      </w:r>
      <w:r w:rsidR="002F2BE6">
        <w:t>s</w:t>
      </w:r>
      <w:r w:rsidRPr="00A22AE4">
        <w:t xml:space="preserve"> that rely on mobile phones for multi-factor authentication.</w:t>
      </w:r>
    </w:p>
    <w:p w14:paraId="77CEBC92" w14:textId="272FC700" w:rsidR="002B07B1" w:rsidRPr="006D6EEC" w:rsidRDefault="00DE0F31" w:rsidP="002D5C23">
      <w:pPr>
        <w:pStyle w:val="Heading3"/>
        <w:shd w:val="clear" w:color="auto" w:fill="F2F2F2" w:themeFill="background1" w:themeFillShade="F2"/>
        <w:spacing w:before="0"/>
        <w:rPr>
          <w:iCs/>
        </w:rPr>
      </w:pPr>
      <w:bookmarkStart w:id="92" w:name="_Toc32833698"/>
      <w:bookmarkStart w:id="93" w:name="_Toc33176381"/>
      <w:r>
        <w:rPr>
          <w:i/>
        </w:rPr>
        <w:lastRenderedPageBreak/>
        <w:t xml:space="preserve">Example </w:t>
      </w:r>
      <w:r w:rsidR="00360B41" w:rsidRPr="002D5C23">
        <w:rPr>
          <w:i/>
        </w:rPr>
        <w:t>4</w:t>
      </w:r>
      <w:r w:rsidR="002B07B1" w:rsidRPr="002D5C23">
        <w:rPr>
          <w:i/>
        </w:rPr>
        <w:t xml:space="preserve">: </w:t>
      </w:r>
      <w:r w:rsidR="00166B0A" w:rsidRPr="002D5C23">
        <w:rPr>
          <w:i/>
        </w:rPr>
        <w:t>The social</w:t>
      </w:r>
      <w:r w:rsidR="00166B0A">
        <w:t xml:space="preserve"> </w:t>
      </w:r>
      <w:r w:rsidR="00166B0A" w:rsidRPr="002D5C23">
        <w:rPr>
          <w:rFonts w:eastAsiaTheme="minorHAnsi"/>
          <w:i/>
          <w:lang w:eastAsia="en-US"/>
        </w:rPr>
        <w:t>network</w:t>
      </w:r>
      <w:bookmarkEnd w:id="92"/>
      <w:bookmarkEnd w:id="93"/>
    </w:p>
    <w:p w14:paraId="51251F74" w14:textId="0839ECAC" w:rsidR="002B07B1" w:rsidRPr="006D6EEC" w:rsidRDefault="002B07B1" w:rsidP="002D5C23">
      <w:pPr>
        <w:shd w:val="clear" w:color="auto" w:fill="F2F2F2" w:themeFill="background1" w:themeFillShade="F2"/>
        <w:rPr>
          <w:rFonts w:cs="Arial"/>
        </w:rPr>
      </w:pPr>
      <w:r w:rsidRPr="006D6EEC">
        <w:rPr>
          <w:rFonts w:cs="Arial"/>
        </w:rPr>
        <w:t>Andrew</w:t>
      </w:r>
      <w:r w:rsidR="00FA3186">
        <w:rPr>
          <w:rFonts w:cs="Arial"/>
        </w:rPr>
        <w:t xml:space="preserve">* recently had his </w:t>
      </w:r>
      <w:r w:rsidRPr="006D6EEC">
        <w:rPr>
          <w:rFonts w:cs="Arial"/>
        </w:rPr>
        <w:t>phone ported without his knowledge or consent. The scammer used the mobile number to access Andrew’s Facebook page and impersonated Andrew to contact his friends.</w:t>
      </w:r>
    </w:p>
    <w:p w14:paraId="18348D12" w14:textId="42D56D72" w:rsidR="002B07B1" w:rsidRPr="006D6EEC" w:rsidRDefault="002B07B1" w:rsidP="002D5C23">
      <w:pPr>
        <w:shd w:val="clear" w:color="auto" w:fill="F2F2F2" w:themeFill="background1" w:themeFillShade="F2"/>
        <w:rPr>
          <w:rFonts w:cs="Arial"/>
        </w:rPr>
      </w:pPr>
      <w:r w:rsidRPr="006D6EEC">
        <w:rPr>
          <w:rFonts w:cs="Arial"/>
        </w:rPr>
        <w:t xml:space="preserve">The scammer asked five of Andrew’s friends to be a referee for a bank loan. Andrew’s friend Beth offered to help. After giving information to the scammer, Beth’s phone was also fraudulently ported. The scammer accessed Beth’s bank accounts, made a new account to transfer funds into, opened a currency card to spend worldwide and increased Beth’s credit limit. The scammers ended up with </w:t>
      </w:r>
      <w:r w:rsidR="00B62EA3">
        <w:rPr>
          <w:rFonts w:cs="Arial"/>
        </w:rPr>
        <w:t>over</w:t>
      </w:r>
      <w:r w:rsidR="00B62EA3" w:rsidRPr="006D6EEC">
        <w:rPr>
          <w:rFonts w:cs="Arial"/>
        </w:rPr>
        <w:t xml:space="preserve"> </w:t>
      </w:r>
      <w:r w:rsidRPr="006D6EEC">
        <w:rPr>
          <w:rFonts w:cs="Arial"/>
        </w:rPr>
        <w:t>$12,000 of Beth’s money.</w:t>
      </w:r>
    </w:p>
    <w:p w14:paraId="33149C8B" w14:textId="6FAE6B76" w:rsidR="002B07B1" w:rsidRPr="006D6EEC" w:rsidRDefault="002B07B1" w:rsidP="00CF2124">
      <w:pPr>
        <w:shd w:val="clear" w:color="auto" w:fill="F2F2F2" w:themeFill="background1" w:themeFillShade="F2"/>
        <w:spacing w:after="120"/>
        <w:rPr>
          <w:rFonts w:cs="Arial"/>
        </w:rPr>
      </w:pPr>
      <w:r w:rsidRPr="006D6EEC">
        <w:rPr>
          <w:rFonts w:cs="Arial"/>
        </w:rPr>
        <w:t>Beth got most of the money back after contacting the banks and cancelling online purchases. As a result of the fraud</w:t>
      </w:r>
      <w:r w:rsidR="0096137B">
        <w:rPr>
          <w:rFonts w:cs="Arial"/>
        </w:rPr>
        <w:t>,</w:t>
      </w:r>
      <w:r w:rsidRPr="006D6EEC">
        <w:rPr>
          <w:rFonts w:cs="Arial"/>
        </w:rPr>
        <w:t xml:space="preserve"> she felt violated.</w:t>
      </w:r>
    </w:p>
    <w:p w14:paraId="4A164E0C" w14:textId="0FF0A907" w:rsidR="002B07B1" w:rsidRPr="00907D7B" w:rsidRDefault="002B07B1" w:rsidP="00CF2124">
      <w:pPr>
        <w:shd w:val="clear" w:color="auto" w:fill="F2F2F2" w:themeFill="background1" w:themeFillShade="F2"/>
        <w:rPr>
          <w:rFonts w:cs="Arial"/>
          <w:sz w:val="16"/>
          <w:szCs w:val="16"/>
        </w:rPr>
      </w:pPr>
      <w:r w:rsidRPr="00907D7B">
        <w:rPr>
          <w:rFonts w:cs="Arial"/>
          <w:i/>
          <w:iCs/>
          <w:sz w:val="16"/>
          <w:szCs w:val="16"/>
        </w:rPr>
        <w:t xml:space="preserve">*The </w:t>
      </w:r>
      <w:r w:rsidR="00E21676">
        <w:rPr>
          <w:rFonts w:cs="Arial"/>
          <w:i/>
          <w:iCs/>
          <w:sz w:val="16"/>
          <w:szCs w:val="16"/>
        </w:rPr>
        <w:t>example</w:t>
      </w:r>
      <w:r w:rsidRPr="00907D7B">
        <w:rPr>
          <w:rFonts w:cs="Arial"/>
          <w:i/>
          <w:iCs/>
          <w:sz w:val="16"/>
          <w:szCs w:val="16"/>
        </w:rPr>
        <w:t xml:space="preserve"> above is based on an instance of mobile porting fraud reported in the media. </w:t>
      </w:r>
      <w:r w:rsidR="0096137B">
        <w:rPr>
          <w:rFonts w:cs="Arial"/>
          <w:i/>
          <w:iCs/>
          <w:sz w:val="16"/>
          <w:szCs w:val="16"/>
        </w:rPr>
        <w:t>T</w:t>
      </w:r>
      <w:r w:rsidRPr="00907D7B">
        <w:rPr>
          <w:rFonts w:cs="Arial"/>
          <w:i/>
          <w:iCs/>
          <w:sz w:val="16"/>
          <w:szCs w:val="16"/>
        </w:rPr>
        <w:t>he</w:t>
      </w:r>
      <w:r w:rsidR="00FA3186">
        <w:rPr>
          <w:rFonts w:cs="Arial"/>
          <w:i/>
          <w:iCs/>
          <w:sz w:val="16"/>
          <w:szCs w:val="16"/>
        </w:rPr>
        <w:t xml:space="preserve"> </w:t>
      </w:r>
      <w:r w:rsidRPr="00907D7B">
        <w:rPr>
          <w:rFonts w:cs="Arial"/>
          <w:i/>
          <w:iCs/>
          <w:sz w:val="16"/>
          <w:szCs w:val="16"/>
        </w:rPr>
        <w:t>identities of victims</w:t>
      </w:r>
      <w:r w:rsidR="00CE68AC" w:rsidRPr="00907D7B">
        <w:rPr>
          <w:rFonts w:cs="Arial"/>
          <w:i/>
          <w:iCs/>
          <w:sz w:val="16"/>
          <w:szCs w:val="16"/>
        </w:rPr>
        <w:t xml:space="preserve"> and some details have been changed.</w:t>
      </w:r>
    </w:p>
    <w:p w14:paraId="1B803045" w14:textId="1E23F146" w:rsidR="00E40440" w:rsidRDefault="00C73C7D" w:rsidP="00E40440">
      <w:pPr>
        <w:pStyle w:val="Heading2"/>
      </w:pPr>
      <w:bookmarkStart w:id="94" w:name="_Toc32833699"/>
      <w:bookmarkStart w:id="95" w:name="_Toc32833749"/>
      <w:bookmarkStart w:id="96" w:name="_Toc32833822"/>
      <w:bookmarkStart w:id="97" w:name="_Toc33176382"/>
      <w:r>
        <w:t xml:space="preserve">2. </w:t>
      </w:r>
      <w:r w:rsidR="006B09E4">
        <w:t>Education campaign</w:t>
      </w:r>
      <w:bookmarkEnd w:id="94"/>
      <w:bookmarkEnd w:id="95"/>
      <w:bookmarkEnd w:id="96"/>
      <w:bookmarkEnd w:id="97"/>
    </w:p>
    <w:p w14:paraId="2B4CD467" w14:textId="77777777" w:rsidR="00E40440" w:rsidRDefault="00E40440" w:rsidP="00E40440">
      <w:pPr>
        <w:pStyle w:val="Heading3"/>
      </w:pPr>
      <w:bookmarkStart w:id="98" w:name="_Toc32833700"/>
      <w:bookmarkStart w:id="99" w:name="_Toc33176383"/>
      <w:r>
        <w:t>Benefits</w:t>
      </w:r>
      <w:bookmarkEnd w:id="98"/>
      <w:bookmarkEnd w:id="99"/>
    </w:p>
    <w:p w14:paraId="409CF792" w14:textId="2A627688" w:rsidR="00260763" w:rsidRDefault="00841EAC" w:rsidP="00E40440">
      <w:r>
        <w:t>An education campaign</w:t>
      </w:r>
      <w:r w:rsidR="00243B40">
        <w:t xml:space="preserve"> </w:t>
      </w:r>
      <w:r w:rsidR="007567BD">
        <w:t xml:space="preserve">will support customers to be </w:t>
      </w:r>
      <w:r w:rsidR="00937E12">
        <w:t>aware of mobile porting fraud</w:t>
      </w:r>
      <w:r w:rsidR="007C003C">
        <w:t xml:space="preserve">, </w:t>
      </w:r>
      <w:r w:rsidR="00D30390">
        <w:t xml:space="preserve">enhance </w:t>
      </w:r>
      <w:r w:rsidR="00DD16E6">
        <w:t>their</w:t>
      </w:r>
      <w:r w:rsidR="00D30390">
        <w:t xml:space="preserve"> knowledge of their</w:t>
      </w:r>
      <w:r w:rsidR="00DD16E6">
        <w:t xml:space="preserve"> rights and </w:t>
      </w:r>
      <w:r w:rsidR="00270583">
        <w:t>responsibilities</w:t>
      </w:r>
      <w:r w:rsidR="007C003C">
        <w:t xml:space="preserve"> and</w:t>
      </w:r>
      <w:r w:rsidR="005E7A65" w:rsidRPr="005E7A65">
        <w:t xml:space="preserve"> assist </w:t>
      </w:r>
      <w:r w:rsidR="007C003C">
        <w:t>them</w:t>
      </w:r>
      <w:r w:rsidR="007C003C" w:rsidRPr="005E7A65">
        <w:t xml:space="preserve"> </w:t>
      </w:r>
      <w:r w:rsidR="005E7A65" w:rsidRPr="005E7A65">
        <w:t>to avoid poor choices.</w:t>
      </w:r>
    </w:p>
    <w:p w14:paraId="0E27F731" w14:textId="472494F3" w:rsidR="00D37326" w:rsidRDefault="00BB4479" w:rsidP="00DC7B36">
      <w:pPr>
        <w:pStyle w:val="Paragraph"/>
      </w:pPr>
      <w:r>
        <w:t>I</w:t>
      </w:r>
      <w:r w:rsidR="001557D4">
        <w:t xml:space="preserve">nformed customers are more likely to better protect their personal </w:t>
      </w:r>
      <w:r w:rsidR="008F4162">
        <w:t>information</w:t>
      </w:r>
      <w:r w:rsidR="007C003C">
        <w:t>,</w:t>
      </w:r>
      <w:r w:rsidR="008F4162">
        <w:t xml:space="preserve"> </w:t>
      </w:r>
      <w:r w:rsidR="006E620D">
        <w:t xml:space="preserve">which will </w:t>
      </w:r>
      <w:r w:rsidR="001557D4">
        <w:t>help prevent identity theft</w:t>
      </w:r>
      <w:r w:rsidR="00DC7B36">
        <w:t>—</w:t>
      </w:r>
      <w:r w:rsidR="008F4162">
        <w:t xml:space="preserve">the key factor needed </w:t>
      </w:r>
      <w:r w:rsidR="001557D4">
        <w:t>to complete a fraudulent port</w:t>
      </w:r>
      <w:r w:rsidR="006E620D">
        <w:t xml:space="preserve">—and </w:t>
      </w:r>
      <w:r w:rsidR="0083407B">
        <w:t xml:space="preserve">reduce </w:t>
      </w:r>
      <w:r w:rsidR="00D37326" w:rsidRPr="00D37326">
        <w:t>the significant distress, trauma and suffering that occurs due to mobile porting fraud and the accompanying identity theft.</w:t>
      </w:r>
    </w:p>
    <w:p w14:paraId="3D7D4B16" w14:textId="01F0A3CC" w:rsidR="00E40440" w:rsidRPr="008E597F" w:rsidRDefault="002E2D38" w:rsidP="00DC7B36">
      <w:pPr>
        <w:pStyle w:val="Paragraph"/>
      </w:pPr>
      <w:r>
        <w:t>Customers will</w:t>
      </w:r>
      <w:r w:rsidR="00841EAC">
        <w:t xml:space="preserve"> </w:t>
      </w:r>
      <w:r>
        <w:t>be</w:t>
      </w:r>
      <w:r w:rsidR="00841EAC">
        <w:t xml:space="preserve"> empowered to protect themselves from mobile porting fraud</w:t>
      </w:r>
      <w:r w:rsidR="00243B40">
        <w:t xml:space="preserve"> </w:t>
      </w:r>
      <w:r w:rsidR="00AD5F99">
        <w:t xml:space="preserve">and know how </w:t>
      </w:r>
      <w:r w:rsidR="00243B40">
        <w:t>to respond in the event of an authorised port</w:t>
      </w:r>
      <w:r w:rsidR="008E597F">
        <w:t>—f</w:t>
      </w:r>
      <w:r w:rsidR="00841EAC">
        <w:t xml:space="preserve">or </w:t>
      </w:r>
      <w:r w:rsidR="00DC7B36">
        <w:t>example,</w:t>
      </w:r>
      <w:r w:rsidR="00841EAC">
        <w:t xml:space="preserve"> by taking control of how they share their personal information in public</w:t>
      </w:r>
      <w:r>
        <w:t xml:space="preserve"> and quickly contacting their financial institution and </w:t>
      </w:r>
      <w:r w:rsidRPr="008E597F">
        <w:t>mobile carriage service provider if they experience an unauthorised port.</w:t>
      </w:r>
    </w:p>
    <w:p w14:paraId="77404861" w14:textId="2F638F0F" w:rsidR="00A405DE" w:rsidRPr="00467429" w:rsidRDefault="005E7A65" w:rsidP="00252A40">
      <w:pPr>
        <w:pStyle w:val="Paragraph"/>
      </w:pPr>
      <w:r w:rsidRPr="008E597F">
        <w:t>Well</w:t>
      </w:r>
      <w:r w:rsidR="007C003C" w:rsidRPr="008E597F">
        <w:t>-</w:t>
      </w:r>
      <w:r w:rsidRPr="008E597F">
        <w:t xml:space="preserve">informed decisions are vital </w:t>
      </w:r>
      <w:r w:rsidR="004323B2" w:rsidRPr="008E597F">
        <w:t xml:space="preserve">in </w:t>
      </w:r>
      <w:r w:rsidRPr="008E597F">
        <w:t>encourag</w:t>
      </w:r>
      <w:r w:rsidR="004323B2" w:rsidRPr="008E597F">
        <w:t>ing</w:t>
      </w:r>
      <w:r w:rsidRPr="008E597F">
        <w:t xml:space="preserve"> competition and driv</w:t>
      </w:r>
      <w:r w:rsidR="004323B2" w:rsidRPr="00467429">
        <w:t>ing</w:t>
      </w:r>
      <w:r w:rsidRPr="00467429">
        <w:t xml:space="preserve"> providers to operate efficiently.</w:t>
      </w:r>
      <w:r w:rsidR="00833661" w:rsidRPr="00467429">
        <w:t xml:space="preserve"> Informed customers will actively seek the best protection for themselves and may ask mobile carriage service providers what they are doing to prevent mobile porting fraud before choosing their provider.</w:t>
      </w:r>
    </w:p>
    <w:p w14:paraId="6C492E8E" w14:textId="5167AF28" w:rsidR="0018161D" w:rsidRPr="00467429" w:rsidRDefault="00FC791F" w:rsidP="00252A40">
      <w:pPr>
        <w:pStyle w:val="Paragraph"/>
      </w:pPr>
      <w:r w:rsidRPr="00467429">
        <w:t xml:space="preserve">This </w:t>
      </w:r>
      <w:r w:rsidR="008F4162" w:rsidRPr="00467429">
        <w:t xml:space="preserve">may </w:t>
      </w:r>
      <w:r w:rsidR="007F6551" w:rsidRPr="00467429">
        <w:t xml:space="preserve">incentivise </w:t>
      </w:r>
      <w:r w:rsidR="0018161D" w:rsidRPr="00467429">
        <w:t>mobile carriage service providers to</w:t>
      </w:r>
      <w:r w:rsidR="00A42B35" w:rsidRPr="00467429">
        <w:t xml:space="preserve"> voluntarily</w:t>
      </w:r>
      <w:r w:rsidR="0018161D" w:rsidRPr="00467429">
        <w:t xml:space="preserve"> </w:t>
      </w:r>
      <w:r w:rsidR="00867ACF" w:rsidRPr="00467429">
        <w:t>increase</w:t>
      </w:r>
      <w:r w:rsidR="002A55F3" w:rsidRPr="00467429">
        <w:t xml:space="preserve"> </w:t>
      </w:r>
      <w:r w:rsidR="00867ACF" w:rsidRPr="00467429">
        <w:t>protections</w:t>
      </w:r>
      <w:r w:rsidR="008E597F">
        <w:t>,</w:t>
      </w:r>
      <w:r w:rsidR="008F15B0" w:rsidRPr="00467429">
        <w:t xml:space="preserve"> which may also </w:t>
      </w:r>
      <w:r w:rsidR="008E597F" w:rsidRPr="00467429">
        <w:t>reduc</w:t>
      </w:r>
      <w:r w:rsidR="008E597F">
        <w:t>e</w:t>
      </w:r>
      <w:r w:rsidR="008E597F" w:rsidRPr="00467429">
        <w:t xml:space="preserve"> </w:t>
      </w:r>
      <w:r w:rsidR="008F15B0" w:rsidRPr="00467429">
        <w:t>instances of mobile porting fraud. For example, a provider who voluntarily implements multi-factor identification will make it harder for a scammer to successfully impersonate a rights</w:t>
      </w:r>
      <w:r w:rsidR="00A12458" w:rsidRPr="00467429">
        <w:t>-</w:t>
      </w:r>
      <w:r w:rsidR="008F15B0" w:rsidRPr="00467429">
        <w:t>of</w:t>
      </w:r>
      <w:r w:rsidR="00A12458" w:rsidRPr="00467429">
        <w:t>-</w:t>
      </w:r>
      <w:r w:rsidR="008F15B0" w:rsidRPr="00467429">
        <w:t>use holder.</w:t>
      </w:r>
    </w:p>
    <w:p w14:paraId="76AEB476" w14:textId="44C44B81" w:rsidR="008F15B0" w:rsidRDefault="008F15B0" w:rsidP="00A42B35">
      <w:pPr>
        <w:pStyle w:val="Paragraph"/>
      </w:pPr>
      <w:r w:rsidRPr="00467429">
        <w:t xml:space="preserve">Education </w:t>
      </w:r>
      <w:r w:rsidR="00833661" w:rsidRPr="00467429">
        <w:t>campaign activities will enhance mobile carriage service providers</w:t>
      </w:r>
      <w:r w:rsidRPr="00467429">
        <w:t>’</w:t>
      </w:r>
      <w:r w:rsidR="00833661" w:rsidRPr="00467429">
        <w:t xml:space="preserve"> (particularly smaller providers) understanding </w:t>
      </w:r>
      <w:r w:rsidRPr="00467429">
        <w:t xml:space="preserve">of </w:t>
      </w:r>
      <w:r w:rsidR="00833661" w:rsidRPr="00467429">
        <w:t xml:space="preserve">their regulatory responsibilities to both customer and the regulator. </w:t>
      </w:r>
      <w:r w:rsidR="005B26A7" w:rsidRPr="00467429">
        <w:t>Stronger application of existing authorisation guidelines may prevent</w:t>
      </w:r>
      <w:r w:rsidR="005B26A7" w:rsidRPr="008E597F">
        <w:t xml:space="preserve"> some instances of fraud where a scammer has incomplete information to complete a port (</w:t>
      </w:r>
      <w:r w:rsidR="008E597F">
        <w:t xml:space="preserve">for example, </w:t>
      </w:r>
      <w:r w:rsidR="005B26A7" w:rsidRPr="008E597F">
        <w:t>name and address but not date of birth).</w:t>
      </w:r>
    </w:p>
    <w:p w14:paraId="664B86AA" w14:textId="1B46FE3B" w:rsidR="004B203F" w:rsidRDefault="004B203F" w:rsidP="00E65584">
      <w:r w:rsidRPr="00A405DE">
        <w:t xml:space="preserve">For this assessment, it is </w:t>
      </w:r>
      <w:r w:rsidR="00A82CD1" w:rsidRPr="00A405DE">
        <w:t>a</w:t>
      </w:r>
      <w:r w:rsidR="00A82CD1">
        <w:t>nticipated</w:t>
      </w:r>
      <w:r w:rsidR="00A82CD1" w:rsidRPr="00A405DE">
        <w:t xml:space="preserve"> </w:t>
      </w:r>
      <w:r w:rsidRPr="00A405DE">
        <w:t xml:space="preserve">that coverage of pre-port verification measures will rise </w:t>
      </w:r>
      <w:r w:rsidR="00E65584" w:rsidRPr="00A405DE">
        <w:t>to voluntarily</w:t>
      </w:r>
      <w:r w:rsidRPr="00A405DE">
        <w:t xml:space="preserve"> cove</w:t>
      </w:r>
      <w:r w:rsidR="00E65584" w:rsidRPr="00A405DE">
        <w:t>r</w:t>
      </w:r>
      <w:r w:rsidRPr="00A405DE">
        <w:t xml:space="preserve"> 97 to </w:t>
      </w:r>
      <w:r w:rsidR="00E65584" w:rsidRPr="00A405DE">
        <w:t>98</w:t>
      </w:r>
      <w:r w:rsidRPr="00A405DE">
        <w:t xml:space="preserve"> per cent</w:t>
      </w:r>
      <w:r w:rsidR="00E65584" w:rsidRPr="00A405DE">
        <w:t xml:space="preserve"> of mobile carriage services</w:t>
      </w:r>
      <w:r w:rsidR="00065C11">
        <w:t>,</w:t>
      </w:r>
      <w:r w:rsidR="00935D58">
        <w:t xml:space="preserve"> in line with commitments provided by </w:t>
      </w:r>
      <w:r w:rsidR="00676CD3">
        <w:t xml:space="preserve">the telecommunications </w:t>
      </w:r>
      <w:r w:rsidR="00935D58">
        <w:t>industry</w:t>
      </w:r>
      <w:r w:rsidR="00E65584" w:rsidRPr="00A405DE">
        <w:t>.</w:t>
      </w:r>
    </w:p>
    <w:p w14:paraId="01A3E499" w14:textId="39915E0B" w:rsidR="008F57FE" w:rsidRDefault="008F15B0" w:rsidP="002D4012">
      <w:pPr>
        <w:pStyle w:val="Paragraph"/>
      </w:pPr>
      <w:r>
        <w:lastRenderedPageBreak/>
        <w:t xml:space="preserve">The </w:t>
      </w:r>
      <w:r w:rsidR="002E2D38">
        <w:t xml:space="preserve">practical impact </w:t>
      </w:r>
      <w:r w:rsidR="0040545C">
        <w:t xml:space="preserve">of an </w:t>
      </w:r>
      <w:r w:rsidR="002E2D38">
        <w:t>education campaign could result</w:t>
      </w:r>
      <w:r w:rsidR="0018161D" w:rsidRPr="0059306E">
        <w:t xml:space="preserve"> in </w:t>
      </w:r>
      <w:r w:rsidR="002E2D38">
        <w:t>a</w:t>
      </w:r>
      <w:r w:rsidR="00BA0F5E">
        <w:t>n estimated</w:t>
      </w:r>
      <w:r w:rsidR="002E2D38">
        <w:t xml:space="preserve"> 20</w:t>
      </w:r>
      <w:r w:rsidR="008F4162">
        <w:t>–</w:t>
      </w:r>
      <w:r w:rsidR="002E2D38">
        <w:t>30</w:t>
      </w:r>
      <w:r w:rsidR="00E84621">
        <w:t xml:space="preserve"> per cent</w:t>
      </w:r>
      <w:r w:rsidR="002E2D38">
        <w:t xml:space="preserve"> reduction </w:t>
      </w:r>
      <w:r w:rsidR="002E2D38" w:rsidRPr="0059306E">
        <w:t>in</w:t>
      </w:r>
      <w:r w:rsidR="0018161D" w:rsidRPr="0059306E">
        <w:t xml:space="preserve"> mobile porting fraud cases compared </w:t>
      </w:r>
      <w:r w:rsidR="008E597F">
        <w:t>to</w:t>
      </w:r>
      <w:r w:rsidR="008E597F" w:rsidRPr="0059306E">
        <w:t xml:space="preserve"> </w:t>
      </w:r>
      <w:r w:rsidR="0018161D" w:rsidRPr="0059306E">
        <w:t>the status quo</w:t>
      </w:r>
      <w:r w:rsidR="002E2D38">
        <w:t>.</w:t>
      </w:r>
      <w:r w:rsidR="00E65584">
        <w:t xml:space="preserve"> This reduction is due to the increase in voluntary protections and the impact of informed customers.</w:t>
      </w:r>
    </w:p>
    <w:p w14:paraId="160BC111" w14:textId="6FFAB9D3" w:rsidR="0018161D" w:rsidRPr="00B37E2B" w:rsidRDefault="00B37E2B" w:rsidP="009E403F">
      <w:pPr>
        <w:pStyle w:val="Paragraphbeforelist"/>
      </w:pPr>
      <w:bookmarkStart w:id="100" w:name="_Hlk32851502"/>
      <w:r>
        <w:t>In 2020, t</w:t>
      </w:r>
      <w:r w:rsidR="002E2D38">
        <w:t xml:space="preserve">he </w:t>
      </w:r>
      <w:r w:rsidR="00C3700D">
        <w:t>benefits</w:t>
      </w:r>
      <w:r w:rsidR="002E2D38">
        <w:t xml:space="preserve"> of this </w:t>
      </w:r>
      <w:r w:rsidR="002E2D38" w:rsidRPr="00B37E2B">
        <w:t xml:space="preserve">reduction </w:t>
      </w:r>
      <w:r w:rsidR="007B7C16" w:rsidRPr="00B37E2B">
        <w:t>represent</w:t>
      </w:r>
      <w:r w:rsidR="002E2D38" w:rsidRPr="00B37E2B">
        <w:t>:</w:t>
      </w:r>
    </w:p>
    <w:p w14:paraId="31A974BA" w14:textId="757C663A" w:rsidR="002E2D38" w:rsidRPr="00B37E2B" w:rsidRDefault="002E2D38" w:rsidP="005059D1">
      <w:pPr>
        <w:pStyle w:val="Bulletlevel1"/>
        <w:numPr>
          <w:ilvl w:val="0"/>
          <w:numId w:val="21"/>
        </w:numPr>
      </w:pPr>
      <w:r w:rsidRPr="00B37E2B">
        <w:t>a decrease in mobile porting fraud cases from 2</w:t>
      </w:r>
      <w:r w:rsidR="00B30570" w:rsidRPr="00B37E2B">
        <w:t>,</w:t>
      </w:r>
      <w:r w:rsidRPr="00B37E2B">
        <w:t>688 to between 1</w:t>
      </w:r>
      <w:r w:rsidR="00B30570" w:rsidRPr="00B37E2B">
        <w:t>,</w:t>
      </w:r>
      <w:r w:rsidRPr="00B37E2B">
        <w:t>882 and 2</w:t>
      </w:r>
      <w:r w:rsidR="00B30570" w:rsidRPr="00B37E2B">
        <w:t>,</w:t>
      </w:r>
      <w:r w:rsidRPr="00B37E2B">
        <w:t>150</w:t>
      </w:r>
    </w:p>
    <w:p w14:paraId="5BFA65DE" w14:textId="4CBDF633" w:rsidR="0018161D" w:rsidRPr="00B37E2B" w:rsidRDefault="00B37E2B" w:rsidP="005059D1">
      <w:pPr>
        <w:pStyle w:val="Bulletlevel1"/>
        <w:numPr>
          <w:ilvl w:val="0"/>
          <w:numId w:val="21"/>
        </w:numPr>
      </w:pPr>
      <w:r>
        <w:t xml:space="preserve">a </w:t>
      </w:r>
      <w:r w:rsidR="0018161D" w:rsidRPr="00B37E2B">
        <w:t>decrease of 20</w:t>
      </w:r>
      <w:r w:rsidR="00C708A1" w:rsidRPr="00B37E2B">
        <w:t>–</w:t>
      </w:r>
      <w:r w:rsidR="002E2D38" w:rsidRPr="00B37E2B">
        <w:t>30</w:t>
      </w:r>
      <w:r w:rsidR="0018161D" w:rsidRPr="00B37E2B">
        <w:t xml:space="preserve"> per cent in instances of psychological harm caused by porting fraud</w:t>
      </w:r>
      <w:r>
        <w:t>,</w:t>
      </w:r>
      <w:r w:rsidR="0018161D" w:rsidRPr="00B37E2B">
        <w:t xml:space="preserve"> and the need </w:t>
      </w:r>
      <w:r>
        <w:t>for</w:t>
      </w:r>
      <w:r w:rsidR="0018161D" w:rsidRPr="00B37E2B">
        <w:t xml:space="preserve"> customer</w:t>
      </w:r>
      <w:r>
        <w:t>s</w:t>
      </w:r>
      <w:r w:rsidR="0018161D" w:rsidRPr="00B37E2B">
        <w:t xml:space="preserve"> to seek support </w:t>
      </w:r>
      <w:bookmarkEnd w:id="100"/>
      <w:r w:rsidR="0018161D" w:rsidRPr="00B37E2B">
        <w:t>services</w:t>
      </w:r>
    </w:p>
    <w:p w14:paraId="3022D46F" w14:textId="51C71F44" w:rsidR="0018161D" w:rsidRPr="00B37E2B" w:rsidRDefault="0018161D" w:rsidP="005059D1">
      <w:pPr>
        <w:pStyle w:val="Bulletlevel1"/>
        <w:numPr>
          <w:ilvl w:val="0"/>
          <w:numId w:val="21"/>
        </w:numPr>
      </w:pPr>
      <w:r w:rsidRPr="00B37E2B">
        <w:t xml:space="preserve">savings of </w:t>
      </w:r>
      <w:r w:rsidR="00867ACF" w:rsidRPr="00B37E2B">
        <w:t>financial</w:t>
      </w:r>
      <w:r w:rsidRPr="00B37E2B">
        <w:t xml:space="preserve"> losses to mobile porting fraud</w:t>
      </w:r>
      <w:r w:rsidR="002E2D38" w:rsidRPr="00B37E2B">
        <w:t xml:space="preserve"> of between </w:t>
      </w:r>
      <w:r w:rsidR="00E84621" w:rsidRPr="00B37E2B">
        <w:t>$</w:t>
      </w:r>
      <w:r w:rsidR="005F731B">
        <w:t>2.4</w:t>
      </w:r>
      <w:r w:rsidR="005F731B" w:rsidRPr="00B37E2B">
        <w:t>m</w:t>
      </w:r>
      <w:r w:rsidR="0010164F" w:rsidRPr="00B37E2B">
        <w:rPr>
          <w:rStyle w:val="FootnoteReference"/>
        </w:rPr>
        <w:footnoteReference w:id="36"/>
      </w:r>
      <w:r w:rsidR="00DC7B36" w:rsidRPr="00B37E2B">
        <w:t xml:space="preserve"> to</w:t>
      </w:r>
      <w:r w:rsidR="00E84621" w:rsidRPr="00B37E2B">
        <w:t xml:space="preserve"> $</w:t>
      </w:r>
      <w:r w:rsidR="005F731B">
        <w:t>3.7</w:t>
      </w:r>
      <w:r w:rsidR="005F731B" w:rsidRPr="00B37E2B">
        <w:t>m</w:t>
      </w:r>
      <w:r w:rsidR="0010164F" w:rsidRPr="00B37E2B">
        <w:rPr>
          <w:rStyle w:val="FootnoteReference"/>
        </w:rPr>
        <w:footnoteReference w:id="37"/>
      </w:r>
    </w:p>
    <w:p w14:paraId="433C778C" w14:textId="041C29CF" w:rsidR="0018161D" w:rsidRPr="00B37E2B" w:rsidRDefault="0018161D" w:rsidP="005059D1">
      <w:pPr>
        <w:pStyle w:val="Bulletlevel1"/>
        <w:numPr>
          <w:ilvl w:val="0"/>
          <w:numId w:val="21"/>
        </w:numPr>
      </w:pPr>
      <w:r w:rsidRPr="00B37E2B">
        <w:t>savings in time spent by customers responding to identity theft</w:t>
      </w:r>
      <w:r w:rsidR="002E2D38" w:rsidRPr="00B37E2B">
        <w:t xml:space="preserve"> of between</w:t>
      </w:r>
      <w:r w:rsidR="00E84621" w:rsidRPr="00B37E2B">
        <w:t xml:space="preserve"> $550,000</w:t>
      </w:r>
      <w:r w:rsidR="0010164F" w:rsidRPr="00B37E2B">
        <w:rPr>
          <w:rStyle w:val="FootnoteReference"/>
        </w:rPr>
        <w:footnoteReference w:id="38"/>
      </w:r>
      <w:r w:rsidR="00DC7B36" w:rsidRPr="00B37E2B">
        <w:t xml:space="preserve"> to </w:t>
      </w:r>
      <w:r w:rsidR="00E84621" w:rsidRPr="00B37E2B">
        <w:t>$825,000</w:t>
      </w:r>
      <w:r w:rsidR="0010164F" w:rsidRPr="00B37E2B">
        <w:rPr>
          <w:rStyle w:val="FootnoteReference"/>
        </w:rPr>
        <w:footnoteReference w:id="39"/>
      </w:r>
    </w:p>
    <w:p w14:paraId="01C30BCE" w14:textId="32E1AFC5" w:rsidR="0018161D" w:rsidRPr="00B37E2B" w:rsidRDefault="00B37E2B" w:rsidP="005059D1">
      <w:pPr>
        <w:pStyle w:val="Bulletlevel1"/>
        <w:numPr>
          <w:ilvl w:val="0"/>
          <w:numId w:val="21"/>
        </w:numPr>
      </w:pPr>
      <w:r>
        <w:t xml:space="preserve">freeing up </w:t>
      </w:r>
      <w:r w:rsidR="00DE147C">
        <w:t xml:space="preserve">of </w:t>
      </w:r>
      <w:r w:rsidR="0018161D" w:rsidRPr="00B37E2B">
        <w:t>tel</w:t>
      </w:r>
      <w:r w:rsidR="00DE147C">
        <w:t>e</w:t>
      </w:r>
      <w:r w:rsidR="0018161D" w:rsidRPr="00B37E2B">
        <w:t>co</w:t>
      </w:r>
      <w:r w:rsidR="00DE147C">
        <w:t>mmunication</w:t>
      </w:r>
      <w:r w:rsidR="0018161D" w:rsidRPr="00B37E2B">
        <w:t xml:space="preserve"> fraud team resources to assist customers on other matters</w:t>
      </w:r>
      <w:r>
        <w:t xml:space="preserve"> (currently </w:t>
      </w:r>
      <w:r w:rsidRPr="00B37E2B">
        <w:t xml:space="preserve">equivalent </w:t>
      </w:r>
      <w:r>
        <w:t xml:space="preserve">to </w:t>
      </w:r>
      <w:r w:rsidRPr="00B37E2B">
        <w:t>20–30 per cent</w:t>
      </w:r>
      <w:r>
        <w:t xml:space="preserve"> of their time)</w:t>
      </w:r>
    </w:p>
    <w:p w14:paraId="32A89E6D" w14:textId="62A5ECB4" w:rsidR="0018161D" w:rsidRPr="0059306E" w:rsidRDefault="00B37E2B" w:rsidP="005059D1">
      <w:pPr>
        <w:pStyle w:val="Bulletlevel1last"/>
        <w:numPr>
          <w:ilvl w:val="0"/>
          <w:numId w:val="21"/>
        </w:numPr>
      </w:pPr>
      <w:bookmarkStart w:id="101" w:name="_Hlk32851388"/>
      <w:r>
        <w:t>a reduction in</w:t>
      </w:r>
      <w:r w:rsidR="007B7C16">
        <w:t xml:space="preserve"> the</w:t>
      </w:r>
      <w:r>
        <w:t xml:space="preserve"> </w:t>
      </w:r>
      <w:r w:rsidR="0018161D" w:rsidRPr="00B37E2B">
        <w:t xml:space="preserve">resources </w:t>
      </w:r>
      <w:r>
        <w:t xml:space="preserve">required </w:t>
      </w:r>
      <w:r w:rsidR="007B7C16">
        <w:t>by</w:t>
      </w:r>
      <w:r w:rsidR="007B7C16" w:rsidRPr="00B37E2B">
        <w:t xml:space="preserve"> </w:t>
      </w:r>
      <w:r w:rsidR="0018161D" w:rsidRPr="00B37E2B">
        <w:t>community</w:t>
      </w:r>
      <w:r w:rsidR="0018161D" w:rsidRPr="0059306E">
        <w:t xml:space="preserve"> organisations (such as IDCARE) assist</w:t>
      </w:r>
      <w:r w:rsidR="007B7C16">
        <w:t>ing</w:t>
      </w:r>
      <w:r w:rsidR="0018161D" w:rsidRPr="0059306E">
        <w:t xml:space="preserve"> customers who have experienced identity theft relating to mobile porting fraud</w:t>
      </w:r>
      <w:r>
        <w:t xml:space="preserve"> (</w:t>
      </w:r>
      <w:r w:rsidRPr="00B37E2B">
        <w:t>equivalent</w:t>
      </w:r>
      <w:r w:rsidR="00DE147C">
        <w:t xml:space="preserve"> savings of</w:t>
      </w:r>
      <w:r w:rsidRPr="00B37E2B">
        <w:t xml:space="preserve"> 20–30 per cent</w:t>
      </w:r>
      <w:r>
        <w:t>)</w:t>
      </w:r>
      <w:r w:rsidR="0018161D" w:rsidRPr="0059306E">
        <w:t>.</w:t>
      </w:r>
    </w:p>
    <w:bookmarkEnd w:id="101"/>
    <w:p w14:paraId="522AEC96" w14:textId="3F27F5C1" w:rsidR="00E84621" w:rsidRDefault="00E84621" w:rsidP="005A75D4">
      <w:pPr>
        <w:pStyle w:val="Paragraph"/>
      </w:pPr>
      <w:r>
        <w:t xml:space="preserve">Benefits would also be </w:t>
      </w:r>
      <w:r w:rsidR="00B37E2B">
        <w:t>experienced by</w:t>
      </w:r>
      <w:r w:rsidR="00B37E2B" w:rsidRPr="00B37E2B">
        <w:t xml:space="preserve"> </w:t>
      </w:r>
      <w:r w:rsidR="00AD5F99" w:rsidRPr="00B37E2B">
        <w:t xml:space="preserve">businesses </w:t>
      </w:r>
      <w:r w:rsidRPr="00B37E2B">
        <w:t>and</w:t>
      </w:r>
      <w:r>
        <w:t xml:space="preserve"> organisations </w:t>
      </w:r>
      <w:r w:rsidR="00B37E2B">
        <w:t xml:space="preserve">that </w:t>
      </w:r>
      <w:r>
        <w:t xml:space="preserve">rely on use of a mobile phone for multi-factor </w:t>
      </w:r>
      <w:r w:rsidRPr="005A75D4">
        <w:t>authentication</w:t>
      </w:r>
      <w:r>
        <w:t xml:space="preserve"> as a security factor </w:t>
      </w:r>
      <w:r w:rsidR="0010164F">
        <w:t xml:space="preserve">for </w:t>
      </w:r>
      <w:r>
        <w:t>their services.</w:t>
      </w:r>
    </w:p>
    <w:p w14:paraId="07469FAE" w14:textId="496F0CB5" w:rsidR="00E84621" w:rsidRPr="00252A40" w:rsidRDefault="00E84621" w:rsidP="005A75D4">
      <w:pPr>
        <w:pStyle w:val="Paragraph"/>
      </w:pPr>
      <w:r>
        <w:t>An educational campaign would have reputational benefits for the mobile telecommunications sector</w:t>
      </w:r>
      <w:r w:rsidR="006F58F4">
        <w:t xml:space="preserve">—particularly for </w:t>
      </w:r>
      <w:r>
        <w:t xml:space="preserve">mobile carriage service providers </w:t>
      </w:r>
      <w:r w:rsidR="001D492D">
        <w:t xml:space="preserve">that </w:t>
      </w:r>
      <w:r>
        <w:t>can demonstrate their commitment to protections for their customers.</w:t>
      </w:r>
    </w:p>
    <w:p w14:paraId="274E5F4B" w14:textId="11887897" w:rsidR="005C5C8A" w:rsidRPr="00467429" w:rsidRDefault="00E40440" w:rsidP="00467429">
      <w:pPr>
        <w:pStyle w:val="Heading3"/>
      </w:pPr>
      <w:bookmarkStart w:id="102" w:name="_Toc32833701"/>
      <w:bookmarkStart w:id="103" w:name="_Toc33176384"/>
      <w:r w:rsidRPr="00467429">
        <w:t>Costs</w:t>
      </w:r>
      <w:bookmarkEnd w:id="102"/>
      <w:bookmarkEnd w:id="103"/>
    </w:p>
    <w:p w14:paraId="483686FD" w14:textId="18FEF6AE" w:rsidR="00042312" w:rsidRDefault="00DA76EC" w:rsidP="009E403F">
      <w:pPr>
        <w:pStyle w:val="Heading4"/>
        <w:spacing w:before="120"/>
      </w:pPr>
      <w:r>
        <w:t>Costs to customers</w:t>
      </w:r>
    </w:p>
    <w:p w14:paraId="3FADE282" w14:textId="651038D3" w:rsidR="00DA76EC" w:rsidRDefault="00DA76EC" w:rsidP="009E403F">
      <w:pPr>
        <w:pStyle w:val="Paragraphbeforelist"/>
      </w:pPr>
      <w:r>
        <w:t>There are no direct costs to customers from an education campaign</w:t>
      </w:r>
      <w:r w:rsidR="008E597F">
        <w:t>;</w:t>
      </w:r>
      <w:r w:rsidR="003A616F">
        <w:t xml:space="preserve"> </w:t>
      </w:r>
      <w:r w:rsidR="002206B9">
        <w:t>however</w:t>
      </w:r>
      <w:r w:rsidR="008E597F">
        <w:t>,</w:t>
      </w:r>
      <w:r w:rsidR="003A616F">
        <w:t xml:space="preserve"> the</w:t>
      </w:r>
      <w:r>
        <w:t xml:space="preserve"> costs to customers come from remaining instances of mobile porting fraud. </w:t>
      </w:r>
      <w:r w:rsidR="00E65584">
        <w:t>The</w:t>
      </w:r>
      <w:r>
        <w:t xml:space="preserve"> following costs remain for the </w:t>
      </w:r>
      <w:r w:rsidR="003A616F">
        <w:t xml:space="preserve">estimated </w:t>
      </w:r>
      <w:r>
        <w:t>1</w:t>
      </w:r>
      <w:r w:rsidR="00352689">
        <w:t>,</w:t>
      </w:r>
      <w:r>
        <w:t>882</w:t>
      </w:r>
      <w:r w:rsidR="003A616F">
        <w:t xml:space="preserve"> to</w:t>
      </w:r>
      <w:r>
        <w:t xml:space="preserve"> 2</w:t>
      </w:r>
      <w:r w:rsidR="00352689">
        <w:t>,</w:t>
      </w:r>
      <w:r>
        <w:t>150 cases of mobile porting fraud</w:t>
      </w:r>
      <w:r w:rsidR="001B531B">
        <w:t xml:space="preserve"> in 2020</w:t>
      </w:r>
      <w:r>
        <w:t>:</w:t>
      </w:r>
    </w:p>
    <w:p w14:paraId="3F567EDF" w14:textId="556E63B7" w:rsidR="00DA76EC" w:rsidRDefault="00323243" w:rsidP="005059D1">
      <w:pPr>
        <w:pStyle w:val="Bulletlevel1"/>
        <w:numPr>
          <w:ilvl w:val="0"/>
          <w:numId w:val="22"/>
        </w:numPr>
      </w:pPr>
      <w:r>
        <w:t>p</w:t>
      </w:r>
      <w:r w:rsidR="00DA76EC">
        <w:t>sychological harm and distress for each instance of mobile porting fraud</w:t>
      </w:r>
      <w:r>
        <w:t xml:space="preserve"> and ongoing repercussions of identity theft</w:t>
      </w:r>
    </w:p>
    <w:p w14:paraId="6DD2BC26" w14:textId="28EE5D8F" w:rsidR="00DA76EC" w:rsidRDefault="00323243" w:rsidP="005059D1">
      <w:pPr>
        <w:pStyle w:val="Bulletlevel1"/>
        <w:numPr>
          <w:ilvl w:val="0"/>
          <w:numId w:val="22"/>
        </w:numPr>
      </w:pPr>
      <w:r>
        <w:t>financial losses of approximately $</w:t>
      </w:r>
      <w:r w:rsidR="005F731B">
        <w:t>8.6</w:t>
      </w:r>
      <w:r w:rsidR="006F1A17">
        <w:t>m</w:t>
      </w:r>
      <w:r w:rsidR="0010164F">
        <w:rPr>
          <w:rStyle w:val="FootnoteReference"/>
        </w:rPr>
        <w:footnoteReference w:id="40"/>
      </w:r>
      <w:r>
        <w:t xml:space="preserve"> </w:t>
      </w:r>
      <w:r w:rsidR="00D67B30">
        <w:t xml:space="preserve">to </w:t>
      </w:r>
      <w:r>
        <w:t>$</w:t>
      </w:r>
      <w:r w:rsidR="005F731B">
        <w:t>9</w:t>
      </w:r>
      <w:r>
        <w:t>.8m</w:t>
      </w:r>
      <w:r w:rsidR="0010164F">
        <w:rPr>
          <w:rStyle w:val="FootnoteReference"/>
        </w:rPr>
        <w:footnoteReference w:id="41"/>
      </w:r>
    </w:p>
    <w:p w14:paraId="3D53DDDD" w14:textId="3003DE8E" w:rsidR="00DA76EC" w:rsidRDefault="008E597F" w:rsidP="005059D1">
      <w:pPr>
        <w:pStyle w:val="Bulletlevel1"/>
        <w:numPr>
          <w:ilvl w:val="0"/>
          <w:numId w:val="22"/>
        </w:numPr>
      </w:pPr>
      <w:r>
        <w:t xml:space="preserve">cost of </w:t>
      </w:r>
      <w:r w:rsidR="00323243">
        <w:t>time spent by customers responding to mobile porting fraud of $1.9</w:t>
      </w:r>
      <w:r w:rsidR="006F1A17">
        <w:t>m</w:t>
      </w:r>
      <w:r w:rsidR="0010164F">
        <w:rPr>
          <w:rStyle w:val="FootnoteReference"/>
        </w:rPr>
        <w:footnoteReference w:id="42"/>
      </w:r>
      <w:r w:rsidR="00D67B30">
        <w:t xml:space="preserve"> to</w:t>
      </w:r>
      <w:r w:rsidR="00323243">
        <w:t xml:space="preserve"> $2.2</w:t>
      </w:r>
      <w:r w:rsidR="006F1A17">
        <w:t>m</w:t>
      </w:r>
      <w:r w:rsidR="0010164F">
        <w:rPr>
          <w:rStyle w:val="FootnoteReference"/>
        </w:rPr>
        <w:footnoteReference w:id="43"/>
      </w:r>
    </w:p>
    <w:p w14:paraId="3CA982E3" w14:textId="070A2F98" w:rsidR="00323243" w:rsidRDefault="00DE147C" w:rsidP="005059D1">
      <w:pPr>
        <w:pStyle w:val="Bulletlevel1last"/>
        <w:numPr>
          <w:ilvl w:val="0"/>
          <w:numId w:val="16"/>
        </w:numPr>
      </w:pPr>
      <w:r>
        <w:t xml:space="preserve">expenditure of the </w:t>
      </w:r>
      <w:r w:rsidR="00323243">
        <w:t>remaining</w:t>
      </w:r>
      <w:r w:rsidR="00323243" w:rsidRPr="0059306E">
        <w:t xml:space="preserve"> </w:t>
      </w:r>
      <w:r w:rsidR="00323243">
        <w:t>70</w:t>
      </w:r>
      <w:r w:rsidR="00D67B30">
        <w:t>–</w:t>
      </w:r>
      <w:r w:rsidR="00323243">
        <w:t>80</w:t>
      </w:r>
      <w:r w:rsidR="00323243" w:rsidRPr="0059306E">
        <w:t xml:space="preserve"> </w:t>
      </w:r>
      <w:r w:rsidR="00323243" w:rsidRPr="001D492D">
        <w:t xml:space="preserve">per cent </w:t>
      </w:r>
      <w:r w:rsidR="007B7C16">
        <w:t xml:space="preserve">of </w:t>
      </w:r>
      <w:r w:rsidR="00323243" w:rsidRPr="001D492D">
        <w:t xml:space="preserve">resources for community organisations (such as IDCARE) </w:t>
      </w:r>
      <w:r>
        <w:t>in</w:t>
      </w:r>
      <w:r w:rsidRPr="001D492D">
        <w:t xml:space="preserve"> </w:t>
      </w:r>
      <w:r w:rsidR="00323243" w:rsidRPr="001D492D">
        <w:t>assist</w:t>
      </w:r>
      <w:r>
        <w:t>ing</w:t>
      </w:r>
      <w:r w:rsidR="00323243" w:rsidRPr="001D492D">
        <w:t xml:space="preserve"> customers who have experienced identity theft relating to mobile porting fraud.</w:t>
      </w:r>
    </w:p>
    <w:p w14:paraId="6D0FFCE3" w14:textId="21AEEA37" w:rsidR="00DA76EC" w:rsidRDefault="00DA76EC" w:rsidP="004613F2">
      <w:pPr>
        <w:pStyle w:val="Heading4"/>
        <w:keepNext/>
        <w:keepLines/>
      </w:pPr>
      <w:r>
        <w:lastRenderedPageBreak/>
        <w:t>Costs to industry</w:t>
      </w:r>
    </w:p>
    <w:p w14:paraId="4A2C4602" w14:textId="2603D336" w:rsidR="00F61CD5" w:rsidRDefault="003032B8" w:rsidP="004613F2">
      <w:pPr>
        <w:pStyle w:val="Paragraph"/>
        <w:keepNext/>
        <w:keepLines/>
        <w:rPr>
          <w:rFonts w:eastAsiaTheme="minorHAnsi"/>
          <w:lang w:eastAsia="en-US"/>
        </w:rPr>
      </w:pPr>
      <w:r>
        <w:rPr>
          <w:rFonts w:eastAsiaTheme="minorHAnsi"/>
          <w:lang w:eastAsia="en-US"/>
        </w:rPr>
        <w:t xml:space="preserve">Mobile carriage service providers may need to </w:t>
      </w:r>
      <w:r w:rsidR="00F61CD5">
        <w:rPr>
          <w:rFonts w:eastAsiaTheme="minorHAnsi"/>
          <w:lang w:eastAsia="en-US"/>
        </w:rPr>
        <w:t xml:space="preserve">direct resources towards </w:t>
      </w:r>
      <w:r>
        <w:rPr>
          <w:rFonts w:eastAsiaTheme="minorHAnsi"/>
          <w:lang w:eastAsia="en-US"/>
        </w:rPr>
        <w:t>implement</w:t>
      </w:r>
      <w:r w:rsidR="00F61CD5">
        <w:rPr>
          <w:rFonts w:eastAsiaTheme="minorHAnsi"/>
          <w:lang w:eastAsia="en-US"/>
        </w:rPr>
        <w:t>ing</w:t>
      </w:r>
      <w:r>
        <w:rPr>
          <w:rFonts w:eastAsiaTheme="minorHAnsi"/>
          <w:lang w:eastAsia="en-US"/>
        </w:rPr>
        <w:t xml:space="preserve"> additional </w:t>
      </w:r>
      <w:r w:rsidR="00BF2FAB">
        <w:rPr>
          <w:rFonts w:eastAsiaTheme="minorHAnsi"/>
          <w:lang w:eastAsia="en-US"/>
        </w:rPr>
        <w:t xml:space="preserve">stakeholder engagement </w:t>
      </w:r>
      <w:r>
        <w:rPr>
          <w:rFonts w:eastAsiaTheme="minorHAnsi"/>
          <w:lang w:eastAsia="en-US"/>
        </w:rPr>
        <w:t>activities and updat</w:t>
      </w:r>
      <w:r w:rsidR="00F61CD5">
        <w:rPr>
          <w:rFonts w:eastAsiaTheme="minorHAnsi"/>
          <w:lang w:eastAsia="en-US"/>
        </w:rPr>
        <w:t>ing</w:t>
      </w:r>
      <w:r>
        <w:rPr>
          <w:rFonts w:eastAsiaTheme="minorHAnsi"/>
          <w:lang w:eastAsia="en-US"/>
        </w:rPr>
        <w:t xml:space="preserve"> existing information to align with educational activities.</w:t>
      </w:r>
    </w:p>
    <w:p w14:paraId="1385F85A" w14:textId="3615CCEB" w:rsidR="0008549F" w:rsidRDefault="0008549F" w:rsidP="0008549F">
      <w:pPr>
        <w:pStyle w:val="Paragraph"/>
      </w:pPr>
      <w:r>
        <w:t>A</w:t>
      </w:r>
      <w:r w:rsidRPr="00842DE3">
        <w:t xml:space="preserve">ll </w:t>
      </w:r>
      <w:r>
        <w:t>mobile carriage service providers</w:t>
      </w:r>
      <w:r w:rsidRPr="00842DE3">
        <w:t xml:space="preserve"> remain susceptible to the impacts of mobile porting fraud</w:t>
      </w:r>
      <w:r>
        <w:t>. T</w:t>
      </w:r>
      <w:r w:rsidRPr="00842DE3">
        <w:t xml:space="preserve">he process of mobile porting </w:t>
      </w:r>
      <w:r>
        <w:t>involves</w:t>
      </w:r>
      <w:r w:rsidRPr="00842DE3">
        <w:t xml:space="preserve"> moving away from an existing provider</w:t>
      </w:r>
      <w:r w:rsidR="008E597F">
        <w:t>,</w:t>
      </w:r>
      <w:r>
        <w:t xml:space="preserve"> so if provider</w:t>
      </w:r>
      <w:r w:rsidRPr="00842DE3">
        <w:t xml:space="preserve"> A and B have additional protections</w:t>
      </w:r>
      <w:r>
        <w:t xml:space="preserve"> </w:t>
      </w:r>
      <w:r w:rsidRPr="00842DE3">
        <w:t>but provider C does not</w:t>
      </w:r>
      <w:r>
        <w:t>, customers with</w:t>
      </w:r>
      <w:r w:rsidRPr="00842DE3">
        <w:t xml:space="preserve"> both A and B can continue to be fraudulently ported to C.</w:t>
      </w:r>
      <w:r>
        <w:t xml:space="preserve"> Therefore, the gap in providing community-wide protections remains.</w:t>
      </w:r>
    </w:p>
    <w:p w14:paraId="3F56091C" w14:textId="3685C21F" w:rsidR="00D37326" w:rsidRDefault="00B059F9" w:rsidP="005A75D4">
      <w:pPr>
        <w:pStyle w:val="Paragraph"/>
        <w:rPr>
          <w:rFonts w:eastAsiaTheme="minorHAnsi"/>
          <w:lang w:eastAsia="en-US"/>
        </w:rPr>
      </w:pPr>
      <w:r>
        <w:rPr>
          <w:rFonts w:eastAsiaTheme="minorHAnsi"/>
          <w:lang w:eastAsia="en-US"/>
        </w:rPr>
        <w:t>Better informed customers may also increase workloads for fraud teams</w:t>
      </w:r>
      <w:r w:rsidR="00D37326">
        <w:rPr>
          <w:rFonts w:eastAsiaTheme="minorHAnsi"/>
          <w:lang w:eastAsia="en-US"/>
        </w:rPr>
        <w:t>—as customers will be more responsive to the signs</w:t>
      </w:r>
      <w:r w:rsidR="0008549F">
        <w:rPr>
          <w:rFonts w:eastAsiaTheme="minorHAnsi"/>
          <w:lang w:eastAsia="en-US"/>
        </w:rPr>
        <w:t xml:space="preserve"> of</w:t>
      </w:r>
      <w:r w:rsidR="00D37326">
        <w:rPr>
          <w:rFonts w:eastAsiaTheme="minorHAnsi"/>
          <w:lang w:eastAsia="en-US"/>
        </w:rPr>
        <w:t xml:space="preserve"> fraudulent porting. </w:t>
      </w:r>
      <w:r w:rsidR="0038451C">
        <w:rPr>
          <w:rFonts w:eastAsiaTheme="minorHAnsi"/>
          <w:lang w:eastAsia="en-US"/>
        </w:rPr>
        <w:t>Mobile carriage service providers will continue to need to spend time and resources responding to mobile porting fraud as well as assisting their customers to manage the impact and recover their services.</w:t>
      </w:r>
    </w:p>
    <w:p w14:paraId="6124D2FF" w14:textId="5E9F1BA6" w:rsidR="00433EC0" w:rsidRDefault="00433EC0" w:rsidP="00433EC0">
      <w:pPr>
        <w:pStyle w:val="Paragraph"/>
        <w:rPr>
          <w:rFonts w:eastAsiaTheme="minorHAnsi"/>
          <w:i/>
          <w:iCs/>
          <w:lang w:eastAsia="en-US"/>
        </w:rPr>
      </w:pPr>
      <w:r>
        <w:rPr>
          <w:rFonts w:eastAsiaTheme="minorHAnsi"/>
          <w:lang w:eastAsia="en-US"/>
        </w:rPr>
        <w:t xml:space="preserve">Time is </w:t>
      </w:r>
      <w:r w:rsidR="00D37326">
        <w:rPr>
          <w:rFonts w:eastAsiaTheme="minorHAnsi"/>
          <w:lang w:eastAsia="en-US"/>
        </w:rPr>
        <w:t xml:space="preserve">also </w:t>
      </w:r>
      <w:r>
        <w:rPr>
          <w:rFonts w:eastAsiaTheme="minorHAnsi"/>
          <w:lang w:eastAsia="en-US"/>
        </w:rPr>
        <w:t xml:space="preserve">spent on training frontline staff </w:t>
      </w:r>
      <w:r w:rsidR="0038451C">
        <w:rPr>
          <w:rFonts w:eastAsiaTheme="minorHAnsi"/>
          <w:lang w:eastAsia="en-US"/>
        </w:rPr>
        <w:t xml:space="preserve">or resourcing specialist fraud teams </w:t>
      </w:r>
      <w:r>
        <w:rPr>
          <w:rFonts w:eastAsiaTheme="minorHAnsi"/>
          <w:lang w:eastAsia="en-US"/>
        </w:rPr>
        <w:t xml:space="preserve">on how to identify </w:t>
      </w:r>
      <w:r w:rsidR="0038451C">
        <w:rPr>
          <w:rFonts w:eastAsiaTheme="minorHAnsi"/>
          <w:lang w:eastAsia="en-US"/>
        </w:rPr>
        <w:t xml:space="preserve">and address </w:t>
      </w:r>
      <w:r>
        <w:rPr>
          <w:rFonts w:eastAsiaTheme="minorHAnsi"/>
          <w:lang w:eastAsia="en-US"/>
        </w:rPr>
        <w:t>potential fraud cases</w:t>
      </w:r>
      <w:r w:rsidR="0038451C">
        <w:rPr>
          <w:rFonts w:eastAsiaTheme="minorHAnsi"/>
          <w:lang w:eastAsia="en-US"/>
        </w:rPr>
        <w:t>. F</w:t>
      </w:r>
      <w:r w:rsidR="0008549F">
        <w:rPr>
          <w:rFonts w:eastAsiaTheme="minorHAnsi"/>
          <w:lang w:eastAsia="en-US"/>
        </w:rPr>
        <w:t xml:space="preserve">or example, </w:t>
      </w:r>
      <w:r>
        <w:rPr>
          <w:rFonts w:eastAsiaTheme="minorHAnsi"/>
          <w:lang w:eastAsia="en-US"/>
        </w:rPr>
        <w:t>mobile porting fraud is often identified because a customer says they are not getting service</w:t>
      </w:r>
      <w:r w:rsidR="00BF2DA2">
        <w:rPr>
          <w:rFonts w:eastAsiaTheme="minorHAnsi"/>
          <w:lang w:eastAsia="en-US"/>
        </w:rPr>
        <w:t>,</w:t>
      </w:r>
      <w:r>
        <w:rPr>
          <w:rFonts w:eastAsiaTheme="minorHAnsi"/>
          <w:lang w:eastAsia="en-US"/>
        </w:rPr>
        <w:t xml:space="preserve"> which is most often because their number has been ported</w:t>
      </w:r>
      <w:r w:rsidR="0008549F">
        <w:rPr>
          <w:rFonts w:eastAsiaTheme="minorHAnsi"/>
          <w:lang w:eastAsia="en-US"/>
        </w:rPr>
        <w:t>.</w:t>
      </w:r>
    </w:p>
    <w:p w14:paraId="33812248" w14:textId="52CC935C" w:rsidR="00DC7B36" w:rsidRDefault="00433EC0" w:rsidP="005A75D4">
      <w:pPr>
        <w:pStyle w:val="Paragraph"/>
      </w:pPr>
      <w:r>
        <w:t xml:space="preserve">Reputational costs are </w:t>
      </w:r>
      <w:r w:rsidR="004B203F">
        <w:t xml:space="preserve">less </w:t>
      </w:r>
      <w:r>
        <w:t xml:space="preserve">than the status quo but still </w:t>
      </w:r>
      <w:r w:rsidRPr="005A75D4">
        <w:t>impact</w:t>
      </w:r>
      <w:r>
        <w:t xml:space="preserve"> the perception of mobile carriage service providers by their customers and other businesses relying on mobile phones for multi-factor authentication.</w:t>
      </w:r>
    </w:p>
    <w:p w14:paraId="7206BB38" w14:textId="32AEAC1B" w:rsidR="00E40440" w:rsidRDefault="00E40440" w:rsidP="00E87EED">
      <w:pPr>
        <w:pStyle w:val="Heading2"/>
        <w:numPr>
          <w:ilvl w:val="0"/>
          <w:numId w:val="43"/>
        </w:numPr>
      </w:pPr>
      <w:bookmarkStart w:id="104" w:name="_Toc32833702"/>
      <w:bookmarkStart w:id="105" w:name="_Toc32833750"/>
      <w:bookmarkStart w:id="106" w:name="_Toc32833823"/>
      <w:bookmarkStart w:id="107" w:name="_Toc33176385"/>
      <w:r>
        <w:t xml:space="preserve">Industry </w:t>
      </w:r>
      <w:r w:rsidR="00920CCA">
        <w:t>standard</w:t>
      </w:r>
      <w:bookmarkEnd w:id="104"/>
      <w:bookmarkEnd w:id="105"/>
      <w:bookmarkEnd w:id="106"/>
      <w:bookmarkEnd w:id="107"/>
    </w:p>
    <w:p w14:paraId="0F83F0DE" w14:textId="77777777" w:rsidR="00E40440" w:rsidRPr="000C4E51" w:rsidRDefault="00E40440" w:rsidP="00E40440">
      <w:pPr>
        <w:pStyle w:val="Heading3"/>
      </w:pPr>
      <w:bookmarkStart w:id="108" w:name="_Toc32833703"/>
      <w:bookmarkStart w:id="109" w:name="_Toc33176386"/>
      <w:r w:rsidRPr="000C4E51">
        <w:t>Benefits</w:t>
      </w:r>
      <w:bookmarkEnd w:id="108"/>
      <w:bookmarkEnd w:id="109"/>
    </w:p>
    <w:p w14:paraId="18DBF916" w14:textId="369464FA" w:rsidR="00C61E92" w:rsidRDefault="00986202" w:rsidP="005A75D4">
      <w:pPr>
        <w:pStyle w:val="Paragraph"/>
      </w:pPr>
      <w:r w:rsidRPr="000C4E51">
        <w:t>For this assessment, it is</w:t>
      </w:r>
      <w:r w:rsidR="002639ED" w:rsidRPr="002639ED">
        <w:t xml:space="preserve"> </w:t>
      </w:r>
      <w:r w:rsidR="002639ED" w:rsidRPr="000C4E51">
        <w:t>a</w:t>
      </w:r>
      <w:r w:rsidR="002639ED">
        <w:t>nticipated</w:t>
      </w:r>
      <w:r w:rsidRPr="000C4E51">
        <w:t xml:space="preserve"> that coverage</w:t>
      </w:r>
      <w:r w:rsidR="002400CA" w:rsidRPr="000C4E51">
        <w:t xml:space="preserve"> of pre-port verification measures</w:t>
      </w:r>
      <w:r w:rsidRPr="000C4E51">
        <w:t xml:space="preserve"> will rise </w:t>
      </w:r>
      <w:r w:rsidR="00CD0D93" w:rsidRPr="000C4E51">
        <w:t xml:space="preserve">from </w:t>
      </w:r>
      <w:r w:rsidR="00AA1FD8">
        <w:t xml:space="preserve">mobile carriage service providers covering </w:t>
      </w:r>
      <w:r w:rsidR="00CD0D93" w:rsidRPr="000C4E51">
        <w:t>97</w:t>
      </w:r>
      <w:r w:rsidR="00AE6B49" w:rsidRPr="00AE6B49">
        <w:t xml:space="preserve"> </w:t>
      </w:r>
      <w:r w:rsidR="00AE6B49" w:rsidRPr="000C4E51">
        <w:t xml:space="preserve">per cent </w:t>
      </w:r>
      <w:r w:rsidR="00AE6B49">
        <w:t>of mobile services</w:t>
      </w:r>
      <w:r w:rsidR="00CD0D93" w:rsidRPr="000C4E51">
        <w:t xml:space="preserve"> </w:t>
      </w:r>
      <w:r w:rsidRPr="000C4E51">
        <w:t>to 100</w:t>
      </w:r>
      <w:r w:rsidR="00CB50F9" w:rsidRPr="000C4E51">
        <w:t xml:space="preserve"> per cent </w:t>
      </w:r>
      <w:r w:rsidR="001947AA">
        <w:t xml:space="preserve">of mobile services </w:t>
      </w:r>
      <w:r w:rsidRPr="000C4E51">
        <w:t>when the standard commences.</w:t>
      </w:r>
    </w:p>
    <w:p w14:paraId="5F4AABA2" w14:textId="495B791F" w:rsidR="009F31BA" w:rsidRDefault="00CD24DB" w:rsidP="00953A55">
      <w:r w:rsidRPr="000C4E51">
        <w:t>A</w:t>
      </w:r>
      <w:r w:rsidR="004E03A8">
        <w:t>n industry</w:t>
      </w:r>
      <w:r w:rsidRPr="000C4E51">
        <w:t xml:space="preserve"> standard provides a consistent, </w:t>
      </w:r>
      <w:r w:rsidR="003032B8">
        <w:t>community-</w:t>
      </w:r>
      <w:r w:rsidRPr="000C4E51">
        <w:t xml:space="preserve">wide approach by establishing processes and protections that allow for certainty for both </w:t>
      </w:r>
      <w:r w:rsidR="004555F6">
        <w:t>mobile carriage service providers and their</w:t>
      </w:r>
      <w:r w:rsidR="004555F6" w:rsidRPr="000C4E51">
        <w:t xml:space="preserve"> </w:t>
      </w:r>
      <w:r w:rsidRPr="000C4E51">
        <w:t>customers.</w:t>
      </w:r>
      <w:r w:rsidR="00781394">
        <w:t xml:space="preserve"> </w:t>
      </w:r>
      <w:r w:rsidR="00625B30">
        <w:t>With all mobile carriage service providers treated the same, there is a competition benefit.</w:t>
      </w:r>
    </w:p>
    <w:p w14:paraId="484ED817" w14:textId="66300BB0" w:rsidR="00AE6B49" w:rsidRDefault="00625B30" w:rsidP="005A75D4">
      <w:pPr>
        <w:pStyle w:val="Paragraph"/>
      </w:pPr>
      <w:r>
        <w:t xml:space="preserve">An industry standard can address the regulatory gap </w:t>
      </w:r>
      <w:r w:rsidR="00493589">
        <w:t>by imposing an enfo</w:t>
      </w:r>
      <w:r w:rsidR="001D492D">
        <w:t>r</w:t>
      </w:r>
      <w:r w:rsidR="00493589">
        <w:t>ce</w:t>
      </w:r>
      <w:r w:rsidR="001D492D">
        <w:t xml:space="preserve">able </w:t>
      </w:r>
      <w:r w:rsidR="00493589">
        <w:t>obligation on a gaining mobile carriage service provider</w:t>
      </w:r>
      <w:r w:rsidR="00773381">
        <w:t xml:space="preserve"> to verify the identity of the customer seeking to port th</w:t>
      </w:r>
      <w:r w:rsidR="006D2332">
        <w:t>eir number</w:t>
      </w:r>
      <w:r>
        <w:t xml:space="preserve">. A losing mobile carriage service provider may have additional protections, but this will not protect </w:t>
      </w:r>
      <w:r w:rsidRPr="001D492D">
        <w:t xml:space="preserve">customers who are porting to a gaining provider </w:t>
      </w:r>
      <w:r w:rsidR="00715E52" w:rsidRPr="001D492D">
        <w:t xml:space="preserve">that </w:t>
      </w:r>
      <w:r w:rsidRPr="001D492D">
        <w:t>does not. If mobile carriage service providers remain who do not have protections</w:t>
      </w:r>
      <w:r w:rsidR="001D492D" w:rsidRPr="00780922">
        <w:t>,</w:t>
      </w:r>
      <w:r w:rsidRPr="001D492D">
        <w:t xml:space="preserve"> scammers are incentivised to port to those providers</w:t>
      </w:r>
      <w:r w:rsidR="00AE6B49" w:rsidRPr="001D492D">
        <w:t xml:space="preserve">, even if a majority of providers </w:t>
      </w:r>
      <w:r w:rsidR="00AE6B49" w:rsidRPr="001D492D">
        <w:rPr>
          <w:i/>
          <w:iCs/>
        </w:rPr>
        <w:t>do</w:t>
      </w:r>
      <w:r w:rsidR="00AE6B49" w:rsidRPr="001D492D">
        <w:t xml:space="preserve"> have protections</w:t>
      </w:r>
      <w:r w:rsidRPr="001D492D">
        <w:t>.</w:t>
      </w:r>
      <w:r>
        <w:t xml:space="preserve"> </w:t>
      </w:r>
    </w:p>
    <w:p w14:paraId="48780B39" w14:textId="5C3D4EA7" w:rsidR="004555F6" w:rsidRDefault="00C61E92" w:rsidP="004555F6">
      <w:r>
        <w:t xml:space="preserve">The additional protections offered by </w:t>
      </w:r>
      <w:r w:rsidR="009F31BA">
        <w:t xml:space="preserve">mobile carriage service </w:t>
      </w:r>
      <w:r>
        <w:t>providers become more effective</w:t>
      </w:r>
      <w:r w:rsidR="001947AA">
        <w:t xml:space="preserve"> as </w:t>
      </w:r>
      <w:r w:rsidR="00781394">
        <w:t xml:space="preserve">scammers lose the incentive to target providers without protections. </w:t>
      </w:r>
      <w:r w:rsidR="00AE6B49">
        <w:t>If all providers have protection</w:t>
      </w:r>
      <w:r w:rsidR="00715E52">
        <w:t>,</w:t>
      </w:r>
      <w:r w:rsidR="00AE6B49">
        <w:t xml:space="preserve"> no</w:t>
      </w:r>
      <w:r w:rsidR="00953A55">
        <w:rPr>
          <w:rFonts w:cs="Arial"/>
        </w:rPr>
        <w:t xml:space="preserve"> </w:t>
      </w:r>
      <w:r>
        <w:t>customer can be ported away with</w:t>
      </w:r>
      <w:r w:rsidR="009F31BA">
        <w:t>out a process of additional</w:t>
      </w:r>
      <w:r w:rsidR="00953A55">
        <w:t xml:space="preserve"> identity </w:t>
      </w:r>
      <w:r>
        <w:t>protection</w:t>
      </w:r>
      <w:r w:rsidR="00953A55">
        <w:t>.</w:t>
      </w:r>
    </w:p>
    <w:p w14:paraId="427646A9" w14:textId="31DB436D" w:rsidR="00725B6C" w:rsidRPr="000C4E51" w:rsidRDefault="009F31BA" w:rsidP="005A75D4">
      <w:pPr>
        <w:pStyle w:val="Paragraph"/>
      </w:pPr>
      <w:r>
        <w:t>Mobile carriage service p</w:t>
      </w:r>
      <w:r w:rsidR="00A051F0" w:rsidRPr="000C4E51">
        <w:t xml:space="preserve">roviders </w:t>
      </w:r>
      <w:r w:rsidR="001947AA">
        <w:t>that</w:t>
      </w:r>
      <w:r w:rsidR="001947AA" w:rsidRPr="000C4E51">
        <w:t xml:space="preserve"> </w:t>
      </w:r>
      <w:r w:rsidR="00A051F0" w:rsidRPr="000C4E51">
        <w:t xml:space="preserve">have already implemented </w:t>
      </w:r>
      <w:r w:rsidR="009F0B8E" w:rsidRPr="000C4E51">
        <w:t xml:space="preserve">the measures </w:t>
      </w:r>
      <w:r w:rsidR="00F123C0">
        <w:t xml:space="preserve">set out </w:t>
      </w:r>
      <w:r w:rsidR="001E0406">
        <w:t xml:space="preserve">in the industry guideline </w:t>
      </w:r>
      <w:r w:rsidR="009F0B8E" w:rsidRPr="000C4E51">
        <w:t xml:space="preserve">have found them to be practicable, robust and technically feasible. </w:t>
      </w:r>
      <w:r w:rsidR="001E0406" w:rsidRPr="001D492D">
        <w:t>Th</w:t>
      </w:r>
      <w:r w:rsidR="00F123C0">
        <w:t>is experience</w:t>
      </w:r>
      <w:r w:rsidR="001E0406" w:rsidRPr="001D492D">
        <w:t xml:space="preserve"> </w:t>
      </w:r>
      <w:r w:rsidR="00F123C0" w:rsidRPr="001D492D">
        <w:t>ha</w:t>
      </w:r>
      <w:r w:rsidR="00F123C0">
        <w:t>s</w:t>
      </w:r>
      <w:r w:rsidR="00F123C0" w:rsidRPr="001D492D">
        <w:t xml:space="preserve"> </w:t>
      </w:r>
      <w:r w:rsidR="001E0406" w:rsidRPr="001D492D">
        <w:t xml:space="preserve">directly informed </w:t>
      </w:r>
      <w:r w:rsidR="0005235C" w:rsidRPr="001D492D">
        <w:t>mandated obligations</w:t>
      </w:r>
      <w:r w:rsidR="00F123C0">
        <w:t xml:space="preserve"> in the standard</w:t>
      </w:r>
      <w:r w:rsidR="0005235C" w:rsidRPr="001D492D">
        <w:t>.</w:t>
      </w:r>
      <w:r w:rsidR="0005235C">
        <w:t xml:space="preserve"> </w:t>
      </w:r>
      <w:r w:rsidR="009F0B8E" w:rsidRPr="000C4E51">
        <w:t xml:space="preserve">Data suggests </w:t>
      </w:r>
      <w:r w:rsidR="002400CA" w:rsidRPr="000C4E51">
        <w:t xml:space="preserve">these measures </w:t>
      </w:r>
      <w:r w:rsidR="009F0B8E" w:rsidRPr="000C4E51">
        <w:t>reduce mobile</w:t>
      </w:r>
      <w:r w:rsidR="00725B6C" w:rsidRPr="000C4E51">
        <w:t xml:space="preserve"> porting fraud</w:t>
      </w:r>
      <w:r w:rsidR="009F0B8E" w:rsidRPr="000C4E51">
        <w:t xml:space="preserve"> by up to 96</w:t>
      </w:r>
      <w:r w:rsidR="00277E2A" w:rsidRPr="000C4E51">
        <w:t xml:space="preserve"> per cent for </w:t>
      </w:r>
      <w:r w:rsidR="00277E2A" w:rsidRPr="000C4E51">
        <w:lastRenderedPageBreak/>
        <w:t>individual providers</w:t>
      </w:r>
      <w:r w:rsidR="00725B6C" w:rsidRPr="000C4E51">
        <w:t>.</w:t>
      </w:r>
      <w:r w:rsidR="003C64F8" w:rsidRPr="000C4E51">
        <w:rPr>
          <w:rStyle w:val="FootnoteReference"/>
        </w:rPr>
        <w:footnoteReference w:id="44"/>
      </w:r>
      <w:r w:rsidR="00725B6C" w:rsidRPr="000C4E51">
        <w:t xml:space="preserve"> With coverage</w:t>
      </w:r>
      <w:r w:rsidR="00C61E92">
        <w:t xml:space="preserve"> across all mobile carriage service providers,</w:t>
      </w:r>
      <w:r w:rsidR="00725B6C" w:rsidRPr="000C4E51">
        <w:t xml:space="preserve"> this figure </w:t>
      </w:r>
      <w:r w:rsidR="002400CA" w:rsidRPr="000C4E51">
        <w:t>is likely to increase</w:t>
      </w:r>
      <w:r w:rsidR="00725B6C" w:rsidRPr="000C4E51">
        <w:t>.</w:t>
      </w:r>
    </w:p>
    <w:p w14:paraId="4E732A78" w14:textId="30ABC258" w:rsidR="008C5968" w:rsidRPr="00C15659" w:rsidRDefault="008C5968" w:rsidP="005A75D4">
      <w:pPr>
        <w:pStyle w:val="Paragraph"/>
      </w:pPr>
      <w:r w:rsidRPr="00C15659">
        <w:t xml:space="preserve">Customers can expect to benefit from an industry standard </w:t>
      </w:r>
      <w:r w:rsidR="00715E52">
        <w:t>that</w:t>
      </w:r>
      <w:r w:rsidR="00715E52" w:rsidRPr="00C15659">
        <w:t xml:space="preserve"> </w:t>
      </w:r>
      <w:r w:rsidRPr="00C15659">
        <w:t>mandates additional security measures.</w:t>
      </w:r>
      <w:r w:rsidR="00A63528" w:rsidRPr="00C15659">
        <w:t xml:space="preserve"> While no anti-fraud measure can be assumed to be completely effective, a</w:t>
      </w:r>
      <w:r w:rsidR="009F0B8E" w:rsidRPr="00C15659">
        <w:t xml:space="preserve"> </w:t>
      </w:r>
      <w:r w:rsidR="009F0B8E" w:rsidRPr="000C4E51">
        <w:t>conservative</w:t>
      </w:r>
      <w:r w:rsidR="00A63528" w:rsidRPr="000C4E51">
        <w:t xml:space="preserve"> 90</w:t>
      </w:r>
      <w:r w:rsidR="00CB50F9" w:rsidRPr="000C4E51">
        <w:t xml:space="preserve"> per cent</w:t>
      </w:r>
      <w:r w:rsidR="00A63528" w:rsidRPr="000C4E51">
        <w:t xml:space="preserve"> drop in porting fraud cases </w:t>
      </w:r>
      <w:r w:rsidR="009F0B8E" w:rsidRPr="000C4E51">
        <w:t>has been estimated to test the benefit of industry</w:t>
      </w:r>
      <w:r w:rsidR="00715E52">
        <w:t>-</w:t>
      </w:r>
      <w:r w:rsidR="009F0B8E" w:rsidRPr="000C4E51">
        <w:t>wide coverage.</w:t>
      </w:r>
    </w:p>
    <w:p w14:paraId="02C2ACBF" w14:textId="42A141AA" w:rsidR="00DA7079" w:rsidRDefault="00610230" w:rsidP="005A75D4">
      <w:pPr>
        <w:pStyle w:val="Paragraph"/>
      </w:pPr>
      <w:r w:rsidRPr="00C15659">
        <w:t xml:space="preserve">The most significant benefit </w:t>
      </w:r>
      <w:r w:rsidR="00715E52">
        <w:t>of</w:t>
      </w:r>
      <w:r w:rsidR="00715E52" w:rsidRPr="00C15659">
        <w:t xml:space="preserve"> </w:t>
      </w:r>
      <w:r w:rsidRPr="00C15659">
        <w:t>an industry standard would b</w:t>
      </w:r>
      <w:r w:rsidR="009210A2" w:rsidRPr="00C15659">
        <w:t>e</w:t>
      </w:r>
      <w:r w:rsidRPr="00E54EF1">
        <w:t xml:space="preserve"> a</w:t>
      </w:r>
      <w:r w:rsidR="009210A2" w:rsidRPr="00E54EF1">
        <w:t xml:space="preserve"> </w:t>
      </w:r>
      <w:r w:rsidRPr="00F21516">
        <w:t>reduction of mobile porting fraud cases</w:t>
      </w:r>
      <w:r w:rsidR="00320132" w:rsidRPr="000C4E51">
        <w:t xml:space="preserve"> in </w:t>
      </w:r>
      <w:r w:rsidR="002400CA" w:rsidRPr="000C4E51">
        <w:t>2020</w:t>
      </w:r>
      <w:r w:rsidR="004C6645">
        <w:t xml:space="preserve"> and beyond</w:t>
      </w:r>
      <w:r w:rsidR="002400CA" w:rsidRPr="000C4E51">
        <w:t>.</w:t>
      </w:r>
      <w:r w:rsidR="00876632">
        <w:t xml:space="preserve"> </w:t>
      </w:r>
      <w:r w:rsidR="0084460E">
        <w:t>It is</w:t>
      </w:r>
      <w:r w:rsidRPr="000C4E51">
        <w:t xml:space="preserve"> estimate</w:t>
      </w:r>
      <w:r w:rsidR="0084460E">
        <w:t>d</w:t>
      </w:r>
      <w:r w:rsidR="002400CA" w:rsidRPr="000C4E51">
        <w:t xml:space="preserve"> </w:t>
      </w:r>
      <w:r w:rsidR="00715E52">
        <w:t xml:space="preserve">these </w:t>
      </w:r>
      <w:r w:rsidR="002400CA" w:rsidRPr="000C4E51">
        <w:t>would be reduced from</w:t>
      </w:r>
      <w:r w:rsidRPr="000C4E51">
        <w:t xml:space="preserve"> 2</w:t>
      </w:r>
      <w:r w:rsidR="00701FB6">
        <w:t>,</w:t>
      </w:r>
      <w:r w:rsidR="00BF01E4" w:rsidRPr="000C4E51">
        <w:t>6</w:t>
      </w:r>
      <w:r w:rsidR="002400CA" w:rsidRPr="000C4E51">
        <w:t>8</w:t>
      </w:r>
      <w:r w:rsidR="00BF01E4" w:rsidRPr="000C4E51">
        <w:t>8</w:t>
      </w:r>
      <w:r w:rsidR="002400CA" w:rsidRPr="000C4E51">
        <w:t xml:space="preserve"> </w:t>
      </w:r>
      <w:r w:rsidR="00876632">
        <w:t xml:space="preserve">(if </w:t>
      </w:r>
      <w:r w:rsidR="00715E52">
        <w:t xml:space="preserve">the </w:t>
      </w:r>
      <w:r w:rsidR="00876632">
        <w:t xml:space="preserve">status quo is maintained) </w:t>
      </w:r>
      <w:r w:rsidR="002400CA" w:rsidRPr="000C4E51">
        <w:t>to</w:t>
      </w:r>
      <w:r w:rsidR="00876632">
        <w:t xml:space="preserve"> </w:t>
      </w:r>
      <w:r w:rsidRPr="000C4E51">
        <w:t>2</w:t>
      </w:r>
      <w:r w:rsidR="002400CA" w:rsidRPr="000C4E51">
        <w:t>67</w:t>
      </w:r>
      <w:r w:rsidRPr="000C4E51">
        <w:t xml:space="preserve"> cases </w:t>
      </w:r>
      <w:r w:rsidR="00BF01E4" w:rsidRPr="000C4E51">
        <w:t>per annum</w:t>
      </w:r>
      <w:r w:rsidRPr="000C4E51">
        <w:t>.</w:t>
      </w:r>
    </w:p>
    <w:p w14:paraId="2274F13F" w14:textId="484B799E" w:rsidR="00610230" w:rsidRPr="00E54EF1" w:rsidRDefault="00610230" w:rsidP="005A75D4">
      <w:pPr>
        <w:pStyle w:val="Paragraph"/>
      </w:pPr>
      <w:bookmarkStart w:id="110" w:name="_Hlk31106458"/>
      <w:r w:rsidRPr="000C4E51">
        <w:t xml:space="preserve">This represents roughly </w:t>
      </w:r>
      <w:r w:rsidR="002400CA" w:rsidRPr="000C4E51">
        <w:t>2</w:t>
      </w:r>
      <w:r w:rsidR="000B1376">
        <w:t>,</w:t>
      </w:r>
      <w:r w:rsidR="002400CA" w:rsidRPr="000C4E51">
        <w:t>419</w:t>
      </w:r>
      <w:r w:rsidRPr="000C4E51">
        <w:t xml:space="preserve"> customers who </w:t>
      </w:r>
      <w:r w:rsidR="00715E52">
        <w:t>would</w:t>
      </w:r>
      <w:r w:rsidR="00715E52" w:rsidRPr="000C4E51">
        <w:t xml:space="preserve"> </w:t>
      </w:r>
      <w:r w:rsidRPr="000C4E51">
        <w:t xml:space="preserve">not face the distress, trauma and suffering that occurs due to mobile </w:t>
      </w:r>
      <w:r w:rsidRPr="00C15659">
        <w:t>porting fraud</w:t>
      </w:r>
      <w:r w:rsidR="005402AE" w:rsidRPr="00C15659">
        <w:t xml:space="preserve"> and the accompanying identity theft</w:t>
      </w:r>
      <w:bookmarkEnd w:id="110"/>
      <w:r w:rsidRPr="00C15659">
        <w:t xml:space="preserve">. </w:t>
      </w:r>
      <w:r w:rsidR="0077693D" w:rsidRPr="00C15659">
        <w:t>This benefit is difficult to articulate given the potential breadth and scope of harm</w:t>
      </w:r>
      <w:r w:rsidR="00715E52">
        <w:t>,</w:t>
      </w:r>
      <w:r w:rsidR="0077693D" w:rsidRPr="00C15659">
        <w:t xml:space="preserve"> and the ongoing impacts of identity theft </w:t>
      </w:r>
      <w:r w:rsidR="003D03E3">
        <w:t xml:space="preserve">often </w:t>
      </w:r>
      <w:r w:rsidR="0077693D" w:rsidRPr="00C15659">
        <w:t>being felt for years after the initial event.</w:t>
      </w:r>
    </w:p>
    <w:p w14:paraId="61B17D2D" w14:textId="12857F76" w:rsidR="00A63528" w:rsidRPr="000C4E51" w:rsidRDefault="005402AE" w:rsidP="003775E1">
      <w:pPr>
        <w:pStyle w:val="Paragraphbeforelist"/>
      </w:pPr>
      <w:bookmarkStart w:id="111" w:name="_Hlk30780498"/>
      <w:r w:rsidRPr="000C4E51">
        <w:t>Overall</w:t>
      </w:r>
      <w:r w:rsidR="004B203F">
        <w:t>,</w:t>
      </w:r>
      <w:r w:rsidRPr="000C4E51">
        <w:t xml:space="preserve"> a</w:t>
      </w:r>
      <w:r w:rsidR="00A63528" w:rsidRPr="000C4E51">
        <w:t xml:space="preserve"> 90</w:t>
      </w:r>
      <w:r w:rsidR="00CB50F9" w:rsidRPr="000C4E51">
        <w:t xml:space="preserve"> per cent</w:t>
      </w:r>
      <w:r w:rsidR="00A63528" w:rsidRPr="000C4E51">
        <w:t xml:space="preserve"> reduction in </w:t>
      </w:r>
      <w:r w:rsidR="00610230" w:rsidRPr="000C4E51">
        <w:t>mobile porting fraud cases</w:t>
      </w:r>
      <w:r w:rsidR="004512E0" w:rsidRPr="000C4E51">
        <w:t xml:space="preserve"> compared </w:t>
      </w:r>
      <w:r w:rsidR="00715E52">
        <w:t>with</w:t>
      </w:r>
      <w:r w:rsidR="00715E52" w:rsidRPr="000C4E51">
        <w:t xml:space="preserve"> </w:t>
      </w:r>
      <w:r w:rsidR="004512E0" w:rsidRPr="000C4E51">
        <w:t>the status quo</w:t>
      </w:r>
      <w:r w:rsidR="00610230" w:rsidRPr="000C4E51">
        <w:t xml:space="preserve"> </w:t>
      </w:r>
      <w:r w:rsidR="00E12B41">
        <w:t>in 2020</w:t>
      </w:r>
      <w:r w:rsidR="00B12E87">
        <w:t xml:space="preserve"> </w:t>
      </w:r>
      <w:r w:rsidR="00A63528" w:rsidRPr="000C4E51">
        <w:t>represents:</w:t>
      </w:r>
    </w:p>
    <w:p w14:paraId="4E367E68" w14:textId="235CDFB2" w:rsidR="00AF4D3E" w:rsidRPr="000C4E51" w:rsidRDefault="00715E52" w:rsidP="00E1344F">
      <w:pPr>
        <w:pStyle w:val="Bulletlevel1"/>
        <w:numPr>
          <w:ilvl w:val="0"/>
          <w:numId w:val="16"/>
        </w:numPr>
      </w:pPr>
      <w:r>
        <w:t xml:space="preserve">a </w:t>
      </w:r>
      <w:r w:rsidR="00AF4D3E" w:rsidRPr="000C4E51">
        <w:t>90 per cent</w:t>
      </w:r>
      <w:r>
        <w:t xml:space="preserve"> decrease</w:t>
      </w:r>
      <w:r w:rsidR="00AF4D3E" w:rsidRPr="000C4E51">
        <w:t xml:space="preserve"> in instances of psychological harm and the need </w:t>
      </w:r>
      <w:r>
        <w:t>for</w:t>
      </w:r>
      <w:r w:rsidRPr="000C4E51">
        <w:t xml:space="preserve"> </w:t>
      </w:r>
      <w:r w:rsidR="00AF4D3E" w:rsidRPr="000C4E51">
        <w:t>a customer to seek support services</w:t>
      </w:r>
    </w:p>
    <w:p w14:paraId="7CA9930C" w14:textId="4FB07E5D" w:rsidR="00A63528" w:rsidRPr="000C4E51" w:rsidRDefault="00A63528" w:rsidP="00E1344F">
      <w:pPr>
        <w:pStyle w:val="Bulletlevel1"/>
        <w:numPr>
          <w:ilvl w:val="0"/>
          <w:numId w:val="16"/>
        </w:numPr>
      </w:pPr>
      <w:r w:rsidRPr="000C4E51">
        <w:t>saving</w:t>
      </w:r>
      <w:r w:rsidR="00CB50F9" w:rsidRPr="000C4E51">
        <w:t>s</w:t>
      </w:r>
      <w:r w:rsidRPr="000C4E51">
        <w:t xml:space="preserve"> of $</w:t>
      </w:r>
      <w:r w:rsidR="00972FCF">
        <w:t>11</w:t>
      </w:r>
      <w:r w:rsidR="006F1A17">
        <w:t>m</w:t>
      </w:r>
      <w:r w:rsidR="006F1A17">
        <w:rPr>
          <w:rStyle w:val="FootnoteReference"/>
          <w:szCs w:val="20"/>
        </w:rPr>
        <w:footnoteReference w:id="45"/>
      </w:r>
      <w:r w:rsidR="000556C2" w:rsidRPr="000C4E51">
        <w:t xml:space="preserve"> </w:t>
      </w:r>
      <w:r w:rsidRPr="000C4E51">
        <w:t>in losses to mobile porting fraud</w:t>
      </w:r>
    </w:p>
    <w:p w14:paraId="1DE8E577" w14:textId="7B9C0E41" w:rsidR="00A63528" w:rsidRPr="002554E1" w:rsidRDefault="00A63528" w:rsidP="00E1344F">
      <w:pPr>
        <w:pStyle w:val="Bulletlevel1"/>
        <w:numPr>
          <w:ilvl w:val="0"/>
          <w:numId w:val="16"/>
        </w:numPr>
      </w:pPr>
      <w:r w:rsidRPr="000C4E51">
        <w:t>saving</w:t>
      </w:r>
      <w:r w:rsidR="00CB50F9" w:rsidRPr="000C4E51">
        <w:t>s</w:t>
      </w:r>
      <w:r w:rsidRPr="000C4E51">
        <w:t xml:space="preserve"> of $</w:t>
      </w:r>
      <w:r w:rsidR="004512E0" w:rsidRPr="000C4E51">
        <w:t>2</w:t>
      </w:r>
      <w:r w:rsidR="006F1A17">
        <w:t>.5m</w:t>
      </w:r>
      <w:r w:rsidR="006F1A17">
        <w:rPr>
          <w:rStyle w:val="FootnoteReference"/>
          <w:szCs w:val="20"/>
        </w:rPr>
        <w:footnoteReference w:id="46"/>
      </w:r>
      <w:r w:rsidRPr="001C043C">
        <w:t xml:space="preserve"> in time spent</w:t>
      </w:r>
      <w:r w:rsidR="004512E0">
        <w:t xml:space="preserve"> by customers</w:t>
      </w:r>
      <w:r w:rsidRPr="001C043C">
        <w:t xml:space="preserve"> responding to identity theft</w:t>
      </w:r>
    </w:p>
    <w:p w14:paraId="37EF4FD6" w14:textId="12BA5A8D" w:rsidR="00A63528" w:rsidRPr="001D492D" w:rsidRDefault="004C6645" w:rsidP="00E1344F">
      <w:pPr>
        <w:pStyle w:val="Bulletlevel1"/>
        <w:numPr>
          <w:ilvl w:val="0"/>
          <w:numId w:val="16"/>
        </w:numPr>
      </w:pPr>
      <w:r>
        <w:t xml:space="preserve">an </w:t>
      </w:r>
      <w:r w:rsidR="006E2085" w:rsidRPr="001D492D">
        <w:t>e</w:t>
      </w:r>
      <w:r w:rsidR="00CB50F9" w:rsidRPr="001D492D">
        <w:t xml:space="preserve">quivalent </w:t>
      </w:r>
      <w:r>
        <w:t xml:space="preserve">of </w:t>
      </w:r>
      <w:r w:rsidR="00CB50F9" w:rsidRPr="001D492D">
        <w:t xml:space="preserve">90 per cent </w:t>
      </w:r>
      <w:r>
        <w:t xml:space="preserve">of </w:t>
      </w:r>
      <w:r w:rsidR="002400CA" w:rsidRPr="001D492D">
        <w:t>tel</w:t>
      </w:r>
      <w:r>
        <w:t>e</w:t>
      </w:r>
      <w:r w:rsidR="002400CA" w:rsidRPr="001D492D">
        <w:t>co</w:t>
      </w:r>
      <w:r>
        <w:t>mmunications</w:t>
      </w:r>
      <w:r w:rsidR="002400CA" w:rsidRPr="001D492D">
        <w:t xml:space="preserve"> </w:t>
      </w:r>
      <w:r w:rsidR="00986202" w:rsidRPr="001D492D">
        <w:t xml:space="preserve">fraud team resources </w:t>
      </w:r>
      <w:r w:rsidR="00725B6C" w:rsidRPr="001D492D">
        <w:t xml:space="preserve">used </w:t>
      </w:r>
      <w:r>
        <w:t xml:space="preserve">in </w:t>
      </w:r>
      <w:r w:rsidR="002E6605" w:rsidRPr="001D492D">
        <w:t xml:space="preserve">responding to mobile porting fraud issues </w:t>
      </w:r>
      <w:r>
        <w:t xml:space="preserve">being </w:t>
      </w:r>
      <w:r w:rsidR="00986202" w:rsidRPr="001D492D">
        <w:t>freed up to assist customers on other matters</w:t>
      </w:r>
    </w:p>
    <w:p w14:paraId="53862E43" w14:textId="0FBDB570" w:rsidR="00986202" w:rsidRPr="001D492D" w:rsidRDefault="004C6645" w:rsidP="00065C11">
      <w:pPr>
        <w:pStyle w:val="Bulletlevel1"/>
        <w:numPr>
          <w:ilvl w:val="0"/>
          <w:numId w:val="16"/>
        </w:numPr>
        <w:spacing w:after="240"/>
      </w:pPr>
      <w:r>
        <w:t xml:space="preserve">a saving </w:t>
      </w:r>
      <w:r w:rsidR="006E2085" w:rsidRPr="001D492D">
        <w:t>e</w:t>
      </w:r>
      <w:r w:rsidR="00CB50F9" w:rsidRPr="001D492D">
        <w:t>quivalent</w:t>
      </w:r>
      <w:r w:rsidR="00986202" w:rsidRPr="001D492D">
        <w:t xml:space="preserve"> </w:t>
      </w:r>
      <w:r>
        <w:t xml:space="preserve">of </w:t>
      </w:r>
      <w:r w:rsidR="00CB50F9" w:rsidRPr="001D492D">
        <w:t xml:space="preserve">90 per cent </w:t>
      </w:r>
      <w:r>
        <w:t xml:space="preserve">of the </w:t>
      </w:r>
      <w:r w:rsidR="00986202" w:rsidRPr="001D492D">
        <w:t xml:space="preserve">resources </w:t>
      </w:r>
      <w:r>
        <w:t xml:space="preserve">expended </w:t>
      </w:r>
      <w:r w:rsidR="00867DDB">
        <w:t xml:space="preserve">by </w:t>
      </w:r>
      <w:r w:rsidR="00867DDB" w:rsidRPr="001D492D">
        <w:t>community</w:t>
      </w:r>
      <w:r w:rsidR="005402AE" w:rsidRPr="001D492D">
        <w:t xml:space="preserve"> </w:t>
      </w:r>
      <w:r w:rsidR="00986202" w:rsidRPr="001D492D">
        <w:t xml:space="preserve">organisations </w:t>
      </w:r>
      <w:r w:rsidR="0080238B" w:rsidRPr="001D492D">
        <w:t>(</w:t>
      </w:r>
      <w:r w:rsidR="00986202" w:rsidRPr="001D492D">
        <w:t xml:space="preserve">such as </w:t>
      </w:r>
      <w:r w:rsidR="00CB50F9" w:rsidRPr="001D492D">
        <w:t>IDCARE</w:t>
      </w:r>
      <w:r w:rsidR="0080238B" w:rsidRPr="001D492D">
        <w:t>)</w:t>
      </w:r>
      <w:r w:rsidR="00CB50F9" w:rsidRPr="001D492D">
        <w:t xml:space="preserve"> </w:t>
      </w:r>
      <w:r>
        <w:t>in</w:t>
      </w:r>
      <w:r w:rsidRPr="001D492D">
        <w:t xml:space="preserve"> </w:t>
      </w:r>
      <w:r w:rsidR="00986202" w:rsidRPr="001D492D">
        <w:t>assist</w:t>
      </w:r>
      <w:r>
        <w:t>ing</w:t>
      </w:r>
      <w:r w:rsidR="00986202" w:rsidRPr="001D492D">
        <w:t xml:space="preserve"> customers who have experienced identity theft</w:t>
      </w:r>
      <w:r w:rsidR="002E6605" w:rsidRPr="001D492D">
        <w:t xml:space="preserve"> relating to mobile porting fraud</w:t>
      </w:r>
      <w:r w:rsidR="00AF4D3E" w:rsidRPr="001D492D">
        <w:t>.</w:t>
      </w:r>
    </w:p>
    <w:bookmarkEnd w:id="111"/>
    <w:p w14:paraId="5D0EA87E" w14:textId="3AEC8766" w:rsidR="00A63528" w:rsidRDefault="00986202" w:rsidP="005A75D4">
      <w:pPr>
        <w:pStyle w:val="Paragraph"/>
      </w:pPr>
      <w:r>
        <w:t>An industry standard</w:t>
      </w:r>
      <w:r w:rsidR="00AD72B5">
        <w:t xml:space="preserve"> provides both customers and industry with certainty in the approach</w:t>
      </w:r>
      <w:r w:rsidR="00E866B9">
        <w:t xml:space="preserve"> to mobile porting fraud</w:t>
      </w:r>
      <w:r w:rsidR="002E6605">
        <w:t>.</w:t>
      </w:r>
      <w:r w:rsidR="00E23133">
        <w:t xml:space="preserve"> </w:t>
      </w:r>
      <w:r w:rsidR="002E6605">
        <w:t xml:space="preserve">It </w:t>
      </w:r>
      <w:r w:rsidR="00AD72B5">
        <w:t>addresses an information asymmetry</w:t>
      </w:r>
      <w:r w:rsidR="00715E52">
        <w:t>,</w:t>
      </w:r>
      <w:r w:rsidR="00AD72B5">
        <w:t xml:space="preserve"> where providers know </w:t>
      </w:r>
      <w:r w:rsidR="001D492D">
        <w:t>which provider has</w:t>
      </w:r>
      <w:r w:rsidR="00AD72B5">
        <w:t xml:space="preserve"> additional </w:t>
      </w:r>
      <w:r w:rsidR="004D1130">
        <w:t xml:space="preserve">protections, but </w:t>
      </w:r>
      <w:r w:rsidR="00442E18">
        <w:t xml:space="preserve">customers </w:t>
      </w:r>
      <w:r w:rsidR="002E6605">
        <w:t>do</w:t>
      </w:r>
      <w:r w:rsidR="004D1130">
        <w:t xml:space="preserve"> not have this information unless they request it.</w:t>
      </w:r>
    </w:p>
    <w:p w14:paraId="7B1953C4" w14:textId="237A7125" w:rsidR="0076547C" w:rsidRDefault="004D1130" w:rsidP="005A75D4">
      <w:pPr>
        <w:pStyle w:val="Paragraph"/>
      </w:pPr>
      <w:r>
        <w:t xml:space="preserve">The industry standard has broader benefits for organisations </w:t>
      </w:r>
      <w:r w:rsidR="00715E52">
        <w:t xml:space="preserve">that use </w:t>
      </w:r>
      <w:r>
        <w:t>mobile phones for their own multi-factor authentication checks. The reduction of mobile porting fraud by 90</w:t>
      </w:r>
      <w:r w:rsidR="002773E4">
        <w:t xml:space="preserve"> per cent</w:t>
      </w:r>
      <w:r>
        <w:t xml:space="preserve"> makes the mobile number a more reliable method of authentication and would similarly reduce the instances of secondary fraud experience</w:t>
      </w:r>
      <w:r w:rsidR="00715E52">
        <w:t>d</w:t>
      </w:r>
      <w:r>
        <w:t xml:space="preserve"> on their platforms. It would also reduce the resources needed </w:t>
      </w:r>
      <w:r w:rsidR="00114DB3">
        <w:t>to rectify accounts and assist customers.</w:t>
      </w:r>
    </w:p>
    <w:p w14:paraId="5819618B" w14:textId="6D27900D" w:rsidR="000D39E9" w:rsidRPr="00E40440" w:rsidRDefault="005067C3" w:rsidP="005A75D4">
      <w:pPr>
        <w:pStyle w:val="Paragraph"/>
      </w:pPr>
      <w:r>
        <w:t xml:space="preserve">Finally, there is </w:t>
      </w:r>
      <w:r w:rsidR="00C16FAB">
        <w:t>a</w:t>
      </w:r>
      <w:r w:rsidR="005402AE">
        <w:t xml:space="preserve"> </w:t>
      </w:r>
      <w:r>
        <w:t xml:space="preserve">reputational benefit for </w:t>
      </w:r>
      <w:r w:rsidR="00467CD5">
        <w:t xml:space="preserve">mobile carriage service </w:t>
      </w:r>
      <w:r>
        <w:t xml:space="preserve">providers when their services are viewed as </w:t>
      </w:r>
      <w:r w:rsidR="004C6645">
        <w:t xml:space="preserve">more </w:t>
      </w:r>
      <w:r>
        <w:t xml:space="preserve">safe and secure. This will come both from customers who are satisfied with extra protections and </w:t>
      </w:r>
      <w:r w:rsidR="00467CD5">
        <w:t>businesses</w:t>
      </w:r>
      <w:r>
        <w:t xml:space="preserve"> wh</w:t>
      </w:r>
      <w:r w:rsidR="00196E9E">
        <w:t xml:space="preserve">o </w:t>
      </w:r>
      <w:r w:rsidR="008E7320">
        <w:t>appreciate the secondary protections afforded to their customers through the</w:t>
      </w:r>
      <w:r w:rsidR="00C16FAB">
        <w:t xml:space="preserve"> standard</w:t>
      </w:r>
      <w:r w:rsidR="00C66B11">
        <w:t>.</w:t>
      </w:r>
    </w:p>
    <w:p w14:paraId="76BD89E0" w14:textId="3931F228" w:rsidR="00E40440" w:rsidRDefault="00E40440" w:rsidP="00065C11">
      <w:pPr>
        <w:pStyle w:val="Heading3"/>
        <w:keepLines/>
      </w:pPr>
      <w:bookmarkStart w:id="112" w:name="_Toc32833704"/>
      <w:bookmarkStart w:id="113" w:name="_Toc33176387"/>
      <w:r>
        <w:lastRenderedPageBreak/>
        <w:t>Costs</w:t>
      </w:r>
      <w:bookmarkEnd w:id="112"/>
      <w:bookmarkEnd w:id="113"/>
    </w:p>
    <w:p w14:paraId="7E9D17DA" w14:textId="484EF78A" w:rsidR="00427510" w:rsidRDefault="00427510" w:rsidP="00065C11">
      <w:pPr>
        <w:pStyle w:val="Heading4"/>
        <w:keepNext/>
        <w:keepLines/>
        <w:spacing w:before="120"/>
      </w:pPr>
      <w:r>
        <w:t xml:space="preserve">Costs for </w:t>
      </w:r>
      <w:r w:rsidR="00CF3FC7">
        <w:t>customers</w:t>
      </w:r>
    </w:p>
    <w:p w14:paraId="590ECE59" w14:textId="040F46B4" w:rsidR="00177A61" w:rsidRDefault="00DD504A" w:rsidP="00065C11">
      <w:pPr>
        <w:pStyle w:val="Paragraph"/>
        <w:keepNext/>
        <w:keepLines/>
      </w:pPr>
      <w:r>
        <w:t>C</w:t>
      </w:r>
      <w:r w:rsidR="008E7320">
        <w:t xml:space="preserve">ustomers </w:t>
      </w:r>
      <w:r w:rsidR="00177A61">
        <w:t>may</w:t>
      </w:r>
      <w:r w:rsidR="008E7320">
        <w:t xml:space="preserve"> face a time burden </w:t>
      </w:r>
      <w:r w:rsidR="007A3ED6">
        <w:t xml:space="preserve">that </w:t>
      </w:r>
      <w:r w:rsidR="008E7320">
        <w:t>did</w:t>
      </w:r>
      <w:r w:rsidR="002E6605">
        <w:t xml:space="preserve"> </w:t>
      </w:r>
      <w:r w:rsidR="008E7320">
        <w:t>n</w:t>
      </w:r>
      <w:r w:rsidR="002E6605">
        <w:t>o</w:t>
      </w:r>
      <w:r w:rsidR="008E7320">
        <w:t>t previously exist when they port their number</w:t>
      </w:r>
      <w:r w:rsidR="00177A61">
        <w:t xml:space="preserve">. This could </w:t>
      </w:r>
      <w:r w:rsidR="0041160B">
        <w:t>dissuade them from requesting a port</w:t>
      </w:r>
      <w:r w:rsidR="008E7320">
        <w:t>.</w:t>
      </w:r>
      <w:r w:rsidR="00455829">
        <w:t xml:space="preserve"> </w:t>
      </w:r>
      <w:r w:rsidR="006E0D91">
        <w:t xml:space="preserve">For example, </w:t>
      </w:r>
      <w:r w:rsidR="00455829">
        <w:t>respond</w:t>
      </w:r>
      <w:r w:rsidR="002E6605">
        <w:t>ing</w:t>
      </w:r>
      <w:r w:rsidR="00455829">
        <w:t xml:space="preserve"> to an SMS</w:t>
      </w:r>
      <w:r w:rsidR="006E0D91">
        <w:t xml:space="preserve"> takes</w:t>
      </w:r>
      <w:r w:rsidR="00455829">
        <w:t xml:space="preserve"> approximately 30</w:t>
      </w:r>
      <w:r w:rsidR="00D735C7">
        <w:t xml:space="preserve"> to </w:t>
      </w:r>
      <w:r w:rsidR="00455829">
        <w:t>60 seconds</w:t>
      </w:r>
      <w:r w:rsidR="006E0D91">
        <w:t xml:space="preserve">. This </w:t>
      </w:r>
      <w:r w:rsidR="00455829">
        <w:t xml:space="preserve">cost </w:t>
      </w:r>
      <w:r w:rsidR="005D60F8">
        <w:t>i</w:t>
      </w:r>
      <w:r w:rsidR="00455829">
        <w:t>s not substantive unless a customer does not know action is required</w:t>
      </w:r>
      <w:r w:rsidR="005A304F">
        <w:t xml:space="preserve"> and fails </w:t>
      </w:r>
      <w:r w:rsidR="000C204E">
        <w:t>to</w:t>
      </w:r>
      <w:r w:rsidR="005A304F">
        <w:t xml:space="preserve"> take any action, delaying the port for longer.</w:t>
      </w:r>
    </w:p>
    <w:p w14:paraId="4ADD2CAB" w14:textId="75393CC9" w:rsidR="008E7320" w:rsidRDefault="00643A96" w:rsidP="005A75D4">
      <w:pPr>
        <w:pStyle w:val="Paragraph"/>
      </w:pPr>
      <w:r>
        <w:t>Feedback during and prior to consultation suggested t</w:t>
      </w:r>
      <w:r w:rsidR="008E7320">
        <w:t>his time burden can be exacerbated i</w:t>
      </w:r>
      <w:r w:rsidR="00151FC6">
        <w:t>f</w:t>
      </w:r>
      <w:r w:rsidR="008E7320">
        <w:t xml:space="preserve"> mobile carriage service providers do not communicate that the customer must complete the verification to proceed with their port.</w:t>
      </w:r>
    </w:p>
    <w:p w14:paraId="4568FD65" w14:textId="3559B2FA" w:rsidR="00193DD5" w:rsidRPr="000C4E51" w:rsidRDefault="00193DD5" w:rsidP="004303DD">
      <w:pPr>
        <w:pStyle w:val="Heading4"/>
        <w:keepNext/>
      </w:pPr>
      <w:r w:rsidRPr="000C4E51">
        <w:t>Cost</w:t>
      </w:r>
      <w:r w:rsidR="00CF3FC7" w:rsidRPr="000C4E51">
        <w:t>s</w:t>
      </w:r>
      <w:r w:rsidRPr="000C4E51">
        <w:t xml:space="preserve"> for industry</w:t>
      </w:r>
    </w:p>
    <w:p w14:paraId="542E715B" w14:textId="7F4982AB" w:rsidR="00B614C8" w:rsidRDefault="00AF7A9B" w:rsidP="005A75D4">
      <w:pPr>
        <w:pStyle w:val="Paragraph"/>
      </w:pPr>
      <w:r>
        <w:t xml:space="preserve">For mobile carriage service </w:t>
      </w:r>
      <w:r w:rsidR="005111C3">
        <w:t>providers,</w:t>
      </w:r>
      <w:r>
        <w:t xml:space="preserve"> the main cost </w:t>
      </w:r>
      <w:r w:rsidR="00675C17">
        <w:t xml:space="preserve">associated with </w:t>
      </w:r>
      <w:r>
        <w:t xml:space="preserve">an industry standard is </w:t>
      </w:r>
      <w:r w:rsidR="00C15659">
        <w:t xml:space="preserve">likely the </w:t>
      </w:r>
      <w:r>
        <w:t xml:space="preserve">implementation of potential new </w:t>
      </w:r>
      <w:r w:rsidR="002F7A47">
        <w:t xml:space="preserve">IT </w:t>
      </w:r>
      <w:r>
        <w:t xml:space="preserve">systems </w:t>
      </w:r>
      <w:r w:rsidR="002F7A47">
        <w:t xml:space="preserve">or procedures, </w:t>
      </w:r>
      <w:r>
        <w:t xml:space="preserve">and training staff in those systems. </w:t>
      </w:r>
      <w:r w:rsidR="00675C17">
        <w:t>Although m</w:t>
      </w:r>
      <w:r>
        <w:t xml:space="preserve">ost </w:t>
      </w:r>
      <w:r w:rsidR="00770691">
        <w:t>mobile carriage service providers</w:t>
      </w:r>
      <w:r>
        <w:t xml:space="preserve"> have completed implementation </w:t>
      </w:r>
      <w:r w:rsidR="004C6645">
        <w:t>(</w:t>
      </w:r>
      <w:r>
        <w:t xml:space="preserve">or are in the process of </w:t>
      </w:r>
      <w:r w:rsidR="007A3ED6">
        <w:t xml:space="preserve">voluntarily </w:t>
      </w:r>
      <w:r>
        <w:t>doing so</w:t>
      </w:r>
      <w:r w:rsidR="004C6645">
        <w:t>)</w:t>
      </w:r>
      <w:r w:rsidR="003B3F13">
        <w:t xml:space="preserve">, </w:t>
      </w:r>
      <w:r>
        <w:t>there are still providers</w:t>
      </w:r>
      <w:r w:rsidR="00770691">
        <w:t xml:space="preserve">—covering approximately </w:t>
      </w:r>
      <w:r w:rsidR="00B37E69" w:rsidRPr="000C4E51">
        <w:t>three</w:t>
      </w:r>
      <w:r w:rsidR="00770691" w:rsidRPr="000C4E51">
        <w:t xml:space="preserve"> per cent</w:t>
      </w:r>
      <w:r w:rsidR="00770691">
        <w:t xml:space="preserve"> of mobile services</w:t>
      </w:r>
      <w:r w:rsidR="003B3F13">
        <w:t>—</w:t>
      </w:r>
      <w:r w:rsidR="00675C17" w:rsidRPr="00675C17">
        <w:t>who will need to meet this initial cost</w:t>
      </w:r>
      <w:r w:rsidR="009243DD">
        <w:t>.</w:t>
      </w:r>
    </w:p>
    <w:p w14:paraId="0A821026" w14:textId="0EF537D3" w:rsidR="00090579" w:rsidRDefault="00DD7EBE" w:rsidP="005A75D4">
      <w:pPr>
        <w:pStyle w:val="Paragraph"/>
      </w:pPr>
      <w:r>
        <w:t>Consultation did not provide significant insight into potential implementation costs</w:t>
      </w:r>
      <w:r w:rsidR="00090579">
        <w:t xml:space="preserve">. </w:t>
      </w:r>
      <w:r w:rsidR="00252C3B">
        <w:t xml:space="preserve">One </w:t>
      </w:r>
      <w:r w:rsidR="00EE584A">
        <w:t>major mobile carriage service provider</w:t>
      </w:r>
      <w:r w:rsidR="00090579">
        <w:t xml:space="preserve"> </w:t>
      </w:r>
      <w:r w:rsidR="00E12B41">
        <w:t xml:space="preserve">advised the cost of compliance </w:t>
      </w:r>
      <w:r w:rsidR="00E12B41" w:rsidRPr="00C15659">
        <w:t>with the industry guidance note</w:t>
      </w:r>
      <w:r w:rsidR="00E12B41">
        <w:t xml:space="preserve"> w</w:t>
      </w:r>
      <w:r w:rsidR="00EE584A">
        <w:t>a</w:t>
      </w:r>
      <w:r w:rsidR="00E12B41">
        <w:t>s</w:t>
      </w:r>
      <w:r w:rsidR="00EE584A">
        <w:t xml:space="preserve"> </w:t>
      </w:r>
      <w:r w:rsidR="00E12B41">
        <w:t xml:space="preserve">approximately </w:t>
      </w:r>
      <w:r w:rsidRPr="00C15659">
        <w:t>$1 million</w:t>
      </w:r>
      <w:r w:rsidR="007A3ED6">
        <w:t>.</w:t>
      </w:r>
      <w:r w:rsidR="00252C3B">
        <w:rPr>
          <w:rStyle w:val="FootnoteReference"/>
        </w:rPr>
        <w:footnoteReference w:id="47"/>
      </w:r>
    </w:p>
    <w:p w14:paraId="47638407" w14:textId="240830AF" w:rsidR="00CF69E4" w:rsidRDefault="00583619" w:rsidP="005A75D4">
      <w:pPr>
        <w:pStyle w:val="Paragraph"/>
      </w:pPr>
      <w:r>
        <w:t>U</w:t>
      </w:r>
      <w:r w:rsidR="00CF69E4" w:rsidRPr="00C15659">
        <w:t>sing the OBPR labo</w:t>
      </w:r>
      <w:r w:rsidR="00B1130E">
        <w:t>u</w:t>
      </w:r>
      <w:r w:rsidR="00CF69E4" w:rsidRPr="00C15659">
        <w:t>r rate</w:t>
      </w:r>
      <w:r>
        <w:t xml:space="preserve"> of $</w:t>
      </w:r>
      <w:r w:rsidR="00B3357E">
        <w:t xml:space="preserve">73.05 </w:t>
      </w:r>
      <w:r>
        <w:t xml:space="preserve">per hour, estimated </w:t>
      </w:r>
      <w:r w:rsidRPr="00C15659">
        <w:t xml:space="preserve">costings </w:t>
      </w:r>
      <w:r w:rsidR="00CF69E4" w:rsidRPr="00C15659">
        <w:t xml:space="preserve">for a manual SMS </w:t>
      </w:r>
      <w:r w:rsidR="00A20733" w:rsidRPr="00C15659">
        <w:t xml:space="preserve">or phone call </w:t>
      </w:r>
      <w:r w:rsidR="00CF69E4" w:rsidRPr="00C15659">
        <w:t xml:space="preserve">verification process to be completed </w:t>
      </w:r>
      <w:r w:rsidR="00B76F1D">
        <w:t>is</w:t>
      </w:r>
      <w:r w:rsidR="00B76F1D" w:rsidRPr="00C15659">
        <w:t xml:space="preserve"> </w:t>
      </w:r>
      <w:r w:rsidR="00CF69E4" w:rsidRPr="00C15659">
        <w:t xml:space="preserve">between $82,912 </w:t>
      </w:r>
      <w:r w:rsidR="00BE5E0D">
        <w:t>and</w:t>
      </w:r>
      <w:r w:rsidR="00BE5E0D" w:rsidRPr="00C15659">
        <w:t xml:space="preserve"> </w:t>
      </w:r>
      <w:r w:rsidR="00CF69E4" w:rsidRPr="00C15659">
        <w:t>$</w:t>
      </w:r>
      <w:r w:rsidR="00B3357E">
        <w:t>465,694</w:t>
      </w:r>
      <w:r w:rsidR="001141D3">
        <w:t xml:space="preserve"> </w:t>
      </w:r>
      <w:r>
        <w:t>per annum</w:t>
      </w:r>
      <w:r w:rsidR="00CF69E4" w:rsidRPr="00C15659">
        <w:t xml:space="preserve">. This represents the </w:t>
      </w:r>
      <w:r w:rsidR="009243DD" w:rsidRPr="00C15659">
        <w:t>time</w:t>
      </w:r>
      <w:r w:rsidR="00CF69E4" w:rsidRPr="00C15659">
        <w:t xml:space="preserve"> s</w:t>
      </w:r>
      <w:r w:rsidR="009243DD" w:rsidRPr="00C15659">
        <w:t>p</w:t>
      </w:r>
      <w:r w:rsidR="00CF69E4" w:rsidRPr="00C15659">
        <w:t xml:space="preserve">ent by a staff member </w:t>
      </w:r>
      <w:r w:rsidR="007A3ED6">
        <w:t>(</w:t>
      </w:r>
      <w:r w:rsidR="007A3ED6" w:rsidRPr="00C15659">
        <w:t>one to five minutes</w:t>
      </w:r>
      <w:r w:rsidR="007A3ED6">
        <w:t xml:space="preserve">) </w:t>
      </w:r>
      <w:r w:rsidR="00CF69E4" w:rsidRPr="00C15659">
        <w:t xml:space="preserve">to complete </w:t>
      </w:r>
      <w:r w:rsidR="009243DD" w:rsidRPr="00C15659">
        <w:t>verification</w:t>
      </w:r>
      <w:r w:rsidR="00CF69E4" w:rsidRPr="00C15659">
        <w:t xml:space="preserve"> for th</w:t>
      </w:r>
      <w:r>
        <w:t>ose services (</w:t>
      </w:r>
      <w:r w:rsidR="00CF69E4" w:rsidRPr="00C15659">
        <w:t>three per cent of ports per annum</w:t>
      </w:r>
      <w:r>
        <w:t>)</w:t>
      </w:r>
      <w:r w:rsidR="007A3ED6">
        <w:t>,</w:t>
      </w:r>
      <w:r w:rsidR="00CF69E4" w:rsidRPr="00C15659">
        <w:t xml:space="preserve"> which</w:t>
      </w:r>
      <w:r w:rsidR="00CF69E4">
        <w:t xml:space="preserve"> would now be covered by </w:t>
      </w:r>
      <w:r>
        <w:t xml:space="preserve">an industry </w:t>
      </w:r>
      <w:r w:rsidR="00CF69E4">
        <w:t>standard.</w:t>
      </w:r>
    </w:p>
    <w:p w14:paraId="480D9D01" w14:textId="623B2C6C" w:rsidR="00B6201C" w:rsidRDefault="006B44E0" w:rsidP="005A75D4">
      <w:pPr>
        <w:pStyle w:val="Paragraph"/>
      </w:pPr>
      <w:r>
        <w:t>However, b</w:t>
      </w:r>
      <w:r w:rsidR="00320132">
        <w:t>y</w:t>
      </w:r>
      <w:r w:rsidR="00AF7A9B">
        <w:t xml:space="preserve"> providing </w:t>
      </w:r>
      <w:r w:rsidR="00B614C8">
        <w:t xml:space="preserve">a degree of </w:t>
      </w:r>
      <w:r w:rsidR="00AF7A9B">
        <w:t xml:space="preserve">flexibility </w:t>
      </w:r>
      <w:r w:rsidR="00B614C8">
        <w:t xml:space="preserve">in the </w:t>
      </w:r>
      <w:r>
        <w:t>verification measures for a pr</w:t>
      </w:r>
      <w:r w:rsidR="004C6645">
        <w:t>e</w:t>
      </w:r>
      <w:r>
        <w:t xml:space="preserve">-port </w:t>
      </w:r>
      <w:r w:rsidR="00B614C8">
        <w:t xml:space="preserve">process in the standard, </w:t>
      </w:r>
      <w:r w:rsidR="00AF7A9B">
        <w:t>(</w:t>
      </w:r>
      <w:r>
        <w:t xml:space="preserve">such as </w:t>
      </w:r>
      <w:r w:rsidR="00B614C8">
        <w:t>allow</w:t>
      </w:r>
      <w:r w:rsidR="00904D0A">
        <w:t>ing</w:t>
      </w:r>
      <w:r w:rsidR="00B614C8">
        <w:t xml:space="preserve"> </w:t>
      </w:r>
      <w:r w:rsidR="00144125">
        <w:t xml:space="preserve">mobile carriage service </w:t>
      </w:r>
      <w:r w:rsidR="00AF7A9B">
        <w:t xml:space="preserve">providers to </w:t>
      </w:r>
      <w:r w:rsidR="00B614C8">
        <w:t xml:space="preserve">align </w:t>
      </w:r>
      <w:r>
        <w:t xml:space="preserve">it </w:t>
      </w:r>
      <w:r w:rsidR="00B614C8">
        <w:t>with</w:t>
      </w:r>
      <w:r w:rsidR="00AF7A9B">
        <w:t xml:space="preserve"> their existing systems</w:t>
      </w:r>
      <w:r w:rsidR="005402AE">
        <w:t>)</w:t>
      </w:r>
      <w:r w:rsidR="00B614C8">
        <w:t>,</w:t>
      </w:r>
      <w:r w:rsidR="00AF7A9B">
        <w:t xml:space="preserve"> the cost of change </w:t>
      </w:r>
      <w:r w:rsidR="007A7700">
        <w:t>is mitigated</w:t>
      </w:r>
      <w:r w:rsidR="00AF7A9B">
        <w:t>.</w:t>
      </w:r>
    </w:p>
    <w:p w14:paraId="73BC1EE0" w14:textId="6D4A1D5E" w:rsidR="00B6201C" w:rsidRPr="001D5C79" w:rsidRDefault="00B6201C" w:rsidP="00357CF8">
      <w:pPr>
        <w:pStyle w:val="Paragraph"/>
      </w:pPr>
      <w:r>
        <w:t>It is likely that any regulatory</w:t>
      </w:r>
      <w:r w:rsidR="004C6645">
        <w:t xml:space="preserve"> cost</w:t>
      </w:r>
      <w:r>
        <w:t xml:space="preserve"> burden will be greater on smaller </w:t>
      </w:r>
      <w:r w:rsidR="00B17E56">
        <w:t xml:space="preserve">mobile carriage service </w:t>
      </w:r>
      <w:r>
        <w:t xml:space="preserve">providers </w:t>
      </w:r>
      <w:r w:rsidR="007A3ED6">
        <w:t xml:space="preserve">that </w:t>
      </w:r>
      <w:r w:rsidR="00B17E56">
        <w:t xml:space="preserve">are </w:t>
      </w:r>
      <w:r>
        <w:t xml:space="preserve">less </w:t>
      </w:r>
      <w:r w:rsidR="00B17E56">
        <w:t xml:space="preserve">likely to be </w:t>
      </w:r>
      <w:r>
        <w:t xml:space="preserve">able to absorb the initial outlay. </w:t>
      </w:r>
      <w:r w:rsidR="00B17E56">
        <w:t>Yet t</w:t>
      </w:r>
      <w:r>
        <w:t xml:space="preserve">hese are the providers </w:t>
      </w:r>
      <w:r w:rsidR="007A3ED6">
        <w:t xml:space="preserve">that </w:t>
      </w:r>
      <w:r>
        <w:t xml:space="preserve">most need to implement the changes to </w:t>
      </w:r>
      <w:r w:rsidR="00625B30">
        <w:t>close incentives for scammers to port into providers without additional protections.</w:t>
      </w:r>
    </w:p>
    <w:p w14:paraId="47EC3CA7" w14:textId="6157A590" w:rsidR="00B6201C" w:rsidRDefault="0058010A" w:rsidP="00357CF8">
      <w:pPr>
        <w:pStyle w:val="Paragraph"/>
      </w:pPr>
      <w:r>
        <w:t>Some</w:t>
      </w:r>
      <w:r w:rsidR="00B6201C">
        <w:t xml:space="preserve"> mobile </w:t>
      </w:r>
      <w:r w:rsidR="00B17E56">
        <w:t xml:space="preserve">carriage service </w:t>
      </w:r>
      <w:r w:rsidR="00B6201C">
        <w:t xml:space="preserve">providers </w:t>
      </w:r>
      <w:r w:rsidR="00213EB3">
        <w:t xml:space="preserve">that </w:t>
      </w:r>
      <w:r w:rsidR="00B6201C">
        <w:t>have</w:t>
      </w:r>
      <w:r w:rsidR="00625B30">
        <w:t xml:space="preserve">n’t had additional protections </w:t>
      </w:r>
      <w:r w:rsidR="005402AE">
        <w:t xml:space="preserve">will </w:t>
      </w:r>
      <w:r w:rsidR="00B6201C">
        <w:t xml:space="preserve">lose the </w:t>
      </w:r>
      <w:r w:rsidR="00F4594D">
        <w:t>insignificant</w:t>
      </w:r>
      <w:r w:rsidR="005402AE">
        <w:t xml:space="preserve"> </w:t>
      </w:r>
      <w:r w:rsidR="00B6201C">
        <w:t>benefit of being the scammers</w:t>
      </w:r>
      <w:r w:rsidR="004C6645">
        <w:t>’</w:t>
      </w:r>
      <w:r w:rsidR="00B6201C">
        <w:t xml:space="preserve"> gaining provider of choice, and the business </w:t>
      </w:r>
      <w:r w:rsidR="003307C7">
        <w:t xml:space="preserve">income </w:t>
      </w:r>
      <w:r w:rsidR="00B6201C">
        <w:t xml:space="preserve">this generates. </w:t>
      </w:r>
      <w:r w:rsidR="00B76F1D">
        <w:t>I</w:t>
      </w:r>
      <w:r w:rsidR="00EF086F">
        <w:t>t is expected that</w:t>
      </w:r>
      <w:r w:rsidR="00B6201C">
        <w:t xml:space="preserve"> </w:t>
      </w:r>
      <w:r w:rsidR="00B76F1D" w:rsidRPr="00B76F1D">
        <w:t xml:space="preserve">smaller providers </w:t>
      </w:r>
      <w:r w:rsidR="007A3ED6">
        <w:t>(</w:t>
      </w:r>
      <w:r w:rsidR="00B76F1D">
        <w:t>or</w:t>
      </w:r>
      <w:r w:rsidR="00B76F1D" w:rsidRPr="00B76F1D">
        <w:t xml:space="preserve"> those </w:t>
      </w:r>
      <w:r w:rsidR="007A3ED6">
        <w:t>that</w:t>
      </w:r>
      <w:r w:rsidR="007A3ED6" w:rsidRPr="00B76F1D">
        <w:t xml:space="preserve"> </w:t>
      </w:r>
      <w:r w:rsidR="00B76F1D" w:rsidRPr="00B76F1D">
        <w:t xml:space="preserve">haven’t </w:t>
      </w:r>
      <w:r w:rsidR="00B76F1D">
        <w:t xml:space="preserve">voluntarily </w:t>
      </w:r>
      <w:r w:rsidR="00B76F1D" w:rsidRPr="00B76F1D">
        <w:t>implemented protections</w:t>
      </w:r>
      <w:r w:rsidR="00B76F1D">
        <w:t>)</w:t>
      </w:r>
      <w:r w:rsidR="00B76F1D" w:rsidRPr="00B76F1D">
        <w:t xml:space="preserve"> </w:t>
      </w:r>
      <w:r w:rsidR="00904D0A">
        <w:t xml:space="preserve">will be </w:t>
      </w:r>
      <w:r w:rsidR="00B6201C">
        <w:t>disproportionately affected.</w:t>
      </w:r>
    </w:p>
    <w:p w14:paraId="0BE49B50" w14:textId="19236603" w:rsidR="00CD1319" w:rsidRPr="00E16CF4" w:rsidRDefault="00CD1319" w:rsidP="00357CF8">
      <w:pPr>
        <w:pStyle w:val="Paragraph"/>
      </w:pPr>
      <w:r w:rsidRPr="00C15659">
        <w:t>If customers are not charged for verification SMS responses</w:t>
      </w:r>
      <w:r w:rsidR="00F35BA2">
        <w:t>,</w:t>
      </w:r>
      <w:r w:rsidRPr="00C15659">
        <w:t xml:space="preserve"> industry will need to bear this cost</w:t>
      </w:r>
      <w:r w:rsidR="002C25E3">
        <w:t xml:space="preserve"> (</w:t>
      </w:r>
      <w:r w:rsidRPr="00C15659">
        <w:t>cost of SMS will be less than the retail price</w:t>
      </w:r>
      <w:r w:rsidR="00F35BA2">
        <w:t>,</w:t>
      </w:r>
      <w:r w:rsidRPr="00C15659">
        <w:t xml:space="preserve"> but the exact cost </w:t>
      </w:r>
      <w:r w:rsidR="00F35BA2">
        <w:t>for industry is</w:t>
      </w:r>
      <w:r w:rsidRPr="00C15659">
        <w:t xml:space="preserve"> </w:t>
      </w:r>
      <w:r w:rsidR="00C15659" w:rsidRPr="00C15659">
        <w:t>unclear</w:t>
      </w:r>
      <w:r w:rsidR="002C25E3">
        <w:t>)</w:t>
      </w:r>
      <w:r w:rsidRPr="00C15659">
        <w:t>.</w:t>
      </w:r>
      <w:r w:rsidR="002C25E3">
        <w:t xml:space="preserve"> T</w:t>
      </w:r>
      <w:r w:rsidRPr="00C15659">
        <w:t xml:space="preserve">he management and implementation of a system to achieve this (such as a process to record the agreed free-rated numbers) will be left for industry to determine based on their systems and </w:t>
      </w:r>
      <w:r w:rsidR="00CD2899">
        <w:t xml:space="preserve">existing </w:t>
      </w:r>
      <w:r w:rsidRPr="00C15659">
        <w:t>relationships.</w:t>
      </w:r>
    </w:p>
    <w:p w14:paraId="21AF909A" w14:textId="387A27A6" w:rsidR="00E40440" w:rsidRDefault="00365E45" w:rsidP="00357CF8">
      <w:pPr>
        <w:pStyle w:val="Paragraph"/>
      </w:pPr>
      <w:r w:rsidRPr="00EC0955">
        <w:lastRenderedPageBreak/>
        <w:t>Finally,</w:t>
      </w:r>
      <w:r w:rsidR="00B6201C" w:rsidRPr="00EC0955">
        <w:t xml:space="preserve"> a potential cost of </w:t>
      </w:r>
      <w:r w:rsidR="00AE6B49">
        <w:t>closing incentives for scammers to exploit</w:t>
      </w:r>
      <w:r w:rsidR="00EF086F" w:rsidRPr="00EC0955">
        <w:t xml:space="preserve"> mobile porting </w:t>
      </w:r>
      <w:r w:rsidR="00B6201C" w:rsidRPr="00EC0955">
        <w:t>is</w:t>
      </w:r>
      <w:r w:rsidR="00EF086F" w:rsidRPr="00EC0955">
        <w:t xml:space="preserve"> </w:t>
      </w:r>
      <w:r w:rsidR="00C66B11" w:rsidRPr="00EC0955">
        <w:t>the risk of</w:t>
      </w:r>
      <w:r w:rsidR="00AE6B49">
        <w:t xml:space="preserve"> them</w:t>
      </w:r>
      <w:r w:rsidR="00C66B11" w:rsidRPr="00EC0955">
        <w:t xml:space="preserve"> </w:t>
      </w:r>
      <w:r w:rsidR="00B6201C" w:rsidRPr="00EC0955">
        <w:t>mov</w:t>
      </w:r>
      <w:r w:rsidR="00EF086F" w:rsidRPr="00EC0955">
        <w:t>ing</w:t>
      </w:r>
      <w:r w:rsidR="00AE6B49" w:rsidRPr="00EC0955">
        <w:t xml:space="preserve"> </w:t>
      </w:r>
      <w:r w:rsidR="00B6201C" w:rsidRPr="00EC0955">
        <w:t>to similar</w:t>
      </w:r>
      <w:r w:rsidR="007A3ED6">
        <w:t>,</w:t>
      </w:r>
      <w:r w:rsidR="00B6201C" w:rsidRPr="00EC0955">
        <w:t xml:space="preserve"> but less protected</w:t>
      </w:r>
      <w:r w:rsidR="007A3ED6">
        <w:t>,</w:t>
      </w:r>
      <w:r w:rsidR="00B6201C" w:rsidRPr="00EC0955">
        <w:t xml:space="preserve"> </w:t>
      </w:r>
      <w:r w:rsidR="00B6201C" w:rsidRPr="001D492D">
        <w:t>processes</w:t>
      </w:r>
      <w:r w:rsidR="00625B30" w:rsidRPr="001D492D">
        <w:t>.</w:t>
      </w:r>
    </w:p>
    <w:p w14:paraId="0F354223" w14:textId="6D63FA01" w:rsidR="00921081" w:rsidRDefault="00ED3477" w:rsidP="00592AC7">
      <w:pPr>
        <w:pStyle w:val="Heading2"/>
        <w:keepLines/>
      </w:pPr>
      <w:bookmarkStart w:id="114" w:name="_Toc32833705"/>
      <w:bookmarkStart w:id="115" w:name="_Toc32833751"/>
      <w:bookmarkStart w:id="116" w:name="_Toc32833824"/>
      <w:bookmarkStart w:id="117" w:name="_Toc33176388"/>
      <w:r>
        <w:t xml:space="preserve">Regulatory </w:t>
      </w:r>
      <w:r w:rsidR="007A3ED6">
        <w:t>b</w:t>
      </w:r>
      <w:r>
        <w:t xml:space="preserve">urden </w:t>
      </w:r>
      <w:r w:rsidR="007A3ED6">
        <w:t>m</w:t>
      </w:r>
      <w:r>
        <w:t xml:space="preserve">easurement </w:t>
      </w:r>
      <w:r w:rsidR="007A3ED6">
        <w:t>t</w:t>
      </w:r>
      <w:r w:rsidR="00366475">
        <w:t>able</w:t>
      </w:r>
      <w:bookmarkEnd w:id="114"/>
      <w:bookmarkEnd w:id="115"/>
      <w:bookmarkEnd w:id="116"/>
      <w:bookmarkEnd w:id="117"/>
    </w:p>
    <w:tbl>
      <w:tblPr>
        <w:tblW w:w="4213" w:type="pct"/>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CellMar>
          <w:top w:w="85" w:type="dxa"/>
          <w:left w:w="57" w:type="dxa"/>
          <w:bottom w:w="85" w:type="dxa"/>
          <w:right w:w="57" w:type="dxa"/>
        </w:tblCellMar>
        <w:tblLook w:val="04A0" w:firstRow="1" w:lastRow="0" w:firstColumn="1" w:lastColumn="0" w:noHBand="0" w:noVBand="1"/>
      </w:tblPr>
      <w:tblGrid>
        <w:gridCol w:w="3551"/>
        <w:gridCol w:w="2896"/>
      </w:tblGrid>
      <w:tr w:rsidR="004303DD" w14:paraId="20E9F738" w14:textId="77777777" w:rsidTr="004303DD">
        <w:trPr>
          <w:trHeight w:val="367"/>
        </w:trPr>
        <w:tc>
          <w:tcPr>
            <w:tcW w:w="2754" w:type="pct"/>
            <w:shd w:val="clear" w:color="auto" w:fill="404040" w:themeFill="text1" w:themeFillTint="BF"/>
          </w:tcPr>
          <w:p w14:paraId="7E8BD364" w14:textId="09DE8EA8" w:rsidR="004303DD" w:rsidRPr="004303DD" w:rsidRDefault="004303DD" w:rsidP="001D492D">
            <w:pPr>
              <w:keepNext/>
              <w:keepLines/>
              <w:spacing w:after="0"/>
              <w:rPr>
                <w:b/>
                <w:color w:val="FFFFFF" w:themeColor="background1"/>
              </w:rPr>
            </w:pPr>
            <w:r w:rsidRPr="004303DD">
              <w:rPr>
                <w:b/>
                <w:color w:val="FFFFFF" w:themeColor="background1"/>
              </w:rPr>
              <w:t>Option</w:t>
            </w:r>
          </w:p>
        </w:tc>
        <w:tc>
          <w:tcPr>
            <w:tcW w:w="2246" w:type="pct"/>
            <w:shd w:val="clear" w:color="auto" w:fill="404040" w:themeFill="text1" w:themeFillTint="BF"/>
          </w:tcPr>
          <w:p w14:paraId="5539AE8B" w14:textId="4672B758" w:rsidR="004303DD" w:rsidRPr="004303DD" w:rsidRDefault="004303DD" w:rsidP="001D492D">
            <w:pPr>
              <w:keepNext/>
              <w:keepLines/>
              <w:spacing w:after="0"/>
              <w:rPr>
                <w:b/>
                <w:color w:val="FFFFFF" w:themeColor="background1"/>
              </w:rPr>
            </w:pPr>
            <w:r w:rsidRPr="004303DD">
              <w:rPr>
                <w:b/>
                <w:color w:val="FFFFFF" w:themeColor="background1"/>
              </w:rPr>
              <w:t>Regulatory cost</w:t>
            </w:r>
          </w:p>
        </w:tc>
      </w:tr>
      <w:tr w:rsidR="00366475" w14:paraId="51333AEC" w14:textId="77777777" w:rsidTr="00592AC7">
        <w:trPr>
          <w:trHeight w:val="62"/>
        </w:trPr>
        <w:tc>
          <w:tcPr>
            <w:tcW w:w="2754" w:type="pct"/>
            <w:tcMar>
              <w:top w:w="80" w:type="dxa"/>
              <w:left w:w="80" w:type="dxa"/>
              <w:bottom w:w="80" w:type="dxa"/>
              <w:right w:w="80" w:type="dxa"/>
            </w:tcMar>
            <w:hideMark/>
          </w:tcPr>
          <w:p w14:paraId="477847E3" w14:textId="4D09AEE7" w:rsidR="00366475" w:rsidRDefault="00366475" w:rsidP="00592AC7">
            <w:pPr>
              <w:keepNext/>
              <w:keepLines/>
              <w:spacing w:after="0"/>
            </w:pPr>
            <w:r>
              <w:t xml:space="preserve">Status </w:t>
            </w:r>
            <w:r w:rsidR="00E719B1">
              <w:t>q</w:t>
            </w:r>
            <w:r>
              <w:t>uo</w:t>
            </w:r>
          </w:p>
        </w:tc>
        <w:tc>
          <w:tcPr>
            <w:tcW w:w="2246" w:type="pct"/>
            <w:tcMar>
              <w:top w:w="80" w:type="dxa"/>
              <w:left w:w="80" w:type="dxa"/>
              <w:bottom w:w="80" w:type="dxa"/>
              <w:right w:w="80" w:type="dxa"/>
            </w:tcMar>
            <w:hideMark/>
          </w:tcPr>
          <w:p w14:paraId="6C6A9DC3" w14:textId="2C28EB83" w:rsidR="00366475" w:rsidRDefault="007A3ED6" w:rsidP="00592AC7">
            <w:pPr>
              <w:keepNext/>
              <w:keepLines/>
              <w:spacing w:after="0"/>
            </w:pPr>
            <w:r>
              <w:t>n/a</w:t>
            </w:r>
          </w:p>
        </w:tc>
      </w:tr>
      <w:tr w:rsidR="00366475" w14:paraId="31855A8E" w14:textId="77777777" w:rsidTr="00592AC7">
        <w:tc>
          <w:tcPr>
            <w:tcW w:w="2754" w:type="pct"/>
            <w:tcMar>
              <w:top w:w="80" w:type="dxa"/>
              <w:left w:w="80" w:type="dxa"/>
              <w:bottom w:w="80" w:type="dxa"/>
              <w:right w:w="80" w:type="dxa"/>
            </w:tcMar>
            <w:hideMark/>
          </w:tcPr>
          <w:p w14:paraId="35685DF4" w14:textId="0787A00D" w:rsidR="00366475" w:rsidRDefault="00366475" w:rsidP="00592AC7">
            <w:pPr>
              <w:keepNext/>
              <w:keepLines/>
              <w:spacing w:after="0"/>
            </w:pPr>
            <w:r>
              <w:t xml:space="preserve">Education </w:t>
            </w:r>
            <w:r w:rsidR="00E719B1">
              <w:t>c</w:t>
            </w:r>
            <w:r>
              <w:t>ampaign</w:t>
            </w:r>
          </w:p>
        </w:tc>
        <w:tc>
          <w:tcPr>
            <w:tcW w:w="2246" w:type="pct"/>
            <w:tcMar>
              <w:top w:w="80" w:type="dxa"/>
              <w:left w:w="80" w:type="dxa"/>
              <w:bottom w:w="80" w:type="dxa"/>
              <w:right w:w="80" w:type="dxa"/>
            </w:tcMar>
            <w:hideMark/>
          </w:tcPr>
          <w:p w14:paraId="7FE93AE5" w14:textId="38DFD303" w:rsidR="00366475" w:rsidRDefault="007A3ED6" w:rsidP="00592AC7">
            <w:pPr>
              <w:keepNext/>
              <w:keepLines/>
              <w:spacing w:after="0"/>
            </w:pPr>
            <w:r>
              <w:t>n/a</w:t>
            </w:r>
            <w:r w:rsidR="00366475">
              <w:t xml:space="preserve"> </w:t>
            </w:r>
          </w:p>
        </w:tc>
      </w:tr>
      <w:tr w:rsidR="00366475" w14:paraId="14C7868A" w14:textId="77777777" w:rsidTr="00592AC7">
        <w:tc>
          <w:tcPr>
            <w:tcW w:w="2754" w:type="pct"/>
            <w:tcMar>
              <w:top w:w="80" w:type="dxa"/>
              <w:left w:w="80" w:type="dxa"/>
              <w:bottom w:w="80" w:type="dxa"/>
              <w:right w:w="80" w:type="dxa"/>
            </w:tcMar>
            <w:hideMark/>
          </w:tcPr>
          <w:p w14:paraId="63EFBAB2" w14:textId="7913B4D0" w:rsidR="00366475" w:rsidRDefault="00366475" w:rsidP="00592AC7">
            <w:pPr>
              <w:keepNext/>
              <w:keepLines/>
              <w:spacing w:after="0"/>
            </w:pPr>
            <w:r>
              <w:t xml:space="preserve">Industry </w:t>
            </w:r>
            <w:r w:rsidR="00E719B1">
              <w:t>s</w:t>
            </w:r>
            <w:r>
              <w:t>tandard</w:t>
            </w:r>
          </w:p>
        </w:tc>
        <w:tc>
          <w:tcPr>
            <w:tcW w:w="2246" w:type="pct"/>
            <w:tcMar>
              <w:top w:w="80" w:type="dxa"/>
              <w:left w:w="80" w:type="dxa"/>
              <w:bottom w:w="80" w:type="dxa"/>
              <w:right w:w="80" w:type="dxa"/>
            </w:tcMar>
            <w:hideMark/>
          </w:tcPr>
          <w:p w14:paraId="7EDA38F2" w14:textId="648A5AB6" w:rsidR="00366475" w:rsidRDefault="00366475" w:rsidP="00592AC7">
            <w:pPr>
              <w:keepNext/>
              <w:keepLines/>
              <w:spacing w:after="0"/>
            </w:pPr>
            <w:r>
              <w:t>$</w:t>
            </w:r>
            <w:bookmarkStart w:id="118" w:name="_Hlk32915021"/>
            <w:r w:rsidR="00592AC7">
              <w:t>465,694</w:t>
            </w:r>
            <w:bookmarkEnd w:id="118"/>
            <w:r>
              <w:t>*</w:t>
            </w:r>
          </w:p>
        </w:tc>
      </w:tr>
    </w:tbl>
    <w:p w14:paraId="3C7613A0" w14:textId="20526BF4" w:rsidR="00996A3C" w:rsidRDefault="000E0356" w:rsidP="000E0356">
      <w:pPr>
        <w:pStyle w:val="Paragraphbeforelist"/>
        <w:keepNext/>
        <w:keepLines/>
        <w:spacing w:before="240"/>
      </w:pPr>
      <w:r w:rsidRPr="000E0356">
        <w:t xml:space="preserve">The industry standard is expected to cover the </w:t>
      </w:r>
      <w:r>
        <w:t>th</w:t>
      </w:r>
      <w:bookmarkStart w:id="119" w:name="_GoBack"/>
      <w:bookmarkEnd w:id="119"/>
      <w:r>
        <w:t>ree</w:t>
      </w:r>
      <w:r w:rsidRPr="000E0356">
        <w:t xml:space="preserve"> per cent of annual ports that are</w:t>
      </w:r>
      <w:r w:rsidR="00972FCF">
        <w:t xml:space="preserve"> </w:t>
      </w:r>
      <w:r w:rsidRPr="000E0356">
        <w:t>n</w:t>
      </w:r>
      <w:r w:rsidR="00972FCF">
        <w:t>o</w:t>
      </w:r>
      <w:r w:rsidRPr="000E0356">
        <w:t xml:space="preserve">t already covered by </w:t>
      </w:r>
      <w:r w:rsidR="00B34466">
        <w:t xml:space="preserve">mobile carriage service providers </w:t>
      </w:r>
      <w:r w:rsidR="00AF6EEF">
        <w:t xml:space="preserve">that </w:t>
      </w:r>
      <w:r w:rsidR="00B34466">
        <w:t xml:space="preserve">have implemented (or </w:t>
      </w:r>
      <w:r w:rsidR="00C04E5B">
        <w:t xml:space="preserve">who have </w:t>
      </w:r>
      <w:r w:rsidR="00B34466">
        <w:t xml:space="preserve">committed to implement) </w:t>
      </w:r>
      <w:r w:rsidRPr="000E0356">
        <w:t xml:space="preserve">the </w:t>
      </w:r>
      <w:r w:rsidR="00B34466">
        <w:t xml:space="preserve">measures set out in the </w:t>
      </w:r>
      <w:r w:rsidRPr="000E0356">
        <w:t>industry g</w:t>
      </w:r>
      <w:r w:rsidR="000A10C4">
        <w:t>uidance note</w:t>
      </w:r>
      <w:r w:rsidRPr="000E0356">
        <w:t xml:space="preserve">. </w:t>
      </w:r>
      <w:r w:rsidR="00BF63AF">
        <w:t>There is no</w:t>
      </w:r>
      <w:r w:rsidR="00824FC4">
        <w:t xml:space="preserve"> new</w:t>
      </w:r>
      <w:r w:rsidR="00BF63AF">
        <w:t xml:space="preserve"> regulatory burden on </w:t>
      </w:r>
      <w:r w:rsidR="007A07FE">
        <w:t xml:space="preserve">mobile carriage service providers </w:t>
      </w:r>
      <w:r w:rsidR="00AF6EEF">
        <w:t xml:space="preserve">that </w:t>
      </w:r>
      <w:r w:rsidR="007A07FE">
        <w:t xml:space="preserve">have already </w:t>
      </w:r>
      <w:r w:rsidR="009228E1">
        <w:t>implemented (or</w:t>
      </w:r>
      <w:r w:rsidR="007A07FE">
        <w:t xml:space="preserve"> </w:t>
      </w:r>
      <w:r w:rsidR="00487631">
        <w:t xml:space="preserve">who have </w:t>
      </w:r>
      <w:r w:rsidR="007A07FE">
        <w:t>committed to implement</w:t>
      </w:r>
      <w:r w:rsidR="009228E1">
        <w:t>)</w:t>
      </w:r>
      <w:r w:rsidR="007A07FE">
        <w:t xml:space="preserve"> </w:t>
      </w:r>
      <w:r w:rsidR="00824FC4">
        <w:t>the measures in the industry guidance note.</w:t>
      </w:r>
    </w:p>
    <w:p w14:paraId="572E4198" w14:textId="5DD7A422" w:rsidR="000E0356" w:rsidRDefault="00F623B9" w:rsidP="000E0356">
      <w:pPr>
        <w:pStyle w:val="Paragraphbeforelist"/>
        <w:keepNext/>
        <w:keepLines/>
        <w:spacing w:before="240"/>
      </w:pPr>
      <w:r>
        <w:t>In the absence of</w:t>
      </w:r>
      <w:r w:rsidR="001A74D6">
        <w:t xml:space="preserve"> specific</w:t>
      </w:r>
      <w:r>
        <w:t xml:space="preserve"> </w:t>
      </w:r>
      <w:r w:rsidR="001A74D6">
        <w:t xml:space="preserve">data on implementation costs, we </w:t>
      </w:r>
      <w:r w:rsidR="000E0356">
        <w:t>anticipate</w:t>
      </w:r>
      <w:r w:rsidR="000E0356" w:rsidRPr="000E0356">
        <w:t xml:space="preserve"> that </w:t>
      </w:r>
      <w:r w:rsidR="004447D7">
        <w:t xml:space="preserve">the regulatory burden </w:t>
      </w:r>
      <w:r w:rsidR="00B2190A">
        <w:t xml:space="preserve">for mobile carriage service providers </w:t>
      </w:r>
      <w:r w:rsidR="00AF6EEF">
        <w:t xml:space="preserve">that </w:t>
      </w:r>
      <w:r w:rsidR="00B2190A">
        <w:t>have not yet implemented (or committed to implementing) additional identity verification measures</w:t>
      </w:r>
      <w:r w:rsidR="009D14C9">
        <w:t xml:space="preserve"> </w:t>
      </w:r>
      <w:r w:rsidR="00580A93">
        <w:t>to</w:t>
      </w:r>
      <w:r>
        <w:t xml:space="preserve"> comply with the industry standard </w:t>
      </w:r>
      <w:r w:rsidR="00580A93">
        <w:t>is</w:t>
      </w:r>
      <w:r w:rsidR="00580A93" w:rsidRPr="000E0356">
        <w:t xml:space="preserve"> around $465</w:t>
      </w:r>
      <w:r w:rsidR="00AF6EEF">
        <w:t>,000</w:t>
      </w:r>
      <w:r w:rsidR="00E11B9C">
        <w:t>*</w:t>
      </w:r>
      <w:r w:rsidR="00580A93" w:rsidRPr="000E0356">
        <w:t xml:space="preserve">. </w:t>
      </w:r>
      <w:r w:rsidR="00E11B9C">
        <w:t xml:space="preserve">This assumes compliance is achieved </w:t>
      </w:r>
      <w:r w:rsidR="000E0356" w:rsidRPr="000E0356">
        <w:t>by manually notifying customers via SMS when a porting request is made</w:t>
      </w:r>
      <w:r w:rsidR="000E0356">
        <w:t>,</w:t>
      </w:r>
      <w:r w:rsidR="000E0356" w:rsidRPr="000E0356">
        <w:t xml:space="preserve"> and that verification of each port request would take </w:t>
      </w:r>
      <w:r w:rsidR="000E0356">
        <w:t xml:space="preserve">five </w:t>
      </w:r>
      <w:r w:rsidR="000E0356" w:rsidRPr="000E0356">
        <w:t>min</w:t>
      </w:r>
      <w:r w:rsidR="000E0356">
        <w:t>utes</w:t>
      </w:r>
      <w:r w:rsidR="000E0356" w:rsidRPr="000E0356">
        <w:t xml:space="preserve"> on average.</w:t>
      </w:r>
      <w:r w:rsidR="00E11B9C">
        <w:t xml:space="preserve"> </w:t>
      </w:r>
    </w:p>
    <w:p w14:paraId="083E45C6" w14:textId="5C21534B" w:rsidR="000E0356" w:rsidRPr="000E0356" w:rsidRDefault="000E0356" w:rsidP="000E0356">
      <w:pPr>
        <w:pStyle w:val="Paragraphbeforelist"/>
        <w:keepNext/>
        <w:keepLines/>
        <w:spacing w:before="240"/>
      </w:pPr>
      <w:r w:rsidRPr="000E0356">
        <w:t>The calculation</w:t>
      </w:r>
      <w:r w:rsidRPr="004D70E0">
        <w:t>*</w:t>
      </w:r>
      <w:r w:rsidRPr="000E0356">
        <w:t xml:space="preserve"> is derived below</w:t>
      </w:r>
      <w:r w:rsidR="00996A3C">
        <w:t>:</w:t>
      </w:r>
      <w:r w:rsidRPr="000E0356">
        <w:t xml:space="preserve"> </w:t>
      </w:r>
    </w:p>
    <w:p w14:paraId="33E3AE6D" w14:textId="272888C5" w:rsidR="00366475" w:rsidRPr="00366475" w:rsidRDefault="00592AC7" w:rsidP="00592AC7">
      <w:pPr>
        <w:pStyle w:val="Bulletlevel1"/>
        <w:keepNext/>
        <w:keepLines/>
      </w:pPr>
      <w:r>
        <w:t>76,500</w:t>
      </w:r>
      <w:r w:rsidR="00366475" w:rsidRPr="00C367EE">
        <w:t xml:space="preserve"> ports per year (</w:t>
      </w:r>
      <w:r w:rsidR="00AF6EEF">
        <w:t>three</w:t>
      </w:r>
      <w:r w:rsidR="00AF6EEF" w:rsidRPr="00C367EE">
        <w:t xml:space="preserve"> </w:t>
      </w:r>
      <w:r w:rsidR="00821086" w:rsidRPr="00C367EE">
        <w:t xml:space="preserve">per cent </w:t>
      </w:r>
      <w:r w:rsidR="00366475" w:rsidRPr="00C367EE">
        <w:t xml:space="preserve">of 2.55m annual ports not covered by the guidelines) * </w:t>
      </w:r>
      <w:r w:rsidR="004613F2">
        <w:t>five</w:t>
      </w:r>
      <w:r w:rsidR="004613F2" w:rsidRPr="00C367EE">
        <w:t xml:space="preserve"> </w:t>
      </w:r>
      <w:r w:rsidR="00366475" w:rsidRPr="00C367EE">
        <w:t>min</w:t>
      </w:r>
      <w:r w:rsidR="00BB7099">
        <w:t>utes</w:t>
      </w:r>
      <w:r w:rsidR="00366475" w:rsidRPr="00C367EE">
        <w:t xml:space="preserve"> / port @ $73.05 / hour</w:t>
      </w:r>
      <w:r w:rsidR="00F52119">
        <w:t>.</w:t>
      </w:r>
    </w:p>
    <w:p w14:paraId="24C84919" w14:textId="5194D751" w:rsidR="00E40440" w:rsidRDefault="00E40440" w:rsidP="00E40440">
      <w:pPr>
        <w:pStyle w:val="Heading1"/>
      </w:pPr>
      <w:bookmarkStart w:id="120" w:name="_Toc32833706"/>
      <w:bookmarkStart w:id="121" w:name="_Toc32833752"/>
      <w:bookmarkStart w:id="122" w:name="_Toc32833825"/>
      <w:bookmarkStart w:id="123" w:name="_Toc33176389"/>
      <w:bookmarkEnd w:id="75"/>
      <w:r>
        <w:lastRenderedPageBreak/>
        <w:t>Who was consulted and what did they say?</w:t>
      </w:r>
      <w:bookmarkEnd w:id="120"/>
      <w:bookmarkEnd w:id="121"/>
      <w:bookmarkEnd w:id="122"/>
      <w:bookmarkEnd w:id="123"/>
    </w:p>
    <w:p w14:paraId="749E9748" w14:textId="77777777" w:rsidR="008A49FC" w:rsidRDefault="0038646C" w:rsidP="00EA291D">
      <w:pPr>
        <w:pStyle w:val="Heading2"/>
      </w:pPr>
      <w:bookmarkStart w:id="124" w:name="_Toc32833707"/>
      <w:bookmarkStart w:id="125" w:name="_Toc32833753"/>
      <w:bookmarkStart w:id="126" w:name="_Toc32833826"/>
      <w:bookmarkStart w:id="127" w:name="_Toc33176390"/>
      <w:r>
        <w:t>Consultation</w:t>
      </w:r>
      <w:bookmarkEnd w:id="124"/>
      <w:bookmarkEnd w:id="125"/>
      <w:bookmarkEnd w:id="126"/>
      <w:bookmarkEnd w:id="127"/>
    </w:p>
    <w:p w14:paraId="3C3F86A8" w14:textId="7E0AD04D" w:rsidR="00DE5082" w:rsidRDefault="0038646C" w:rsidP="00EA291D">
      <w:pPr>
        <w:pStyle w:val="Paragraph"/>
      </w:pPr>
      <w:r>
        <w:t xml:space="preserve">The ACMA </w:t>
      </w:r>
      <w:r w:rsidR="00B53D41">
        <w:t xml:space="preserve">has </w:t>
      </w:r>
      <w:r w:rsidR="00DA470F">
        <w:t>been kept informed by</w:t>
      </w:r>
      <w:r>
        <w:t xml:space="preserve"> Communications Alliance on industry measures to address mobile porting fraud over time, including exploration of the </w:t>
      </w:r>
      <w:r w:rsidR="00213EB3">
        <w:t>J</w:t>
      </w:r>
      <w:r>
        <w:t>ersey solution</w:t>
      </w:r>
      <w:r w:rsidR="00561699">
        <w:rPr>
          <w:rStyle w:val="FootnoteReference"/>
        </w:rPr>
        <w:footnoteReference w:id="48"/>
      </w:r>
      <w:r>
        <w:t xml:space="preserve"> and development of the industry guidance note. </w:t>
      </w:r>
      <w:r w:rsidR="007046C0" w:rsidRPr="007046C0">
        <w:t>The ACMA ha</w:t>
      </w:r>
      <w:r w:rsidR="006C2730">
        <w:t>s</w:t>
      </w:r>
      <w:r>
        <w:t xml:space="preserve"> regularly sought data on complaint numbers to understand the magnitude of the issue and information </w:t>
      </w:r>
      <w:r w:rsidR="00A80912">
        <w:t xml:space="preserve">about </w:t>
      </w:r>
      <w:r>
        <w:t>any actions taken by carriers to address mobile porting fraud.</w:t>
      </w:r>
    </w:p>
    <w:p w14:paraId="47E58CDA" w14:textId="07E9A754" w:rsidR="0038646C" w:rsidRDefault="0038646C" w:rsidP="00EA291D">
      <w:pPr>
        <w:pStyle w:val="Paragraph"/>
      </w:pPr>
      <w:r>
        <w:t xml:space="preserve">When industry began implementing the voluntary guidance note, </w:t>
      </w:r>
      <w:r w:rsidR="00625B30">
        <w:t xml:space="preserve">the ACMA tracked </w:t>
      </w:r>
      <w:r w:rsidR="00350669">
        <w:t>progress of implementation and the rate of industry coverage of voluntary measures.</w:t>
      </w:r>
    </w:p>
    <w:p w14:paraId="621EED55" w14:textId="16741308" w:rsidR="0038646C" w:rsidRDefault="0038646C" w:rsidP="00EA291D">
      <w:pPr>
        <w:pStyle w:val="Paragraph"/>
      </w:pPr>
      <w:r>
        <w:t xml:space="preserve">The ACMA has similarly engaged with </w:t>
      </w:r>
      <w:r w:rsidR="00561699">
        <w:t xml:space="preserve">IDCARE </w:t>
      </w:r>
      <w:r>
        <w:t xml:space="preserve">and </w:t>
      </w:r>
      <w:r w:rsidR="006A4851">
        <w:t xml:space="preserve">the </w:t>
      </w:r>
      <w:r w:rsidR="006A4851" w:rsidRPr="006A4851">
        <w:t xml:space="preserve">Australian Communications Consumer Action Network (ACCAN) </w:t>
      </w:r>
      <w:r>
        <w:t xml:space="preserve">on </w:t>
      </w:r>
      <w:r w:rsidR="00B85A8C">
        <w:t xml:space="preserve">their </w:t>
      </w:r>
      <w:r>
        <w:t>complaints data to understand their view of the problem. The TIO and the Australian Criminal Intelligence Commission have both provided data to inform the ACMA</w:t>
      </w:r>
      <w:r w:rsidR="00DB3EE3">
        <w:t>’s consideration</w:t>
      </w:r>
      <w:r>
        <w:t xml:space="preserve"> of the problem.</w:t>
      </w:r>
    </w:p>
    <w:p w14:paraId="44A3CE1F" w14:textId="1D89A353" w:rsidR="0038646C" w:rsidRPr="008A49FC" w:rsidRDefault="00C15659" w:rsidP="003F5F0F">
      <w:pPr>
        <w:pStyle w:val="Heading3"/>
      </w:pPr>
      <w:bookmarkStart w:id="128" w:name="_Toc32833708"/>
      <w:bookmarkStart w:id="129" w:name="_Toc33176391"/>
      <w:r>
        <w:rPr>
          <w:rStyle w:val="Heading3Char"/>
          <w:b/>
          <w:bCs/>
        </w:rPr>
        <w:t>Post</w:t>
      </w:r>
      <w:r w:rsidR="00DB3EE3">
        <w:rPr>
          <w:rStyle w:val="Heading3Char"/>
          <w:b/>
          <w:bCs/>
        </w:rPr>
        <w:t>-</w:t>
      </w:r>
      <w:r>
        <w:rPr>
          <w:rStyle w:val="Heading3Char"/>
          <w:b/>
          <w:bCs/>
        </w:rPr>
        <w:t>October 2019</w:t>
      </w:r>
      <w:bookmarkEnd w:id="128"/>
      <w:bookmarkEnd w:id="129"/>
    </w:p>
    <w:p w14:paraId="3DD5A854" w14:textId="08384142" w:rsidR="00E40440" w:rsidRPr="002C7EEA" w:rsidRDefault="00E40440" w:rsidP="005A75D4">
      <w:pPr>
        <w:pStyle w:val="Paragraph"/>
      </w:pPr>
      <w:r w:rsidRPr="001D5C79">
        <w:t>The ACMA me</w:t>
      </w:r>
      <w:r w:rsidR="00164DAB">
        <w:t>t</w:t>
      </w:r>
      <w:r w:rsidRPr="001D5C79">
        <w:t xml:space="preserve"> with </w:t>
      </w:r>
      <w:r w:rsidR="00DB3EE3">
        <w:t xml:space="preserve">mobile </w:t>
      </w:r>
      <w:r w:rsidRPr="001D5C79">
        <w:t xml:space="preserve">carriers to </w:t>
      </w:r>
      <w:r w:rsidR="00F1696F">
        <w:t xml:space="preserve">better </w:t>
      </w:r>
      <w:r w:rsidR="00582013" w:rsidRPr="001D5C79">
        <w:t xml:space="preserve">understand </w:t>
      </w:r>
      <w:r w:rsidR="00582013" w:rsidRPr="00F1696F">
        <w:t>existing</w:t>
      </w:r>
      <w:r w:rsidR="00F1696F" w:rsidRPr="001D5C79">
        <w:t xml:space="preserve"> industry practice</w:t>
      </w:r>
      <w:r w:rsidR="00F1696F">
        <w:t>s</w:t>
      </w:r>
      <w:r w:rsidR="00F1696F" w:rsidRPr="001D5C79">
        <w:t xml:space="preserve"> </w:t>
      </w:r>
      <w:r w:rsidR="00F1696F">
        <w:t>and</w:t>
      </w:r>
      <w:r w:rsidR="00F1696F" w:rsidRPr="001D5C79">
        <w:t xml:space="preserve"> how</w:t>
      </w:r>
      <w:r w:rsidRPr="001D5C79">
        <w:t xml:space="preserve"> they coul</w:t>
      </w:r>
      <w:r w:rsidRPr="002C7EEA">
        <w:t xml:space="preserve">d be reflected in </w:t>
      </w:r>
      <w:r w:rsidR="00C15659">
        <w:t>an industry</w:t>
      </w:r>
      <w:r w:rsidRPr="002C7EEA">
        <w:t xml:space="preserve"> standard. We referred to the </w:t>
      </w:r>
      <w:r w:rsidR="00DB3EE3">
        <w:t xml:space="preserve">industry </w:t>
      </w:r>
      <w:r w:rsidRPr="002C7EEA">
        <w:t xml:space="preserve">guidance note prepared by </w:t>
      </w:r>
      <w:r w:rsidRPr="005A75D4">
        <w:t>Communications</w:t>
      </w:r>
      <w:r w:rsidRPr="002C7EEA">
        <w:t xml:space="preserve"> Alliance and the outcomes of the consultation that had occurred prior to </w:t>
      </w:r>
      <w:r w:rsidR="006E7059">
        <w:t>a Ministerial</w:t>
      </w:r>
      <w:r w:rsidR="006E7059" w:rsidRPr="002C7EEA">
        <w:t xml:space="preserve"> </w:t>
      </w:r>
      <w:r w:rsidR="005F3E1D" w:rsidRPr="002C7EEA">
        <w:t>direction</w:t>
      </w:r>
      <w:r w:rsidR="005F3E1D">
        <w:t>.</w:t>
      </w:r>
    </w:p>
    <w:p w14:paraId="5275E564" w14:textId="31B5A7A6" w:rsidR="003E7C71" w:rsidRPr="00AB273E" w:rsidRDefault="00350669" w:rsidP="003E7C71">
      <w:pPr>
        <w:rPr>
          <w:rFonts w:cs="Arial"/>
        </w:rPr>
      </w:pPr>
      <w:r>
        <w:t>Full p</w:t>
      </w:r>
      <w:r w:rsidR="00E40440" w:rsidRPr="00F5506C">
        <w:t xml:space="preserve">ublic </w:t>
      </w:r>
      <w:r w:rsidR="00E40440" w:rsidRPr="001D5C79">
        <w:t xml:space="preserve">consultation on </w:t>
      </w:r>
      <w:r w:rsidR="00C15659">
        <w:t>a</w:t>
      </w:r>
      <w:r w:rsidR="00C15659" w:rsidRPr="001D5C79">
        <w:t xml:space="preserve"> </w:t>
      </w:r>
      <w:r w:rsidR="00E40440" w:rsidRPr="001D5C79">
        <w:t>draft industry standard was conducted from 6 December 2019 to 19 January 2020</w:t>
      </w:r>
      <w:r w:rsidR="006B09E4">
        <w:t>.</w:t>
      </w:r>
    </w:p>
    <w:p w14:paraId="769122D6" w14:textId="61CEAEB7" w:rsidR="00067AE1" w:rsidRDefault="006B09E4" w:rsidP="005A75D4">
      <w:pPr>
        <w:pStyle w:val="Paragraph"/>
      </w:pPr>
      <w:r>
        <w:t xml:space="preserve">This </w:t>
      </w:r>
      <w:r w:rsidR="00E40440" w:rsidRPr="001D5C79">
        <w:t>includ</w:t>
      </w:r>
      <w:r>
        <w:t>ed</w:t>
      </w:r>
      <w:r w:rsidR="00E40440" w:rsidRPr="001D5C79">
        <w:t xml:space="preserve"> targeted consultation with key members of industry, government and consumer groups </w:t>
      </w:r>
      <w:r w:rsidR="00E40440" w:rsidRPr="001D492D">
        <w:t xml:space="preserve">to give </w:t>
      </w:r>
      <w:r w:rsidR="00B3357E">
        <w:t>wide</w:t>
      </w:r>
      <w:r w:rsidR="00E40440" w:rsidRPr="001D492D">
        <w:t xml:space="preserve"> opportunity for affected stakeholders to give input</w:t>
      </w:r>
      <w:r w:rsidR="00E40440" w:rsidRPr="001D5C79">
        <w:t>.</w:t>
      </w:r>
      <w:r w:rsidR="002305D1">
        <w:t xml:space="preserve"> </w:t>
      </w:r>
      <w:r w:rsidR="00AF6EEF">
        <w:t>We</w:t>
      </w:r>
      <w:r w:rsidR="00972FCF" w:rsidRPr="00AB273E">
        <w:t xml:space="preserve"> informed key stakeholders of the publication of the documents and invited comment on the draft of the </w:t>
      </w:r>
      <w:r w:rsidR="00972FCF">
        <w:t>industry s</w:t>
      </w:r>
      <w:r w:rsidR="00972FCF" w:rsidRPr="00AB273E">
        <w:t>tandard and on the issues set out in the consultation paper.</w:t>
      </w:r>
      <w:r w:rsidR="006246FC">
        <w:t xml:space="preserve"> </w:t>
      </w:r>
      <w:r w:rsidR="002305D1">
        <w:t>Social networking sites were used to raise public awareness of the consultation</w:t>
      </w:r>
      <w:r w:rsidR="00735A72">
        <w:t xml:space="preserve"> and complemented online consultation</w:t>
      </w:r>
      <w:r w:rsidR="002305D1">
        <w:t>.</w:t>
      </w:r>
    </w:p>
    <w:p w14:paraId="67022563" w14:textId="0F0FD114" w:rsidR="00735A72" w:rsidRDefault="00B05EBA" w:rsidP="00110120">
      <w:pPr>
        <w:pStyle w:val="Paragraphbeforelist"/>
      </w:pPr>
      <w:r>
        <w:t>T</w:t>
      </w:r>
      <w:r w:rsidR="00067AE1">
        <w:t xml:space="preserve">he </w:t>
      </w:r>
      <w:r w:rsidR="00DB3EE3">
        <w:t>ACMA must comply with statutory</w:t>
      </w:r>
      <w:r w:rsidR="00DB3EE3">
        <w:rPr>
          <w:i/>
          <w:iCs/>
        </w:rPr>
        <w:t xml:space="preserve"> </w:t>
      </w:r>
      <w:r w:rsidRPr="00B05EBA">
        <w:t xml:space="preserve">consultation obligations </w:t>
      </w:r>
      <w:r w:rsidR="00350669" w:rsidRPr="00EA291D">
        <w:t>prior to making an industry standard</w:t>
      </w:r>
      <w:r w:rsidR="00D223B9">
        <w:t xml:space="preserve">. </w:t>
      </w:r>
      <w:r w:rsidR="00D223B9">
        <w:rPr>
          <w:sz w:val="22"/>
          <w:szCs w:val="22"/>
        </w:rPr>
        <w:t>S</w:t>
      </w:r>
      <w:r w:rsidR="00AE6BA6" w:rsidRPr="00EA291D">
        <w:t>tatutory consultation provisions in subsection 125AA(3) and sections 132, 133, 134, and 135 of the Act have been met</w:t>
      </w:r>
      <w:r w:rsidR="00AE6BA6">
        <w:t xml:space="preserve"> through:</w:t>
      </w:r>
    </w:p>
    <w:p w14:paraId="07971A82" w14:textId="134C228D" w:rsidR="00AE6BA6" w:rsidRPr="006B39C0" w:rsidRDefault="00AE6BA6" w:rsidP="00972FCF">
      <w:pPr>
        <w:pStyle w:val="Bulletlevel1"/>
        <w:numPr>
          <w:ilvl w:val="0"/>
          <w:numId w:val="23"/>
        </w:numPr>
      </w:pPr>
      <w:r w:rsidRPr="006B39C0">
        <w:t>a public notice</w:t>
      </w:r>
      <w:r>
        <w:t xml:space="preserve"> published</w:t>
      </w:r>
      <w:r w:rsidRPr="006B39C0">
        <w:t xml:space="preserve"> in </w:t>
      </w:r>
      <w:r w:rsidR="00B85A8C" w:rsidRPr="00110120">
        <w:rPr>
          <w:i/>
        </w:rPr>
        <w:t>T</w:t>
      </w:r>
      <w:r w:rsidRPr="00110120">
        <w:rPr>
          <w:i/>
        </w:rPr>
        <w:t xml:space="preserve">he </w:t>
      </w:r>
      <w:r w:rsidR="004C6436" w:rsidRPr="00110120">
        <w:rPr>
          <w:i/>
        </w:rPr>
        <w:t xml:space="preserve">Weekend </w:t>
      </w:r>
      <w:r w:rsidRPr="00110120">
        <w:rPr>
          <w:i/>
        </w:rPr>
        <w:t>Australian</w:t>
      </w:r>
      <w:r>
        <w:t xml:space="preserve"> on </w:t>
      </w:r>
      <w:r w:rsidR="00DB3EE3">
        <w:t xml:space="preserve">7 </w:t>
      </w:r>
      <w:r>
        <w:t>December 2019</w:t>
      </w:r>
      <w:r w:rsidR="004C6436">
        <w:t>—</w:t>
      </w:r>
      <w:r w:rsidRPr="006B39C0">
        <w:t>a newspaper</w:t>
      </w:r>
      <w:r>
        <w:t xml:space="preserve"> </w:t>
      </w:r>
      <w:r w:rsidR="00B85A8C">
        <w:t>that</w:t>
      </w:r>
      <w:r w:rsidR="00B85A8C" w:rsidRPr="006B39C0">
        <w:t xml:space="preserve"> </w:t>
      </w:r>
      <w:r>
        <w:t>circulates</w:t>
      </w:r>
      <w:r w:rsidRPr="006B39C0">
        <w:t xml:space="preserve"> in each </w:t>
      </w:r>
      <w:r w:rsidR="00B85A8C">
        <w:t>s</w:t>
      </w:r>
      <w:r w:rsidRPr="006B39C0">
        <w:t xml:space="preserve">tate and </w:t>
      </w:r>
      <w:r w:rsidR="00B85A8C">
        <w:t>t</w:t>
      </w:r>
      <w:r w:rsidRPr="006B39C0">
        <w:t>erritory</w:t>
      </w:r>
    </w:p>
    <w:p w14:paraId="4AE09204" w14:textId="53A320C1" w:rsidR="00AE6BA6" w:rsidRPr="006B39C0" w:rsidRDefault="00350669" w:rsidP="00972FCF">
      <w:pPr>
        <w:pStyle w:val="Bulletlevel1"/>
        <w:numPr>
          <w:ilvl w:val="0"/>
          <w:numId w:val="23"/>
        </w:numPr>
      </w:pPr>
      <w:r>
        <w:t>p</w:t>
      </w:r>
      <w:r w:rsidR="00AE6BA6">
        <w:t>ublic consultation</w:t>
      </w:r>
      <w:r w:rsidR="00AE6BA6" w:rsidRPr="006B39C0">
        <w:t xml:space="preserve"> for a </w:t>
      </w:r>
      <w:r w:rsidR="00AE6BA6">
        <w:t xml:space="preserve">period </w:t>
      </w:r>
      <w:r w:rsidR="00C10F24">
        <w:t xml:space="preserve">of </w:t>
      </w:r>
      <w:r w:rsidR="00AE6BA6">
        <w:t>45 days including the Christmas and New Year holidays</w:t>
      </w:r>
      <w:r w:rsidR="00C10F24">
        <w:rPr>
          <w:rStyle w:val="FootnoteReference"/>
        </w:rPr>
        <w:footnoteReference w:id="49"/>
      </w:r>
    </w:p>
    <w:p w14:paraId="244E846A" w14:textId="3724EF6B" w:rsidR="00AE6BA6" w:rsidRPr="006B39C0" w:rsidRDefault="00AE6BA6" w:rsidP="00972FCF">
      <w:pPr>
        <w:pStyle w:val="Bulletlevel1"/>
        <w:numPr>
          <w:ilvl w:val="0"/>
          <w:numId w:val="23"/>
        </w:numPr>
      </w:pPr>
      <w:r>
        <w:t>consultation</w:t>
      </w:r>
      <w:r w:rsidRPr="006B39C0">
        <w:t xml:space="preserve"> with the </w:t>
      </w:r>
      <w:r w:rsidR="00350669">
        <w:t>ACCC</w:t>
      </w:r>
      <w:r w:rsidRPr="006B39C0">
        <w:t xml:space="preserve">, the TIO, the </w:t>
      </w:r>
      <w:r w:rsidR="00350669">
        <w:t>Office of the Australian</w:t>
      </w:r>
      <w:r w:rsidRPr="006B39C0">
        <w:t xml:space="preserve"> Information Commissioner</w:t>
      </w:r>
      <w:r w:rsidR="00350669">
        <w:t xml:space="preserve"> (OAIC)</w:t>
      </w:r>
      <w:r w:rsidRPr="006B39C0">
        <w:t xml:space="preserve">, </w:t>
      </w:r>
      <w:r>
        <w:t>telecommunications industry bodies</w:t>
      </w:r>
      <w:r w:rsidR="00DA1BE6">
        <w:t>,</w:t>
      </w:r>
      <w:r>
        <w:t xml:space="preserve"> Communications Alliance and </w:t>
      </w:r>
      <w:r w:rsidR="00462637">
        <w:t xml:space="preserve">the </w:t>
      </w:r>
      <w:r w:rsidR="00350669">
        <w:t>Australia</w:t>
      </w:r>
      <w:r w:rsidR="00B3357E">
        <w:t>n</w:t>
      </w:r>
      <w:r w:rsidR="00350669">
        <w:t xml:space="preserve"> Mobile </w:t>
      </w:r>
      <w:r w:rsidR="00337462">
        <w:t xml:space="preserve">Telecommunications </w:t>
      </w:r>
      <w:r w:rsidR="00350669">
        <w:t>Association</w:t>
      </w:r>
      <w:r>
        <w:t xml:space="preserve">, and </w:t>
      </w:r>
      <w:r w:rsidR="00B62049">
        <w:t xml:space="preserve">two </w:t>
      </w:r>
      <w:r>
        <w:t>consumer bodies</w:t>
      </w:r>
      <w:r w:rsidR="00B62049">
        <w:t>—</w:t>
      </w:r>
      <w:r>
        <w:t>ACCAN and IDC</w:t>
      </w:r>
      <w:r w:rsidR="00DA1BE6">
        <w:t>ARE</w:t>
      </w:r>
      <w:r>
        <w:t>.</w:t>
      </w:r>
    </w:p>
    <w:p w14:paraId="2AF9548D" w14:textId="41F02F08" w:rsidR="00AE6BA6" w:rsidRPr="001D5C79" w:rsidRDefault="00F1696F" w:rsidP="00110120">
      <w:pPr>
        <w:pStyle w:val="Heading2"/>
        <w:keepLines/>
      </w:pPr>
      <w:bookmarkStart w:id="130" w:name="_Toc32833709"/>
      <w:bookmarkStart w:id="131" w:name="_Toc32833754"/>
      <w:bookmarkStart w:id="132" w:name="_Toc32833827"/>
      <w:bookmarkStart w:id="133" w:name="_Toc33176392"/>
      <w:r>
        <w:lastRenderedPageBreak/>
        <w:t>Summary of stakeholder feedback</w:t>
      </w:r>
      <w:bookmarkEnd w:id="130"/>
      <w:bookmarkEnd w:id="131"/>
      <w:bookmarkEnd w:id="132"/>
      <w:bookmarkEnd w:id="133"/>
    </w:p>
    <w:p w14:paraId="51B08997" w14:textId="20ED6811" w:rsidR="003E7C71" w:rsidRDefault="00AB273E" w:rsidP="000709AA">
      <w:pPr>
        <w:pStyle w:val="Paragraph"/>
      </w:pPr>
      <w:r w:rsidRPr="00AB273E">
        <w:t xml:space="preserve">The </w:t>
      </w:r>
      <w:r>
        <w:t xml:space="preserve">consultation </w:t>
      </w:r>
      <w:r w:rsidRPr="00AB273E">
        <w:t xml:space="preserve">sought comment on several key requirements that the ACMA was considering including in the </w:t>
      </w:r>
      <w:r w:rsidR="003E7C71">
        <w:t>industry s</w:t>
      </w:r>
      <w:r w:rsidRPr="00AB273E">
        <w:t>tandard as well as inviting general comments.</w:t>
      </w:r>
    </w:p>
    <w:p w14:paraId="50FA50E9" w14:textId="3FF268F0" w:rsidR="00C15659" w:rsidRDefault="00AB273E" w:rsidP="003E7C71">
      <w:pPr>
        <w:pStyle w:val="Paragraphbeforelist"/>
      </w:pPr>
      <w:r w:rsidRPr="00AB273E">
        <w:t>The ACMA received 14 submissions from a range of stakeholders</w:t>
      </w:r>
      <w:r w:rsidR="00C15659">
        <w:t>:</w:t>
      </w:r>
    </w:p>
    <w:p w14:paraId="59171477" w14:textId="3D1AF481" w:rsidR="00C15659" w:rsidRDefault="00E54EF1" w:rsidP="00972FCF">
      <w:pPr>
        <w:pStyle w:val="Bulletlevel1"/>
        <w:keepNext/>
        <w:keepLines/>
        <w:numPr>
          <w:ilvl w:val="0"/>
          <w:numId w:val="24"/>
        </w:numPr>
      </w:pPr>
      <w:r>
        <w:t xml:space="preserve">two </w:t>
      </w:r>
      <w:r w:rsidR="002F2A25">
        <w:t>victims of</w:t>
      </w:r>
      <w:r>
        <w:t xml:space="preserve"> mobile porting fraud</w:t>
      </w:r>
    </w:p>
    <w:p w14:paraId="26CDEC54" w14:textId="41A38B8C" w:rsidR="00C15659" w:rsidRDefault="00C15659" w:rsidP="00972FCF">
      <w:pPr>
        <w:pStyle w:val="Bulletlevel1"/>
        <w:keepNext/>
        <w:keepLines/>
        <w:numPr>
          <w:ilvl w:val="0"/>
          <w:numId w:val="24"/>
        </w:numPr>
      </w:pPr>
      <w:r>
        <w:t>three mobile carriers</w:t>
      </w:r>
      <w:r w:rsidR="00A0598D">
        <w:t>—</w:t>
      </w:r>
      <w:r w:rsidR="00462637">
        <w:t xml:space="preserve">Optus, </w:t>
      </w:r>
      <w:r>
        <w:t>Telstra and Vodafone</w:t>
      </w:r>
    </w:p>
    <w:p w14:paraId="32DF177A" w14:textId="78ADCE12" w:rsidR="00E54EF1" w:rsidRDefault="002E21C3" w:rsidP="00972FCF">
      <w:pPr>
        <w:pStyle w:val="Bulletlevel1"/>
        <w:numPr>
          <w:ilvl w:val="0"/>
          <w:numId w:val="24"/>
        </w:numPr>
      </w:pPr>
      <w:r>
        <w:t>m</w:t>
      </w:r>
      <w:r w:rsidR="00E54EF1">
        <w:t>obile resellers</w:t>
      </w:r>
      <w:r w:rsidR="00E54EF1" w:rsidRPr="00E54EF1">
        <w:t xml:space="preserve"> </w:t>
      </w:r>
      <w:r w:rsidR="00E54EF1">
        <w:t xml:space="preserve">Woolworths and iiNet/TPG </w:t>
      </w:r>
    </w:p>
    <w:p w14:paraId="14C517A9" w14:textId="61211539" w:rsidR="00E54EF1" w:rsidRDefault="002E21C3" w:rsidP="00972FCF">
      <w:pPr>
        <w:pStyle w:val="Bulletlevel1"/>
        <w:numPr>
          <w:ilvl w:val="0"/>
          <w:numId w:val="24"/>
        </w:numPr>
      </w:pPr>
      <w:r>
        <w:t xml:space="preserve">industry body </w:t>
      </w:r>
      <w:r w:rsidR="00E54EF1">
        <w:t>Communications Alliance</w:t>
      </w:r>
    </w:p>
    <w:p w14:paraId="518AB9A8" w14:textId="02642DEF" w:rsidR="00E54EF1" w:rsidRDefault="002E21C3" w:rsidP="00972FCF">
      <w:pPr>
        <w:pStyle w:val="Bulletlevel1"/>
        <w:numPr>
          <w:ilvl w:val="0"/>
          <w:numId w:val="24"/>
        </w:numPr>
      </w:pPr>
      <w:r>
        <w:t>p</w:t>
      </w:r>
      <w:r w:rsidR="002F2A25">
        <w:t>eak communications consumer organisation</w:t>
      </w:r>
      <w:r w:rsidR="00E54EF1">
        <w:t xml:space="preserve"> </w:t>
      </w:r>
      <w:r w:rsidR="00E54EF1" w:rsidRPr="006A4851">
        <w:t>ACCAN</w:t>
      </w:r>
    </w:p>
    <w:p w14:paraId="1E5FAAA2" w14:textId="5FA2FC15" w:rsidR="00E54EF1" w:rsidRDefault="002E21C3" w:rsidP="000709AA">
      <w:pPr>
        <w:pStyle w:val="Bulletlevel1"/>
        <w:keepNext/>
        <w:keepLines/>
        <w:numPr>
          <w:ilvl w:val="0"/>
          <w:numId w:val="24"/>
        </w:numPr>
        <w:spacing w:after="240"/>
      </w:pPr>
      <w:r>
        <w:t>g</w:t>
      </w:r>
      <w:r w:rsidR="00E54EF1">
        <w:t>overnment agencies</w:t>
      </w:r>
      <w:r w:rsidR="00A0598D">
        <w:t>—</w:t>
      </w:r>
      <w:r w:rsidR="00C3700D">
        <w:t xml:space="preserve">the </w:t>
      </w:r>
      <w:r w:rsidR="00E54EF1">
        <w:t>ACCC, the Digital Transformation Agency (DTA)</w:t>
      </w:r>
      <w:r w:rsidR="00A0598D">
        <w:t>,</w:t>
      </w:r>
      <w:r w:rsidR="00E54EF1">
        <w:t xml:space="preserve"> </w:t>
      </w:r>
      <w:r w:rsidR="00D33CA6">
        <w:t xml:space="preserve">the Department of Home Affairs, </w:t>
      </w:r>
      <w:r w:rsidR="00E54EF1">
        <w:t>OAIC</w:t>
      </w:r>
      <w:r w:rsidR="00A0598D">
        <w:t xml:space="preserve"> and</w:t>
      </w:r>
      <w:r w:rsidR="00A0598D" w:rsidRPr="00A0598D">
        <w:t xml:space="preserve"> </w:t>
      </w:r>
      <w:r w:rsidR="00A0598D">
        <w:t>the TIO</w:t>
      </w:r>
      <w:r w:rsidR="00E54EF1">
        <w:t>.</w:t>
      </w:r>
    </w:p>
    <w:p w14:paraId="2B25CBD3" w14:textId="633E5014" w:rsidR="00734947" w:rsidRPr="00734947" w:rsidRDefault="009A6BB2" w:rsidP="005A75D4">
      <w:pPr>
        <w:pStyle w:val="Paragraph"/>
        <w:rPr>
          <w:szCs w:val="20"/>
        </w:rPr>
      </w:pPr>
      <w:r>
        <w:t>All submissions support</w:t>
      </w:r>
      <w:r w:rsidR="00DB3EE3">
        <w:t>ed</w:t>
      </w:r>
      <w:r>
        <w:t xml:space="preserve"> </w:t>
      </w:r>
      <w:r w:rsidR="00561797">
        <w:t>an</w:t>
      </w:r>
      <w:r w:rsidR="00734947">
        <w:t xml:space="preserve"> industry standard</w:t>
      </w:r>
      <w:r w:rsidR="00E54EF1">
        <w:t xml:space="preserve"> </w:t>
      </w:r>
      <w:r>
        <w:t>being made to address mobile porting fraud.</w:t>
      </w:r>
    </w:p>
    <w:p w14:paraId="4702C05E" w14:textId="2A30E10E" w:rsidR="009A6BB2" w:rsidRDefault="00734947" w:rsidP="00110120">
      <w:pPr>
        <w:pStyle w:val="Paragraphbeforelist"/>
      </w:pPr>
      <w:r>
        <w:t>Consultation submissions</w:t>
      </w:r>
      <w:r w:rsidR="007941CB">
        <w:t xml:space="preserve"> focused on</w:t>
      </w:r>
      <w:r w:rsidR="00746824">
        <w:t xml:space="preserve"> the</w:t>
      </w:r>
      <w:r w:rsidR="003E7C71">
        <w:t xml:space="preserve"> proposed </w:t>
      </w:r>
      <w:r w:rsidR="001232AB">
        <w:t>requirements:</w:t>
      </w:r>
    </w:p>
    <w:p w14:paraId="3110730F" w14:textId="0F1A85B8" w:rsidR="007941CB" w:rsidRPr="00E54EF1" w:rsidRDefault="00CF3574" w:rsidP="00972FCF">
      <w:pPr>
        <w:pStyle w:val="Bulletlevel1"/>
        <w:numPr>
          <w:ilvl w:val="0"/>
          <w:numId w:val="25"/>
        </w:numPr>
      </w:pPr>
      <w:r w:rsidRPr="00E54EF1">
        <w:t>flexibility</w:t>
      </w:r>
      <w:r w:rsidR="007941CB" w:rsidRPr="00E54EF1">
        <w:t xml:space="preserve"> of pre-port verification measures</w:t>
      </w:r>
    </w:p>
    <w:p w14:paraId="5C80759F" w14:textId="2060DC99" w:rsidR="007941CB" w:rsidRPr="00E54EF1" w:rsidRDefault="007941CB" w:rsidP="00972FCF">
      <w:pPr>
        <w:pStyle w:val="Bulletlevel1"/>
        <w:numPr>
          <w:ilvl w:val="0"/>
          <w:numId w:val="25"/>
        </w:numPr>
      </w:pPr>
      <w:r w:rsidRPr="00E54EF1">
        <w:t xml:space="preserve">application of pre-port processes to </w:t>
      </w:r>
      <w:r w:rsidR="00E54EF1">
        <w:t>customer types</w:t>
      </w:r>
    </w:p>
    <w:p w14:paraId="48DF1D46" w14:textId="28BB7009" w:rsidR="007941CB" w:rsidRDefault="007941CB" w:rsidP="00972FCF">
      <w:pPr>
        <w:pStyle w:val="Bulletlevel1"/>
        <w:numPr>
          <w:ilvl w:val="0"/>
          <w:numId w:val="25"/>
        </w:numPr>
      </w:pPr>
      <w:r w:rsidRPr="00E54EF1">
        <w:t>balance between security and accessibility of pre-port verification process</w:t>
      </w:r>
    </w:p>
    <w:p w14:paraId="39C5C357" w14:textId="6D555918" w:rsidR="00CB109F" w:rsidRPr="00E54EF1" w:rsidRDefault="00CB109F" w:rsidP="00972FCF">
      <w:pPr>
        <w:pStyle w:val="Bulletlevel1"/>
        <w:numPr>
          <w:ilvl w:val="0"/>
          <w:numId w:val="25"/>
        </w:numPr>
      </w:pPr>
      <w:r w:rsidRPr="00E54EF1">
        <w:t>cost of verification options for customers</w:t>
      </w:r>
    </w:p>
    <w:p w14:paraId="21536B47" w14:textId="31BD75C6" w:rsidR="00CF3574" w:rsidRPr="00273A88" w:rsidRDefault="00CF3574" w:rsidP="000709AA">
      <w:pPr>
        <w:pStyle w:val="Bulletlevel1"/>
        <w:numPr>
          <w:ilvl w:val="0"/>
          <w:numId w:val="25"/>
        </w:numPr>
        <w:spacing w:after="240"/>
      </w:pPr>
      <w:r w:rsidRPr="00E54EF1">
        <w:t>inclusion of customer awareness and safeguard information</w:t>
      </w:r>
      <w:r w:rsidR="0008611E">
        <w:t>.</w:t>
      </w:r>
    </w:p>
    <w:p w14:paraId="6CF295A9" w14:textId="77777777" w:rsidR="003E7C71" w:rsidRDefault="001370B6" w:rsidP="003E7C71">
      <w:pPr>
        <w:pStyle w:val="Paragraph"/>
      </w:pPr>
      <w:r w:rsidRPr="003E7C71">
        <w:t>These issues and editorial feedback provided in all submissions has been considered</w:t>
      </w:r>
      <w:r w:rsidR="003E7C71" w:rsidRPr="003E7C71">
        <w:t>.</w:t>
      </w:r>
      <w:bookmarkStart w:id="134" w:name="_Toc32833710"/>
      <w:bookmarkStart w:id="135" w:name="_Toc32833755"/>
      <w:bookmarkStart w:id="136" w:name="_Toc32833828"/>
    </w:p>
    <w:p w14:paraId="2AE171F1" w14:textId="790C6E5B" w:rsidR="00E40440" w:rsidRDefault="00E40440" w:rsidP="00E40440">
      <w:pPr>
        <w:pStyle w:val="Heading1"/>
      </w:pPr>
      <w:bookmarkStart w:id="137" w:name="_Toc33176393"/>
      <w:r>
        <w:lastRenderedPageBreak/>
        <w:t>What is the best option from those considered?</w:t>
      </w:r>
      <w:bookmarkEnd w:id="134"/>
      <w:bookmarkEnd w:id="135"/>
      <w:bookmarkEnd w:id="136"/>
      <w:bookmarkEnd w:id="137"/>
    </w:p>
    <w:p w14:paraId="1EA9FA22" w14:textId="312E055E" w:rsidR="00AC409F" w:rsidRDefault="0041160B" w:rsidP="005A75D4">
      <w:pPr>
        <w:pStyle w:val="Paragraph"/>
      </w:pPr>
      <w:r>
        <w:t>A</w:t>
      </w:r>
      <w:r w:rsidR="003A6C24">
        <w:t>n</w:t>
      </w:r>
      <w:r w:rsidR="008C345C">
        <w:t xml:space="preserve"> </w:t>
      </w:r>
      <w:r w:rsidR="003A6C24">
        <w:t xml:space="preserve">industry standard determined under </w:t>
      </w:r>
      <w:r w:rsidR="008C345C">
        <w:t>section 125AA</w:t>
      </w:r>
      <w:r w:rsidR="003A6C24">
        <w:t xml:space="preserve"> of the</w:t>
      </w:r>
      <w:r w:rsidR="008C345C">
        <w:t xml:space="preserve"> Act</w:t>
      </w:r>
      <w:r>
        <w:t xml:space="preserve"> </w:t>
      </w:r>
      <w:r w:rsidR="005402AE">
        <w:t xml:space="preserve">is the </w:t>
      </w:r>
      <w:r w:rsidR="00C76805">
        <w:t xml:space="preserve">best option </w:t>
      </w:r>
      <w:r w:rsidR="003A6C24">
        <w:t xml:space="preserve">and has the highest net benefit </w:t>
      </w:r>
      <w:r w:rsidR="00467429">
        <w:t xml:space="preserve">of </w:t>
      </w:r>
      <w:r w:rsidR="003A6C24">
        <w:t xml:space="preserve">options </w:t>
      </w:r>
      <w:r w:rsidR="00C76805">
        <w:t>considered</w:t>
      </w:r>
      <w:r w:rsidR="005402AE">
        <w:t>.</w:t>
      </w:r>
      <w:r w:rsidR="00FF5060">
        <w:t xml:space="preserve"> </w:t>
      </w:r>
      <w:r w:rsidR="00463009">
        <w:t>C</w:t>
      </w:r>
      <w:r w:rsidR="00BB78F1">
        <w:t>onsultation</w:t>
      </w:r>
      <w:r w:rsidR="005402AE">
        <w:t xml:space="preserve"> feedback suggests a</w:t>
      </w:r>
      <w:r w:rsidR="003A6C24">
        <w:t>n</w:t>
      </w:r>
      <w:r w:rsidR="005402AE">
        <w:t xml:space="preserve"> </w:t>
      </w:r>
      <w:r w:rsidR="003A6C24">
        <w:t xml:space="preserve">industry </w:t>
      </w:r>
      <w:r w:rsidR="005402AE">
        <w:t xml:space="preserve">standard is </w:t>
      </w:r>
      <w:r w:rsidR="007649FF">
        <w:t>supported by</w:t>
      </w:r>
      <w:r w:rsidR="005402AE">
        <w:t xml:space="preserve"> </w:t>
      </w:r>
      <w:r w:rsidR="003A6C24">
        <w:t>mobile carriage service providers</w:t>
      </w:r>
      <w:r w:rsidR="005402AE">
        <w:t xml:space="preserve">, </w:t>
      </w:r>
      <w:r w:rsidR="00F21516">
        <w:t>individuals</w:t>
      </w:r>
      <w:r w:rsidR="00CD3FF8">
        <w:t>, government</w:t>
      </w:r>
      <w:r w:rsidR="005402AE">
        <w:t xml:space="preserve"> and </w:t>
      </w:r>
      <w:r w:rsidR="00CD3FF8">
        <w:t>community organisations.</w:t>
      </w:r>
    </w:p>
    <w:p w14:paraId="29620F92" w14:textId="61A00DF6" w:rsidR="00F21516" w:rsidRDefault="00F21516" w:rsidP="005A75D4">
      <w:pPr>
        <w:pStyle w:val="Paragraph"/>
      </w:pPr>
      <w:r>
        <w:t xml:space="preserve">The industry standard is enforceable and </w:t>
      </w:r>
      <w:r w:rsidR="00A554AE">
        <w:t>enables the ACMA to monitor and enforce compliance</w:t>
      </w:r>
      <w:r>
        <w:t xml:space="preserve">. This removes </w:t>
      </w:r>
      <w:r w:rsidR="00625B30">
        <w:t>incentive</w:t>
      </w:r>
      <w:r w:rsidR="005A7104">
        <w:t>s</w:t>
      </w:r>
      <w:r w:rsidR="00625B30">
        <w:t xml:space="preserve"> for</w:t>
      </w:r>
      <w:r>
        <w:t xml:space="preserve"> </w:t>
      </w:r>
      <w:r w:rsidR="006B6356">
        <w:t>scammers</w:t>
      </w:r>
      <w:r w:rsidR="00625B30">
        <w:t xml:space="preserve"> to target providers without additional protections</w:t>
      </w:r>
      <w:r w:rsidR="006B6356">
        <w:t xml:space="preserve"> and</w:t>
      </w:r>
      <w:r>
        <w:t xml:space="preserve"> provides certainty to customers that they</w:t>
      </w:r>
      <w:r w:rsidR="00DA496B">
        <w:t xml:space="preserve"> </w:t>
      </w:r>
      <w:r w:rsidR="00B3357E">
        <w:t xml:space="preserve">are </w:t>
      </w:r>
      <w:r>
        <w:t>protected</w:t>
      </w:r>
      <w:r w:rsidR="00DD504A">
        <w:t xml:space="preserve"> from mobile porting fraud</w:t>
      </w:r>
      <w:r w:rsidR="006B6356">
        <w:t>.</w:t>
      </w:r>
      <w:r>
        <w:t xml:space="preserve"> </w:t>
      </w:r>
    </w:p>
    <w:p w14:paraId="5F0063DC" w14:textId="09F2DA45" w:rsidR="008E6DD2" w:rsidRDefault="00685D7E" w:rsidP="005A75D4">
      <w:pPr>
        <w:pStyle w:val="Paragraph"/>
      </w:pPr>
      <w:r>
        <w:t xml:space="preserve">An industry standard </w:t>
      </w:r>
      <w:r w:rsidR="00F21516">
        <w:t xml:space="preserve">also provides more robust protections for customers through consideration of practicable, robust, </w:t>
      </w:r>
      <w:r w:rsidR="00052D88">
        <w:t>technically feasible</w:t>
      </w:r>
      <w:r w:rsidR="00F21516">
        <w:t xml:space="preserve"> verification measures</w:t>
      </w:r>
      <w:r w:rsidR="0078030F">
        <w:t xml:space="preserve">. These protections </w:t>
      </w:r>
      <w:r w:rsidR="00F21516">
        <w:t>do not impose undue financial and administrative burdens</w:t>
      </w:r>
      <w:r w:rsidR="0078030F">
        <w:t xml:space="preserve"> on mobile carriage service providers</w:t>
      </w:r>
      <w:r>
        <w:t xml:space="preserve"> but improve protections</w:t>
      </w:r>
      <w:r w:rsidR="0078030F">
        <w:t>.</w:t>
      </w:r>
    </w:p>
    <w:p w14:paraId="1317EF86" w14:textId="488E6F16" w:rsidR="00AC409F" w:rsidRDefault="00AC409F" w:rsidP="005A75D4">
      <w:pPr>
        <w:pStyle w:val="Paragraph"/>
      </w:pPr>
      <w:r>
        <w:t xml:space="preserve">The status quo </w:t>
      </w:r>
      <w:r w:rsidR="00D65A95">
        <w:t xml:space="preserve">has large costs to customers and businesses, posing an unacceptable level of customer harm including </w:t>
      </w:r>
      <w:r w:rsidR="000F3C13">
        <w:t xml:space="preserve">from </w:t>
      </w:r>
      <w:r w:rsidR="00D65A95">
        <w:t>ongoing psychological distress and the potential for repeated instances of identity theft.</w:t>
      </w:r>
    </w:p>
    <w:p w14:paraId="5BCB4A31" w14:textId="598C5918" w:rsidR="00E53FD0" w:rsidRDefault="00A910D8" w:rsidP="005A75D4">
      <w:pPr>
        <w:pStyle w:val="Paragraph"/>
      </w:pPr>
      <w:r>
        <w:t xml:space="preserve">The </w:t>
      </w:r>
      <w:r w:rsidR="00B775C1">
        <w:t>education campaign</w:t>
      </w:r>
      <w:r>
        <w:t xml:space="preserve"> option </w:t>
      </w:r>
      <w:r w:rsidR="0078030F">
        <w:t>has some benefits to customers and mobile carriage service providers</w:t>
      </w:r>
      <w:r w:rsidR="00DB68C7">
        <w:t>; however,</w:t>
      </w:r>
      <w:r w:rsidR="0078030F">
        <w:t xml:space="preserve"> it does not match the benefits of an industry standard. </w:t>
      </w:r>
    </w:p>
    <w:p w14:paraId="4D1DB0F6" w14:textId="2B87F189" w:rsidR="00E40440" w:rsidRDefault="00E40440" w:rsidP="00E40440">
      <w:pPr>
        <w:pStyle w:val="Heading1"/>
      </w:pPr>
      <w:bookmarkStart w:id="138" w:name="_Toc32833711"/>
      <w:bookmarkStart w:id="139" w:name="_Toc32833756"/>
      <w:bookmarkStart w:id="140" w:name="_Toc32833829"/>
      <w:bookmarkStart w:id="141" w:name="_Toc33176394"/>
      <w:r>
        <w:lastRenderedPageBreak/>
        <w:t>How will you implement and evaluate your chosen option?</w:t>
      </w:r>
      <w:bookmarkEnd w:id="138"/>
      <w:bookmarkEnd w:id="139"/>
      <w:bookmarkEnd w:id="140"/>
      <w:bookmarkEnd w:id="141"/>
    </w:p>
    <w:p w14:paraId="50EA4A0C" w14:textId="7B386310" w:rsidR="00C718F0" w:rsidRDefault="00C718F0" w:rsidP="00492686">
      <w:pPr>
        <w:pStyle w:val="Heading2"/>
      </w:pPr>
      <w:bookmarkStart w:id="142" w:name="_Toc32833712"/>
      <w:bookmarkStart w:id="143" w:name="_Toc32833757"/>
      <w:bookmarkStart w:id="144" w:name="_Toc32833830"/>
      <w:bookmarkStart w:id="145" w:name="_Toc33176395"/>
      <w:r>
        <w:t>Implementation</w:t>
      </w:r>
      <w:bookmarkEnd w:id="142"/>
      <w:bookmarkEnd w:id="143"/>
      <w:bookmarkEnd w:id="144"/>
      <w:bookmarkEnd w:id="145"/>
      <w:r>
        <w:t xml:space="preserve"> </w:t>
      </w:r>
    </w:p>
    <w:p w14:paraId="0D2E5938" w14:textId="46104AE7" w:rsidR="00E40440" w:rsidRPr="00492686" w:rsidRDefault="00E03F97" w:rsidP="005A75D4">
      <w:pPr>
        <w:pStyle w:val="Paragraph"/>
      </w:pPr>
      <w:r>
        <w:t>M</w:t>
      </w:r>
      <w:r w:rsidR="00455829" w:rsidRPr="00492686">
        <w:t xml:space="preserve">ost mobile </w:t>
      </w:r>
      <w:r w:rsidR="006D6497" w:rsidRPr="00492686">
        <w:t xml:space="preserve">carriage </w:t>
      </w:r>
      <w:r w:rsidR="00455829" w:rsidRPr="00492686">
        <w:t>service</w:t>
      </w:r>
      <w:r w:rsidR="00E40440" w:rsidRPr="00492686">
        <w:t xml:space="preserve"> providers have </w:t>
      </w:r>
      <w:r>
        <w:t xml:space="preserve">already </w:t>
      </w:r>
      <w:r w:rsidR="00E40440" w:rsidRPr="00492686">
        <w:t xml:space="preserve">implemented </w:t>
      </w:r>
      <w:r>
        <w:t>(</w:t>
      </w:r>
      <w:r w:rsidR="00E40440" w:rsidRPr="00492686">
        <w:t xml:space="preserve">or </w:t>
      </w:r>
      <w:r w:rsidR="007A24CF">
        <w:t>are</w:t>
      </w:r>
      <w:r w:rsidR="007A24CF" w:rsidRPr="00492686">
        <w:t xml:space="preserve"> </w:t>
      </w:r>
      <w:r w:rsidR="00731A19">
        <w:t xml:space="preserve">committed to </w:t>
      </w:r>
      <w:r w:rsidR="00E40440" w:rsidRPr="00492686">
        <w:t>implement</w:t>
      </w:r>
      <w:r w:rsidR="007A24CF">
        <w:t>ing</w:t>
      </w:r>
      <w:r>
        <w:t>)</w:t>
      </w:r>
      <w:r w:rsidR="00E40440" w:rsidRPr="00492686">
        <w:t xml:space="preserve"> additional</w:t>
      </w:r>
      <w:r w:rsidR="00420467">
        <w:t xml:space="preserve"> identity</w:t>
      </w:r>
      <w:r w:rsidR="00E40440" w:rsidRPr="00492686">
        <w:t xml:space="preserve"> verification process</w:t>
      </w:r>
      <w:r w:rsidR="00D75764">
        <w:t>es</w:t>
      </w:r>
      <w:r w:rsidR="00E40440" w:rsidRPr="00492686">
        <w:t xml:space="preserve">. </w:t>
      </w:r>
      <w:r w:rsidR="009B69E2" w:rsidRPr="00492686">
        <w:t>Learnings from this have been incorporated into the drafting of the industry standard through both formal and informal consultation.</w:t>
      </w:r>
    </w:p>
    <w:p w14:paraId="6906EF98" w14:textId="4230EA77" w:rsidR="00E0430F" w:rsidRDefault="00F450A7" w:rsidP="005A75D4">
      <w:pPr>
        <w:pStyle w:val="Paragraph"/>
      </w:pPr>
      <w:r w:rsidRPr="00B37E2B">
        <w:t>Option 3</w:t>
      </w:r>
      <w:r w:rsidR="00B37E2B">
        <w:t>—an industry standard—</w:t>
      </w:r>
      <w:r w:rsidR="008C66E8">
        <w:t xml:space="preserve">will be implemented by the ACMA </w:t>
      </w:r>
      <w:r w:rsidR="00ED257F">
        <w:t>in</w:t>
      </w:r>
      <w:r w:rsidR="00FC70B9" w:rsidRPr="00492686">
        <w:t xml:space="preserve"> accordance with </w:t>
      </w:r>
      <w:r w:rsidR="00463009">
        <w:t xml:space="preserve">a </w:t>
      </w:r>
      <w:r w:rsidR="00CA528C">
        <w:t>M</w:t>
      </w:r>
      <w:r w:rsidR="00FC70B9" w:rsidRPr="00492686">
        <w:t>inisterial direction</w:t>
      </w:r>
      <w:r w:rsidR="008C66E8">
        <w:t xml:space="preserve"> that </w:t>
      </w:r>
      <w:r w:rsidR="00FC70B9" w:rsidRPr="00492686">
        <w:t>the standard must be determined by 28</w:t>
      </w:r>
      <w:r w:rsidRPr="00F450A7">
        <w:t xml:space="preserve"> </w:t>
      </w:r>
      <w:r w:rsidRPr="00492686">
        <w:t>February</w:t>
      </w:r>
      <w:r w:rsidR="00FC70B9" w:rsidRPr="00492686">
        <w:t xml:space="preserve"> 2020 and commence </w:t>
      </w:r>
      <w:r w:rsidR="00B3357E">
        <w:t>by</w:t>
      </w:r>
      <w:r w:rsidR="00B3357E" w:rsidRPr="00492686">
        <w:t xml:space="preserve"> </w:t>
      </w:r>
      <w:r w:rsidR="00FC70B9" w:rsidRPr="00492686">
        <w:t>30</w:t>
      </w:r>
      <w:r w:rsidRPr="00F450A7">
        <w:t xml:space="preserve"> </w:t>
      </w:r>
      <w:r w:rsidRPr="00492686">
        <w:t>April</w:t>
      </w:r>
      <w:r w:rsidR="00FC70B9" w:rsidRPr="00492686">
        <w:t xml:space="preserve"> 2020</w:t>
      </w:r>
      <w:r>
        <w:t xml:space="preserve">. This </w:t>
      </w:r>
      <w:r w:rsidR="007A24CF">
        <w:t>provides time for remaining mobile carriage service providers</w:t>
      </w:r>
      <w:r w:rsidR="00FC70B9" w:rsidRPr="00492686">
        <w:t xml:space="preserve"> to put systems in place</w:t>
      </w:r>
      <w:r w:rsidR="007A24CF">
        <w:t xml:space="preserve"> to achieve compliance with the standard</w:t>
      </w:r>
      <w:r w:rsidR="00FC70B9" w:rsidRPr="00492686">
        <w:t>.</w:t>
      </w:r>
    </w:p>
    <w:p w14:paraId="5178395E" w14:textId="5DAF3B11" w:rsidR="009806BA" w:rsidRPr="00492686" w:rsidRDefault="009806BA" w:rsidP="000F212E">
      <w:pPr>
        <w:pStyle w:val="Heading3"/>
      </w:pPr>
      <w:bookmarkStart w:id="146" w:name="_Toc32833713"/>
      <w:bookmarkStart w:id="147" w:name="_Toc33176396"/>
      <w:r>
        <w:t>Engagement with stakeholders</w:t>
      </w:r>
      <w:bookmarkEnd w:id="146"/>
      <w:bookmarkEnd w:id="147"/>
    </w:p>
    <w:p w14:paraId="7002EE03" w14:textId="7C931B6F" w:rsidR="002D0C4C" w:rsidRDefault="002D0C4C" w:rsidP="004C0145">
      <w:pPr>
        <w:spacing w:line="276" w:lineRule="auto"/>
        <w:rPr>
          <w:rFonts w:cs="Arial"/>
          <w:szCs w:val="20"/>
        </w:rPr>
      </w:pPr>
      <w:r>
        <w:rPr>
          <w:rFonts w:cs="Arial"/>
          <w:szCs w:val="20"/>
        </w:rPr>
        <w:t xml:space="preserve">The ACMA will </w:t>
      </w:r>
      <w:r w:rsidR="00046C7F">
        <w:rPr>
          <w:rFonts w:cs="Arial"/>
          <w:szCs w:val="20"/>
        </w:rPr>
        <w:t xml:space="preserve">lead </w:t>
      </w:r>
      <w:r w:rsidR="008C3575">
        <w:rPr>
          <w:rFonts w:cs="Arial"/>
          <w:szCs w:val="20"/>
        </w:rPr>
        <w:t xml:space="preserve">government </w:t>
      </w:r>
      <w:r>
        <w:rPr>
          <w:rFonts w:cs="Arial"/>
          <w:szCs w:val="20"/>
        </w:rPr>
        <w:t>engage</w:t>
      </w:r>
      <w:r w:rsidR="00046C7F">
        <w:rPr>
          <w:rFonts w:cs="Arial"/>
          <w:szCs w:val="20"/>
        </w:rPr>
        <w:t>ment</w:t>
      </w:r>
      <w:r>
        <w:rPr>
          <w:rFonts w:cs="Arial"/>
          <w:szCs w:val="20"/>
        </w:rPr>
        <w:t xml:space="preserve"> </w:t>
      </w:r>
      <w:r w:rsidR="00081819">
        <w:rPr>
          <w:rFonts w:cs="Arial"/>
          <w:szCs w:val="20"/>
        </w:rPr>
        <w:t xml:space="preserve">with </w:t>
      </w:r>
      <w:r>
        <w:rPr>
          <w:rFonts w:cs="Arial"/>
          <w:szCs w:val="20"/>
        </w:rPr>
        <w:t>key stakeholders to ensure they are aware of their new regulatory obligations.</w:t>
      </w:r>
    </w:p>
    <w:p w14:paraId="26555E76" w14:textId="53D7A5D2" w:rsidR="0020309F" w:rsidRDefault="009D58EF" w:rsidP="005A75D4">
      <w:pPr>
        <w:pStyle w:val="Paragraph"/>
      </w:pPr>
      <w:r>
        <w:t>Mobile carriage service providers</w:t>
      </w:r>
      <w:r w:rsidR="001E4ED4" w:rsidRPr="00492686">
        <w:t xml:space="preserve"> </w:t>
      </w:r>
      <w:r w:rsidR="001E4ED4">
        <w:t>must</w:t>
      </w:r>
      <w:r w:rsidR="004C0145" w:rsidRPr="00492686">
        <w:t xml:space="preserve"> implement pre-port identity verification </w:t>
      </w:r>
      <w:r w:rsidR="001E12F2" w:rsidRPr="00492686">
        <w:t>processes,</w:t>
      </w:r>
      <w:r w:rsidR="004C0145" w:rsidRPr="00492686">
        <w:t xml:space="preserve"> but the standard </w:t>
      </w:r>
      <w:r w:rsidR="00E0430F">
        <w:t>is</w:t>
      </w:r>
      <w:r w:rsidR="004C0145" w:rsidRPr="00492686">
        <w:t xml:space="preserve"> drafted </w:t>
      </w:r>
      <w:r w:rsidR="00413F34">
        <w:t xml:space="preserve">with in-built flexibility </w:t>
      </w:r>
      <w:r w:rsidR="004C0145" w:rsidRPr="00492686">
        <w:t>to allow choice in methods</w:t>
      </w:r>
      <w:r w:rsidR="00216B3B">
        <w:t xml:space="preserve"> used to comply</w:t>
      </w:r>
      <w:r w:rsidR="004C0145" w:rsidRPr="00492686">
        <w:t xml:space="preserve">. This will minimise the costs of upgrading systems and support </w:t>
      </w:r>
      <w:r w:rsidR="002E0D7A">
        <w:t>entities that</w:t>
      </w:r>
      <w:r w:rsidR="004C0145" w:rsidRPr="00492686">
        <w:t xml:space="preserve"> have already implemented solutions from the guidance note to continue implementation </w:t>
      </w:r>
      <w:r w:rsidR="002F2CAB">
        <w:t>or</w:t>
      </w:r>
      <w:r w:rsidR="004C0145" w:rsidRPr="00492686">
        <w:t xml:space="preserve"> use of their chosen method.</w:t>
      </w:r>
    </w:p>
    <w:p w14:paraId="0411689D" w14:textId="3D3AF002" w:rsidR="00351ED3" w:rsidRDefault="00076C58" w:rsidP="005A75D4">
      <w:pPr>
        <w:pStyle w:val="Paragraph"/>
      </w:pPr>
      <w:r>
        <w:t xml:space="preserve">The ACMA will </w:t>
      </w:r>
      <w:r w:rsidR="002F254E">
        <w:t xml:space="preserve">work with </w:t>
      </w:r>
      <w:r w:rsidR="009D58EF">
        <w:t>mobile carriage service providers</w:t>
      </w:r>
      <w:r w:rsidR="001E4ED4">
        <w:t xml:space="preserve"> </w:t>
      </w:r>
      <w:r w:rsidR="002F254E">
        <w:t xml:space="preserve">where implementation issues are identified. For example, </w:t>
      </w:r>
      <w:r w:rsidR="00467429">
        <w:t xml:space="preserve">the </w:t>
      </w:r>
      <w:r w:rsidR="002F254E">
        <w:t>c</w:t>
      </w:r>
      <w:r w:rsidR="00DC1AA2" w:rsidRPr="00492686">
        <w:t xml:space="preserve">onsultation highlighted </w:t>
      </w:r>
      <w:r w:rsidR="00467429">
        <w:t xml:space="preserve">that </w:t>
      </w:r>
      <w:r w:rsidR="00DC1AA2" w:rsidRPr="00492686">
        <w:t xml:space="preserve">providers </w:t>
      </w:r>
      <w:r w:rsidR="00E770AF" w:rsidRPr="00492686">
        <w:t xml:space="preserve">using an SMS verification method found </w:t>
      </w:r>
      <w:r w:rsidR="004F1623">
        <w:t>customers</w:t>
      </w:r>
      <w:r w:rsidR="004F1623" w:rsidRPr="00492686">
        <w:t xml:space="preserve"> </w:t>
      </w:r>
      <w:r w:rsidR="00E770AF" w:rsidRPr="00492686">
        <w:t xml:space="preserve">were unable to complete verification </w:t>
      </w:r>
      <w:r w:rsidR="001E4ED4">
        <w:t xml:space="preserve">if </w:t>
      </w:r>
      <w:r w:rsidR="004F1623">
        <w:t>they</w:t>
      </w:r>
      <w:r w:rsidR="00E770AF" w:rsidRPr="00492686">
        <w:t xml:space="preserve"> had no </w:t>
      </w:r>
      <w:r w:rsidR="004F1623">
        <w:t>pre-paid</w:t>
      </w:r>
      <w:r w:rsidR="004F1623" w:rsidRPr="00492686">
        <w:t xml:space="preserve"> </w:t>
      </w:r>
      <w:r w:rsidR="00E770AF" w:rsidRPr="00492686">
        <w:t xml:space="preserve">credit. The standard </w:t>
      </w:r>
      <w:r w:rsidR="002D0C4C">
        <w:t>will be drafted</w:t>
      </w:r>
      <w:r w:rsidR="00E770AF" w:rsidRPr="00492686">
        <w:t xml:space="preserve"> to </w:t>
      </w:r>
      <w:r w:rsidR="004F1623">
        <w:t>avoid</w:t>
      </w:r>
      <w:r w:rsidR="003B4C22">
        <w:t xml:space="preserve"> this</w:t>
      </w:r>
      <w:r w:rsidR="00351ED3">
        <w:t xml:space="preserve"> implementation</w:t>
      </w:r>
      <w:r w:rsidR="00E770AF" w:rsidRPr="00492686">
        <w:t xml:space="preserve"> issue by mandating that customers do not pay for a verification SMS</w:t>
      </w:r>
      <w:r w:rsidR="0020309F">
        <w:t xml:space="preserve"> response</w:t>
      </w:r>
      <w:r w:rsidR="00351ED3">
        <w:t xml:space="preserve">. </w:t>
      </w:r>
      <w:r w:rsidR="00E770AF" w:rsidRPr="00492686">
        <w:t xml:space="preserve">This </w:t>
      </w:r>
      <w:r w:rsidR="0020309F">
        <w:t>prompts</w:t>
      </w:r>
      <w:r w:rsidR="00E770AF" w:rsidRPr="00492686">
        <w:t xml:space="preserve"> industry </w:t>
      </w:r>
      <w:r w:rsidR="0020309F">
        <w:t>to</w:t>
      </w:r>
      <w:r w:rsidR="0020309F" w:rsidRPr="00492686">
        <w:t xml:space="preserve"> </w:t>
      </w:r>
      <w:r w:rsidR="00E770AF" w:rsidRPr="00492686">
        <w:t xml:space="preserve">determine </w:t>
      </w:r>
      <w:r w:rsidR="00FB2192" w:rsidRPr="00492686">
        <w:t>its</w:t>
      </w:r>
      <w:r w:rsidR="00E770AF" w:rsidRPr="00492686">
        <w:t xml:space="preserve"> own cooperative arrangements to zero-rate </w:t>
      </w:r>
      <w:r w:rsidR="002F254E">
        <w:t xml:space="preserve">SMS </w:t>
      </w:r>
      <w:r w:rsidR="00E770AF" w:rsidRPr="00492686">
        <w:t>(</w:t>
      </w:r>
      <w:r w:rsidR="00467429">
        <w:t xml:space="preserve">that is, </w:t>
      </w:r>
      <w:r w:rsidR="00E770AF" w:rsidRPr="00492686">
        <w:t>send</w:t>
      </w:r>
      <w:r w:rsidR="00467429">
        <w:t>ing</w:t>
      </w:r>
      <w:r w:rsidR="00E770AF" w:rsidRPr="00492686">
        <w:t xml:space="preserve"> </w:t>
      </w:r>
      <w:r w:rsidR="007A24CF">
        <w:t xml:space="preserve">the SMS </w:t>
      </w:r>
      <w:r w:rsidR="00E770AF" w:rsidRPr="00492686">
        <w:t>without cost)</w:t>
      </w:r>
      <w:r w:rsidR="00E0430F">
        <w:t xml:space="preserve">. The </w:t>
      </w:r>
      <w:r w:rsidR="00351ED3">
        <w:t xml:space="preserve">industry </w:t>
      </w:r>
      <w:r w:rsidR="00E0430F">
        <w:t>has</w:t>
      </w:r>
      <w:r w:rsidR="00351ED3">
        <w:t xml:space="preserve"> until the commencement of the standard to determine the </w:t>
      </w:r>
      <w:r w:rsidR="007A24CF">
        <w:t xml:space="preserve">most effective </w:t>
      </w:r>
      <w:r w:rsidR="00351ED3">
        <w:t>way to do this.</w:t>
      </w:r>
    </w:p>
    <w:p w14:paraId="7D0EF544" w14:textId="77E5EC8D" w:rsidR="009806BA" w:rsidRPr="00492686" w:rsidRDefault="009806BA" w:rsidP="005A75D4">
      <w:pPr>
        <w:pStyle w:val="Paragraph"/>
      </w:pPr>
      <w:r>
        <w:t>The consultation did not indicate any particular issues with implementation of staff training to process pre-port verifications and it is expected that each mobile carriage service provider will take the necessary steps to ensure staff are ready to complete the new processes at the commencement of the industry standard.</w:t>
      </w:r>
    </w:p>
    <w:p w14:paraId="69B62FFF" w14:textId="7A18211F" w:rsidR="00252C3B" w:rsidRPr="002D0C4C" w:rsidRDefault="009806BA" w:rsidP="005A75D4">
      <w:pPr>
        <w:pStyle w:val="Paragraph"/>
      </w:pPr>
      <w:r w:rsidRPr="002D0C4C">
        <w:t xml:space="preserve">Customer awareness and safeguard information is expected to be </w:t>
      </w:r>
      <w:r w:rsidR="00DC7BA4">
        <w:t>straightforward</w:t>
      </w:r>
      <w:r w:rsidRPr="002D0C4C">
        <w:t xml:space="preserve"> to implement</w:t>
      </w:r>
      <w:r w:rsidR="006E22A2">
        <w:t>,</w:t>
      </w:r>
      <w:r w:rsidRPr="002D0C4C">
        <w:t xml:space="preserve"> with </w:t>
      </w:r>
      <w:r w:rsidR="00ED257F">
        <w:t>mobile carriage service providers</w:t>
      </w:r>
      <w:r w:rsidRPr="002D0C4C">
        <w:t xml:space="preserve"> </w:t>
      </w:r>
      <w:r w:rsidR="00ED257F">
        <w:t>stating</w:t>
      </w:r>
      <w:r w:rsidRPr="002D0C4C">
        <w:t xml:space="preserve"> they already cover much of the information </w:t>
      </w:r>
      <w:r w:rsidR="005C0B8F">
        <w:t xml:space="preserve">on their </w:t>
      </w:r>
      <w:r w:rsidR="009D3B63">
        <w:t>websites and</w:t>
      </w:r>
      <w:r w:rsidRPr="002D0C4C">
        <w:t xml:space="preserve"> would make updates to meet the requirements of the standard.</w:t>
      </w:r>
    </w:p>
    <w:p w14:paraId="324D6C97" w14:textId="5E6D3C62" w:rsidR="009806BA" w:rsidRPr="002D0C4C" w:rsidRDefault="00ED257F" w:rsidP="002D0C4C">
      <w:pPr>
        <w:pStyle w:val="Heading3"/>
      </w:pPr>
      <w:bookmarkStart w:id="148" w:name="_Toc32833714"/>
      <w:bookmarkStart w:id="149" w:name="_Toc33176397"/>
      <w:r>
        <w:rPr>
          <w:szCs w:val="20"/>
        </w:rPr>
        <w:t>Education campaign</w:t>
      </w:r>
      <w:bookmarkEnd w:id="148"/>
      <w:bookmarkEnd w:id="149"/>
    </w:p>
    <w:p w14:paraId="0370BB24" w14:textId="14FD44C2" w:rsidR="002F072A" w:rsidRDefault="00DC1AA2" w:rsidP="005A75D4">
      <w:pPr>
        <w:pStyle w:val="Paragraph"/>
      </w:pPr>
      <w:r w:rsidRPr="00492686">
        <w:t>The</w:t>
      </w:r>
      <w:r w:rsidR="002F072A" w:rsidRPr="00492686">
        <w:t xml:space="preserve"> ACMA has a range of regulatory tools to encourage compliance</w:t>
      </w:r>
      <w:r w:rsidR="006E22A2">
        <w:t>,</w:t>
      </w:r>
      <w:r w:rsidR="002F072A" w:rsidRPr="00492686">
        <w:t xml:space="preserve"> such as education of industry and </w:t>
      </w:r>
      <w:r w:rsidR="00081819">
        <w:t>customers</w:t>
      </w:r>
      <w:r w:rsidR="002F072A" w:rsidRPr="00492686">
        <w:t>.</w:t>
      </w:r>
      <w:r w:rsidRPr="00492686">
        <w:t xml:space="preserve"> While an education </w:t>
      </w:r>
      <w:r w:rsidR="003C2093">
        <w:t>campaign</w:t>
      </w:r>
      <w:r w:rsidR="003C2093" w:rsidRPr="00492686">
        <w:t xml:space="preserve"> </w:t>
      </w:r>
      <w:r w:rsidRPr="00492686">
        <w:t>did not have the greatest net benefit</w:t>
      </w:r>
      <w:r w:rsidR="00C718F0">
        <w:t xml:space="preserve"> as a standalone option to address mobile porting fraud</w:t>
      </w:r>
      <w:r w:rsidRPr="00492686">
        <w:t>, a</w:t>
      </w:r>
      <w:r w:rsidR="00AC3187">
        <w:t xml:space="preserve"> modest</w:t>
      </w:r>
      <w:r w:rsidRPr="00492686">
        <w:t xml:space="preserve"> education program may be used to help customers and industry</w:t>
      </w:r>
      <w:r w:rsidR="006E22A2">
        <w:t xml:space="preserve"> </w:t>
      </w:r>
      <w:r w:rsidR="006E22A2" w:rsidRPr="00492686">
        <w:t>transition</w:t>
      </w:r>
      <w:r w:rsidR="00356D98">
        <w:t xml:space="preserve">. Such a program will need to be </w:t>
      </w:r>
      <w:r w:rsidR="00921FA1">
        <w:t xml:space="preserve">circumspect on </w:t>
      </w:r>
      <w:r w:rsidR="00E06B1A">
        <w:t>any</w:t>
      </w:r>
      <w:r w:rsidR="00356D98">
        <w:t xml:space="preserve"> technical detail to avoid scammers using the information to find ways to bypass </w:t>
      </w:r>
      <w:r w:rsidR="00D77713">
        <w:t xml:space="preserve">additional </w:t>
      </w:r>
      <w:r w:rsidR="00356D98">
        <w:t>pre-port verification processes.</w:t>
      </w:r>
    </w:p>
    <w:p w14:paraId="525FC0E9" w14:textId="71787EAE" w:rsidR="00C718F0" w:rsidRDefault="00C718F0" w:rsidP="00492686">
      <w:pPr>
        <w:pStyle w:val="Heading2"/>
      </w:pPr>
      <w:bookmarkStart w:id="150" w:name="_Toc32833715"/>
      <w:bookmarkStart w:id="151" w:name="_Toc32833758"/>
      <w:bookmarkStart w:id="152" w:name="_Toc32833831"/>
      <w:bookmarkStart w:id="153" w:name="_Toc33176398"/>
      <w:r>
        <w:lastRenderedPageBreak/>
        <w:t>Evaluation</w:t>
      </w:r>
      <w:bookmarkEnd w:id="150"/>
      <w:bookmarkEnd w:id="151"/>
      <w:bookmarkEnd w:id="152"/>
      <w:bookmarkEnd w:id="153"/>
    </w:p>
    <w:p w14:paraId="0A0CC6BC" w14:textId="2E9FF4D7" w:rsidR="00D97356" w:rsidRDefault="00D33CA6" w:rsidP="005A75D4">
      <w:pPr>
        <w:pStyle w:val="Paragraph"/>
      </w:pPr>
      <w:r>
        <w:t xml:space="preserve">Through compliance activities, the ACMA will monitor and evaluate the success of the industry standard and can vary </w:t>
      </w:r>
      <w:r w:rsidR="00DF6C67">
        <w:t>it</w:t>
      </w:r>
      <w:r>
        <w:t xml:space="preserve"> should the measures prove ineffective.</w:t>
      </w:r>
    </w:p>
    <w:p w14:paraId="06A8F425" w14:textId="6564498A" w:rsidR="00D9448C" w:rsidRDefault="00A56F3B" w:rsidP="005A75D4">
      <w:pPr>
        <w:pStyle w:val="Paragraph"/>
      </w:pPr>
      <w:r>
        <w:t>The ACMA will have a</w:t>
      </w:r>
      <w:r w:rsidR="00D33CA6">
        <w:t>n active</w:t>
      </w:r>
      <w:r>
        <w:t xml:space="preserve"> compliance work program for the industry standard. This will include monitoring of complaints about mobile porting fraud received by the TIO </w:t>
      </w:r>
      <w:r w:rsidR="00D97356">
        <w:t xml:space="preserve">and escalation processes where appropriate, including </w:t>
      </w:r>
      <w:r w:rsidR="005870D1">
        <w:t xml:space="preserve">potential </w:t>
      </w:r>
      <w:r w:rsidR="00D97356">
        <w:t>investigation</w:t>
      </w:r>
      <w:r w:rsidR="00954656">
        <w:t xml:space="preserve">s </w:t>
      </w:r>
      <w:r w:rsidR="00D97356">
        <w:t>an</w:t>
      </w:r>
      <w:r w:rsidR="00954656">
        <w:t>d</w:t>
      </w:r>
      <w:r w:rsidR="00D97356">
        <w:t xml:space="preserve"> enforcement activities</w:t>
      </w:r>
      <w:r>
        <w:t xml:space="preserve">. </w:t>
      </w:r>
    </w:p>
    <w:p w14:paraId="54D659E4" w14:textId="3DBD21F1" w:rsidR="009A3C26" w:rsidRDefault="00D97356" w:rsidP="001528A3">
      <w:pPr>
        <w:pStyle w:val="Paragraph"/>
      </w:pPr>
      <w:r>
        <w:t>Additionally, t</w:t>
      </w:r>
      <w:r w:rsidR="00A56F3B">
        <w:t xml:space="preserve">he </w:t>
      </w:r>
      <w:r w:rsidR="00B01D6F">
        <w:t xml:space="preserve">newly formed </w:t>
      </w:r>
      <w:r w:rsidR="00A56F3B">
        <w:t xml:space="preserve">Scam Telecommunications Action Taskforce (STAT) will </w:t>
      </w:r>
      <w:r w:rsidR="00A30467">
        <w:t>monitor</w:t>
      </w:r>
      <w:r w:rsidR="00A56F3B">
        <w:t xml:space="preserve"> the </w:t>
      </w:r>
      <w:r w:rsidR="00FC3279">
        <w:t>impact</w:t>
      </w:r>
      <w:r w:rsidR="00A56F3B">
        <w:t xml:space="preserve"> of the standard.</w:t>
      </w:r>
      <w:r>
        <w:t xml:space="preserve"> The STAT is responsible for actions o</w:t>
      </w:r>
      <w:r w:rsidR="00D33CA6">
        <w:t>n</w:t>
      </w:r>
      <w:r>
        <w:t xml:space="preserve"> telecommunications scams following the r</w:t>
      </w:r>
      <w:r w:rsidR="00D33CA6">
        <w:t xml:space="preserve">elease of the </w:t>
      </w:r>
      <w:r w:rsidR="00D33CA6" w:rsidRPr="00BF1078">
        <w:rPr>
          <w:i/>
          <w:iCs/>
        </w:rPr>
        <w:t>Combating Scams</w:t>
      </w:r>
      <w:r w:rsidR="00D33CA6">
        <w:t xml:space="preserve"> </w:t>
      </w:r>
      <w:r w:rsidR="00A3316A">
        <w:t>a</w:t>
      </w:r>
      <w:r w:rsidR="00D33CA6">
        <w:t xml:space="preserve">ction </w:t>
      </w:r>
      <w:r w:rsidR="00177817">
        <w:t>p</w:t>
      </w:r>
      <w:r w:rsidR="00D33CA6">
        <w:t>lan</w:t>
      </w:r>
      <w:r w:rsidR="009A3C26">
        <w:rPr>
          <w:rStyle w:val="FootnoteReference"/>
        </w:rPr>
        <w:footnoteReference w:id="50"/>
      </w:r>
      <w:r w:rsidR="00754BD2">
        <w:t xml:space="preserve"> </w:t>
      </w:r>
      <w:r w:rsidR="009935CD">
        <w:t>and will be well placed to ev</w:t>
      </w:r>
      <w:r w:rsidR="00FC6BD8">
        <w:t>a</w:t>
      </w:r>
      <w:r w:rsidR="009935CD">
        <w:t>luate the success of the measures in the standard</w:t>
      </w:r>
      <w:r w:rsidR="00D33CA6">
        <w:t>.</w:t>
      </w:r>
    </w:p>
    <w:p w14:paraId="4E748FA5" w14:textId="1237E422" w:rsidR="00FF3C69" w:rsidRDefault="00D97356" w:rsidP="001528A3">
      <w:pPr>
        <w:pStyle w:val="Paragraph"/>
      </w:pPr>
      <w:r>
        <w:t xml:space="preserve">The </w:t>
      </w:r>
      <w:r w:rsidR="00A56F3B">
        <w:t>STAT is chaired by the ACMA and includes members from government (the ACCC</w:t>
      </w:r>
      <w:r w:rsidR="008438E2">
        <w:t>;</w:t>
      </w:r>
      <w:r w:rsidR="00A56F3B">
        <w:t xml:space="preserve"> the Department of Infrastructure, Transport, Regional Development and </w:t>
      </w:r>
      <w:r w:rsidR="008438E2">
        <w:t>Communications;</w:t>
      </w:r>
      <w:r w:rsidR="00A56F3B">
        <w:t xml:space="preserve"> and</w:t>
      </w:r>
      <w:r w:rsidR="008438E2">
        <w:t>,</w:t>
      </w:r>
      <w:r w:rsidR="00A56F3B">
        <w:t xml:space="preserve"> the Australian Cyber Security Centre)</w:t>
      </w:r>
      <w:r w:rsidR="008438E2">
        <w:t xml:space="preserve"> as well as </w:t>
      </w:r>
      <w:r w:rsidR="00A56F3B">
        <w:t xml:space="preserve">Communications Alliance </w:t>
      </w:r>
      <w:r w:rsidR="008438E2">
        <w:t>(</w:t>
      </w:r>
      <w:r w:rsidR="00A56F3B">
        <w:t>and its members</w:t>
      </w:r>
      <w:r w:rsidR="008438E2">
        <w:t>). O</w:t>
      </w:r>
      <w:r w:rsidR="00A56F3B">
        <w:t xml:space="preserve">ther relevant parties </w:t>
      </w:r>
      <w:r w:rsidR="008438E2">
        <w:t xml:space="preserve">such </w:t>
      </w:r>
      <w:r w:rsidR="00AF6EEF">
        <w:t>as law</w:t>
      </w:r>
      <w:r w:rsidR="00A56F3B">
        <w:t xml:space="preserve"> enforcement, government agencies </w:t>
      </w:r>
      <w:r w:rsidR="00C73C7D">
        <w:t xml:space="preserve">and </w:t>
      </w:r>
      <w:r w:rsidR="00A56F3B">
        <w:t xml:space="preserve">financial institutions with observer status </w:t>
      </w:r>
      <w:r w:rsidR="008438E2">
        <w:t xml:space="preserve">also participate </w:t>
      </w:r>
      <w:r w:rsidR="00A56F3B">
        <w:t>where issues are relevant to them.</w:t>
      </w:r>
      <w:bookmarkEnd w:id="5"/>
      <w:bookmarkEnd w:id="6"/>
      <w:bookmarkEnd w:id="7"/>
    </w:p>
    <w:sectPr w:rsidR="00FF3C69" w:rsidSect="00C77380">
      <w:headerReference w:type="even" r:id="rId36"/>
      <w:headerReference w:type="default" r:id="rId37"/>
      <w:footerReference w:type="even" r:id="rId38"/>
      <w:footerReference w:type="default" r:id="rId3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203A" w14:textId="77777777" w:rsidR="00870504" w:rsidRDefault="00870504">
      <w:r>
        <w:separator/>
      </w:r>
    </w:p>
  </w:endnote>
  <w:endnote w:type="continuationSeparator" w:id="0">
    <w:p w14:paraId="5276C750" w14:textId="77777777" w:rsidR="00870504" w:rsidRDefault="00870504">
      <w:r>
        <w:continuationSeparator/>
      </w:r>
    </w:p>
  </w:endnote>
  <w:endnote w:type="continuationNotice" w:id="1">
    <w:p w14:paraId="0C62C9E1" w14:textId="77777777" w:rsidR="00870504" w:rsidRDefault="00870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Std-B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09FE" w14:textId="77777777" w:rsidR="002F501C" w:rsidRDefault="002F501C" w:rsidP="005E250B">
    <w:pPr>
      <w:pStyle w:val="Footer"/>
      <w:jc w:val="right"/>
    </w:pPr>
    <w:r w:rsidRPr="005E250B">
      <w:rPr>
        <w:noProof/>
        <w:vertAlign w:val="subscript"/>
      </w:rPr>
      <w:drawing>
        <wp:inline distT="0" distB="0" distL="0" distR="0" wp14:anchorId="29F399C9" wp14:editId="015F6A92">
          <wp:extent cx="1066800" cy="277368"/>
          <wp:effectExtent l="0" t="0" r="0" b="0"/>
          <wp:docPr id="4" name="Picture 4"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B292" w14:textId="77777777" w:rsidR="002F501C" w:rsidRDefault="002F5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94021" w14:textId="77777777" w:rsidR="002F501C" w:rsidRDefault="002F50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2BF9" w14:textId="77777777" w:rsidR="002F501C" w:rsidRPr="00622A3B" w:rsidRDefault="002F501C"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C28DF06" w14:textId="77777777" w:rsidR="002F501C" w:rsidRPr="00A5474E" w:rsidRDefault="002F501C"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289CA" w14:textId="77777777" w:rsidR="002F501C" w:rsidRPr="00622A3B" w:rsidRDefault="002F501C"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449CAEA6" w14:textId="77777777" w:rsidR="002F501C" w:rsidRPr="00A5474E" w:rsidRDefault="002F501C"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12CD" w14:textId="77777777" w:rsidR="002F501C" w:rsidRPr="00622A3B" w:rsidRDefault="002F501C"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506137BC" w14:textId="77777777" w:rsidR="002F501C" w:rsidRPr="00A5474E" w:rsidRDefault="002F501C"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3CE4" w14:textId="77777777" w:rsidR="002F501C" w:rsidRPr="00622A3B" w:rsidRDefault="002F501C"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2279F54" w14:textId="77777777" w:rsidR="002F501C" w:rsidRPr="00A5474E" w:rsidRDefault="002F501C"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4121" w14:textId="77777777" w:rsidR="002F501C" w:rsidRPr="00622A3B" w:rsidRDefault="002F501C"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311E996B" w14:textId="77777777" w:rsidR="002F501C" w:rsidRPr="00A5474E" w:rsidRDefault="002F501C"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CBDB" w14:textId="77777777" w:rsidR="00870504" w:rsidRDefault="00870504">
      <w:r>
        <w:separator/>
      </w:r>
    </w:p>
  </w:footnote>
  <w:footnote w:type="continuationSeparator" w:id="0">
    <w:p w14:paraId="207EF6E9" w14:textId="77777777" w:rsidR="00870504" w:rsidRDefault="00870504">
      <w:r>
        <w:continuationSeparator/>
      </w:r>
    </w:p>
  </w:footnote>
  <w:footnote w:type="continuationNotice" w:id="1">
    <w:p w14:paraId="570218B7" w14:textId="77777777" w:rsidR="00870504" w:rsidRDefault="00870504">
      <w:pPr>
        <w:spacing w:after="0" w:line="240" w:lineRule="auto"/>
      </w:pPr>
    </w:p>
  </w:footnote>
  <w:footnote w:id="2">
    <w:p w14:paraId="30395A53" w14:textId="77777777" w:rsidR="002F501C" w:rsidRDefault="002F501C" w:rsidP="005245FC">
      <w:pPr>
        <w:pStyle w:val="FootnoteText"/>
      </w:pPr>
      <w:r>
        <w:rPr>
          <w:rStyle w:val="FootnoteReference"/>
        </w:rPr>
        <w:footnoteRef/>
      </w:r>
      <w:r>
        <w:t xml:space="preserve"> ACMA </w:t>
      </w:r>
      <w:hyperlink r:id="rId1" w:history="1">
        <w:r w:rsidRPr="00580ED1">
          <w:rPr>
            <w:rStyle w:val="Hyperlink"/>
            <w:i/>
            <w:iCs/>
          </w:rPr>
          <w:t>Mobile-only Australia: living without a fixed line at home</w:t>
        </w:r>
      </w:hyperlink>
      <w:r>
        <w:rPr>
          <w:i/>
          <w:iCs/>
        </w:rPr>
        <w:t xml:space="preserve">, </w:t>
      </w:r>
      <w:r w:rsidRPr="008F6A08">
        <w:t>October</w:t>
      </w:r>
      <w:r>
        <w:rPr>
          <w:i/>
          <w:iCs/>
        </w:rPr>
        <w:t xml:space="preserve"> </w:t>
      </w:r>
      <w:r w:rsidRPr="008F6A08">
        <w:t>2019</w:t>
      </w:r>
      <w:r>
        <w:t>, viewed 1 November 2019.</w:t>
      </w:r>
    </w:p>
  </w:footnote>
  <w:footnote w:id="3">
    <w:p w14:paraId="4599E200" w14:textId="77777777" w:rsidR="002F501C" w:rsidRDefault="002F501C" w:rsidP="005245FC">
      <w:pPr>
        <w:pStyle w:val="FootnoteText"/>
      </w:pPr>
      <w:r>
        <w:rPr>
          <w:rStyle w:val="FootnoteReference"/>
        </w:rPr>
        <w:footnoteRef/>
      </w:r>
      <w:r>
        <w:t xml:space="preserve"> </w:t>
      </w:r>
      <w:hyperlink r:id="rId2" w:history="1">
        <w:r>
          <w:rPr>
            <w:rStyle w:val="Hyperlink"/>
            <w:i/>
            <w:iCs/>
          </w:rPr>
          <w:t>ACCC S</w:t>
        </w:r>
        <w:r w:rsidRPr="00963D30">
          <w:rPr>
            <w:rStyle w:val="Hyperlink"/>
            <w:i/>
            <w:iCs/>
          </w:rPr>
          <w:t>ubmission to the Review of national arrangements for the protection and management of identity information</w:t>
        </w:r>
      </w:hyperlink>
      <w:r>
        <w:t>, November 2018, viewed 31 October 2019.</w:t>
      </w:r>
    </w:p>
  </w:footnote>
  <w:footnote w:id="4">
    <w:p w14:paraId="64708E8D" w14:textId="0BFEDD5C" w:rsidR="002F501C" w:rsidRDefault="002F501C" w:rsidP="008C05C1">
      <w:pPr>
        <w:pStyle w:val="FootnoteText"/>
      </w:pPr>
      <w:r>
        <w:rPr>
          <w:rStyle w:val="FootnoteReference"/>
        </w:rPr>
        <w:footnoteRef/>
      </w:r>
      <w:r>
        <w:t xml:space="preserve"> ACMA</w:t>
      </w:r>
      <w:r w:rsidR="002E63E5">
        <w:t>,</w:t>
      </w:r>
      <w:r>
        <w:t xml:space="preserve"> </w:t>
      </w:r>
      <w:hyperlink r:id="rId3" w:history="1">
        <w:r w:rsidRPr="00F47B22">
          <w:rPr>
            <w:rStyle w:val="Hyperlink"/>
            <w:i/>
            <w:iCs/>
          </w:rPr>
          <w:t>Communications report 2018</w:t>
        </w:r>
        <w:r w:rsidRPr="00F47B22">
          <w:rPr>
            <w:rStyle w:val="Hyperlink"/>
            <w:rFonts w:cs="Arial"/>
            <w:i/>
            <w:iCs/>
          </w:rPr>
          <w:t>–</w:t>
        </w:r>
        <w:r w:rsidRPr="00F47B22">
          <w:rPr>
            <w:rStyle w:val="Hyperlink"/>
            <w:i/>
            <w:iCs/>
          </w:rPr>
          <w:t>19</w:t>
        </w:r>
      </w:hyperlink>
      <w:r w:rsidR="007C1398">
        <w:rPr>
          <w:rStyle w:val="Hyperlink"/>
          <w:i/>
          <w:iCs/>
        </w:rPr>
        <w:t xml:space="preserve">, </w:t>
      </w:r>
      <w:r w:rsidR="007C1398" w:rsidRPr="00F61347">
        <w:rPr>
          <w:rStyle w:val="Hyperlink"/>
          <w:color w:val="000000" w:themeColor="text1"/>
          <w:u w:val="none"/>
        </w:rPr>
        <w:t>2020</w:t>
      </w:r>
      <w:r w:rsidRPr="00F61347">
        <w:rPr>
          <w:color w:val="000000" w:themeColor="text1"/>
        </w:rPr>
        <w:t>.</w:t>
      </w:r>
    </w:p>
  </w:footnote>
  <w:footnote w:id="5">
    <w:p w14:paraId="4D19B3D4" w14:textId="0E40A78D" w:rsidR="002F501C" w:rsidRDefault="002F501C" w:rsidP="008C05C1">
      <w:pPr>
        <w:pStyle w:val="FootnoteText"/>
      </w:pPr>
      <w:r>
        <w:rPr>
          <w:rStyle w:val="FootnoteReference"/>
        </w:rPr>
        <w:footnoteRef/>
      </w:r>
      <w:r>
        <w:t xml:space="preserve"> Communications Alliance is</w:t>
      </w:r>
      <w:r w:rsidRPr="00437E7B">
        <w:t xml:space="preserve"> the industry body for the Australian communications industry. Membership is drawn from a cross-section of the communications industry, including service providers, vendors, consultants and suppliers.</w:t>
      </w:r>
    </w:p>
  </w:footnote>
  <w:footnote w:id="6">
    <w:p w14:paraId="6E14A87A" w14:textId="77777777" w:rsidR="002F501C" w:rsidRDefault="002F501C" w:rsidP="008C05C1">
      <w:pPr>
        <w:pStyle w:val="FootnoteText"/>
      </w:pPr>
      <w:r>
        <w:rPr>
          <w:rStyle w:val="FootnoteReference"/>
        </w:rPr>
        <w:footnoteRef/>
      </w:r>
      <w:r>
        <w:t xml:space="preserve"> The codes set out obligations for carriers and carriage service providers to obtain a customer’s consent and authorisation prior to porting.</w:t>
      </w:r>
    </w:p>
  </w:footnote>
  <w:footnote w:id="7">
    <w:p w14:paraId="77C0F4F5" w14:textId="3FEAFA45" w:rsidR="002F501C" w:rsidRDefault="002F501C" w:rsidP="008C0D6F">
      <w:pPr>
        <w:pStyle w:val="FootnoteText"/>
      </w:pPr>
      <w:r>
        <w:rPr>
          <w:rStyle w:val="FootnoteReference"/>
        </w:rPr>
        <w:footnoteRef/>
      </w:r>
      <w:r>
        <w:t xml:space="preserve"> </w:t>
      </w:r>
      <w:r w:rsidRPr="00264508">
        <w:rPr>
          <w:rFonts w:cs="Arial"/>
        </w:rPr>
        <w:t xml:space="preserve">The guidance note </w:t>
      </w:r>
      <w:r>
        <w:rPr>
          <w:rFonts w:cs="Arial"/>
        </w:rPr>
        <w:t xml:space="preserve">was made available to industry in June 2018, it is </w:t>
      </w:r>
      <w:r w:rsidRPr="00264508">
        <w:rPr>
          <w:rFonts w:cs="Arial"/>
        </w:rPr>
        <w:t>not published</w:t>
      </w:r>
      <w:r>
        <w:rPr>
          <w:rFonts w:cs="Arial"/>
        </w:rPr>
        <w:t xml:space="preserve"> due to concerns about how scammers might use the information.</w:t>
      </w:r>
    </w:p>
  </w:footnote>
  <w:footnote w:id="8">
    <w:p w14:paraId="47D30B41" w14:textId="4C4CC82F" w:rsidR="002F501C" w:rsidRPr="00EA62CB" w:rsidRDefault="002F501C" w:rsidP="00520695">
      <w:pPr>
        <w:pStyle w:val="FootnoteText"/>
      </w:pPr>
      <w:r>
        <w:rPr>
          <w:rStyle w:val="FootnoteReference"/>
        </w:rPr>
        <w:footnoteRef/>
      </w:r>
      <w:r>
        <w:t xml:space="preserve"> </w:t>
      </w:r>
      <w:r>
        <w:rPr>
          <w:rFonts w:cs="Arial"/>
          <w:color w:val="222222"/>
          <w:shd w:val="clear" w:color="auto" w:fill="FFFFFF"/>
        </w:rPr>
        <w:t xml:space="preserve">When someone is issued a telephone number for </w:t>
      </w:r>
      <w:r w:rsidRPr="00EA62CB">
        <w:rPr>
          <w:rFonts w:cs="Arial"/>
          <w:color w:val="222222"/>
          <w:shd w:val="clear" w:color="auto" w:fill="FFFFFF"/>
        </w:rPr>
        <w:t xml:space="preserve">a telecommunications service, </w:t>
      </w:r>
      <w:r>
        <w:rPr>
          <w:rFonts w:cs="Arial"/>
          <w:color w:val="222222"/>
          <w:shd w:val="clear" w:color="auto" w:fill="FFFFFF"/>
        </w:rPr>
        <w:t>they</w:t>
      </w:r>
      <w:r w:rsidRPr="00EA62CB">
        <w:rPr>
          <w:rFonts w:cs="Arial"/>
          <w:color w:val="222222"/>
          <w:shd w:val="clear" w:color="auto" w:fill="FFFFFF"/>
        </w:rPr>
        <w:t xml:space="preserve"> become </w:t>
      </w:r>
      <w:r w:rsidRPr="00C3700D">
        <w:rPr>
          <w:rFonts w:cs="Arial"/>
          <w:color w:val="222222"/>
          <w:shd w:val="clear" w:color="auto" w:fill="FFFFFF"/>
        </w:rPr>
        <w:t>a '</w:t>
      </w:r>
      <w:r w:rsidRPr="004303DD">
        <w:rPr>
          <w:rFonts w:cs="Arial"/>
          <w:color w:val="222222"/>
          <w:shd w:val="clear" w:color="auto" w:fill="FFFFFF"/>
        </w:rPr>
        <w:t>r</w:t>
      </w:r>
      <w:r w:rsidRPr="00C3700D">
        <w:rPr>
          <w:rFonts w:cs="Arial"/>
          <w:color w:val="222222"/>
          <w:shd w:val="clear" w:color="auto" w:fill="FFFFFF"/>
        </w:rPr>
        <w:t>ights-of-</w:t>
      </w:r>
      <w:r>
        <w:rPr>
          <w:rFonts w:cs="Arial"/>
          <w:color w:val="222222"/>
          <w:shd w:val="clear" w:color="auto" w:fill="FFFFFF"/>
        </w:rPr>
        <w:t>u</w:t>
      </w:r>
      <w:r w:rsidRPr="00EA62CB">
        <w:rPr>
          <w:rFonts w:cs="Arial"/>
          <w:color w:val="222222"/>
          <w:shd w:val="clear" w:color="auto" w:fill="FFFFFF"/>
        </w:rPr>
        <w:t xml:space="preserve">se </w:t>
      </w:r>
      <w:r>
        <w:rPr>
          <w:rFonts w:cs="Arial"/>
          <w:color w:val="222222"/>
          <w:shd w:val="clear" w:color="auto" w:fill="FFFFFF"/>
        </w:rPr>
        <w:t>h</w:t>
      </w:r>
      <w:r w:rsidRPr="00EA62CB">
        <w:rPr>
          <w:rFonts w:cs="Arial"/>
          <w:color w:val="222222"/>
          <w:shd w:val="clear" w:color="auto" w:fill="FFFFFF"/>
        </w:rPr>
        <w:t xml:space="preserve">older' for that number. This means </w:t>
      </w:r>
      <w:r>
        <w:rPr>
          <w:rFonts w:cs="Arial"/>
          <w:color w:val="222222"/>
          <w:shd w:val="clear" w:color="auto" w:fill="FFFFFF"/>
        </w:rPr>
        <w:t>they</w:t>
      </w:r>
      <w:r w:rsidRPr="00EA62CB">
        <w:rPr>
          <w:rFonts w:cs="Arial"/>
          <w:color w:val="222222"/>
          <w:shd w:val="clear" w:color="auto" w:fill="FFFFFF"/>
        </w:rPr>
        <w:t xml:space="preserve"> have a contractual relationship with a provider to use a telecommunications service or services on that number.</w:t>
      </w:r>
    </w:p>
  </w:footnote>
  <w:footnote w:id="9">
    <w:p w14:paraId="7F236D20" w14:textId="0F1E3CE4" w:rsidR="002F501C" w:rsidRDefault="002F501C" w:rsidP="00597DBE">
      <w:pPr>
        <w:pStyle w:val="FootnoteText"/>
      </w:pPr>
      <w:r>
        <w:rPr>
          <w:rStyle w:val="FootnoteReference"/>
        </w:rPr>
        <w:footnoteRef/>
      </w:r>
      <w:r>
        <w:t xml:space="preserve"> </w:t>
      </w:r>
      <w:bookmarkStart w:id="27" w:name="_Hlk33001138"/>
      <w:r>
        <w:t>Australian Criminal Intelligence Commission, ‘</w:t>
      </w:r>
      <w:hyperlink r:id="rId4" w:history="1">
        <w:r w:rsidRPr="00F85B0F">
          <w:rPr>
            <w:rStyle w:val="Hyperlink"/>
            <w:i/>
            <w:iCs/>
          </w:rPr>
          <w:t>About Crime</w:t>
        </w:r>
      </w:hyperlink>
      <w:r>
        <w:t>’, viewed 19 February 2020</w:t>
      </w:r>
      <w:bookmarkEnd w:id="27"/>
      <w:r>
        <w:t>.</w:t>
      </w:r>
    </w:p>
  </w:footnote>
  <w:footnote w:id="10">
    <w:p w14:paraId="0D1E5279" w14:textId="588FDE88" w:rsidR="002F501C" w:rsidRDefault="002F501C" w:rsidP="00597DBE">
      <w:pPr>
        <w:pStyle w:val="FootnoteText"/>
      </w:pPr>
      <w:r>
        <w:rPr>
          <w:rStyle w:val="FootnoteReference"/>
        </w:rPr>
        <w:footnoteRef/>
      </w:r>
      <w:r>
        <w:t xml:space="preserve"> Attorney-General’s Department, ‘</w:t>
      </w:r>
      <w:hyperlink r:id="rId5" w:history="1">
        <w:r w:rsidRPr="00F85B0F">
          <w:rPr>
            <w:rStyle w:val="Hyperlink"/>
            <w:i/>
            <w:iCs/>
          </w:rPr>
          <w:t>Fraud in Australia</w:t>
        </w:r>
      </w:hyperlink>
      <w:r>
        <w:rPr>
          <w:i/>
          <w:iCs/>
        </w:rPr>
        <w:t xml:space="preserve">’, </w:t>
      </w:r>
      <w:r w:rsidRPr="00F85B0F">
        <w:t>viewed 19 February 2020</w:t>
      </w:r>
      <w:r>
        <w:t>.</w:t>
      </w:r>
    </w:p>
  </w:footnote>
  <w:footnote w:id="11">
    <w:p w14:paraId="5F4EAA85" w14:textId="411E486F" w:rsidR="002F501C" w:rsidRDefault="002F501C" w:rsidP="00597DBE">
      <w:pPr>
        <w:pStyle w:val="FootnoteText"/>
      </w:pPr>
      <w:r>
        <w:rPr>
          <w:rStyle w:val="FootnoteReference"/>
        </w:rPr>
        <w:footnoteRef/>
      </w:r>
      <w:r>
        <w:t xml:space="preserve"> Australian Criminal Intelligence Commission, ‘</w:t>
      </w:r>
      <w:hyperlink r:id="rId6" w:history="1">
        <w:r>
          <w:rPr>
            <w:rStyle w:val="Hyperlink"/>
            <w:i/>
            <w:iCs/>
          </w:rPr>
          <w:t>About Crime</w:t>
        </w:r>
      </w:hyperlink>
      <w:r>
        <w:t>’, viewed 19 February 2020.</w:t>
      </w:r>
    </w:p>
  </w:footnote>
  <w:footnote w:id="12">
    <w:p w14:paraId="67F0A3DB" w14:textId="4847047F" w:rsidR="002F501C" w:rsidRDefault="002F501C" w:rsidP="00597DBE">
      <w:pPr>
        <w:pStyle w:val="FootnoteText"/>
      </w:pPr>
      <w:r>
        <w:rPr>
          <w:rStyle w:val="FootnoteReference"/>
        </w:rPr>
        <w:footnoteRef/>
      </w:r>
      <w:r>
        <w:t xml:space="preserve"> Attorney-General’s Department, ‘</w:t>
      </w:r>
      <w:hyperlink r:id="rId7" w:history="1">
        <w:r>
          <w:rPr>
            <w:rStyle w:val="Hyperlink"/>
            <w:i/>
            <w:iCs/>
          </w:rPr>
          <w:t>Government responsibility for fraud</w:t>
        </w:r>
      </w:hyperlink>
      <w:r>
        <w:rPr>
          <w:i/>
          <w:iCs/>
        </w:rPr>
        <w:t xml:space="preserve">’, </w:t>
      </w:r>
      <w:r w:rsidRPr="00F85B0F">
        <w:t>viewed 19 February 2020</w:t>
      </w:r>
      <w:r>
        <w:t>.</w:t>
      </w:r>
    </w:p>
  </w:footnote>
  <w:footnote w:id="13">
    <w:p w14:paraId="11B8B6E1" w14:textId="5086CB11" w:rsidR="002F501C" w:rsidRDefault="002F501C">
      <w:pPr>
        <w:pStyle w:val="FootnoteText"/>
      </w:pPr>
      <w:r>
        <w:rPr>
          <w:rStyle w:val="FootnoteReference"/>
        </w:rPr>
        <w:footnoteRef/>
      </w:r>
      <w:r>
        <w:t xml:space="preserve"> </w:t>
      </w:r>
      <w:r w:rsidRPr="000F356F">
        <w:t>Two-factor identification identif</w:t>
      </w:r>
      <w:r>
        <w:t>ies</w:t>
      </w:r>
      <w:r w:rsidRPr="000F356F">
        <w:t xml:space="preserve"> a user by utilising </w:t>
      </w:r>
      <w:r w:rsidRPr="000F356F">
        <w:rPr>
          <w:i/>
          <w:iCs/>
        </w:rPr>
        <w:t>something the person knows</w:t>
      </w:r>
      <w:r w:rsidRPr="000F356F">
        <w:t xml:space="preserve"> (like a password or code sent to them) and </w:t>
      </w:r>
      <w:r w:rsidRPr="000F356F">
        <w:rPr>
          <w:i/>
          <w:iCs/>
        </w:rPr>
        <w:t>something they have</w:t>
      </w:r>
      <w:r w:rsidRPr="000F356F">
        <w:t xml:space="preserve"> (their mobile phone). The use of mobile phones for two</w:t>
      </w:r>
      <w:r>
        <w:t>-</w:t>
      </w:r>
      <w:r w:rsidRPr="000F356F">
        <w:t xml:space="preserve">factor authentication means scammers can use the ported number to access bank accounts, social media, </w:t>
      </w:r>
      <w:r>
        <w:t xml:space="preserve">online businesses, </w:t>
      </w:r>
      <w:r w:rsidRPr="000F356F">
        <w:t xml:space="preserve">government services such as </w:t>
      </w:r>
      <w:r>
        <w:t>m</w:t>
      </w:r>
      <w:r w:rsidRPr="000F356F">
        <w:t>yGov and any other account which uses the phone as a secondary security check.</w:t>
      </w:r>
    </w:p>
  </w:footnote>
  <w:footnote w:id="14">
    <w:p w14:paraId="5F9E77FA" w14:textId="162D3CD8" w:rsidR="002F501C" w:rsidRDefault="002F501C">
      <w:pPr>
        <w:pStyle w:val="FootnoteText"/>
      </w:pPr>
      <w:r>
        <w:rPr>
          <w:rStyle w:val="FootnoteReference"/>
        </w:rPr>
        <w:footnoteRef/>
      </w:r>
      <w:r>
        <w:t xml:space="preserve"> ACMA, </w:t>
      </w:r>
      <w:hyperlink r:id="rId8" w:history="1">
        <w:r w:rsidRPr="00F47B22">
          <w:rPr>
            <w:rStyle w:val="Hyperlink"/>
            <w:i/>
            <w:iCs/>
          </w:rPr>
          <w:t>Communications report 2018</w:t>
        </w:r>
        <w:r w:rsidRPr="00F47B22">
          <w:rPr>
            <w:rStyle w:val="Hyperlink"/>
            <w:rFonts w:cs="Arial"/>
            <w:i/>
            <w:iCs/>
          </w:rPr>
          <w:t>–</w:t>
        </w:r>
        <w:r w:rsidRPr="00F47B22">
          <w:rPr>
            <w:rStyle w:val="Hyperlink"/>
            <w:i/>
            <w:iCs/>
          </w:rPr>
          <w:t>19</w:t>
        </w:r>
      </w:hyperlink>
      <w:r w:rsidR="00454878">
        <w:rPr>
          <w:rStyle w:val="Hyperlink"/>
          <w:u w:val="none"/>
        </w:rPr>
        <w:t xml:space="preserve">, </w:t>
      </w:r>
      <w:r w:rsidR="00454878" w:rsidRPr="00454878">
        <w:rPr>
          <w:rStyle w:val="Hyperlink"/>
          <w:color w:val="000000" w:themeColor="text1"/>
          <w:u w:val="none"/>
        </w:rPr>
        <w:t>2020</w:t>
      </w:r>
      <w:r>
        <w:rPr>
          <w:i/>
          <w:iCs/>
        </w:rPr>
        <w:t>.</w:t>
      </w:r>
    </w:p>
  </w:footnote>
  <w:footnote w:id="15">
    <w:p w14:paraId="136C79BD" w14:textId="73A560E3" w:rsidR="002F501C" w:rsidRDefault="002F501C">
      <w:pPr>
        <w:pStyle w:val="FootnoteText"/>
      </w:pPr>
      <w:r>
        <w:rPr>
          <w:rStyle w:val="FootnoteReference"/>
        </w:rPr>
        <w:footnoteRef/>
      </w:r>
      <w:r>
        <w:t xml:space="preserve"> </w:t>
      </w:r>
      <w:r w:rsidRPr="00AC4121">
        <w:rPr>
          <w:rFonts w:cs="Arial"/>
        </w:rPr>
        <w:t>Identity Theft Resource Centre, ‘</w:t>
      </w:r>
      <w:hyperlink r:id="rId9" w:history="1">
        <w:r w:rsidRPr="00AC4121">
          <w:rPr>
            <w:rStyle w:val="Hyperlink"/>
            <w:rFonts w:cs="Arial"/>
            <w:i/>
            <w:iCs/>
          </w:rPr>
          <w:t>The Aftermath – the non-economic impacts of identity theft</w:t>
        </w:r>
      </w:hyperlink>
      <w:r w:rsidRPr="00AC4121">
        <w:rPr>
          <w:rFonts w:cs="Arial"/>
        </w:rPr>
        <w:t>’, 2018, viewed 9 January 2020</w:t>
      </w:r>
      <w:r>
        <w:rPr>
          <w:rFonts w:cs="Arial"/>
        </w:rPr>
        <w:t>.</w:t>
      </w:r>
    </w:p>
  </w:footnote>
  <w:footnote w:id="16">
    <w:p w14:paraId="3A5E552F" w14:textId="55D30AD1" w:rsidR="002F501C" w:rsidRDefault="002F501C">
      <w:pPr>
        <w:pStyle w:val="FootnoteText"/>
      </w:pPr>
      <w:r>
        <w:rPr>
          <w:rStyle w:val="FootnoteReference"/>
        </w:rPr>
        <w:footnoteRef/>
      </w:r>
      <w:r>
        <w:t xml:space="preserve"> ACMA, </w:t>
      </w:r>
      <w:hyperlink r:id="rId10" w:history="1">
        <w:r w:rsidRPr="00006040">
          <w:rPr>
            <w:rStyle w:val="Hyperlink"/>
            <w:i/>
          </w:rPr>
          <w:t>Unsolicited calls in Australia: Consumer experience,</w:t>
        </w:r>
      </w:hyperlink>
      <w:r>
        <w:t xml:space="preserve"> 2018, viewed 17 December 2019.</w:t>
      </w:r>
    </w:p>
  </w:footnote>
  <w:footnote w:id="17">
    <w:p w14:paraId="20D3AB9D" w14:textId="4DC33F52" w:rsidR="002F501C" w:rsidRDefault="002F501C">
      <w:pPr>
        <w:pStyle w:val="FootnoteText"/>
      </w:pPr>
      <w:r>
        <w:rPr>
          <w:rStyle w:val="FootnoteReference"/>
        </w:rPr>
        <w:footnoteRef/>
      </w:r>
      <w:r>
        <w:t xml:space="preserve"> The ACCC reports losses to scams will exceed $532 million by the end of 2019. Scamwatch, </w:t>
      </w:r>
      <w:hyperlink r:id="rId11" w:history="1">
        <w:r w:rsidRPr="00881336">
          <w:rPr>
            <w:rStyle w:val="Hyperlink"/>
          </w:rPr>
          <w:t>‘Record losses expected as scammers target Australians’</w:t>
        </w:r>
      </w:hyperlink>
      <w:r>
        <w:t xml:space="preserve">, 2019, viewed 17 December 2019.  </w:t>
      </w:r>
    </w:p>
  </w:footnote>
  <w:footnote w:id="18">
    <w:p w14:paraId="6D104A04" w14:textId="6C3448D2" w:rsidR="002F501C" w:rsidRDefault="002F501C">
      <w:pPr>
        <w:pStyle w:val="FootnoteText"/>
      </w:pPr>
      <w:r>
        <w:rPr>
          <w:rStyle w:val="FootnoteReference"/>
        </w:rPr>
        <w:footnoteRef/>
      </w:r>
      <w:r>
        <w:t xml:space="preserve"> </w:t>
      </w:r>
      <w:r w:rsidRPr="00295823">
        <w:t>ACCC</w:t>
      </w:r>
      <w:r w:rsidR="00A3316A">
        <w:t>,</w:t>
      </w:r>
      <w:r w:rsidRPr="00295823">
        <w:t xml:space="preserve"> </w:t>
      </w:r>
      <w:r>
        <w:t>Consultation s</w:t>
      </w:r>
      <w:r w:rsidRPr="00295823">
        <w:t>ubmission</w:t>
      </w:r>
      <w:r>
        <w:t xml:space="preserve"> 2020.</w:t>
      </w:r>
    </w:p>
  </w:footnote>
  <w:footnote w:id="19">
    <w:p w14:paraId="33FC9DAF" w14:textId="4941717C" w:rsidR="002F501C" w:rsidRPr="00AC4121" w:rsidRDefault="002F501C" w:rsidP="00DA2DE6">
      <w:pPr>
        <w:pStyle w:val="FootnoteText"/>
        <w:rPr>
          <w:rFonts w:cs="Arial"/>
        </w:rPr>
      </w:pPr>
      <w:r w:rsidRPr="00AC4121">
        <w:rPr>
          <w:rStyle w:val="FootnoteReference"/>
          <w:rFonts w:cs="Arial"/>
        </w:rPr>
        <w:footnoteRef/>
      </w:r>
      <w:r w:rsidRPr="00AC4121">
        <w:rPr>
          <w:rFonts w:cs="Arial"/>
        </w:rPr>
        <w:t xml:space="preserve"> Attorney-General</w:t>
      </w:r>
      <w:r>
        <w:rPr>
          <w:rFonts w:cs="Arial"/>
        </w:rPr>
        <w:t>’s Department,</w:t>
      </w:r>
      <w:r w:rsidRPr="00AC4121">
        <w:rPr>
          <w:rFonts w:cs="Arial"/>
        </w:rPr>
        <w:t xml:space="preserve"> </w:t>
      </w:r>
      <w:r w:rsidRPr="00AC4121">
        <w:rPr>
          <w:rFonts w:cs="Arial"/>
          <w:i/>
          <w:iCs/>
        </w:rPr>
        <w:t>Identity crime and misuse in Australia</w:t>
      </w:r>
      <w:r w:rsidRPr="00AC4121">
        <w:rPr>
          <w:rFonts w:cs="Arial"/>
        </w:rPr>
        <w:t xml:space="preserve"> 2016</w:t>
      </w:r>
      <w:r>
        <w:rPr>
          <w:rFonts w:cs="Arial"/>
        </w:rPr>
        <w:t>.</w:t>
      </w:r>
    </w:p>
  </w:footnote>
  <w:footnote w:id="20">
    <w:p w14:paraId="4D67C4DC" w14:textId="25435A8D" w:rsidR="002F501C" w:rsidRDefault="002F501C" w:rsidP="00FD51A6">
      <w:pPr>
        <w:pStyle w:val="FootnoteText"/>
      </w:pPr>
      <w:r>
        <w:rPr>
          <w:rStyle w:val="FootnoteReference"/>
        </w:rPr>
        <w:footnoteRef/>
      </w:r>
      <w:r>
        <w:t xml:space="preserve"> 35.82 million mobile services in operation as of June 2019 as reported in ACMA </w:t>
      </w:r>
      <w:hyperlink r:id="rId12" w:history="1">
        <w:r w:rsidRPr="00F47B22">
          <w:rPr>
            <w:rStyle w:val="Hyperlink"/>
            <w:i/>
            <w:iCs/>
          </w:rPr>
          <w:t xml:space="preserve">Communications report </w:t>
        </w:r>
        <w:r w:rsidRPr="00F47B22">
          <w:rPr>
            <w:rStyle w:val="Hyperlink"/>
            <w:i/>
          </w:rPr>
          <w:t>2018–19</w:t>
        </w:r>
      </w:hyperlink>
      <w:r w:rsidR="00F52B02">
        <w:rPr>
          <w:rStyle w:val="Hyperlink"/>
          <w:iCs/>
          <w:u w:val="none"/>
        </w:rPr>
        <w:t xml:space="preserve">, </w:t>
      </w:r>
      <w:r w:rsidR="00F52B02" w:rsidRPr="001F7815">
        <w:rPr>
          <w:rStyle w:val="Hyperlink"/>
          <w:iCs/>
          <w:color w:val="000000" w:themeColor="text1"/>
          <w:u w:val="none"/>
        </w:rPr>
        <w:t>2020</w:t>
      </w:r>
      <w:r>
        <w:t>.</w:t>
      </w:r>
    </w:p>
  </w:footnote>
  <w:footnote w:id="21">
    <w:p w14:paraId="51ADAD8E" w14:textId="2DD7E56D" w:rsidR="002F501C" w:rsidRDefault="002F501C">
      <w:pPr>
        <w:pStyle w:val="FootnoteText"/>
      </w:pPr>
      <w:r>
        <w:rPr>
          <w:rStyle w:val="FootnoteReference"/>
        </w:rPr>
        <w:footnoteRef/>
      </w:r>
      <w:r>
        <w:t xml:space="preserve"> IDCARE is Australia and New Zealand’s</w:t>
      </w:r>
      <w:r>
        <w:rPr>
          <w:rFonts w:cs="Arial"/>
          <w:color w:val="222222"/>
          <w:shd w:val="clear" w:color="auto" w:fill="FFFFFF"/>
        </w:rPr>
        <w:t xml:space="preserve"> national identity and cyber support service—formed to address a critical support gap for individuals confronting identity and cyber security concerns.</w:t>
      </w:r>
    </w:p>
  </w:footnote>
  <w:footnote w:id="22">
    <w:p w14:paraId="16D33ADD" w14:textId="5E2FA54C" w:rsidR="002F501C" w:rsidRDefault="002F501C">
      <w:pPr>
        <w:pStyle w:val="FootnoteText"/>
      </w:pPr>
      <w:r>
        <w:rPr>
          <w:rStyle w:val="FootnoteReference"/>
        </w:rPr>
        <w:footnoteRef/>
      </w:r>
      <w:r>
        <w:t xml:space="preserve"> </w:t>
      </w:r>
      <w:r w:rsidRPr="000A138B">
        <w:t>IDCARE</w:t>
      </w:r>
      <w:r>
        <w:t>,</w:t>
      </w:r>
      <w:r w:rsidRPr="000A138B">
        <w:t xml:space="preserve"> </w:t>
      </w:r>
      <w:r>
        <w:t>‘</w:t>
      </w:r>
      <w:hyperlink r:id="rId13" w:history="1">
        <w:r w:rsidRPr="000A138B">
          <w:rPr>
            <w:rStyle w:val="Hyperlink"/>
            <w:i/>
            <w:iCs/>
          </w:rPr>
          <w:t>Unauthorised Mobile Phone Porting Events</w:t>
        </w:r>
      </w:hyperlink>
      <w:r>
        <w:rPr>
          <w:rStyle w:val="Hyperlink"/>
          <w:i/>
          <w:iCs/>
        </w:rPr>
        <w:t>'</w:t>
      </w:r>
      <w:r w:rsidRPr="000A138B">
        <w:rPr>
          <w:u w:val="single"/>
        </w:rPr>
        <w:t xml:space="preserve">, </w:t>
      </w:r>
      <w:r w:rsidRPr="00CA3969">
        <w:t>IDCARE Insights bulletin 2018</w:t>
      </w:r>
      <w:r>
        <w:t>.</w:t>
      </w:r>
    </w:p>
  </w:footnote>
  <w:footnote w:id="23">
    <w:p w14:paraId="68047E00" w14:textId="435BA50E" w:rsidR="002F501C" w:rsidRDefault="002F501C" w:rsidP="001E26CC">
      <w:pPr>
        <w:pStyle w:val="FootnoteText"/>
      </w:pPr>
      <w:r>
        <w:rPr>
          <w:rStyle w:val="FootnoteReference"/>
        </w:rPr>
        <w:footnoteRef/>
      </w:r>
      <w:r>
        <w:t xml:space="preserve"> ibid.</w:t>
      </w:r>
    </w:p>
  </w:footnote>
  <w:footnote w:id="24">
    <w:p w14:paraId="057AE616" w14:textId="4FAD79CC" w:rsidR="002F501C" w:rsidRDefault="002F501C" w:rsidP="00FF6A11">
      <w:pPr>
        <w:pStyle w:val="FootnoteText"/>
      </w:pPr>
      <w:r>
        <w:rPr>
          <w:rStyle w:val="FootnoteReference"/>
        </w:rPr>
        <w:footnoteRef/>
      </w:r>
      <w:r>
        <w:t xml:space="preserve"> Figure based on 2,068 fraud complaints / 3 * $11,368 = $7.8m.</w:t>
      </w:r>
    </w:p>
  </w:footnote>
  <w:footnote w:id="25">
    <w:p w14:paraId="2C0D2C81" w14:textId="01AE8F30" w:rsidR="002F501C" w:rsidRDefault="002F501C" w:rsidP="00BC2F03">
      <w:pPr>
        <w:pStyle w:val="FootnoteText"/>
      </w:pPr>
      <w:r>
        <w:rPr>
          <w:rStyle w:val="FootnoteReference"/>
        </w:rPr>
        <w:footnoteRef/>
      </w:r>
      <w:r>
        <w:t xml:space="preserve"> ANZ policy </w:t>
      </w:r>
      <w:hyperlink r:id="rId14" w:history="1">
        <w:r w:rsidRPr="00EA58FA">
          <w:rPr>
            <w:rStyle w:val="Hyperlink"/>
          </w:rPr>
          <w:t>https://www.anz.com.au/security/account-protection/fraud-money-back-guarantee/</w:t>
        </w:r>
      </w:hyperlink>
      <w:r>
        <w:t xml:space="preserve"> </w:t>
      </w:r>
    </w:p>
  </w:footnote>
  <w:footnote w:id="26">
    <w:p w14:paraId="4BF50507" w14:textId="0DE03B17" w:rsidR="002F501C" w:rsidRDefault="002F501C" w:rsidP="00267CD6">
      <w:pPr>
        <w:pStyle w:val="FootnoteText"/>
      </w:pPr>
      <w:r w:rsidRPr="00295823">
        <w:rPr>
          <w:rStyle w:val="FootnoteReference"/>
        </w:rPr>
        <w:footnoteRef/>
      </w:r>
      <w:r w:rsidRPr="00295823">
        <w:t xml:space="preserve"> ACCC </w:t>
      </w:r>
      <w:r>
        <w:t>Consultation s</w:t>
      </w:r>
      <w:r w:rsidRPr="00295823">
        <w:t>ubmission</w:t>
      </w:r>
      <w:r>
        <w:t xml:space="preserve"> 2020</w:t>
      </w:r>
      <w:r w:rsidR="00BB7099">
        <w:t>.</w:t>
      </w:r>
    </w:p>
  </w:footnote>
  <w:footnote w:id="27">
    <w:p w14:paraId="3E14FDAD" w14:textId="090D528A" w:rsidR="002F501C" w:rsidRDefault="002F501C">
      <w:pPr>
        <w:pStyle w:val="FootnoteText"/>
      </w:pPr>
      <w:r>
        <w:rPr>
          <w:rStyle w:val="FootnoteReference"/>
        </w:rPr>
        <w:footnoteRef/>
      </w:r>
      <w:r>
        <w:t xml:space="preserve"> ibid.</w:t>
      </w:r>
    </w:p>
  </w:footnote>
  <w:footnote w:id="28">
    <w:p w14:paraId="282A2585" w14:textId="5F2433D9" w:rsidR="002F501C" w:rsidRDefault="002F501C">
      <w:pPr>
        <w:pStyle w:val="FootnoteText"/>
      </w:pPr>
      <w:r>
        <w:rPr>
          <w:rStyle w:val="FootnoteReference"/>
        </w:rPr>
        <w:footnoteRef/>
      </w:r>
      <w:r>
        <w:t xml:space="preserve"> ibid.</w:t>
      </w:r>
    </w:p>
  </w:footnote>
  <w:footnote w:id="29">
    <w:p w14:paraId="250FB68D" w14:textId="49DA8E6A" w:rsidR="002F501C" w:rsidRDefault="002F501C">
      <w:pPr>
        <w:pStyle w:val="FootnoteText"/>
      </w:pPr>
      <w:r>
        <w:rPr>
          <w:rStyle w:val="FootnoteReference"/>
        </w:rPr>
        <w:footnoteRef/>
      </w:r>
      <w:r>
        <w:t xml:space="preserve"> Figure based on a 30 per cent increase on annual cases reported to ACMA (2068 cases). </w:t>
      </w:r>
    </w:p>
  </w:footnote>
  <w:footnote w:id="30">
    <w:p w14:paraId="23C05F06" w14:textId="0AE6031F" w:rsidR="002F501C" w:rsidRDefault="002F501C">
      <w:pPr>
        <w:pStyle w:val="FootnoteText"/>
      </w:pPr>
      <w:r>
        <w:rPr>
          <w:rStyle w:val="FootnoteReference"/>
        </w:rPr>
        <w:footnoteRef/>
      </w:r>
      <w:r>
        <w:t xml:space="preserve"> Figure based on 2,688 fraud complaints /3 * $11,368 *1.2 = $12.2m.</w:t>
      </w:r>
    </w:p>
  </w:footnote>
  <w:footnote w:id="31">
    <w:p w14:paraId="762662C2" w14:textId="047CD401" w:rsidR="002F501C" w:rsidRPr="00AC4121" w:rsidRDefault="002F501C" w:rsidP="00BC2F03">
      <w:pPr>
        <w:pStyle w:val="FootnoteText"/>
        <w:rPr>
          <w:rFonts w:cs="Arial"/>
        </w:rPr>
      </w:pPr>
      <w:r w:rsidRPr="00AC4121">
        <w:rPr>
          <w:rStyle w:val="FootnoteReference"/>
          <w:rFonts w:cs="Arial"/>
        </w:rPr>
        <w:footnoteRef/>
      </w:r>
      <w:r w:rsidRPr="00AC4121">
        <w:rPr>
          <w:rFonts w:cs="Arial"/>
        </w:rPr>
        <w:t xml:space="preserve"> </w:t>
      </w:r>
      <w:hyperlink r:id="rId15" w:history="1">
        <w:r w:rsidRPr="00AC4121">
          <w:rPr>
            <w:rStyle w:val="Hyperlink"/>
            <w:rFonts w:eastAsiaTheme="minorHAnsi" w:cs="Arial"/>
            <w:lang w:eastAsia="en-US"/>
          </w:rPr>
          <w:t>Australian Institute of Criminology</w:t>
        </w:r>
      </w:hyperlink>
      <w:r w:rsidRPr="00AC4121">
        <w:rPr>
          <w:rStyle w:val="Hyperlink"/>
          <w:rFonts w:eastAsiaTheme="minorHAnsi" w:cs="Arial"/>
          <w:lang w:eastAsia="en-US"/>
        </w:rPr>
        <w:t xml:space="preserve">, </w:t>
      </w:r>
      <w:r w:rsidRPr="00AC4121">
        <w:rPr>
          <w:rFonts w:cs="Arial"/>
          <w:i/>
          <w:iCs/>
        </w:rPr>
        <w:t>Identity crime and misuse in Australia 2017</w:t>
      </w:r>
      <w:r>
        <w:rPr>
          <w:rFonts w:cs="Arial"/>
          <w:i/>
          <w:iCs/>
        </w:rPr>
        <w:t>.</w:t>
      </w:r>
    </w:p>
    <w:p w14:paraId="4A3874F3" w14:textId="43DDE063" w:rsidR="002F501C" w:rsidRPr="00AC4121" w:rsidRDefault="002F501C" w:rsidP="00BC2F03">
      <w:pPr>
        <w:pStyle w:val="FootnoteText"/>
        <w:rPr>
          <w:rFonts w:cs="Arial"/>
        </w:rPr>
      </w:pPr>
      <w:r w:rsidRPr="00AC4121">
        <w:rPr>
          <w:rStyle w:val="FootnoteReference"/>
          <w:rFonts w:cs="Arial"/>
        </w:rPr>
        <w:footnoteRef/>
      </w:r>
      <w:r w:rsidRPr="00AC4121">
        <w:rPr>
          <w:rFonts w:cs="Arial"/>
        </w:rPr>
        <w:t xml:space="preserve"> IDCARE, ‘</w:t>
      </w:r>
      <w:hyperlink r:id="rId16" w:history="1">
        <w:r w:rsidRPr="00AC4121">
          <w:rPr>
            <w:rStyle w:val="Hyperlink"/>
            <w:rFonts w:cs="Arial"/>
            <w:i/>
            <w:iCs/>
          </w:rPr>
          <w:t>Unauthorised Mobile Phone Porting Events</w:t>
        </w:r>
      </w:hyperlink>
      <w:r w:rsidRPr="00AC4121">
        <w:rPr>
          <w:rStyle w:val="Hyperlink"/>
          <w:rFonts w:cs="Arial"/>
          <w:i/>
          <w:iCs/>
        </w:rPr>
        <w:t>’</w:t>
      </w:r>
      <w:r w:rsidRPr="00AC4121">
        <w:rPr>
          <w:rFonts w:cs="Arial"/>
          <w:u w:val="single"/>
        </w:rPr>
        <w:t xml:space="preserve">, </w:t>
      </w:r>
      <w:r w:rsidRPr="00AC4121">
        <w:rPr>
          <w:rFonts w:cs="Arial"/>
        </w:rPr>
        <w:t>IDCARE Insights bulletin 2018</w:t>
      </w:r>
      <w:r>
        <w:rPr>
          <w:rFonts w:cs="Arial"/>
        </w:rPr>
        <w:t>.</w:t>
      </w:r>
    </w:p>
  </w:footnote>
  <w:footnote w:id="32">
    <w:p w14:paraId="66A96793" w14:textId="31F60E62" w:rsidR="002F501C" w:rsidRPr="00AC4121" w:rsidRDefault="002F501C" w:rsidP="006576A4">
      <w:pPr>
        <w:pStyle w:val="FootnoteText"/>
        <w:rPr>
          <w:rFonts w:cs="Arial"/>
        </w:rPr>
      </w:pPr>
      <w:r w:rsidRPr="00AC4121">
        <w:rPr>
          <w:rStyle w:val="FootnoteReference"/>
          <w:rFonts w:cs="Arial"/>
        </w:rPr>
        <w:footnoteRef/>
      </w:r>
      <w:r w:rsidRPr="00AC4121">
        <w:rPr>
          <w:rFonts w:cs="Arial"/>
        </w:rPr>
        <w:t xml:space="preserve"> Australian Institute of Criminology, ‘</w:t>
      </w:r>
      <w:hyperlink r:id="rId17" w:history="1">
        <w:r w:rsidRPr="00AC4121">
          <w:rPr>
            <w:rStyle w:val="Hyperlink"/>
            <w:rFonts w:cs="Arial"/>
            <w:i/>
            <w:iCs/>
          </w:rPr>
          <w:t>Identity crime and misuse in Australia’</w:t>
        </w:r>
      </w:hyperlink>
      <w:r w:rsidRPr="00AC4121">
        <w:rPr>
          <w:rFonts w:cs="Arial"/>
        </w:rPr>
        <w:t>, 2017, viewed 9 January 2020,</w:t>
      </w:r>
      <w:r>
        <w:rPr>
          <w:rFonts w:cs="Arial"/>
        </w:rPr>
        <w:t xml:space="preserve"> page</w:t>
      </w:r>
      <w:r w:rsidRPr="00AC4121">
        <w:rPr>
          <w:rFonts w:cs="Arial"/>
        </w:rPr>
        <w:t xml:space="preserve"> xi</w:t>
      </w:r>
      <w:r>
        <w:rPr>
          <w:rFonts w:cs="Arial"/>
        </w:rPr>
        <w:t>.</w:t>
      </w:r>
    </w:p>
  </w:footnote>
  <w:footnote w:id="33">
    <w:p w14:paraId="027B05A1" w14:textId="7E512A96" w:rsidR="002F501C" w:rsidRPr="00AC4121" w:rsidRDefault="002F501C" w:rsidP="006542AF">
      <w:pPr>
        <w:pStyle w:val="FootnoteText"/>
        <w:rPr>
          <w:rFonts w:cs="Arial"/>
          <w:highlight w:val="yellow"/>
        </w:rPr>
      </w:pPr>
      <w:r w:rsidRPr="00AC4121">
        <w:rPr>
          <w:rStyle w:val="FootnoteReference"/>
          <w:rFonts w:cs="Arial"/>
        </w:rPr>
        <w:footnoteRef/>
      </w:r>
      <w:r w:rsidRPr="00AC4121">
        <w:rPr>
          <w:rFonts w:cs="Arial"/>
        </w:rPr>
        <w:t xml:space="preserve"> </w:t>
      </w:r>
      <w:r>
        <w:rPr>
          <w:rFonts w:cs="Arial"/>
        </w:rPr>
        <w:t>ibid</w:t>
      </w:r>
      <w:r w:rsidRPr="00AC4121">
        <w:rPr>
          <w:rFonts w:cs="Arial"/>
        </w:rPr>
        <w:t>.</w:t>
      </w:r>
      <w:bookmarkStart w:id="87" w:name="_Hlk30668541"/>
    </w:p>
    <w:bookmarkEnd w:id="87"/>
  </w:footnote>
  <w:footnote w:id="34">
    <w:p w14:paraId="2E9DC784" w14:textId="2489DA3B" w:rsidR="002F501C" w:rsidRPr="00AC4121" w:rsidRDefault="002F501C">
      <w:pPr>
        <w:pStyle w:val="FootnoteText"/>
        <w:rPr>
          <w:rFonts w:cs="Arial"/>
        </w:rPr>
      </w:pPr>
      <w:r w:rsidRPr="00AC4121">
        <w:rPr>
          <w:rStyle w:val="FootnoteReference"/>
          <w:rFonts w:cs="Arial"/>
        </w:rPr>
        <w:footnoteRef/>
      </w:r>
      <w:r w:rsidRPr="00AC4121">
        <w:rPr>
          <w:rFonts w:cs="Arial"/>
        </w:rPr>
        <w:t xml:space="preserve"> Identity Theft Resource Centre, ‘</w:t>
      </w:r>
      <w:hyperlink r:id="rId18" w:history="1">
        <w:r w:rsidRPr="00AC4121">
          <w:rPr>
            <w:rStyle w:val="Hyperlink"/>
            <w:rFonts w:cs="Arial"/>
            <w:i/>
            <w:iCs/>
          </w:rPr>
          <w:t>The Aftermath – the non-economic impacts of identity theft</w:t>
        </w:r>
      </w:hyperlink>
      <w:r w:rsidRPr="00AC4121">
        <w:rPr>
          <w:rFonts w:cs="Arial"/>
        </w:rPr>
        <w:t>’, 2018, viewed 9 January 2020</w:t>
      </w:r>
      <w:r>
        <w:rPr>
          <w:rFonts w:cs="Arial"/>
        </w:rPr>
        <w:t>.</w:t>
      </w:r>
    </w:p>
  </w:footnote>
  <w:footnote w:id="35">
    <w:p w14:paraId="77D8340A" w14:textId="3F546A96" w:rsidR="002F501C" w:rsidRDefault="002F501C">
      <w:pPr>
        <w:pStyle w:val="FootnoteText"/>
      </w:pPr>
      <w:r w:rsidRPr="00AC4121">
        <w:rPr>
          <w:rStyle w:val="FootnoteReference"/>
          <w:rFonts w:cs="Arial"/>
        </w:rPr>
        <w:footnoteRef/>
      </w:r>
      <w:r w:rsidRPr="00AC4121">
        <w:rPr>
          <w:rFonts w:cs="Arial"/>
        </w:rPr>
        <w:t xml:space="preserve"> Australian Institute of Criminology, ‘</w:t>
      </w:r>
      <w:hyperlink r:id="rId19" w:history="1">
        <w:r w:rsidRPr="00AC4121">
          <w:rPr>
            <w:rStyle w:val="Hyperlink"/>
            <w:rFonts w:cs="Arial"/>
            <w:i/>
            <w:iCs/>
          </w:rPr>
          <w:t>Identity crime and misuse in Australia’</w:t>
        </w:r>
      </w:hyperlink>
      <w:r w:rsidRPr="00AC4121">
        <w:rPr>
          <w:rFonts w:cs="Arial"/>
        </w:rPr>
        <w:t>, 2017, viewed 9 January 2020, page xiv</w:t>
      </w:r>
      <w:r>
        <w:rPr>
          <w:rFonts w:cs="Arial"/>
        </w:rPr>
        <w:t>.</w:t>
      </w:r>
    </w:p>
  </w:footnote>
  <w:footnote w:id="36">
    <w:p w14:paraId="0C3BFBD3" w14:textId="77777777" w:rsidR="002F501C" w:rsidRDefault="002F501C">
      <w:pPr>
        <w:pStyle w:val="FootnoteText"/>
      </w:pPr>
      <w:r>
        <w:rPr>
          <w:rStyle w:val="FootnoteReference"/>
        </w:rPr>
        <w:footnoteRef/>
      </w:r>
      <w:r>
        <w:t xml:space="preserve"> Figure based on 538</w:t>
      </w:r>
      <w:r w:rsidRPr="003204DC">
        <w:t xml:space="preserve"> fraud complaints /3 * $11,3</w:t>
      </w:r>
      <w:r>
        <w:t>68</w:t>
      </w:r>
      <w:r w:rsidRPr="003204DC">
        <w:t xml:space="preserve"> *</w:t>
      </w:r>
    </w:p>
    <w:p w14:paraId="1E329068" w14:textId="0D608DEA" w:rsidR="002F501C" w:rsidRDefault="002F501C">
      <w:pPr>
        <w:pStyle w:val="FootnoteText"/>
      </w:pPr>
      <w:r>
        <w:t>1.2</w:t>
      </w:r>
      <w:r w:rsidRPr="003204DC">
        <w:t xml:space="preserve"> = </w:t>
      </w:r>
      <w:r>
        <w:t>~</w:t>
      </w:r>
      <w:r w:rsidRPr="003204DC">
        <w:t>$</w:t>
      </w:r>
      <w:r>
        <w:t>2.5</w:t>
      </w:r>
      <w:r w:rsidRPr="003204DC">
        <w:t>m.</w:t>
      </w:r>
    </w:p>
  </w:footnote>
  <w:footnote w:id="37">
    <w:p w14:paraId="616BDFD8" w14:textId="0CA4C4CD" w:rsidR="002F501C" w:rsidRDefault="002F501C">
      <w:pPr>
        <w:pStyle w:val="FootnoteText"/>
      </w:pPr>
      <w:r>
        <w:rPr>
          <w:rStyle w:val="FootnoteReference"/>
        </w:rPr>
        <w:footnoteRef/>
      </w:r>
      <w:r>
        <w:t xml:space="preserve"> Figure based on 806</w:t>
      </w:r>
      <w:r w:rsidRPr="003204DC">
        <w:t xml:space="preserve"> fraud complaints /3 * $11,3</w:t>
      </w:r>
      <w:r>
        <w:t>68</w:t>
      </w:r>
      <w:r w:rsidRPr="003204DC">
        <w:t xml:space="preserve"> *</w:t>
      </w:r>
      <w:r>
        <w:t>1.2</w:t>
      </w:r>
      <w:r w:rsidRPr="003204DC">
        <w:t xml:space="preserve"> = </w:t>
      </w:r>
      <w:r>
        <w:t>~</w:t>
      </w:r>
      <w:r w:rsidRPr="003204DC">
        <w:t>$</w:t>
      </w:r>
      <w:r>
        <w:t>3.7</w:t>
      </w:r>
      <w:r w:rsidRPr="003204DC">
        <w:t>m.</w:t>
      </w:r>
    </w:p>
  </w:footnote>
  <w:footnote w:id="38">
    <w:p w14:paraId="2D81809D" w14:textId="0BE01DCF" w:rsidR="002F501C" w:rsidRDefault="002F501C">
      <w:pPr>
        <w:pStyle w:val="FootnoteText"/>
      </w:pPr>
      <w:r>
        <w:rPr>
          <w:rStyle w:val="FootnoteReference"/>
        </w:rPr>
        <w:footnoteRef/>
      </w:r>
      <w:r>
        <w:t xml:space="preserve"> Figure based on 538</w:t>
      </w:r>
      <w:r w:rsidRPr="003204DC">
        <w:t xml:space="preserve"> fraud complaints</w:t>
      </w:r>
      <w:r>
        <w:t xml:space="preserve"> * 32 hours * $32 = ~$0.55m.</w:t>
      </w:r>
    </w:p>
  </w:footnote>
  <w:footnote w:id="39">
    <w:p w14:paraId="63C2114D" w14:textId="2FE43C48" w:rsidR="002F501C" w:rsidRDefault="002F501C">
      <w:pPr>
        <w:pStyle w:val="FootnoteText"/>
      </w:pPr>
      <w:r>
        <w:rPr>
          <w:rStyle w:val="FootnoteReference"/>
        </w:rPr>
        <w:footnoteRef/>
      </w:r>
      <w:r>
        <w:t xml:space="preserve"> Figure based on 806</w:t>
      </w:r>
      <w:r w:rsidRPr="003204DC">
        <w:t xml:space="preserve"> fraud complaints</w:t>
      </w:r>
      <w:r>
        <w:t xml:space="preserve"> * 32 hours * $32 = $0.825m.</w:t>
      </w:r>
    </w:p>
  </w:footnote>
  <w:footnote w:id="40">
    <w:p w14:paraId="5C2A49DB" w14:textId="5F6703C9" w:rsidR="002F501C" w:rsidRDefault="002F501C">
      <w:pPr>
        <w:pStyle w:val="FootnoteText"/>
      </w:pPr>
      <w:r>
        <w:rPr>
          <w:rStyle w:val="FootnoteReference"/>
        </w:rPr>
        <w:footnoteRef/>
      </w:r>
      <w:r>
        <w:t xml:space="preserve"> Figure based on 1882</w:t>
      </w:r>
      <w:r w:rsidRPr="003204DC">
        <w:t xml:space="preserve"> fraud complaints /3 * $11,3</w:t>
      </w:r>
      <w:r>
        <w:t>68</w:t>
      </w:r>
      <w:r w:rsidRPr="003204DC">
        <w:t xml:space="preserve"> *</w:t>
      </w:r>
      <w:r>
        <w:t>1.2</w:t>
      </w:r>
      <w:r w:rsidRPr="003204DC">
        <w:t xml:space="preserve"> = </w:t>
      </w:r>
      <w:r>
        <w:t>~</w:t>
      </w:r>
      <w:r w:rsidRPr="003204DC">
        <w:t>$</w:t>
      </w:r>
      <w:r>
        <w:t>8.6</w:t>
      </w:r>
      <w:r w:rsidRPr="003204DC">
        <w:t>m.</w:t>
      </w:r>
    </w:p>
  </w:footnote>
  <w:footnote w:id="41">
    <w:p w14:paraId="11AF9DB0" w14:textId="0DC6302F" w:rsidR="002F501C" w:rsidRDefault="002F501C">
      <w:pPr>
        <w:pStyle w:val="FootnoteText"/>
      </w:pPr>
      <w:r>
        <w:rPr>
          <w:rStyle w:val="FootnoteReference"/>
        </w:rPr>
        <w:footnoteRef/>
      </w:r>
      <w:r>
        <w:t xml:space="preserve"> Figure based on 2150</w:t>
      </w:r>
      <w:r w:rsidRPr="003204DC">
        <w:t xml:space="preserve"> fraud complaints /3 * $11,3</w:t>
      </w:r>
      <w:r>
        <w:t>68</w:t>
      </w:r>
      <w:r w:rsidRPr="003204DC">
        <w:t xml:space="preserve"> *</w:t>
      </w:r>
      <w:r>
        <w:t>1.2</w:t>
      </w:r>
      <w:r w:rsidRPr="003204DC">
        <w:t xml:space="preserve"> = </w:t>
      </w:r>
      <w:r>
        <w:t>~</w:t>
      </w:r>
      <w:r w:rsidRPr="003204DC">
        <w:t>$</w:t>
      </w:r>
      <w:r>
        <w:t>9.8</w:t>
      </w:r>
      <w:r w:rsidRPr="003204DC">
        <w:t>m.</w:t>
      </w:r>
    </w:p>
  </w:footnote>
  <w:footnote w:id="42">
    <w:p w14:paraId="0F3FC0AE" w14:textId="5785C5D3" w:rsidR="002F501C" w:rsidRDefault="002F501C">
      <w:pPr>
        <w:pStyle w:val="FootnoteText"/>
      </w:pPr>
      <w:r>
        <w:rPr>
          <w:rStyle w:val="FootnoteReference"/>
        </w:rPr>
        <w:footnoteRef/>
      </w:r>
      <w:r>
        <w:t xml:space="preserve"> Figure based on 1882</w:t>
      </w:r>
      <w:r w:rsidRPr="003204DC">
        <w:t xml:space="preserve"> fraud complaints</w:t>
      </w:r>
      <w:r>
        <w:t xml:space="preserve"> * 32 hours * $32 = ~$1.9m.</w:t>
      </w:r>
    </w:p>
  </w:footnote>
  <w:footnote w:id="43">
    <w:p w14:paraId="056EC0B6" w14:textId="420318ED" w:rsidR="002F501C" w:rsidRDefault="002F501C">
      <w:pPr>
        <w:pStyle w:val="FootnoteText"/>
      </w:pPr>
      <w:r>
        <w:rPr>
          <w:rStyle w:val="FootnoteReference"/>
        </w:rPr>
        <w:footnoteRef/>
      </w:r>
      <w:r>
        <w:t xml:space="preserve"> Figure based on 2150 </w:t>
      </w:r>
      <w:r w:rsidRPr="003204DC">
        <w:t>fraud complaints</w:t>
      </w:r>
      <w:r>
        <w:t xml:space="preserve"> * 32 hours * $32 = ~$2.2m.</w:t>
      </w:r>
    </w:p>
  </w:footnote>
  <w:footnote w:id="44">
    <w:p w14:paraId="76C8DD9D" w14:textId="6AA1F9EA" w:rsidR="002F501C" w:rsidRDefault="002F501C">
      <w:pPr>
        <w:pStyle w:val="FootnoteText"/>
      </w:pPr>
      <w:r>
        <w:rPr>
          <w:rStyle w:val="FootnoteReference"/>
        </w:rPr>
        <w:footnoteRef/>
      </w:r>
      <w:r>
        <w:t xml:space="preserve"> Figure reported to ACMA by one mobile carriage service provider that has an established pre-port verification solution.</w:t>
      </w:r>
    </w:p>
  </w:footnote>
  <w:footnote w:id="45">
    <w:p w14:paraId="2D59682D" w14:textId="1CAC638F" w:rsidR="002F501C" w:rsidRDefault="002F501C">
      <w:pPr>
        <w:pStyle w:val="FootnoteText"/>
      </w:pPr>
      <w:r>
        <w:rPr>
          <w:rStyle w:val="FootnoteReference"/>
        </w:rPr>
        <w:footnoteRef/>
      </w:r>
      <w:r>
        <w:t xml:space="preserve"> 2,419 fraud complaints /3 * $11,368 *1.2 = $11m.</w:t>
      </w:r>
    </w:p>
  </w:footnote>
  <w:footnote w:id="46">
    <w:p w14:paraId="6064E41B" w14:textId="61E964D4" w:rsidR="002F501C" w:rsidRDefault="002F501C">
      <w:pPr>
        <w:pStyle w:val="FootnoteText"/>
      </w:pPr>
      <w:r>
        <w:rPr>
          <w:rStyle w:val="FootnoteReference"/>
        </w:rPr>
        <w:footnoteRef/>
      </w:r>
      <w:r>
        <w:t xml:space="preserve"> 2,419 fraud complaints * 32 hours * $32 = $2.5m.</w:t>
      </w:r>
    </w:p>
  </w:footnote>
  <w:footnote w:id="47">
    <w:p w14:paraId="72B9A6B8" w14:textId="74A36834" w:rsidR="002F501C" w:rsidRDefault="002F501C">
      <w:pPr>
        <w:pStyle w:val="FootnoteText"/>
      </w:pPr>
      <w:r>
        <w:rPr>
          <w:rStyle w:val="FootnoteReference"/>
        </w:rPr>
        <w:footnoteRef/>
      </w:r>
      <w:r>
        <w:t xml:space="preserve"> Figure based on one submission and may not be indicative of all mobile carriage service providers given some may have already implemented systems and processes, and each vary in size of operation.</w:t>
      </w:r>
    </w:p>
  </w:footnote>
  <w:footnote w:id="48">
    <w:p w14:paraId="1D93EF88" w14:textId="23154C06" w:rsidR="002F501C" w:rsidRDefault="002F501C">
      <w:pPr>
        <w:pStyle w:val="FootnoteText"/>
      </w:pPr>
      <w:r>
        <w:rPr>
          <w:rStyle w:val="FootnoteReference"/>
        </w:rPr>
        <w:footnoteRef/>
      </w:r>
      <w:r>
        <w:t xml:space="preserve"> The Jersey solution refers to an intermediary service that would give real-time mobile number transfer and porting information to banks. The bank could use the data to help detect and mitigate subsequent fraudulent activity, but it has no impact on the porting process.</w:t>
      </w:r>
    </w:p>
  </w:footnote>
  <w:footnote w:id="49">
    <w:p w14:paraId="56FFC337" w14:textId="4A8ECEEC" w:rsidR="002F501C" w:rsidRDefault="002F501C">
      <w:pPr>
        <w:pStyle w:val="FootnoteText"/>
      </w:pPr>
      <w:r>
        <w:rPr>
          <w:rStyle w:val="FootnoteReference"/>
        </w:rPr>
        <w:footnoteRef/>
      </w:r>
      <w:r>
        <w:t xml:space="preserve"> Legislative requirement for minimum of 30 days.</w:t>
      </w:r>
    </w:p>
  </w:footnote>
  <w:footnote w:id="50">
    <w:p w14:paraId="609EF31F" w14:textId="584A0094" w:rsidR="002F501C" w:rsidRDefault="002F501C">
      <w:pPr>
        <w:pStyle w:val="FootnoteText"/>
      </w:pPr>
      <w:r>
        <w:rPr>
          <w:rStyle w:val="FootnoteReference"/>
        </w:rPr>
        <w:footnoteRef/>
      </w:r>
      <w:r>
        <w:t xml:space="preserve"> ACMA, </w:t>
      </w:r>
      <w:hyperlink r:id="rId20" w:history="1">
        <w:r w:rsidR="00A3316A" w:rsidRPr="00A3316A">
          <w:rPr>
            <w:rStyle w:val="Hyperlink"/>
            <w:i/>
            <w:iCs/>
          </w:rPr>
          <w:t>Combating Scams</w:t>
        </w:r>
        <w:r w:rsidR="00A3316A">
          <w:rPr>
            <w:rStyle w:val="Hyperlink"/>
          </w:rPr>
          <w:t xml:space="preserve"> action plan</w:t>
        </w:r>
      </w:hyperlink>
      <w:r>
        <w:t>,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38AB" w14:textId="6D13DDF9" w:rsidR="002F501C" w:rsidRPr="00A5474E" w:rsidRDefault="002F501C" w:rsidP="00A5474E">
    <w:pPr>
      <w:pStyle w:val="Header"/>
    </w:pPr>
    <w:r>
      <w:rPr>
        <w:noProof/>
      </w:rPr>
      <w:drawing>
        <wp:inline distT="0" distB="0" distL="0" distR="0" wp14:anchorId="365B482E" wp14:editId="66ECEAAB">
          <wp:extent cx="6283434" cy="578076"/>
          <wp:effectExtent l="0" t="0" r="3175" b="0"/>
          <wp:docPr id="2" name="Picture 2"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C3E0" w14:textId="77777777" w:rsidR="002F501C" w:rsidRPr="00A5474E" w:rsidRDefault="002F501C"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00268" w14:textId="77777777" w:rsidR="002F501C" w:rsidRDefault="002F50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0A1B" w14:textId="77777777" w:rsidR="002F501C" w:rsidRDefault="002F50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2F501C" w14:paraId="73626E24" w14:textId="77777777" w:rsidTr="003C4DB7">
      <w:trPr>
        <w:trHeight w:hRule="exact" w:val="988"/>
      </w:trPr>
      <w:tc>
        <w:tcPr>
          <w:tcW w:w="7678" w:type="dxa"/>
          <w:shd w:val="clear" w:color="auto" w:fill="auto"/>
        </w:tcPr>
        <w:p w14:paraId="0C38A018" w14:textId="77777777" w:rsidR="002F501C" w:rsidRDefault="002F501C" w:rsidP="00971914">
          <w:pPr>
            <w:pStyle w:val="Header"/>
          </w:pPr>
        </w:p>
      </w:tc>
    </w:tr>
    <w:tr w:rsidR="002F501C" w14:paraId="7E712B49" w14:textId="77777777" w:rsidTr="003C4DB7">
      <w:tc>
        <w:tcPr>
          <w:tcW w:w="7678" w:type="dxa"/>
          <w:shd w:val="clear" w:color="auto" w:fill="auto"/>
        </w:tcPr>
        <w:p w14:paraId="2228487A" w14:textId="77777777" w:rsidR="002F501C" w:rsidRDefault="002F501C" w:rsidP="00971914">
          <w:pPr>
            <w:pStyle w:val="GridTable31"/>
          </w:pPr>
          <w:r>
            <w:t xml:space="preserve">Contents </w:t>
          </w:r>
          <w:r w:rsidRPr="00915B1C">
            <w:rPr>
              <w:b w:val="0"/>
              <w:spacing w:val="0"/>
              <w:sz w:val="28"/>
              <w:szCs w:val="28"/>
            </w:rPr>
            <w:t>(Continued)</w:t>
          </w:r>
        </w:p>
      </w:tc>
    </w:tr>
    <w:tr w:rsidR="002F501C" w14:paraId="68CCA142" w14:textId="77777777" w:rsidTr="003C4DB7">
      <w:trPr>
        <w:trHeight w:val="1220"/>
      </w:trPr>
      <w:tc>
        <w:tcPr>
          <w:tcW w:w="7678" w:type="dxa"/>
          <w:shd w:val="clear" w:color="auto" w:fill="auto"/>
        </w:tcPr>
        <w:p w14:paraId="56968DD9" w14:textId="77777777" w:rsidR="002F501C" w:rsidRDefault="002F501C" w:rsidP="00971914"/>
      </w:tc>
    </w:tr>
  </w:tbl>
  <w:p w14:paraId="0D53629B" w14:textId="77777777" w:rsidR="002F501C" w:rsidRDefault="002F501C"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2F501C" w14:paraId="3C4E055A" w14:textId="77777777" w:rsidTr="003C4DB7">
      <w:trPr>
        <w:trHeight w:hRule="exact" w:val="988"/>
      </w:trPr>
      <w:tc>
        <w:tcPr>
          <w:tcW w:w="7678" w:type="dxa"/>
          <w:shd w:val="clear" w:color="auto" w:fill="auto"/>
        </w:tcPr>
        <w:p w14:paraId="7196ABE9" w14:textId="77777777" w:rsidR="002F501C" w:rsidRDefault="002F501C" w:rsidP="00971914">
          <w:pPr>
            <w:pStyle w:val="Header"/>
          </w:pPr>
        </w:p>
      </w:tc>
    </w:tr>
    <w:tr w:rsidR="002F501C" w14:paraId="09C88BB0" w14:textId="77777777" w:rsidTr="003C4DB7">
      <w:tc>
        <w:tcPr>
          <w:tcW w:w="7678" w:type="dxa"/>
          <w:shd w:val="clear" w:color="auto" w:fill="auto"/>
        </w:tcPr>
        <w:p w14:paraId="18302357" w14:textId="77777777" w:rsidR="002F501C" w:rsidRDefault="002F501C" w:rsidP="00971914">
          <w:pPr>
            <w:pStyle w:val="GridTable31"/>
          </w:pPr>
          <w:r>
            <w:t xml:space="preserve">Contents </w:t>
          </w:r>
          <w:r w:rsidRPr="00915B1C">
            <w:rPr>
              <w:b w:val="0"/>
              <w:spacing w:val="0"/>
              <w:sz w:val="28"/>
              <w:szCs w:val="28"/>
            </w:rPr>
            <w:t>(Continued)</w:t>
          </w:r>
        </w:p>
      </w:tc>
    </w:tr>
    <w:tr w:rsidR="002F501C" w14:paraId="373A7DEC" w14:textId="77777777" w:rsidTr="003C4DB7">
      <w:trPr>
        <w:trHeight w:val="1220"/>
      </w:trPr>
      <w:tc>
        <w:tcPr>
          <w:tcW w:w="7678" w:type="dxa"/>
          <w:shd w:val="clear" w:color="auto" w:fill="auto"/>
        </w:tcPr>
        <w:p w14:paraId="6DA39290" w14:textId="77777777" w:rsidR="002F501C" w:rsidRDefault="002F501C" w:rsidP="00971914"/>
      </w:tc>
    </w:tr>
  </w:tbl>
  <w:p w14:paraId="59FD97E1" w14:textId="77777777" w:rsidR="002F501C" w:rsidRPr="00A5474E" w:rsidRDefault="002F501C"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1B89" w14:textId="77777777" w:rsidR="002F501C" w:rsidRDefault="002F50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D558" w14:textId="77777777" w:rsidR="002F501C" w:rsidRDefault="002F5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B49A0866"/>
    <w:lvl w:ilvl="0">
      <w:start w:val="1"/>
      <w:numFmt w:val="bullet"/>
      <w:lvlText w:val=""/>
      <w:lvlJc w:val="left"/>
      <w:pPr>
        <w:ind w:left="720" w:hanging="360"/>
      </w:pPr>
      <w:rPr>
        <w:rFonts w:ascii="Symbol" w:hAnsi="Symbol" w:hint="default"/>
        <w:sz w:val="20"/>
      </w:rPr>
    </w:lvl>
  </w:abstractNum>
  <w:abstractNum w:abstractNumId="4" w15:restartNumberingAfterBreak="0">
    <w:nsid w:val="07876C85"/>
    <w:multiLevelType w:val="hybridMultilevel"/>
    <w:tmpl w:val="F31E6D68"/>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9908DB"/>
    <w:multiLevelType w:val="hybridMultilevel"/>
    <w:tmpl w:val="B23C3ECA"/>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CE53B2"/>
    <w:multiLevelType w:val="hybridMultilevel"/>
    <w:tmpl w:val="3F9EDB2A"/>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453B71"/>
    <w:multiLevelType w:val="hybridMultilevel"/>
    <w:tmpl w:val="2D28E29A"/>
    <w:lvl w:ilvl="0" w:tplc="BF7459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8D7614"/>
    <w:multiLevelType w:val="hybridMultilevel"/>
    <w:tmpl w:val="4C3044C6"/>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063927"/>
    <w:multiLevelType w:val="hybridMultilevel"/>
    <w:tmpl w:val="B4825860"/>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18091C"/>
    <w:multiLevelType w:val="hybridMultilevel"/>
    <w:tmpl w:val="4AF88A5A"/>
    <w:lvl w:ilvl="0" w:tplc="F8CEC37A">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101131"/>
    <w:multiLevelType w:val="hybridMultilevel"/>
    <w:tmpl w:val="876A97F2"/>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430C6D78"/>
    <w:multiLevelType w:val="hybridMultilevel"/>
    <w:tmpl w:val="001A2D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5865ABE"/>
    <w:multiLevelType w:val="hybridMultilevel"/>
    <w:tmpl w:val="0A1A00CC"/>
    <w:lvl w:ilvl="0" w:tplc="981855DE">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1D76CA"/>
    <w:multiLevelType w:val="hybridMultilevel"/>
    <w:tmpl w:val="DEA86F94"/>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5D7EB0"/>
    <w:multiLevelType w:val="hybridMultilevel"/>
    <w:tmpl w:val="E550E3A0"/>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E87DE8"/>
    <w:multiLevelType w:val="hybridMultilevel"/>
    <w:tmpl w:val="F42CF9B2"/>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FD5"/>
    <w:multiLevelType w:val="multilevel"/>
    <w:tmpl w:val="AE766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4A637B"/>
    <w:multiLevelType w:val="hybridMultilevel"/>
    <w:tmpl w:val="61428646"/>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82970"/>
    <w:multiLevelType w:val="hybridMultilevel"/>
    <w:tmpl w:val="D6A897EA"/>
    <w:lvl w:ilvl="0" w:tplc="8606FFE0">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241C86"/>
    <w:multiLevelType w:val="hybridMultilevel"/>
    <w:tmpl w:val="CAF6E7E8"/>
    <w:lvl w:ilvl="0" w:tplc="F8CEC37A">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C705A1"/>
    <w:multiLevelType w:val="hybridMultilevel"/>
    <w:tmpl w:val="1CAC4298"/>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872915"/>
    <w:multiLevelType w:val="hybridMultilevel"/>
    <w:tmpl w:val="8B0A7C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 w:numId="5">
    <w:abstractNumId w:val="13"/>
  </w:num>
  <w:num w:numId="6">
    <w:abstractNumId w:val="23"/>
  </w:num>
  <w:num w:numId="7">
    <w:abstractNumId w:val="19"/>
  </w:num>
  <w:num w:numId="8">
    <w:abstractNumId w:val="22"/>
  </w:num>
  <w:num w:numId="9">
    <w:abstractNumId w:val="25"/>
  </w:num>
  <w:num w:numId="10">
    <w:abstractNumId w:val="7"/>
  </w:num>
  <w:num w:numId="11">
    <w:abstractNumId w:val="8"/>
  </w:num>
  <w:num w:numId="12">
    <w:abstractNumId w:val="21"/>
  </w:num>
  <w:num w:numId="13">
    <w:abstractNumId w:val="28"/>
  </w:num>
  <w:num w:numId="14">
    <w:abstractNumId w:val="14"/>
  </w:num>
  <w:num w:numId="15">
    <w:abstractNumId w:val="24"/>
  </w:num>
  <w:num w:numId="16">
    <w:abstractNumId w:val="12"/>
  </w:num>
  <w:num w:numId="17">
    <w:abstractNumId w:val="18"/>
  </w:num>
  <w:num w:numId="18">
    <w:abstractNumId w:val="16"/>
  </w:num>
  <w:num w:numId="19">
    <w:abstractNumId w:val="5"/>
  </w:num>
  <w:num w:numId="20">
    <w:abstractNumId w:val="6"/>
  </w:num>
  <w:num w:numId="21">
    <w:abstractNumId w:val="9"/>
  </w:num>
  <w:num w:numId="22">
    <w:abstractNumId w:val="17"/>
  </w:num>
  <w:num w:numId="23">
    <w:abstractNumId w:val="27"/>
  </w:num>
  <w:num w:numId="24">
    <w:abstractNumId w:val="10"/>
  </w:num>
  <w:num w:numId="25">
    <w:abstractNumId w:val="4"/>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6"/>
  </w:num>
  <w:num w:numId="43">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7E"/>
    <w:rsid w:val="00001069"/>
    <w:rsid w:val="000013EA"/>
    <w:rsid w:val="00001B4F"/>
    <w:rsid w:val="00001BB2"/>
    <w:rsid w:val="00001D9C"/>
    <w:rsid w:val="00002885"/>
    <w:rsid w:val="00002D73"/>
    <w:rsid w:val="000038FE"/>
    <w:rsid w:val="000047F5"/>
    <w:rsid w:val="00006040"/>
    <w:rsid w:val="00006207"/>
    <w:rsid w:val="000070D3"/>
    <w:rsid w:val="00007573"/>
    <w:rsid w:val="000077C0"/>
    <w:rsid w:val="00010667"/>
    <w:rsid w:val="000129D5"/>
    <w:rsid w:val="00012F81"/>
    <w:rsid w:val="0001431D"/>
    <w:rsid w:val="0001463B"/>
    <w:rsid w:val="00014F5C"/>
    <w:rsid w:val="000159B9"/>
    <w:rsid w:val="00015AE7"/>
    <w:rsid w:val="00016257"/>
    <w:rsid w:val="00016E21"/>
    <w:rsid w:val="000170D6"/>
    <w:rsid w:val="0001719C"/>
    <w:rsid w:val="0001782B"/>
    <w:rsid w:val="00020071"/>
    <w:rsid w:val="00020678"/>
    <w:rsid w:val="00021941"/>
    <w:rsid w:val="0002224E"/>
    <w:rsid w:val="00022A19"/>
    <w:rsid w:val="00022E2F"/>
    <w:rsid w:val="000234B4"/>
    <w:rsid w:val="00023942"/>
    <w:rsid w:val="00023C1C"/>
    <w:rsid w:val="000245E5"/>
    <w:rsid w:val="000266B1"/>
    <w:rsid w:val="00026F91"/>
    <w:rsid w:val="00027672"/>
    <w:rsid w:val="00032381"/>
    <w:rsid w:val="00033524"/>
    <w:rsid w:val="00036F39"/>
    <w:rsid w:val="000378A7"/>
    <w:rsid w:val="00040618"/>
    <w:rsid w:val="000417C1"/>
    <w:rsid w:val="000418EB"/>
    <w:rsid w:val="00041CE3"/>
    <w:rsid w:val="00042312"/>
    <w:rsid w:val="00044AA4"/>
    <w:rsid w:val="00045FE5"/>
    <w:rsid w:val="00046C7F"/>
    <w:rsid w:val="0004764C"/>
    <w:rsid w:val="000479EE"/>
    <w:rsid w:val="0005011A"/>
    <w:rsid w:val="00050366"/>
    <w:rsid w:val="0005045A"/>
    <w:rsid w:val="00051C1E"/>
    <w:rsid w:val="0005235C"/>
    <w:rsid w:val="00052D88"/>
    <w:rsid w:val="000539F9"/>
    <w:rsid w:val="00054C27"/>
    <w:rsid w:val="00055079"/>
    <w:rsid w:val="000556C2"/>
    <w:rsid w:val="00055EC3"/>
    <w:rsid w:val="00056039"/>
    <w:rsid w:val="00056376"/>
    <w:rsid w:val="000563CE"/>
    <w:rsid w:val="000565C8"/>
    <w:rsid w:val="00056980"/>
    <w:rsid w:val="00057B66"/>
    <w:rsid w:val="00060431"/>
    <w:rsid w:val="00060A34"/>
    <w:rsid w:val="00061252"/>
    <w:rsid w:val="00062649"/>
    <w:rsid w:val="00062E50"/>
    <w:rsid w:val="00064380"/>
    <w:rsid w:val="000648FC"/>
    <w:rsid w:val="00065005"/>
    <w:rsid w:val="000659B6"/>
    <w:rsid w:val="00065C11"/>
    <w:rsid w:val="0006686F"/>
    <w:rsid w:val="000668AA"/>
    <w:rsid w:val="0006722A"/>
    <w:rsid w:val="00067AE1"/>
    <w:rsid w:val="00070697"/>
    <w:rsid w:val="000709AA"/>
    <w:rsid w:val="000725D0"/>
    <w:rsid w:val="000732CF"/>
    <w:rsid w:val="00073DB1"/>
    <w:rsid w:val="00075B96"/>
    <w:rsid w:val="0007659A"/>
    <w:rsid w:val="00076C58"/>
    <w:rsid w:val="00077355"/>
    <w:rsid w:val="0007778C"/>
    <w:rsid w:val="0008057F"/>
    <w:rsid w:val="00080FD8"/>
    <w:rsid w:val="00081819"/>
    <w:rsid w:val="0008196A"/>
    <w:rsid w:val="0008255B"/>
    <w:rsid w:val="00084325"/>
    <w:rsid w:val="00084CE8"/>
    <w:rsid w:val="00084FA0"/>
    <w:rsid w:val="0008549F"/>
    <w:rsid w:val="0008611E"/>
    <w:rsid w:val="00090317"/>
    <w:rsid w:val="00090579"/>
    <w:rsid w:val="000915ED"/>
    <w:rsid w:val="0009209D"/>
    <w:rsid w:val="0009274F"/>
    <w:rsid w:val="000927A5"/>
    <w:rsid w:val="00092881"/>
    <w:rsid w:val="00092D04"/>
    <w:rsid w:val="000934F5"/>
    <w:rsid w:val="0009398E"/>
    <w:rsid w:val="00093A23"/>
    <w:rsid w:val="0009463C"/>
    <w:rsid w:val="00094690"/>
    <w:rsid w:val="00094C09"/>
    <w:rsid w:val="000969BD"/>
    <w:rsid w:val="000969BF"/>
    <w:rsid w:val="000969D2"/>
    <w:rsid w:val="00096C11"/>
    <w:rsid w:val="000979FB"/>
    <w:rsid w:val="00097ABE"/>
    <w:rsid w:val="000A0125"/>
    <w:rsid w:val="000A032F"/>
    <w:rsid w:val="000A0C22"/>
    <w:rsid w:val="000A0C76"/>
    <w:rsid w:val="000A10C4"/>
    <w:rsid w:val="000A138B"/>
    <w:rsid w:val="000A1400"/>
    <w:rsid w:val="000A2FD6"/>
    <w:rsid w:val="000A3C43"/>
    <w:rsid w:val="000A4A51"/>
    <w:rsid w:val="000A53D8"/>
    <w:rsid w:val="000A5D2B"/>
    <w:rsid w:val="000A6600"/>
    <w:rsid w:val="000A6A86"/>
    <w:rsid w:val="000A6D7B"/>
    <w:rsid w:val="000A79DF"/>
    <w:rsid w:val="000A7F28"/>
    <w:rsid w:val="000B04F5"/>
    <w:rsid w:val="000B084E"/>
    <w:rsid w:val="000B0D3B"/>
    <w:rsid w:val="000B1376"/>
    <w:rsid w:val="000B1AAF"/>
    <w:rsid w:val="000B24EA"/>
    <w:rsid w:val="000B29F3"/>
    <w:rsid w:val="000B4664"/>
    <w:rsid w:val="000B5DE3"/>
    <w:rsid w:val="000B6F7F"/>
    <w:rsid w:val="000C0A57"/>
    <w:rsid w:val="000C0ACB"/>
    <w:rsid w:val="000C193B"/>
    <w:rsid w:val="000C204E"/>
    <w:rsid w:val="000C230C"/>
    <w:rsid w:val="000C2CC6"/>
    <w:rsid w:val="000C33B3"/>
    <w:rsid w:val="000C3BC5"/>
    <w:rsid w:val="000C4E51"/>
    <w:rsid w:val="000C63F7"/>
    <w:rsid w:val="000C6AB4"/>
    <w:rsid w:val="000C6EFF"/>
    <w:rsid w:val="000C7E85"/>
    <w:rsid w:val="000D1477"/>
    <w:rsid w:val="000D22B0"/>
    <w:rsid w:val="000D38CA"/>
    <w:rsid w:val="000D39E9"/>
    <w:rsid w:val="000D4C6F"/>
    <w:rsid w:val="000D5EA4"/>
    <w:rsid w:val="000D6F08"/>
    <w:rsid w:val="000D6FE0"/>
    <w:rsid w:val="000D70A5"/>
    <w:rsid w:val="000D71CA"/>
    <w:rsid w:val="000D71D9"/>
    <w:rsid w:val="000D72D6"/>
    <w:rsid w:val="000D76E0"/>
    <w:rsid w:val="000D7E8B"/>
    <w:rsid w:val="000D7F96"/>
    <w:rsid w:val="000E0356"/>
    <w:rsid w:val="000E0E1B"/>
    <w:rsid w:val="000E1C2B"/>
    <w:rsid w:val="000E1D0E"/>
    <w:rsid w:val="000E29CE"/>
    <w:rsid w:val="000E4449"/>
    <w:rsid w:val="000E52A1"/>
    <w:rsid w:val="000E56A1"/>
    <w:rsid w:val="000E6097"/>
    <w:rsid w:val="000F16FE"/>
    <w:rsid w:val="000F212E"/>
    <w:rsid w:val="000F2308"/>
    <w:rsid w:val="000F23A1"/>
    <w:rsid w:val="000F2721"/>
    <w:rsid w:val="000F356F"/>
    <w:rsid w:val="000F3C13"/>
    <w:rsid w:val="000F4AF9"/>
    <w:rsid w:val="000F5151"/>
    <w:rsid w:val="000F5C8E"/>
    <w:rsid w:val="000F5CDE"/>
    <w:rsid w:val="000F65F3"/>
    <w:rsid w:val="000F7D57"/>
    <w:rsid w:val="0010164F"/>
    <w:rsid w:val="001025E1"/>
    <w:rsid w:val="00103829"/>
    <w:rsid w:val="00105A95"/>
    <w:rsid w:val="00105FE6"/>
    <w:rsid w:val="001065DA"/>
    <w:rsid w:val="00106D4E"/>
    <w:rsid w:val="00110120"/>
    <w:rsid w:val="0011035E"/>
    <w:rsid w:val="00110500"/>
    <w:rsid w:val="001105B2"/>
    <w:rsid w:val="0011063F"/>
    <w:rsid w:val="00111705"/>
    <w:rsid w:val="00111FCE"/>
    <w:rsid w:val="0011224C"/>
    <w:rsid w:val="00113EE7"/>
    <w:rsid w:val="001141D3"/>
    <w:rsid w:val="00114DB3"/>
    <w:rsid w:val="00114DE2"/>
    <w:rsid w:val="00115300"/>
    <w:rsid w:val="00117129"/>
    <w:rsid w:val="0011743B"/>
    <w:rsid w:val="001225ED"/>
    <w:rsid w:val="001229A5"/>
    <w:rsid w:val="001232AB"/>
    <w:rsid w:val="0012408B"/>
    <w:rsid w:val="0012489B"/>
    <w:rsid w:val="00125A3F"/>
    <w:rsid w:val="00126A85"/>
    <w:rsid w:val="00127D67"/>
    <w:rsid w:val="00130017"/>
    <w:rsid w:val="0013025C"/>
    <w:rsid w:val="0013043B"/>
    <w:rsid w:val="0013066D"/>
    <w:rsid w:val="00130F91"/>
    <w:rsid w:val="0013131C"/>
    <w:rsid w:val="00132435"/>
    <w:rsid w:val="00132F09"/>
    <w:rsid w:val="001331D1"/>
    <w:rsid w:val="00133278"/>
    <w:rsid w:val="001337BA"/>
    <w:rsid w:val="001349ED"/>
    <w:rsid w:val="001370B6"/>
    <w:rsid w:val="00137424"/>
    <w:rsid w:val="00140318"/>
    <w:rsid w:val="001403E9"/>
    <w:rsid w:val="00141AD9"/>
    <w:rsid w:val="00143330"/>
    <w:rsid w:val="00143EAF"/>
    <w:rsid w:val="00144125"/>
    <w:rsid w:val="001460BE"/>
    <w:rsid w:val="00146CE6"/>
    <w:rsid w:val="00147956"/>
    <w:rsid w:val="001505DE"/>
    <w:rsid w:val="001509B1"/>
    <w:rsid w:val="00151BB2"/>
    <w:rsid w:val="00151FC6"/>
    <w:rsid w:val="001528A3"/>
    <w:rsid w:val="00152903"/>
    <w:rsid w:val="00153F54"/>
    <w:rsid w:val="00153FD5"/>
    <w:rsid w:val="0015441B"/>
    <w:rsid w:val="001557D4"/>
    <w:rsid w:val="0015614F"/>
    <w:rsid w:val="00156C62"/>
    <w:rsid w:val="001577C2"/>
    <w:rsid w:val="00160722"/>
    <w:rsid w:val="00160ED5"/>
    <w:rsid w:val="0016307E"/>
    <w:rsid w:val="001633C4"/>
    <w:rsid w:val="00163FEB"/>
    <w:rsid w:val="00164A2F"/>
    <w:rsid w:val="00164DAB"/>
    <w:rsid w:val="00165098"/>
    <w:rsid w:val="001658A3"/>
    <w:rsid w:val="00166B0A"/>
    <w:rsid w:val="00166BB3"/>
    <w:rsid w:val="00166FFB"/>
    <w:rsid w:val="00167B57"/>
    <w:rsid w:val="00167C83"/>
    <w:rsid w:val="001704D5"/>
    <w:rsid w:val="00170EF4"/>
    <w:rsid w:val="00171218"/>
    <w:rsid w:val="00171591"/>
    <w:rsid w:val="00173981"/>
    <w:rsid w:val="00173C1F"/>
    <w:rsid w:val="0017430E"/>
    <w:rsid w:val="0017719D"/>
    <w:rsid w:val="00177817"/>
    <w:rsid w:val="00177A61"/>
    <w:rsid w:val="00180BA3"/>
    <w:rsid w:val="0018161D"/>
    <w:rsid w:val="00181A50"/>
    <w:rsid w:val="00181D8D"/>
    <w:rsid w:val="00183125"/>
    <w:rsid w:val="00183FD7"/>
    <w:rsid w:val="00184164"/>
    <w:rsid w:val="0018499E"/>
    <w:rsid w:val="00184A9A"/>
    <w:rsid w:val="001855A7"/>
    <w:rsid w:val="00185CAB"/>
    <w:rsid w:val="00186CEE"/>
    <w:rsid w:val="00186D5B"/>
    <w:rsid w:val="0018756F"/>
    <w:rsid w:val="001875B7"/>
    <w:rsid w:val="0018781E"/>
    <w:rsid w:val="00187CB3"/>
    <w:rsid w:val="00187EE3"/>
    <w:rsid w:val="0019050A"/>
    <w:rsid w:val="001910D4"/>
    <w:rsid w:val="00191EB4"/>
    <w:rsid w:val="0019385E"/>
    <w:rsid w:val="00193DD5"/>
    <w:rsid w:val="00193F77"/>
    <w:rsid w:val="0019430E"/>
    <w:rsid w:val="001947AA"/>
    <w:rsid w:val="0019604D"/>
    <w:rsid w:val="00196E9E"/>
    <w:rsid w:val="001976E3"/>
    <w:rsid w:val="00197EBA"/>
    <w:rsid w:val="001A0B77"/>
    <w:rsid w:val="001A3285"/>
    <w:rsid w:val="001A44EC"/>
    <w:rsid w:val="001A595D"/>
    <w:rsid w:val="001A74D6"/>
    <w:rsid w:val="001A7690"/>
    <w:rsid w:val="001B0E5B"/>
    <w:rsid w:val="001B1733"/>
    <w:rsid w:val="001B1D9B"/>
    <w:rsid w:val="001B21A4"/>
    <w:rsid w:val="001B2792"/>
    <w:rsid w:val="001B28D9"/>
    <w:rsid w:val="001B2FAB"/>
    <w:rsid w:val="001B302B"/>
    <w:rsid w:val="001B531B"/>
    <w:rsid w:val="001B58AA"/>
    <w:rsid w:val="001B67D4"/>
    <w:rsid w:val="001B67F0"/>
    <w:rsid w:val="001B70A9"/>
    <w:rsid w:val="001B7E48"/>
    <w:rsid w:val="001C043C"/>
    <w:rsid w:val="001C0ADE"/>
    <w:rsid w:val="001C17CE"/>
    <w:rsid w:val="001C1820"/>
    <w:rsid w:val="001C2ADE"/>
    <w:rsid w:val="001C36CA"/>
    <w:rsid w:val="001C38C6"/>
    <w:rsid w:val="001C43F7"/>
    <w:rsid w:val="001C44D1"/>
    <w:rsid w:val="001C52AA"/>
    <w:rsid w:val="001C5E83"/>
    <w:rsid w:val="001C6174"/>
    <w:rsid w:val="001C6AEE"/>
    <w:rsid w:val="001C72E5"/>
    <w:rsid w:val="001C74B9"/>
    <w:rsid w:val="001C7630"/>
    <w:rsid w:val="001D0076"/>
    <w:rsid w:val="001D1846"/>
    <w:rsid w:val="001D233C"/>
    <w:rsid w:val="001D25F6"/>
    <w:rsid w:val="001D2A24"/>
    <w:rsid w:val="001D2C7F"/>
    <w:rsid w:val="001D3170"/>
    <w:rsid w:val="001D322D"/>
    <w:rsid w:val="001D48B3"/>
    <w:rsid w:val="001D492D"/>
    <w:rsid w:val="001D5C79"/>
    <w:rsid w:val="001D6C7A"/>
    <w:rsid w:val="001D6D15"/>
    <w:rsid w:val="001D7CCF"/>
    <w:rsid w:val="001E033A"/>
    <w:rsid w:val="001E0406"/>
    <w:rsid w:val="001E07D4"/>
    <w:rsid w:val="001E0A19"/>
    <w:rsid w:val="001E0ABA"/>
    <w:rsid w:val="001E12F2"/>
    <w:rsid w:val="001E26CC"/>
    <w:rsid w:val="001E29BF"/>
    <w:rsid w:val="001E2BE2"/>
    <w:rsid w:val="001E3EA1"/>
    <w:rsid w:val="001E4CEB"/>
    <w:rsid w:val="001E4ED4"/>
    <w:rsid w:val="001E69B3"/>
    <w:rsid w:val="001E7A23"/>
    <w:rsid w:val="001E7F61"/>
    <w:rsid w:val="001F382C"/>
    <w:rsid w:val="001F4B09"/>
    <w:rsid w:val="001F4E4B"/>
    <w:rsid w:val="001F63F2"/>
    <w:rsid w:val="001F6551"/>
    <w:rsid w:val="001F7558"/>
    <w:rsid w:val="001F76CF"/>
    <w:rsid w:val="001F7815"/>
    <w:rsid w:val="0020289B"/>
    <w:rsid w:val="0020309F"/>
    <w:rsid w:val="0020399F"/>
    <w:rsid w:val="00205B57"/>
    <w:rsid w:val="00205FBF"/>
    <w:rsid w:val="002061AA"/>
    <w:rsid w:val="002072BA"/>
    <w:rsid w:val="00207BA5"/>
    <w:rsid w:val="00210C0B"/>
    <w:rsid w:val="00210D1F"/>
    <w:rsid w:val="00212F69"/>
    <w:rsid w:val="00213C93"/>
    <w:rsid w:val="00213EB3"/>
    <w:rsid w:val="00215296"/>
    <w:rsid w:val="002157E0"/>
    <w:rsid w:val="0021586C"/>
    <w:rsid w:val="00216095"/>
    <w:rsid w:val="00216A21"/>
    <w:rsid w:val="00216A57"/>
    <w:rsid w:val="00216B3B"/>
    <w:rsid w:val="00217448"/>
    <w:rsid w:val="00217A46"/>
    <w:rsid w:val="002206B9"/>
    <w:rsid w:val="00222766"/>
    <w:rsid w:val="00222B6A"/>
    <w:rsid w:val="0022334F"/>
    <w:rsid w:val="00224A7B"/>
    <w:rsid w:val="00226819"/>
    <w:rsid w:val="00227BB0"/>
    <w:rsid w:val="002305D1"/>
    <w:rsid w:val="00230D23"/>
    <w:rsid w:val="00231FDE"/>
    <w:rsid w:val="00232918"/>
    <w:rsid w:val="00233101"/>
    <w:rsid w:val="00233817"/>
    <w:rsid w:val="00233855"/>
    <w:rsid w:val="00233DF5"/>
    <w:rsid w:val="00234C38"/>
    <w:rsid w:val="00235393"/>
    <w:rsid w:val="0023597E"/>
    <w:rsid w:val="002367FF"/>
    <w:rsid w:val="002377A3"/>
    <w:rsid w:val="00237826"/>
    <w:rsid w:val="00237965"/>
    <w:rsid w:val="002400CA"/>
    <w:rsid w:val="00240CE9"/>
    <w:rsid w:val="00241B3C"/>
    <w:rsid w:val="002434BA"/>
    <w:rsid w:val="00243B40"/>
    <w:rsid w:val="00243C44"/>
    <w:rsid w:val="00244286"/>
    <w:rsid w:val="00246089"/>
    <w:rsid w:val="00246093"/>
    <w:rsid w:val="00246702"/>
    <w:rsid w:val="00247138"/>
    <w:rsid w:val="00247791"/>
    <w:rsid w:val="00247C59"/>
    <w:rsid w:val="00247F2E"/>
    <w:rsid w:val="00250ADC"/>
    <w:rsid w:val="00250B07"/>
    <w:rsid w:val="00252A40"/>
    <w:rsid w:val="00252C29"/>
    <w:rsid w:val="00252C3B"/>
    <w:rsid w:val="00252F92"/>
    <w:rsid w:val="00253A1E"/>
    <w:rsid w:val="0025404C"/>
    <w:rsid w:val="0025429C"/>
    <w:rsid w:val="002544AB"/>
    <w:rsid w:val="00254857"/>
    <w:rsid w:val="00254E30"/>
    <w:rsid w:val="002554E1"/>
    <w:rsid w:val="00256A60"/>
    <w:rsid w:val="00256CA5"/>
    <w:rsid w:val="00257535"/>
    <w:rsid w:val="00257553"/>
    <w:rsid w:val="00260763"/>
    <w:rsid w:val="00260FB2"/>
    <w:rsid w:val="00261970"/>
    <w:rsid w:val="00262128"/>
    <w:rsid w:val="00262382"/>
    <w:rsid w:val="00262658"/>
    <w:rsid w:val="002627E8"/>
    <w:rsid w:val="00262CBF"/>
    <w:rsid w:val="002630CE"/>
    <w:rsid w:val="00263302"/>
    <w:rsid w:val="00263872"/>
    <w:rsid w:val="002639ED"/>
    <w:rsid w:val="00266780"/>
    <w:rsid w:val="00266A37"/>
    <w:rsid w:val="00266AF8"/>
    <w:rsid w:val="00266E3A"/>
    <w:rsid w:val="0026736D"/>
    <w:rsid w:val="00267894"/>
    <w:rsid w:val="00267CD6"/>
    <w:rsid w:val="00270583"/>
    <w:rsid w:val="002713B8"/>
    <w:rsid w:val="0027165D"/>
    <w:rsid w:val="00271FD6"/>
    <w:rsid w:val="00273A88"/>
    <w:rsid w:val="00273CEB"/>
    <w:rsid w:val="002748FA"/>
    <w:rsid w:val="002752E3"/>
    <w:rsid w:val="00275A3D"/>
    <w:rsid w:val="00275E14"/>
    <w:rsid w:val="002773E4"/>
    <w:rsid w:val="00277672"/>
    <w:rsid w:val="0027795E"/>
    <w:rsid w:val="00277E2A"/>
    <w:rsid w:val="002817D4"/>
    <w:rsid w:val="00281C89"/>
    <w:rsid w:val="00282668"/>
    <w:rsid w:val="0028282F"/>
    <w:rsid w:val="00285A69"/>
    <w:rsid w:val="00286461"/>
    <w:rsid w:val="002867FE"/>
    <w:rsid w:val="002872CB"/>
    <w:rsid w:val="0029079A"/>
    <w:rsid w:val="0029168E"/>
    <w:rsid w:val="00291EBC"/>
    <w:rsid w:val="00292D6A"/>
    <w:rsid w:val="00293CA4"/>
    <w:rsid w:val="002943A6"/>
    <w:rsid w:val="00294DE9"/>
    <w:rsid w:val="00294EC8"/>
    <w:rsid w:val="00295823"/>
    <w:rsid w:val="0029593B"/>
    <w:rsid w:val="00295FDC"/>
    <w:rsid w:val="00296DD0"/>
    <w:rsid w:val="00297F6A"/>
    <w:rsid w:val="00297FC5"/>
    <w:rsid w:val="002A0417"/>
    <w:rsid w:val="002A16D8"/>
    <w:rsid w:val="002A1BC8"/>
    <w:rsid w:val="002A1F9B"/>
    <w:rsid w:val="002A2AFE"/>
    <w:rsid w:val="002A2C95"/>
    <w:rsid w:val="002A39E9"/>
    <w:rsid w:val="002A3EF2"/>
    <w:rsid w:val="002A501F"/>
    <w:rsid w:val="002A55F3"/>
    <w:rsid w:val="002A5891"/>
    <w:rsid w:val="002A7568"/>
    <w:rsid w:val="002A79A7"/>
    <w:rsid w:val="002B07B1"/>
    <w:rsid w:val="002B0DED"/>
    <w:rsid w:val="002B19A2"/>
    <w:rsid w:val="002B1D3B"/>
    <w:rsid w:val="002B2648"/>
    <w:rsid w:val="002B2732"/>
    <w:rsid w:val="002B381A"/>
    <w:rsid w:val="002B4FCC"/>
    <w:rsid w:val="002B5D8F"/>
    <w:rsid w:val="002B64E4"/>
    <w:rsid w:val="002B6567"/>
    <w:rsid w:val="002B7408"/>
    <w:rsid w:val="002B7CFD"/>
    <w:rsid w:val="002C0824"/>
    <w:rsid w:val="002C0F5D"/>
    <w:rsid w:val="002C136E"/>
    <w:rsid w:val="002C1FFB"/>
    <w:rsid w:val="002C210F"/>
    <w:rsid w:val="002C25E3"/>
    <w:rsid w:val="002C5158"/>
    <w:rsid w:val="002C5288"/>
    <w:rsid w:val="002C61F1"/>
    <w:rsid w:val="002C6B0B"/>
    <w:rsid w:val="002C7EEA"/>
    <w:rsid w:val="002D06BD"/>
    <w:rsid w:val="002D0C4C"/>
    <w:rsid w:val="002D17EC"/>
    <w:rsid w:val="002D1847"/>
    <w:rsid w:val="002D1E15"/>
    <w:rsid w:val="002D326A"/>
    <w:rsid w:val="002D3600"/>
    <w:rsid w:val="002D4012"/>
    <w:rsid w:val="002D5C23"/>
    <w:rsid w:val="002D70FB"/>
    <w:rsid w:val="002E09A2"/>
    <w:rsid w:val="002E0D7A"/>
    <w:rsid w:val="002E1064"/>
    <w:rsid w:val="002E1E5D"/>
    <w:rsid w:val="002E21C3"/>
    <w:rsid w:val="002E21EB"/>
    <w:rsid w:val="002E259C"/>
    <w:rsid w:val="002E2D38"/>
    <w:rsid w:val="002E342C"/>
    <w:rsid w:val="002E43AC"/>
    <w:rsid w:val="002E4DDC"/>
    <w:rsid w:val="002E63E5"/>
    <w:rsid w:val="002E6605"/>
    <w:rsid w:val="002E79C4"/>
    <w:rsid w:val="002E7FAC"/>
    <w:rsid w:val="002F0371"/>
    <w:rsid w:val="002F072A"/>
    <w:rsid w:val="002F0AD3"/>
    <w:rsid w:val="002F1C97"/>
    <w:rsid w:val="002F254E"/>
    <w:rsid w:val="002F2A25"/>
    <w:rsid w:val="002F2BE6"/>
    <w:rsid w:val="002F2C9A"/>
    <w:rsid w:val="002F2CAB"/>
    <w:rsid w:val="002F4147"/>
    <w:rsid w:val="002F4649"/>
    <w:rsid w:val="002F4F44"/>
    <w:rsid w:val="002F4F9E"/>
    <w:rsid w:val="002F501C"/>
    <w:rsid w:val="002F6EB8"/>
    <w:rsid w:val="002F72A8"/>
    <w:rsid w:val="002F7A47"/>
    <w:rsid w:val="00301221"/>
    <w:rsid w:val="00301522"/>
    <w:rsid w:val="00302480"/>
    <w:rsid w:val="00302758"/>
    <w:rsid w:val="003032B8"/>
    <w:rsid w:val="003068E0"/>
    <w:rsid w:val="00306FFE"/>
    <w:rsid w:val="0030741B"/>
    <w:rsid w:val="00307E52"/>
    <w:rsid w:val="00307E69"/>
    <w:rsid w:val="00307EC7"/>
    <w:rsid w:val="0031050C"/>
    <w:rsid w:val="003129D9"/>
    <w:rsid w:val="00313C46"/>
    <w:rsid w:val="00314F1B"/>
    <w:rsid w:val="00315A05"/>
    <w:rsid w:val="00315DFC"/>
    <w:rsid w:val="00316061"/>
    <w:rsid w:val="003165E6"/>
    <w:rsid w:val="0031662F"/>
    <w:rsid w:val="00317A24"/>
    <w:rsid w:val="00320132"/>
    <w:rsid w:val="00320DC4"/>
    <w:rsid w:val="003215B5"/>
    <w:rsid w:val="00321B01"/>
    <w:rsid w:val="003221CF"/>
    <w:rsid w:val="003222B0"/>
    <w:rsid w:val="00323243"/>
    <w:rsid w:val="003233ED"/>
    <w:rsid w:val="003234C5"/>
    <w:rsid w:val="0032358C"/>
    <w:rsid w:val="0032397E"/>
    <w:rsid w:val="00324D9F"/>
    <w:rsid w:val="00324F8D"/>
    <w:rsid w:val="00327948"/>
    <w:rsid w:val="0033000F"/>
    <w:rsid w:val="003307C7"/>
    <w:rsid w:val="0033135D"/>
    <w:rsid w:val="00331996"/>
    <w:rsid w:val="00331C97"/>
    <w:rsid w:val="00331F63"/>
    <w:rsid w:val="00332011"/>
    <w:rsid w:val="0033206E"/>
    <w:rsid w:val="00332518"/>
    <w:rsid w:val="00332925"/>
    <w:rsid w:val="00332A5A"/>
    <w:rsid w:val="00332E17"/>
    <w:rsid w:val="003332ED"/>
    <w:rsid w:val="00334EDE"/>
    <w:rsid w:val="00335758"/>
    <w:rsid w:val="00335F1B"/>
    <w:rsid w:val="003368DC"/>
    <w:rsid w:val="00337462"/>
    <w:rsid w:val="00340379"/>
    <w:rsid w:val="003415DE"/>
    <w:rsid w:val="003421F2"/>
    <w:rsid w:val="00343347"/>
    <w:rsid w:val="00343D76"/>
    <w:rsid w:val="00345927"/>
    <w:rsid w:val="00347BBF"/>
    <w:rsid w:val="00350584"/>
    <w:rsid w:val="00350669"/>
    <w:rsid w:val="0035066D"/>
    <w:rsid w:val="00350FB4"/>
    <w:rsid w:val="0035105F"/>
    <w:rsid w:val="0035184F"/>
    <w:rsid w:val="00351857"/>
    <w:rsid w:val="00351ED3"/>
    <w:rsid w:val="003525A3"/>
    <w:rsid w:val="00352689"/>
    <w:rsid w:val="00353A9C"/>
    <w:rsid w:val="00354406"/>
    <w:rsid w:val="003544CA"/>
    <w:rsid w:val="003545E8"/>
    <w:rsid w:val="0035636A"/>
    <w:rsid w:val="00356D98"/>
    <w:rsid w:val="00357CF8"/>
    <w:rsid w:val="00360B41"/>
    <w:rsid w:val="003610E1"/>
    <w:rsid w:val="0036289D"/>
    <w:rsid w:val="00365E45"/>
    <w:rsid w:val="00366475"/>
    <w:rsid w:val="003665D3"/>
    <w:rsid w:val="003671BE"/>
    <w:rsid w:val="00370E78"/>
    <w:rsid w:val="00371287"/>
    <w:rsid w:val="00371F65"/>
    <w:rsid w:val="00372485"/>
    <w:rsid w:val="00372A7F"/>
    <w:rsid w:val="00372BE2"/>
    <w:rsid w:val="00372CFE"/>
    <w:rsid w:val="00373200"/>
    <w:rsid w:val="00373DE6"/>
    <w:rsid w:val="0037485D"/>
    <w:rsid w:val="0037562E"/>
    <w:rsid w:val="00375EF5"/>
    <w:rsid w:val="003767A5"/>
    <w:rsid w:val="00377065"/>
    <w:rsid w:val="003775E1"/>
    <w:rsid w:val="00380066"/>
    <w:rsid w:val="00380B77"/>
    <w:rsid w:val="003810C7"/>
    <w:rsid w:val="00381B85"/>
    <w:rsid w:val="00381D15"/>
    <w:rsid w:val="00381D27"/>
    <w:rsid w:val="00383373"/>
    <w:rsid w:val="0038359C"/>
    <w:rsid w:val="0038451C"/>
    <w:rsid w:val="00385254"/>
    <w:rsid w:val="003861F7"/>
    <w:rsid w:val="0038646C"/>
    <w:rsid w:val="00390AFA"/>
    <w:rsid w:val="00390D4C"/>
    <w:rsid w:val="00391D29"/>
    <w:rsid w:val="00392D78"/>
    <w:rsid w:val="00393AEA"/>
    <w:rsid w:val="003948CB"/>
    <w:rsid w:val="003972DB"/>
    <w:rsid w:val="003A04DB"/>
    <w:rsid w:val="003A1751"/>
    <w:rsid w:val="003A2632"/>
    <w:rsid w:val="003A421C"/>
    <w:rsid w:val="003A4B77"/>
    <w:rsid w:val="003A5F5B"/>
    <w:rsid w:val="003A616F"/>
    <w:rsid w:val="003A6C24"/>
    <w:rsid w:val="003A789A"/>
    <w:rsid w:val="003B0203"/>
    <w:rsid w:val="003B087D"/>
    <w:rsid w:val="003B092D"/>
    <w:rsid w:val="003B0C0F"/>
    <w:rsid w:val="003B0D2F"/>
    <w:rsid w:val="003B12EC"/>
    <w:rsid w:val="003B2433"/>
    <w:rsid w:val="003B3F13"/>
    <w:rsid w:val="003B42DE"/>
    <w:rsid w:val="003B4C22"/>
    <w:rsid w:val="003B4E60"/>
    <w:rsid w:val="003B6225"/>
    <w:rsid w:val="003B7676"/>
    <w:rsid w:val="003B7710"/>
    <w:rsid w:val="003B7C99"/>
    <w:rsid w:val="003C0F78"/>
    <w:rsid w:val="003C1A37"/>
    <w:rsid w:val="003C2093"/>
    <w:rsid w:val="003C431F"/>
    <w:rsid w:val="003C4DB7"/>
    <w:rsid w:val="003C55E5"/>
    <w:rsid w:val="003C64F8"/>
    <w:rsid w:val="003C6778"/>
    <w:rsid w:val="003C77E0"/>
    <w:rsid w:val="003C7BFF"/>
    <w:rsid w:val="003C7FA4"/>
    <w:rsid w:val="003D0169"/>
    <w:rsid w:val="003D01CE"/>
    <w:rsid w:val="003D03E3"/>
    <w:rsid w:val="003D1681"/>
    <w:rsid w:val="003D17D7"/>
    <w:rsid w:val="003D266B"/>
    <w:rsid w:val="003D2678"/>
    <w:rsid w:val="003D2FFF"/>
    <w:rsid w:val="003D3965"/>
    <w:rsid w:val="003D3BCA"/>
    <w:rsid w:val="003D3EDA"/>
    <w:rsid w:val="003D44EA"/>
    <w:rsid w:val="003D637A"/>
    <w:rsid w:val="003D71A3"/>
    <w:rsid w:val="003D7299"/>
    <w:rsid w:val="003E0020"/>
    <w:rsid w:val="003E08DD"/>
    <w:rsid w:val="003E2B8A"/>
    <w:rsid w:val="003E31B2"/>
    <w:rsid w:val="003E41A5"/>
    <w:rsid w:val="003E5E32"/>
    <w:rsid w:val="003E628D"/>
    <w:rsid w:val="003E6BC0"/>
    <w:rsid w:val="003E6FA1"/>
    <w:rsid w:val="003E7C71"/>
    <w:rsid w:val="003F0729"/>
    <w:rsid w:val="003F07D2"/>
    <w:rsid w:val="003F10EE"/>
    <w:rsid w:val="003F119F"/>
    <w:rsid w:val="003F16F6"/>
    <w:rsid w:val="003F1A63"/>
    <w:rsid w:val="003F24BB"/>
    <w:rsid w:val="003F2E19"/>
    <w:rsid w:val="003F2FD8"/>
    <w:rsid w:val="003F3300"/>
    <w:rsid w:val="003F3670"/>
    <w:rsid w:val="003F3714"/>
    <w:rsid w:val="003F3983"/>
    <w:rsid w:val="003F3EF3"/>
    <w:rsid w:val="003F4DC7"/>
    <w:rsid w:val="003F5235"/>
    <w:rsid w:val="003F5B6B"/>
    <w:rsid w:val="003F5D01"/>
    <w:rsid w:val="003F5E79"/>
    <w:rsid w:val="003F5F0F"/>
    <w:rsid w:val="003F718D"/>
    <w:rsid w:val="003F7C8D"/>
    <w:rsid w:val="00400029"/>
    <w:rsid w:val="004000D7"/>
    <w:rsid w:val="00400E10"/>
    <w:rsid w:val="00400F0F"/>
    <w:rsid w:val="00402518"/>
    <w:rsid w:val="004027E4"/>
    <w:rsid w:val="00402D20"/>
    <w:rsid w:val="004032AB"/>
    <w:rsid w:val="0040339B"/>
    <w:rsid w:val="00404AC1"/>
    <w:rsid w:val="00404CE3"/>
    <w:rsid w:val="0040545C"/>
    <w:rsid w:val="0040554A"/>
    <w:rsid w:val="00405F8E"/>
    <w:rsid w:val="00407083"/>
    <w:rsid w:val="0041071D"/>
    <w:rsid w:val="004111E8"/>
    <w:rsid w:val="0041160B"/>
    <w:rsid w:val="004128A0"/>
    <w:rsid w:val="00413F34"/>
    <w:rsid w:val="00414AFC"/>
    <w:rsid w:val="00414E89"/>
    <w:rsid w:val="004151A7"/>
    <w:rsid w:val="00415310"/>
    <w:rsid w:val="004153FB"/>
    <w:rsid w:val="00416014"/>
    <w:rsid w:val="00417549"/>
    <w:rsid w:val="00420467"/>
    <w:rsid w:val="00420994"/>
    <w:rsid w:val="00421709"/>
    <w:rsid w:val="00421AB0"/>
    <w:rsid w:val="00421E12"/>
    <w:rsid w:val="00423359"/>
    <w:rsid w:val="00423763"/>
    <w:rsid w:val="00423C65"/>
    <w:rsid w:val="004251C4"/>
    <w:rsid w:val="0042562C"/>
    <w:rsid w:val="004263C6"/>
    <w:rsid w:val="00427510"/>
    <w:rsid w:val="0042762F"/>
    <w:rsid w:val="00427DC7"/>
    <w:rsid w:val="00430186"/>
    <w:rsid w:val="004303DD"/>
    <w:rsid w:val="00431613"/>
    <w:rsid w:val="00431792"/>
    <w:rsid w:val="004320CB"/>
    <w:rsid w:val="004323B2"/>
    <w:rsid w:val="004326B5"/>
    <w:rsid w:val="0043297A"/>
    <w:rsid w:val="00432EB2"/>
    <w:rsid w:val="00433391"/>
    <w:rsid w:val="00433EC0"/>
    <w:rsid w:val="0043415D"/>
    <w:rsid w:val="00435C43"/>
    <w:rsid w:val="0043714F"/>
    <w:rsid w:val="004372FE"/>
    <w:rsid w:val="00437E7B"/>
    <w:rsid w:val="00441064"/>
    <w:rsid w:val="0044183F"/>
    <w:rsid w:val="004425A1"/>
    <w:rsid w:val="00442C78"/>
    <w:rsid w:val="00442E18"/>
    <w:rsid w:val="004438B5"/>
    <w:rsid w:val="00443BA5"/>
    <w:rsid w:val="0044461B"/>
    <w:rsid w:val="004447D7"/>
    <w:rsid w:val="004450E3"/>
    <w:rsid w:val="00445CC0"/>
    <w:rsid w:val="00446DDA"/>
    <w:rsid w:val="00447037"/>
    <w:rsid w:val="0045059D"/>
    <w:rsid w:val="00450664"/>
    <w:rsid w:val="0045124D"/>
    <w:rsid w:val="004512E0"/>
    <w:rsid w:val="004532C7"/>
    <w:rsid w:val="004539F9"/>
    <w:rsid w:val="00453A6F"/>
    <w:rsid w:val="00453AC7"/>
    <w:rsid w:val="00453FEE"/>
    <w:rsid w:val="00454596"/>
    <w:rsid w:val="00454878"/>
    <w:rsid w:val="004555F6"/>
    <w:rsid w:val="00455829"/>
    <w:rsid w:val="0045605D"/>
    <w:rsid w:val="00456C4C"/>
    <w:rsid w:val="00457776"/>
    <w:rsid w:val="00457973"/>
    <w:rsid w:val="00460A30"/>
    <w:rsid w:val="00461032"/>
    <w:rsid w:val="004610E3"/>
    <w:rsid w:val="004611E8"/>
    <w:rsid w:val="0046135B"/>
    <w:rsid w:val="00461369"/>
    <w:rsid w:val="004613F2"/>
    <w:rsid w:val="00461C4F"/>
    <w:rsid w:val="00461D47"/>
    <w:rsid w:val="00462637"/>
    <w:rsid w:val="00462AD6"/>
    <w:rsid w:val="00463009"/>
    <w:rsid w:val="004631EC"/>
    <w:rsid w:val="00463840"/>
    <w:rsid w:val="00464128"/>
    <w:rsid w:val="0046452F"/>
    <w:rsid w:val="00464E8A"/>
    <w:rsid w:val="00465582"/>
    <w:rsid w:val="004664AA"/>
    <w:rsid w:val="00466752"/>
    <w:rsid w:val="004667B1"/>
    <w:rsid w:val="00467429"/>
    <w:rsid w:val="0046789B"/>
    <w:rsid w:val="00467CD5"/>
    <w:rsid w:val="004706B7"/>
    <w:rsid w:val="004708EC"/>
    <w:rsid w:val="004718CC"/>
    <w:rsid w:val="00471B41"/>
    <w:rsid w:val="00473BEB"/>
    <w:rsid w:val="00474304"/>
    <w:rsid w:val="004769E2"/>
    <w:rsid w:val="0047731D"/>
    <w:rsid w:val="00481695"/>
    <w:rsid w:val="00481B15"/>
    <w:rsid w:val="0048237C"/>
    <w:rsid w:val="00482CC3"/>
    <w:rsid w:val="00482F3F"/>
    <w:rsid w:val="004858BD"/>
    <w:rsid w:val="00487297"/>
    <w:rsid w:val="00487392"/>
    <w:rsid w:val="00487631"/>
    <w:rsid w:val="00487FC1"/>
    <w:rsid w:val="00491174"/>
    <w:rsid w:val="0049146F"/>
    <w:rsid w:val="00492686"/>
    <w:rsid w:val="00493166"/>
    <w:rsid w:val="00493589"/>
    <w:rsid w:val="0049521C"/>
    <w:rsid w:val="00495A96"/>
    <w:rsid w:val="00495BB3"/>
    <w:rsid w:val="004960D4"/>
    <w:rsid w:val="00496EEA"/>
    <w:rsid w:val="00497218"/>
    <w:rsid w:val="00497A2C"/>
    <w:rsid w:val="00497B52"/>
    <w:rsid w:val="004A00F6"/>
    <w:rsid w:val="004A14E0"/>
    <w:rsid w:val="004A17F1"/>
    <w:rsid w:val="004A1C79"/>
    <w:rsid w:val="004A2631"/>
    <w:rsid w:val="004A2C64"/>
    <w:rsid w:val="004A2CD5"/>
    <w:rsid w:val="004A2D2D"/>
    <w:rsid w:val="004A36EC"/>
    <w:rsid w:val="004A3B44"/>
    <w:rsid w:val="004A4237"/>
    <w:rsid w:val="004A4880"/>
    <w:rsid w:val="004A529C"/>
    <w:rsid w:val="004A56BB"/>
    <w:rsid w:val="004A67F4"/>
    <w:rsid w:val="004A70D6"/>
    <w:rsid w:val="004A718B"/>
    <w:rsid w:val="004A7A51"/>
    <w:rsid w:val="004B0FF9"/>
    <w:rsid w:val="004B111A"/>
    <w:rsid w:val="004B1658"/>
    <w:rsid w:val="004B1751"/>
    <w:rsid w:val="004B1DCE"/>
    <w:rsid w:val="004B203F"/>
    <w:rsid w:val="004B3881"/>
    <w:rsid w:val="004B6191"/>
    <w:rsid w:val="004B61DF"/>
    <w:rsid w:val="004B764A"/>
    <w:rsid w:val="004C0145"/>
    <w:rsid w:val="004C0253"/>
    <w:rsid w:val="004C1D89"/>
    <w:rsid w:val="004C27A2"/>
    <w:rsid w:val="004C2C62"/>
    <w:rsid w:val="004C4B4C"/>
    <w:rsid w:val="004C4FEF"/>
    <w:rsid w:val="004C6436"/>
    <w:rsid w:val="004C6645"/>
    <w:rsid w:val="004C6B6B"/>
    <w:rsid w:val="004C7936"/>
    <w:rsid w:val="004D06CE"/>
    <w:rsid w:val="004D0C3D"/>
    <w:rsid w:val="004D1130"/>
    <w:rsid w:val="004D4061"/>
    <w:rsid w:val="004D56F0"/>
    <w:rsid w:val="004D56FF"/>
    <w:rsid w:val="004D57A3"/>
    <w:rsid w:val="004D6DC2"/>
    <w:rsid w:val="004D70E0"/>
    <w:rsid w:val="004D74B3"/>
    <w:rsid w:val="004D7EA6"/>
    <w:rsid w:val="004E0119"/>
    <w:rsid w:val="004E03A8"/>
    <w:rsid w:val="004E0588"/>
    <w:rsid w:val="004E0920"/>
    <w:rsid w:val="004E28FD"/>
    <w:rsid w:val="004E317F"/>
    <w:rsid w:val="004E343B"/>
    <w:rsid w:val="004E39D3"/>
    <w:rsid w:val="004E3C65"/>
    <w:rsid w:val="004E4095"/>
    <w:rsid w:val="004E508A"/>
    <w:rsid w:val="004E616D"/>
    <w:rsid w:val="004E6E52"/>
    <w:rsid w:val="004E7849"/>
    <w:rsid w:val="004E7AB8"/>
    <w:rsid w:val="004E7BAF"/>
    <w:rsid w:val="004E7D08"/>
    <w:rsid w:val="004F03FF"/>
    <w:rsid w:val="004F058A"/>
    <w:rsid w:val="004F1623"/>
    <w:rsid w:val="004F1BDE"/>
    <w:rsid w:val="004F2AF7"/>
    <w:rsid w:val="004F2CEE"/>
    <w:rsid w:val="004F5482"/>
    <w:rsid w:val="004F556E"/>
    <w:rsid w:val="004F591C"/>
    <w:rsid w:val="004F6449"/>
    <w:rsid w:val="004F72B4"/>
    <w:rsid w:val="004F7F44"/>
    <w:rsid w:val="00500A9E"/>
    <w:rsid w:val="00501B74"/>
    <w:rsid w:val="00501FC8"/>
    <w:rsid w:val="00503117"/>
    <w:rsid w:val="005037B4"/>
    <w:rsid w:val="005059D1"/>
    <w:rsid w:val="005067C3"/>
    <w:rsid w:val="00507766"/>
    <w:rsid w:val="005079BF"/>
    <w:rsid w:val="005111C3"/>
    <w:rsid w:val="005114B9"/>
    <w:rsid w:val="0051269A"/>
    <w:rsid w:val="005130F5"/>
    <w:rsid w:val="00516372"/>
    <w:rsid w:val="00517F98"/>
    <w:rsid w:val="005205CA"/>
    <w:rsid w:val="00520695"/>
    <w:rsid w:val="005211B0"/>
    <w:rsid w:val="005219E7"/>
    <w:rsid w:val="00521ED4"/>
    <w:rsid w:val="005230DF"/>
    <w:rsid w:val="00523A97"/>
    <w:rsid w:val="00523CBC"/>
    <w:rsid w:val="00523F29"/>
    <w:rsid w:val="005245FC"/>
    <w:rsid w:val="00524E18"/>
    <w:rsid w:val="005255DE"/>
    <w:rsid w:val="00527AB6"/>
    <w:rsid w:val="005305C7"/>
    <w:rsid w:val="00531B9A"/>
    <w:rsid w:val="00531D15"/>
    <w:rsid w:val="00532F23"/>
    <w:rsid w:val="00533E24"/>
    <w:rsid w:val="00534220"/>
    <w:rsid w:val="00534A55"/>
    <w:rsid w:val="0053552D"/>
    <w:rsid w:val="005355EC"/>
    <w:rsid w:val="0053695E"/>
    <w:rsid w:val="00537071"/>
    <w:rsid w:val="00537604"/>
    <w:rsid w:val="0053769E"/>
    <w:rsid w:val="005402AE"/>
    <w:rsid w:val="005409AB"/>
    <w:rsid w:val="00542377"/>
    <w:rsid w:val="00542F1E"/>
    <w:rsid w:val="005448A5"/>
    <w:rsid w:val="00544965"/>
    <w:rsid w:val="00544DB1"/>
    <w:rsid w:val="00545F94"/>
    <w:rsid w:val="005460F3"/>
    <w:rsid w:val="005476EB"/>
    <w:rsid w:val="00547CCC"/>
    <w:rsid w:val="00551782"/>
    <w:rsid w:val="00552A71"/>
    <w:rsid w:val="005534A8"/>
    <w:rsid w:val="0055412B"/>
    <w:rsid w:val="00554B2F"/>
    <w:rsid w:val="00555A2D"/>
    <w:rsid w:val="00555C4A"/>
    <w:rsid w:val="00556880"/>
    <w:rsid w:val="00560802"/>
    <w:rsid w:val="00561699"/>
    <w:rsid w:val="00561797"/>
    <w:rsid w:val="005624D9"/>
    <w:rsid w:val="00563EF1"/>
    <w:rsid w:val="0056647F"/>
    <w:rsid w:val="00566AB4"/>
    <w:rsid w:val="00570A26"/>
    <w:rsid w:val="00570E6B"/>
    <w:rsid w:val="0057122A"/>
    <w:rsid w:val="00571A78"/>
    <w:rsid w:val="00571B08"/>
    <w:rsid w:val="00571C6F"/>
    <w:rsid w:val="00572461"/>
    <w:rsid w:val="00572558"/>
    <w:rsid w:val="00573A83"/>
    <w:rsid w:val="00573B3B"/>
    <w:rsid w:val="00574266"/>
    <w:rsid w:val="00574DEE"/>
    <w:rsid w:val="00575003"/>
    <w:rsid w:val="00575AC5"/>
    <w:rsid w:val="0057605D"/>
    <w:rsid w:val="00576766"/>
    <w:rsid w:val="00576E1F"/>
    <w:rsid w:val="0058010A"/>
    <w:rsid w:val="00580A93"/>
    <w:rsid w:val="00581347"/>
    <w:rsid w:val="00581833"/>
    <w:rsid w:val="00581AC9"/>
    <w:rsid w:val="00581D3E"/>
    <w:rsid w:val="00582013"/>
    <w:rsid w:val="00583619"/>
    <w:rsid w:val="005849F8"/>
    <w:rsid w:val="00584E1B"/>
    <w:rsid w:val="00585BD1"/>
    <w:rsid w:val="00585E3D"/>
    <w:rsid w:val="00586839"/>
    <w:rsid w:val="005870D1"/>
    <w:rsid w:val="0058768B"/>
    <w:rsid w:val="0059069F"/>
    <w:rsid w:val="00590841"/>
    <w:rsid w:val="00592806"/>
    <w:rsid w:val="00592991"/>
    <w:rsid w:val="00592AC7"/>
    <w:rsid w:val="0059306E"/>
    <w:rsid w:val="005938DF"/>
    <w:rsid w:val="0059427D"/>
    <w:rsid w:val="00594705"/>
    <w:rsid w:val="00594E9C"/>
    <w:rsid w:val="005973D3"/>
    <w:rsid w:val="00597DBE"/>
    <w:rsid w:val="005A0533"/>
    <w:rsid w:val="005A099B"/>
    <w:rsid w:val="005A134C"/>
    <w:rsid w:val="005A1849"/>
    <w:rsid w:val="005A1C55"/>
    <w:rsid w:val="005A2D9C"/>
    <w:rsid w:val="005A304F"/>
    <w:rsid w:val="005A4E93"/>
    <w:rsid w:val="005A55FE"/>
    <w:rsid w:val="005A56B9"/>
    <w:rsid w:val="005A5901"/>
    <w:rsid w:val="005A6A11"/>
    <w:rsid w:val="005A7104"/>
    <w:rsid w:val="005A75D4"/>
    <w:rsid w:val="005B08F6"/>
    <w:rsid w:val="005B18B6"/>
    <w:rsid w:val="005B26A7"/>
    <w:rsid w:val="005B2A5E"/>
    <w:rsid w:val="005B3671"/>
    <w:rsid w:val="005B4C08"/>
    <w:rsid w:val="005B7C65"/>
    <w:rsid w:val="005C02D6"/>
    <w:rsid w:val="005C03AB"/>
    <w:rsid w:val="005C0A2E"/>
    <w:rsid w:val="005C0B8F"/>
    <w:rsid w:val="005C1AD8"/>
    <w:rsid w:val="005C2624"/>
    <w:rsid w:val="005C2B93"/>
    <w:rsid w:val="005C2C86"/>
    <w:rsid w:val="005C38BF"/>
    <w:rsid w:val="005C3E06"/>
    <w:rsid w:val="005C5C8A"/>
    <w:rsid w:val="005C6044"/>
    <w:rsid w:val="005C6B11"/>
    <w:rsid w:val="005C74EE"/>
    <w:rsid w:val="005C7DFA"/>
    <w:rsid w:val="005D1529"/>
    <w:rsid w:val="005D17D2"/>
    <w:rsid w:val="005D214E"/>
    <w:rsid w:val="005D2443"/>
    <w:rsid w:val="005D2502"/>
    <w:rsid w:val="005D2D47"/>
    <w:rsid w:val="005D2E80"/>
    <w:rsid w:val="005D3258"/>
    <w:rsid w:val="005D40AC"/>
    <w:rsid w:val="005D40BB"/>
    <w:rsid w:val="005D47F3"/>
    <w:rsid w:val="005D49BF"/>
    <w:rsid w:val="005D4AA5"/>
    <w:rsid w:val="005D5F76"/>
    <w:rsid w:val="005D60F8"/>
    <w:rsid w:val="005D6811"/>
    <w:rsid w:val="005D6A5C"/>
    <w:rsid w:val="005D6F4E"/>
    <w:rsid w:val="005D74C5"/>
    <w:rsid w:val="005D7B31"/>
    <w:rsid w:val="005D7C73"/>
    <w:rsid w:val="005E06E0"/>
    <w:rsid w:val="005E0F4B"/>
    <w:rsid w:val="005E1213"/>
    <w:rsid w:val="005E1739"/>
    <w:rsid w:val="005E250B"/>
    <w:rsid w:val="005E3ACD"/>
    <w:rsid w:val="005E404D"/>
    <w:rsid w:val="005E47AB"/>
    <w:rsid w:val="005E57DE"/>
    <w:rsid w:val="005E5FEF"/>
    <w:rsid w:val="005E705C"/>
    <w:rsid w:val="005E7226"/>
    <w:rsid w:val="005E792E"/>
    <w:rsid w:val="005E7A57"/>
    <w:rsid w:val="005E7A65"/>
    <w:rsid w:val="005E7C7E"/>
    <w:rsid w:val="005E7DE8"/>
    <w:rsid w:val="005F08DA"/>
    <w:rsid w:val="005F11C6"/>
    <w:rsid w:val="005F24B0"/>
    <w:rsid w:val="005F314E"/>
    <w:rsid w:val="005F3A73"/>
    <w:rsid w:val="005F3E1D"/>
    <w:rsid w:val="005F3FB9"/>
    <w:rsid w:val="005F3FF8"/>
    <w:rsid w:val="005F4394"/>
    <w:rsid w:val="005F6457"/>
    <w:rsid w:val="005F6865"/>
    <w:rsid w:val="005F731B"/>
    <w:rsid w:val="00600416"/>
    <w:rsid w:val="006006F1"/>
    <w:rsid w:val="00602EFB"/>
    <w:rsid w:val="006039A9"/>
    <w:rsid w:val="00604315"/>
    <w:rsid w:val="006048DA"/>
    <w:rsid w:val="00604E26"/>
    <w:rsid w:val="006051CA"/>
    <w:rsid w:val="0060523F"/>
    <w:rsid w:val="006052CF"/>
    <w:rsid w:val="00605AB5"/>
    <w:rsid w:val="00605E8E"/>
    <w:rsid w:val="00605F86"/>
    <w:rsid w:val="00607B8D"/>
    <w:rsid w:val="00610230"/>
    <w:rsid w:val="006116FF"/>
    <w:rsid w:val="00611F5C"/>
    <w:rsid w:val="006124D5"/>
    <w:rsid w:val="0061259F"/>
    <w:rsid w:val="00613376"/>
    <w:rsid w:val="00614F7A"/>
    <w:rsid w:val="006150FD"/>
    <w:rsid w:val="006155D0"/>
    <w:rsid w:val="00616E09"/>
    <w:rsid w:val="00617941"/>
    <w:rsid w:val="00617F81"/>
    <w:rsid w:val="00620CF4"/>
    <w:rsid w:val="00622A3B"/>
    <w:rsid w:val="00622C78"/>
    <w:rsid w:val="00622CA2"/>
    <w:rsid w:val="00622EEA"/>
    <w:rsid w:val="0062396C"/>
    <w:rsid w:val="00623B49"/>
    <w:rsid w:val="00623FF9"/>
    <w:rsid w:val="006240C1"/>
    <w:rsid w:val="0062412E"/>
    <w:rsid w:val="006246FC"/>
    <w:rsid w:val="00625B30"/>
    <w:rsid w:val="006271DC"/>
    <w:rsid w:val="00627D4E"/>
    <w:rsid w:val="00632B89"/>
    <w:rsid w:val="00633233"/>
    <w:rsid w:val="0063346D"/>
    <w:rsid w:val="006337FF"/>
    <w:rsid w:val="00634478"/>
    <w:rsid w:val="00634496"/>
    <w:rsid w:val="006428C8"/>
    <w:rsid w:val="00642D16"/>
    <w:rsid w:val="00642EA3"/>
    <w:rsid w:val="0064382E"/>
    <w:rsid w:val="00643A96"/>
    <w:rsid w:val="00643C19"/>
    <w:rsid w:val="00644009"/>
    <w:rsid w:val="00644312"/>
    <w:rsid w:val="00644373"/>
    <w:rsid w:val="00645915"/>
    <w:rsid w:val="00646B82"/>
    <w:rsid w:val="00651835"/>
    <w:rsid w:val="006519C3"/>
    <w:rsid w:val="00651B58"/>
    <w:rsid w:val="00651E19"/>
    <w:rsid w:val="00652B30"/>
    <w:rsid w:val="00653436"/>
    <w:rsid w:val="006534B2"/>
    <w:rsid w:val="00653593"/>
    <w:rsid w:val="006542AF"/>
    <w:rsid w:val="00655046"/>
    <w:rsid w:val="0065521C"/>
    <w:rsid w:val="006559D1"/>
    <w:rsid w:val="006559F4"/>
    <w:rsid w:val="00655BC7"/>
    <w:rsid w:val="00656345"/>
    <w:rsid w:val="00656DC6"/>
    <w:rsid w:val="00657614"/>
    <w:rsid w:val="006576A4"/>
    <w:rsid w:val="00657FD9"/>
    <w:rsid w:val="00660EC6"/>
    <w:rsid w:val="006614B0"/>
    <w:rsid w:val="006617A5"/>
    <w:rsid w:val="00662AB4"/>
    <w:rsid w:val="006639B6"/>
    <w:rsid w:val="00663C60"/>
    <w:rsid w:val="00664110"/>
    <w:rsid w:val="00664367"/>
    <w:rsid w:val="00664D17"/>
    <w:rsid w:val="006654DB"/>
    <w:rsid w:val="0066567C"/>
    <w:rsid w:val="00665EBC"/>
    <w:rsid w:val="00666520"/>
    <w:rsid w:val="00666616"/>
    <w:rsid w:val="0066698E"/>
    <w:rsid w:val="006669B3"/>
    <w:rsid w:val="00667C5B"/>
    <w:rsid w:val="006706DA"/>
    <w:rsid w:val="006707D2"/>
    <w:rsid w:val="00671C54"/>
    <w:rsid w:val="0067372C"/>
    <w:rsid w:val="00673DB3"/>
    <w:rsid w:val="006740ED"/>
    <w:rsid w:val="0067501D"/>
    <w:rsid w:val="00675C17"/>
    <w:rsid w:val="006764B7"/>
    <w:rsid w:val="0067670A"/>
    <w:rsid w:val="00676CD3"/>
    <w:rsid w:val="00680DE8"/>
    <w:rsid w:val="00682236"/>
    <w:rsid w:val="006830B3"/>
    <w:rsid w:val="00685D7E"/>
    <w:rsid w:val="00687927"/>
    <w:rsid w:val="00690C69"/>
    <w:rsid w:val="006919BC"/>
    <w:rsid w:val="00691EB8"/>
    <w:rsid w:val="00692CDE"/>
    <w:rsid w:val="00693073"/>
    <w:rsid w:val="0069321F"/>
    <w:rsid w:val="0069408B"/>
    <w:rsid w:val="0069665E"/>
    <w:rsid w:val="006969B0"/>
    <w:rsid w:val="00696B25"/>
    <w:rsid w:val="006973B6"/>
    <w:rsid w:val="006977FF"/>
    <w:rsid w:val="0069788E"/>
    <w:rsid w:val="006A01FA"/>
    <w:rsid w:val="006A039B"/>
    <w:rsid w:val="006A05D4"/>
    <w:rsid w:val="006A0800"/>
    <w:rsid w:val="006A0E9E"/>
    <w:rsid w:val="006A25C7"/>
    <w:rsid w:val="006A2876"/>
    <w:rsid w:val="006A2B6A"/>
    <w:rsid w:val="006A4851"/>
    <w:rsid w:val="006A4AAD"/>
    <w:rsid w:val="006A65CE"/>
    <w:rsid w:val="006A678F"/>
    <w:rsid w:val="006A6DA2"/>
    <w:rsid w:val="006A70C0"/>
    <w:rsid w:val="006A724A"/>
    <w:rsid w:val="006A7AB2"/>
    <w:rsid w:val="006A7F3C"/>
    <w:rsid w:val="006A7F6A"/>
    <w:rsid w:val="006B064B"/>
    <w:rsid w:val="006B09E4"/>
    <w:rsid w:val="006B1DB2"/>
    <w:rsid w:val="006B44E0"/>
    <w:rsid w:val="006B51DF"/>
    <w:rsid w:val="006B52DE"/>
    <w:rsid w:val="006B5717"/>
    <w:rsid w:val="006B582F"/>
    <w:rsid w:val="006B5EB2"/>
    <w:rsid w:val="006B6356"/>
    <w:rsid w:val="006B712C"/>
    <w:rsid w:val="006B7822"/>
    <w:rsid w:val="006C0CEB"/>
    <w:rsid w:val="006C1631"/>
    <w:rsid w:val="006C2432"/>
    <w:rsid w:val="006C2730"/>
    <w:rsid w:val="006C2C4C"/>
    <w:rsid w:val="006C2EC3"/>
    <w:rsid w:val="006C36E1"/>
    <w:rsid w:val="006C3B1E"/>
    <w:rsid w:val="006C3C48"/>
    <w:rsid w:val="006C47FD"/>
    <w:rsid w:val="006C5C19"/>
    <w:rsid w:val="006C7074"/>
    <w:rsid w:val="006C70A0"/>
    <w:rsid w:val="006C70C0"/>
    <w:rsid w:val="006C72A3"/>
    <w:rsid w:val="006D1936"/>
    <w:rsid w:val="006D1BFD"/>
    <w:rsid w:val="006D1E22"/>
    <w:rsid w:val="006D1FBB"/>
    <w:rsid w:val="006D2332"/>
    <w:rsid w:val="006D2676"/>
    <w:rsid w:val="006D27CB"/>
    <w:rsid w:val="006D2F08"/>
    <w:rsid w:val="006D3601"/>
    <w:rsid w:val="006D4065"/>
    <w:rsid w:val="006D47EF"/>
    <w:rsid w:val="006D51CD"/>
    <w:rsid w:val="006D576C"/>
    <w:rsid w:val="006D5865"/>
    <w:rsid w:val="006D6052"/>
    <w:rsid w:val="006D6497"/>
    <w:rsid w:val="006D6EEC"/>
    <w:rsid w:val="006D70D7"/>
    <w:rsid w:val="006E0B99"/>
    <w:rsid w:val="006E0D91"/>
    <w:rsid w:val="006E10BF"/>
    <w:rsid w:val="006E2085"/>
    <w:rsid w:val="006E22A2"/>
    <w:rsid w:val="006E3ABB"/>
    <w:rsid w:val="006E4814"/>
    <w:rsid w:val="006E4B1B"/>
    <w:rsid w:val="006E5445"/>
    <w:rsid w:val="006E56EB"/>
    <w:rsid w:val="006E620D"/>
    <w:rsid w:val="006E65E8"/>
    <w:rsid w:val="006E6FAD"/>
    <w:rsid w:val="006E7059"/>
    <w:rsid w:val="006E7D93"/>
    <w:rsid w:val="006F04F5"/>
    <w:rsid w:val="006F0C69"/>
    <w:rsid w:val="006F0E63"/>
    <w:rsid w:val="006F1A17"/>
    <w:rsid w:val="006F1DB1"/>
    <w:rsid w:val="006F21E7"/>
    <w:rsid w:val="006F2AF6"/>
    <w:rsid w:val="006F3252"/>
    <w:rsid w:val="006F380A"/>
    <w:rsid w:val="006F394A"/>
    <w:rsid w:val="006F4141"/>
    <w:rsid w:val="006F58F4"/>
    <w:rsid w:val="006F5B00"/>
    <w:rsid w:val="006F67D4"/>
    <w:rsid w:val="006F698D"/>
    <w:rsid w:val="006F6B6A"/>
    <w:rsid w:val="006F6C78"/>
    <w:rsid w:val="00700F86"/>
    <w:rsid w:val="00701222"/>
    <w:rsid w:val="00701FB6"/>
    <w:rsid w:val="007029A3"/>
    <w:rsid w:val="00703E66"/>
    <w:rsid w:val="00703FD4"/>
    <w:rsid w:val="007042FE"/>
    <w:rsid w:val="007046C0"/>
    <w:rsid w:val="00705027"/>
    <w:rsid w:val="0070558E"/>
    <w:rsid w:val="00706456"/>
    <w:rsid w:val="00706C5B"/>
    <w:rsid w:val="00706E4E"/>
    <w:rsid w:val="0070791C"/>
    <w:rsid w:val="0071122D"/>
    <w:rsid w:val="0071383C"/>
    <w:rsid w:val="007141A7"/>
    <w:rsid w:val="007146EE"/>
    <w:rsid w:val="00715329"/>
    <w:rsid w:val="00715722"/>
    <w:rsid w:val="00715E52"/>
    <w:rsid w:val="00721032"/>
    <w:rsid w:val="00721165"/>
    <w:rsid w:val="0072149D"/>
    <w:rsid w:val="00721902"/>
    <w:rsid w:val="00721B55"/>
    <w:rsid w:val="0072267E"/>
    <w:rsid w:val="0072275C"/>
    <w:rsid w:val="00723979"/>
    <w:rsid w:val="00724F5D"/>
    <w:rsid w:val="007255A1"/>
    <w:rsid w:val="00725B6C"/>
    <w:rsid w:val="00726CE4"/>
    <w:rsid w:val="00727317"/>
    <w:rsid w:val="007301D4"/>
    <w:rsid w:val="0073123D"/>
    <w:rsid w:val="00731A19"/>
    <w:rsid w:val="0073281B"/>
    <w:rsid w:val="00733EC7"/>
    <w:rsid w:val="007340F6"/>
    <w:rsid w:val="00734143"/>
    <w:rsid w:val="007346B1"/>
    <w:rsid w:val="00734947"/>
    <w:rsid w:val="00735A72"/>
    <w:rsid w:val="007360B0"/>
    <w:rsid w:val="007368BC"/>
    <w:rsid w:val="00736BF5"/>
    <w:rsid w:val="00737E47"/>
    <w:rsid w:val="00737E48"/>
    <w:rsid w:val="00740EAC"/>
    <w:rsid w:val="00741163"/>
    <w:rsid w:val="0074280F"/>
    <w:rsid w:val="00744956"/>
    <w:rsid w:val="0074570A"/>
    <w:rsid w:val="00745A5C"/>
    <w:rsid w:val="00745E2E"/>
    <w:rsid w:val="0074605F"/>
    <w:rsid w:val="00746824"/>
    <w:rsid w:val="00747238"/>
    <w:rsid w:val="0074771C"/>
    <w:rsid w:val="007479C0"/>
    <w:rsid w:val="00747C78"/>
    <w:rsid w:val="00747E94"/>
    <w:rsid w:val="007516D7"/>
    <w:rsid w:val="0075287B"/>
    <w:rsid w:val="00752C59"/>
    <w:rsid w:val="007546AF"/>
    <w:rsid w:val="00754BD2"/>
    <w:rsid w:val="00754C83"/>
    <w:rsid w:val="00755D02"/>
    <w:rsid w:val="00756293"/>
    <w:rsid w:val="007567BD"/>
    <w:rsid w:val="00756A58"/>
    <w:rsid w:val="007576F6"/>
    <w:rsid w:val="00757CC4"/>
    <w:rsid w:val="00757D0F"/>
    <w:rsid w:val="00761E5C"/>
    <w:rsid w:val="007638AC"/>
    <w:rsid w:val="00763974"/>
    <w:rsid w:val="00763ADF"/>
    <w:rsid w:val="00763C0F"/>
    <w:rsid w:val="007641B0"/>
    <w:rsid w:val="007647EB"/>
    <w:rsid w:val="007649FF"/>
    <w:rsid w:val="0076547C"/>
    <w:rsid w:val="00765DF8"/>
    <w:rsid w:val="00766749"/>
    <w:rsid w:val="00766846"/>
    <w:rsid w:val="00767C1B"/>
    <w:rsid w:val="00770691"/>
    <w:rsid w:val="007708EF"/>
    <w:rsid w:val="007714A9"/>
    <w:rsid w:val="00771508"/>
    <w:rsid w:val="00773381"/>
    <w:rsid w:val="00773949"/>
    <w:rsid w:val="00773A71"/>
    <w:rsid w:val="00774D6D"/>
    <w:rsid w:val="00774F88"/>
    <w:rsid w:val="00774FDB"/>
    <w:rsid w:val="0077693D"/>
    <w:rsid w:val="00776ECD"/>
    <w:rsid w:val="00777BA2"/>
    <w:rsid w:val="00777EFF"/>
    <w:rsid w:val="0078030F"/>
    <w:rsid w:val="0078032E"/>
    <w:rsid w:val="00780922"/>
    <w:rsid w:val="00781108"/>
    <w:rsid w:val="00781199"/>
    <w:rsid w:val="00781394"/>
    <w:rsid w:val="00781408"/>
    <w:rsid w:val="00783052"/>
    <w:rsid w:val="00784F7F"/>
    <w:rsid w:val="00785B63"/>
    <w:rsid w:val="007865E4"/>
    <w:rsid w:val="00786FAC"/>
    <w:rsid w:val="00787257"/>
    <w:rsid w:val="0078760C"/>
    <w:rsid w:val="007878BD"/>
    <w:rsid w:val="00790DCB"/>
    <w:rsid w:val="0079205F"/>
    <w:rsid w:val="0079241A"/>
    <w:rsid w:val="00792849"/>
    <w:rsid w:val="00792BB0"/>
    <w:rsid w:val="00792DC9"/>
    <w:rsid w:val="0079394E"/>
    <w:rsid w:val="007941CB"/>
    <w:rsid w:val="0079599B"/>
    <w:rsid w:val="00795DAA"/>
    <w:rsid w:val="007968DF"/>
    <w:rsid w:val="00796A85"/>
    <w:rsid w:val="00796F25"/>
    <w:rsid w:val="00797B2D"/>
    <w:rsid w:val="00797D5D"/>
    <w:rsid w:val="007A07FE"/>
    <w:rsid w:val="007A0F4B"/>
    <w:rsid w:val="007A24CF"/>
    <w:rsid w:val="007A2E98"/>
    <w:rsid w:val="007A3BA3"/>
    <w:rsid w:val="007A3ED6"/>
    <w:rsid w:val="007A3F32"/>
    <w:rsid w:val="007A4DD5"/>
    <w:rsid w:val="007A5480"/>
    <w:rsid w:val="007A56AF"/>
    <w:rsid w:val="007A6CC0"/>
    <w:rsid w:val="007A7700"/>
    <w:rsid w:val="007A79EA"/>
    <w:rsid w:val="007A7EB8"/>
    <w:rsid w:val="007A7FEC"/>
    <w:rsid w:val="007B0398"/>
    <w:rsid w:val="007B138D"/>
    <w:rsid w:val="007B1499"/>
    <w:rsid w:val="007B1ABA"/>
    <w:rsid w:val="007B1BBF"/>
    <w:rsid w:val="007B268C"/>
    <w:rsid w:val="007B272E"/>
    <w:rsid w:val="007B2960"/>
    <w:rsid w:val="007B31F6"/>
    <w:rsid w:val="007B355D"/>
    <w:rsid w:val="007B361C"/>
    <w:rsid w:val="007B3E65"/>
    <w:rsid w:val="007B52B6"/>
    <w:rsid w:val="007B540A"/>
    <w:rsid w:val="007B559B"/>
    <w:rsid w:val="007B5686"/>
    <w:rsid w:val="007B58ED"/>
    <w:rsid w:val="007B6108"/>
    <w:rsid w:val="007B7980"/>
    <w:rsid w:val="007B7C16"/>
    <w:rsid w:val="007C003C"/>
    <w:rsid w:val="007C0DEF"/>
    <w:rsid w:val="007C0E07"/>
    <w:rsid w:val="007C1398"/>
    <w:rsid w:val="007C139B"/>
    <w:rsid w:val="007C13CD"/>
    <w:rsid w:val="007C3A80"/>
    <w:rsid w:val="007C4A1E"/>
    <w:rsid w:val="007C4ACE"/>
    <w:rsid w:val="007C51DF"/>
    <w:rsid w:val="007C5D5A"/>
    <w:rsid w:val="007C607F"/>
    <w:rsid w:val="007C6E44"/>
    <w:rsid w:val="007C765F"/>
    <w:rsid w:val="007C79DD"/>
    <w:rsid w:val="007C7F2A"/>
    <w:rsid w:val="007D1A97"/>
    <w:rsid w:val="007D1AC9"/>
    <w:rsid w:val="007D1E9B"/>
    <w:rsid w:val="007D2CD6"/>
    <w:rsid w:val="007D3063"/>
    <w:rsid w:val="007D35CF"/>
    <w:rsid w:val="007D3CEB"/>
    <w:rsid w:val="007D4EE2"/>
    <w:rsid w:val="007D78EE"/>
    <w:rsid w:val="007E049C"/>
    <w:rsid w:val="007E1647"/>
    <w:rsid w:val="007E191B"/>
    <w:rsid w:val="007E1FFD"/>
    <w:rsid w:val="007E345E"/>
    <w:rsid w:val="007E4453"/>
    <w:rsid w:val="007E56EF"/>
    <w:rsid w:val="007E6F35"/>
    <w:rsid w:val="007E7683"/>
    <w:rsid w:val="007F17F1"/>
    <w:rsid w:val="007F1A98"/>
    <w:rsid w:val="007F1BC8"/>
    <w:rsid w:val="007F1E76"/>
    <w:rsid w:val="007F3C02"/>
    <w:rsid w:val="007F43E8"/>
    <w:rsid w:val="007F49FA"/>
    <w:rsid w:val="007F4DB7"/>
    <w:rsid w:val="007F54C4"/>
    <w:rsid w:val="007F57F3"/>
    <w:rsid w:val="007F5AD3"/>
    <w:rsid w:val="007F6136"/>
    <w:rsid w:val="007F6551"/>
    <w:rsid w:val="007F6B0A"/>
    <w:rsid w:val="007F6E9A"/>
    <w:rsid w:val="00800CCD"/>
    <w:rsid w:val="008021BF"/>
    <w:rsid w:val="0080228F"/>
    <w:rsid w:val="0080238B"/>
    <w:rsid w:val="00803F3E"/>
    <w:rsid w:val="008040EB"/>
    <w:rsid w:val="008044D4"/>
    <w:rsid w:val="008045B8"/>
    <w:rsid w:val="00804A3A"/>
    <w:rsid w:val="00804D6D"/>
    <w:rsid w:val="00804EB4"/>
    <w:rsid w:val="0080613A"/>
    <w:rsid w:val="00806818"/>
    <w:rsid w:val="00806C27"/>
    <w:rsid w:val="00810A64"/>
    <w:rsid w:val="00810AB4"/>
    <w:rsid w:val="008111FF"/>
    <w:rsid w:val="00811EFE"/>
    <w:rsid w:val="008120D0"/>
    <w:rsid w:val="00812BD7"/>
    <w:rsid w:val="0081415E"/>
    <w:rsid w:val="00814E92"/>
    <w:rsid w:val="0081544C"/>
    <w:rsid w:val="00816163"/>
    <w:rsid w:val="00817B56"/>
    <w:rsid w:val="00817E20"/>
    <w:rsid w:val="008202ED"/>
    <w:rsid w:val="0082069F"/>
    <w:rsid w:val="00821086"/>
    <w:rsid w:val="00821A88"/>
    <w:rsid w:val="00823B01"/>
    <w:rsid w:val="0082414E"/>
    <w:rsid w:val="008242B1"/>
    <w:rsid w:val="0082495D"/>
    <w:rsid w:val="00824FC4"/>
    <w:rsid w:val="00825216"/>
    <w:rsid w:val="00825BEA"/>
    <w:rsid w:val="00827333"/>
    <w:rsid w:val="008300F5"/>
    <w:rsid w:val="0083030C"/>
    <w:rsid w:val="0083103A"/>
    <w:rsid w:val="00831180"/>
    <w:rsid w:val="00831263"/>
    <w:rsid w:val="00831AC3"/>
    <w:rsid w:val="00831E9B"/>
    <w:rsid w:val="00833661"/>
    <w:rsid w:val="008336D9"/>
    <w:rsid w:val="00833D15"/>
    <w:rsid w:val="0083407B"/>
    <w:rsid w:val="0083470B"/>
    <w:rsid w:val="0083486E"/>
    <w:rsid w:val="00836FCE"/>
    <w:rsid w:val="008408FF"/>
    <w:rsid w:val="00841EAC"/>
    <w:rsid w:val="00842361"/>
    <w:rsid w:val="00842962"/>
    <w:rsid w:val="00842DE3"/>
    <w:rsid w:val="008438E2"/>
    <w:rsid w:val="0084460E"/>
    <w:rsid w:val="008463D5"/>
    <w:rsid w:val="00846C6B"/>
    <w:rsid w:val="0085052C"/>
    <w:rsid w:val="00851F3F"/>
    <w:rsid w:val="0085284F"/>
    <w:rsid w:val="00853A0B"/>
    <w:rsid w:val="00853A83"/>
    <w:rsid w:val="008542ED"/>
    <w:rsid w:val="00855CBC"/>
    <w:rsid w:val="0085618F"/>
    <w:rsid w:val="0085637E"/>
    <w:rsid w:val="00856EDC"/>
    <w:rsid w:val="0085745C"/>
    <w:rsid w:val="008576EA"/>
    <w:rsid w:val="00860055"/>
    <w:rsid w:val="008613D3"/>
    <w:rsid w:val="008623B5"/>
    <w:rsid w:val="00864472"/>
    <w:rsid w:val="0086541A"/>
    <w:rsid w:val="008655EC"/>
    <w:rsid w:val="008655F3"/>
    <w:rsid w:val="008655F5"/>
    <w:rsid w:val="0086576F"/>
    <w:rsid w:val="00866AC5"/>
    <w:rsid w:val="0086773C"/>
    <w:rsid w:val="00867865"/>
    <w:rsid w:val="00867ACF"/>
    <w:rsid w:val="00867C92"/>
    <w:rsid w:val="00867DDB"/>
    <w:rsid w:val="00867F49"/>
    <w:rsid w:val="00867F90"/>
    <w:rsid w:val="00870504"/>
    <w:rsid w:val="00870ABA"/>
    <w:rsid w:val="00870B1D"/>
    <w:rsid w:val="00871088"/>
    <w:rsid w:val="008710E1"/>
    <w:rsid w:val="008715C7"/>
    <w:rsid w:val="008716E5"/>
    <w:rsid w:val="008731B5"/>
    <w:rsid w:val="00873D60"/>
    <w:rsid w:val="00874403"/>
    <w:rsid w:val="00874C45"/>
    <w:rsid w:val="008753FF"/>
    <w:rsid w:val="0087639E"/>
    <w:rsid w:val="00876632"/>
    <w:rsid w:val="00876F2D"/>
    <w:rsid w:val="00877616"/>
    <w:rsid w:val="00877694"/>
    <w:rsid w:val="00881229"/>
    <w:rsid w:val="00881336"/>
    <w:rsid w:val="00881CA9"/>
    <w:rsid w:val="00881CBB"/>
    <w:rsid w:val="008824D2"/>
    <w:rsid w:val="00883341"/>
    <w:rsid w:val="00883628"/>
    <w:rsid w:val="00884A2D"/>
    <w:rsid w:val="00885544"/>
    <w:rsid w:val="0088634E"/>
    <w:rsid w:val="00887449"/>
    <w:rsid w:val="00887AC9"/>
    <w:rsid w:val="00887CD1"/>
    <w:rsid w:val="00891070"/>
    <w:rsid w:val="00891818"/>
    <w:rsid w:val="00892CF6"/>
    <w:rsid w:val="00892DC5"/>
    <w:rsid w:val="00893083"/>
    <w:rsid w:val="00893AB8"/>
    <w:rsid w:val="008A04C8"/>
    <w:rsid w:val="008A31E6"/>
    <w:rsid w:val="008A32E9"/>
    <w:rsid w:val="008A35A0"/>
    <w:rsid w:val="008A3A06"/>
    <w:rsid w:val="008A46F7"/>
    <w:rsid w:val="008A49FC"/>
    <w:rsid w:val="008A4AA2"/>
    <w:rsid w:val="008A4D97"/>
    <w:rsid w:val="008A4F57"/>
    <w:rsid w:val="008A5DCD"/>
    <w:rsid w:val="008A5DEC"/>
    <w:rsid w:val="008A6913"/>
    <w:rsid w:val="008B01A5"/>
    <w:rsid w:val="008B04EA"/>
    <w:rsid w:val="008B0624"/>
    <w:rsid w:val="008B06EB"/>
    <w:rsid w:val="008B1FFC"/>
    <w:rsid w:val="008B2771"/>
    <w:rsid w:val="008B3025"/>
    <w:rsid w:val="008B31B3"/>
    <w:rsid w:val="008B3499"/>
    <w:rsid w:val="008B6450"/>
    <w:rsid w:val="008B6B65"/>
    <w:rsid w:val="008B70F3"/>
    <w:rsid w:val="008B7130"/>
    <w:rsid w:val="008B71C4"/>
    <w:rsid w:val="008B76DF"/>
    <w:rsid w:val="008B7A27"/>
    <w:rsid w:val="008B7BB9"/>
    <w:rsid w:val="008C0075"/>
    <w:rsid w:val="008C05C1"/>
    <w:rsid w:val="008C0D6F"/>
    <w:rsid w:val="008C0FEA"/>
    <w:rsid w:val="008C10F4"/>
    <w:rsid w:val="008C2DD9"/>
    <w:rsid w:val="008C345C"/>
    <w:rsid w:val="008C3575"/>
    <w:rsid w:val="008C4706"/>
    <w:rsid w:val="008C5968"/>
    <w:rsid w:val="008C5D6E"/>
    <w:rsid w:val="008C65F7"/>
    <w:rsid w:val="008C66E8"/>
    <w:rsid w:val="008C6972"/>
    <w:rsid w:val="008C6D56"/>
    <w:rsid w:val="008C6DFA"/>
    <w:rsid w:val="008D0D13"/>
    <w:rsid w:val="008D4093"/>
    <w:rsid w:val="008D4355"/>
    <w:rsid w:val="008D618E"/>
    <w:rsid w:val="008D62E7"/>
    <w:rsid w:val="008D7C4C"/>
    <w:rsid w:val="008E0BE5"/>
    <w:rsid w:val="008E135C"/>
    <w:rsid w:val="008E178F"/>
    <w:rsid w:val="008E20F5"/>
    <w:rsid w:val="008E291D"/>
    <w:rsid w:val="008E3CAC"/>
    <w:rsid w:val="008E41DB"/>
    <w:rsid w:val="008E453B"/>
    <w:rsid w:val="008E4767"/>
    <w:rsid w:val="008E4AEB"/>
    <w:rsid w:val="008E4E76"/>
    <w:rsid w:val="008E525A"/>
    <w:rsid w:val="008E552D"/>
    <w:rsid w:val="008E597F"/>
    <w:rsid w:val="008E6DD2"/>
    <w:rsid w:val="008E6FB4"/>
    <w:rsid w:val="008E7320"/>
    <w:rsid w:val="008E7A8C"/>
    <w:rsid w:val="008E7DA6"/>
    <w:rsid w:val="008F0D80"/>
    <w:rsid w:val="008F0DEF"/>
    <w:rsid w:val="008F15B0"/>
    <w:rsid w:val="008F1A2E"/>
    <w:rsid w:val="008F4162"/>
    <w:rsid w:val="008F57FE"/>
    <w:rsid w:val="008F6A21"/>
    <w:rsid w:val="008F6F09"/>
    <w:rsid w:val="009006B9"/>
    <w:rsid w:val="00900742"/>
    <w:rsid w:val="009009FE"/>
    <w:rsid w:val="00901477"/>
    <w:rsid w:val="00901E44"/>
    <w:rsid w:val="0090203B"/>
    <w:rsid w:val="00902152"/>
    <w:rsid w:val="00903285"/>
    <w:rsid w:val="00903B44"/>
    <w:rsid w:val="00904A78"/>
    <w:rsid w:val="00904D0A"/>
    <w:rsid w:val="0090517E"/>
    <w:rsid w:val="00905C98"/>
    <w:rsid w:val="0090623D"/>
    <w:rsid w:val="00906F40"/>
    <w:rsid w:val="0090731E"/>
    <w:rsid w:val="00907AC2"/>
    <w:rsid w:val="00907D7B"/>
    <w:rsid w:val="0091083E"/>
    <w:rsid w:val="00910B7C"/>
    <w:rsid w:val="00912DA0"/>
    <w:rsid w:val="00914910"/>
    <w:rsid w:val="00914B55"/>
    <w:rsid w:val="00915B1C"/>
    <w:rsid w:val="00915EA4"/>
    <w:rsid w:val="00915F8B"/>
    <w:rsid w:val="009174F3"/>
    <w:rsid w:val="0091797D"/>
    <w:rsid w:val="009202DE"/>
    <w:rsid w:val="009208D9"/>
    <w:rsid w:val="00920CCA"/>
    <w:rsid w:val="00921081"/>
    <w:rsid w:val="009210A2"/>
    <w:rsid w:val="00921565"/>
    <w:rsid w:val="00921E22"/>
    <w:rsid w:val="00921FA1"/>
    <w:rsid w:val="009228E1"/>
    <w:rsid w:val="00922DC8"/>
    <w:rsid w:val="009231AC"/>
    <w:rsid w:val="00923CBA"/>
    <w:rsid w:val="009243DD"/>
    <w:rsid w:val="00924C8B"/>
    <w:rsid w:val="00926703"/>
    <w:rsid w:val="00926F0E"/>
    <w:rsid w:val="009275C2"/>
    <w:rsid w:val="00927691"/>
    <w:rsid w:val="00927A5F"/>
    <w:rsid w:val="0093010C"/>
    <w:rsid w:val="00930510"/>
    <w:rsid w:val="00930EB9"/>
    <w:rsid w:val="0093150E"/>
    <w:rsid w:val="00932257"/>
    <w:rsid w:val="00932DB3"/>
    <w:rsid w:val="00934253"/>
    <w:rsid w:val="009342F4"/>
    <w:rsid w:val="00935800"/>
    <w:rsid w:val="00935B5A"/>
    <w:rsid w:val="00935B63"/>
    <w:rsid w:val="00935D58"/>
    <w:rsid w:val="009364FF"/>
    <w:rsid w:val="00937908"/>
    <w:rsid w:val="00937916"/>
    <w:rsid w:val="00937BE9"/>
    <w:rsid w:val="00937E12"/>
    <w:rsid w:val="0094078F"/>
    <w:rsid w:val="00940FA3"/>
    <w:rsid w:val="0094140C"/>
    <w:rsid w:val="00941FB0"/>
    <w:rsid w:val="00942197"/>
    <w:rsid w:val="009426D4"/>
    <w:rsid w:val="00943B64"/>
    <w:rsid w:val="00943CD5"/>
    <w:rsid w:val="0094531A"/>
    <w:rsid w:val="00945FA3"/>
    <w:rsid w:val="00946B54"/>
    <w:rsid w:val="00947142"/>
    <w:rsid w:val="00947706"/>
    <w:rsid w:val="00947F25"/>
    <w:rsid w:val="00950159"/>
    <w:rsid w:val="00950F8C"/>
    <w:rsid w:val="009524CC"/>
    <w:rsid w:val="00952B7E"/>
    <w:rsid w:val="00953A55"/>
    <w:rsid w:val="00953BDF"/>
    <w:rsid w:val="0095402F"/>
    <w:rsid w:val="00954656"/>
    <w:rsid w:val="0095487A"/>
    <w:rsid w:val="0095490B"/>
    <w:rsid w:val="0095634A"/>
    <w:rsid w:val="00956496"/>
    <w:rsid w:val="00956AFC"/>
    <w:rsid w:val="00956C6B"/>
    <w:rsid w:val="0095724C"/>
    <w:rsid w:val="00957256"/>
    <w:rsid w:val="00957F61"/>
    <w:rsid w:val="00960A33"/>
    <w:rsid w:val="00960A39"/>
    <w:rsid w:val="00960CEE"/>
    <w:rsid w:val="0096137B"/>
    <w:rsid w:val="009614FB"/>
    <w:rsid w:val="00961655"/>
    <w:rsid w:val="00961A9C"/>
    <w:rsid w:val="00961BB2"/>
    <w:rsid w:val="00961D9E"/>
    <w:rsid w:val="00962492"/>
    <w:rsid w:val="00962E43"/>
    <w:rsid w:val="0096419D"/>
    <w:rsid w:val="00964D98"/>
    <w:rsid w:val="00964E36"/>
    <w:rsid w:val="00964F4E"/>
    <w:rsid w:val="00966053"/>
    <w:rsid w:val="00966C96"/>
    <w:rsid w:val="0096797E"/>
    <w:rsid w:val="00967B63"/>
    <w:rsid w:val="00970FC8"/>
    <w:rsid w:val="00971815"/>
    <w:rsid w:val="00971914"/>
    <w:rsid w:val="009720D6"/>
    <w:rsid w:val="00972FCF"/>
    <w:rsid w:val="00974363"/>
    <w:rsid w:val="009748FF"/>
    <w:rsid w:val="00975C0B"/>
    <w:rsid w:val="00975C9E"/>
    <w:rsid w:val="00976023"/>
    <w:rsid w:val="009762D6"/>
    <w:rsid w:val="00976E5B"/>
    <w:rsid w:val="00977BAA"/>
    <w:rsid w:val="00977F5B"/>
    <w:rsid w:val="0098020D"/>
    <w:rsid w:val="009806BA"/>
    <w:rsid w:val="00980868"/>
    <w:rsid w:val="00980B62"/>
    <w:rsid w:val="00981898"/>
    <w:rsid w:val="009825EB"/>
    <w:rsid w:val="00983A5F"/>
    <w:rsid w:val="00984506"/>
    <w:rsid w:val="00985D9D"/>
    <w:rsid w:val="00986202"/>
    <w:rsid w:val="00986B60"/>
    <w:rsid w:val="0099137B"/>
    <w:rsid w:val="009916FF"/>
    <w:rsid w:val="00991EB6"/>
    <w:rsid w:val="00992776"/>
    <w:rsid w:val="00992FDE"/>
    <w:rsid w:val="00993298"/>
    <w:rsid w:val="009935CD"/>
    <w:rsid w:val="009945E1"/>
    <w:rsid w:val="00994BC8"/>
    <w:rsid w:val="009953AD"/>
    <w:rsid w:val="0099577C"/>
    <w:rsid w:val="00996A3C"/>
    <w:rsid w:val="00996E68"/>
    <w:rsid w:val="009974C1"/>
    <w:rsid w:val="009979EE"/>
    <w:rsid w:val="009A0F2E"/>
    <w:rsid w:val="009A2D93"/>
    <w:rsid w:val="009A3C26"/>
    <w:rsid w:val="009A4029"/>
    <w:rsid w:val="009A4AB0"/>
    <w:rsid w:val="009A607E"/>
    <w:rsid w:val="009A65DD"/>
    <w:rsid w:val="009A6BB2"/>
    <w:rsid w:val="009A6EA9"/>
    <w:rsid w:val="009B0893"/>
    <w:rsid w:val="009B0CB1"/>
    <w:rsid w:val="009B0F94"/>
    <w:rsid w:val="009B24A5"/>
    <w:rsid w:val="009B2601"/>
    <w:rsid w:val="009B3062"/>
    <w:rsid w:val="009B4615"/>
    <w:rsid w:val="009B4E9E"/>
    <w:rsid w:val="009B5F29"/>
    <w:rsid w:val="009B5FCA"/>
    <w:rsid w:val="009B65D4"/>
    <w:rsid w:val="009B69E2"/>
    <w:rsid w:val="009B6E25"/>
    <w:rsid w:val="009C015B"/>
    <w:rsid w:val="009C124E"/>
    <w:rsid w:val="009C1690"/>
    <w:rsid w:val="009C24AA"/>
    <w:rsid w:val="009C2AFF"/>
    <w:rsid w:val="009C2B64"/>
    <w:rsid w:val="009C3E14"/>
    <w:rsid w:val="009C5247"/>
    <w:rsid w:val="009C6881"/>
    <w:rsid w:val="009C7759"/>
    <w:rsid w:val="009C7C91"/>
    <w:rsid w:val="009D043D"/>
    <w:rsid w:val="009D079C"/>
    <w:rsid w:val="009D07C8"/>
    <w:rsid w:val="009D14C9"/>
    <w:rsid w:val="009D1B82"/>
    <w:rsid w:val="009D2824"/>
    <w:rsid w:val="009D283F"/>
    <w:rsid w:val="009D3B63"/>
    <w:rsid w:val="009D4181"/>
    <w:rsid w:val="009D41C0"/>
    <w:rsid w:val="009D55A1"/>
    <w:rsid w:val="009D567D"/>
    <w:rsid w:val="009D58EF"/>
    <w:rsid w:val="009D67C7"/>
    <w:rsid w:val="009D6A3C"/>
    <w:rsid w:val="009D6C71"/>
    <w:rsid w:val="009D721B"/>
    <w:rsid w:val="009D749A"/>
    <w:rsid w:val="009E0631"/>
    <w:rsid w:val="009E10E4"/>
    <w:rsid w:val="009E1105"/>
    <w:rsid w:val="009E16D0"/>
    <w:rsid w:val="009E2017"/>
    <w:rsid w:val="009E2051"/>
    <w:rsid w:val="009E3625"/>
    <w:rsid w:val="009E38FD"/>
    <w:rsid w:val="009E403F"/>
    <w:rsid w:val="009E4EAA"/>
    <w:rsid w:val="009E581D"/>
    <w:rsid w:val="009E6DAC"/>
    <w:rsid w:val="009F06AA"/>
    <w:rsid w:val="009F07BD"/>
    <w:rsid w:val="009F0B8E"/>
    <w:rsid w:val="009F0D99"/>
    <w:rsid w:val="009F0F5C"/>
    <w:rsid w:val="009F1318"/>
    <w:rsid w:val="009F13D6"/>
    <w:rsid w:val="009F22C4"/>
    <w:rsid w:val="009F23BA"/>
    <w:rsid w:val="009F2500"/>
    <w:rsid w:val="009F2FFB"/>
    <w:rsid w:val="009F31BA"/>
    <w:rsid w:val="009F4C6B"/>
    <w:rsid w:val="009F695C"/>
    <w:rsid w:val="009F78A8"/>
    <w:rsid w:val="00A007C0"/>
    <w:rsid w:val="00A01A69"/>
    <w:rsid w:val="00A02AD6"/>
    <w:rsid w:val="00A03E7D"/>
    <w:rsid w:val="00A03ECE"/>
    <w:rsid w:val="00A04392"/>
    <w:rsid w:val="00A04B00"/>
    <w:rsid w:val="00A051F0"/>
    <w:rsid w:val="00A0598D"/>
    <w:rsid w:val="00A06241"/>
    <w:rsid w:val="00A06989"/>
    <w:rsid w:val="00A07096"/>
    <w:rsid w:val="00A07318"/>
    <w:rsid w:val="00A07467"/>
    <w:rsid w:val="00A10286"/>
    <w:rsid w:val="00A1136D"/>
    <w:rsid w:val="00A11370"/>
    <w:rsid w:val="00A122A2"/>
    <w:rsid w:val="00A12458"/>
    <w:rsid w:val="00A125A4"/>
    <w:rsid w:val="00A13971"/>
    <w:rsid w:val="00A15A3A"/>
    <w:rsid w:val="00A15DCD"/>
    <w:rsid w:val="00A16E53"/>
    <w:rsid w:val="00A1712A"/>
    <w:rsid w:val="00A17AE1"/>
    <w:rsid w:val="00A201C3"/>
    <w:rsid w:val="00A20335"/>
    <w:rsid w:val="00A20733"/>
    <w:rsid w:val="00A22214"/>
    <w:rsid w:val="00A224CE"/>
    <w:rsid w:val="00A22522"/>
    <w:rsid w:val="00A22AE4"/>
    <w:rsid w:val="00A243CF"/>
    <w:rsid w:val="00A24AFD"/>
    <w:rsid w:val="00A24F5C"/>
    <w:rsid w:val="00A25577"/>
    <w:rsid w:val="00A25F4F"/>
    <w:rsid w:val="00A27BE4"/>
    <w:rsid w:val="00A30467"/>
    <w:rsid w:val="00A322A3"/>
    <w:rsid w:val="00A32F96"/>
    <w:rsid w:val="00A3316A"/>
    <w:rsid w:val="00A33299"/>
    <w:rsid w:val="00A33819"/>
    <w:rsid w:val="00A33D48"/>
    <w:rsid w:val="00A349AF"/>
    <w:rsid w:val="00A3666F"/>
    <w:rsid w:val="00A36D00"/>
    <w:rsid w:val="00A371B6"/>
    <w:rsid w:val="00A37B74"/>
    <w:rsid w:val="00A405DE"/>
    <w:rsid w:val="00A40871"/>
    <w:rsid w:val="00A412AB"/>
    <w:rsid w:val="00A4168B"/>
    <w:rsid w:val="00A4193E"/>
    <w:rsid w:val="00A424F9"/>
    <w:rsid w:val="00A42B35"/>
    <w:rsid w:val="00A440E0"/>
    <w:rsid w:val="00A4410D"/>
    <w:rsid w:val="00A442EF"/>
    <w:rsid w:val="00A45847"/>
    <w:rsid w:val="00A46946"/>
    <w:rsid w:val="00A47487"/>
    <w:rsid w:val="00A47CAC"/>
    <w:rsid w:val="00A509C7"/>
    <w:rsid w:val="00A51D1A"/>
    <w:rsid w:val="00A520D6"/>
    <w:rsid w:val="00A5418D"/>
    <w:rsid w:val="00A541EE"/>
    <w:rsid w:val="00A5474E"/>
    <w:rsid w:val="00A5477A"/>
    <w:rsid w:val="00A54A33"/>
    <w:rsid w:val="00A554AE"/>
    <w:rsid w:val="00A55910"/>
    <w:rsid w:val="00A562E2"/>
    <w:rsid w:val="00A56F3B"/>
    <w:rsid w:val="00A57034"/>
    <w:rsid w:val="00A57312"/>
    <w:rsid w:val="00A605A6"/>
    <w:rsid w:val="00A60986"/>
    <w:rsid w:val="00A626B5"/>
    <w:rsid w:val="00A63528"/>
    <w:rsid w:val="00A638E7"/>
    <w:rsid w:val="00A640C7"/>
    <w:rsid w:val="00A64234"/>
    <w:rsid w:val="00A66F9E"/>
    <w:rsid w:val="00A67338"/>
    <w:rsid w:val="00A6787E"/>
    <w:rsid w:val="00A67B1C"/>
    <w:rsid w:val="00A70ADF"/>
    <w:rsid w:val="00A71466"/>
    <w:rsid w:val="00A729DB"/>
    <w:rsid w:val="00A72CE2"/>
    <w:rsid w:val="00A7328A"/>
    <w:rsid w:val="00A733DF"/>
    <w:rsid w:val="00A74B5E"/>
    <w:rsid w:val="00A751AF"/>
    <w:rsid w:val="00A752C1"/>
    <w:rsid w:val="00A75CCD"/>
    <w:rsid w:val="00A75D65"/>
    <w:rsid w:val="00A762FC"/>
    <w:rsid w:val="00A769FC"/>
    <w:rsid w:val="00A80117"/>
    <w:rsid w:val="00A80186"/>
    <w:rsid w:val="00A80912"/>
    <w:rsid w:val="00A81BED"/>
    <w:rsid w:val="00A81EC4"/>
    <w:rsid w:val="00A81F87"/>
    <w:rsid w:val="00A824E8"/>
    <w:rsid w:val="00A826DC"/>
    <w:rsid w:val="00A82CD1"/>
    <w:rsid w:val="00A83870"/>
    <w:rsid w:val="00A8515A"/>
    <w:rsid w:val="00A859E3"/>
    <w:rsid w:val="00A86ED8"/>
    <w:rsid w:val="00A8726C"/>
    <w:rsid w:val="00A87F8C"/>
    <w:rsid w:val="00A9006E"/>
    <w:rsid w:val="00A90899"/>
    <w:rsid w:val="00A90F87"/>
    <w:rsid w:val="00A910D8"/>
    <w:rsid w:val="00A93D67"/>
    <w:rsid w:val="00A944B8"/>
    <w:rsid w:val="00A946CC"/>
    <w:rsid w:val="00A94728"/>
    <w:rsid w:val="00A947C6"/>
    <w:rsid w:val="00A95C76"/>
    <w:rsid w:val="00A963BE"/>
    <w:rsid w:val="00A967FD"/>
    <w:rsid w:val="00A97606"/>
    <w:rsid w:val="00A9774C"/>
    <w:rsid w:val="00A97E37"/>
    <w:rsid w:val="00AA00B9"/>
    <w:rsid w:val="00AA0659"/>
    <w:rsid w:val="00AA1FC4"/>
    <w:rsid w:val="00AA1FD8"/>
    <w:rsid w:val="00AA2723"/>
    <w:rsid w:val="00AA2DE5"/>
    <w:rsid w:val="00AA37DF"/>
    <w:rsid w:val="00AA5681"/>
    <w:rsid w:val="00AA5C81"/>
    <w:rsid w:val="00AA6123"/>
    <w:rsid w:val="00AB156C"/>
    <w:rsid w:val="00AB1BCD"/>
    <w:rsid w:val="00AB273E"/>
    <w:rsid w:val="00AB3CC5"/>
    <w:rsid w:val="00AB43AE"/>
    <w:rsid w:val="00AB5143"/>
    <w:rsid w:val="00AB6814"/>
    <w:rsid w:val="00AB7B82"/>
    <w:rsid w:val="00AB7D05"/>
    <w:rsid w:val="00AC04BA"/>
    <w:rsid w:val="00AC0E39"/>
    <w:rsid w:val="00AC1265"/>
    <w:rsid w:val="00AC1A5B"/>
    <w:rsid w:val="00AC1D2E"/>
    <w:rsid w:val="00AC3187"/>
    <w:rsid w:val="00AC3C61"/>
    <w:rsid w:val="00AC409F"/>
    <w:rsid w:val="00AC4121"/>
    <w:rsid w:val="00AC45EB"/>
    <w:rsid w:val="00AC4DE1"/>
    <w:rsid w:val="00AC5CF2"/>
    <w:rsid w:val="00AC629A"/>
    <w:rsid w:val="00AC636B"/>
    <w:rsid w:val="00AC76E8"/>
    <w:rsid w:val="00AD3082"/>
    <w:rsid w:val="00AD32B4"/>
    <w:rsid w:val="00AD3954"/>
    <w:rsid w:val="00AD46F1"/>
    <w:rsid w:val="00AD49B7"/>
    <w:rsid w:val="00AD4A65"/>
    <w:rsid w:val="00AD4AD0"/>
    <w:rsid w:val="00AD5436"/>
    <w:rsid w:val="00AD56A6"/>
    <w:rsid w:val="00AD59D8"/>
    <w:rsid w:val="00AD5EC1"/>
    <w:rsid w:val="00AD5F99"/>
    <w:rsid w:val="00AD60CD"/>
    <w:rsid w:val="00AD6C8C"/>
    <w:rsid w:val="00AD6CD5"/>
    <w:rsid w:val="00AD72B5"/>
    <w:rsid w:val="00AE039E"/>
    <w:rsid w:val="00AE04D1"/>
    <w:rsid w:val="00AE091D"/>
    <w:rsid w:val="00AE340B"/>
    <w:rsid w:val="00AE3B60"/>
    <w:rsid w:val="00AE4083"/>
    <w:rsid w:val="00AE53A1"/>
    <w:rsid w:val="00AE58BA"/>
    <w:rsid w:val="00AE63B1"/>
    <w:rsid w:val="00AE6B49"/>
    <w:rsid w:val="00AE6BA6"/>
    <w:rsid w:val="00AF033B"/>
    <w:rsid w:val="00AF1C26"/>
    <w:rsid w:val="00AF2484"/>
    <w:rsid w:val="00AF2691"/>
    <w:rsid w:val="00AF2A64"/>
    <w:rsid w:val="00AF2F8D"/>
    <w:rsid w:val="00AF3258"/>
    <w:rsid w:val="00AF4D3E"/>
    <w:rsid w:val="00AF546C"/>
    <w:rsid w:val="00AF5B02"/>
    <w:rsid w:val="00AF63E7"/>
    <w:rsid w:val="00AF6E17"/>
    <w:rsid w:val="00AF6EEF"/>
    <w:rsid w:val="00AF763F"/>
    <w:rsid w:val="00AF7A9B"/>
    <w:rsid w:val="00B000FC"/>
    <w:rsid w:val="00B0165D"/>
    <w:rsid w:val="00B01B60"/>
    <w:rsid w:val="00B01D6F"/>
    <w:rsid w:val="00B02155"/>
    <w:rsid w:val="00B031F3"/>
    <w:rsid w:val="00B0458C"/>
    <w:rsid w:val="00B04AC7"/>
    <w:rsid w:val="00B05184"/>
    <w:rsid w:val="00B052A4"/>
    <w:rsid w:val="00B059F9"/>
    <w:rsid w:val="00B05EBA"/>
    <w:rsid w:val="00B066F4"/>
    <w:rsid w:val="00B067A9"/>
    <w:rsid w:val="00B06B0B"/>
    <w:rsid w:val="00B06C26"/>
    <w:rsid w:val="00B10FDE"/>
    <w:rsid w:val="00B110B3"/>
    <w:rsid w:val="00B1130E"/>
    <w:rsid w:val="00B114E7"/>
    <w:rsid w:val="00B11507"/>
    <w:rsid w:val="00B125DE"/>
    <w:rsid w:val="00B12809"/>
    <w:rsid w:val="00B12C33"/>
    <w:rsid w:val="00B12E87"/>
    <w:rsid w:val="00B1375E"/>
    <w:rsid w:val="00B13FDD"/>
    <w:rsid w:val="00B1579F"/>
    <w:rsid w:val="00B1791A"/>
    <w:rsid w:val="00B17E56"/>
    <w:rsid w:val="00B2190A"/>
    <w:rsid w:val="00B22EB2"/>
    <w:rsid w:val="00B24380"/>
    <w:rsid w:val="00B257FC"/>
    <w:rsid w:val="00B25C75"/>
    <w:rsid w:val="00B261BE"/>
    <w:rsid w:val="00B26313"/>
    <w:rsid w:val="00B270DB"/>
    <w:rsid w:val="00B27442"/>
    <w:rsid w:val="00B2777C"/>
    <w:rsid w:val="00B30570"/>
    <w:rsid w:val="00B31167"/>
    <w:rsid w:val="00B315A1"/>
    <w:rsid w:val="00B31C78"/>
    <w:rsid w:val="00B323A5"/>
    <w:rsid w:val="00B32440"/>
    <w:rsid w:val="00B329D8"/>
    <w:rsid w:val="00B32AF0"/>
    <w:rsid w:val="00B32BB9"/>
    <w:rsid w:val="00B3357E"/>
    <w:rsid w:val="00B33AE1"/>
    <w:rsid w:val="00B34466"/>
    <w:rsid w:val="00B35EF7"/>
    <w:rsid w:val="00B36C2A"/>
    <w:rsid w:val="00B37C38"/>
    <w:rsid w:val="00B37E2B"/>
    <w:rsid w:val="00B37E69"/>
    <w:rsid w:val="00B40296"/>
    <w:rsid w:val="00B404FA"/>
    <w:rsid w:val="00B40848"/>
    <w:rsid w:val="00B40CFD"/>
    <w:rsid w:val="00B415A6"/>
    <w:rsid w:val="00B4212A"/>
    <w:rsid w:val="00B4288C"/>
    <w:rsid w:val="00B4299E"/>
    <w:rsid w:val="00B43262"/>
    <w:rsid w:val="00B43D8F"/>
    <w:rsid w:val="00B44100"/>
    <w:rsid w:val="00B44F71"/>
    <w:rsid w:val="00B45C7A"/>
    <w:rsid w:val="00B4640C"/>
    <w:rsid w:val="00B469D3"/>
    <w:rsid w:val="00B46CBA"/>
    <w:rsid w:val="00B46F94"/>
    <w:rsid w:val="00B4792F"/>
    <w:rsid w:val="00B47948"/>
    <w:rsid w:val="00B50FF1"/>
    <w:rsid w:val="00B51091"/>
    <w:rsid w:val="00B51316"/>
    <w:rsid w:val="00B5135C"/>
    <w:rsid w:val="00B52368"/>
    <w:rsid w:val="00B5240E"/>
    <w:rsid w:val="00B53D41"/>
    <w:rsid w:val="00B53DF7"/>
    <w:rsid w:val="00B56AD9"/>
    <w:rsid w:val="00B576E1"/>
    <w:rsid w:val="00B57B91"/>
    <w:rsid w:val="00B6003C"/>
    <w:rsid w:val="00B6117C"/>
    <w:rsid w:val="00B614C8"/>
    <w:rsid w:val="00B61F03"/>
    <w:rsid w:val="00B6201C"/>
    <w:rsid w:val="00B62049"/>
    <w:rsid w:val="00B626E4"/>
    <w:rsid w:val="00B62EA3"/>
    <w:rsid w:val="00B63876"/>
    <w:rsid w:val="00B63FC2"/>
    <w:rsid w:val="00B63FEE"/>
    <w:rsid w:val="00B6540F"/>
    <w:rsid w:val="00B65768"/>
    <w:rsid w:val="00B665B3"/>
    <w:rsid w:val="00B6693E"/>
    <w:rsid w:val="00B672B2"/>
    <w:rsid w:val="00B70FCA"/>
    <w:rsid w:val="00B72F4A"/>
    <w:rsid w:val="00B73029"/>
    <w:rsid w:val="00B73307"/>
    <w:rsid w:val="00B73431"/>
    <w:rsid w:val="00B74374"/>
    <w:rsid w:val="00B76F1D"/>
    <w:rsid w:val="00B771AD"/>
    <w:rsid w:val="00B7733E"/>
    <w:rsid w:val="00B775C1"/>
    <w:rsid w:val="00B77D98"/>
    <w:rsid w:val="00B77F3E"/>
    <w:rsid w:val="00B80B7F"/>
    <w:rsid w:val="00B83C27"/>
    <w:rsid w:val="00B8491E"/>
    <w:rsid w:val="00B84BC3"/>
    <w:rsid w:val="00B84BDD"/>
    <w:rsid w:val="00B859A6"/>
    <w:rsid w:val="00B85A8C"/>
    <w:rsid w:val="00B8671C"/>
    <w:rsid w:val="00B876CA"/>
    <w:rsid w:val="00B87D03"/>
    <w:rsid w:val="00B9021C"/>
    <w:rsid w:val="00B9119E"/>
    <w:rsid w:val="00B92812"/>
    <w:rsid w:val="00B92B8E"/>
    <w:rsid w:val="00B92DAF"/>
    <w:rsid w:val="00B957A1"/>
    <w:rsid w:val="00B95C92"/>
    <w:rsid w:val="00B961A8"/>
    <w:rsid w:val="00B97E04"/>
    <w:rsid w:val="00BA048E"/>
    <w:rsid w:val="00BA0C60"/>
    <w:rsid w:val="00BA0F5E"/>
    <w:rsid w:val="00BA11DC"/>
    <w:rsid w:val="00BA19B5"/>
    <w:rsid w:val="00BA1A66"/>
    <w:rsid w:val="00BA1F8F"/>
    <w:rsid w:val="00BA2828"/>
    <w:rsid w:val="00BA2C46"/>
    <w:rsid w:val="00BA41A5"/>
    <w:rsid w:val="00BA4B1B"/>
    <w:rsid w:val="00BA674B"/>
    <w:rsid w:val="00BA7272"/>
    <w:rsid w:val="00BB0395"/>
    <w:rsid w:val="00BB0A33"/>
    <w:rsid w:val="00BB0D07"/>
    <w:rsid w:val="00BB4479"/>
    <w:rsid w:val="00BB45A1"/>
    <w:rsid w:val="00BB589E"/>
    <w:rsid w:val="00BB6D45"/>
    <w:rsid w:val="00BB7099"/>
    <w:rsid w:val="00BB73D2"/>
    <w:rsid w:val="00BB7686"/>
    <w:rsid w:val="00BB78F1"/>
    <w:rsid w:val="00BC03FB"/>
    <w:rsid w:val="00BC042F"/>
    <w:rsid w:val="00BC04F3"/>
    <w:rsid w:val="00BC070C"/>
    <w:rsid w:val="00BC073E"/>
    <w:rsid w:val="00BC1160"/>
    <w:rsid w:val="00BC1E37"/>
    <w:rsid w:val="00BC23F9"/>
    <w:rsid w:val="00BC2A77"/>
    <w:rsid w:val="00BC2C29"/>
    <w:rsid w:val="00BC2F03"/>
    <w:rsid w:val="00BC308C"/>
    <w:rsid w:val="00BC3421"/>
    <w:rsid w:val="00BC45AE"/>
    <w:rsid w:val="00BC4915"/>
    <w:rsid w:val="00BC732C"/>
    <w:rsid w:val="00BD374C"/>
    <w:rsid w:val="00BD4421"/>
    <w:rsid w:val="00BD602A"/>
    <w:rsid w:val="00BD6160"/>
    <w:rsid w:val="00BD6E89"/>
    <w:rsid w:val="00BD7E70"/>
    <w:rsid w:val="00BE037C"/>
    <w:rsid w:val="00BE048D"/>
    <w:rsid w:val="00BE1884"/>
    <w:rsid w:val="00BE233B"/>
    <w:rsid w:val="00BE24A6"/>
    <w:rsid w:val="00BE2580"/>
    <w:rsid w:val="00BE266D"/>
    <w:rsid w:val="00BE36F9"/>
    <w:rsid w:val="00BE37E9"/>
    <w:rsid w:val="00BE3938"/>
    <w:rsid w:val="00BE4C11"/>
    <w:rsid w:val="00BE5707"/>
    <w:rsid w:val="00BE5E0D"/>
    <w:rsid w:val="00BE6569"/>
    <w:rsid w:val="00BE6805"/>
    <w:rsid w:val="00BE71C0"/>
    <w:rsid w:val="00BF01E4"/>
    <w:rsid w:val="00BF0B27"/>
    <w:rsid w:val="00BF1067"/>
    <w:rsid w:val="00BF1078"/>
    <w:rsid w:val="00BF1689"/>
    <w:rsid w:val="00BF26CC"/>
    <w:rsid w:val="00BF2DA2"/>
    <w:rsid w:val="00BF2FAB"/>
    <w:rsid w:val="00BF30F1"/>
    <w:rsid w:val="00BF32B6"/>
    <w:rsid w:val="00BF3378"/>
    <w:rsid w:val="00BF3507"/>
    <w:rsid w:val="00BF5412"/>
    <w:rsid w:val="00BF610C"/>
    <w:rsid w:val="00BF63AF"/>
    <w:rsid w:val="00C0060B"/>
    <w:rsid w:val="00C00DE4"/>
    <w:rsid w:val="00C010D2"/>
    <w:rsid w:val="00C01166"/>
    <w:rsid w:val="00C01A5F"/>
    <w:rsid w:val="00C01A6C"/>
    <w:rsid w:val="00C01FB3"/>
    <w:rsid w:val="00C0277D"/>
    <w:rsid w:val="00C02C8E"/>
    <w:rsid w:val="00C04497"/>
    <w:rsid w:val="00C0499A"/>
    <w:rsid w:val="00C04E5B"/>
    <w:rsid w:val="00C053A1"/>
    <w:rsid w:val="00C061D2"/>
    <w:rsid w:val="00C079E5"/>
    <w:rsid w:val="00C10F24"/>
    <w:rsid w:val="00C1104B"/>
    <w:rsid w:val="00C11461"/>
    <w:rsid w:val="00C115AE"/>
    <w:rsid w:val="00C12426"/>
    <w:rsid w:val="00C12A75"/>
    <w:rsid w:val="00C13007"/>
    <w:rsid w:val="00C13CB0"/>
    <w:rsid w:val="00C15659"/>
    <w:rsid w:val="00C16198"/>
    <w:rsid w:val="00C16A5C"/>
    <w:rsid w:val="00C16FAB"/>
    <w:rsid w:val="00C174D7"/>
    <w:rsid w:val="00C17FB0"/>
    <w:rsid w:val="00C20106"/>
    <w:rsid w:val="00C2083D"/>
    <w:rsid w:val="00C22E0B"/>
    <w:rsid w:val="00C24A53"/>
    <w:rsid w:val="00C31FD5"/>
    <w:rsid w:val="00C32EE4"/>
    <w:rsid w:val="00C33858"/>
    <w:rsid w:val="00C34326"/>
    <w:rsid w:val="00C34A05"/>
    <w:rsid w:val="00C35A88"/>
    <w:rsid w:val="00C35CCE"/>
    <w:rsid w:val="00C36360"/>
    <w:rsid w:val="00C364CE"/>
    <w:rsid w:val="00C367EE"/>
    <w:rsid w:val="00C36B63"/>
    <w:rsid w:val="00C3700D"/>
    <w:rsid w:val="00C37B62"/>
    <w:rsid w:val="00C37FE6"/>
    <w:rsid w:val="00C402A1"/>
    <w:rsid w:val="00C40307"/>
    <w:rsid w:val="00C4032F"/>
    <w:rsid w:val="00C41162"/>
    <w:rsid w:val="00C41EC0"/>
    <w:rsid w:val="00C432FA"/>
    <w:rsid w:val="00C43BB2"/>
    <w:rsid w:val="00C43D9F"/>
    <w:rsid w:val="00C44047"/>
    <w:rsid w:val="00C45155"/>
    <w:rsid w:val="00C50857"/>
    <w:rsid w:val="00C51CDC"/>
    <w:rsid w:val="00C52D66"/>
    <w:rsid w:val="00C53D8C"/>
    <w:rsid w:val="00C5498F"/>
    <w:rsid w:val="00C55235"/>
    <w:rsid w:val="00C5621A"/>
    <w:rsid w:val="00C57BDA"/>
    <w:rsid w:val="00C60068"/>
    <w:rsid w:val="00C6057D"/>
    <w:rsid w:val="00C60774"/>
    <w:rsid w:val="00C61E92"/>
    <w:rsid w:val="00C62ADB"/>
    <w:rsid w:val="00C6318B"/>
    <w:rsid w:val="00C631F1"/>
    <w:rsid w:val="00C632FF"/>
    <w:rsid w:val="00C63C45"/>
    <w:rsid w:val="00C63E0E"/>
    <w:rsid w:val="00C64CD0"/>
    <w:rsid w:val="00C650C4"/>
    <w:rsid w:val="00C6580E"/>
    <w:rsid w:val="00C65D59"/>
    <w:rsid w:val="00C6684F"/>
    <w:rsid w:val="00C66B11"/>
    <w:rsid w:val="00C66EA1"/>
    <w:rsid w:val="00C67906"/>
    <w:rsid w:val="00C708A1"/>
    <w:rsid w:val="00C70E70"/>
    <w:rsid w:val="00C710F7"/>
    <w:rsid w:val="00C718F0"/>
    <w:rsid w:val="00C719AE"/>
    <w:rsid w:val="00C71A51"/>
    <w:rsid w:val="00C72397"/>
    <w:rsid w:val="00C72423"/>
    <w:rsid w:val="00C72585"/>
    <w:rsid w:val="00C72F06"/>
    <w:rsid w:val="00C7348E"/>
    <w:rsid w:val="00C7376A"/>
    <w:rsid w:val="00C73C7D"/>
    <w:rsid w:val="00C75F8D"/>
    <w:rsid w:val="00C76805"/>
    <w:rsid w:val="00C76C2B"/>
    <w:rsid w:val="00C77129"/>
    <w:rsid w:val="00C77380"/>
    <w:rsid w:val="00C7795F"/>
    <w:rsid w:val="00C779F4"/>
    <w:rsid w:val="00C807D0"/>
    <w:rsid w:val="00C8139B"/>
    <w:rsid w:val="00C826B2"/>
    <w:rsid w:val="00C82F40"/>
    <w:rsid w:val="00C83040"/>
    <w:rsid w:val="00C83A65"/>
    <w:rsid w:val="00C855CD"/>
    <w:rsid w:val="00C86547"/>
    <w:rsid w:val="00C87401"/>
    <w:rsid w:val="00C87E8A"/>
    <w:rsid w:val="00C906B4"/>
    <w:rsid w:val="00C91B12"/>
    <w:rsid w:val="00C92D67"/>
    <w:rsid w:val="00C93235"/>
    <w:rsid w:val="00C934AD"/>
    <w:rsid w:val="00C946A0"/>
    <w:rsid w:val="00C950B9"/>
    <w:rsid w:val="00C969FD"/>
    <w:rsid w:val="00C96B6E"/>
    <w:rsid w:val="00C97736"/>
    <w:rsid w:val="00C979AE"/>
    <w:rsid w:val="00CA2F99"/>
    <w:rsid w:val="00CA345A"/>
    <w:rsid w:val="00CA3969"/>
    <w:rsid w:val="00CA3B85"/>
    <w:rsid w:val="00CA3DC8"/>
    <w:rsid w:val="00CA528C"/>
    <w:rsid w:val="00CA5820"/>
    <w:rsid w:val="00CA5ACB"/>
    <w:rsid w:val="00CA5E2E"/>
    <w:rsid w:val="00CA67AE"/>
    <w:rsid w:val="00CB0390"/>
    <w:rsid w:val="00CB0C90"/>
    <w:rsid w:val="00CB109F"/>
    <w:rsid w:val="00CB1E82"/>
    <w:rsid w:val="00CB1F01"/>
    <w:rsid w:val="00CB3FAA"/>
    <w:rsid w:val="00CB4855"/>
    <w:rsid w:val="00CB4BA8"/>
    <w:rsid w:val="00CB50F9"/>
    <w:rsid w:val="00CB52D7"/>
    <w:rsid w:val="00CB5773"/>
    <w:rsid w:val="00CB64FB"/>
    <w:rsid w:val="00CB6CA9"/>
    <w:rsid w:val="00CB6D68"/>
    <w:rsid w:val="00CB7D8C"/>
    <w:rsid w:val="00CC10CE"/>
    <w:rsid w:val="00CC1844"/>
    <w:rsid w:val="00CC19BE"/>
    <w:rsid w:val="00CC2C59"/>
    <w:rsid w:val="00CC414F"/>
    <w:rsid w:val="00CC44E3"/>
    <w:rsid w:val="00CC4B77"/>
    <w:rsid w:val="00CC4D82"/>
    <w:rsid w:val="00CC5B01"/>
    <w:rsid w:val="00CC6732"/>
    <w:rsid w:val="00CC6E60"/>
    <w:rsid w:val="00CC72A0"/>
    <w:rsid w:val="00CC7486"/>
    <w:rsid w:val="00CD06F0"/>
    <w:rsid w:val="00CD0C5E"/>
    <w:rsid w:val="00CD0D93"/>
    <w:rsid w:val="00CD1319"/>
    <w:rsid w:val="00CD1331"/>
    <w:rsid w:val="00CD148A"/>
    <w:rsid w:val="00CD1D33"/>
    <w:rsid w:val="00CD24DB"/>
    <w:rsid w:val="00CD2899"/>
    <w:rsid w:val="00CD2CE6"/>
    <w:rsid w:val="00CD3086"/>
    <w:rsid w:val="00CD30B9"/>
    <w:rsid w:val="00CD3A05"/>
    <w:rsid w:val="00CD3FF8"/>
    <w:rsid w:val="00CD5B73"/>
    <w:rsid w:val="00CD629C"/>
    <w:rsid w:val="00CD69EB"/>
    <w:rsid w:val="00CD714B"/>
    <w:rsid w:val="00CE0068"/>
    <w:rsid w:val="00CE0170"/>
    <w:rsid w:val="00CE0D55"/>
    <w:rsid w:val="00CE12E6"/>
    <w:rsid w:val="00CE2F8C"/>
    <w:rsid w:val="00CE3275"/>
    <w:rsid w:val="00CE3C96"/>
    <w:rsid w:val="00CE51A8"/>
    <w:rsid w:val="00CE57EE"/>
    <w:rsid w:val="00CE68AC"/>
    <w:rsid w:val="00CE6C47"/>
    <w:rsid w:val="00CE6E50"/>
    <w:rsid w:val="00CE6F6C"/>
    <w:rsid w:val="00CF036E"/>
    <w:rsid w:val="00CF141E"/>
    <w:rsid w:val="00CF2124"/>
    <w:rsid w:val="00CF2DD1"/>
    <w:rsid w:val="00CF3574"/>
    <w:rsid w:val="00CF369B"/>
    <w:rsid w:val="00CF3899"/>
    <w:rsid w:val="00CF3BCB"/>
    <w:rsid w:val="00CF3FC7"/>
    <w:rsid w:val="00CF52EF"/>
    <w:rsid w:val="00CF69E4"/>
    <w:rsid w:val="00CF6FB9"/>
    <w:rsid w:val="00CF7023"/>
    <w:rsid w:val="00CF7387"/>
    <w:rsid w:val="00D00E28"/>
    <w:rsid w:val="00D018E1"/>
    <w:rsid w:val="00D02013"/>
    <w:rsid w:val="00D0269E"/>
    <w:rsid w:val="00D032EE"/>
    <w:rsid w:val="00D05D6C"/>
    <w:rsid w:val="00D10D36"/>
    <w:rsid w:val="00D12933"/>
    <w:rsid w:val="00D1344D"/>
    <w:rsid w:val="00D13592"/>
    <w:rsid w:val="00D15810"/>
    <w:rsid w:val="00D16363"/>
    <w:rsid w:val="00D16482"/>
    <w:rsid w:val="00D16D08"/>
    <w:rsid w:val="00D16D4E"/>
    <w:rsid w:val="00D16FE3"/>
    <w:rsid w:val="00D17EF7"/>
    <w:rsid w:val="00D2221C"/>
    <w:rsid w:val="00D223B9"/>
    <w:rsid w:val="00D2396F"/>
    <w:rsid w:val="00D270D9"/>
    <w:rsid w:val="00D27D1E"/>
    <w:rsid w:val="00D27F41"/>
    <w:rsid w:val="00D30390"/>
    <w:rsid w:val="00D30541"/>
    <w:rsid w:val="00D30AB6"/>
    <w:rsid w:val="00D31204"/>
    <w:rsid w:val="00D31A78"/>
    <w:rsid w:val="00D31D84"/>
    <w:rsid w:val="00D32551"/>
    <w:rsid w:val="00D32A06"/>
    <w:rsid w:val="00D32ACC"/>
    <w:rsid w:val="00D33CA6"/>
    <w:rsid w:val="00D34DB2"/>
    <w:rsid w:val="00D34E76"/>
    <w:rsid w:val="00D35700"/>
    <w:rsid w:val="00D35964"/>
    <w:rsid w:val="00D36441"/>
    <w:rsid w:val="00D371AF"/>
    <w:rsid w:val="00D37326"/>
    <w:rsid w:val="00D40186"/>
    <w:rsid w:val="00D4064E"/>
    <w:rsid w:val="00D4245C"/>
    <w:rsid w:val="00D432B0"/>
    <w:rsid w:val="00D4341F"/>
    <w:rsid w:val="00D4364A"/>
    <w:rsid w:val="00D438BE"/>
    <w:rsid w:val="00D44B85"/>
    <w:rsid w:val="00D44E9B"/>
    <w:rsid w:val="00D454D8"/>
    <w:rsid w:val="00D4594B"/>
    <w:rsid w:val="00D45FD2"/>
    <w:rsid w:val="00D47AEB"/>
    <w:rsid w:val="00D47FA5"/>
    <w:rsid w:val="00D503EA"/>
    <w:rsid w:val="00D50DB9"/>
    <w:rsid w:val="00D51302"/>
    <w:rsid w:val="00D513D7"/>
    <w:rsid w:val="00D52C43"/>
    <w:rsid w:val="00D5403B"/>
    <w:rsid w:val="00D54E8B"/>
    <w:rsid w:val="00D56ACA"/>
    <w:rsid w:val="00D56B21"/>
    <w:rsid w:val="00D579D7"/>
    <w:rsid w:val="00D60AF3"/>
    <w:rsid w:val="00D6212A"/>
    <w:rsid w:val="00D623A5"/>
    <w:rsid w:val="00D6273F"/>
    <w:rsid w:val="00D63564"/>
    <w:rsid w:val="00D638DD"/>
    <w:rsid w:val="00D64C84"/>
    <w:rsid w:val="00D6507F"/>
    <w:rsid w:val="00D6565A"/>
    <w:rsid w:val="00D65A95"/>
    <w:rsid w:val="00D66807"/>
    <w:rsid w:val="00D67B30"/>
    <w:rsid w:val="00D67E36"/>
    <w:rsid w:val="00D7200D"/>
    <w:rsid w:val="00D730BC"/>
    <w:rsid w:val="00D735C7"/>
    <w:rsid w:val="00D73869"/>
    <w:rsid w:val="00D73912"/>
    <w:rsid w:val="00D73ACB"/>
    <w:rsid w:val="00D74CFD"/>
    <w:rsid w:val="00D75764"/>
    <w:rsid w:val="00D76F75"/>
    <w:rsid w:val="00D77713"/>
    <w:rsid w:val="00D77961"/>
    <w:rsid w:val="00D815F9"/>
    <w:rsid w:val="00D81E2A"/>
    <w:rsid w:val="00D83E3F"/>
    <w:rsid w:val="00D83FEF"/>
    <w:rsid w:val="00D85226"/>
    <w:rsid w:val="00D85A81"/>
    <w:rsid w:val="00D86310"/>
    <w:rsid w:val="00D87B94"/>
    <w:rsid w:val="00D9054A"/>
    <w:rsid w:val="00D905DE"/>
    <w:rsid w:val="00D90782"/>
    <w:rsid w:val="00D90CB9"/>
    <w:rsid w:val="00D90F2F"/>
    <w:rsid w:val="00D910C9"/>
    <w:rsid w:val="00D9154E"/>
    <w:rsid w:val="00D91653"/>
    <w:rsid w:val="00D91DF0"/>
    <w:rsid w:val="00D921A9"/>
    <w:rsid w:val="00D92BB0"/>
    <w:rsid w:val="00D92D24"/>
    <w:rsid w:val="00D92D49"/>
    <w:rsid w:val="00D92EC1"/>
    <w:rsid w:val="00D9448C"/>
    <w:rsid w:val="00D95481"/>
    <w:rsid w:val="00D96DEA"/>
    <w:rsid w:val="00D971E8"/>
    <w:rsid w:val="00D97356"/>
    <w:rsid w:val="00DA0A00"/>
    <w:rsid w:val="00DA1014"/>
    <w:rsid w:val="00DA1BE6"/>
    <w:rsid w:val="00DA2DE6"/>
    <w:rsid w:val="00DA2EAC"/>
    <w:rsid w:val="00DA3459"/>
    <w:rsid w:val="00DA470F"/>
    <w:rsid w:val="00DA496B"/>
    <w:rsid w:val="00DA4E41"/>
    <w:rsid w:val="00DA54F8"/>
    <w:rsid w:val="00DA55F6"/>
    <w:rsid w:val="00DA6696"/>
    <w:rsid w:val="00DA6AC0"/>
    <w:rsid w:val="00DA7079"/>
    <w:rsid w:val="00DA76EC"/>
    <w:rsid w:val="00DB0800"/>
    <w:rsid w:val="00DB117A"/>
    <w:rsid w:val="00DB2246"/>
    <w:rsid w:val="00DB293D"/>
    <w:rsid w:val="00DB2A65"/>
    <w:rsid w:val="00DB2AA5"/>
    <w:rsid w:val="00DB2FAA"/>
    <w:rsid w:val="00DB3EE3"/>
    <w:rsid w:val="00DB5173"/>
    <w:rsid w:val="00DB6135"/>
    <w:rsid w:val="00DB68C7"/>
    <w:rsid w:val="00DB7873"/>
    <w:rsid w:val="00DC148F"/>
    <w:rsid w:val="00DC187B"/>
    <w:rsid w:val="00DC1AA2"/>
    <w:rsid w:val="00DC3719"/>
    <w:rsid w:val="00DC38AC"/>
    <w:rsid w:val="00DC43DC"/>
    <w:rsid w:val="00DC453E"/>
    <w:rsid w:val="00DC5FB3"/>
    <w:rsid w:val="00DC60BB"/>
    <w:rsid w:val="00DC7B36"/>
    <w:rsid w:val="00DC7BA4"/>
    <w:rsid w:val="00DC7CC4"/>
    <w:rsid w:val="00DC7DEF"/>
    <w:rsid w:val="00DD0D0A"/>
    <w:rsid w:val="00DD16E6"/>
    <w:rsid w:val="00DD1A43"/>
    <w:rsid w:val="00DD3F77"/>
    <w:rsid w:val="00DD48EA"/>
    <w:rsid w:val="00DD504A"/>
    <w:rsid w:val="00DD610D"/>
    <w:rsid w:val="00DD65D0"/>
    <w:rsid w:val="00DD73C2"/>
    <w:rsid w:val="00DD7EBE"/>
    <w:rsid w:val="00DE0B10"/>
    <w:rsid w:val="00DE0F31"/>
    <w:rsid w:val="00DE12A4"/>
    <w:rsid w:val="00DE147C"/>
    <w:rsid w:val="00DE319B"/>
    <w:rsid w:val="00DE3222"/>
    <w:rsid w:val="00DE4438"/>
    <w:rsid w:val="00DE4978"/>
    <w:rsid w:val="00DE5082"/>
    <w:rsid w:val="00DE5D48"/>
    <w:rsid w:val="00DE5F18"/>
    <w:rsid w:val="00DE6325"/>
    <w:rsid w:val="00DE6BC8"/>
    <w:rsid w:val="00DE6C34"/>
    <w:rsid w:val="00DE70F8"/>
    <w:rsid w:val="00DF0415"/>
    <w:rsid w:val="00DF0DA0"/>
    <w:rsid w:val="00DF122D"/>
    <w:rsid w:val="00DF1D74"/>
    <w:rsid w:val="00DF23C7"/>
    <w:rsid w:val="00DF25A1"/>
    <w:rsid w:val="00DF2A83"/>
    <w:rsid w:val="00DF34FE"/>
    <w:rsid w:val="00DF3796"/>
    <w:rsid w:val="00DF4B16"/>
    <w:rsid w:val="00DF5289"/>
    <w:rsid w:val="00DF56AA"/>
    <w:rsid w:val="00DF56AF"/>
    <w:rsid w:val="00DF62EA"/>
    <w:rsid w:val="00DF6C67"/>
    <w:rsid w:val="00DF7558"/>
    <w:rsid w:val="00DF78E7"/>
    <w:rsid w:val="00DF7981"/>
    <w:rsid w:val="00E03BE1"/>
    <w:rsid w:val="00E03F97"/>
    <w:rsid w:val="00E04002"/>
    <w:rsid w:val="00E041E8"/>
    <w:rsid w:val="00E0430F"/>
    <w:rsid w:val="00E04615"/>
    <w:rsid w:val="00E06B1A"/>
    <w:rsid w:val="00E07F8E"/>
    <w:rsid w:val="00E110E0"/>
    <w:rsid w:val="00E11B9C"/>
    <w:rsid w:val="00E12036"/>
    <w:rsid w:val="00E12B41"/>
    <w:rsid w:val="00E1344F"/>
    <w:rsid w:val="00E13EFC"/>
    <w:rsid w:val="00E14161"/>
    <w:rsid w:val="00E152FB"/>
    <w:rsid w:val="00E15371"/>
    <w:rsid w:val="00E15878"/>
    <w:rsid w:val="00E16CF4"/>
    <w:rsid w:val="00E20FAE"/>
    <w:rsid w:val="00E21161"/>
    <w:rsid w:val="00E212B4"/>
    <w:rsid w:val="00E21676"/>
    <w:rsid w:val="00E21A7F"/>
    <w:rsid w:val="00E225D5"/>
    <w:rsid w:val="00E226A6"/>
    <w:rsid w:val="00E23133"/>
    <w:rsid w:val="00E23372"/>
    <w:rsid w:val="00E237F0"/>
    <w:rsid w:val="00E24027"/>
    <w:rsid w:val="00E24104"/>
    <w:rsid w:val="00E243FD"/>
    <w:rsid w:val="00E261F4"/>
    <w:rsid w:val="00E266C3"/>
    <w:rsid w:val="00E302D0"/>
    <w:rsid w:val="00E306AA"/>
    <w:rsid w:val="00E3081B"/>
    <w:rsid w:val="00E30F8F"/>
    <w:rsid w:val="00E31B24"/>
    <w:rsid w:val="00E32931"/>
    <w:rsid w:val="00E35707"/>
    <w:rsid w:val="00E359EE"/>
    <w:rsid w:val="00E3623E"/>
    <w:rsid w:val="00E36AA1"/>
    <w:rsid w:val="00E36ACF"/>
    <w:rsid w:val="00E37267"/>
    <w:rsid w:val="00E37D5E"/>
    <w:rsid w:val="00E40440"/>
    <w:rsid w:val="00E4161B"/>
    <w:rsid w:val="00E41769"/>
    <w:rsid w:val="00E41D2D"/>
    <w:rsid w:val="00E41ECB"/>
    <w:rsid w:val="00E42676"/>
    <w:rsid w:val="00E42D7D"/>
    <w:rsid w:val="00E4309D"/>
    <w:rsid w:val="00E4323B"/>
    <w:rsid w:val="00E44644"/>
    <w:rsid w:val="00E457C7"/>
    <w:rsid w:val="00E45962"/>
    <w:rsid w:val="00E45C50"/>
    <w:rsid w:val="00E51A7C"/>
    <w:rsid w:val="00E51AB3"/>
    <w:rsid w:val="00E51EC3"/>
    <w:rsid w:val="00E52A8F"/>
    <w:rsid w:val="00E539EB"/>
    <w:rsid w:val="00E53FD0"/>
    <w:rsid w:val="00E54A34"/>
    <w:rsid w:val="00E54D70"/>
    <w:rsid w:val="00E54EF1"/>
    <w:rsid w:val="00E54FDB"/>
    <w:rsid w:val="00E550EE"/>
    <w:rsid w:val="00E55DD4"/>
    <w:rsid w:val="00E55FB3"/>
    <w:rsid w:val="00E560DC"/>
    <w:rsid w:val="00E5617D"/>
    <w:rsid w:val="00E563A6"/>
    <w:rsid w:val="00E563D7"/>
    <w:rsid w:val="00E56F69"/>
    <w:rsid w:val="00E57342"/>
    <w:rsid w:val="00E576AF"/>
    <w:rsid w:val="00E57FE6"/>
    <w:rsid w:val="00E60892"/>
    <w:rsid w:val="00E611B4"/>
    <w:rsid w:val="00E6136A"/>
    <w:rsid w:val="00E628E0"/>
    <w:rsid w:val="00E64EFA"/>
    <w:rsid w:val="00E65584"/>
    <w:rsid w:val="00E655DE"/>
    <w:rsid w:val="00E663F4"/>
    <w:rsid w:val="00E66504"/>
    <w:rsid w:val="00E666F2"/>
    <w:rsid w:val="00E66DD4"/>
    <w:rsid w:val="00E70322"/>
    <w:rsid w:val="00E7114A"/>
    <w:rsid w:val="00E719B1"/>
    <w:rsid w:val="00E71E28"/>
    <w:rsid w:val="00E7324B"/>
    <w:rsid w:val="00E744D5"/>
    <w:rsid w:val="00E748CC"/>
    <w:rsid w:val="00E75415"/>
    <w:rsid w:val="00E770AF"/>
    <w:rsid w:val="00E775B1"/>
    <w:rsid w:val="00E801CC"/>
    <w:rsid w:val="00E80CB2"/>
    <w:rsid w:val="00E8152A"/>
    <w:rsid w:val="00E82218"/>
    <w:rsid w:val="00E82A4F"/>
    <w:rsid w:val="00E8344C"/>
    <w:rsid w:val="00E83E3C"/>
    <w:rsid w:val="00E84621"/>
    <w:rsid w:val="00E861CD"/>
    <w:rsid w:val="00E8628E"/>
    <w:rsid w:val="00E866B9"/>
    <w:rsid w:val="00E876AD"/>
    <w:rsid w:val="00E87EED"/>
    <w:rsid w:val="00E91B4E"/>
    <w:rsid w:val="00E93629"/>
    <w:rsid w:val="00E93B5C"/>
    <w:rsid w:val="00E93BD9"/>
    <w:rsid w:val="00E94CEC"/>
    <w:rsid w:val="00E95041"/>
    <w:rsid w:val="00E96DAD"/>
    <w:rsid w:val="00E97063"/>
    <w:rsid w:val="00E97532"/>
    <w:rsid w:val="00EA0248"/>
    <w:rsid w:val="00EA04EF"/>
    <w:rsid w:val="00EA05D9"/>
    <w:rsid w:val="00EA1F28"/>
    <w:rsid w:val="00EA27F3"/>
    <w:rsid w:val="00EA291D"/>
    <w:rsid w:val="00EA34C2"/>
    <w:rsid w:val="00EA581D"/>
    <w:rsid w:val="00EA5A60"/>
    <w:rsid w:val="00EA62CB"/>
    <w:rsid w:val="00EA6F19"/>
    <w:rsid w:val="00EA7276"/>
    <w:rsid w:val="00EA7385"/>
    <w:rsid w:val="00EA7D6F"/>
    <w:rsid w:val="00EA7E7C"/>
    <w:rsid w:val="00EB05C7"/>
    <w:rsid w:val="00EB12DA"/>
    <w:rsid w:val="00EB1C5E"/>
    <w:rsid w:val="00EB318C"/>
    <w:rsid w:val="00EB3BB8"/>
    <w:rsid w:val="00EB4DA3"/>
    <w:rsid w:val="00EB5D81"/>
    <w:rsid w:val="00EB7090"/>
    <w:rsid w:val="00EC0955"/>
    <w:rsid w:val="00EC13FE"/>
    <w:rsid w:val="00EC1BBE"/>
    <w:rsid w:val="00EC2B68"/>
    <w:rsid w:val="00EC3719"/>
    <w:rsid w:val="00EC3AEF"/>
    <w:rsid w:val="00EC3FE1"/>
    <w:rsid w:val="00EC4F7E"/>
    <w:rsid w:val="00EC5735"/>
    <w:rsid w:val="00EC57BE"/>
    <w:rsid w:val="00EC5CD7"/>
    <w:rsid w:val="00EC6257"/>
    <w:rsid w:val="00EC7309"/>
    <w:rsid w:val="00EC7D20"/>
    <w:rsid w:val="00ED0731"/>
    <w:rsid w:val="00ED1F8B"/>
    <w:rsid w:val="00ED23BD"/>
    <w:rsid w:val="00ED257F"/>
    <w:rsid w:val="00ED3477"/>
    <w:rsid w:val="00ED3AE1"/>
    <w:rsid w:val="00ED477B"/>
    <w:rsid w:val="00ED4F45"/>
    <w:rsid w:val="00ED55EF"/>
    <w:rsid w:val="00ED7AE0"/>
    <w:rsid w:val="00ED7EE0"/>
    <w:rsid w:val="00EE00A9"/>
    <w:rsid w:val="00EE0B8A"/>
    <w:rsid w:val="00EE13AC"/>
    <w:rsid w:val="00EE1539"/>
    <w:rsid w:val="00EE3C43"/>
    <w:rsid w:val="00EE50A6"/>
    <w:rsid w:val="00EE528C"/>
    <w:rsid w:val="00EE584A"/>
    <w:rsid w:val="00EE5FB3"/>
    <w:rsid w:val="00EE7F79"/>
    <w:rsid w:val="00EF086F"/>
    <w:rsid w:val="00EF0FBA"/>
    <w:rsid w:val="00EF15C0"/>
    <w:rsid w:val="00EF1CC7"/>
    <w:rsid w:val="00EF2F18"/>
    <w:rsid w:val="00EF6E66"/>
    <w:rsid w:val="00EF715A"/>
    <w:rsid w:val="00EF7DA9"/>
    <w:rsid w:val="00F00092"/>
    <w:rsid w:val="00F010B3"/>
    <w:rsid w:val="00F01BC3"/>
    <w:rsid w:val="00F0216B"/>
    <w:rsid w:val="00F028CA"/>
    <w:rsid w:val="00F03E3A"/>
    <w:rsid w:val="00F0429F"/>
    <w:rsid w:val="00F06E14"/>
    <w:rsid w:val="00F1005F"/>
    <w:rsid w:val="00F10A6C"/>
    <w:rsid w:val="00F11C39"/>
    <w:rsid w:val="00F123C0"/>
    <w:rsid w:val="00F155C9"/>
    <w:rsid w:val="00F1634C"/>
    <w:rsid w:val="00F164DA"/>
    <w:rsid w:val="00F1696F"/>
    <w:rsid w:val="00F179D4"/>
    <w:rsid w:val="00F20164"/>
    <w:rsid w:val="00F20296"/>
    <w:rsid w:val="00F21157"/>
    <w:rsid w:val="00F21516"/>
    <w:rsid w:val="00F2271E"/>
    <w:rsid w:val="00F22DB9"/>
    <w:rsid w:val="00F232FA"/>
    <w:rsid w:val="00F23704"/>
    <w:rsid w:val="00F24099"/>
    <w:rsid w:val="00F2508F"/>
    <w:rsid w:val="00F25161"/>
    <w:rsid w:val="00F2544C"/>
    <w:rsid w:val="00F25FF8"/>
    <w:rsid w:val="00F273F2"/>
    <w:rsid w:val="00F31198"/>
    <w:rsid w:val="00F32A38"/>
    <w:rsid w:val="00F33C56"/>
    <w:rsid w:val="00F33DBE"/>
    <w:rsid w:val="00F347C7"/>
    <w:rsid w:val="00F34848"/>
    <w:rsid w:val="00F34C84"/>
    <w:rsid w:val="00F35255"/>
    <w:rsid w:val="00F35A2D"/>
    <w:rsid w:val="00F35BA2"/>
    <w:rsid w:val="00F3630A"/>
    <w:rsid w:val="00F375AE"/>
    <w:rsid w:val="00F37AB9"/>
    <w:rsid w:val="00F4026D"/>
    <w:rsid w:val="00F4100E"/>
    <w:rsid w:val="00F41371"/>
    <w:rsid w:val="00F42D46"/>
    <w:rsid w:val="00F43BDF"/>
    <w:rsid w:val="00F43C82"/>
    <w:rsid w:val="00F43D61"/>
    <w:rsid w:val="00F44405"/>
    <w:rsid w:val="00F4484E"/>
    <w:rsid w:val="00F4496C"/>
    <w:rsid w:val="00F44CA0"/>
    <w:rsid w:val="00F44F3A"/>
    <w:rsid w:val="00F450A7"/>
    <w:rsid w:val="00F4594D"/>
    <w:rsid w:val="00F45C17"/>
    <w:rsid w:val="00F45DD5"/>
    <w:rsid w:val="00F47B22"/>
    <w:rsid w:val="00F50445"/>
    <w:rsid w:val="00F51F10"/>
    <w:rsid w:val="00F52119"/>
    <w:rsid w:val="00F529A5"/>
    <w:rsid w:val="00F52B02"/>
    <w:rsid w:val="00F532AE"/>
    <w:rsid w:val="00F5370E"/>
    <w:rsid w:val="00F5411C"/>
    <w:rsid w:val="00F54A1C"/>
    <w:rsid w:val="00F5506C"/>
    <w:rsid w:val="00F55A48"/>
    <w:rsid w:val="00F5606A"/>
    <w:rsid w:val="00F56BA9"/>
    <w:rsid w:val="00F56F88"/>
    <w:rsid w:val="00F5795B"/>
    <w:rsid w:val="00F60F00"/>
    <w:rsid w:val="00F61347"/>
    <w:rsid w:val="00F614C0"/>
    <w:rsid w:val="00F61C77"/>
    <w:rsid w:val="00F61CD5"/>
    <w:rsid w:val="00F620CA"/>
    <w:rsid w:val="00F623B9"/>
    <w:rsid w:val="00F6453C"/>
    <w:rsid w:val="00F65DCE"/>
    <w:rsid w:val="00F66595"/>
    <w:rsid w:val="00F67EED"/>
    <w:rsid w:val="00F7008B"/>
    <w:rsid w:val="00F70586"/>
    <w:rsid w:val="00F708F0"/>
    <w:rsid w:val="00F70D5C"/>
    <w:rsid w:val="00F71B63"/>
    <w:rsid w:val="00F71BAB"/>
    <w:rsid w:val="00F750B8"/>
    <w:rsid w:val="00F75868"/>
    <w:rsid w:val="00F768CB"/>
    <w:rsid w:val="00F76CEC"/>
    <w:rsid w:val="00F7750E"/>
    <w:rsid w:val="00F77746"/>
    <w:rsid w:val="00F77E64"/>
    <w:rsid w:val="00F83848"/>
    <w:rsid w:val="00F83E0C"/>
    <w:rsid w:val="00F8442E"/>
    <w:rsid w:val="00F849AC"/>
    <w:rsid w:val="00F84CBF"/>
    <w:rsid w:val="00F859E8"/>
    <w:rsid w:val="00F85B0F"/>
    <w:rsid w:val="00F85C79"/>
    <w:rsid w:val="00F86A67"/>
    <w:rsid w:val="00F87720"/>
    <w:rsid w:val="00F9109B"/>
    <w:rsid w:val="00F92502"/>
    <w:rsid w:val="00F93114"/>
    <w:rsid w:val="00F95C68"/>
    <w:rsid w:val="00F975E9"/>
    <w:rsid w:val="00F9785B"/>
    <w:rsid w:val="00FA1B7D"/>
    <w:rsid w:val="00FA1EBE"/>
    <w:rsid w:val="00FA203E"/>
    <w:rsid w:val="00FA2CA9"/>
    <w:rsid w:val="00FA2F13"/>
    <w:rsid w:val="00FA3186"/>
    <w:rsid w:val="00FA6667"/>
    <w:rsid w:val="00FA699C"/>
    <w:rsid w:val="00FB2192"/>
    <w:rsid w:val="00FB3E8E"/>
    <w:rsid w:val="00FB3F9E"/>
    <w:rsid w:val="00FB49F0"/>
    <w:rsid w:val="00FB4EE4"/>
    <w:rsid w:val="00FB5AFF"/>
    <w:rsid w:val="00FB5FBC"/>
    <w:rsid w:val="00FB6E14"/>
    <w:rsid w:val="00FB7A0B"/>
    <w:rsid w:val="00FC02EA"/>
    <w:rsid w:val="00FC07B9"/>
    <w:rsid w:val="00FC2188"/>
    <w:rsid w:val="00FC3279"/>
    <w:rsid w:val="00FC3516"/>
    <w:rsid w:val="00FC385B"/>
    <w:rsid w:val="00FC4E21"/>
    <w:rsid w:val="00FC5F6D"/>
    <w:rsid w:val="00FC65CE"/>
    <w:rsid w:val="00FC69AE"/>
    <w:rsid w:val="00FC6BD8"/>
    <w:rsid w:val="00FC70B9"/>
    <w:rsid w:val="00FC791F"/>
    <w:rsid w:val="00FD0107"/>
    <w:rsid w:val="00FD0B35"/>
    <w:rsid w:val="00FD0BBA"/>
    <w:rsid w:val="00FD1224"/>
    <w:rsid w:val="00FD1FB0"/>
    <w:rsid w:val="00FD2C2F"/>
    <w:rsid w:val="00FD383C"/>
    <w:rsid w:val="00FD3B31"/>
    <w:rsid w:val="00FD3B8B"/>
    <w:rsid w:val="00FD4217"/>
    <w:rsid w:val="00FD51A6"/>
    <w:rsid w:val="00FD676D"/>
    <w:rsid w:val="00FD6CE9"/>
    <w:rsid w:val="00FD7AC5"/>
    <w:rsid w:val="00FD7C2A"/>
    <w:rsid w:val="00FE032A"/>
    <w:rsid w:val="00FE13F1"/>
    <w:rsid w:val="00FE16AA"/>
    <w:rsid w:val="00FE1823"/>
    <w:rsid w:val="00FE1E10"/>
    <w:rsid w:val="00FE29DD"/>
    <w:rsid w:val="00FE47A5"/>
    <w:rsid w:val="00FE487A"/>
    <w:rsid w:val="00FE5B0C"/>
    <w:rsid w:val="00FE6DDB"/>
    <w:rsid w:val="00FE7C05"/>
    <w:rsid w:val="00FF0044"/>
    <w:rsid w:val="00FF04FF"/>
    <w:rsid w:val="00FF0569"/>
    <w:rsid w:val="00FF0995"/>
    <w:rsid w:val="00FF0E90"/>
    <w:rsid w:val="00FF17DF"/>
    <w:rsid w:val="00FF19E7"/>
    <w:rsid w:val="00FF1B60"/>
    <w:rsid w:val="00FF206E"/>
    <w:rsid w:val="00FF2EBD"/>
    <w:rsid w:val="00FF3C69"/>
    <w:rsid w:val="00FF4721"/>
    <w:rsid w:val="00FF5060"/>
    <w:rsid w:val="00FF5C30"/>
    <w:rsid w:val="00FF6A11"/>
    <w:rsid w:val="00FF6E0A"/>
    <w:rsid w:val="00FF73F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red,#4d4d4f"/>
    </o:shapedefaults>
    <o:shapelayout v:ext="edit">
      <o:idmap v:ext="edit" data="1"/>
    </o:shapelayout>
  </w:shapeDefaults>
  <w:decimalSymbol w:val="."/>
  <w:listSeparator w:val=","/>
  <w14:docId w14:val="4AB6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2"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06E"/>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ACMA Footnote Text"/>
    <w:basedOn w:val="Normal"/>
    <w:link w:val="FootnoteTextChar"/>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905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517E"/>
    <w:rPr>
      <w:rFonts w:ascii="Segoe UI" w:hAnsi="Segoe UI" w:cs="Segoe UI"/>
      <w:sz w:val="18"/>
      <w:szCs w:val="18"/>
    </w:rPr>
  </w:style>
  <w:style w:type="paragraph" w:styleId="ListParagraph">
    <w:name w:val="List Paragraph"/>
    <w:basedOn w:val="Normal"/>
    <w:uiPriority w:val="34"/>
    <w:qFormat/>
    <w:rsid w:val="0090517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ACMA Footnote Text Char"/>
    <w:basedOn w:val="DefaultParagraphFont"/>
    <w:link w:val="FootnoteText"/>
    <w:locked/>
    <w:rsid w:val="0090517E"/>
    <w:rPr>
      <w:rFonts w:ascii="Arial" w:hAnsi="Arial"/>
      <w:sz w:val="16"/>
      <w:szCs w:val="16"/>
    </w:rPr>
  </w:style>
  <w:style w:type="paragraph" w:styleId="Revision">
    <w:name w:val="Revision"/>
    <w:hidden/>
    <w:semiHidden/>
    <w:rsid w:val="00F83E0C"/>
    <w:rPr>
      <w:rFonts w:ascii="Arial" w:hAnsi="Arial"/>
      <w:sz w:val="20"/>
    </w:rPr>
  </w:style>
  <w:style w:type="paragraph" w:customStyle="1" w:styleId="ACMABodyText">
    <w:name w:val="ACMA Body Text"/>
    <w:link w:val="ACMABodyTextChar"/>
    <w:rsid w:val="00170EF4"/>
    <w:pPr>
      <w:suppressAutoHyphens/>
      <w:spacing w:before="80" w:after="120" w:line="280" w:lineRule="atLeast"/>
    </w:pPr>
    <w:rPr>
      <w:snapToGrid w:val="0"/>
      <w:szCs w:val="20"/>
      <w:lang w:eastAsia="en-US"/>
    </w:rPr>
  </w:style>
  <w:style w:type="paragraph" w:customStyle="1" w:styleId="ACMAletteredlist">
    <w:name w:val="ACMA lettered list"/>
    <w:rsid w:val="00170EF4"/>
    <w:pPr>
      <w:numPr>
        <w:numId w:val="10"/>
      </w:numPr>
      <w:tabs>
        <w:tab w:val="clear" w:pos="360"/>
      </w:tabs>
      <w:spacing w:before="20" w:after="20"/>
    </w:pPr>
    <w:rPr>
      <w:szCs w:val="20"/>
      <w:lang w:eastAsia="en-US"/>
    </w:rPr>
  </w:style>
  <w:style w:type="character" w:customStyle="1" w:styleId="ACMABodyTextChar">
    <w:name w:val="ACMA Body Text Char"/>
    <w:basedOn w:val="DefaultParagraphFont"/>
    <w:link w:val="ACMABodyText"/>
    <w:locked/>
    <w:rsid w:val="00170EF4"/>
    <w:rPr>
      <w:snapToGrid w:val="0"/>
      <w:szCs w:val="20"/>
      <w:lang w:eastAsia="en-US"/>
    </w:rPr>
  </w:style>
  <w:style w:type="paragraph" w:styleId="NormalWeb">
    <w:name w:val="Normal (Web)"/>
    <w:basedOn w:val="Normal"/>
    <w:unhideWhenUsed/>
    <w:rsid w:val="00651E1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7737">
      <w:bodyDiv w:val="1"/>
      <w:marLeft w:val="0"/>
      <w:marRight w:val="0"/>
      <w:marTop w:val="0"/>
      <w:marBottom w:val="0"/>
      <w:divBdr>
        <w:top w:val="none" w:sz="0" w:space="0" w:color="auto"/>
        <w:left w:val="none" w:sz="0" w:space="0" w:color="auto"/>
        <w:bottom w:val="none" w:sz="0" w:space="0" w:color="auto"/>
        <w:right w:val="none" w:sz="0" w:space="0" w:color="auto"/>
      </w:divBdr>
      <w:divsChild>
        <w:div w:id="425997816">
          <w:marLeft w:val="0"/>
          <w:marRight w:val="0"/>
          <w:marTop w:val="0"/>
          <w:marBottom w:val="0"/>
          <w:divBdr>
            <w:top w:val="none" w:sz="0" w:space="0" w:color="auto"/>
            <w:left w:val="none" w:sz="0" w:space="0" w:color="auto"/>
            <w:bottom w:val="none" w:sz="0" w:space="0" w:color="auto"/>
            <w:right w:val="none" w:sz="0" w:space="0" w:color="auto"/>
          </w:divBdr>
          <w:divsChild>
            <w:div w:id="1059281156">
              <w:marLeft w:val="0"/>
              <w:marRight w:val="0"/>
              <w:marTop w:val="0"/>
              <w:marBottom w:val="0"/>
              <w:divBdr>
                <w:top w:val="none" w:sz="0" w:space="0" w:color="auto"/>
                <w:left w:val="none" w:sz="0" w:space="0" w:color="auto"/>
                <w:bottom w:val="none" w:sz="0" w:space="0" w:color="auto"/>
                <w:right w:val="none" w:sz="0" w:space="0" w:color="auto"/>
              </w:divBdr>
              <w:divsChild>
                <w:div w:id="13762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0207">
      <w:bodyDiv w:val="1"/>
      <w:marLeft w:val="0"/>
      <w:marRight w:val="0"/>
      <w:marTop w:val="0"/>
      <w:marBottom w:val="0"/>
      <w:divBdr>
        <w:top w:val="none" w:sz="0" w:space="0" w:color="auto"/>
        <w:left w:val="none" w:sz="0" w:space="0" w:color="auto"/>
        <w:bottom w:val="none" w:sz="0" w:space="0" w:color="auto"/>
        <w:right w:val="none" w:sz="0" w:space="0" w:color="auto"/>
      </w:divBdr>
    </w:div>
    <w:div w:id="162093652">
      <w:bodyDiv w:val="1"/>
      <w:marLeft w:val="0"/>
      <w:marRight w:val="0"/>
      <w:marTop w:val="0"/>
      <w:marBottom w:val="0"/>
      <w:divBdr>
        <w:top w:val="none" w:sz="0" w:space="0" w:color="auto"/>
        <w:left w:val="none" w:sz="0" w:space="0" w:color="auto"/>
        <w:bottom w:val="none" w:sz="0" w:space="0" w:color="auto"/>
        <w:right w:val="none" w:sz="0" w:space="0" w:color="auto"/>
      </w:divBdr>
    </w:div>
    <w:div w:id="201404509">
      <w:bodyDiv w:val="1"/>
      <w:marLeft w:val="0"/>
      <w:marRight w:val="0"/>
      <w:marTop w:val="0"/>
      <w:marBottom w:val="0"/>
      <w:divBdr>
        <w:top w:val="none" w:sz="0" w:space="0" w:color="auto"/>
        <w:left w:val="none" w:sz="0" w:space="0" w:color="auto"/>
        <w:bottom w:val="none" w:sz="0" w:space="0" w:color="auto"/>
        <w:right w:val="none" w:sz="0" w:space="0" w:color="auto"/>
      </w:divBdr>
    </w:div>
    <w:div w:id="214584515">
      <w:bodyDiv w:val="1"/>
      <w:marLeft w:val="0"/>
      <w:marRight w:val="0"/>
      <w:marTop w:val="0"/>
      <w:marBottom w:val="0"/>
      <w:divBdr>
        <w:top w:val="none" w:sz="0" w:space="0" w:color="auto"/>
        <w:left w:val="none" w:sz="0" w:space="0" w:color="auto"/>
        <w:bottom w:val="none" w:sz="0" w:space="0" w:color="auto"/>
        <w:right w:val="none" w:sz="0" w:space="0" w:color="auto"/>
      </w:divBdr>
    </w:div>
    <w:div w:id="497381756">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584073143">
      <w:bodyDiv w:val="1"/>
      <w:marLeft w:val="0"/>
      <w:marRight w:val="0"/>
      <w:marTop w:val="0"/>
      <w:marBottom w:val="0"/>
      <w:divBdr>
        <w:top w:val="none" w:sz="0" w:space="0" w:color="auto"/>
        <w:left w:val="none" w:sz="0" w:space="0" w:color="auto"/>
        <w:bottom w:val="none" w:sz="0" w:space="0" w:color="auto"/>
        <w:right w:val="none" w:sz="0" w:space="0" w:color="auto"/>
      </w:divBdr>
    </w:div>
    <w:div w:id="640304036">
      <w:bodyDiv w:val="1"/>
      <w:marLeft w:val="0"/>
      <w:marRight w:val="0"/>
      <w:marTop w:val="0"/>
      <w:marBottom w:val="0"/>
      <w:divBdr>
        <w:top w:val="none" w:sz="0" w:space="0" w:color="auto"/>
        <w:left w:val="none" w:sz="0" w:space="0" w:color="auto"/>
        <w:bottom w:val="none" w:sz="0" w:space="0" w:color="auto"/>
        <w:right w:val="none" w:sz="0" w:space="0" w:color="auto"/>
      </w:divBdr>
    </w:div>
    <w:div w:id="642658956">
      <w:bodyDiv w:val="1"/>
      <w:marLeft w:val="0"/>
      <w:marRight w:val="0"/>
      <w:marTop w:val="0"/>
      <w:marBottom w:val="0"/>
      <w:divBdr>
        <w:top w:val="none" w:sz="0" w:space="0" w:color="auto"/>
        <w:left w:val="none" w:sz="0" w:space="0" w:color="auto"/>
        <w:bottom w:val="none" w:sz="0" w:space="0" w:color="auto"/>
        <w:right w:val="none" w:sz="0" w:space="0" w:color="auto"/>
      </w:divBdr>
    </w:div>
    <w:div w:id="678392948">
      <w:bodyDiv w:val="1"/>
      <w:marLeft w:val="0"/>
      <w:marRight w:val="0"/>
      <w:marTop w:val="0"/>
      <w:marBottom w:val="0"/>
      <w:divBdr>
        <w:top w:val="none" w:sz="0" w:space="0" w:color="auto"/>
        <w:left w:val="none" w:sz="0" w:space="0" w:color="auto"/>
        <w:bottom w:val="none" w:sz="0" w:space="0" w:color="auto"/>
        <w:right w:val="none" w:sz="0" w:space="0" w:color="auto"/>
      </w:divBdr>
    </w:div>
    <w:div w:id="689912343">
      <w:bodyDiv w:val="1"/>
      <w:marLeft w:val="0"/>
      <w:marRight w:val="0"/>
      <w:marTop w:val="0"/>
      <w:marBottom w:val="0"/>
      <w:divBdr>
        <w:top w:val="none" w:sz="0" w:space="0" w:color="auto"/>
        <w:left w:val="none" w:sz="0" w:space="0" w:color="auto"/>
        <w:bottom w:val="none" w:sz="0" w:space="0" w:color="auto"/>
        <w:right w:val="none" w:sz="0" w:space="0" w:color="auto"/>
      </w:divBdr>
    </w:div>
    <w:div w:id="694773938">
      <w:bodyDiv w:val="1"/>
      <w:marLeft w:val="0"/>
      <w:marRight w:val="0"/>
      <w:marTop w:val="0"/>
      <w:marBottom w:val="0"/>
      <w:divBdr>
        <w:top w:val="none" w:sz="0" w:space="0" w:color="auto"/>
        <w:left w:val="none" w:sz="0" w:space="0" w:color="auto"/>
        <w:bottom w:val="none" w:sz="0" w:space="0" w:color="auto"/>
        <w:right w:val="none" w:sz="0" w:space="0" w:color="auto"/>
      </w:divBdr>
    </w:div>
    <w:div w:id="794105039">
      <w:bodyDiv w:val="1"/>
      <w:marLeft w:val="0"/>
      <w:marRight w:val="0"/>
      <w:marTop w:val="0"/>
      <w:marBottom w:val="0"/>
      <w:divBdr>
        <w:top w:val="none" w:sz="0" w:space="0" w:color="auto"/>
        <w:left w:val="none" w:sz="0" w:space="0" w:color="auto"/>
        <w:bottom w:val="none" w:sz="0" w:space="0" w:color="auto"/>
        <w:right w:val="none" w:sz="0" w:space="0" w:color="auto"/>
      </w:divBdr>
    </w:div>
    <w:div w:id="1331449551">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17425033">
      <w:bodyDiv w:val="1"/>
      <w:marLeft w:val="0"/>
      <w:marRight w:val="0"/>
      <w:marTop w:val="0"/>
      <w:marBottom w:val="0"/>
      <w:divBdr>
        <w:top w:val="none" w:sz="0" w:space="0" w:color="auto"/>
        <w:left w:val="none" w:sz="0" w:space="0" w:color="auto"/>
        <w:bottom w:val="none" w:sz="0" w:space="0" w:color="auto"/>
        <w:right w:val="none" w:sz="0" w:space="0" w:color="auto"/>
      </w:divBdr>
    </w:div>
    <w:div w:id="1519273050">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06578463">
      <w:bodyDiv w:val="1"/>
      <w:marLeft w:val="0"/>
      <w:marRight w:val="0"/>
      <w:marTop w:val="0"/>
      <w:marBottom w:val="0"/>
      <w:divBdr>
        <w:top w:val="none" w:sz="0" w:space="0" w:color="auto"/>
        <w:left w:val="none" w:sz="0" w:space="0" w:color="auto"/>
        <w:bottom w:val="none" w:sz="0" w:space="0" w:color="auto"/>
        <w:right w:val="none" w:sz="0" w:space="0" w:color="auto"/>
      </w:divBdr>
    </w:div>
    <w:div w:id="1681007206">
      <w:bodyDiv w:val="1"/>
      <w:marLeft w:val="0"/>
      <w:marRight w:val="0"/>
      <w:marTop w:val="0"/>
      <w:marBottom w:val="0"/>
      <w:divBdr>
        <w:top w:val="none" w:sz="0" w:space="0" w:color="auto"/>
        <w:left w:val="none" w:sz="0" w:space="0" w:color="auto"/>
        <w:bottom w:val="none" w:sz="0" w:space="0" w:color="auto"/>
        <w:right w:val="none" w:sz="0" w:space="0" w:color="auto"/>
      </w:divBdr>
    </w:div>
    <w:div w:id="1753431066">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41647175">
      <w:bodyDiv w:val="1"/>
      <w:marLeft w:val="0"/>
      <w:marRight w:val="0"/>
      <w:marTop w:val="0"/>
      <w:marBottom w:val="0"/>
      <w:divBdr>
        <w:top w:val="none" w:sz="0" w:space="0" w:color="auto"/>
        <w:left w:val="none" w:sz="0" w:space="0" w:color="auto"/>
        <w:bottom w:val="none" w:sz="0" w:space="0" w:color="auto"/>
        <w:right w:val="none" w:sz="0" w:space="0" w:color="auto"/>
      </w:divBdr>
    </w:div>
    <w:div w:id="20008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commsalliance.com.au/Documents/Publications-by-Topic/MNP"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idcare.org/fact-sheets/understanding-identity-thef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F2016C00283" TargetMode="External"/><Relationship Id="rId33" Type="http://schemas.openxmlformats.org/officeDocument/2006/relationships/hyperlink" Target="https://aic.gov.au/publications/sr/sr10"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C2019C00273" TargetMode="External"/><Relationship Id="rId32" Type="http://schemas.openxmlformats.org/officeDocument/2006/relationships/hyperlink" Target="https://www.homeaffairs.gov.au/criminal-justice/files/identity-crime-misuse-australia-2016.pdf"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commsalliance.com.au/Documents/all/guidelines/G651"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minister.communications.gov.au/minister/paul-fletcher/news/action-plan-combat-phone-sc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commsalliance.com.au/Documents/all/codes/c628" TargetMode="External"/><Relationship Id="rId30" Type="http://schemas.openxmlformats.org/officeDocument/2006/relationships/image" Target="media/image5.svg"/><Relationship Id="rId35" Type="http://schemas.openxmlformats.org/officeDocument/2006/relationships/hyperlink" Target="https://www.idtheftcenter.org/wp-content/uploads/2018/09/ITRC_Aftermath-2018_Web_FINAL.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ma.gov.au/publications/2020-02/report/communications-report-2018-19?utm_medium=email&amp;utm_campaign=Researchtelco%20e-bulletin%20ACMA%20report%20confirms%20the%20rise%20of%20streaming%20in%20Australia&amp;utm_content=Researchtelco%20e-bulletin%20ACMA%20report%20confirms%20the%20rise%20of%20streaming%20in%20Australia+CID_c9cea78361f882ce9cb537ae127e7198&amp;utm_source=SendEmailCampaigns&amp;utm_term=ACMA%20Communications%20report" TargetMode="External"/><Relationship Id="rId13" Type="http://schemas.openxmlformats.org/officeDocument/2006/relationships/hyperlink" Target="https://dd80b675424c132b90b3-e48385e382d2e5d17821a5e1d8e4c86b.ssl.cf1.rackcdn.com/external/idcarecommunityinsightsporting2018.pdf" TargetMode="External"/><Relationship Id="rId18" Type="http://schemas.openxmlformats.org/officeDocument/2006/relationships/hyperlink" Target="https://www.idtheftcenter.org/wp-content/uploads/2018/09/ITRC_Aftermath-2018_Web_FINAL.pdf" TargetMode="External"/><Relationship Id="rId3" Type="http://schemas.openxmlformats.org/officeDocument/2006/relationships/hyperlink" Target="https://www.acma.gov.au/publications/2020-02/report/communications-report-2018-19?utm_medium=email&amp;utm_campaign=Researchtelco%20e-bulletin%20ACMA%20report%20confirms%20the%20rise%20of%20streaming%20in%20Australia&amp;utm_content=Researchtelco%20e-bulletin%20ACMA%20report%20confirms%20the%20rise%20of%20streaming%20in%20Australia+CID_c9cea78361f882ce9cb537ae127e7198&amp;utm_source=SendEmailCampaigns&amp;utm_term=ACMA%20Communications%20report" TargetMode="External"/><Relationship Id="rId7" Type="http://schemas.openxmlformats.org/officeDocument/2006/relationships/hyperlink" Target="https://www.ag.gov.au/Integrity/counter-fraud/fraud-australia/Pages/government-responsibility-fraud.aspx" TargetMode="External"/><Relationship Id="rId12" Type="http://schemas.openxmlformats.org/officeDocument/2006/relationships/hyperlink" Target="https://www.acma.gov.au/publications/2020-02/report/communications-report-2018-19?utm_medium=email&amp;utm_campaign=Researchtelco%20e-bulletin%20ACMA%20report%20confirms%20the%20rise%20of%20streaming%20in%20Australia&amp;utm_content=Researchtelco%20e-bulletin%20ACMA%20report%20confirms%20the%20rise%20of%20streaming%20in%20Australia+CID_c9cea78361f882ce9cb537ae127e7198&amp;utm_source=SendEmailCampaigns&amp;utm_term=ACMA%20Communications%20report" TargetMode="External"/><Relationship Id="rId17" Type="http://schemas.openxmlformats.org/officeDocument/2006/relationships/hyperlink" Target="https://aic.gov.au/publications/sr/sr10" TargetMode="External"/><Relationship Id="rId2" Type="http://schemas.openxmlformats.org/officeDocument/2006/relationships/hyperlink" Target="https://www.accc.gov.au/system/files/ACCC%20submission%20to%20the%20Review%20of%20national%20arrangements%20for%20the%20protection%20and%20management%20of%20identity%20information.pdf" TargetMode="External"/><Relationship Id="rId16" Type="http://schemas.openxmlformats.org/officeDocument/2006/relationships/hyperlink" Target="https://dd80b675424c132b90b3-e48385e382d2e5d17821a5e1d8e4c86b.ssl.cf1.rackcdn.com/external/idcarecommunityinsightsporting2018.pdf" TargetMode="External"/><Relationship Id="rId20" Type="http://schemas.openxmlformats.org/officeDocument/2006/relationships/hyperlink" Target="https://www.acma.gov.au/publications/2019-11/report/combatting-scams-summary-report" TargetMode="External"/><Relationship Id="rId1" Type="http://schemas.openxmlformats.org/officeDocument/2006/relationships/hyperlink" Target="https://www.acma.gov.au/publications/2019-10/report/mobile-only-australia-living-without-fixed-line-home" TargetMode="External"/><Relationship Id="rId6" Type="http://schemas.openxmlformats.org/officeDocument/2006/relationships/hyperlink" Target="https://www.acic.gov.au/about-crime/crime-types/fraud" TargetMode="External"/><Relationship Id="rId11" Type="http://schemas.openxmlformats.org/officeDocument/2006/relationships/hyperlink" Target="https://www.scamwatch.gov.au/news/record-losses-expected-as-scammers-target-australians" TargetMode="External"/><Relationship Id="rId5" Type="http://schemas.openxmlformats.org/officeDocument/2006/relationships/hyperlink" Target="https://www.ag.gov.au/Integrity/counter-fraud/fraud-australia/Pages/default.aspx" TargetMode="External"/><Relationship Id="rId15" Type="http://schemas.openxmlformats.org/officeDocument/2006/relationships/hyperlink" Target="https://aic.gov.au/publications/sr/sr10" TargetMode="External"/><Relationship Id="rId10" Type="http://schemas.openxmlformats.org/officeDocument/2006/relationships/hyperlink" Target="https://www.acma.gov.au/publications/2018-12/report/unsolicited-calls-australia-consumer-experience" TargetMode="External"/><Relationship Id="rId19" Type="http://schemas.openxmlformats.org/officeDocument/2006/relationships/hyperlink" Target="https://aic.gov.au/publications/sr/sr10" TargetMode="External"/><Relationship Id="rId4" Type="http://schemas.openxmlformats.org/officeDocument/2006/relationships/hyperlink" Target="https://www.acic.gov.au/about-crime/crime-types/fraud" TargetMode="External"/><Relationship Id="rId9" Type="http://schemas.openxmlformats.org/officeDocument/2006/relationships/hyperlink" Target="https://www.idtheftcenter.org/wp-content/uploads/2018/09/ITRC_Aftermath-2018_Web_FINAL.pdf" TargetMode="External"/><Relationship Id="rId14" Type="http://schemas.openxmlformats.org/officeDocument/2006/relationships/hyperlink" Target="https://www.anz.com.au/security/account-protection/fraud-money-back-guaran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A3DD-4442-4CF9-AE09-6B3B0E2C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9587</Words>
  <Characters>54652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2020-02-27T23:48:00Z</dcterms:created>
  <dcterms:modified xsi:type="dcterms:W3CDTF">2020-02-27T23:49:00Z</dcterms:modified>
  <cp:category/>
</cp:coreProperties>
</file>