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354A99" w14:textId="77777777" w:rsidR="00F06E14" w:rsidRPr="00A51D1A" w:rsidRDefault="00701580" w:rsidP="00A51D1A">
      <w:pPr>
        <w:pStyle w:val="ACMAReportTitle"/>
      </w:pPr>
      <w:r>
        <w:t>Future use of the 1.5 GH</w:t>
      </w:r>
      <w:r w:rsidR="008927B9">
        <w:t xml:space="preserve">z and </w:t>
      </w:r>
      <w:r w:rsidR="00D813B1">
        <w:br/>
      </w:r>
      <w:r w:rsidR="008927B9">
        <w:t>3.6 GHz bands</w:t>
      </w:r>
      <w:r w:rsidR="00265A42">
        <w:t>—</w:t>
      </w:r>
    </w:p>
    <w:p w14:paraId="407B97AA" w14:textId="77777777" w:rsidR="00F06E14" w:rsidRDefault="00D26C78" w:rsidP="00F06E14">
      <w:pPr>
        <w:pStyle w:val="ACMAReportSubTitle"/>
      </w:pPr>
      <w:r>
        <w:t>Summary of</w:t>
      </w:r>
      <w:r w:rsidR="00607088">
        <w:t xml:space="preserve"> and response to</w:t>
      </w:r>
      <w:r>
        <w:t xml:space="preserve"> </w:t>
      </w:r>
      <w:bookmarkStart w:id="0" w:name="_GoBack"/>
      <w:bookmarkEnd w:id="0"/>
      <w:r w:rsidR="00D813B1">
        <w:br/>
      </w:r>
      <w:r w:rsidR="00F65D6F">
        <w:t xml:space="preserve">3.6 GHz </w:t>
      </w:r>
      <w:r>
        <w:t>submissions</w:t>
      </w:r>
    </w:p>
    <w:p w14:paraId="6076248E" w14:textId="77777777" w:rsidR="00F06E14" w:rsidRDefault="00026BD7" w:rsidP="00D47AEB">
      <w:pPr>
        <w:pStyle w:val="ACMAReportDate"/>
        <w:spacing w:after="720"/>
      </w:pPr>
      <w:r>
        <w:t>June</w:t>
      </w:r>
      <w:r w:rsidR="00D26C78">
        <w:t xml:space="preserve"> 201</w:t>
      </w:r>
      <w:r w:rsidR="008927B9">
        <w:t>7</w:t>
      </w:r>
    </w:p>
    <w:p w14:paraId="2F654696" w14:textId="77777777" w:rsidR="00C97736" w:rsidRPr="000D76E0" w:rsidRDefault="00C97736" w:rsidP="0041071D">
      <w:pPr>
        <w:rPr>
          <w:rFonts w:cs="Arial"/>
        </w:rPr>
      </w:pPr>
    </w:p>
    <w:p w14:paraId="5B51AAA7" w14:textId="77777777" w:rsidR="00C97736" w:rsidRPr="000D76E0" w:rsidRDefault="00C97736" w:rsidP="0041071D">
      <w:pPr>
        <w:rPr>
          <w:rFonts w:cs="Arial"/>
        </w:rPr>
        <w:sectPr w:rsidR="00C97736" w:rsidRPr="000D76E0" w:rsidSect="004F556E">
          <w:headerReference w:type="even" r:id="rId11"/>
          <w:headerReference w:type="default" r:id="rId12"/>
          <w:footerReference w:type="even" r:id="rId13"/>
          <w:footerReference w:type="default" r:id="rId14"/>
          <w:headerReference w:type="first" r:id="rId15"/>
          <w:footerReference w:type="first" r:id="rId16"/>
          <w:pgSz w:w="11906" w:h="16838" w:code="9"/>
          <w:pgMar w:top="3924" w:right="1797" w:bottom="1440" w:left="1134" w:header="709" w:footer="454" w:gutter="0"/>
          <w:cols w:space="708"/>
          <w:docGrid w:linePitch="360"/>
        </w:sectPr>
      </w:pPr>
    </w:p>
    <w:p w14:paraId="670CB16A" w14:textId="77777777" w:rsidR="0005011A" w:rsidRPr="00F44F3A" w:rsidRDefault="0005011A" w:rsidP="00FC07B9">
      <w:pPr>
        <w:pStyle w:val="ACMACorporateAddressHeader"/>
      </w:pPr>
      <w:r w:rsidRPr="00F44F3A">
        <w:lastRenderedPageBreak/>
        <w:t>Canberra</w:t>
      </w:r>
    </w:p>
    <w:p w14:paraId="6CFF2D29" w14:textId="77777777" w:rsidR="0005011A" w:rsidRPr="00FC07B9" w:rsidRDefault="0005011A" w:rsidP="00FC07B9">
      <w:pPr>
        <w:pStyle w:val="ACMACorporateAddresses"/>
      </w:pPr>
      <w:r w:rsidRPr="00FC07B9">
        <w:t xml:space="preserve">Red Building </w:t>
      </w:r>
      <w:r w:rsidRPr="00FC07B9">
        <w:br/>
        <w:t>Benjamin Offices</w:t>
      </w:r>
      <w:r w:rsidRPr="00FC07B9">
        <w:br/>
        <w:t xml:space="preserve">Chan Street </w:t>
      </w:r>
      <w:r w:rsidRPr="00FC07B9">
        <w:br/>
        <w:t>Belconnen ACT</w:t>
      </w:r>
    </w:p>
    <w:p w14:paraId="14746F30" w14:textId="77777777" w:rsidR="0005011A" w:rsidRPr="00FC07B9" w:rsidRDefault="0005011A" w:rsidP="00FC07B9">
      <w:pPr>
        <w:pStyle w:val="ACMACorporateAddresses"/>
      </w:pPr>
      <w:r w:rsidRPr="00FC07B9">
        <w:t>PO Box 78</w:t>
      </w:r>
      <w:r w:rsidRPr="00FC07B9">
        <w:br/>
        <w:t>Belconnen ACT 2616</w:t>
      </w:r>
    </w:p>
    <w:p w14:paraId="51DA507D" w14:textId="77777777" w:rsidR="00FE1823" w:rsidRPr="00FC07B9" w:rsidRDefault="0005011A" w:rsidP="00FC07B9">
      <w:pPr>
        <w:pStyle w:val="ACMACorporateAddresses"/>
      </w:pPr>
      <w:r w:rsidRPr="00FC07B9">
        <w:t>T</w:t>
      </w:r>
      <w:r w:rsidR="00537604" w:rsidRPr="00FC07B9">
        <w:tab/>
      </w:r>
      <w:r w:rsidRPr="00FC07B9">
        <w:t>+61 2 6219 5555</w:t>
      </w:r>
      <w:r w:rsidRPr="00FC07B9">
        <w:br/>
        <w:t>F</w:t>
      </w:r>
      <w:r w:rsidR="00537604" w:rsidRPr="00FC07B9">
        <w:tab/>
      </w:r>
      <w:r w:rsidRPr="00FC07B9">
        <w:t>+61 2 6219 5353</w:t>
      </w:r>
    </w:p>
    <w:p w14:paraId="3F4EB343" w14:textId="77777777" w:rsidR="0005011A" w:rsidRPr="00F44F3A" w:rsidRDefault="0005011A" w:rsidP="00FC07B9">
      <w:pPr>
        <w:pStyle w:val="ACMACorporateAddressHeader"/>
      </w:pPr>
      <w:r w:rsidRPr="00F44F3A">
        <w:t>Melbourne</w:t>
      </w:r>
    </w:p>
    <w:p w14:paraId="493FE1BD" w14:textId="77777777" w:rsidR="0005011A" w:rsidRPr="00F44F3A" w:rsidRDefault="0005011A" w:rsidP="00FC07B9">
      <w:pPr>
        <w:pStyle w:val="ACMACorporateAddresses"/>
      </w:pPr>
      <w:r w:rsidRPr="00F44F3A">
        <w:t xml:space="preserve">Level 32 </w:t>
      </w:r>
      <w:r w:rsidRPr="00F44F3A">
        <w:br/>
        <w:t>Melbourne Central Tower</w:t>
      </w:r>
      <w:r w:rsidRPr="00F44F3A">
        <w:br/>
        <w:t xml:space="preserve">360 Elizabeth Street </w:t>
      </w:r>
      <w:r w:rsidR="008C10F4" w:rsidRPr="00F44F3A">
        <w:br/>
      </w:r>
      <w:r w:rsidRPr="00F44F3A">
        <w:t>Melbourne VIC</w:t>
      </w:r>
    </w:p>
    <w:p w14:paraId="32C3E5AE" w14:textId="77777777" w:rsidR="0005011A" w:rsidRPr="00F44F3A" w:rsidRDefault="0005011A" w:rsidP="00FC07B9">
      <w:pPr>
        <w:pStyle w:val="ACMACorporateAddresses"/>
      </w:pPr>
      <w:r w:rsidRPr="00F44F3A">
        <w:t>PO Box 13112</w:t>
      </w:r>
      <w:r w:rsidRPr="00F44F3A">
        <w:br/>
        <w:t xml:space="preserve">Law Courts </w:t>
      </w:r>
      <w:r w:rsidRPr="00F44F3A">
        <w:br/>
        <w:t>Melbourne VIC 8010</w:t>
      </w:r>
    </w:p>
    <w:p w14:paraId="204F0BC5" w14:textId="77777777" w:rsidR="0005011A" w:rsidRPr="00F44F3A" w:rsidRDefault="0005011A" w:rsidP="00FC07B9">
      <w:pPr>
        <w:pStyle w:val="ACMACorporateAddresses"/>
      </w:pPr>
      <w:r w:rsidRPr="00F44F3A">
        <w:t>T</w:t>
      </w:r>
      <w:r w:rsidR="00140318" w:rsidRPr="00F44F3A">
        <w:tab/>
      </w:r>
      <w:r w:rsidRPr="00F44F3A">
        <w:t>+61 3 9963 6800</w:t>
      </w:r>
      <w:r w:rsidRPr="00F44F3A">
        <w:br/>
        <w:t>F</w:t>
      </w:r>
      <w:r w:rsidR="00140318" w:rsidRPr="00F44F3A">
        <w:tab/>
      </w:r>
      <w:r w:rsidRPr="00F44F3A">
        <w:t>+61 3 9963 6899</w:t>
      </w:r>
    </w:p>
    <w:p w14:paraId="138349F4" w14:textId="77777777" w:rsidR="0005011A" w:rsidRPr="00F44F3A" w:rsidRDefault="0005011A" w:rsidP="00FC07B9">
      <w:pPr>
        <w:pStyle w:val="ACMACorporateAddressHeader"/>
      </w:pPr>
      <w:r w:rsidRPr="00F44F3A">
        <w:t>Sydney</w:t>
      </w:r>
    </w:p>
    <w:p w14:paraId="2EB8D0C3" w14:textId="77777777" w:rsidR="0005011A" w:rsidRPr="00F44F3A" w:rsidRDefault="0005011A" w:rsidP="00FC07B9">
      <w:pPr>
        <w:pStyle w:val="ACMACorporateAddresses"/>
      </w:pPr>
      <w:r w:rsidRPr="00F44F3A">
        <w:t xml:space="preserve">Level 5 </w:t>
      </w:r>
      <w:r w:rsidRPr="00F44F3A">
        <w:br/>
        <w:t>The Bay Centre</w:t>
      </w:r>
      <w:r w:rsidRPr="00F44F3A">
        <w:br/>
        <w:t xml:space="preserve">65 Pirrama Road </w:t>
      </w:r>
      <w:r w:rsidRPr="00F44F3A">
        <w:br/>
        <w:t>Pyrmont NSW</w:t>
      </w:r>
    </w:p>
    <w:p w14:paraId="032D8862" w14:textId="77777777" w:rsidR="0005011A" w:rsidRPr="00F44F3A" w:rsidRDefault="0005011A" w:rsidP="00FC07B9">
      <w:pPr>
        <w:pStyle w:val="ACMACorporateAddresses"/>
      </w:pPr>
      <w:r w:rsidRPr="00F44F3A">
        <w:t>PO Box Q500</w:t>
      </w:r>
      <w:r w:rsidRPr="00F44F3A">
        <w:br/>
        <w:t xml:space="preserve">Queen Victoria Building </w:t>
      </w:r>
      <w:r w:rsidRPr="00F44F3A">
        <w:br/>
        <w:t>NSW 1230</w:t>
      </w:r>
    </w:p>
    <w:p w14:paraId="04D5CC48" w14:textId="77777777" w:rsidR="0005011A" w:rsidRPr="00F44F3A" w:rsidRDefault="0005011A" w:rsidP="00FC07B9">
      <w:pPr>
        <w:pStyle w:val="ACMACorporateAddresses"/>
      </w:pPr>
      <w:r w:rsidRPr="00F44F3A">
        <w:t>T</w:t>
      </w:r>
      <w:r w:rsidR="00140318" w:rsidRPr="00F44F3A">
        <w:tab/>
      </w:r>
      <w:r w:rsidRPr="00F44F3A">
        <w:t>+61 2 9334 7700</w:t>
      </w:r>
      <w:r w:rsidR="00140318" w:rsidRPr="00F44F3A">
        <w:t xml:space="preserve"> or</w:t>
      </w:r>
      <w:r w:rsidRPr="00F44F3A">
        <w:t xml:space="preserve"> 1800 226 667</w:t>
      </w:r>
      <w:r w:rsidRPr="00F44F3A">
        <w:br/>
        <w:t>F</w:t>
      </w:r>
      <w:r w:rsidR="00140318" w:rsidRPr="00F44F3A">
        <w:tab/>
      </w:r>
      <w:r w:rsidRPr="00F44F3A">
        <w:t>+61 2 9334 7799</w:t>
      </w:r>
    </w:p>
    <w:p w14:paraId="190A8DE0" w14:textId="77777777" w:rsidR="00140318" w:rsidRPr="006D46E5" w:rsidRDefault="00140318" w:rsidP="00FC07B9">
      <w:pPr>
        <w:pStyle w:val="ACMACopyrightHeader"/>
      </w:pPr>
      <w:r w:rsidRPr="00140318">
        <w:t>Copyright notice</w:t>
      </w:r>
    </w:p>
    <w:p w14:paraId="44F178D2" w14:textId="77777777" w:rsidR="00140318" w:rsidRPr="006D46E5" w:rsidRDefault="00623FF9" w:rsidP="00623FF9">
      <w:pPr>
        <w:pStyle w:val="ACMACClogo"/>
      </w:pPr>
      <w:r w:rsidRPr="00623FF9">
        <w:rPr>
          <w:noProof/>
        </w:rPr>
        <w:drawing>
          <wp:inline distT="0" distB="0" distL="0" distR="0" wp14:anchorId="37CB5A2D" wp14:editId="0F4F45D8">
            <wp:extent cx="838200" cy="295275"/>
            <wp:effectExtent l="0" t="0" r="0" b="0"/>
            <wp:docPr id="1" name="Picture 1" title="Creative Commons logo">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y">
                      <a:hlinkClick r:id="rId17"/>
                    </pic:cNvPr>
                    <pic:cNvPicPr>
                      <a:picLocks noChangeAspect="1" noChangeArrowheads="1"/>
                    </pic:cNvPicPr>
                  </pic:nvPicPr>
                  <pic:blipFill>
                    <a:blip r:embed="rId18" cstate="print"/>
                    <a:srcRect/>
                    <a:stretch>
                      <a:fillRect/>
                    </a:stretch>
                  </pic:blipFill>
                  <pic:spPr bwMode="auto">
                    <a:xfrm>
                      <a:off x="0" y="0"/>
                      <a:ext cx="838200" cy="295275"/>
                    </a:xfrm>
                    <a:prstGeom prst="rect">
                      <a:avLst/>
                    </a:prstGeom>
                    <a:noFill/>
                  </pic:spPr>
                </pic:pic>
              </a:graphicData>
            </a:graphic>
          </wp:inline>
        </w:drawing>
      </w:r>
    </w:p>
    <w:p w14:paraId="7EB4F28E" w14:textId="77777777" w:rsidR="00140318" w:rsidRPr="00431792" w:rsidRDefault="00311CA1" w:rsidP="00FC07B9">
      <w:pPr>
        <w:pStyle w:val="ACMACorporateAddresses"/>
        <w:rPr>
          <w:rStyle w:val="Hyperlink"/>
        </w:rPr>
      </w:pPr>
      <w:hyperlink r:id="rId19" w:tooltip="Creative Commons Licenses" w:history="1">
        <w:r w:rsidR="00140318" w:rsidRPr="00431792">
          <w:rPr>
            <w:rStyle w:val="Hyperlink"/>
          </w:rPr>
          <w:t>http://creativecommons.org/licenses/by/3.0/au/</w:t>
        </w:r>
      </w:hyperlink>
    </w:p>
    <w:p w14:paraId="7ECA2712" w14:textId="77777777" w:rsidR="00140318" w:rsidRPr="006D46E5" w:rsidRDefault="00140318" w:rsidP="00FC07B9">
      <w:pPr>
        <w:pStyle w:val="ACMACorporateAddresses"/>
      </w:pPr>
      <w:r w:rsidRPr="006D46E5">
        <w:t xml:space="preserve">With the exception of coats of arms, logos, emblems, images, other third-party material or devices protected by a trademark, this content is licensed under the Creative Commons Australia Attribution 3.0 Licence. </w:t>
      </w:r>
    </w:p>
    <w:p w14:paraId="2C49D68D" w14:textId="77777777" w:rsidR="00140318" w:rsidRPr="006D46E5" w:rsidRDefault="00140318" w:rsidP="00FC07B9">
      <w:pPr>
        <w:pStyle w:val="ACMACorporateAddresses"/>
      </w:pPr>
      <w:r w:rsidRPr="006D46E5">
        <w:t>We request attribution as: © Commonwealth of Australia (Australian Communic</w:t>
      </w:r>
      <w:r w:rsidR="008408FF">
        <w:t>ations and Media Authority) 201</w:t>
      </w:r>
      <w:r w:rsidR="008927B9">
        <w:t>7</w:t>
      </w:r>
      <w:r w:rsidRPr="006D46E5">
        <w:t>.</w:t>
      </w:r>
    </w:p>
    <w:p w14:paraId="27B8A030" w14:textId="77777777" w:rsidR="00140318" w:rsidRPr="006D46E5" w:rsidRDefault="00140318" w:rsidP="00FC07B9">
      <w:pPr>
        <w:pStyle w:val="ACMACorporateAddresses"/>
      </w:pPr>
      <w:r>
        <w:t>All other rights are reserved.</w:t>
      </w:r>
    </w:p>
    <w:p w14:paraId="70E6176B" w14:textId="77777777" w:rsidR="00140318" w:rsidRPr="006D46E5" w:rsidRDefault="00140318" w:rsidP="00FC07B9">
      <w:pPr>
        <w:pStyle w:val="ACMACorporateAddresses"/>
      </w:pPr>
      <w:r w:rsidRPr="006D46E5">
        <w:t xml:space="preserve">The Australian Communications and Media Authority has undertaken reasonable enquiries to identify material owned by third parties and secure permission for its reproduction. Permission may need to be obtained from third parties to re-use their material. </w:t>
      </w:r>
    </w:p>
    <w:p w14:paraId="461D56BC" w14:textId="77777777" w:rsidR="00140318" w:rsidRPr="006D46E5" w:rsidRDefault="00140318" w:rsidP="00FC07B9">
      <w:pPr>
        <w:pStyle w:val="ACMACorporateAddresses"/>
      </w:pPr>
      <w:r w:rsidRPr="006D46E5">
        <w:t>Written enquiries may be sent to:</w:t>
      </w:r>
    </w:p>
    <w:p w14:paraId="6E9555AB" w14:textId="77777777" w:rsidR="00D16FE3" w:rsidRDefault="00140318" w:rsidP="00D16FE3">
      <w:pPr>
        <w:pStyle w:val="ACMACorporateAddresses"/>
        <w:rPr>
          <w:rStyle w:val="Hyperlink"/>
        </w:rPr>
      </w:pPr>
      <w:r w:rsidRPr="006D46E5">
        <w:t>Manager, Editorial and Design</w:t>
      </w:r>
      <w:r w:rsidR="00623FF9">
        <w:br/>
      </w:r>
      <w:r w:rsidRPr="006D46E5">
        <w:t>PO Box 13112</w:t>
      </w:r>
      <w:r w:rsidR="00623FF9">
        <w:br/>
      </w:r>
      <w:r w:rsidRPr="006D46E5">
        <w:t>Law Courts</w:t>
      </w:r>
      <w:r w:rsidR="00623FF9">
        <w:br/>
      </w:r>
      <w:r w:rsidRPr="006D46E5">
        <w:t>Melbourne VIC 8010</w:t>
      </w:r>
      <w:r w:rsidR="00623FF9">
        <w:br/>
      </w:r>
      <w:r w:rsidRPr="006D46E5">
        <w:t>Tel: 03 9963 6968</w:t>
      </w:r>
      <w:r w:rsidR="00623FF9">
        <w:br/>
      </w:r>
      <w:r w:rsidRPr="006D46E5">
        <w:t xml:space="preserve">Email: </w:t>
      </w:r>
      <w:hyperlink r:id="rId20" w:history="1">
        <w:r w:rsidRPr="00431792">
          <w:rPr>
            <w:rStyle w:val="Hyperlink"/>
          </w:rPr>
          <w:t>candinfo@acma.gov.au</w:t>
        </w:r>
      </w:hyperlink>
    </w:p>
    <w:p w14:paraId="7204661F" w14:textId="77777777" w:rsidR="00D16FE3" w:rsidRDefault="00D16FE3" w:rsidP="00D16FE3">
      <w:pPr>
        <w:pStyle w:val="ACMACorporateAddresses"/>
        <w:rPr>
          <w:rStyle w:val="Hyperlink"/>
        </w:rPr>
      </w:pPr>
    </w:p>
    <w:p w14:paraId="2DCEADC5" w14:textId="77777777" w:rsidR="00D16FE3" w:rsidRPr="00D16FE3" w:rsidRDefault="00D16FE3" w:rsidP="00D16FE3">
      <w:pPr>
        <w:pStyle w:val="ACMACorporateAddresses"/>
        <w:sectPr w:rsidR="00D16FE3" w:rsidRPr="00D16FE3">
          <w:headerReference w:type="even" r:id="rId21"/>
          <w:headerReference w:type="default" r:id="rId22"/>
          <w:footerReference w:type="even" r:id="rId23"/>
          <w:footerReference w:type="default" r:id="rId24"/>
          <w:pgSz w:w="11906" w:h="16838" w:code="9"/>
          <w:pgMar w:top="3924" w:right="1797" w:bottom="697" w:left="1134" w:header="709" w:footer="119" w:gutter="0"/>
          <w:cols w:space="708"/>
          <w:docGrid w:linePitch="360"/>
        </w:sectPr>
      </w:pPr>
    </w:p>
    <w:p w14:paraId="6CED37CE" w14:textId="3A1B3FF7" w:rsidR="00F9704D" w:rsidRDefault="00F9704D" w:rsidP="00C648E6">
      <w:pPr>
        <w:pStyle w:val="TOC1"/>
        <w:tabs>
          <w:tab w:val="left" w:pos="426"/>
        </w:tabs>
        <w:rPr>
          <w:rFonts w:asciiTheme="minorHAnsi" w:eastAsiaTheme="minorEastAsia" w:hAnsiTheme="minorHAnsi" w:cstheme="minorBidi"/>
          <w:b w:val="0"/>
          <w:spacing w:val="0"/>
          <w:sz w:val="22"/>
          <w:szCs w:val="22"/>
        </w:rPr>
      </w:pPr>
      <w:r>
        <w:rPr>
          <w:rFonts w:cs="Arial"/>
          <w:b w:val="0"/>
        </w:rPr>
        <w:lastRenderedPageBreak/>
        <w:fldChar w:fldCharType="begin"/>
      </w:r>
      <w:r>
        <w:rPr>
          <w:rFonts w:cs="Arial"/>
          <w:b w:val="0"/>
        </w:rPr>
        <w:instrText xml:space="preserve"> TOC \o "1-2" \h \z \t "ACMA_ExecSummaryHeading,1" </w:instrText>
      </w:r>
      <w:r>
        <w:rPr>
          <w:rFonts w:cs="Arial"/>
          <w:b w:val="0"/>
        </w:rPr>
        <w:fldChar w:fldCharType="separate"/>
      </w:r>
      <w:hyperlink w:anchor="_Toc483998551" w:history="1">
        <w:r w:rsidRPr="00256D2C">
          <w:rPr>
            <w:rStyle w:val="Hyperlink"/>
          </w:rPr>
          <w:t>1.</w:t>
        </w:r>
        <w:r>
          <w:rPr>
            <w:rFonts w:asciiTheme="minorHAnsi" w:eastAsiaTheme="minorEastAsia" w:hAnsiTheme="minorHAnsi" w:cstheme="minorBidi"/>
            <w:b w:val="0"/>
            <w:spacing w:val="0"/>
            <w:sz w:val="22"/>
            <w:szCs w:val="22"/>
          </w:rPr>
          <w:tab/>
        </w:r>
        <w:r w:rsidRPr="00256D2C">
          <w:rPr>
            <w:rStyle w:val="Hyperlink"/>
          </w:rPr>
          <w:t>Introduction</w:t>
        </w:r>
        <w:r>
          <w:rPr>
            <w:webHidden/>
          </w:rPr>
          <w:tab/>
        </w:r>
        <w:r>
          <w:rPr>
            <w:webHidden/>
          </w:rPr>
          <w:fldChar w:fldCharType="begin"/>
        </w:r>
        <w:r>
          <w:rPr>
            <w:webHidden/>
          </w:rPr>
          <w:instrText xml:space="preserve"> PAGEREF _Toc483998551 \h </w:instrText>
        </w:r>
        <w:r>
          <w:rPr>
            <w:webHidden/>
          </w:rPr>
        </w:r>
        <w:r>
          <w:rPr>
            <w:webHidden/>
          </w:rPr>
          <w:fldChar w:fldCharType="separate"/>
        </w:r>
        <w:r w:rsidR="000E0CA0">
          <w:rPr>
            <w:webHidden/>
          </w:rPr>
          <w:t>1</w:t>
        </w:r>
        <w:r>
          <w:rPr>
            <w:webHidden/>
          </w:rPr>
          <w:fldChar w:fldCharType="end"/>
        </w:r>
      </w:hyperlink>
    </w:p>
    <w:p w14:paraId="6382C07C" w14:textId="53BA1A29" w:rsidR="00F9704D" w:rsidRDefault="00311CA1" w:rsidP="00C648E6">
      <w:pPr>
        <w:pStyle w:val="TOC1"/>
        <w:tabs>
          <w:tab w:val="left" w:pos="426"/>
        </w:tabs>
        <w:rPr>
          <w:rFonts w:asciiTheme="minorHAnsi" w:eastAsiaTheme="minorEastAsia" w:hAnsiTheme="minorHAnsi" w:cstheme="minorBidi"/>
          <w:b w:val="0"/>
          <w:spacing w:val="0"/>
          <w:sz w:val="22"/>
          <w:szCs w:val="22"/>
        </w:rPr>
      </w:pPr>
      <w:hyperlink w:anchor="_Toc483998552" w:history="1">
        <w:r w:rsidR="00F9704D" w:rsidRPr="00256D2C">
          <w:rPr>
            <w:rStyle w:val="Hyperlink"/>
          </w:rPr>
          <w:t>2.</w:t>
        </w:r>
        <w:r w:rsidR="00F9704D">
          <w:rPr>
            <w:rFonts w:asciiTheme="minorHAnsi" w:eastAsiaTheme="minorEastAsia" w:hAnsiTheme="minorHAnsi" w:cstheme="minorBidi"/>
            <w:b w:val="0"/>
            <w:spacing w:val="0"/>
            <w:sz w:val="22"/>
            <w:szCs w:val="22"/>
          </w:rPr>
          <w:tab/>
        </w:r>
        <w:r w:rsidR="00F9704D" w:rsidRPr="00256D2C">
          <w:rPr>
            <w:rStyle w:val="Hyperlink"/>
          </w:rPr>
          <w:t>Issues related to both the 1.5 GHz and 3.6 GHz bands</w:t>
        </w:r>
        <w:r w:rsidR="00F9704D">
          <w:rPr>
            <w:webHidden/>
          </w:rPr>
          <w:tab/>
        </w:r>
        <w:r w:rsidR="00F9704D">
          <w:rPr>
            <w:webHidden/>
          </w:rPr>
          <w:fldChar w:fldCharType="begin"/>
        </w:r>
        <w:r w:rsidR="00F9704D">
          <w:rPr>
            <w:webHidden/>
          </w:rPr>
          <w:instrText xml:space="preserve"> PAGEREF _Toc483998552 \h </w:instrText>
        </w:r>
        <w:r w:rsidR="00F9704D">
          <w:rPr>
            <w:webHidden/>
          </w:rPr>
        </w:r>
        <w:r w:rsidR="00F9704D">
          <w:rPr>
            <w:webHidden/>
          </w:rPr>
          <w:fldChar w:fldCharType="separate"/>
        </w:r>
        <w:r w:rsidR="000E0CA0">
          <w:rPr>
            <w:webHidden/>
          </w:rPr>
          <w:t>2</w:t>
        </w:r>
        <w:r w:rsidR="00F9704D">
          <w:rPr>
            <w:webHidden/>
          </w:rPr>
          <w:fldChar w:fldCharType="end"/>
        </w:r>
      </w:hyperlink>
    </w:p>
    <w:p w14:paraId="2A1F4F8E" w14:textId="4BB4A6BA" w:rsidR="00F9704D" w:rsidRDefault="00311CA1">
      <w:pPr>
        <w:pStyle w:val="TOC2"/>
        <w:rPr>
          <w:rFonts w:asciiTheme="minorHAnsi" w:eastAsiaTheme="minorEastAsia" w:hAnsiTheme="minorHAnsi" w:cstheme="minorBidi"/>
          <w:spacing w:val="0"/>
          <w:sz w:val="22"/>
          <w:szCs w:val="22"/>
        </w:rPr>
      </w:pPr>
      <w:hyperlink w:anchor="_Toc483998553" w:history="1">
        <w:r w:rsidR="00F9704D" w:rsidRPr="00256D2C">
          <w:rPr>
            <w:rStyle w:val="Hyperlink"/>
          </w:rPr>
          <w:t>Purpose of the October 2016 discussion paper</w:t>
        </w:r>
        <w:r w:rsidR="00F9704D">
          <w:rPr>
            <w:webHidden/>
          </w:rPr>
          <w:tab/>
        </w:r>
        <w:r w:rsidR="00F9704D">
          <w:rPr>
            <w:webHidden/>
          </w:rPr>
          <w:fldChar w:fldCharType="begin"/>
        </w:r>
        <w:r w:rsidR="00F9704D">
          <w:rPr>
            <w:webHidden/>
          </w:rPr>
          <w:instrText xml:space="preserve"> PAGEREF _Toc483998553 \h </w:instrText>
        </w:r>
        <w:r w:rsidR="00F9704D">
          <w:rPr>
            <w:webHidden/>
          </w:rPr>
        </w:r>
        <w:r w:rsidR="00F9704D">
          <w:rPr>
            <w:webHidden/>
          </w:rPr>
          <w:fldChar w:fldCharType="separate"/>
        </w:r>
        <w:r w:rsidR="000E0CA0">
          <w:rPr>
            <w:webHidden/>
          </w:rPr>
          <w:t>2</w:t>
        </w:r>
        <w:r w:rsidR="00F9704D">
          <w:rPr>
            <w:webHidden/>
          </w:rPr>
          <w:fldChar w:fldCharType="end"/>
        </w:r>
      </w:hyperlink>
    </w:p>
    <w:p w14:paraId="0E3BD3C1" w14:textId="2D99DAA1" w:rsidR="00F9704D" w:rsidRDefault="00311CA1">
      <w:pPr>
        <w:pStyle w:val="TOC2"/>
        <w:rPr>
          <w:rFonts w:asciiTheme="minorHAnsi" w:eastAsiaTheme="minorEastAsia" w:hAnsiTheme="minorHAnsi" w:cstheme="minorBidi"/>
          <w:spacing w:val="0"/>
          <w:sz w:val="22"/>
          <w:szCs w:val="22"/>
        </w:rPr>
      </w:pPr>
      <w:hyperlink w:anchor="_Toc483998554" w:history="1">
        <w:r w:rsidR="00F9704D" w:rsidRPr="00256D2C">
          <w:rPr>
            <w:rStyle w:val="Hyperlink"/>
          </w:rPr>
          <w:t>Timing and prioritisation of work</w:t>
        </w:r>
        <w:r w:rsidR="00F9704D">
          <w:rPr>
            <w:webHidden/>
          </w:rPr>
          <w:tab/>
        </w:r>
        <w:r w:rsidR="00F9704D">
          <w:rPr>
            <w:webHidden/>
          </w:rPr>
          <w:fldChar w:fldCharType="begin"/>
        </w:r>
        <w:r w:rsidR="00F9704D">
          <w:rPr>
            <w:webHidden/>
          </w:rPr>
          <w:instrText xml:space="preserve"> PAGEREF _Toc483998554 \h </w:instrText>
        </w:r>
        <w:r w:rsidR="00F9704D">
          <w:rPr>
            <w:webHidden/>
          </w:rPr>
        </w:r>
        <w:r w:rsidR="00F9704D">
          <w:rPr>
            <w:webHidden/>
          </w:rPr>
          <w:fldChar w:fldCharType="separate"/>
        </w:r>
        <w:r w:rsidR="000E0CA0">
          <w:rPr>
            <w:webHidden/>
          </w:rPr>
          <w:t>3</w:t>
        </w:r>
        <w:r w:rsidR="00F9704D">
          <w:rPr>
            <w:webHidden/>
          </w:rPr>
          <w:fldChar w:fldCharType="end"/>
        </w:r>
      </w:hyperlink>
    </w:p>
    <w:p w14:paraId="28374C6F" w14:textId="7B7705CF" w:rsidR="00F9704D" w:rsidRDefault="00311CA1" w:rsidP="00C648E6">
      <w:pPr>
        <w:pStyle w:val="TOC1"/>
        <w:tabs>
          <w:tab w:val="left" w:pos="426"/>
        </w:tabs>
        <w:rPr>
          <w:rFonts w:asciiTheme="minorHAnsi" w:eastAsiaTheme="minorEastAsia" w:hAnsiTheme="minorHAnsi" w:cstheme="minorBidi"/>
          <w:b w:val="0"/>
          <w:spacing w:val="0"/>
          <w:sz w:val="22"/>
          <w:szCs w:val="22"/>
        </w:rPr>
      </w:pPr>
      <w:hyperlink w:anchor="_Toc483998555" w:history="1">
        <w:r w:rsidR="00F9704D" w:rsidRPr="00256D2C">
          <w:rPr>
            <w:rStyle w:val="Hyperlink"/>
          </w:rPr>
          <w:t>3.</w:t>
        </w:r>
        <w:r w:rsidR="00F9704D">
          <w:rPr>
            <w:rFonts w:asciiTheme="minorHAnsi" w:eastAsiaTheme="minorEastAsia" w:hAnsiTheme="minorHAnsi" w:cstheme="minorBidi"/>
            <w:b w:val="0"/>
            <w:spacing w:val="0"/>
            <w:sz w:val="22"/>
            <w:szCs w:val="22"/>
          </w:rPr>
          <w:tab/>
        </w:r>
        <w:r w:rsidR="00F9704D" w:rsidRPr="00256D2C">
          <w:rPr>
            <w:rStyle w:val="Hyperlink"/>
          </w:rPr>
          <w:t>3.6 GHz band</w:t>
        </w:r>
        <w:r w:rsidR="00F9704D">
          <w:rPr>
            <w:webHidden/>
          </w:rPr>
          <w:tab/>
        </w:r>
        <w:r w:rsidR="00F9704D">
          <w:rPr>
            <w:webHidden/>
          </w:rPr>
          <w:fldChar w:fldCharType="begin"/>
        </w:r>
        <w:r w:rsidR="00F9704D">
          <w:rPr>
            <w:webHidden/>
          </w:rPr>
          <w:instrText xml:space="preserve"> PAGEREF _Toc483998555 \h </w:instrText>
        </w:r>
        <w:r w:rsidR="00F9704D">
          <w:rPr>
            <w:webHidden/>
          </w:rPr>
        </w:r>
        <w:r w:rsidR="00F9704D">
          <w:rPr>
            <w:webHidden/>
          </w:rPr>
          <w:fldChar w:fldCharType="separate"/>
        </w:r>
        <w:r w:rsidR="000E0CA0">
          <w:rPr>
            <w:webHidden/>
          </w:rPr>
          <w:t>6</w:t>
        </w:r>
        <w:r w:rsidR="00F9704D">
          <w:rPr>
            <w:webHidden/>
          </w:rPr>
          <w:fldChar w:fldCharType="end"/>
        </w:r>
      </w:hyperlink>
    </w:p>
    <w:p w14:paraId="6C7C1670" w14:textId="0C835B87" w:rsidR="00F9704D" w:rsidRDefault="00311CA1">
      <w:pPr>
        <w:pStyle w:val="TOC2"/>
        <w:rPr>
          <w:rFonts w:asciiTheme="minorHAnsi" w:eastAsiaTheme="minorEastAsia" w:hAnsiTheme="minorHAnsi" w:cstheme="minorBidi"/>
          <w:spacing w:val="0"/>
          <w:sz w:val="22"/>
          <w:szCs w:val="22"/>
        </w:rPr>
      </w:pPr>
      <w:hyperlink w:anchor="_Toc483998556" w:history="1">
        <w:r w:rsidR="00F9704D" w:rsidRPr="00256D2C">
          <w:rPr>
            <w:rStyle w:val="Hyperlink"/>
          </w:rPr>
          <w:t>Current planning arrangements and use</w:t>
        </w:r>
        <w:r w:rsidR="00F9704D">
          <w:rPr>
            <w:webHidden/>
          </w:rPr>
          <w:tab/>
        </w:r>
        <w:r w:rsidR="00F9704D">
          <w:rPr>
            <w:webHidden/>
          </w:rPr>
          <w:fldChar w:fldCharType="begin"/>
        </w:r>
        <w:r w:rsidR="00F9704D">
          <w:rPr>
            <w:webHidden/>
          </w:rPr>
          <w:instrText xml:space="preserve"> PAGEREF _Toc483998556 \h </w:instrText>
        </w:r>
        <w:r w:rsidR="00F9704D">
          <w:rPr>
            <w:webHidden/>
          </w:rPr>
        </w:r>
        <w:r w:rsidR="00F9704D">
          <w:rPr>
            <w:webHidden/>
          </w:rPr>
          <w:fldChar w:fldCharType="separate"/>
        </w:r>
        <w:r w:rsidR="000E0CA0">
          <w:rPr>
            <w:webHidden/>
          </w:rPr>
          <w:t>6</w:t>
        </w:r>
        <w:r w:rsidR="00F9704D">
          <w:rPr>
            <w:webHidden/>
          </w:rPr>
          <w:fldChar w:fldCharType="end"/>
        </w:r>
      </w:hyperlink>
    </w:p>
    <w:p w14:paraId="6F75B7E7" w14:textId="0D40B788" w:rsidR="00F9704D" w:rsidRDefault="00311CA1">
      <w:pPr>
        <w:pStyle w:val="TOC2"/>
        <w:rPr>
          <w:rFonts w:asciiTheme="minorHAnsi" w:eastAsiaTheme="minorEastAsia" w:hAnsiTheme="minorHAnsi" w:cstheme="minorBidi"/>
          <w:spacing w:val="0"/>
          <w:sz w:val="22"/>
          <w:szCs w:val="22"/>
        </w:rPr>
      </w:pPr>
      <w:hyperlink w:anchor="_Toc483998557" w:history="1">
        <w:r w:rsidR="00F9704D" w:rsidRPr="00256D2C">
          <w:rPr>
            <w:rStyle w:val="Hyperlink"/>
          </w:rPr>
          <w:t>Potential spectrum options</w:t>
        </w:r>
        <w:r w:rsidR="00F9704D">
          <w:rPr>
            <w:webHidden/>
          </w:rPr>
          <w:tab/>
        </w:r>
        <w:r w:rsidR="00F9704D">
          <w:rPr>
            <w:webHidden/>
          </w:rPr>
          <w:fldChar w:fldCharType="begin"/>
        </w:r>
        <w:r w:rsidR="00F9704D">
          <w:rPr>
            <w:webHidden/>
          </w:rPr>
          <w:instrText xml:space="preserve"> PAGEREF _Toc483998557 \h </w:instrText>
        </w:r>
        <w:r w:rsidR="00F9704D">
          <w:rPr>
            <w:webHidden/>
          </w:rPr>
        </w:r>
        <w:r w:rsidR="00F9704D">
          <w:rPr>
            <w:webHidden/>
          </w:rPr>
          <w:fldChar w:fldCharType="separate"/>
        </w:r>
        <w:r w:rsidR="000E0CA0">
          <w:rPr>
            <w:webHidden/>
          </w:rPr>
          <w:t>7</w:t>
        </w:r>
        <w:r w:rsidR="00F9704D">
          <w:rPr>
            <w:webHidden/>
          </w:rPr>
          <w:fldChar w:fldCharType="end"/>
        </w:r>
      </w:hyperlink>
    </w:p>
    <w:p w14:paraId="121D0471" w14:textId="19E16293" w:rsidR="00F9704D" w:rsidRDefault="00311CA1">
      <w:pPr>
        <w:pStyle w:val="TOC2"/>
        <w:rPr>
          <w:rFonts w:asciiTheme="minorHAnsi" w:eastAsiaTheme="minorEastAsia" w:hAnsiTheme="minorHAnsi" w:cstheme="minorBidi"/>
          <w:spacing w:val="0"/>
          <w:sz w:val="22"/>
          <w:szCs w:val="22"/>
        </w:rPr>
      </w:pPr>
      <w:hyperlink w:anchor="_Toc483998558" w:history="1">
        <w:r w:rsidR="00F9704D" w:rsidRPr="00256D2C">
          <w:rPr>
            <w:rStyle w:val="Hyperlink"/>
          </w:rPr>
          <w:t>Potential geographic options</w:t>
        </w:r>
        <w:r w:rsidR="00F9704D">
          <w:rPr>
            <w:webHidden/>
          </w:rPr>
          <w:tab/>
        </w:r>
        <w:r w:rsidR="00F9704D">
          <w:rPr>
            <w:webHidden/>
          </w:rPr>
          <w:fldChar w:fldCharType="begin"/>
        </w:r>
        <w:r w:rsidR="00F9704D">
          <w:rPr>
            <w:webHidden/>
          </w:rPr>
          <w:instrText xml:space="preserve"> PAGEREF _Toc483998558 \h </w:instrText>
        </w:r>
        <w:r w:rsidR="00F9704D">
          <w:rPr>
            <w:webHidden/>
          </w:rPr>
        </w:r>
        <w:r w:rsidR="00F9704D">
          <w:rPr>
            <w:webHidden/>
          </w:rPr>
          <w:fldChar w:fldCharType="separate"/>
        </w:r>
        <w:r w:rsidR="000E0CA0">
          <w:rPr>
            <w:webHidden/>
          </w:rPr>
          <w:t>8</w:t>
        </w:r>
        <w:r w:rsidR="00F9704D">
          <w:rPr>
            <w:webHidden/>
          </w:rPr>
          <w:fldChar w:fldCharType="end"/>
        </w:r>
      </w:hyperlink>
    </w:p>
    <w:p w14:paraId="7E402FB3" w14:textId="75199D80" w:rsidR="00F9704D" w:rsidRDefault="00311CA1">
      <w:pPr>
        <w:pStyle w:val="TOC2"/>
        <w:rPr>
          <w:rFonts w:asciiTheme="minorHAnsi" w:eastAsiaTheme="minorEastAsia" w:hAnsiTheme="minorHAnsi" w:cstheme="minorBidi"/>
          <w:spacing w:val="0"/>
          <w:sz w:val="22"/>
          <w:szCs w:val="22"/>
        </w:rPr>
      </w:pPr>
      <w:hyperlink w:anchor="_Toc483998559" w:history="1">
        <w:r w:rsidR="00F9704D" w:rsidRPr="00256D2C">
          <w:rPr>
            <w:rStyle w:val="Hyperlink"/>
          </w:rPr>
          <w:t>Coexistence and sharing with incumbent services</w:t>
        </w:r>
        <w:r w:rsidR="00F9704D">
          <w:rPr>
            <w:webHidden/>
          </w:rPr>
          <w:tab/>
        </w:r>
        <w:r w:rsidR="00F9704D">
          <w:rPr>
            <w:webHidden/>
          </w:rPr>
          <w:fldChar w:fldCharType="begin"/>
        </w:r>
        <w:r w:rsidR="00F9704D">
          <w:rPr>
            <w:webHidden/>
          </w:rPr>
          <w:instrText xml:space="preserve"> PAGEREF _Toc483998559 \h </w:instrText>
        </w:r>
        <w:r w:rsidR="00F9704D">
          <w:rPr>
            <w:webHidden/>
          </w:rPr>
        </w:r>
        <w:r w:rsidR="00F9704D">
          <w:rPr>
            <w:webHidden/>
          </w:rPr>
          <w:fldChar w:fldCharType="separate"/>
        </w:r>
        <w:r w:rsidR="000E0CA0">
          <w:rPr>
            <w:webHidden/>
          </w:rPr>
          <w:t>9</w:t>
        </w:r>
        <w:r w:rsidR="00F9704D">
          <w:rPr>
            <w:webHidden/>
          </w:rPr>
          <w:fldChar w:fldCharType="end"/>
        </w:r>
      </w:hyperlink>
    </w:p>
    <w:p w14:paraId="7F72DF42" w14:textId="386A14E2" w:rsidR="00F9704D" w:rsidRDefault="00311CA1">
      <w:pPr>
        <w:pStyle w:val="TOC2"/>
        <w:rPr>
          <w:rFonts w:asciiTheme="minorHAnsi" w:eastAsiaTheme="minorEastAsia" w:hAnsiTheme="minorHAnsi" w:cstheme="minorBidi"/>
          <w:spacing w:val="0"/>
          <w:sz w:val="22"/>
          <w:szCs w:val="22"/>
        </w:rPr>
      </w:pPr>
      <w:hyperlink w:anchor="_Toc483998560" w:history="1">
        <w:r w:rsidR="00F9704D" w:rsidRPr="00256D2C">
          <w:rPr>
            <w:rStyle w:val="Hyperlink"/>
          </w:rPr>
          <w:t>Compatibility issues with adjacent band services</w:t>
        </w:r>
        <w:r w:rsidR="00F9704D">
          <w:rPr>
            <w:webHidden/>
          </w:rPr>
          <w:tab/>
        </w:r>
        <w:r w:rsidR="00F9704D">
          <w:rPr>
            <w:webHidden/>
          </w:rPr>
          <w:fldChar w:fldCharType="begin"/>
        </w:r>
        <w:r w:rsidR="00F9704D">
          <w:rPr>
            <w:webHidden/>
          </w:rPr>
          <w:instrText xml:space="preserve"> PAGEREF _Toc483998560 \h </w:instrText>
        </w:r>
        <w:r w:rsidR="00F9704D">
          <w:rPr>
            <w:webHidden/>
          </w:rPr>
        </w:r>
        <w:r w:rsidR="00F9704D">
          <w:rPr>
            <w:webHidden/>
          </w:rPr>
          <w:fldChar w:fldCharType="separate"/>
        </w:r>
        <w:r w:rsidR="000E0CA0">
          <w:rPr>
            <w:webHidden/>
          </w:rPr>
          <w:t>10</w:t>
        </w:r>
        <w:r w:rsidR="00F9704D">
          <w:rPr>
            <w:webHidden/>
          </w:rPr>
          <w:fldChar w:fldCharType="end"/>
        </w:r>
      </w:hyperlink>
    </w:p>
    <w:p w14:paraId="74EBE348" w14:textId="6F0884C2" w:rsidR="00F9704D" w:rsidRDefault="00311CA1">
      <w:pPr>
        <w:pStyle w:val="TOC2"/>
        <w:rPr>
          <w:rFonts w:asciiTheme="minorHAnsi" w:eastAsiaTheme="minorEastAsia" w:hAnsiTheme="minorHAnsi" w:cstheme="minorBidi"/>
          <w:spacing w:val="0"/>
          <w:sz w:val="22"/>
          <w:szCs w:val="22"/>
        </w:rPr>
      </w:pPr>
      <w:hyperlink w:anchor="_Toc483998561" w:history="1">
        <w:r w:rsidR="00F9704D" w:rsidRPr="00256D2C">
          <w:rPr>
            <w:rStyle w:val="Hyperlink"/>
          </w:rPr>
          <w:t>Optimising use of the 3400–3700 MHz band</w:t>
        </w:r>
        <w:r w:rsidR="00F9704D">
          <w:rPr>
            <w:webHidden/>
          </w:rPr>
          <w:tab/>
        </w:r>
        <w:r w:rsidR="00F9704D">
          <w:rPr>
            <w:webHidden/>
          </w:rPr>
          <w:fldChar w:fldCharType="begin"/>
        </w:r>
        <w:r w:rsidR="00F9704D">
          <w:rPr>
            <w:webHidden/>
          </w:rPr>
          <w:instrText xml:space="preserve"> PAGEREF _Toc483998561 \h </w:instrText>
        </w:r>
        <w:r w:rsidR="00F9704D">
          <w:rPr>
            <w:webHidden/>
          </w:rPr>
        </w:r>
        <w:r w:rsidR="00F9704D">
          <w:rPr>
            <w:webHidden/>
          </w:rPr>
          <w:fldChar w:fldCharType="separate"/>
        </w:r>
        <w:r w:rsidR="000E0CA0">
          <w:rPr>
            <w:webHidden/>
          </w:rPr>
          <w:t>11</w:t>
        </w:r>
        <w:r w:rsidR="00F9704D">
          <w:rPr>
            <w:webHidden/>
          </w:rPr>
          <w:fldChar w:fldCharType="end"/>
        </w:r>
      </w:hyperlink>
    </w:p>
    <w:p w14:paraId="187B282F" w14:textId="2B3F12F6" w:rsidR="00F9704D" w:rsidRDefault="00311CA1">
      <w:pPr>
        <w:pStyle w:val="TOC2"/>
        <w:rPr>
          <w:rFonts w:asciiTheme="minorHAnsi" w:eastAsiaTheme="minorEastAsia" w:hAnsiTheme="minorHAnsi" w:cstheme="minorBidi"/>
          <w:spacing w:val="0"/>
          <w:sz w:val="22"/>
          <w:szCs w:val="22"/>
        </w:rPr>
      </w:pPr>
      <w:hyperlink w:anchor="_Toc483998562" w:history="1">
        <w:r w:rsidR="00F9704D" w:rsidRPr="00256D2C">
          <w:rPr>
            <w:rStyle w:val="Hyperlink"/>
          </w:rPr>
          <w:t>Preliminary assessment of the 3.6 GHz band for use by MBB services</w:t>
        </w:r>
        <w:r w:rsidR="00F9704D">
          <w:rPr>
            <w:webHidden/>
          </w:rPr>
          <w:tab/>
        </w:r>
        <w:r w:rsidR="00F9704D">
          <w:rPr>
            <w:webHidden/>
          </w:rPr>
          <w:fldChar w:fldCharType="begin"/>
        </w:r>
        <w:r w:rsidR="00F9704D">
          <w:rPr>
            <w:webHidden/>
          </w:rPr>
          <w:instrText xml:space="preserve"> PAGEREF _Toc483998562 \h </w:instrText>
        </w:r>
        <w:r w:rsidR="00F9704D">
          <w:rPr>
            <w:webHidden/>
          </w:rPr>
        </w:r>
        <w:r w:rsidR="00F9704D">
          <w:rPr>
            <w:webHidden/>
          </w:rPr>
          <w:fldChar w:fldCharType="separate"/>
        </w:r>
        <w:r w:rsidR="000E0CA0">
          <w:rPr>
            <w:webHidden/>
          </w:rPr>
          <w:t>12</w:t>
        </w:r>
        <w:r w:rsidR="00F9704D">
          <w:rPr>
            <w:webHidden/>
          </w:rPr>
          <w:fldChar w:fldCharType="end"/>
        </w:r>
      </w:hyperlink>
    </w:p>
    <w:p w14:paraId="47C1639F" w14:textId="4B57B6E4" w:rsidR="00F9704D" w:rsidRDefault="00311CA1" w:rsidP="00C648E6">
      <w:pPr>
        <w:pStyle w:val="TOC1"/>
        <w:tabs>
          <w:tab w:val="left" w:pos="426"/>
        </w:tabs>
        <w:rPr>
          <w:rFonts w:asciiTheme="minorHAnsi" w:eastAsiaTheme="minorEastAsia" w:hAnsiTheme="minorHAnsi" w:cstheme="minorBidi"/>
          <w:b w:val="0"/>
          <w:spacing w:val="0"/>
          <w:sz w:val="22"/>
          <w:szCs w:val="22"/>
        </w:rPr>
      </w:pPr>
      <w:hyperlink w:anchor="_Toc483998563" w:history="1">
        <w:r w:rsidR="00F9704D" w:rsidRPr="00256D2C">
          <w:rPr>
            <w:rStyle w:val="Hyperlink"/>
          </w:rPr>
          <w:t>4.</w:t>
        </w:r>
        <w:r w:rsidR="00F9704D">
          <w:rPr>
            <w:rFonts w:asciiTheme="minorHAnsi" w:eastAsiaTheme="minorEastAsia" w:hAnsiTheme="minorHAnsi" w:cstheme="minorBidi"/>
            <w:b w:val="0"/>
            <w:spacing w:val="0"/>
            <w:sz w:val="22"/>
            <w:szCs w:val="22"/>
          </w:rPr>
          <w:tab/>
        </w:r>
        <w:r w:rsidR="00F9704D" w:rsidRPr="00256D2C">
          <w:rPr>
            <w:rStyle w:val="Hyperlink"/>
          </w:rPr>
          <w:t>Further work</w:t>
        </w:r>
        <w:r w:rsidR="00F9704D">
          <w:rPr>
            <w:webHidden/>
          </w:rPr>
          <w:tab/>
        </w:r>
        <w:r w:rsidR="00F9704D">
          <w:rPr>
            <w:webHidden/>
          </w:rPr>
          <w:fldChar w:fldCharType="begin"/>
        </w:r>
        <w:r w:rsidR="00F9704D">
          <w:rPr>
            <w:webHidden/>
          </w:rPr>
          <w:instrText xml:space="preserve"> PAGEREF _Toc483998563 \h </w:instrText>
        </w:r>
        <w:r w:rsidR="00F9704D">
          <w:rPr>
            <w:webHidden/>
          </w:rPr>
        </w:r>
        <w:r w:rsidR="00F9704D">
          <w:rPr>
            <w:webHidden/>
          </w:rPr>
          <w:fldChar w:fldCharType="separate"/>
        </w:r>
        <w:r w:rsidR="000E0CA0">
          <w:rPr>
            <w:webHidden/>
          </w:rPr>
          <w:t>15</w:t>
        </w:r>
        <w:r w:rsidR="00F9704D">
          <w:rPr>
            <w:webHidden/>
          </w:rPr>
          <w:fldChar w:fldCharType="end"/>
        </w:r>
      </w:hyperlink>
    </w:p>
    <w:p w14:paraId="6117AEB7" w14:textId="2700C376" w:rsidR="00F9704D" w:rsidRDefault="00311CA1">
      <w:pPr>
        <w:pStyle w:val="TOC1"/>
        <w:rPr>
          <w:rFonts w:asciiTheme="minorHAnsi" w:eastAsiaTheme="minorEastAsia" w:hAnsiTheme="minorHAnsi" w:cstheme="minorBidi"/>
          <w:b w:val="0"/>
          <w:spacing w:val="0"/>
          <w:sz w:val="22"/>
          <w:szCs w:val="22"/>
        </w:rPr>
      </w:pPr>
      <w:hyperlink w:anchor="_Toc483998564" w:history="1">
        <w:r w:rsidR="00F9704D" w:rsidRPr="00256D2C">
          <w:rPr>
            <w:rStyle w:val="Hyperlink"/>
          </w:rPr>
          <w:t>Annex A—Submissions received</w:t>
        </w:r>
        <w:r w:rsidR="00F9704D">
          <w:rPr>
            <w:webHidden/>
          </w:rPr>
          <w:tab/>
        </w:r>
        <w:r w:rsidR="00F9704D">
          <w:rPr>
            <w:webHidden/>
          </w:rPr>
          <w:fldChar w:fldCharType="begin"/>
        </w:r>
        <w:r w:rsidR="00F9704D">
          <w:rPr>
            <w:webHidden/>
          </w:rPr>
          <w:instrText xml:space="preserve"> PAGEREF _Toc483998564 \h </w:instrText>
        </w:r>
        <w:r w:rsidR="00F9704D">
          <w:rPr>
            <w:webHidden/>
          </w:rPr>
        </w:r>
        <w:r w:rsidR="00F9704D">
          <w:rPr>
            <w:webHidden/>
          </w:rPr>
          <w:fldChar w:fldCharType="separate"/>
        </w:r>
        <w:r w:rsidR="000E0CA0">
          <w:rPr>
            <w:webHidden/>
          </w:rPr>
          <w:t>17</w:t>
        </w:r>
        <w:r w:rsidR="00F9704D">
          <w:rPr>
            <w:webHidden/>
          </w:rPr>
          <w:fldChar w:fldCharType="end"/>
        </w:r>
      </w:hyperlink>
    </w:p>
    <w:p w14:paraId="64968828" w14:textId="27FA0BB5" w:rsidR="00F9704D" w:rsidRDefault="00311CA1">
      <w:pPr>
        <w:pStyle w:val="TOC2"/>
        <w:rPr>
          <w:rFonts w:asciiTheme="minorHAnsi" w:eastAsiaTheme="minorEastAsia" w:hAnsiTheme="minorHAnsi" w:cstheme="minorBidi"/>
          <w:spacing w:val="0"/>
          <w:sz w:val="22"/>
          <w:szCs w:val="22"/>
        </w:rPr>
      </w:pPr>
      <w:hyperlink w:anchor="_Toc483998565" w:history="1">
        <w:r w:rsidR="00F9704D" w:rsidRPr="00256D2C">
          <w:rPr>
            <w:rStyle w:val="Hyperlink"/>
          </w:rPr>
          <w:t>All submissions</w:t>
        </w:r>
        <w:r w:rsidR="00F9704D">
          <w:rPr>
            <w:webHidden/>
          </w:rPr>
          <w:tab/>
        </w:r>
        <w:r w:rsidR="00F9704D">
          <w:rPr>
            <w:webHidden/>
          </w:rPr>
          <w:fldChar w:fldCharType="begin"/>
        </w:r>
        <w:r w:rsidR="00F9704D">
          <w:rPr>
            <w:webHidden/>
          </w:rPr>
          <w:instrText xml:space="preserve"> PAGEREF _Toc483998565 \h </w:instrText>
        </w:r>
        <w:r w:rsidR="00F9704D">
          <w:rPr>
            <w:webHidden/>
          </w:rPr>
        </w:r>
        <w:r w:rsidR="00F9704D">
          <w:rPr>
            <w:webHidden/>
          </w:rPr>
          <w:fldChar w:fldCharType="separate"/>
        </w:r>
        <w:r w:rsidR="000E0CA0">
          <w:rPr>
            <w:webHidden/>
          </w:rPr>
          <w:t>17</w:t>
        </w:r>
        <w:r w:rsidR="00F9704D">
          <w:rPr>
            <w:webHidden/>
          </w:rPr>
          <w:fldChar w:fldCharType="end"/>
        </w:r>
      </w:hyperlink>
    </w:p>
    <w:p w14:paraId="7DF25306" w14:textId="162E1DA4" w:rsidR="00F9704D" w:rsidRDefault="00311CA1">
      <w:pPr>
        <w:pStyle w:val="TOC2"/>
        <w:rPr>
          <w:rFonts w:asciiTheme="minorHAnsi" w:eastAsiaTheme="minorEastAsia" w:hAnsiTheme="minorHAnsi" w:cstheme="minorBidi"/>
          <w:spacing w:val="0"/>
          <w:sz w:val="22"/>
          <w:szCs w:val="22"/>
        </w:rPr>
      </w:pPr>
      <w:hyperlink w:anchor="_Toc483998566" w:history="1">
        <w:r w:rsidR="00F9704D" w:rsidRPr="00256D2C">
          <w:rPr>
            <w:rStyle w:val="Hyperlink"/>
          </w:rPr>
          <w:t>Submissions by industry</w:t>
        </w:r>
        <w:r w:rsidR="00F9704D">
          <w:rPr>
            <w:webHidden/>
          </w:rPr>
          <w:tab/>
        </w:r>
        <w:r w:rsidR="00F9704D">
          <w:rPr>
            <w:webHidden/>
          </w:rPr>
          <w:fldChar w:fldCharType="begin"/>
        </w:r>
        <w:r w:rsidR="00F9704D">
          <w:rPr>
            <w:webHidden/>
          </w:rPr>
          <w:instrText xml:space="preserve"> PAGEREF _Toc483998566 \h </w:instrText>
        </w:r>
        <w:r w:rsidR="00F9704D">
          <w:rPr>
            <w:webHidden/>
          </w:rPr>
        </w:r>
        <w:r w:rsidR="00F9704D">
          <w:rPr>
            <w:webHidden/>
          </w:rPr>
          <w:fldChar w:fldCharType="separate"/>
        </w:r>
        <w:r w:rsidR="000E0CA0">
          <w:rPr>
            <w:webHidden/>
          </w:rPr>
          <w:t>18</w:t>
        </w:r>
        <w:r w:rsidR="00F9704D">
          <w:rPr>
            <w:webHidden/>
          </w:rPr>
          <w:fldChar w:fldCharType="end"/>
        </w:r>
      </w:hyperlink>
    </w:p>
    <w:p w14:paraId="54680DFB" w14:textId="77777777" w:rsidR="000A4A51" w:rsidRPr="000D76E0" w:rsidRDefault="00F9704D">
      <w:pPr>
        <w:rPr>
          <w:rFonts w:cs="Arial"/>
        </w:rPr>
      </w:pPr>
      <w:r>
        <w:rPr>
          <w:rFonts w:cs="Arial"/>
          <w:b/>
          <w:noProof/>
          <w:spacing w:val="-14"/>
          <w:sz w:val="28"/>
        </w:rPr>
        <w:fldChar w:fldCharType="end"/>
      </w:r>
    </w:p>
    <w:p w14:paraId="36ED3951" w14:textId="77777777" w:rsidR="004D56FF" w:rsidRPr="000D76E0" w:rsidRDefault="004D56FF">
      <w:pPr>
        <w:rPr>
          <w:rFonts w:cs="Arial"/>
        </w:rPr>
        <w:sectPr w:rsidR="004D56FF" w:rsidRPr="000D76E0" w:rsidSect="00C77380">
          <w:headerReference w:type="even" r:id="rId25"/>
          <w:headerReference w:type="default" r:id="rId26"/>
          <w:footerReference w:type="even" r:id="rId27"/>
          <w:footerReference w:type="default" r:id="rId28"/>
          <w:footerReference w:type="first" r:id="rId29"/>
          <w:pgSz w:w="11906" w:h="16838" w:code="9"/>
          <w:pgMar w:top="3646" w:right="3101" w:bottom="1134" w:left="1134" w:header="709" w:footer="119" w:gutter="0"/>
          <w:cols w:space="708"/>
          <w:titlePg/>
          <w:docGrid w:linePitch="360"/>
        </w:sectPr>
      </w:pPr>
    </w:p>
    <w:p w14:paraId="45BC97D1" w14:textId="77777777" w:rsidR="00BE4C11" w:rsidRPr="000D76E0" w:rsidRDefault="00777F84" w:rsidP="00777BA2">
      <w:pPr>
        <w:pStyle w:val="Heading1"/>
      </w:pPr>
      <w:bookmarkStart w:id="1" w:name="_Toc441074797"/>
      <w:bookmarkStart w:id="2" w:name="_Toc441074798"/>
      <w:bookmarkStart w:id="3" w:name="_Toc483998551"/>
      <w:bookmarkEnd w:id="1"/>
      <w:r>
        <w:lastRenderedPageBreak/>
        <w:t>1</w:t>
      </w:r>
      <w:r w:rsidR="00FE6882">
        <w:t>.</w:t>
      </w:r>
      <w:r>
        <w:tab/>
      </w:r>
      <w:r w:rsidR="00D26C78">
        <w:t>Introduction</w:t>
      </w:r>
      <w:bookmarkEnd w:id="2"/>
      <w:bookmarkEnd w:id="3"/>
      <w:r w:rsidR="0042762F" w:rsidRPr="00FF3C69">
        <w:t xml:space="preserve"> </w:t>
      </w:r>
    </w:p>
    <w:p w14:paraId="6F18FA06" w14:textId="77777777" w:rsidR="00777F84" w:rsidRDefault="00D26C78" w:rsidP="004626F6">
      <w:r>
        <w:t>T</w:t>
      </w:r>
      <w:r w:rsidRPr="00D26C78">
        <w:t>he Australian Com</w:t>
      </w:r>
      <w:r>
        <w:t>munications and Media Authority (</w:t>
      </w:r>
      <w:r w:rsidR="00F3138B">
        <w:t xml:space="preserve">the </w:t>
      </w:r>
      <w:r>
        <w:t>ACMA) released the discussion paper</w:t>
      </w:r>
      <w:r w:rsidR="008927B9">
        <w:t xml:space="preserve"> </w:t>
      </w:r>
      <w:hyperlink r:id="rId30" w:history="1">
        <w:r w:rsidR="008927B9" w:rsidRPr="004626F6">
          <w:rPr>
            <w:rStyle w:val="Hyperlink"/>
            <w:rFonts w:cs="Arial"/>
            <w:i/>
          </w:rPr>
          <w:t>Future use of the 1.5 GHz and 3.6 GHz bands</w:t>
        </w:r>
      </w:hyperlink>
      <w:r w:rsidR="008927B9">
        <w:t xml:space="preserve"> </w:t>
      </w:r>
      <w:r>
        <w:rPr>
          <w:szCs w:val="20"/>
          <w:lang w:val="en"/>
        </w:rPr>
        <w:t xml:space="preserve">on </w:t>
      </w:r>
      <w:r w:rsidR="008927B9">
        <w:rPr>
          <w:szCs w:val="20"/>
          <w:lang w:val="en"/>
        </w:rPr>
        <w:t>20 October 2016</w:t>
      </w:r>
      <w:r w:rsidR="00EB26D8">
        <w:rPr>
          <w:szCs w:val="20"/>
          <w:lang w:val="en"/>
        </w:rPr>
        <w:t xml:space="preserve"> </w:t>
      </w:r>
      <w:r w:rsidR="00EB26D8">
        <w:t>(the October 2016 discussion paper)</w:t>
      </w:r>
      <w:r>
        <w:rPr>
          <w:szCs w:val="20"/>
          <w:lang w:val="en"/>
        </w:rPr>
        <w:t xml:space="preserve">. </w:t>
      </w:r>
      <w:r w:rsidRPr="00D26C78">
        <w:rPr>
          <w:szCs w:val="20"/>
          <w:lang w:val="en"/>
        </w:rPr>
        <w:t xml:space="preserve">The paper </w:t>
      </w:r>
      <w:r w:rsidR="002225FB">
        <w:rPr>
          <w:szCs w:val="20"/>
          <w:lang w:val="en"/>
        </w:rPr>
        <w:t>sought</w:t>
      </w:r>
      <w:r w:rsidRPr="00D26C78">
        <w:rPr>
          <w:szCs w:val="20"/>
          <w:lang w:val="en"/>
        </w:rPr>
        <w:t xml:space="preserve"> industry feedback on the ACMA’s medium</w:t>
      </w:r>
      <w:r w:rsidR="001D6ABD">
        <w:rPr>
          <w:szCs w:val="20"/>
          <w:lang w:val="en"/>
        </w:rPr>
        <w:t>-</w:t>
      </w:r>
      <w:r w:rsidRPr="00D26C78">
        <w:rPr>
          <w:szCs w:val="20"/>
          <w:lang w:val="en"/>
        </w:rPr>
        <w:t xml:space="preserve"> and longer</w:t>
      </w:r>
      <w:r w:rsidR="001D6ABD">
        <w:rPr>
          <w:szCs w:val="20"/>
          <w:lang w:val="en"/>
        </w:rPr>
        <w:t>-</w:t>
      </w:r>
      <w:r w:rsidRPr="00D26C78">
        <w:rPr>
          <w:szCs w:val="20"/>
          <w:lang w:val="en"/>
        </w:rPr>
        <w:t xml:space="preserve">term planning approaches to address rising demand for mobile broadband </w:t>
      </w:r>
      <w:r w:rsidR="009105D7">
        <w:rPr>
          <w:szCs w:val="20"/>
          <w:lang w:val="en"/>
        </w:rPr>
        <w:t xml:space="preserve">(MBB) </w:t>
      </w:r>
      <w:r w:rsidRPr="00D26C78">
        <w:rPr>
          <w:szCs w:val="20"/>
          <w:lang w:val="en"/>
        </w:rPr>
        <w:t>services.</w:t>
      </w:r>
      <w:r>
        <w:rPr>
          <w:szCs w:val="20"/>
          <w:lang w:val="en"/>
        </w:rPr>
        <w:t xml:space="preserve"> </w:t>
      </w:r>
      <w:r w:rsidR="008927B9">
        <w:rPr>
          <w:szCs w:val="20"/>
          <w:lang w:val="en"/>
        </w:rPr>
        <w:t>Seventy-</w:t>
      </w:r>
      <w:r w:rsidR="004626F6">
        <w:rPr>
          <w:szCs w:val="20"/>
          <w:lang w:val="en"/>
        </w:rPr>
        <w:t>t</w:t>
      </w:r>
      <w:r w:rsidR="008927B9">
        <w:rPr>
          <w:szCs w:val="20"/>
          <w:lang w:val="en"/>
        </w:rPr>
        <w:t>wo</w:t>
      </w:r>
      <w:r w:rsidR="001363ED">
        <w:rPr>
          <w:szCs w:val="20"/>
          <w:lang w:val="en"/>
        </w:rPr>
        <w:t xml:space="preserve"> </w:t>
      </w:r>
      <w:r>
        <w:rPr>
          <w:szCs w:val="20"/>
          <w:lang w:val="en"/>
        </w:rPr>
        <w:t xml:space="preserve">submissions were </w:t>
      </w:r>
      <w:r w:rsidR="00777F84">
        <w:rPr>
          <w:szCs w:val="20"/>
          <w:lang w:val="en"/>
        </w:rPr>
        <w:t xml:space="preserve">received to </w:t>
      </w:r>
      <w:r w:rsidR="00EB26D8">
        <w:rPr>
          <w:szCs w:val="20"/>
          <w:lang w:val="en"/>
        </w:rPr>
        <w:t>the October 2016 discussion paper</w:t>
      </w:r>
      <w:r w:rsidR="00777F84">
        <w:rPr>
          <w:szCs w:val="20"/>
          <w:lang w:val="en"/>
        </w:rPr>
        <w:t xml:space="preserve"> </w:t>
      </w:r>
      <w:r w:rsidR="008927B9">
        <w:rPr>
          <w:szCs w:val="20"/>
          <w:lang w:val="en"/>
        </w:rPr>
        <w:t>as listed in Annex A.</w:t>
      </w:r>
    </w:p>
    <w:p w14:paraId="2C3CB4DD" w14:textId="77777777" w:rsidR="001A076C" w:rsidRDefault="00777F84" w:rsidP="004626F6">
      <w:pPr>
        <w:spacing w:after="80"/>
      </w:pPr>
      <w:r>
        <w:t xml:space="preserve">A summary </w:t>
      </w:r>
      <w:r w:rsidR="00D70360">
        <w:t xml:space="preserve">and response to </w:t>
      </w:r>
      <w:r>
        <w:t xml:space="preserve">feedback </w:t>
      </w:r>
      <w:r w:rsidR="008927B9">
        <w:t xml:space="preserve">received on </w:t>
      </w:r>
      <w:r>
        <w:t>issue</w:t>
      </w:r>
      <w:r w:rsidR="00D70360">
        <w:t>s common to the 1.5 GHz and 3.6 GHz</w:t>
      </w:r>
      <w:r w:rsidR="004626F6">
        <w:t xml:space="preserve"> bands</w:t>
      </w:r>
      <w:r w:rsidR="00D70360">
        <w:t xml:space="preserve">, and specifically to </w:t>
      </w:r>
      <w:r w:rsidR="009105D7">
        <w:t xml:space="preserve">the </w:t>
      </w:r>
      <w:r w:rsidR="00D70360">
        <w:t>3.6 GHz</w:t>
      </w:r>
      <w:r w:rsidR="009105D7">
        <w:t xml:space="preserve"> band</w:t>
      </w:r>
      <w:r w:rsidR="00D70360">
        <w:t xml:space="preserve"> is contained in this paper. The </w:t>
      </w:r>
      <w:r w:rsidR="004626F6">
        <w:t xml:space="preserve">structure </w:t>
      </w:r>
      <w:r w:rsidR="00D70360">
        <w:t>of this paper is</w:t>
      </w:r>
      <w:r w:rsidR="001A076C">
        <w:t>:</w:t>
      </w:r>
    </w:p>
    <w:p w14:paraId="2FF33F5A" w14:textId="77777777" w:rsidR="001A076C" w:rsidRPr="00226471" w:rsidRDefault="001A076C" w:rsidP="001A076C">
      <w:pPr>
        <w:pStyle w:val="ListBullet"/>
        <w:rPr>
          <w:rFonts w:cs="Arial"/>
        </w:rPr>
      </w:pPr>
      <w:r>
        <w:rPr>
          <w:rFonts w:cs="Arial"/>
        </w:rPr>
        <w:t xml:space="preserve">Section 2 outlines feedback received </w:t>
      </w:r>
      <w:r w:rsidR="004626F6">
        <w:rPr>
          <w:rFonts w:cs="Arial"/>
        </w:rPr>
        <w:t>on</w:t>
      </w:r>
      <w:r>
        <w:rPr>
          <w:rFonts w:cs="Arial"/>
        </w:rPr>
        <w:t xml:space="preserve"> both the 1.5 GHz and 3.6 GHz bands</w:t>
      </w:r>
      <w:r w:rsidR="004626F6">
        <w:rPr>
          <w:rFonts w:cs="Arial"/>
        </w:rPr>
        <w:t>,</w:t>
      </w:r>
      <w:r>
        <w:rPr>
          <w:rFonts w:cs="Arial"/>
        </w:rPr>
        <w:t xml:space="preserve"> as discussed in the </w:t>
      </w:r>
      <w:r w:rsidRPr="001A076C">
        <w:rPr>
          <w:rFonts w:cs="Arial"/>
          <w:i/>
        </w:rPr>
        <w:t>Introduction</w:t>
      </w:r>
      <w:r>
        <w:rPr>
          <w:rFonts w:cs="Arial"/>
        </w:rPr>
        <w:t xml:space="preserve"> section of </w:t>
      </w:r>
      <w:r w:rsidR="00EB26D8">
        <w:rPr>
          <w:rFonts w:cs="Arial"/>
        </w:rPr>
        <w:t>the October 2016 discussion paper</w:t>
      </w:r>
      <w:r w:rsidR="004626F6">
        <w:rPr>
          <w:rFonts w:cs="Arial"/>
        </w:rPr>
        <w:t>,</w:t>
      </w:r>
      <w:r w:rsidR="007D3650">
        <w:rPr>
          <w:rFonts w:cs="Arial"/>
        </w:rPr>
        <w:t xml:space="preserve"> and the ACMA’s response</w:t>
      </w:r>
      <w:r>
        <w:rPr>
          <w:rFonts w:cs="Arial"/>
        </w:rPr>
        <w:t xml:space="preserve"> </w:t>
      </w:r>
    </w:p>
    <w:p w14:paraId="21D23AF6" w14:textId="77777777" w:rsidR="00D70360" w:rsidRDefault="007D3650" w:rsidP="004626F6">
      <w:pPr>
        <w:pStyle w:val="ListBullet"/>
      </w:pPr>
      <w:r>
        <w:t xml:space="preserve">Section </w:t>
      </w:r>
      <w:r w:rsidR="00D70360">
        <w:t>3</w:t>
      </w:r>
      <w:r>
        <w:t xml:space="preserve"> outlines comments received </w:t>
      </w:r>
      <w:r w:rsidR="004626F6">
        <w:t>about</w:t>
      </w:r>
      <w:r>
        <w:t xml:space="preserve"> 3.6 GHz band issues and the ACMA’s </w:t>
      </w:r>
      <w:r w:rsidRPr="004626F6">
        <w:t>response</w:t>
      </w:r>
    </w:p>
    <w:p w14:paraId="192CABFD" w14:textId="77777777" w:rsidR="00777F84" w:rsidRDefault="00D70360" w:rsidP="004626F6">
      <w:pPr>
        <w:pStyle w:val="ListBulletLast"/>
      </w:pPr>
      <w:r>
        <w:t>S</w:t>
      </w:r>
      <w:r w:rsidR="007D3650" w:rsidRPr="00D70360">
        <w:t xml:space="preserve">ection </w:t>
      </w:r>
      <w:r w:rsidRPr="00D70360">
        <w:t>4</w:t>
      </w:r>
      <w:r w:rsidR="007D3650" w:rsidRPr="00D70360">
        <w:t xml:space="preserve"> details </w:t>
      </w:r>
      <w:r w:rsidR="002876C4">
        <w:t>next steps</w:t>
      </w:r>
      <w:r w:rsidR="007D3650">
        <w:t>.</w:t>
      </w:r>
    </w:p>
    <w:p w14:paraId="61CEBA5C" w14:textId="77777777" w:rsidR="00D70360" w:rsidRDefault="00D70360" w:rsidP="00777F84">
      <w:pPr>
        <w:rPr>
          <w:rFonts w:cs="Arial"/>
        </w:rPr>
      </w:pPr>
      <w:r>
        <w:rPr>
          <w:rFonts w:cs="Arial"/>
        </w:rPr>
        <w:t xml:space="preserve">Consistent with the ACMA’s decision to prioritise consideration of the 3.6 GHz band over the 1.5 GHz band (see discussion in Section 2), the ACMA will provide its summary and response to feedback on the 1.5 GHz band when it progresses consideration of this band. </w:t>
      </w:r>
    </w:p>
    <w:p w14:paraId="52D05721" w14:textId="77777777" w:rsidR="001117CF" w:rsidRDefault="001117CF" w:rsidP="00777F84">
      <w:pPr>
        <w:rPr>
          <w:rFonts w:cs="Arial"/>
        </w:rPr>
      </w:pPr>
      <w:r>
        <w:rPr>
          <w:rFonts w:cs="Arial"/>
        </w:rPr>
        <w:t>This summary of and response to submissions paper accompanies the release of a package further exploring the options for the future use of the 3.6 GHz band (the Options paper).</w:t>
      </w:r>
      <w:r w:rsidR="003A1F32">
        <w:rPr>
          <w:rFonts w:cs="Arial"/>
        </w:rPr>
        <w:t xml:space="preserve"> </w:t>
      </w:r>
    </w:p>
    <w:p w14:paraId="1DAB628F" w14:textId="77777777" w:rsidR="00777F84" w:rsidRPr="000D76E0" w:rsidRDefault="00777F84" w:rsidP="00777F84">
      <w:pPr>
        <w:pStyle w:val="Heading1"/>
      </w:pPr>
      <w:bookmarkStart w:id="4" w:name="_Toc441074799"/>
      <w:bookmarkStart w:id="5" w:name="_Toc483998552"/>
      <w:r>
        <w:lastRenderedPageBreak/>
        <w:t>2</w:t>
      </w:r>
      <w:r w:rsidR="00FE6882">
        <w:t>.</w:t>
      </w:r>
      <w:r>
        <w:tab/>
      </w:r>
      <w:bookmarkEnd w:id="4"/>
      <w:r w:rsidR="008D0B6F">
        <w:t>Issues related to both the 1.5 GHz and 3.6 GHz bands</w:t>
      </w:r>
      <w:bookmarkEnd w:id="5"/>
    </w:p>
    <w:p w14:paraId="52F0CC0F" w14:textId="77777777" w:rsidR="005B1E00" w:rsidRDefault="00842BE9" w:rsidP="005B1E00">
      <w:r>
        <w:t xml:space="preserve">The scope of </w:t>
      </w:r>
      <w:r w:rsidR="00EB26D8">
        <w:t>the October 2016 discussion paper</w:t>
      </w:r>
      <w:r>
        <w:t xml:space="preserve"> covered </w:t>
      </w:r>
      <w:r w:rsidR="005B1E00">
        <w:t>the 1.5 GHz and 3.6 GHz bands</w:t>
      </w:r>
      <w:r>
        <w:t>, including some issues relating to both bands and their relative priority. In this section</w:t>
      </w:r>
      <w:r w:rsidR="004626F6">
        <w:t>,</w:t>
      </w:r>
      <w:r>
        <w:t xml:space="preserve"> a summary of submissions to these issues is outlined</w:t>
      </w:r>
      <w:r w:rsidR="004626F6">
        <w:t>,</w:t>
      </w:r>
      <w:r>
        <w:t xml:space="preserve"> as well as the ACMA</w:t>
      </w:r>
      <w:r w:rsidR="00700877">
        <w:t>’s</w:t>
      </w:r>
      <w:r>
        <w:t xml:space="preserve"> response. </w:t>
      </w:r>
    </w:p>
    <w:p w14:paraId="7AD1398E" w14:textId="77777777" w:rsidR="00777F84" w:rsidRPr="00777F84" w:rsidRDefault="002225FB" w:rsidP="00777F84">
      <w:pPr>
        <w:pStyle w:val="Heading2"/>
      </w:pPr>
      <w:bookmarkStart w:id="6" w:name="_Toc483998553"/>
      <w:r>
        <w:t xml:space="preserve">Purpose of </w:t>
      </w:r>
      <w:r w:rsidR="00EB26D8">
        <w:t>the October 2016 discussion paper</w:t>
      </w:r>
      <w:bookmarkEnd w:id="6"/>
    </w:p>
    <w:p w14:paraId="479A022F" w14:textId="77DA46D6" w:rsidR="002225FB" w:rsidRDefault="002225FB" w:rsidP="00B24F33">
      <w:r>
        <w:t xml:space="preserve">At the time of release of </w:t>
      </w:r>
      <w:r w:rsidR="00EB26D8">
        <w:t>the October 2016 discussion paper</w:t>
      </w:r>
      <w:r>
        <w:t>, the 1.5 GHz and 3.6 GHz bands were in the</w:t>
      </w:r>
      <w:r w:rsidRPr="001E30AB">
        <w:t xml:space="preserve"> </w:t>
      </w:r>
      <w:r w:rsidRPr="00CD292B">
        <w:rPr>
          <w:i/>
        </w:rPr>
        <w:t>initial investigation</w:t>
      </w:r>
      <w:r w:rsidRPr="001E30AB">
        <w:t xml:space="preserve"> </w:t>
      </w:r>
      <w:r>
        <w:t xml:space="preserve">stage of the process for consideration of additional spectrum for </w:t>
      </w:r>
      <w:r w:rsidR="00F9704D">
        <w:t xml:space="preserve">MBB </w:t>
      </w:r>
      <w:r>
        <w:t xml:space="preserve">services. </w:t>
      </w:r>
    </w:p>
    <w:p w14:paraId="7A5299D1" w14:textId="77777777" w:rsidR="002225FB" w:rsidRDefault="002225FB" w:rsidP="004626F6">
      <w:pPr>
        <w:spacing w:after="120"/>
      </w:pPr>
      <w:r>
        <w:t xml:space="preserve">In </w:t>
      </w:r>
      <w:r w:rsidR="00EB26D8">
        <w:t>the October 2016 discussion paper</w:t>
      </w:r>
      <w:r>
        <w:t xml:space="preserve">, the following questions were asked </w:t>
      </w:r>
      <w:r w:rsidR="004626F6">
        <w:t>about</w:t>
      </w:r>
      <w:r>
        <w:t xml:space="preserve"> this issue:</w:t>
      </w:r>
    </w:p>
    <w:p w14:paraId="4DE3D179" w14:textId="77777777" w:rsidR="00EE1E94" w:rsidRDefault="002225FB" w:rsidP="004626F6">
      <w:pPr>
        <w:pStyle w:val="ListParagraph"/>
        <w:numPr>
          <w:ilvl w:val="0"/>
          <w:numId w:val="32"/>
        </w:numPr>
        <w:shd w:val="clear" w:color="auto" w:fill="F2F2F2" w:themeFill="background1" w:themeFillShade="F2"/>
        <w:spacing w:after="120"/>
        <w:ind w:left="425" w:hanging="425"/>
        <w:contextualSpacing w:val="0"/>
      </w:pPr>
      <w:r w:rsidRPr="00E03708">
        <w:rPr>
          <w:b/>
        </w:rPr>
        <w:t xml:space="preserve">Should the 1.5 GHz band and/or the 3.6 GHz band be progressed from </w:t>
      </w:r>
      <w:r w:rsidRPr="00E03708">
        <w:rPr>
          <w:b/>
          <w:i/>
        </w:rPr>
        <w:t>the initial investigation</w:t>
      </w:r>
      <w:r w:rsidRPr="00E03708">
        <w:rPr>
          <w:b/>
        </w:rPr>
        <w:t xml:space="preserve"> stage to the </w:t>
      </w:r>
      <w:r w:rsidRPr="00E03708">
        <w:rPr>
          <w:b/>
          <w:i/>
        </w:rPr>
        <w:t>preliminary re-planning</w:t>
      </w:r>
      <w:r w:rsidRPr="00E03708">
        <w:rPr>
          <w:b/>
        </w:rPr>
        <w:t xml:space="preserve"> stage in the ACMA’s process for consideration of additional spectrum for MBB services? Why/Why not?</w:t>
      </w:r>
    </w:p>
    <w:p w14:paraId="37E7F430" w14:textId="233C8EA6" w:rsidR="00EE1E94" w:rsidRDefault="00EE1E94" w:rsidP="004626F6">
      <w:pPr>
        <w:pStyle w:val="ListParagraph"/>
        <w:numPr>
          <w:ilvl w:val="0"/>
          <w:numId w:val="39"/>
        </w:numPr>
        <w:shd w:val="clear" w:color="auto" w:fill="F2F2F2" w:themeFill="background1" w:themeFillShade="F2"/>
        <w:spacing w:after="120"/>
        <w:ind w:left="425" w:hanging="425"/>
        <w:contextualSpacing w:val="0"/>
      </w:pPr>
      <w:r w:rsidRPr="00EE1E94">
        <w:rPr>
          <w:b/>
        </w:rPr>
        <w:t xml:space="preserve">Comment is sought on the ACMA’s proposal to progress the 1.5 GHz band to the </w:t>
      </w:r>
      <w:r w:rsidRPr="00EE1E94">
        <w:rPr>
          <w:b/>
          <w:i/>
        </w:rPr>
        <w:t>preliminary re-planning</w:t>
      </w:r>
      <w:r w:rsidRPr="00EE1E94">
        <w:rPr>
          <w:b/>
        </w:rPr>
        <w:t xml:space="preserve"> stage of its process for consideration of additional spectrum for </w:t>
      </w:r>
      <w:r w:rsidRPr="00F9704D">
        <w:rPr>
          <w:b/>
        </w:rPr>
        <w:t>MBB</w:t>
      </w:r>
      <w:r w:rsidRPr="00EE1E94">
        <w:rPr>
          <w:b/>
        </w:rPr>
        <w:t xml:space="preserve"> services, as detailed in the ACMA’s </w:t>
      </w:r>
      <w:hyperlink r:id="rId31" w:history="1">
        <w:r w:rsidR="00D07ADE">
          <w:rPr>
            <w:rStyle w:val="Hyperlink"/>
            <w:b/>
          </w:rPr>
          <w:t>MBB</w:t>
        </w:r>
        <w:r w:rsidRPr="00EE1E94">
          <w:rPr>
            <w:rStyle w:val="Hyperlink"/>
            <w:b/>
          </w:rPr>
          <w:t xml:space="preserve"> strategy</w:t>
        </w:r>
      </w:hyperlink>
      <w:r w:rsidRPr="006D6661">
        <w:t>.</w:t>
      </w:r>
    </w:p>
    <w:p w14:paraId="588F981F" w14:textId="5F7FF2BF" w:rsidR="00EE1E94" w:rsidRDefault="00EE1E94" w:rsidP="004626F6">
      <w:pPr>
        <w:pStyle w:val="ListParagraph"/>
        <w:numPr>
          <w:ilvl w:val="0"/>
          <w:numId w:val="41"/>
        </w:numPr>
        <w:shd w:val="clear" w:color="auto" w:fill="F2F2F2" w:themeFill="background1" w:themeFillShade="F2"/>
        <w:ind w:left="425" w:hanging="425"/>
        <w:contextualSpacing w:val="0"/>
      </w:pPr>
      <w:r w:rsidRPr="00EE1E94">
        <w:rPr>
          <w:b/>
        </w:rPr>
        <w:t>Comment</w:t>
      </w:r>
      <w:r w:rsidRPr="006D6661">
        <w:rPr>
          <w:b/>
        </w:rPr>
        <w:t xml:space="preserve"> is sought on the ACMA’s proposal to progress the 3.6 GHz band to the </w:t>
      </w:r>
      <w:r w:rsidRPr="004F7EC4">
        <w:rPr>
          <w:b/>
          <w:i/>
        </w:rPr>
        <w:t>preliminary re-planning</w:t>
      </w:r>
      <w:r w:rsidRPr="006D6661">
        <w:rPr>
          <w:b/>
        </w:rPr>
        <w:t xml:space="preserve"> stage of its process for consideration of additional spectrum for MBB services, as detailed in the ACMA’s </w:t>
      </w:r>
      <w:hyperlink r:id="rId32" w:history="1">
        <w:r w:rsidR="00D07ADE">
          <w:rPr>
            <w:rStyle w:val="Hyperlink"/>
            <w:b/>
          </w:rPr>
          <w:t>MBB</w:t>
        </w:r>
        <w:r w:rsidRPr="00461726">
          <w:rPr>
            <w:rStyle w:val="Hyperlink"/>
            <w:b/>
          </w:rPr>
          <w:t xml:space="preserve"> strategy</w:t>
        </w:r>
      </w:hyperlink>
      <w:r w:rsidRPr="006D6661">
        <w:rPr>
          <w:b/>
        </w:rPr>
        <w:t>.</w:t>
      </w:r>
    </w:p>
    <w:p w14:paraId="17CBD06E" w14:textId="77777777" w:rsidR="002225FB" w:rsidRDefault="00842BE9" w:rsidP="00842BE9">
      <w:pPr>
        <w:pStyle w:val="Heading3"/>
      </w:pPr>
      <w:r>
        <w:t>Summary of submissions</w:t>
      </w:r>
    </w:p>
    <w:p w14:paraId="0107C669" w14:textId="77777777" w:rsidR="009E68C0" w:rsidRDefault="009E68C0" w:rsidP="004626F6">
      <w:r>
        <w:t xml:space="preserve">A range of responses were provided. Some respondents, typically incumbent users, did not support the progression of either the 1.5 GHz or 3.6 GHz bands to the preliminary re-planning stage, stating that </w:t>
      </w:r>
      <w:r w:rsidR="00EE1E94">
        <w:t xml:space="preserve">current </w:t>
      </w:r>
      <w:r>
        <w:t>arrangements were</w:t>
      </w:r>
      <w:r w:rsidR="00EE1E94">
        <w:t xml:space="preserve"> satisfactory</w:t>
      </w:r>
      <w:r>
        <w:t xml:space="preserve">. </w:t>
      </w:r>
    </w:p>
    <w:p w14:paraId="22535156" w14:textId="77777777" w:rsidR="000164D3" w:rsidRDefault="009E68C0" w:rsidP="00A027FF">
      <w:r>
        <w:t xml:space="preserve">Some respondents, namely incumbent </w:t>
      </w:r>
      <w:r w:rsidR="00F9515B">
        <w:t xml:space="preserve">3.6 GHz </w:t>
      </w:r>
      <w:r>
        <w:t xml:space="preserve">satellite operators and point-to-multipoint users in the 3.6 GHz band, supported the progression of the 1.5 GHz band to the preliminary re-planning stage but opposed the progression of the 3.6 GHz band. These respondents argued that the incumbent use of the 1.5 GHz band is less complicated than those in the </w:t>
      </w:r>
      <w:r w:rsidR="009A5018">
        <w:t>3.6</w:t>
      </w:r>
      <w:r>
        <w:t xml:space="preserve"> GHz band</w:t>
      </w:r>
      <w:r w:rsidR="002F0196">
        <w:t>,</w:t>
      </w:r>
      <w:r>
        <w:t xml:space="preserve"> and therefore any change in arrangements would be more easily achievable in the 1.5 GHz band.</w:t>
      </w:r>
      <w:r w:rsidR="00EE1E94">
        <w:t xml:space="preserve"> Further, </w:t>
      </w:r>
      <w:r w:rsidR="006862B7">
        <w:t>point-to-multipoint users argued that progressing with re-farming of the 3.6 GHz band would favour larger carriers over smaller operator</w:t>
      </w:r>
      <w:r w:rsidR="009A5018">
        <w:t>s</w:t>
      </w:r>
      <w:r w:rsidR="002F0196">
        <w:t>,</w:t>
      </w:r>
      <w:r w:rsidR="006862B7">
        <w:t xml:space="preserve"> and therefore should not be pursued.</w:t>
      </w:r>
      <w:r w:rsidR="000164D3">
        <w:t xml:space="preserve"> </w:t>
      </w:r>
      <w:r w:rsidR="00D6458F">
        <w:t xml:space="preserve">They suggested that </w:t>
      </w:r>
      <w:r w:rsidR="002F0196">
        <w:t xml:space="preserve">because </w:t>
      </w:r>
      <w:r w:rsidR="00D6458F">
        <w:t xml:space="preserve">the 3.6 GHz band was already being used for </w:t>
      </w:r>
      <w:r w:rsidR="00D6458F" w:rsidRPr="00D6458F">
        <w:t>MBB</w:t>
      </w:r>
      <w:r w:rsidR="00D6458F">
        <w:t xml:space="preserve"> in regional and remote areas, r</w:t>
      </w:r>
      <w:r w:rsidR="00D6458F" w:rsidRPr="00D6458F">
        <w:t xml:space="preserve">e-farming appears to be </w:t>
      </w:r>
      <w:r w:rsidR="00D6458F">
        <w:t xml:space="preserve">a case of simply </w:t>
      </w:r>
      <w:r w:rsidR="00D6458F" w:rsidRPr="00D6458F">
        <w:t xml:space="preserve">moving from </w:t>
      </w:r>
      <w:r w:rsidR="00D6458F">
        <w:t>an apparatus licensing to a spectrum licensing regime</w:t>
      </w:r>
      <w:r w:rsidR="00D6458F" w:rsidRPr="00D6458F">
        <w:t xml:space="preserve">. </w:t>
      </w:r>
      <w:r w:rsidR="00D6458F">
        <w:t>It was argued that s</w:t>
      </w:r>
      <w:r w:rsidR="00D6458F" w:rsidRPr="00D6458F">
        <w:t xml:space="preserve">mall operators cannot compete with </w:t>
      </w:r>
      <w:r w:rsidR="00D6458F">
        <w:t xml:space="preserve">larger </w:t>
      </w:r>
      <w:r w:rsidR="00D6458F" w:rsidRPr="00D6458F">
        <w:t xml:space="preserve">operators in </w:t>
      </w:r>
      <w:r w:rsidR="00D6458F">
        <w:t>an auction scenario</w:t>
      </w:r>
      <w:r w:rsidR="00D6458F" w:rsidRPr="00D6458F">
        <w:t>.</w:t>
      </w:r>
    </w:p>
    <w:p w14:paraId="716403A4" w14:textId="77777777" w:rsidR="00A35176" w:rsidRDefault="00496616" w:rsidP="00A027FF">
      <w:r>
        <w:t>S</w:t>
      </w:r>
      <w:r w:rsidR="00190C00">
        <w:t>ome existing point-to-multipoint users</w:t>
      </w:r>
      <w:r>
        <w:t xml:space="preserve"> suggested</w:t>
      </w:r>
      <w:r w:rsidR="00A35176">
        <w:t xml:space="preserve"> that only part of the 3.6 GHz band be progressed through the ACMA’s process for consideration of additional spectrum for MBB services. One suggested that only spectrum below 3.6 GHz should be progressed. Others suggested the band should only be considered in certain areas where there was no incumbent use. </w:t>
      </w:r>
    </w:p>
    <w:p w14:paraId="24ECA726" w14:textId="293EC019" w:rsidR="009E68C0" w:rsidRDefault="00A35176" w:rsidP="00EE1E94">
      <w:r>
        <w:lastRenderedPageBreak/>
        <w:t>A number of</w:t>
      </w:r>
      <w:r w:rsidR="009E68C0">
        <w:t xml:space="preserve"> respondents, mainly from the mobile </w:t>
      </w:r>
      <w:r w:rsidR="00EE1E94">
        <w:t>manufacturers</w:t>
      </w:r>
      <w:r w:rsidR="009E68C0">
        <w:t xml:space="preserve"> and network providers, supported the progression</w:t>
      </w:r>
      <w:r w:rsidR="00EE1E94">
        <w:t xml:space="preserve"> of both the 1.5 GH</w:t>
      </w:r>
      <w:r w:rsidR="009E68C0">
        <w:t>z and 3.6 GHz band</w:t>
      </w:r>
      <w:r w:rsidR="002F0196">
        <w:t>s</w:t>
      </w:r>
      <w:r w:rsidR="009E68C0">
        <w:t xml:space="preserve"> to the preliminary re-planning stage.</w:t>
      </w:r>
      <w:r w:rsidR="00EE1E94">
        <w:t xml:space="preserve"> These respondents </w:t>
      </w:r>
      <w:r w:rsidR="00496616">
        <w:t xml:space="preserve">supported the analysis </w:t>
      </w:r>
      <w:r w:rsidR="009105D7">
        <w:t>made regarding</w:t>
      </w:r>
      <w:r w:rsidR="00496616">
        <w:t xml:space="preserve"> international spectrum harmonisation and technology standardisation drivers </w:t>
      </w:r>
      <w:r w:rsidR="00EE1E94">
        <w:t xml:space="preserve">provided in </w:t>
      </w:r>
      <w:r w:rsidR="00EB26D8">
        <w:t>the October 2016 discussion paper</w:t>
      </w:r>
      <w:r w:rsidR="00496616">
        <w:t xml:space="preserve"> and</w:t>
      </w:r>
      <w:r w:rsidR="001537B3">
        <w:t xml:space="preserve"> </w:t>
      </w:r>
      <w:r w:rsidR="00EE1E94">
        <w:t>support</w:t>
      </w:r>
      <w:r w:rsidR="00496616">
        <w:t>ed</w:t>
      </w:r>
      <w:r w:rsidR="00EE1E94">
        <w:t xml:space="preserve"> progression of both bands. </w:t>
      </w:r>
    </w:p>
    <w:p w14:paraId="25D522B7" w14:textId="77777777" w:rsidR="00842BE9" w:rsidRDefault="00842BE9" w:rsidP="00842BE9">
      <w:pPr>
        <w:pStyle w:val="Heading3"/>
      </w:pPr>
      <w:r>
        <w:t>ACMA response to submissions</w:t>
      </w:r>
    </w:p>
    <w:p w14:paraId="7CA18C03" w14:textId="59A8CF87" w:rsidR="002225FB" w:rsidRDefault="006862B7" w:rsidP="002F0196">
      <w:r>
        <w:t xml:space="preserve">The results of the </w:t>
      </w:r>
      <w:r w:rsidR="009105D7">
        <w:t xml:space="preserve">ACMA’s </w:t>
      </w:r>
      <w:r>
        <w:t>preliminary assessments of the hi</w:t>
      </w:r>
      <w:r w:rsidR="009A5018">
        <w:t>ghest</w:t>
      </w:r>
      <w:r w:rsidR="002F0196">
        <w:t>-</w:t>
      </w:r>
      <w:r w:rsidR="009A5018">
        <w:t>value use of both the 1.5 </w:t>
      </w:r>
      <w:r>
        <w:t>GHz and 3.6 GHz bands indicate that the highest-value use has changed, or may be changing, in some areas. The level of interest in the 1.5 GHz and 3.6 GHz bands</w:t>
      </w:r>
      <w:r w:rsidR="002F0196">
        <w:t>,</w:t>
      </w:r>
      <w:r>
        <w:t xml:space="preserve"> both nationally and internationally</w:t>
      </w:r>
      <w:r w:rsidR="002F0196">
        <w:t>,</w:t>
      </w:r>
      <w:r>
        <w:t xml:space="preserve"> also supports further investigation and analysis of arrangements in these bands. In particular, technology standardisation developments and international spectrum harmonisation considerations indicate that there is potential value in further investigating the </w:t>
      </w:r>
      <w:r w:rsidR="00700877">
        <w:t xml:space="preserve">arrangements for the </w:t>
      </w:r>
      <w:r>
        <w:t xml:space="preserve">use of these bands for </w:t>
      </w:r>
      <w:r w:rsidR="00D07ADE">
        <w:t>MBB</w:t>
      </w:r>
      <w:r>
        <w:t xml:space="preserve"> services in some or all areas of Australia.</w:t>
      </w:r>
      <w:r w:rsidR="00DA1F3A">
        <w:t xml:space="preserve"> The ACMA further notes that existing regulatory arrangements are unlikely to be conducive to the deployment of wide area broadband networks (fixed or mobile)</w:t>
      </w:r>
      <w:r w:rsidR="002F0196">
        <w:t>,</w:t>
      </w:r>
      <w:r w:rsidR="00592E1F">
        <w:t xml:space="preserve"> and hence facilitating the highest value use of the spectrum is likely to require changes to the exiting regulatory framework.</w:t>
      </w:r>
      <w:r>
        <w:t xml:space="preserve"> </w:t>
      </w:r>
      <w:r w:rsidRPr="000256B7">
        <w:rPr>
          <w:b/>
        </w:rPr>
        <w:t xml:space="preserve">Therefore, </w:t>
      </w:r>
      <w:r w:rsidR="001537B3" w:rsidRPr="000256B7">
        <w:rPr>
          <w:b/>
        </w:rPr>
        <w:t xml:space="preserve">the ACMA has decided </w:t>
      </w:r>
      <w:r w:rsidR="00C66F52">
        <w:rPr>
          <w:b/>
        </w:rPr>
        <w:t>to progress</w:t>
      </w:r>
      <w:r w:rsidR="001537B3" w:rsidRPr="000256B7">
        <w:rPr>
          <w:b/>
        </w:rPr>
        <w:t xml:space="preserve"> </w:t>
      </w:r>
      <w:r w:rsidRPr="000256B7">
        <w:rPr>
          <w:b/>
        </w:rPr>
        <w:t xml:space="preserve">both the 1.5 GHz and 3.6 GHz bands to the </w:t>
      </w:r>
      <w:r w:rsidRPr="000256B7">
        <w:rPr>
          <w:b/>
          <w:i/>
        </w:rPr>
        <w:t xml:space="preserve">preliminary replanning </w:t>
      </w:r>
      <w:r w:rsidRPr="000256B7">
        <w:rPr>
          <w:b/>
        </w:rPr>
        <w:t xml:space="preserve">stage of the ACMA’s process for consideration of additional spectrum for </w:t>
      </w:r>
      <w:r w:rsidR="00D07ADE">
        <w:rPr>
          <w:b/>
        </w:rPr>
        <w:t>MBB</w:t>
      </w:r>
      <w:r w:rsidRPr="000256B7">
        <w:rPr>
          <w:b/>
        </w:rPr>
        <w:t xml:space="preserve"> services.</w:t>
      </w:r>
    </w:p>
    <w:p w14:paraId="5C853E82" w14:textId="18F92C87" w:rsidR="00112AF8" w:rsidRDefault="00112AF8" w:rsidP="00B24F33">
      <w:r>
        <w:t xml:space="preserve">As noted in the </w:t>
      </w:r>
      <w:r w:rsidRPr="00C70215">
        <w:t xml:space="preserve">ACMA’s </w:t>
      </w:r>
      <w:r w:rsidR="00D07ADE">
        <w:t>MBB</w:t>
      </w:r>
      <w:r w:rsidRPr="00C70215">
        <w:t xml:space="preserve"> </w:t>
      </w:r>
      <w:r w:rsidR="00F9704D" w:rsidRPr="00C70215">
        <w:t>s</w:t>
      </w:r>
      <w:r w:rsidRPr="00C70215">
        <w:t>trategy,</w:t>
      </w:r>
      <w:r>
        <w:t xml:space="preserve"> </w:t>
      </w:r>
      <w:r w:rsidR="002F0196">
        <w:t xml:space="preserve">while </w:t>
      </w:r>
      <w:r>
        <w:t xml:space="preserve">the domestic replanning process </w:t>
      </w:r>
      <w:r w:rsidR="002F0196">
        <w:t xml:space="preserve">is </w:t>
      </w:r>
      <w:r>
        <w:t>influenced by international developments</w:t>
      </w:r>
      <w:r w:rsidR="002F0196">
        <w:t>, it</w:t>
      </w:r>
      <w:r>
        <w:t xml:space="preserve"> is not entirely dependent on the</w:t>
      </w:r>
      <w:r w:rsidR="009105D7">
        <w:t>se developments</w:t>
      </w:r>
      <w:r>
        <w:t xml:space="preserve">. Therefore, work can continue domestically while issues including harmonised channel arrangements are debated internationally. The results of these international deliberations can be taken into account later in the replanning process, if and when the decision is made to re-farm a particular band. </w:t>
      </w:r>
    </w:p>
    <w:p w14:paraId="7EBBDEF5" w14:textId="77777777" w:rsidR="002225FB" w:rsidRDefault="002225FB" w:rsidP="002225FB">
      <w:pPr>
        <w:pStyle w:val="Heading2"/>
      </w:pPr>
      <w:bookmarkStart w:id="7" w:name="_Toc483998554"/>
      <w:r>
        <w:t>Timing and prioritisation of work</w:t>
      </w:r>
      <w:bookmarkEnd w:id="7"/>
    </w:p>
    <w:p w14:paraId="08656620" w14:textId="2A2E0066" w:rsidR="002225FB" w:rsidRDefault="00D07ADE" w:rsidP="002225FB">
      <w:r>
        <w:t>As</w:t>
      </w:r>
      <w:r w:rsidR="00842BE9">
        <w:t xml:space="preserve"> noted in </w:t>
      </w:r>
      <w:r w:rsidR="00EB26D8">
        <w:t>the October 2016 discussion paper</w:t>
      </w:r>
      <w:r w:rsidR="009105D7">
        <w:t>,</w:t>
      </w:r>
      <w:r w:rsidR="00842BE9">
        <w:t xml:space="preserve"> </w:t>
      </w:r>
      <w:r w:rsidR="00A027FF">
        <w:t>should the 1.5 GHz and 3.6 </w:t>
      </w:r>
      <w:r w:rsidR="00842BE9">
        <w:t xml:space="preserve">GHz bands progress to the </w:t>
      </w:r>
      <w:r w:rsidR="00842BE9" w:rsidRPr="00660C0E">
        <w:rPr>
          <w:i/>
        </w:rPr>
        <w:t xml:space="preserve">preliminary </w:t>
      </w:r>
      <w:r w:rsidR="00842BE9">
        <w:rPr>
          <w:i/>
        </w:rPr>
        <w:t>re-planning</w:t>
      </w:r>
      <w:r w:rsidR="00842BE9">
        <w:t xml:space="preserve"> stage, it is likely </w:t>
      </w:r>
      <w:r w:rsidR="002F0196">
        <w:t xml:space="preserve">that </w:t>
      </w:r>
      <w:r w:rsidR="00842BE9">
        <w:t>they will be advanced through the remaining stages at different rates. This is partly to enable resources to be focused on facilitating the timely release of spectrum</w:t>
      </w:r>
      <w:r w:rsidR="002A37BB">
        <w:t>,</w:t>
      </w:r>
      <w:r w:rsidR="00842BE9">
        <w:t xml:space="preserve"> but timing is also likely to be affected by factors unique to each band, as described in </w:t>
      </w:r>
      <w:r w:rsidR="00EB26D8">
        <w:t>the October 2016 discussion paper</w:t>
      </w:r>
      <w:r w:rsidR="00842BE9">
        <w:t>.</w:t>
      </w:r>
      <w:r w:rsidR="002225FB">
        <w:t xml:space="preserve"> </w:t>
      </w:r>
    </w:p>
    <w:p w14:paraId="350B9CB0" w14:textId="77777777" w:rsidR="002225FB" w:rsidRDefault="002225FB" w:rsidP="002F0196">
      <w:pPr>
        <w:spacing w:after="120"/>
      </w:pPr>
      <w:r>
        <w:t xml:space="preserve">In </w:t>
      </w:r>
      <w:r w:rsidR="00EB26D8">
        <w:t>the October 2016 discussion paper</w:t>
      </w:r>
      <w:r>
        <w:t xml:space="preserve">, the following questions were asked </w:t>
      </w:r>
      <w:r w:rsidR="00A353CE">
        <w:t xml:space="preserve">in relation to </w:t>
      </w:r>
      <w:r>
        <w:t>this issue:</w:t>
      </w:r>
    </w:p>
    <w:p w14:paraId="1986D538" w14:textId="77777777" w:rsidR="002225FB" w:rsidRPr="006D6661" w:rsidRDefault="002225FB" w:rsidP="002F0196">
      <w:pPr>
        <w:pStyle w:val="ListParagraph"/>
        <w:numPr>
          <w:ilvl w:val="0"/>
          <w:numId w:val="40"/>
        </w:numPr>
        <w:shd w:val="clear" w:color="auto" w:fill="F2F2F2" w:themeFill="background1" w:themeFillShade="F2"/>
        <w:spacing w:after="120"/>
        <w:ind w:left="425" w:hanging="425"/>
        <w:contextualSpacing w:val="0"/>
        <w:rPr>
          <w:b/>
        </w:rPr>
      </w:pPr>
      <w:r w:rsidRPr="006D6661">
        <w:rPr>
          <w:b/>
        </w:rPr>
        <w:t>Should either of the 1.5 GHz and 3.6 GHz bands be prioritised through the ACMA’s process for consideration of additional spectrum for MBB services? If so, which band? Why?</w:t>
      </w:r>
    </w:p>
    <w:p w14:paraId="64AE918B" w14:textId="77777777" w:rsidR="002225FB" w:rsidRPr="006D6661" w:rsidRDefault="002225FB" w:rsidP="002F0196">
      <w:pPr>
        <w:pStyle w:val="ListParagraph"/>
        <w:numPr>
          <w:ilvl w:val="0"/>
          <w:numId w:val="40"/>
        </w:numPr>
        <w:shd w:val="clear" w:color="auto" w:fill="F2F2F2" w:themeFill="background1" w:themeFillShade="F2"/>
        <w:spacing w:after="120"/>
        <w:ind w:left="425" w:hanging="425"/>
        <w:contextualSpacing w:val="0"/>
        <w:rPr>
          <w:b/>
        </w:rPr>
      </w:pPr>
      <w:r w:rsidRPr="006D6661">
        <w:rPr>
          <w:b/>
        </w:rPr>
        <w:t>Are there specific issues, other than those mentioned, that may affect the timeframe in which the 1.5 GHz or 3.6 GHz bands could be made available for MBB?</w:t>
      </w:r>
    </w:p>
    <w:p w14:paraId="18127749" w14:textId="77777777" w:rsidR="002225FB" w:rsidRPr="006D6661" w:rsidRDefault="002225FB" w:rsidP="002F0196">
      <w:pPr>
        <w:pStyle w:val="ListParagraph"/>
        <w:numPr>
          <w:ilvl w:val="0"/>
          <w:numId w:val="40"/>
        </w:numPr>
        <w:shd w:val="clear" w:color="auto" w:fill="F2F2F2" w:themeFill="background1" w:themeFillShade="F2"/>
        <w:spacing w:after="360"/>
        <w:ind w:left="425" w:hanging="425"/>
        <w:contextualSpacing w:val="0"/>
        <w:rPr>
          <w:b/>
        </w:rPr>
      </w:pPr>
      <w:r w:rsidRPr="006D6661">
        <w:rPr>
          <w:b/>
        </w:rPr>
        <w:t>If the 1.5 GHz and 3.6 GHz bands are re-farmed for MBB, would there be benefit in allocating the bands simultaneously?</w:t>
      </w:r>
    </w:p>
    <w:p w14:paraId="1776F3AE" w14:textId="77777777" w:rsidR="00842BE9" w:rsidRDefault="00842BE9" w:rsidP="00842BE9">
      <w:pPr>
        <w:pStyle w:val="Heading3"/>
      </w:pPr>
      <w:bookmarkStart w:id="8" w:name="_Toc441074818"/>
      <w:r>
        <w:t>Summary of submissions</w:t>
      </w:r>
    </w:p>
    <w:p w14:paraId="496F0A9D" w14:textId="77777777" w:rsidR="001E794D" w:rsidRDefault="00E1174B" w:rsidP="001E794D">
      <w:r>
        <w:t xml:space="preserve">There were various opinions expressed regarding the urgency or otherwise to progress the 1.5 GHz and 3.6 GHz bands through the ACMA’s process for consideration of additional spectrum for MBB services. It was noted </w:t>
      </w:r>
      <w:r w:rsidR="00B37046">
        <w:t xml:space="preserve">by mobile </w:t>
      </w:r>
      <w:r w:rsidR="00B37046">
        <w:lastRenderedPageBreak/>
        <w:t>manufacturer</w:t>
      </w:r>
      <w:r w:rsidR="009105D7">
        <w:t>s</w:t>
      </w:r>
      <w:r w:rsidR="00B37046">
        <w:t xml:space="preserve"> and telecommunications industry respondents </w:t>
      </w:r>
      <w:r>
        <w:t>that work was still ongoing within 3GPP and ITU-R on frequency arrangements for these bands</w:t>
      </w:r>
      <w:r w:rsidR="00B37046">
        <w:t>. Incumbent users, including those from the satellite industry and wireless internet service providers, also highlighted this</w:t>
      </w:r>
      <w:r w:rsidR="003747CF">
        <w:t xml:space="preserve">, </w:t>
      </w:r>
      <w:r w:rsidR="00B37046">
        <w:t xml:space="preserve">and argued that </w:t>
      </w:r>
      <w:r>
        <w:t>neither</w:t>
      </w:r>
      <w:r w:rsidR="00B37046">
        <w:t xml:space="preserve"> band</w:t>
      </w:r>
      <w:r>
        <w:t xml:space="preserve"> should be progressed within Australia until these arrangements were finalised. </w:t>
      </w:r>
      <w:r w:rsidR="001E794D">
        <w:t xml:space="preserve"> </w:t>
      </w:r>
    </w:p>
    <w:p w14:paraId="43F70FE9" w14:textId="24DA59E2" w:rsidR="00E1174B" w:rsidRDefault="00E1174B" w:rsidP="001E794D">
      <w:r>
        <w:t xml:space="preserve">Some respondents, particularly those from the satellite industry and incumbent users of the 3.6 GHz band, argued that the </w:t>
      </w:r>
      <w:r w:rsidR="00EE1E94" w:rsidRPr="00EE1E94">
        <w:t xml:space="preserve">1.5 GHz </w:t>
      </w:r>
      <w:r>
        <w:t xml:space="preserve">band </w:t>
      </w:r>
      <w:r w:rsidR="00EE1E94" w:rsidRPr="00EE1E94">
        <w:t xml:space="preserve">should be prioritised over </w:t>
      </w:r>
      <w:r w:rsidR="003747CF">
        <w:t xml:space="preserve">the </w:t>
      </w:r>
      <w:r w:rsidR="00EE1E94" w:rsidRPr="00EE1E94">
        <w:t>3.6</w:t>
      </w:r>
      <w:r w:rsidR="009105D7">
        <w:t> </w:t>
      </w:r>
      <w:r w:rsidR="00EE1E94" w:rsidRPr="00EE1E94">
        <w:t xml:space="preserve">GHz </w:t>
      </w:r>
      <w:r>
        <w:t xml:space="preserve">band </w:t>
      </w:r>
      <w:r w:rsidR="00EE1E94" w:rsidRPr="00EE1E94">
        <w:t xml:space="preserve">as it would reduce impact on incumbent services. </w:t>
      </w:r>
      <w:r>
        <w:t xml:space="preserve">It was noted that </w:t>
      </w:r>
      <w:r w:rsidR="003747CF">
        <w:t xml:space="preserve">typically, </w:t>
      </w:r>
      <w:r>
        <w:t>there is not alternative spectrum available for services currently provided in the 3.6</w:t>
      </w:r>
      <w:r w:rsidR="009105D7">
        <w:t> </w:t>
      </w:r>
      <w:r>
        <w:t xml:space="preserve">GHz band, and therefore the consequences of </w:t>
      </w:r>
      <w:r w:rsidR="00A353CE">
        <w:t xml:space="preserve">any </w:t>
      </w:r>
      <w:r>
        <w:t xml:space="preserve">changes </w:t>
      </w:r>
      <w:r w:rsidR="00A353CE">
        <w:t>may be</w:t>
      </w:r>
      <w:r>
        <w:t xml:space="preserve"> more significant. </w:t>
      </w:r>
    </w:p>
    <w:p w14:paraId="782A468B" w14:textId="77777777" w:rsidR="001E794D" w:rsidRDefault="00B37046" w:rsidP="00842BE9">
      <w:r>
        <w:t>As the major incumbent user of the 1.5 GHz band, Telstra</w:t>
      </w:r>
      <w:r w:rsidR="00214645">
        <w:t xml:space="preserve"> </w:t>
      </w:r>
      <w:r w:rsidR="00E1174B">
        <w:t>argued that the 3.6 GHz band should be prioritised due to incumbency issues within the 1.5 GHz band</w:t>
      </w:r>
      <w:r w:rsidR="003747CF">
        <w:t>,</w:t>
      </w:r>
      <w:r w:rsidR="00E1174B">
        <w:t xml:space="preserve"> </w:t>
      </w:r>
      <w:r w:rsidR="00214645">
        <w:t>pending the report and response to</w:t>
      </w:r>
      <w:r w:rsidR="00E1174B">
        <w:t xml:space="preserve"> the </w:t>
      </w:r>
      <w:r w:rsidR="00E1174B" w:rsidRPr="00E1174B">
        <w:t>inquiry into the future direction of a universal service obligation (USO) in the telecommunications market</w:t>
      </w:r>
      <w:r w:rsidR="00E1174B">
        <w:t>.</w:t>
      </w:r>
      <w:r w:rsidR="005B0224" w:rsidRPr="005B0224">
        <w:t xml:space="preserve"> </w:t>
      </w:r>
      <w:r>
        <w:t xml:space="preserve">Prioritisation of the 3.6 GHz band was </w:t>
      </w:r>
      <w:r w:rsidR="005B0224">
        <w:t xml:space="preserve">also </w:t>
      </w:r>
      <w:r>
        <w:t>supported by mobile manufacturers</w:t>
      </w:r>
      <w:r w:rsidR="003747CF">
        <w:t>,</w:t>
      </w:r>
      <w:r>
        <w:t xml:space="preserve"> who noted </w:t>
      </w:r>
      <w:r w:rsidR="005B0224">
        <w:t>that t</w:t>
      </w:r>
      <w:r w:rsidR="005B0224" w:rsidRPr="00214645">
        <w:t>he 1.5</w:t>
      </w:r>
      <w:r w:rsidR="005B0224">
        <w:t> </w:t>
      </w:r>
      <w:r w:rsidR="005B0224" w:rsidRPr="00214645">
        <w:t>GHz band</w:t>
      </w:r>
      <w:r w:rsidR="00C75E6F">
        <w:t>, compared to other future proposed spectrum above 1 GHz,</w:t>
      </w:r>
      <w:r w:rsidR="005B0224" w:rsidRPr="00214645">
        <w:t xml:space="preserve"> offers </w:t>
      </w:r>
      <w:r w:rsidR="00DA1F3A">
        <w:t>less potential</w:t>
      </w:r>
      <w:r w:rsidR="005B0224" w:rsidRPr="00214645">
        <w:t xml:space="preserve"> spectrum bandwidth, has lower projected roadmap support in vendor roadmaps</w:t>
      </w:r>
      <w:r w:rsidR="00C75E6F">
        <w:t xml:space="preserve"> and</w:t>
      </w:r>
      <w:r w:rsidR="005B0224" w:rsidRPr="00214645">
        <w:t xml:space="preserve"> has considerably less ability to support key </w:t>
      </w:r>
      <w:r w:rsidR="00A353CE">
        <w:t>new technologies</w:t>
      </w:r>
      <w:r w:rsidR="00C75E6F">
        <w:t>. Unlike the 3.6 GHz band</w:t>
      </w:r>
      <w:r w:rsidR="00A353CE" w:rsidRPr="00214645">
        <w:t>,</w:t>
      </w:r>
      <w:r w:rsidR="00C75E6F">
        <w:t xml:space="preserve"> the 1.5 GHz band </w:t>
      </w:r>
      <w:r w:rsidR="00A353CE" w:rsidRPr="00214645">
        <w:t>has not been explicitly nominated as an early 5G band</w:t>
      </w:r>
      <w:r w:rsidR="00A353CE">
        <w:t xml:space="preserve"> by various countries around the world</w:t>
      </w:r>
      <w:r w:rsidR="005B0224" w:rsidRPr="00214645">
        <w:t>.</w:t>
      </w:r>
      <w:r w:rsidR="005B0224">
        <w:t xml:space="preserve"> </w:t>
      </w:r>
    </w:p>
    <w:p w14:paraId="08E127BA" w14:textId="77777777" w:rsidR="001E794D" w:rsidRDefault="00C75E6F" w:rsidP="00842BE9">
      <w:r>
        <w:t xml:space="preserve">Some respondents noted </w:t>
      </w:r>
      <w:r w:rsidR="001E794D">
        <w:t>that there would be equipment available fo</w:t>
      </w:r>
      <w:r w:rsidR="001D27F0">
        <w:t>r the 3.6 </w:t>
      </w:r>
      <w:r w:rsidR="001E794D">
        <w:t>GHz band in calendar year 2017</w:t>
      </w:r>
      <w:r w:rsidR="00FE6882">
        <w:t>,</w:t>
      </w:r>
      <w:r w:rsidR="001E794D">
        <w:t xml:space="preserve"> which makes the 3.6 GHz band better suited for earlier deployment</w:t>
      </w:r>
      <w:r w:rsidR="003747CF">
        <w:t>,</w:t>
      </w:r>
      <w:r w:rsidR="001E794D">
        <w:t xml:space="preserve"> and therefore prioritisation over the 1.5 GHz band. </w:t>
      </w:r>
    </w:p>
    <w:p w14:paraId="40BDCD55" w14:textId="77777777" w:rsidR="00214645" w:rsidRDefault="00214645" w:rsidP="00842BE9">
      <w:r>
        <w:t>One respondent noted that regardless of which band is prioritised, i</w:t>
      </w:r>
      <w:r w:rsidRPr="00214645">
        <w:t>t is critical that there is certainty around the future availability o</w:t>
      </w:r>
      <w:r>
        <w:t>f</w:t>
      </w:r>
      <w:r w:rsidRPr="00214645">
        <w:t xml:space="preserve"> spectrum resources</w:t>
      </w:r>
      <w:r w:rsidR="003747CF">
        <w:t>,</w:t>
      </w:r>
      <w:r w:rsidRPr="00214645">
        <w:t xml:space="preserve"> as well as the timing of spectrum allocations</w:t>
      </w:r>
      <w:r w:rsidR="003747CF">
        <w:t>,</w:t>
      </w:r>
      <w:r w:rsidRPr="00214645">
        <w:t xml:space="preserve"> to enable investment decision making to proceed in a timely manner.</w:t>
      </w:r>
    </w:p>
    <w:p w14:paraId="4C7B09A6" w14:textId="77777777" w:rsidR="001D27F0" w:rsidRDefault="001D27F0" w:rsidP="00842BE9">
      <w:r>
        <w:t>Many respondents expressed the view that t</w:t>
      </w:r>
      <w:r w:rsidRPr="001D27F0">
        <w:t xml:space="preserve">he timeframe for </w:t>
      </w:r>
      <w:r>
        <w:t xml:space="preserve">replanning either band </w:t>
      </w:r>
      <w:r w:rsidRPr="001D27F0">
        <w:t>should support incumbent licence holders</w:t>
      </w:r>
      <w:r w:rsidR="006B66EE">
        <w:t>’</w:t>
      </w:r>
      <w:r w:rsidRPr="001D27F0">
        <w:t xml:space="preserve"> </w:t>
      </w:r>
      <w:r>
        <w:t xml:space="preserve">ongoing operation for a number of years in order </w:t>
      </w:r>
      <w:r w:rsidRPr="001D27F0">
        <w:t xml:space="preserve">to achieve a return on their investment in these bands. </w:t>
      </w:r>
    </w:p>
    <w:p w14:paraId="272E01FE" w14:textId="77777777" w:rsidR="00E1174B" w:rsidRDefault="009460C5" w:rsidP="00842BE9">
      <w:r>
        <w:t>Regarding</w:t>
      </w:r>
      <w:r w:rsidR="00E1174B">
        <w:t xml:space="preserve"> simultaneous allocation of the 1.5 GHz and 3.6 GHz bands, </w:t>
      </w:r>
      <w:r w:rsidR="005B0224">
        <w:t>most</w:t>
      </w:r>
      <w:r w:rsidR="00E1174B">
        <w:t xml:space="preserve"> respondents did not see a justification for considering the two bands together as they are subject to different factors and timeframes. </w:t>
      </w:r>
      <w:r w:rsidR="005B0224">
        <w:t xml:space="preserve">One respondent </w:t>
      </w:r>
      <w:r w:rsidR="00532F74">
        <w:t>argued</w:t>
      </w:r>
      <w:r w:rsidR="005B0224">
        <w:t xml:space="preserve"> that </w:t>
      </w:r>
      <w:r w:rsidR="00532F74">
        <w:t>the bands are not substitutable and would not normally be considered complementary</w:t>
      </w:r>
      <w:r w:rsidR="00FE6882">
        <w:t>,</w:t>
      </w:r>
      <w:r w:rsidR="005B0224">
        <w:t xml:space="preserve"> and therefore </w:t>
      </w:r>
      <w:r w:rsidR="005B0224" w:rsidRPr="005B0224">
        <w:t>do not need to be allocated simultaneously.</w:t>
      </w:r>
    </w:p>
    <w:p w14:paraId="2B0F3B33" w14:textId="77777777" w:rsidR="00842BE9" w:rsidRDefault="00842BE9" w:rsidP="00842BE9">
      <w:pPr>
        <w:pStyle w:val="Heading3"/>
      </w:pPr>
      <w:r>
        <w:t>ACMA response to submissions</w:t>
      </w:r>
    </w:p>
    <w:p w14:paraId="025EE9C6" w14:textId="77777777" w:rsidR="005B0224" w:rsidRDefault="005B0224" w:rsidP="005B0224">
      <w:r w:rsidRPr="000256B7">
        <w:rPr>
          <w:b/>
        </w:rPr>
        <w:t xml:space="preserve">Given international developments and strong domestic interest, </w:t>
      </w:r>
      <w:r w:rsidR="0025045C">
        <w:rPr>
          <w:b/>
        </w:rPr>
        <w:t xml:space="preserve">the ACMA has decided that </w:t>
      </w:r>
      <w:r w:rsidRPr="000256B7">
        <w:rPr>
          <w:b/>
        </w:rPr>
        <w:t>consideration of the 3.6 GHz band w</w:t>
      </w:r>
      <w:r w:rsidR="009460C5">
        <w:rPr>
          <w:b/>
        </w:rPr>
        <w:t>ill be prioritised over the 1.5 </w:t>
      </w:r>
      <w:r w:rsidRPr="000256B7">
        <w:rPr>
          <w:b/>
        </w:rPr>
        <w:t>GHz band</w:t>
      </w:r>
      <w:r w:rsidRPr="005B0224">
        <w:t>. A more timely resolution of what, if any, replanning would occur in the 3.6 GHz band will also provide certainty to incumbent services regarding long</w:t>
      </w:r>
      <w:r w:rsidR="00FE6882">
        <w:t>-</w:t>
      </w:r>
      <w:r w:rsidRPr="005B0224">
        <w:t>term arrangements in the band and any alternative options av</w:t>
      </w:r>
      <w:r>
        <w:t>ailable to them (if applicable).</w:t>
      </w:r>
    </w:p>
    <w:p w14:paraId="0E3B0708" w14:textId="77777777" w:rsidR="001D27F0" w:rsidRDefault="001D27F0" w:rsidP="005B0224">
      <w:r>
        <w:t>It is noted that strong views for urgent re</w:t>
      </w:r>
      <w:r w:rsidR="009105D7">
        <w:t>-</w:t>
      </w:r>
      <w:r>
        <w:t>allocation, particularly of the 3.6 GHz band</w:t>
      </w:r>
      <w:r w:rsidR="00FE6882">
        <w:t>,</w:t>
      </w:r>
      <w:r>
        <w:t xml:space="preserve"> are held by a number of respondents to the </w:t>
      </w:r>
      <w:r w:rsidR="00D52057">
        <w:t xml:space="preserve">October 2016 </w:t>
      </w:r>
      <w:r>
        <w:t xml:space="preserve">discussion paper. However, equally noted </w:t>
      </w:r>
      <w:r w:rsidR="00D52057">
        <w:t xml:space="preserve">is </w:t>
      </w:r>
      <w:r>
        <w:t>the opposition and challenges associated with re-farming of both the 1.5 GHz and 3.6 GHz bands. Therefore, while every effort will be made to progress the reviews of these bands in a timely manner, sufficient time is required for due process</w:t>
      </w:r>
      <w:r w:rsidR="000256B7">
        <w:t xml:space="preserve"> that allows for the collection of information </w:t>
      </w:r>
      <w:r w:rsidR="00D52057">
        <w:t xml:space="preserve">and </w:t>
      </w:r>
      <w:r w:rsidR="000256B7">
        <w:t>evidence to inform ACMA decisions,</w:t>
      </w:r>
      <w:r>
        <w:t xml:space="preserve"> and for all interested and affected parties to consider their options. </w:t>
      </w:r>
    </w:p>
    <w:p w14:paraId="098976EF" w14:textId="77777777" w:rsidR="00834021" w:rsidRPr="00777F84" w:rsidRDefault="005B0224" w:rsidP="007D3650">
      <w:pPr>
        <w:rPr>
          <w:rFonts w:cs="Arial"/>
          <w:szCs w:val="20"/>
          <w:lang w:val="en"/>
        </w:rPr>
      </w:pPr>
      <w:r>
        <w:lastRenderedPageBreak/>
        <w:t xml:space="preserve">Relative timing of any future </w:t>
      </w:r>
      <w:r w:rsidR="000256B7">
        <w:t xml:space="preserve">consideration </w:t>
      </w:r>
      <w:r>
        <w:t xml:space="preserve">of the 1.5 GHz </w:t>
      </w:r>
      <w:r w:rsidR="00D52057">
        <w:t xml:space="preserve">band </w:t>
      </w:r>
      <w:r w:rsidR="000256B7">
        <w:t xml:space="preserve">with respect to the </w:t>
      </w:r>
      <w:r w:rsidR="00A443A2">
        <w:t>3.6 </w:t>
      </w:r>
      <w:r>
        <w:t>GHz band</w:t>
      </w:r>
      <w:r w:rsidR="009F1267">
        <w:t xml:space="preserve"> (or other bands included in the </w:t>
      </w:r>
      <w:r w:rsidR="009F1267" w:rsidRPr="00F9704D">
        <w:t>ACMA MBB work program</w:t>
      </w:r>
      <w:r w:rsidR="009F1267">
        <w:t xml:space="preserve">) </w:t>
      </w:r>
      <w:r>
        <w:t xml:space="preserve">will not be considered further at this time. However, feedback relating to the benefits, or otherwise, of allocating the bands simultaneously </w:t>
      </w:r>
      <w:r w:rsidR="00FE6882">
        <w:t xml:space="preserve">is </w:t>
      </w:r>
      <w:r>
        <w:t xml:space="preserve">noted. </w:t>
      </w:r>
      <w:bookmarkEnd w:id="8"/>
    </w:p>
    <w:p w14:paraId="79A45BB4" w14:textId="77777777" w:rsidR="007D3650" w:rsidRPr="000D76E0" w:rsidRDefault="005C2E34" w:rsidP="007D3650">
      <w:pPr>
        <w:pStyle w:val="Heading1"/>
      </w:pPr>
      <w:bookmarkStart w:id="9" w:name="_Toc483998555"/>
      <w:r>
        <w:lastRenderedPageBreak/>
        <w:t>3</w:t>
      </w:r>
      <w:r w:rsidR="00FE6882">
        <w:t>.</w:t>
      </w:r>
      <w:r w:rsidR="007D3650">
        <w:tab/>
        <w:t>3.6 GHz band</w:t>
      </w:r>
      <w:bookmarkEnd w:id="9"/>
    </w:p>
    <w:p w14:paraId="315F0107" w14:textId="77777777" w:rsidR="0048724F" w:rsidRDefault="0048724F" w:rsidP="0048724F">
      <w:pPr>
        <w:rPr>
          <w:rFonts w:cs="Arial"/>
          <w:szCs w:val="20"/>
          <w:lang w:val="en"/>
        </w:rPr>
      </w:pPr>
      <w:r>
        <w:rPr>
          <w:rFonts w:cs="Arial"/>
          <w:szCs w:val="20"/>
          <w:lang w:val="en"/>
        </w:rPr>
        <w:t xml:space="preserve">The October 2016 discussion paper </w:t>
      </w:r>
      <w:r w:rsidRPr="00296388">
        <w:t>provide</w:t>
      </w:r>
      <w:r>
        <w:t>d</w:t>
      </w:r>
      <w:r w:rsidRPr="00296388">
        <w:t xml:space="preserve"> an overview o</w:t>
      </w:r>
      <w:r>
        <w:t>f international arrangements and developments in</w:t>
      </w:r>
      <w:r w:rsidRPr="00296388">
        <w:t xml:space="preserve"> the </w:t>
      </w:r>
      <w:r>
        <w:t>3.6 GHz</w:t>
      </w:r>
      <w:r w:rsidRPr="00296388">
        <w:t xml:space="preserve"> band</w:t>
      </w:r>
      <w:r>
        <w:t xml:space="preserve">, </w:t>
      </w:r>
      <w:r w:rsidRPr="00296388">
        <w:t>an overview o</w:t>
      </w:r>
      <w:r>
        <w:t>f the current planning arrangements and use of the 3.6 GHz band within Australia, a presentation of the ACMA’s initial investigation of the 3.6 GHz band for use by MBB services</w:t>
      </w:r>
      <w:r w:rsidR="00FE6882">
        <w:t>,</w:t>
      </w:r>
      <w:r>
        <w:t xml:space="preserve"> and a preliminary assessment of the highest value use of the </w:t>
      </w:r>
      <w:r w:rsidR="00815AFD">
        <w:t>3.6</w:t>
      </w:r>
      <w:r>
        <w:t xml:space="preserve"> GHz band. </w:t>
      </w:r>
    </w:p>
    <w:p w14:paraId="24B72E1B" w14:textId="77777777" w:rsidR="00834021" w:rsidRDefault="00834021" w:rsidP="00834021">
      <w:pPr>
        <w:pStyle w:val="Heading2"/>
      </w:pPr>
      <w:bookmarkStart w:id="10" w:name="_Toc483998556"/>
      <w:r>
        <w:t>Current planning arrangements and use</w:t>
      </w:r>
      <w:bookmarkEnd w:id="10"/>
    </w:p>
    <w:p w14:paraId="22707D01" w14:textId="77777777" w:rsidR="00092376" w:rsidRPr="00092376" w:rsidRDefault="00092376" w:rsidP="00092376">
      <w:pPr>
        <w:rPr>
          <w:rFonts w:cs="Arial"/>
        </w:rPr>
      </w:pPr>
      <w:r w:rsidRPr="00092376">
        <w:t>Historically</w:t>
      </w:r>
      <w:r w:rsidRPr="00092376">
        <w:rPr>
          <w:rFonts w:cs="Arial"/>
        </w:rPr>
        <w:t xml:space="preserve">, the 3.6 GHz band has been used by the </w:t>
      </w:r>
      <w:r>
        <w:rPr>
          <w:rFonts w:cs="Arial"/>
        </w:rPr>
        <w:t>fixed-satellite service (</w:t>
      </w:r>
      <w:r w:rsidRPr="00092376">
        <w:rPr>
          <w:rFonts w:cs="Arial"/>
        </w:rPr>
        <w:t>FSS</w:t>
      </w:r>
      <w:r>
        <w:rPr>
          <w:rFonts w:cs="Arial"/>
        </w:rPr>
        <w:t>)</w:t>
      </w:r>
      <w:r w:rsidRPr="00092376">
        <w:rPr>
          <w:rFonts w:cs="Arial"/>
        </w:rPr>
        <w:t xml:space="preserve"> and point-to-point links. However, </w:t>
      </w:r>
      <w:r>
        <w:rPr>
          <w:rFonts w:cs="Arial"/>
        </w:rPr>
        <w:t xml:space="preserve">the band was made available in 2009 for point-to-multipoint </w:t>
      </w:r>
      <w:r>
        <w:t>applications</w:t>
      </w:r>
      <w:r w:rsidRPr="000F6577">
        <w:t xml:space="preserve"> </w:t>
      </w:r>
      <w:r>
        <w:t>in</w:t>
      </w:r>
      <w:r w:rsidRPr="000F6577">
        <w:t xml:space="preserve"> regional and remote areas. The band remains embargoed in </w:t>
      </w:r>
      <w:r>
        <w:t>c</w:t>
      </w:r>
      <w:r w:rsidRPr="000F6577">
        <w:t>a</w:t>
      </w:r>
      <w:r>
        <w:t>pital cities (excluding Hobart) for point-to-multipoint services</w:t>
      </w:r>
      <w:r w:rsidR="00FE6882">
        <w:t>,</w:t>
      </w:r>
      <w:r>
        <w:t xml:space="preserve"> and Australia-wide for all other services.</w:t>
      </w:r>
    </w:p>
    <w:p w14:paraId="507855DF" w14:textId="77777777" w:rsidR="00E70AC3" w:rsidRPr="00092376" w:rsidRDefault="00E70AC3" w:rsidP="00FE6882">
      <w:pPr>
        <w:spacing w:after="120"/>
        <w:rPr>
          <w:rFonts w:cs="Arial"/>
        </w:rPr>
      </w:pPr>
      <w:r>
        <w:t>In the October 2016 discussion paper, the following was asked:</w:t>
      </w:r>
    </w:p>
    <w:p w14:paraId="338322EE" w14:textId="77777777" w:rsidR="00834021" w:rsidRDefault="00834021" w:rsidP="004233C0">
      <w:pPr>
        <w:pStyle w:val="ListParagraph"/>
        <w:numPr>
          <w:ilvl w:val="0"/>
          <w:numId w:val="44"/>
        </w:numPr>
        <w:shd w:val="clear" w:color="auto" w:fill="F2F2F2" w:themeFill="background1" w:themeFillShade="F2"/>
        <w:ind w:left="567" w:hanging="567"/>
        <w:contextualSpacing w:val="0"/>
      </w:pPr>
      <w:r w:rsidRPr="006D6661">
        <w:rPr>
          <w:b/>
        </w:rPr>
        <w:t>The ACMA seeks comment on expected future use of the 3.6 GHz band by fixed, fixed</w:t>
      </w:r>
      <w:r>
        <w:rPr>
          <w:b/>
        </w:rPr>
        <w:t>-</w:t>
      </w:r>
      <w:r w:rsidRPr="006D6661">
        <w:rPr>
          <w:b/>
        </w:rPr>
        <w:t>satellite, amateur and radiolocation services in Australia.</w:t>
      </w:r>
    </w:p>
    <w:p w14:paraId="48DFD2E9" w14:textId="77777777" w:rsidR="00834021" w:rsidRDefault="00834021" w:rsidP="00834021">
      <w:pPr>
        <w:pStyle w:val="Heading3"/>
      </w:pPr>
      <w:r>
        <w:t>Summary of submissions</w:t>
      </w:r>
    </w:p>
    <w:p w14:paraId="4DAB154D" w14:textId="77777777" w:rsidR="00834021" w:rsidRDefault="009460C5" w:rsidP="00834021">
      <w:r>
        <w:t>S</w:t>
      </w:r>
      <w:r w:rsidR="00092376">
        <w:t xml:space="preserve">ubmissions </w:t>
      </w:r>
      <w:r>
        <w:t xml:space="preserve">from wireless internet service providers </w:t>
      </w:r>
      <w:r w:rsidR="003C02FF">
        <w:t xml:space="preserve">outlined the importance of ongoing access </w:t>
      </w:r>
      <w:r w:rsidR="00281F4D">
        <w:t xml:space="preserve">to </w:t>
      </w:r>
      <w:r w:rsidR="005112AD">
        <w:t>the band for the delivery of wireless broadband services (via point-to-multipoint licences)</w:t>
      </w:r>
      <w:r w:rsidR="003C02FF">
        <w:t xml:space="preserve"> in regional and remote areas</w:t>
      </w:r>
      <w:r w:rsidR="00FE6882">
        <w:t>,</w:t>
      </w:r>
      <w:r w:rsidR="00C4689F">
        <w:t xml:space="preserve"> and noted the significant investment made by small and medium</w:t>
      </w:r>
      <w:r w:rsidR="00FE6882">
        <w:t>-</w:t>
      </w:r>
      <w:r w:rsidR="00C4689F">
        <w:t>sized businesses since this spectrum was made available in 2009</w:t>
      </w:r>
      <w:r w:rsidR="003C02FF">
        <w:t xml:space="preserve">. </w:t>
      </w:r>
      <w:r w:rsidR="005112AD">
        <w:t xml:space="preserve">Existing point-to-multipoint licences are used to deliver a </w:t>
      </w:r>
      <w:r w:rsidR="003C02FF">
        <w:t>broad range of services</w:t>
      </w:r>
      <w:r w:rsidR="00FE6882">
        <w:t>,</w:t>
      </w:r>
      <w:r w:rsidR="003C02FF">
        <w:t xml:space="preserve"> including transport management, </w:t>
      </w:r>
      <w:r w:rsidR="009105D7">
        <w:t xml:space="preserve">and provision of </w:t>
      </w:r>
      <w:r w:rsidR="003C02FF">
        <w:t xml:space="preserve">mining, oil and gas, electricity and agricultural data. </w:t>
      </w:r>
      <w:r w:rsidR="00801917">
        <w:t>It was put forward that d</w:t>
      </w:r>
      <w:r w:rsidR="003C02FF">
        <w:t xml:space="preserve">emand for these tailored services </w:t>
      </w:r>
      <w:r w:rsidR="00A959BD">
        <w:t xml:space="preserve">is </w:t>
      </w:r>
      <w:r w:rsidR="003C02FF">
        <w:t>expected to grow</w:t>
      </w:r>
      <w:r w:rsidR="00C35F4E">
        <w:t xml:space="preserve"> and a number of submissions note</w:t>
      </w:r>
      <w:r w:rsidR="00E70AC3">
        <w:t>d</w:t>
      </w:r>
      <w:r w:rsidR="00C35F4E">
        <w:t xml:space="preserve"> that there are no </w:t>
      </w:r>
      <w:r w:rsidR="005112AD">
        <w:t xml:space="preserve">viable </w:t>
      </w:r>
      <w:r w:rsidR="00C35F4E">
        <w:t xml:space="preserve">alternatives </w:t>
      </w:r>
      <w:r w:rsidR="005112AD">
        <w:t xml:space="preserve">spectrum options </w:t>
      </w:r>
      <w:r w:rsidR="00C35F4E">
        <w:t>available for these services</w:t>
      </w:r>
      <w:r w:rsidR="005112AD">
        <w:t xml:space="preserve"> to migrate to</w:t>
      </w:r>
      <w:r w:rsidR="00C35F4E">
        <w:t xml:space="preserve">. </w:t>
      </w:r>
      <w:r w:rsidR="003C02FF">
        <w:t xml:space="preserve"> </w:t>
      </w:r>
    </w:p>
    <w:p w14:paraId="375D10F3" w14:textId="77777777" w:rsidR="006D5AED" w:rsidRDefault="00C80877" w:rsidP="006D5AED">
      <w:r>
        <w:t xml:space="preserve">FSS </w:t>
      </w:r>
      <w:r w:rsidR="005112AD">
        <w:t xml:space="preserve">Earth station </w:t>
      </w:r>
      <w:r>
        <w:t>operators noted that they require access to the 3.6 GHz band at existing sites into the future</w:t>
      </w:r>
      <w:r w:rsidR="00FE6882">
        <w:t>,</w:t>
      </w:r>
      <w:r>
        <w:t xml:space="preserve"> though there were differing views amongst incumbent users </w:t>
      </w:r>
      <w:r w:rsidR="00E01CC0">
        <w:t>as to whether</w:t>
      </w:r>
      <w:r>
        <w:t xml:space="preserve"> this requirement would grow, remain steady or decline. </w:t>
      </w:r>
      <w:r w:rsidR="009460C5">
        <w:t>S</w:t>
      </w:r>
      <w:r>
        <w:t xml:space="preserve">ubmissions </w:t>
      </w:r>
      <w:r w:rsidR="009460C5">
        <w:t xml:space="preserve">from the satellite industry </w:t>
      </w:r>
      <w:r>
        <w:t>outlined the importance of C-band for satellite operations due to the good connectivity it provides in areas of high rainfall</w:t>
      </w:r>
      <w:r w:rsidR="00113015">
        <w:t>,</w:t>
      </w:r>
      <w:r w:rsidR="0093752E">
        <w:t xml:space="preserve"> and global beams for large coverage areas</w:t>
      </w:r>
      <w:r>
        <w:t xml:space="preserve">. One </w:t>
      </w:r>
      <w:r w:rsidR="009460C5">
        <w:t xml:space="preserve">mobile manufacturer </w:t>
      </w:r>
      <w:r>
        <w:t>noted that the use of the 3.6 GHz band is declining</w:t>
      </w:r>
      <w:r w:rsidR="00113015">
        <w:t xml:space="preserve"> globally,</w:t>
      </w:r>
      <w:r>
        <w:t xml:space="preserve"> while </w:t>
      </w:r>
      <w:r w:rsidR="009460C5">
        <w:t>submissions from the satellite industry</w:t>
      </w:r>
      <w:r>
        <w:t xml:space="preserve"> </w:t>
      </w:r>
      <w:r w:rsidR="00113015">
        <w:t xml:space="preserve">argued </w:t>
      </w:r>
      <w:r>
        <w:t xml:space="preserve">that the embargoes in place across the 3.6 GHz band </w:t>
      </w:r>
      <w:r w:rsidR="00113015">
        <w:t>had</w:t>
      </w:r>
      <w:r>
        <w:t xml:space="preserve"> artificially supressed demand</w:t>
      </w:r>
      <w:r w:rsidR="00113015">
        <w:t>,</w:t>
      </w:r>
      <w:r>
        <w:t xml:space="preserve"> with the result that actual demand for satellite capacity in these bands is unknown. It </w:t>
      </w:r>
      <w:r w:rsidR="006D5AED">
        <w:t xml:space="preserve">was noted by </w:t>
      </w:r>
      <w:r w:rsidR="009460C5">
        <w:t xml:space="preserve">a number of telecommunications industry and satellite industry </w:t>
      </w:r>
      <w:r w:rsidR="006D5AED">
        <w:t>respondents that some FSS</w:t>
      </w:r>
      <w:r w:rsidR="005112AD">
        <w:t xml:space="preserve"> Earth station</w:t>
      </w:r>
      <w:r w:rsidR="006D5AED">
        <w:t xml:space="preserve"> facilities are located and positioned in such a way that it would appear to be possible to coordinate with them without a large degree of spectrum denial</w:t>
      </w:r>
      <w:r w:rsidR="00E70AC3">
        <w:t xml:space="preserve"> to other services</w:t>
      </w:r>
      <w:r w:rsidR="006D5AED">
        <w:t xml:space="preserve">. </w:t>
      </w:r>
    </w:p>
    <w:p w14:paraId="08601C4A" w14:textId="77777777" w:rsidR="00C80877" w:rsidRDefault="00C80877" w:rsidP="006D5AED">
      <w:r>
        <w:t>The Department of Defence noted that their requirement for access to the 3.6 GHz band is ongoing.</w:t>
      </w:r>
    </w:p>
    <w:p w14:paraId="6A29E679" w14:textId="77777777" w:rsidR="00834021" w:rsidRDefault="00834021" w:rsidP="00834021">
      <w:pPr>
        <w:pStyle w:val="Heading3"/>
      </w:pPr>
      <w:r>
        <w:t>ACMA response to submissions</w:t>
      </w:r>
    </w:p>
    <w:p w14:paraId="647B9482" w14:textId="77777777" w:rsidR="00121D8C" w:rsidRDefault="0093752E" w:rsidP="00121D8C">
      <w:r>
        <w:t>From the responses provided</w:t>
      </w:r>
      <w:r w:rsidR="00113015">
        <w:t>,</w:t>
      </w:r>
      <w:r>
        <w:t xml:space="preserve"> it appears that the summary of usage outlined in the October 2016 discussion paper provides an accurate account of the current status of the 3.6 GHz band</w:t>
      </w:r>
      <w:r w:rsidR="00A52221">
        <w:t xml:space="preserve"> in Australia</w:t>
      </w:r>
      <w:r>
        <w:t xml:space="preserve">. </w:t>
      </w:r>
      <w:r w:rsidR="00121D8C">
        <w:t>The value of the band to incumbent services and the limitation on alternative spectrum options are also noted.</w:t>
      </w:r>
    </w:p>
    <w:p w14:paraId="73FD3649" w14:textId="77777777" w:rsidR="00834021" w:rsidRDefault="00834021" w:rsidP="00834021">
      <w:pPr>
        <w:pStyle w:val="Heading2"/>
      </w:pPr>
      <w:bookmarkStart w:id="11" w:name="_Toc483998557"/>
      <w:r>
        <w:lastRenderedPageBreak/>
        <w:t>Potential spectrum options</w:t>
      </w:r>
      <w:bookmarkEnd w:id="11"/>
    </w:p>
    <w:p w14:paraId="54188069" w14:textId="650D7013" w:rsidR="00834021" w:rsidRPr="00D85F2E" w:rsidRDefault="00E01CC0" w:rsidP="00113015">
      <w:pPr>
        <w:spacing w:after="120"/>
      </w:pPr>
      <w:r>
        <w:t>In t</w:t>
      </w:r>
      <w:r w:rsidR="00B2430F">
        <w:t>he October 2016 discussion paper</w:t>
      </w:r>
      <w:r w:rsidR="00113015">
        <w:t>,</w:t>
      </w:r>
      <w:r w:rsidR="00B2430F">
        <w:t xml:space="preserve"> the ACMA postulated that the options for the 3575–3</w:t>
      </w:r>
      <w:r w:rsidR="00A52221">
        <w:t>7</w:t>
      </w:r>
      <w:r w:rsidR="00B2430F">
        <w:t>00 MHz frequency range</w:t>
      </w:r>
      <w:r w:rsidR="00113015">
        <w:t xml:space="preserve">, </w:t>
      </w:r>
      <w:r w:rsidR="00B2430F">
        <w:t>should it be re-farmed for MBB services</w:t>
      </w:r>
      <w:r w:rsidR="00113015">
        <w:t>,</w:t>
      </w:r>
      <w:r w:rsidR="00B2430F">
        <w:t xml:space="preserve"> are limited to </w:t>
      </w:r>
      <w:r w:rsidR="00113015">
        <w:t>time division duplex (</w:t>
      </w:r>
      <w:r w:rsidR="00B2430F">
        <w:t>TDD</w:t>
      </w:r>
      <w:r w:rsidR="00113015">
        <w:t>)</w:t>
      </w:r>
      <w:r w:rsidR="00B2430F">
        <w:t xml:space="preserve"> arrangements. It was noted that a possible advantage of TDD arrangements is the flexibility they provide in</w:t>
      </w:r>
      <w:r w:rsidR="00D848C5">
        <w:t xml:space="preserve"> the ACMA’s ability to</w:t>
      </w:r>
      <w:r w:rsidR="00B2430F">
        <w:t xml:space="preserve"> identify all or part of the 3.6 GHz band for MBB in different</w:t>
      </w:r>
      <w:r w:rsidR="00A52221">
        <w:t xml:space="preserve"> areas</w:t>
      </w:r>
      <w:r w:rsidR="00B2430F">
        <w:t>.</w:t>
      </w:r>
      <w:r w:rsidR="00E70AC3" w:rsidRPr="00E70AC3">
        <w:t xml:space="preserve"> </w:t>
      </w:r>
      <w:r w:rsidR="00121D8C">
        <w:t>T</w:t>
      </w:r>
      <w:r w:rsidR="00E70AC3">
        <w:t xml:space="preserve">he following questions were asked </w:t>
      </w:r>
      <w:r w:rsidR="00A22086">
        <w:t xml:space="preserve">in </w:t>
      </w:r>
      <w:r w:rsidR="00E70AC3">
        <w:t>relat</w:t>
      </w:r>
      <w:r w:rsidR="00A22086">
        <w:t>ion</w:t>
      </w:r>
      <w:r w:rsidR="00E70AC3">
        <w:t xml:space="preserve"> to this issue:</w:t>
      </w:r>
    </w:p>
    <w:p w14:paraId="4B031994" w14:textId="77777777" w:rsidR="00834021" w:rsidRPr="006D6661" w:rsidRDefault="00834021" w:rsidP="004233C0">
      <w:pPr>
        <w:pStyle w:val="ListParagraph"/>
        <w:numPr>
          <w:ilvl w:val="0"/>
          <w:numId w:val="44"/>
        </w:numPr>
        <w:shd w:val="clear" w:color="auto" w:fill="F2F2F2" w:themeFill="background1" w:themeFillShade="F2"/>
        <w:spacing w:after="0"/>
        <w:ind w:left="426" w:hanging="426"/>
        <w:contextualSpacing w:val="0"/>
        <w:rPr>
          <w:b/>
        </w:rPr>
      </w:pPr>
      <w:r w:rsidRPr="006D6661">
        <w:rPr>
          <w:b/>
        </w:rPr>
        <w:t>If the 3.6 GHz band is re-farmed for MBB services:</w:t>
      </w:r>
    </w:p>
    <w:p w14:paraId="50F93003" w14:textId="77777777" w:rsidR="00834021" w:rsidRPr="006D6661" w:rsidRDefault="00834021" w:rsidP="00834021">
      <w:pPr>
        <w:pStyle w:val="ListParagraph"/>
        <w:numPr>
          <w:ilvl w:val="0"/>
          <w:numId w:val="34"/>
        </w:numPr>
        <w:shd w:val="clear" w:color="auto" w:fill="F2F2F2" w:themeFill="background1" w:themeFillShade="F2"/>
        <w:spacing w:after="80"/>
        <w:contextualSpacing w:val="0"/>
        <w:rPr>
          <w:b/>
        </w:rPr>
      </w:pPr>
      <w:r w:rsidRPr="006D6661">
        <w:rPr>
          <w:b/>
        </w:rPr>
        <w:t>Do you agree that a time division duplex (TDD) arrangement should be adopted? Why/Why not?</w:t>
      </w:r>
    </w:p>
    <w:p w14:paraId="02B3B67D" w14:textId="77777777" w:rsidR="00834021" w:rsidRPr="006D6661" w:rsidRDefault="00834021" w:rsidP="00834021">
      <w:pPr>
        <w:pStyle w:val="ListParagraph"/>
        <w:numPr>
          <w:ilvl w:val="0"/>
          <w:numId w:val="34"/>
        </w:numPr>
        <w:shd w:val="clear" w:color="auto" w:fill="F2F2F2" w:themeFill="background1" w:themeFillShade="F2"/>
        <w:spacing w:after="80"/>
        <w:contextualSpacing w:val="0"/>
        <w:rPr>
          <w:b/>
        </w:rPr>
      </w:pPr>
      <w:r w:rsidRPr="006D6661">
        <w:rPr>
          <w:b/>
        </w:rPr>
        <w:t>Should all or only part of the band be considered for re-farming?</w:t>
      </w:r>
    </w:p>
    <w:p w14:paraId="436C9341" w14:textId="77777777" w:rsidR="00834021" w:rsidRPr="006D6661" w:rsidRDefault="00834021" w:rsidP="00834021">
      <w:pPr>
        <w:pStyle w:val="ListParagraph"/>
        <w:numPr>
          <w:ilvl w:val="0"/>
          <w:numId w:val="34"/>
        </w:numPr>
        <w:shd w:val="clear" w:color="auto" w:fill="F2F2F2" w:themeFill="background1" w:themeFillShade="F2"/>
        <w:contextualSpacing w:val="0"/>
        <w:rPr>
          <w:b/>
        </w:rPr>
      </w:pPr>
      <w:r w:rsidRPr="006D6661">
        <w:rPr>
          <w:b/>
        </w:rPr>
        <w:t>Should different amounts of spectrum be re-farmed in different areas?</w:t>
      </w:r>
    </w:p>
    <w:p w14:paraId="375A0726" w14:textId="77777777" w:rsidR="00834021" w:rsidRDefault="00834021" w:rsidP="00834021">
      <w:pPr>
        <w:pStyle w:val="Heading3"/>
      </w:pPr>
      <w:r>
        <w:t>Summary of submissions</w:t>
      </w:r>
    </w:p>
    <w:p w14:paraId="13D101D1" w14:textId="4F917686" w:rsidR="00B2430F" w:rsidRDefault="00B2430F" w:rsidP="00B2430F">
      <w:r>
        <w:t>The vast majority of respondents agreed that a TDD arrangement should be adopted in the 3.6 GHz band</w:t>
      </w:r>
      <w:r w:rsidR="00113015">
        <w:t>,</w:t>
      </w:r>
      <w:r>
        <w:t xml:space="preserve"> should it be re-farmed for MBB services. </w:t>
      </w:r>
      <w:r w:rsidR="00624602">
        <w:t>Wireless internet service providers</w:t>
      </w:r>
      <w:r>
        <w:t xml:space="preserve"> noted that fixed point-to-multipoint services currently using the band in regional and remote areas </w:t>
      </w:r>
      <w:r w:rsidR="00121D8C">
        <w:t>employ</w:t>
      </w:r>
      <w:r>
        <w:t xml:space="preserve"> TDD technology</w:t>
      </w:r>
      <w:r w:rsidR="00113015">
        <w:t>,</w:t>
      </w:r>
      <w:r>
        <w:t xml:space="preserve"> and this use could be expanded into metropolit</w:t>
      </w:r>
      <w:r w:rsidR="00CB7161">
        <w:t xml:space="preserve">an areas. </w:t>
      </w:r>
      <w:r>
        <w:t>Respondents</w:t>
      </w:r>
      <w:r w:rsidR="00624602">
        <w:t xml:space="preserve"> from the telecommunications industry, wireless internet service providers and mobile manufacturers</w:t>
      </w:r>
      <w:r>
        <w:t xml:space="preserve"> noted that TDD provides greater flexibility in licensing and use</w:t>
      </w:r>
      <w:r w:rsidR="00113015">
        <w:t>, as it does</w:t>
      </w:r>
      <w:r>
        <w:t xml:space="preserve"> not </w:t>
      </w:r>
      <w:r w:rsidR="00113015">
        <w:t xml:space="preserve">require </w:t>
      </w:r>
      <w:r>
        <w:t xml:space="preserve">paired spectrum, and also provides the opportunity for </w:t>
      </w:r>
      <w:r w:rsidR="00CC6248">
        <w:t xml:space="preserve">harmonisation with global </w:t>
      </w:r>
      <w:r w:rsidR="00A52221">
        <w:t xml:space="preserve">technology </w:t>
      </w:r>
      <w:r w:rsidR="00CC6248">
        <w:t>standards</w:t>
      </w:r>
      <w:r>
        <w:t>.</w:t>
      </w:r>
    </w:p>
    <w:p w14:paraId="543F6D91" w14:textId="77777777" w:rsidR="00B2430F" w:rsidRDefault="00B2430F" w:rsidP="00834021">
      <w:r>
        <w:t xml:space="preserve">One </w:t>
      </w:r>
      <w:r w:rsidR="00624602">
        <w:t>US-based wireless organisation</w:t>
      </w:r>
      <w:r w:rsidR="00E01CC0">
        <w:t xml:space="preserve"> advocating a flexible allocation approach</w:t>
      </w:r>
      <w:r>
        <w:t xml:space="preserve"> argued that the </w:t>
      </w:r>
      <w:r w:rsidRPr="00B2430F">
        <w:t>greatest spectrum efficiencies come from maximi</w:t>
      </w:r>
      <w:r>
        <w:t>s</w:t>
      </w:r>
      <w:r w:rsidRPr="00B2430F">
        <w:t>ing spectrum regulatory flexibility</w:t>
      </w:r>
      <w:r w:rsidR="00113015">
        <w:t>,</w:t>
      </w:r>
      <w:r w:rsidRPr="00B2430F">
        <w:t xml:space="preserve"> and thus neither </w:t>
      </w:r>
      <w:r w:rsidR="00531C78">
        <w:t>frequency division duplex (</w:t>
      </w:r>
      <w:r w:rsidRPr="00B2430F">
        <w:t>FDD</w:t>
      </w:r>
      <w:r w:rsidR="00531C78">
        <w:t>)</w:t>
      </w:r>
      <w:r w:rsidRPr="00B2430F">
        <w:t xml:space="preserve"> nor TDD should be expressly mandated.</w:t>
      </w:r>
    </w:p>
    <w:p w14:paraId="205B27D3" w14:textId="77777777" w:rsidR="00D705AC" w:rsidRDefault="00D705AC" w:rsidP="005B39E7">
      <w:pPr>
        <w:pStyle w:val="CommentText"/>
      </w:pPr>
      <w:r>
        <w:t xml:space="preserve">Responses to the questions about the amount of spectrum that should be considered for re-farming ranged from no spectrum to the full band. </w:t>
      </w:r>
      <w:r w:rsidR="003E4BF1">
        <w:t>Incumbent point-to-multipoint users argued that at least part of the band should be set</w:t>
      </w:r>
      <w:r w:rsidR="00113015">
        <w:t xml:space="preserve"> </w:t>
      </w:r>
      <w:r w:rsidR="003E4BF1">
        <w:t xml:space="preserve">aside for continued access for their services. A number of </w:t>
      </w:r>
      <w:r w:rsidR="005B39E7">
        <w:t xml:space="preserve">these </w:t>
      </w:r>
      <w:r w:rsidR="003E4BF1">
        <w:t>responses suggested 25 MHz be set</w:t>
      </w:r>
      <w:r w:rsidR="00113015">
        <w:t xml:space="preserve"> </w:t>
      </w:r>
      <w:r w:rsidR="003E4BF1">
        <w:t xml:space="preserve">aside for point-to-multipoint use </w:t>
      </w:r>
      <w:r>
        <w:t>and that this arrangement be extended into metrop</w:t>
      </w:r>
      <w:r w:rsidR="005B39E7">
        <w:t>olitan</w:t>
      </w:r>
      <w:r>
        <w:t xml:space="preserve"> areas</w:t>
      </w:r>
      <w:r w:rsidR="005B39E7">
        <w:t>.</w:t>
      </w:r>
    </w:p>
    <w:p w14:paraId="64137C74" w14:textId="77777777" w:rsidR="00CC6248" w:rsidRDefault="00CB7161" w:rsidP="00834021">
      <w:r>
        <w:t xml:space="preserve">However, respondents from the </w:t>
      </w:r>
      <w:r w:rsidR="008E7D5B">
        <w:t xml:space="preserve">telecommunications </w:t>
      </w:r>
      <w:r>
        <w:t xml:space="preserve">industry noted that the amount of spectrum made available needs to be maximised to </w:t>
      </w:r>
      <w:r w:rsidR="006E5ABE">
        <w:t xml:space="preserve">meet the requirement for wide bands of contiguous spectrum </w:t>
      </w:r>
      <w:r>
        <w:t xml:space="preserve">for 5G services. </w:t>
      </w:r>
    </w:p>
    <w:p w14:paraId="5A9A4DD3" w14:textId="77777777" w:rsidR="00CB7161" w:rsidRDefault="00CB7161" w:rsidP="00834021">
      <w:r>
        <w:t>Most respondents acknowledged the differing need for MBB spectrum across different areas</w:t>
      </w:r>
      <w:r w:rsidR="005B39E7">
        <w:t xml:space="preserve"> and that traditionally less spectrum </w:t>
      </w:r>
      <w:r w:rsidR="003F25C3">
        <w:t>is</w:t>
      </w:r>
      <w:r w:rsidR="005B39E7">
        <w:t xml:space="preserve"> required </w:t>
      </w:r>
      <w:r w:rsidR="003F25C3">
        <w:t>outside metropolitan areas</w:t>
      </w:r>
      <w:r>
        <w:t xml:space="preserve">. Those who supported </w:t>
      </w:r>
      <w:r w:rsidRPr="00F9704D">
        <w:t>re-farming</w:t>
      </w:r>
      <w:r w:rsidR="003F25C3">
        <w:t>, typically from the telecommunications industry,</w:t>
      </w:r>
      <w:r>
        <w:t xml:space="preserve"> noted that metropolitan and metropolitan fringe areas were the areas of greatest demand for MBB services. It was suggested</w:t>
      </w:r>
      <w:r w:rsidR="00A52221">
        <w:t xml:space="preserve"> by some </w:t>
      </w:r>
      <w:r>
        <w:t>that more spectrum could be re-farmed in these areas and less in regional and remote areas where it could continue being used for existing services.</w:t>
      </w:r>
      <w:r w:rsidR="006E5ABE">
        <w:t xml:space="preserve"> It was also suggested </w:t>
      </w:r>
      <w:r w:rsidR="003F25C3">
        <w:t xml:space="preserve">by both existing FSS users and aspirational future users </w:t>
      </w:r>
      <w:r w:rsidR="006E5ABE">
        <w:t xml:space="preserve">that existing FSS sites should be excised from any future re-farming activity. </w:t>
      </w:r>
      <w:r>
        <w:t xml:space="preserve">However, </w:t>
      </w:r>
      <w:r w:rsidR="003F25C3">
        <w:t xml:space="preserve">respondents particularly from the </w:t>
      </w:r>
      <w:r w:rsidR="0066228E">
        <w:t>telecommunications</w:t>
      </w:r>
      <w:r w:rsidR="003F25C3">
        <w:t xml:space="preserve"> industry, </w:t>
      </w:r>
      <w:r>
        <w:t xml:space="preserve">noted the importance of not fragmenting spectrum arrangements. </w:t>
      </w:r>
    </w:p>
    <w:p w14:paraId="6CA86FC4" w14:textId="77777777" w:rsidR="00834021" w:rsidRDefault="00834021" w:rsidP="00834021">
      <w:pPr>
        <w:pStyle w:val="Heading3"/>
      </w:pPr>
      <w:r>
        <w:t>ACMA response to submissions</w:t>
      </w:r>
    </w:p>
    <w:p w14:paraId="14D4A36C" w14:textId="77777777" w:rsidR="00834021" w:rsidRDefault="006E5ABE" w:rsidP="00834021">
      <w:r>
        <w:t xml:space="preserve">Submissions largely supported the proposal to adopt TDD arrangements should the 3.6 GHz band be re-farmed. Therefore, the ACMA will continue to assess </w:t>
      </w:r>
      <w:r w:rsidRPr="00F9704D">
        <w:t>replanning</w:t>
      </w:r>
      <w:r>
        <w:t xml:space="preserve"> options based on </w:t>
      </w:r>
      <w:r w:rsidR="00440DEB">
        <w:t xml:space="preserve">the use of </w:t>
      </w:r>
      <w:r w:rsidR="00A52221">
        <w:t xml:space="preserve">TDD </w:t>
      </w:r>
      <w:r w:rsidR="00440DEB">
        <w:t>in</w:t>
      </w:r>
      <w:r w:rsidR="00A52221">
        <w:t xml:space="preserve"> the band</w:t>
      </w:r>
      <w:r>
        <w:t>. The opportunity for</w:t>
      </w:r>
      <w:r w:rsidR="006E74C0">
        <w:t xml:space="preserve"> different arrangements across different </w:t>
      </w:r>
      <w:r>
        <w:t>geographic</w:t>
      </w:r>
      <w:r w:rsidR="006E74C0">
        <w:t xml:space="preserve"> areas and for setting aside spectrum for existing services should the band be re-farmed</w:t>
      </w:r>
      <w:r>
        <w:t xml:space="preserve"> will be further investigated as the </w:t>
      </w:r>
      <w:r>
        <w:lastRenderedPageBreak/>
        <w:t xml:space="preserve">ACMA’s process for the consideration of additional spectrum for MBB services in the 3.6 GHz band progresses. </w:t>
      </w:r>
    </w:p>
    <w:p w14:paraId="3C8E2B65" w14:textId="77777777" w:rsidR="00834021" w:rsidRDefault="00834021" w:rsidP="00834021">
      <w:pPr>
        <w:pStyle w:val="Heading2"/>
      </w:pPr>
      <w:bookmarkStart w:id="12" w:name="_Toc483998558"/>
      <w:r>
        <w:t>Potential geographic options</w:t>
      </w:r>
      <w:bookmarkEnd w:id="12"/>
    </w:p>
    <w:p w14:paraId="35238E45" w14:textId="1A7CC28E" w:rsidR="004233C0" w:rsidRDefault="00937060" w:rsidP="0033158C">
      <w:pPr>
        <w:rPr>
          <w:rFonts w:cs="Arial"/>
        </w:rPr>
      </w:pPr>
      <w:r>
        <w:t xml:space="preserve">The ACMA </w:t>
      </w:r>
      <w:r w:rsidR="00105C8A">
        <w:t xml:space="preserve">identified </w:t>
      </w:r>
      <w:r>
        <w:t xml:space="preserve">four geographical area options that could be considered for re-farming the 3.6 GHz band in the October 2016 discussion paper. These </w:t>
      </w:r>
      <w:r w:rsidR="00794402">
        <w:t xml:space="preserve">are </w:t>
      </w:r>
      <w:r>
        <w:t>Area 1 (</w:t>
      </w:r>
      <w:r w:rsidR="00121D8C">
        <w:t>major m</w:t>
      </w:r>
      <w:r>
        <w:t>etropolitan areas)</w:t>
      </w:r>
      <w:r w:rsidR="00794402">
        <w:t>, Area 2 (</w:t>
      </w:r>
      <w:r w:rsidR="00531C78">
        <w:t xml:space="preserve">Area 1 plus </w:t>
      </w:r>
      <w:r w:rsidR="00794402">
        <w:t xml:space="preserve">outer-metro and fringe areas described in </w:t>
      </w:r>
      <w:hyperlink r:id="rId33" w:history="1">
        <w:r w:rsidR="00794402" w:rsidRPr="002E7174">
          <w:rPr>
            <w:rStyle w:val="Hyperlink"/>
            <w:rFonts w:cs="Arial"/>
          </w:rPr>
          <w:t>Annex D of RALI MS39</w:t>
        </w:r>
      </w:hyperlink>
      <w:r w:rsidR="00794402">
        <w:t>), Area 3 (</w:t>
      </w:r>
      <w:r w:rsidR="00D848C5">
        <w:t xml:space="preserve">encompasses </w:t>
      </w:r>
      <w:r w:rsidR="00531C78">
        <w:t xml:space="preserve">Area 2 </w:t>
      </w:r>
      <w:r w:rsidR="00D848C5">
        <w:t>and relates to those metro and</w:t>
      </w:r>
      <w:r w:rsidR="00531C78">
        <w:t xml:space="preserve"> </w:t>
      </w:r>
      <w:r w:rsidR="00FA3A88">
        <w:t>r</w:t>
      </w:r>
      <w:r w:rsidR="00794402">
        <w:t xml:space="preserve">egional areas subject to spectrum licensing in the 3.4 GHz band and described in Schedule 2 of the </w:t>
      </w:r>
      <w:hyperlink r:id="rId34" w:history="1">
        <w:r w:rsidR="00794402" w:rsidRPr="00134BDA">
          <w:rPr>
            <w:rStyle w:val="Hyperlink"/>
            <w:szCs w:val="20"/>
          </w:rPr>
          <w:t>Radiocommunications</w:t>
        </w:r>
        <w:r w:rsidR="00794402">
          <w:rPr>
            <w:rStyle w:val="Hyperlink"/>
            <w:szCs w:val="20"/>
          </w:rPr>
          <w:t xml:space="preserve"> </w:t>
        </w:r>
        <w:r w:rsidR="00794402" w:rsidRPr="00134BDA">
          <w:rPr>
            <w:rStyle w:val="Hyperlink"/>
            <w:szCs w:val="20"/>
          </w:rPr>
          <w:t>(Spectrum Re-allocation)</w:t>
        </w:r>
        <w:r w:rsidR="00794402">
          <w:rPr>
            <w:rStyle w:val="Hyperlink"/>
            <w:szCs w:val="20"/>
          </w:rPr>
          <w:t xml:space="preserve"> </w:t>
        </w:r>
        <w:r w:rsidR="00794402" w:rsidRPr="00134BDA">
          <w:rPr>
            <w:rStyle w:val="Hyperlink"/>
            <w:szCs w:val="20"/>
          </w:rPr>
          <w:t>Declaration</w:t>
        </w:r>
        <w:r w:rsidR="00794402">
          <w:rPr>
            <w:rStyle w:val="Hyperlink"/>
            <w:szCs w:val="20"/>
          </w:rPr>
          <w:t xml:space="preserve"> </w:t>
        </w:r>
        <w:r w:rsidR="00794402" w:rsidRPr="00134BDA">
          <w:rPr>
            <w:rStyle w:val="Hyperlink"/>
            <w:szCs w:val="20"/>
          </w:rPr>
          <w:t>2000</w:t>
        </w:r>
      </w:hyperlink>
      <w:r w:rsidR="00794402">
        <w:t>)</w:t>
      </w:r>
      <w:r w:rsidR="00FA3A88">
        <w:t>,</w:t>
      </w:r>
      <w:r w:rsidR="00794402">
        <w:t xml:space="preserve"> and a fourth option covering all of Australia. </w:t>
      </w:r>
      <w:r w:rsidR="0033158C">
        <w:t xml:space="preserve">A detailed description of these geographical areas is available in Appendix 6 to the Options paper. </w:t>
      </w:r>
    </w:p>
    <w:p w14:paraId="3015B8F8" w14:textId="77777777" w:rsidR="004233C0" w:rsidRDefault="00440DEB" w:rsidP="00FA3A88">
      <w:pPr>
        <w:spacing w:after="120"/>
      </w:pPr>
      <w:r>
        <w:t>In the October 2016 discussion paper, the following question related to this issue:</w:t>
      </w:r>
    </w:p>
    <w:p w14:paraId="4C65DC02" w14:textId="77777777" w:rsidR="00834021" w:rsidRDefault="00834021" w:rsidP="004233C0">
      <w:pPr>
        <w:pStyle w:val="ListParagraph"/>
        <w:numPr>
          <w:ilvl w:val="0"/>
          <w:numId w:val="44"/>
        </w:numPr>
        <w:shd w:val="clear" w:color="auto" w:fill="F2F2F2" w:themeFill="background1" w:themeFillShade="F2"/>
        <w:ind w:left="426" w:hanging="426"/>
        <w:contextualSpacing w:val="0"/>
      </w:pPr>
      <w:r w:rsidRPr="006D6661">
        <w:rPr>
          <w:b/>
        </w:rPr>
        <w:t>If the 3.6 GHz band is re-farmed for MBB services, what geographical areas should be considered?</w:t>
      </w:r>
    </w:p>
    <w:p w14:paraId="7AB6115D" w14:textId="77777777" w:rsidR="00834021" w:rsidRDefault="00834021" w:rsidP="00834021">
      <w:pPr>
        <w:pStyle w:val="Heading3"/>
      </w:pPr>
      <w:r>
        <w:t>Summary of submissions</w:t>
      </w:r>
    </w:p>
    <w:p w14:paraId="35C5186B" w14:textId="77777777" w:rsidR="004233C0" w:rsidRDefault="00121D8C" w:rsidP="00834021">
      <w:r>
        <w:t>A number of</w:t>
      </w:r>
      <w:r w:rsidR="006B288F">
        <w:t xml:space="preserve"> respondents, mainly incumbent point-to-multipoint users, expressed a preference to limit re-farming to metropolitan areas currently identified in </w:t>
      </w:r>
      <w:r w:rsidR="00105C8A">
        <w:t>E</w:t>
      </w:r>
      <w:r w:rsidR="006B288F">
        <w:t xml:space="preserve">mbargo 42 </w:t>
      </w:r>
      <w:r w:rsidR="00992EB1">
        <w:t xml:space="preserve">(Area 1) </w:t>
      </w:r>
      <w:r w:rsidR="006B288F">
        <w:t xml:space="preserve">in order to limit any disruption to existing services. </w:t>
      </w:r>
      <w:r w:rsidR="007F5988">
        <w:t>A number of</w:t>
      </w:r>
      <w:r w:rsidR="00992EB1">
        <w:t xml:space="preserve"> </w:t>
      </w:r>
      <w:r w:rsidR="007F5988">
        <w:t>wireless internet service providers and supporters</w:t>
      </w:r>
      <w:r w:rsidR="00992EB1">
        <w:t xml:space="preserve"> suggested the expansion of arrangements currently in place in regional and remote areas into metropolitan areas.</w:t>
      </w:r>
    </w:p>
    <w:p w14:paraId="65468F9E" w14:textId="77777777" w:rsidR="00992EB1" w:rsidRDefault="007F5988" w:rsidP="00834021">
      <w:r>
        <w:t>S</w:t>
      </w:r>
      <w:r w:rsidR="00992EB1">
        <w:t xml:space="preserve">atellite industry respondents suggested that any re-farming should ensure protection of existing </w:t>
      </w:r>
      <w:r w:rsidR="00121D8C">
        <w:t xml:space="preserve">3.6 GHz band </w:t>
      </w:r>
      <w:r w:rsidR="00992EB1">
        <w:t>FSS operations in Sydney and Perth</w:t>
      </w:r>
      <w:r w:rsidR="00FA3A88">
        <w:t>,</w:t>
      </w:r>
      <w:r w:rsidR="00992EB1">
        <w:t xml:space="preserve"> as well as adjacent band FSS services in the 3.7</w:t>
      </w:r>
      <w:r w:rsidR="00FA3A88">
        <w:t>–</w:t>
      </w:r>
      <w:r w:rsidR="00992EB1">
        <w:t>4.2 GHz band.</w:t>
      </w:r>
      <w:r w:rsidR="00190645">
        <w:t xml:space="preserve"> It was noted that several studies, including those conducted by the ITU-R, have shown that sharing between MBB and FSS services in the 3.6 GHz band is not feasible in the same geographic area.</w:t>
      </w:r>
      <w:r w:rsidR="00992EB1">
        <w:t xml:space="preserve"> </w:t>
      </w:r>
      <w:r w:rsidR="00190645">
        <w:t xml:space="preserve">One </w:t>
      </w:r>
      <w:r>
        <w:t xml:space="preserve">satellite industry </w:t>
      </w:r>
      <w:r w:rsidR="00190645">
        <w:t>respondent noted g</w:t>
      </w:r>
      <w:r w:rsidR="00992EB1" w:rsidRPr="00992EB1">
        <w:t xml:space="preserve">eographic </w:t>
      </w:r>
      <w:r w:rsidR="00190645" w:rsidRPr="00992EB1">
        <w:t>separation</w:t>
      </w:r>
      <w:r w:rsidR="00992EB1" w:rsidRPr="00992EB1">
        <w:t xml:space="preserve"> of </w:t>
      </w:r>
      <w:r w:rsidR="00190645" w:rsidRPr="00992EB1">
        <w:t>several</w:t>
      </w:r>
      <w:r w:rsidR="00992EB1" w:rsidRPr="00992EB1">
        <w:t xml:space="preserve"> kilometres</w:t>
      </w:r>
      <w:r w:rsidR="00FA3A88">
        <w:t>,</w:t>
      </w:r>
      <w:r w:rsidR="00992EB1" w:rsidRPr="00992EB1">
        <w:t xml:space="preserve"> </w:t>
      </w:r>
      <w:r w:rsidR="00190645">
        <w:t xml:space="preserve">and </w:t>
      </w:r>
      <w:r w:rsidR="00992EB1" w:rsidRPr="00992EB1">
        <w:t xml:space="preserve">up to tens of kilometres will be required to protect C-band </w:t>
      </w:r>
      <w:r w:rsidR="00FA3A88">
        <w:t>E</w:t>
      </w:r>
      <w:r w:rsidR="00992EB1" w:rsidRPr="00992EB1">
        <w:t xml:space="preserve">arth </w:t>
      </w:r>
      <w:r w:rsidR="00190645">
        <w:t xml:space="preserve">receive </w:t>
      </w:r>
      <w:r w:rsidR="00992EB1" w:rsidRPr="00992EB1">
        <w:t>stations in the adjacent band.</w:t>
      </w:r>
    </w:p>
    <w:p w14:paraId="5F009CED" w14:textId="77777777" w:rsidR="00992EB1" w:rsidRDefault="00992EB1" w:rsidP="00834021">
      <w:r>
        <w:t>Re-farming of Area</w:t>
      </w:r>
      <w:r w:rsidR="008E7D5B">
        <w:t>s</w:t>
      </w:r>
      <w:r>
        <w:t xml:space="preserve"> 2 </w:t>
      </w:r>
      <w:r w:rsidR="008E7D5B">
        <w:t xml:space="preserve">and 3 </w:t>
      </w:r>
      <w:r>
        <w:t>was supported by a number of respondents</w:t>
      </w:r>
      <w:r w:rsidR="00FA3A88">
        <w:t>,</w:t>
      </w:r>
      <w:r w:rsidR="007F5988">
        <w:t xml:space="preserve"> including some from the telecommunications industry</w:t>
      </w:r>
      <w:r>
        <w:t xml:space="preserve">. Some </w:t>
      </w:r>
      <w:r w:rsidR="007F5988">
        <w:t xml:space="preserve">of these submissions </w:t>
      </w:r>
      <w:r>
        <w:t>suggested that a staged approach be developed</w:t>
      </w:r>
      <w:r w:rsidR="00FA3A88">
        <w:t>,</w:t>
      </w:r>
      <w:r>
        <w:t xml:space="preserve"> where Area 1 was made available as a priority with suitable coordination mechanisms put in place</w:t>
      </w:r>
      <w:r w:rsidR="00121D8C">
        <w:t xml:space="preserve"> to support </w:t>
      </w:r>
      <w:r>
        <w:t>longer transition timeframes of incumbent services in Area 2 and Area 3.</w:t>
      </w:r>
    </w:p>
    <w:p w14:paraId="35912BF5" w14:textId="3F408D30" w:rsidR="004233C0" w:rsidRDefault="004233C0" w:rsidP="00834021">
      <w:r>
        <w:t>A number of respondents noted a preference for the implementation of uniform arrangements Australia-wide</w:t>
      </w:r>
      <w:r w:rsidR="00992EB1">
        <w:t>, either from the outset or as part of a staged approach</w:t>
      </w:r>
      <w:r w:rsidR="00FA3A88">
        <w:t>,</w:t>
      </w:r>
      <w:r w:rsidR="008E378E">
        <w:t xml:space="preserve"> but differed in opinion as to what arrangements should apply across the country</w:t>
      </w:r>
      <w:r>
        <w:t xml:space="preserve">. </w:t>
      </w:r>
      <w:r w:rsidR="00531C78">
        <w:t>Some r</w:t>
      </w:r>
      <w:r w:rsidR="00124902">
        <w:t>espondents</w:t>
      </w:r>
      <w:r w:rsidR="006E74C0">
        <w:t xml:space="preserve"> from the telecommunications industry argued </w:t>
      </w:r>
      <w:r w:rsidR="008E378E">
        <w:t>for uniform area-wide licensing arrangements</w:t>
      </w:r>
      <w:r w:rsidR="00FA3A88">
        <w:t xml:space="preserve">, as </w:t>
      </w:r>
      <w:r>
        <w:t>this w</w:t>
      </w:r>
      <w:r w:rsidR="006E74C0">
        <w:t>ould</w:t>
      </w:r>
      <w:r>
        <w:t xml:space="preserve"> ensure a broadly available and scalable MBB service</w:t>
      </w:r>
      <w:r w:rsidR="00992EB1">
        <w:t xml:space="preserve">, especially given the 3.6 GHz band is touted as the </w:t>
      </w:r>
      <w:r w:rsidR="00FA3A88">
        <w:t>‘</w:t>
      </w:r>
      <w:r w:rsidR="00992EB1">
        <w:t>coverage</w:t>
      </w:r>
      <w:r w:rsidR="00FA3A88">
        <w:t>’</w:t>
      </w:r>
      <w:r w:rsidR="00992EB1">
        <w:t xml:space="preserve"> band for 5G</w:t>
      </w:r>
      <w:r w:rsidR="00FA3A88">
        <w:t>;</w:t>
      </w:r>
      <w:r>
        <w:t xml:space="preserve"> whereas </w:t>
      </w:r>
      <w:r w:rsidR="00124902">
        <w:t>incumbent point-to-multipoint operators</w:t>
      </w:r>
      <w:r>
        <w:t xml:space="preserve"> argued that current point-to-multipoint arrangements should be expanded Australia-wide. </w:t>
      </w:r>
    </w:p>
    <w:p w14:paraId="1D501326" w14:textId="77777777" w:rsidR="00834021" w:rsidRDefault="00992EB1" w:rsidP="00834021">
      <w:r>
        <w:t xml:space="preserve">Defining large enough geographical areas was noted in a number of submissions as being very important for the meaningful </w:t>
      </w:r>
      <w:r w:rsidR="00121D8C">
        <w:t xml:space="preserve">deployment of area-wide TDD MBB </w:t>
      </w:r>
      <w:r>
        <w:t>services</w:t>
      </w:r>
      <w:r w:rsidR="007F5988">
        <w:t xml:space="preserve">. </w:t>
      </w:r>
      <w:r w:rsidR="004233C0">
        <w:t xml:space="preserve">Some argued that </w:t>
      </w:r>
      <w:r w:rsidR="004233C0" w:rsidRPr="004233C0">
        <w:t>greater spectrum efficiencies result from not introducing artificial boundaries</w:t>
      </w:r>
      <w:r w:rsidR="004233C0">
        <w:t xml:space="preserve"> and therefore</w:t>
      </w:r>
      <w:r w:rsidR="004233C0" w:rsidRPr="004233C0">
        <w:t xml:space="preserve"> larger areas should be considered. </w:t>
      </w:r>
      <w:r w:rsidR="00DA3F0C">
        <w:t xml:space="preserve">A number of </w:t>
      </w:r>
      <w:r w:rsidR="006B288F">
        <w:t>respondents</w:t>
      </w:r>
      <w:r w:rsidR="00DA3F0C">
        <w:t xml:space="preserve"> referenced the </w:t>
      </w:r>
      <w:r w:rsidR="00FA3A88">
        <w:t>US</w:t>
      </w:r>
      <w:r w:rsidR="00DA3F0C">
        <w:t xml:space="preserve"> </w:t>
      </w:r>
      <w:r w:rsidR="0063478C">
        <w:t xml:space="preserve">Citizen Band </w:t>
      </w:r>
      <w:r w:rsidR="006B288F">
        <w:t xml:space="preserve">Radio Service (CBRS) model as a model that should be implemented in Australia. </w:t>
      </w:r>
      <w:r w:rsidR="008E378E">
        <w:t xml:space="preserve">These arrangements define a three-tiered spectrum authorisation framework to support shared access to the 3550–3700 MHz </w:t>
      </w:r>
      <w:r w:rsidR="008E378E">
        <w:lastRenderedPageBreak/>
        <w:t>frequency range by a variety of services, including radiolocation, FSS and wireless broadband systems</w:t>
      </w:r>
      <w:r w:rsidR="00FA3A88">
        <w:t>.</w:t>
      </w:r>
      <w:r w:rsidR="008E378E">
        <w:rPr>
          <w:rStyle w:val="FootnoteReference"/>
        </w:rPr>
        <w:footnoteReference w:id="2"/>
      </w:r>
    </w:p>
    <w:p w14:paraId="23FB54AD" w14:textId="77777777" w:rsidR="00834021" w:rsidRDefault="00834021" w:rsidP="00834021">
      <w:pPr>
        <w:pStyle w:val="Heading3"/>
      </w:pPr>
      <w:r>
        <w:t>ACMA response to submissions</w:t>
      </w:r>
    </w:p>
    <w:p w14:paraId="7BEC2957" w14:textId="77777777" w:rsidR="00834021" w:rsidRDefault="001117CF" w:rsidP="00834021">
      <w:r>
        <w:t xml:space="preserve">Submissions highlighted the complexity of the different geographic re-farming options in the 3.6 GHz band. These issues are further discussed and expanded </w:t>
      </w:r>
      <w:r w:rsidR="0066228E">
        <w:t xml:space="preserve">as part of </w:t>
      </w:r>
      <w:r>
        <w:t xml:space="preserve">the consideration of options for the future use of the 3.6 GHz band in the Options paper.  </w:t>
      </w:r>
    </w:p>
    <w:p w14:paraId="2DFAED29" w14:textId="77777777" w:rsidR="00390762" w:rsidRPr="00A81803" w:rsidRDefault="00390762" w:rsidP="00390762">
      <w:pPr>
        <w:pStyle w:val="Heading2"/>
      </w:pPr>
      <w:bookmarkStart w:id="13" w:name="_Toc483998559"/>
      <w:r w:rsidRPr="00A81803">
        <w:t>Coexistence and sharing with incumbent services</w:t>
      </w:r>
      <w:bookmarkEnd w:id="13"/>
    </w:p>
    <w:p w14:paraId="0E690FCB" w14:textId="77777777" w:rsidR="00834021" w:rsidRDefault="00D57815" w:rsidP="00FA3A88">
      <w:pPr>
        <w:spacing w:after="120"/>
      </w:pPr>
      <w:r>
        <w:t xml:space="preserve">It was recognised in the October 2016 </w:t>
      </w:r>
      <w:r w:rsidR="00413408">
        <w:t xml:space="preserve">discussion </w:t>
      </w:r>
      <w:r>
        <w:t xml:space="preserve">paper that there will likely be demand for numerous incumbent services to continue operating in the 3.6 GHz band in the future. A number of different sharing options were canvassed in the </w:t>
      </w:r>
      <w:r w:rsidR="00413408">
        <w:t xml:space="preserve">October 2016 discussion </w:t>
      </w:r>
      <w:r>
        <w:t>paper</w:t>
      </w:r>
      <w:r w:rsidR="00413408">
        <w:t>:</w:t>
      </w:r>
    </w:p>
    <w:p w14:paraId="6F8FA6AD" w14:textId="77777777" w:rsidR="00303282" w:rsidRPr="006D6661" w:rsidRDefault="00303282" w:rsidP="00FA3A88">
      <w:pPr>
        <w:pStyle w:val="ListParagraph"/>
        <w:numPr>
          <w:ilvl w:val="0"/>
          <w:numId w:val="44"/>
        </w:numPr>
        <w:shd w:val="clear" w:color="auto" w:fill="F2F2F2" w:themeFill="background1" w:themeFillShade="F2"/>
        <w:spacing w:after="120"/>
        <w:ind w:left="426" w:hanging="426"/>
        <w:contextualSpacing w:val="0"/>
        <w:rPr>
          <w:b/>
        </w:rPr>
      </w:pPr>
      <w:r w:rsidRPr="006D6661">
        <w:rPr>
          <w:b/>
        </w:rPr>
        <w:t>If the 3.6 GHz band is re-farmed for MBB services, should existing users (some or all) be allowed to continue operation within the band either temporarily or on an ongoing basis? Should/could sharing arrangements be developed? Should sharing only be considered for some services or specific licences? If yes, what kind of arrangements would be suitable to support the ongoing operation of incumbent services or specific licences? If no, why?</w:t>
      </w:r>
    </w:p>
    <w:p w14:paraId="74FA2312" w14:textId="77777777" w:rsidR="00303282" w:rsidRDefault="00303282" w:rsidP="004233C0">
      <w:pPr>
        <w:pStyle w:val="ListParagraph"/>
        <w:numPr>
          <w:ilvl w:val="0"/>
          <w:numId w:val="44"/>
        </w:numPr>
        <w:shd w:val="clear" w:color="auto" w:fill="F2F2F2" w:themeFill="background1" w:themeFillShade="F2"/>
        <w:ind w:left="426" w:hanging="426"/>
        <w:contextualSpacing w:val="0"/>
      </w:pPr>
      <w:r w:rsidRPr="006D6661">
        <w:rPr>
          <w:b/>
        </w:rPr>
        <w:t>If the 3.6 GHz band is re-farmed for MBB services, and migration of incumbent services is required, are there alternative spectrum or delivery options?</w:t>
      </w:r>
    </w:p>
    <w:p w14:paraId="3B205CDB" w14:textId="77777777" w:rsidR="00834021" w:rsidRDefault="00834021" w:rsidP="00834021">
      <w:pPr>
        <w:pStyle w:val="Heading3"/>
      </w:pPr>
      <w:r>
        <w:t>Summary of submissions</w:t>
      </w:r>
    </w:p>
    <w:p w14:paraId="63970603" w14:textId="77777777" w:rsidR="00834021" w:rsidRDefault="00D57815" w:rsidP="00834021">
      <w:r>
        <w:t>Incumbent users of the band expressed a requirement to continue operation within the 3.6 GHz band on an ongoing basis.</w:t>
      </w:r>
      <w:r w:rsidR="002D234E">
        <w:t xml:space="preserve"> Point-to-multipoint users noted that arrangements for access to spectrum had only been in place since </w:t>
      </w:r>
      <w:r w:rsidR="00735103">
        <w:t xml:space="preserve">2009 </w:t>
      </w:r>
      <w:r w:rsidR="00121D8C">
        <w:t xml:space="preserve">and </w:t>
      </w:r>
      <w:r w:rsidR="0066228E">
        <w:t xml:space="preserve">highlighted </w:t>
      </w:r>
      <w:r w:rsidR="00121D8C">
        <w:t xml:space="preserve">a lack of alternative spectrum options. FSS </w:t>
      </w:r>
      <w:r w:rsidR="00D239DB">
        <w:t>E</w:t>
      </w:r>
      <w:r w:rsidR="00121D8C">
        <w:t>arth receive licensees outlined the significant investment in curren</w:t>
      </w:r>
      <w:r w:rsidR="00121D8C" w:rsidRPr="00C70215">
        <w:t xml:space="preserve">t </w:t>
      </w:r>
      <w:r w:rsidR="00D239DB" w:rsidRPr="00C70215">
        <w:t>E</w:t>
      </w:r>
      <w:r w:rsidR="00121D8C" w:rsidRPr="00C70215">
        <w:t>arth</w:t>
      </w:r>
      <w:r w:rsidR="00121D8C">
        <w:t xml:space="preserve"> station facilities and significant expense associated with the geographic relocation of this services.</w:t>
      </w:r>
    </w:p>
    <w:p w14:paraId="33CE93BB" w14:textId="77777777" w:rsidR="00D57815" w:rsidRDefault="002D234E" w:rsidP="00DA2145">
      <w:r>
        <w:t>Most respondents agreed that sharing arrangements should be developed. However, opinions varied over whether the arrangements should be long</w:t>
      </w:r>
      <w:r w:rsidR="00D239DB">
        <w:t xml:space="preserve"> </w:t>
      </w:r>
      <w:r>
        <w:t>term or short</w:t>
      </w:r>
      <w:r w:rsidR="00D239DB">
        <w:t xml:space="preserve"> </w:t>
      </w:r>
      <w:r>
        <w:t xml:space="preserve">term. </w:t>
      </w:r>
      <w:r w:rsidR="00DA2145">
        <w:t xml:space="preserve">It was noted that sharing studies using characteristics of 5G systems would need to be conducted to determine the technical parameters for sharing with incumbent services.  </w:t>
      </w:r>
      <w:r w:rsidR="00D57815">
        <w:t xml:space="preserve">The US CBRS model </w:t>
      </w:r>
      <w:r w:rsidR="00745A19">
        <w:t>was</w:t>
      </w:r>
      <w:r w:rsidR="00D57815">
        <w:t xml:space="preserve"> touted as a potential solution to allow ongoing access of </w:t>
      </w:r>
      <w:r w:rsidR="009E52E6">
        <w:t>the band by incumbent services, particularly point-to-multipoint licences</w:t>
      </w:r>
      <w:r w:rsidR="00D57815">
        <w:t xml:space="preserve">. </w:t>
      </w:r>
      <w:r w:rsidR="00421D0B">
        <w:t xml:space="preserve">Some </w:t>
      </w:r>
      <w:r w:rsidR="002132DA">
        <w:t xml:space="preserve">respondents, particularly wireless internet service providers, </w:t>
      </w:r>
      <w:r w:rsidR="00421D0B">
        <w:t xml:space="preserve">advocated a </w:t>
      </w:r>
      <w:r w:rsidR="00D239DB">
        <w:t>‘</w:t>
      </w:r>
      <w:r w:rsidR="00421D0B">
        <w:t>use it or share it</w:t>
      </w:r>
      <w:r w:rsidR="00D239DB">
        <w:t>’</w:t>
      </w:r>
      <w:r w:rsidR="00421D0B">
        <w:t xml:space="preserve"> arrangement. </w:t>
      </w:r>
      <w:r w:rsidR="00DA2145">
        <w:t xml:space="preserve">Some </w:t>
      </w:r>
      <w:r w:rsidR="00745A19">
        <w:t>MBB operators suggested the 3.6 GHz band could be sold via auction</w:t>
      </w:r>
      <w:r w:rsidR="00D239DB">
        <w:t>,</w:t>
      </w:r>
      <w:r w:rsidR="00745A19">
        <w:t xml:space="preserve"> with incumbent operators in place and commercial arrangements made to facilitate clearance.  </w:t>
      </w:r>
    </w:p>
    <w:p w14:paraId="17064354" w14:textId="77777777" w:rsidR="00C82C42" w:rsidRDefault="00C82C42" w:rsidP="00834021">
      <w:r>
        <w:t xml:space="preserve">Some users and customers of point-to-multipoint services described a lack of alternative delivery options if the 3.6 GHz band is re-farmed. </w:t>
      </w:r>
      <w:r w:rsidR="009E52E6">
        <w:t xml:space="preserve">They advised that only satellite rather than terrestrial broadband services are available as an alternative in many </w:t>
      </w:r>
      <w:r w:rsidR="00745A19">
        <w:t>areas</w:t>
      </w:r>
      <w:r w:rsidR="00D239DB">
        <w:t>,</w:t>
      </w:r>
      <w:r>
        <w:t xml:space="preserve"> which they contend is </w:t>
      </w:r>
      <w:r w:rsidR="00745A19">
        <w:t>insufficient for</w:t>
      </w:r>
      <w:r>
        <w:t xml:space="preserve"> their requirements. </w:t>
      </w:r>
    </w:p>
    <w:p w14:paraId="6651B18C" w14:textId="77777777" w:rsidR="00C82C42" w:rsidRDefault="00E731A6" w:rsidP="00834021">
      <w:r>
        <w:t>While some alternative spectrum</w:t>
      </w:r>
      <w:r w:rsidR="00C82C42">
        <w:t xml:space="preserve"> options </w:t>
      </w:r>
      <w:r>
        <w:t xml:space="preserve">were suggested </w:t>
      </w:r>
      <w:r w:rsidR="00C82C42">
        <w:t xml:space="preserve">for point-to-multipoint services, it was noted </w:t>
      </w:r>
      <w:r>
        <w:t>that these options were largely complement</w:t>
      </w:r>
      <w:r w:rsidR="00D239DB">
        <w:t xml:space="preserve">ary, </w:t>
      </w:r>
      <w:r>
        <w:t xml:space="preserve">rather than alternatives to the 3.6 GHz band. Point-to-multipoint equipment providers and </w:t>
      </w:r>
      <w:r>
        <w:lastRenderedPageBreak/>
        <w:t>operators noted that</w:t>
      </w:r>
      <w:r w:rsidR="00C82C42">
        <w:t xml:space="preserve"> most equipment operates </w:t>
      </w:r>
      <w:r w:rsidR="00745A19">
        <w:t>in the frequency range</w:t>
      </w:r>
      <w:r w:rsidR="00C82C42">
        <w:t xml:space="preserve"> 3.55 GHz to 3.8</w:t>
      </w:r>
      <w:r w:rsidR="00745A19">
        <w:t> </w:t>
      </w:r>
      <w:r w:rsidR="00C82C42">
        <w:t xml:space="preserve">GHz </w:t>
      </w:r>
      <w:r>
        <w:t>or even 3.3 </w:t>
      </w:r>
      <w:r w:rsidR="00C82C42">
        <w:t xml:space="preserve">GHz to 3.9 GHz for newer equipment. Therefore, migration to </w:t>
      </w:r>
      <w:r w:rsidR="009E52E6">
        <w:t xml:space="preserve">spectrum </w:t>
      </w:r>
      <w:r w:rsidR="00C82C42">
        <w:t xml:space="preserve">above 3.7 GHz or below 3.4 GHz </w:t>
      </w:r>
      <w:r w:rsidR="009E52E6">
        <w:t xml:space="preserve">could be an </w:t>
      </w:r>
      <w:r w:rsidR="00C82C42">
        <w:t xml:space="preserve">option in some cases. </w:t>
      </w:r>
      <w:r w:rsidR="00D333B0">
        <w:t>The 2.7</w:t>
      </w:r>
      <w:r w:rsidR="00D239DB">
        <w:t>–</w:t>
      </w:r>
      <w:r w:rsidR="00D333B0">
        <w:t>2.9 GHz and 2.9</w:t>
      </w:r>
      <w:r w:rsidR="00D239DB">
        <w:t>–</w:t>
      </w:r>
      <w:r w:rsidR="00D333B0">
        <w:t xml:space="preserve">3.1 GHz bands were also suggested as alternative bands for point-to-multipoint services. However, the </w:t>
      </w:r>
      <w:r w:rsidR="00531C78">
        <w:t>non-</w:t>
      </w:r>
      <w:r w:rsidR="00D333B0">
        <w:t xml:space="preserve">availability of equipment in other frequencies was highlighted as a challenge for migration. </w:t>
      </w:r>
      <w:r w:rsidR="00C82C42">
        <w:t>The 5.8 GHz class</w:t>
      </w:r>
      <w:r w:rsidR="00D239DB">
        <w:t>-</w:t>
      </w:r>
      <w:r w:rsidR="00C82C42">
        <w:t>licensed band was also noted as an alternative spectrum option</w:t>
      </w:r>
      <w:r w:rsidR="00D333B0">
        <w:t xml:space="preserve"> with some equipment availability</w:t>
      </w:r>
      <w:r w:rsidR="00C82C42">
        <w:t xml:space="preserve">, however </w:t>
      </w:r>
      <w:r w:rsidR="002132DA">
        <w:t xml:space="preserve">incumbent 3.6 GHz band point-to-multipoint </w:t>
      </w:r>
      <w:r w:rsidR="00C82C42">
        <w:t>respondents highlighted the need for apparatus</w:t>
      </w:r>
      <w:r w:rsidR="00D239DB">
        <w:t>-</w:t>
      </w:r>
      <w:r w:rsidR="00C82C42">
        <w:t xml:space="preserve">licensed spectrum to guarantee a high grade of service. </w:t>
      </w:r>
    </w:p>
    <w:p w14:paraId="6715455D" w14:textId="77777777" w:rsidR="00DA2145" w:rsidRDefault="00DA2145" w:rsidP="00834021">
      <w:r>
        <w:t xml:space="preserve">Limited options for alternative delivery platforms were identified for satellite services in the 3.6 GHz band. </w:t>
      </w:r>
      <w:r w:rsidR="001F070A">
        <w:t>It was noted that f</w:t>
      </w:r>
      <w:r w:rsidR="001F070A" w:rsidRPr="001F070A">
        <w:t>ibre distribution offers only point</w:t>
      </w:r>
      <w:r w:rsidR="000E45FA">
        <w:t>-</w:t>
      </w:r>
      <w:r w:rsidR="001F070A" w:rsidRPr="001F070A">
        <w:t>to</w:t>
      </w:r>
      <w:r w:rsidR="000E45FA">
        <w:t>-</w:t>
      </w:r>
      <w:r w:rsidR="001F070A" w:rsidRPr="001F070A">
        <w:t>point delivery</w:t>
      </w:r>
      <w:r w:rsidR="000E45FA">
        <w:t>,</w:t>
      </w:r>
      <w:r w:rsidR="001F070A" w:rsidRPr="001F070A">
        <w:t xml:space="preserve"> whereas satellite offers point</w:t>
      </w:r>
      <w:r w:rsidR="000E45FA">
        <w:t>-</w:t>
      </w:r>
      <w:r w:rsidR="001F070A" w:rsidRPr="001F070A">
        <w:t>to</w:t>
      </w:r>
      <w:r w:rsidR="000E45FA">
        <w:t>-</w:t>
      </w:r>
      <w:r w:rsidR="001F070A" w:rsidRPr="001F070A">
        <w:t>multipoint</w:t>
      </w:r>
      <w:r w:rsidR="000E45FA">
        <w:t>,</w:t>
      </w:r>
      <w:r w:rsidR="001F070A">
        <w:t xml:space="preserve"> making it a lower cost option. </w:t>
      </w:r>
    </w:p>
    <w:p w14:paraId="3612E424" w14:textId="77777777" w:rsidR="00DA2145" w:rsidRDefault="00745A19" w:rsidP="00834021">
      <w:r>
        <w:t>FSS operators and users advised that</w:t>
      </w:r>
      <w:r w:rsidR="00DA2145">
        <w:t xml:space="preserve"> given the long-lead times in satellite planning</w:t>
      </w:r>
      <w:r w:rsidR="000E45FA">
        <w:t>,</w:t>
      </w:r>
      <w:r w:rsidR="00DA2145">
        <w:t xml:space="preserve"> and </w:t>
      </w:r>
      <w:r w:rsidR="009E52E6">
        <w:t xml:space="preserve">the fact </w:t>
      </w:r>
      <w:r w:rsidR="00DA2145">
        <w:t>that</w:t>
      </w:r>
      <w:r>
        <w:t xml:space="preserve"> </w:t>
      </w:r>
      <w:r w:rsidR="00DA2145">
        <w:t xml:space="preserve">C-band satellite services </w:t>
      </w:r>
      <w:r w:rsidR="009E52E6">
        <w:t>provide</w:t>
      </w:r>
      <w:r w:rsidR="00DA2145">
        <w:t xml:space="preserve"> large whole-of-region coverage areas, the frequency agility of these services and ability to migrate to different frequencies</w:t>
      </w:r>
      <w:r w:rsidR="001F070A">
        <w:t xml:space="preserve"> even within C-band</w:t>
      </w:r>
      <w:r w:rsidR="00DA2145">
        <w:t xml:space="preserve"> is limited</w:t>
      </w:r>
      <w:r w:rsidR="00D333B0">
        <w:t>.</w:t>
      </w:r>
      <w:r w:rsidR="00DA2145">
        <w:t xml:space="preserve"> One </w:t>
      </w:r>
      <w:r w:rsidR="002132DA">
        <w:t xml:space="preserve">satellite industry </w:t>
      </w:r>
      <w:r w:rsidR="00DA2145">
        <w:t xml:space="preserve">respondent highlighted </w:t>
      </w:r>
      <w:r w:rsidR="002F5311">
        <w:t>that the adjacent 3.7</w:t>
      </w:r>
      <w:r w:rsidR="000E45FA">
        <w:t>–</w:t>
      </w:r>
      <w:r w:rsidR="002F5311">
        <w:t xml:space="preserve">4.2 GHz band is already at capacity for the provision of satellite services. Overall, </w:t>
      </w:r>
      <w:r w:rsidR="009E52E6">
        <w:t xml:space="preserve">they argued that C-band (3.4–7.25 GHz) frequencies are </w:t>
      </w:r>
      <w:r w:rsidR="002F5311">
        <w:t>required as they are ideal for certain types of satellite services, including in areas of high rainfall, and it is usually not possible to transition these services to higher</w:t>
      </w:r>
      <w:r w:rsidR="009E52E6">
        <w:t xml:space="preserve"> frequ</w:t>
      </w:r>
      <w:r w:rsidR="00735103">
        <w:t>e</w:t>
      </w:r>
      <w:r w:rsidR="009E52E6">
        <w:t>ncy</w:t>
      </w:r>
      <w:r w:rsidR="002F5311">
        <w:t xml:space="preserve"> satellite bands.</w:t>
      </w:r>
      <w:r w:rsidR="00DA2145">
        <w:t xml:space="preserve"> </w:t>
      </w:r>
    </w:p>
    <w:p w14:paraId="0DC70D60" w14:textId="77777777" w:rsidR="00745A19" w:rsidRDefault="00745A19" w:rsidP="00834021">
      <w:r>
        <w:t xml:space="preserve">Some respondents </w:t>
      </w:r>
      <w:r w:rsidR="002132DA">
        <w:t xml:space="preserve">from the telecommunications industry and some mobile manufacturers </w:t>
      </w:r>
      <w:r>
        <w:t>suggested that satellite services could be relocated to rural areas</w:t>
      </w:r>
      <w:r w:rsidR="00D333B0">
        <w:t xml:space="preserve"> to prevent </w:t>
      </w:r>
      <w:r w:rsidR="009E52E6">
        <w:t xml:space="preserve">spectrum </w:t>
      </w:r>
      <w:r w:rsidR="00D333B0">
        <w:t xml:space="preserve">denial </w:t>
      </w:r>
      <w:r w:rsidR="009E52E6">
        <w:t xml:space="preserve">to </w:t>
      </w:r>
      <w:r w:rsidR="00D333B0">
        <w:t xml:space="preserve">terrestrial services </w:t>
      </w:r>
      <w:r w:rsidR="009E52E6">
        <w:t>in highly</w:t>
      </w:r>
      <w:r w:rsidR="00D333B0">
        <w:t xml:space="preserve"> populated centres</w:t>
      </w:r>
      <w:r>
        <w:t xml:space="preserve">. </w:t>
      </w:r>
      <w:r w:rsidR="00DA2145">
        <w:t xml:space="preserve">However, satellite industry respondents identified a number of challenges with this approach, including the high capital costs required for relocation. </w:t>
      </w:r>
    </w:p>
    <w:p w14:paraId="2858DC9D" w14:textId="77777777" w:rsidR="00834021" w:rsidRDefault="00834021" w:rsidP="00834021">
      <w:pPr>
        <w:pStyle w:val="Heading3"/>
      </w:pPr>
      <w:r>
        <w:t>ACMA response to submissions</w:t>
      </w:r>
    </w:p>
    <w:p w14:paraId="74144A79" w14:textId="77777777" w:rsidR="00834021" w:rsidRDefault="001F070A" w:rsidP="00834021">
      <w:r>
        <w:t xml:space="preserve">A number of options for sharing the 3.6 GHz band between potential new MBB services and incumbent services were identified. </w:t>
      </w:r>
    </w:p>
    <w:p w14:paraId="497A032F" w14:textId="77777777" w:rsidR="001F070A" w:rsidRDefault="001F070A" w:rsidP="00834021">
      <w:r>
        <w:t xml:space="preserve">The ACMA acknowledges the challenges associated with migration of incumbent services to alternative spectrum, geographic locations or delivery platforms. </w:t>
      </w:r>
      <w:r w:rsidR="00777440">
        <w:t xml:space="preserve">The various options, including estimated costs of these options, are further explored in the </w:t>
      </w:r>
      <w:r w:rsidR="000E45FA" w:rsidRPr="00C70215">
        <w:t>O</w:t>
      </w:r>
      <w:r w:rsidR="00777440" w:rsidRPr="00C70215">
        <w:t>ptions</w:t>
      </w:r>
      <w:r w:rsidR="00777440">
        <w:t xml:space="preserve"> paper. </w:t>
      </w:r>
      <w:r>
        <w:t xml:space="preserve"> </w:t>
      </w:r>
    </w:p>
    <w:p w14:paraId="68D90C65" w14:textId="77777777" w:rsidR="00303282" w:rsidRPr="00A81803" w:rsidRDefault="00303282" w:rsidP="00303282">
      <w:pPr>
        <w:pStyle w:val="Heading2"/>
      </w:pPr>
      <w:bookmarkStart w:id="14" w:name="_Toc483998560"/>
      <w:r w:rsidRPr="00825C27">
        <w:t>Compatibility issues with adjacent band services</w:t>
      </w:r>
      <w:bookmarkEnd w:id="14"/>
      <w:r w:rsidRPr="00825C27">
        <w:t xml:space="preserve"> </w:t>
      </w:r>
    </w:p>
    <w:p w14:paraId="69BD753A" w14:textId="77777777" w:rsidR="00303282" w:rsidRDefault="008E044E" w:rsidP="000E45FA">
      <w:pPr>
        <w:spacing w:after="120"/>
      </w:pPr>
      <w:r>
        <w:t xml:space="preserve">The October 2016 </w:t>
      </w:r>
      <w:r w:rsidR="007B4F9F">
        <w:t xml:space="preserve">discussion </w:t>
      </w:r>
      <w:r>
        <w:t xml:space="preserve">paper described the services currently operating below 3575 MHz and above 3700 </w:t>
      </w:r>
      <w:proofErr w:type="spellStart"/>
      <w:r>
        <w:t>MHz.</w:t>
      </w:r>
      <w:proofErr w:type="spellEnd"/>
      <w:r>
        <w:t xml:space="preserve"> This </w:t>
      </w:r>
      <w:r w:rsidRPr="00C70215">
        <w:t>includes spectrum licen</w:t>
      </w:r>
      <w:r w:rsidR="007B4F9F" w:rsidRPr="00C70215">
        <w:t>s</w:t>
      </w:r>
      <w:r w:rsidRPr="00C70215">
        <w:t>ed</w:t>
      </w:r>
      <w:r>
        <w:t xml:space="preserve"> services below 3575 MHz</w:t>
      </w:r>
      <w:r w:rsidR="000E45FA">
        <w:t>,</w:t>
      </w:r>
      <w:r>
        <w:t xml:space="preserve"> and FSS and fixed point-to-point services above 3700 </w:t>
      </w:r>
      <w:proofErr w:type="spellStart"/>
      <w:r>
        <w:t>MHz.</w:t>
      </w:r>
      <w:proofErr w:type="spellEnd"/>
      <w:r>
        <w:t xml:space="preserve"> </w:t>
      </w:r>
      <w:r w:rsidR="007B4F9F">
        <w:t>The October 2016 discussion paper asked the following questions:</w:t>
      </w:r>
    </w:p>
    <w:p w14:paraId="2447198C" w14:textId="77777777" w:rsidR="00303282" w:rsidRPr="006D6661" w:rsidRDefault="00303282" w:rsidP="000E45FA">
      <w:pPr>
        <w:pStyle w:val="ListParagraph"/>
        <w:keepNext/>
        <w:keepLines/>
        <w:numPr>
          <w:ilvl w:val="0"/>
          <w:numId w:val="44"/>
        </w:numPr>
        <w:shd w:val="clear" w:color="auto" w:fill="F2F2F2" w:themeFill="background1" w:themeFillShade="F2"/>
        <w:spacing w:after="80"/>
        <w:ind w:left="426" w:hanging="426"/>
        <w:contextualSpacing w:val="0"/>
        <w:rPr>
          <w:b/>
        </w:rPr>
      </w:pPr>
      <w:r w:rsidRPr="006D6661">
        <w:rPr>
          <w:b/>
        </w:rPr>
        <w:t>In determining whether to re-farm the 3.6 GHz band for MBB, are there any adjacent band issues that should be considered? This include</w:t>
      </w:r>
      <w:r>
        <w:rPr>
          <w:b/>
        </w:rPr>
        <w:t>s</w:t>
      </w:r>
      <w:r w:rsidRPr="006D6661">
        <w:rPr>
          <w:b/>
        </w:rPr>
        <w:t>:</w:t>
      </w:r>
    </w:p>
    <w:p w14:paraId="56ABE3C7" w14:textId="77777777" w:rsidR="00303282" w:rsidRPr="006D6661" w:rsidRDefault="00303282" w:rsidP="00B27286">
      <w:pPr>
        <w:pStyle w:val="ListParagraph"/>
        <w:keepNext/>
        <w:keepLines/>
        <w:numPr>
          <w:ilvl w:val="0"/>
          <w:numId w:val="35"/>
        </w:numPr>
        <w:shd w:val="clear" w:color="auto" w:fill="F2F2F2" w:themeFill="background1" w:themeFillShade="F2"/>
        <w:spacing w:after="80"/>
        <w:contextualSpacing w:val="0"/>
        <w:rPr>
          <w:b/>
        </w:rPr>
      </w:pPr>
      <w:r w:rsidRPr="006D6661">
        <w:rPr>
          <w:b/>
        </w:rPr>
        <w:t>the effect such use may have on adjacent band services</w:t>
      </w:r>
    </w:p>
    <w:p w14:paraId="1B4E33EB" w14:textId="77777777" w:rsidR="00303282" w:rsidRDefault="00303282" w:rsidP="00B27286">
      <w:pPr>
        <w:pStyle w:val="ListParagraph"/>
        <w:keepNext/>
        <w:keepLines/>
        <w:numPr>
          <w:ilvl w:val="0"/>
          <w:numId w:val="35"/>
        </w:numPr>
        <w:shd w:val="clear" w:color="auto" w:fill="F2F2F2" w:themeFill="background1" w:themeFillShade="F2"/>
        <w:contextualSpacing w:val="0"/>
      </w:pPr>
      <w:r w:rsidRPr="006D6661">
        <w:rPr>
          <w:b/>
        </w:rPr>
        <w:t>the effect adjacent band services may have on the utility of the 3.6 GHz band for MBB services.</w:t>
      </w:r>
    </w:p>
    <w:p w14:paraId="222A840E" w14:textId="77777777" w:rsidR="00303282" w:rsidRDefault="00303282" w:rsidP="00303282">
      <w:pPr>
        <w:pStyle w:val="Heading3"/>
      </w:pPr>
      <w:r>
        <w:t>Summary of submissions</w:t>
      </w:r>
    </w:p>
    <w:p w14:paraId="5418E414" w14:textId="2A754ED8" w:rsidR="00303282" w:rsidRDefault="00B27286" w:rsidP="00303282">
      <w:r>
        <w:t xml:space="preserve">Most respondents agreed that with appropriate coordination arrangements, including updates to existing arrangements, compatibility with adjacent band services would not </w:t>
      </w:r>
      <w:r>
        <w:lastRenderedPageBreak/>
        <w:t xml:space="preserve">be a significant issue if the 3.6 GHz band was re-farmed for MBB. </w:t>
      </w:r>
      <w:r w:rsidR="008E044E">
        <w:t xml:space="preserve">A number of </w:t>
      </w:r>
      <w:r>
        <w:t>respondents</w:t>
      </w:r>
      <w:r w:rsidR="008E044E">
        <w:t xml:space="preserve"> noted that if the 3.6 G</w:t>
      </w:r>
      <w:r>
        <w:t>H</w:t>
      </w:r>
      <w:r w:rsidR="008E044E">
        <w:t xml:space="preserve">z band is re-farmed for MBB and planned for TDD services, that adjacent band issues at the lower end of the band </w:t>
      </w:r>
      <w:r>
        <w:t>would</w:t>
      </w:r>
      <w:r w:rsidR="008E044E">
        <w:t xml:space="preserve"> be minimised</w:t>
      </w:r>
      <w:r w:rsidR="001D10A8">
        <w:t xml:space="preserve"> and that the relevant 3GPP specifications </w:t>
      </w:r>
      <w:r w:rsidR="00531C78">
        <w:t>c</w:t>
      </w:r>
      <w:r w:rsidR="001D10A8">
        <w:t>ould be adopted</w:t>
      </w:r>
      <w:r w:rsidR="008E044E">
        <w:t>.</w:t>
      </w:r>
      <w:r>
        <w:t xml:space="preserve"> </w:t>
      </w:r>
      <w:r w:rsidR="001D10A8">
        <w:t>However, one respondent expressed concern regarding adjacent band compatibility of TDD services operated by different licensees and the requirement to implement a guard band</w:t>
      </w:r>
      <w:r w:rsidR="000E45FA">
        <w:t>,</w:t>
      </w:r>
      <w:r w:rsidR="001D10A8">
        <w:t xml:space="preserve"> which can potentially impact adjacent licensees. </w:t>
      </w:r>
      <w:r>
        <w:t xml:space="preserve">Some </w:t>
      </w:r>
      <w:r w:rsidR="00BA0ACC">
        <w:t xml:space="preserve">submissions from wireless internet service providers </w:t>
      </w:r>
      <w:r w:rsidR="001D10A8">
        <w:t xml:space="preserve">suggested </w:t>
      </w:r>
      <w:r>
        <w:t xml:space="preserve">that expanding consideration </w:t>
      </w:r>
      <w:r w:rsidR="001D10A8">
        <w:t xml:space="preserve">of the 3.6 GHz band </w:t>
      </w:r>
      <w:r>
        <w:t>to the entire 3.4</w:t>
      </w:r>
      <w:r w:rsidR="000E45FA">
        <w:t>–</w:t>
      </w:r>
      <w:r>
        <w:t>3.7 GHz band</w:t>
      </w:r>
      <w:r w:rsidR="008B2DAF">
        <w:t xml:space="preserve">, or even </w:t>
      </w:r>
      <w:r w:rsidR="000E45FA">
        <w:t xml:space="preserve">the </w:t>
      </w:r>
      <w:r w:rsidR="008B2DAF">
        <w:t>3.3</w:t>
      </w:r>
      <w:r w:rsidR="000E45FA">
        <w:t>–</w:t>
      </w:r>
      <w:r w:rsidR="008B2DAF">
        <w:t>3.8 </w:t>
      </w:r>
      <w:r>
        <w:t>GHz band, would further minimise adjacent band issues</w:t>
      </w:r>
      <w:r w:rsidR="001D10A8">
        <w:t xml:space="preserve"> in the long-term</w:t>
      </w:r>
      <w:r>
        <w:t xml:space="preserve">. </w:t>
      </w:r>
    </w:p>
    <w:p w14:paraId="59F2A8AF" w14:textId="77777777" w:rsidR="008E044E" w:rsidRDefault="009E52E6" w:rsidP="00303282">
      <w:r>
        <w:t>Respondents noted that emission limits for the upper end of the band would need to be implemented in order to protect the FSS and fixed point-to-point services operating in the adjacent 3.7</w:t>
      </w:r>
      <w:r w:rsidR="000E45FA">
        <w:t>–</w:t>
      </w:r>
      <w:r>
        <w:t xml:space="preserve">4.2 GHz band. </w:t>
      </w:r>
      <w:r w:rsidR="001D10A8">
        <w:t>Satellite operators suggested that consideration should be given to interference caused by both out</w:t>
      </w:r>
      <w:r w:rsidR="000E45FA">
        <w:t>-</w:t>
      </w:r>
      <w:r w:rsidR="001D10A8">
        <w:t>of</w:t>
      </w:r>
      <w:r w:rsidR="000E45FA">
        <w:t>-</w:t>
      </w:r>
      <w:r w:rsidR="001D10A8">
        <w:t xml:space="preserve">band emissions and low noise amplifier (LNA) overload. </w:t>
      </w:r>
      <w:r w:rsidR="00B27286">
        <w:t>However, current point-to-multipoint users identified difficulties with current coordination arrangements with FSS services</w:t>
      </w:r>
      <w:r w:rsidR="000E45FA">
        <w:t>,</w:t>
      </w:r>
      <w:r w:rsidR="00B27286">
        <w:t xml:space="preserve"> arguing that they are too conservative and also noting that FSS </w:t>
      </w:r>
      <w:r w:rsidR="000E45FA">
        <w:t>E</w:t>
      </w:r>
      <w:r w:rsidR="00B27286">
        <w:t>arth receive stations are not fitted with receive filters</w:t>
      </w:r>
      <w:r w:rsidR="000E45FA">
        <w:t>,</w:t>
      </w:r>
      <w:r w:rsidR="00B27286">
        <w:t xml:space="preserve"> making them more susceptible to interference. </w:t>
      </w:r>
    </w:p>
    <w:p w14:paraId="4D3E1E1C" w14:textId="77777777" w:rsidR="00303282" w:rsidRDefault="00303282" w:rsidP="00303282">
      <w:pPr>
        <w:pStyle w:val="Heading3"/>
      </w:pPr>
      <w:r>
        <w:t>ACMA response to submissions</w:t>
      </w:r>
    </w:p>
    <w:p w14:paraId="6315FE86" w14:textId="715E773A" w:rsidR="00303282" w:rsidRDefault="008B2DAF" w:rsidP="00303282">
      <w:r>
        <w:t xml:space="preserve">If the decision is made to re-farm the 3.6 GHz band, consideration of compatibility with adjacent services will be required. It is noted that the core conditions of </w:t>
      </w:r>
      <w:r w:rsidR="009E52E6">
        <w:t>existing 3.4</w:t>
      </w:r>
      <w:r w:rsidR="00531C78">
        <w:t> </w:t>
      </w:r>
      <w:r w:rsidR="009E52E6">
        <w:t xml:space="preserve">GHz band </w:t>
      </w:r>
      <w:r>
        <w:t xml:space="preserve">spectrum licences cannot be modified prior to expiry without the agreement of licensees. </w:t>
      </w:r>
    </w:p>
    <w:p w14:paraId="5DD2392A" w14:textId="77777777" w:rsidR="00303282" w:rsidRDefault="00303282" w:rsidP="00303282">
      <w:pPr>
        <w:pStyle w:val="Heading2"/>
      </w:pPr>
      <w:bookmarkStart w:id="15" w:name="_Toc464480533"/>
      <w:bookmarkStart w:id="16" w:name="_Toc483998561"/>
      <w:r w:rsidRPr="00825C27">
        <w:t>Optimising</w:t>
      </w:r>
      <w:r>
        <w:t xml:space="preserve"> use of the 3400–3700 MHz band</w:t>
      </w:r>
      <w:bookmarkEnd w:id="15"/>
      <w:bookmarkEnd w:id="16"/>
    </w:p>
    <w:p w14:paraId="64E7DBF8" w14:textId="77777777" w:rsidR="00303282" w:rsidRDefault="001824A2" w:rsidP="000E45FA">
      <w:pPr>
        <w:spacing w:after="120"/>
      </w:pPr>
      <w:r>
        <w:t xml:space="preserve">It was identified in the October 2016 </w:t>
      </w:r>
      <w:r w:rsidR="007B4F9F">
        <w:t xml:space="preserve">discussion </w:t>
      </w:r>
      <w:r>
        <w:t>paper that a broader review of the entire 3400–3700 MHz band, taking into account the rights of existing spectrum licence holders, may yield larger contiguous segments for licensees and therefore increase the overall utility of the band.</w:t>
      </w:r>
      <w:r w:rsidR="007B4F9F">
        <w:t xml:space="preserve"> In the October 2016 discussion paper, the following questions were asked </w:t>
      </w:r>
      <w:r w:rsidR="00B95D58">
        <w:t xml:space="preserve">in </w:t>
      </w:r>
      <w:r w:rsidR="007B4F9F">
        <w:t>relat</w:t>
      </w:r>
      <w:r w:rsidR="00B95D58">
        <w:t>ion</w:t>
      </w:r>
      <w:r w:rsidR="007B4F9F">
        <w:t xml:space="preserve"> to this issue:</w:t>
      </w:r>
    </w:p>
    <w:p w14:paraId="2DEE9F86" w14:textId="77777777" w:rsidR="00303282" w:rsidRPr="006D6661" w:rsidRDefault="00303282" w:rsidP="004233C0">
      <w:pPr>
        <w:pStyle w:val="ListParagraph"/>
        <w:numPr>
          <w:ilvl w:val="0"/>
          <w:numId w:val="44"/>
        </w:numPr>
        <w:shd w:val="clear" w:color="auto" w:fill="F2F2F2" w:themeFill="background1" w:themeFillShade="F2"/>
        <w:spacing w:after="80"/>
        <w:ind w:left="426" w:hanging="426"/>
        <w:contextualSpacing w:val="0"/>
        <w:rPr>
          <w:b/>
        </w:rPr>
      </w:pPr>
      <w:r w:rsidRPr="006D6661">
        <w:rPr>
          <w:b/>
        </w:rPr>
        <w:t>If the 3.6 GHz band is re-farmed for MBB services, should the ACMA review arrangements in the broader 3400–3700 MHz band? Why/Why not?</w:t>
      </w:r>
    </w:p>
    <w:p w14:paraId="366A96C5" w14:textId="77777777" w:rsidR="00303282" w:rsidRPr="006D6661" w:rsidRDefault="00303282" w:rsidP="004233C0">
      <w:pPr>
        <w:pStyle w:val="ListParagraph"/>
        <w:numPr>
          <w:ilvl w:val="0"/>
          <w:numId w:val="44"/>
        </w:numPr>
        <w:shd w:val="clear" w:color="auto" w:fill="F2F2F2" w:themeFill="background1" w:themeFillShade="F2"/>
        <w:spacing w:after="80"/>
        <w:ind w:left="426" w:hanging="426"/>
        <w:contextualSpacing w:val="0"/>
        <w:rPr>
          <w:b/>
        </w:rPr>
      </w:pPr>
      <w:r w:rsidRPr="006D6661">
        <w:rPr>
          <w:b/>
        </w:rPr>
        <w:t>Would such a review be facilitated through the alignment of geographical boundaries in the 3.6 GHz band with existing boundaries defined for spectrum and apparatus licensing in the 3400–3575 MHz band (that is, to facilitate trading)?</w:t>
      </w:r>
    </w:p>
    <w:p w14:paraId="3226DB29" w14:textId="77777777" w:rsidR="00303282" w:rsidRPr="0058646B" w:rsidRDefault="00303282" w:rsidP="004233C0">
      <w:pPr>
        <w:pStyle w:val="ListParagraph"/>
        <w:numPr>
          <w:ilvl w:val="0"/>
          <w:numId w:val="44"/>
        </w:numPr>
        <w:shd w:val="clear" w:color="auto" w:fill="F2F2F2" w:themeFill="background1" w:themeFillShade="F2"/>
        <w:ind w:left="426" w:hanging="426"/>
        <w:contextualSpacing w:val="0"/>
      </w:pPr>
      <w:r w:rsidRPr="006D6661">
        <w:rPr>
          <w:b/>
        </w:rPr>
        <w:t>Is there anything else that could be considered as part of the 3.6 GHz band process that may facilitate a future review of the broader 3400–3700 MHz frequency range?</w:t>
      </w:r>
    </w:p>
    <w:p w14:paraId="17B27456" w14:textId="77777777" w:rsidR="00303282" w:rsidRDefault="00303282" w:rsidP="00303282">
      <w:pPr>
        <w:pStyle w:val="Heading3"/>
      </w:pPr>
      <w:r>
        <w:t>Summary of submissions</w:t>
      </w:r>
    </w:p>
    <w:p w14:paraId="3425C2D0" w14:textId="77777777" w:rsidR="00303282" w:rsidRDefault="00A52D94" w:rsidP="00303282">
      <w:r>
        <w:t xml:space="preserve">It was acknowledged by a number of </w:t>
      </w:r>
      <w:r w:rsidR="00A439BD">
        <w:t>respondents</w:t>
      </w:r>
      <w:r>
        <w:t xml:space="preserve"> that greater spectrum </w:t>
      </w:r>
      <w:r w:rsidR="00A439BD">
        <w:t>efficiencies</w:t>
      </w:r>
      <w:r>
        <w:t xml:space="preserve"> may result from a reorganisation of the broader 3400</w:t>
      </w:r>
      <w:r w:rsidR="000E45FA">
        <w:t>–</w:t>
      </w:r>
      <w:r>
        <w:t xml:space="preserve">3700 MHz </w:t>
      </w:r>
      <w:r w:rsidR="00A439BD">
        <w:t>frequency</w:t>
      </w:r>
      <w:r>
        <w:t xml:space="preserve"> range. </w:t>
      </w:r>
      <w:r w:rsidR="00F077E9">
        <w:t>It was noted that such a review would be of benefit for site-based point-to-multipoint use of this spectrum</w:t>
      </w:r>
      <w:r w:rsidR="000E45FA">
        <w:t>,</w:t>
      </w:r>
      <w:r w:rsidR="00F077E9">
        <w:t xml:space="preserve"> as well as area-wide MBB use. </w:t>
      </w:r>
      <w:r w:rsidR="005B5CBD">
        <w:t xml:space="preserve">Some submissions from wireless internet service providers </w:t>
      </w:r>
      <w:r w:rsidR="00A439BD">
        <w:t xml:space="preserve">proposed that </w:t>
      </w:r>
      <w:r w:rsidR="0000389A">
        <w:t>such a review</w:t>
      </w:r>
      <w:r w:rsidR="00A439BD">
        <w:t xml:space="preserve"> be expanded to </w:t>
      </w:r>
      <w:r w:rsidR="009E52E6">
        <w:t>consider the 3300</w:t>
      </w:r>
      <w:r w:rsidR="000E45FA">
        <w:t>–</w:t>
      </w:r>
      <w:r w:rsidR="009E52E6">
        <w:t xml:space="preserve">3800 MHz frequency range. However, support </w:t>
      </w:r>
      <w:r w:rsidR="000E45FA">
        <w:t xml:space="preserve">for </w:t>
      </w:r>
      <w:r w:rsidR="009E52E6">
        <w:t xml:space="preserve">broadening the scope of the review was caveated by some respondents on the basis </w:t>
      </w:r>
      <w:r w:rsidR="000E45FA">
        <w:t xml:space="preserve">that </w:t>
      </w:r>
      <w:r w:rsidR="009E52E6">
        <w:t xml:space="preserve">it </w:t>
      </w:r>
      <w:r w:rsidR="00421E10">
        <w:t>should</w:t>
      </w:r>
      <w:r w:rsidR="009E52E6">
        <w:t xml:space="preserve"> not lead to a </w:t>
      </w:r>
      <w:r w:rsidR="00D6458F">
        <w:t xml:space="preserve">significant delay in consideration of the 3.6 GHz band. </w:t>
      </w:r>
    </w:p>
    <w:p w14:paraId="27AF688D" w14:textId="77777777" w:rsidR="00F077E9" w:rsidRDefault="005B5CBD" w:rsidP="00303282">
      <w:r>
        <w:t>Respondents from the satellite industry and other incumbent 3.6 GHz users</w:t>
      </w:r>
      <w:r w:rsidR="00F077E9">
        <w:t xml:space="preserve"> argued that optimisation of the 3400</w:t>
      </w:r>
      <w:r w:rsidR="000E45FA">
        <w:t>–</w:t>
      </w:r>
      <w:r w:rsidR="00F077E9">
        <w:t xml:space="preserve">3575 MHz band should occur ahead of any </w:t>
      </w:r>
      <w:r w:rsidR="00F077E9">
        <w:lastRenderedPageBreak/>
        <w:t xml:space="preserve">consideration of the 3.6 GHz band. </w:t>
      </w:r>
      <w:r>
        <w:t>Conversely</w:t>
      </w:r>
      <w:r w:rsidR="00A439BD">
        <w:t>, a number of respondents</w:t>
      </w:r>
      <w:r>
        <w:t>, particularly mobile manufacturers and some telecommunication industry respondents,</w:t>
      </w:r>
      <w:r w:rsidR="00A439BD">
        <w:t xml:space="preserve"> suggested that such a review could be conducted </w:t>
      </w:r>
      <w:r w:rsidR="0000389A">
        <w:t>after</w:t>
      </w:r>
      <w:r w:rsidR="00A439BD">
        <w:t xml:space="preserve"> the completion </w:t>
      </w:r>
      <w:r w:rsidR="009E52E6">
        <w:t>the 3.6 GHz band review</w:t>
      </w:r>
      <w:r w:rsidR="000E45FA">
        <w:t>,</w:t>
      </w:r>
      <w:r w:rsidR="009E52E6">
        <w:t xml:space="preserve"> once the final outcomes were</w:t>
      </w:r>
      <w:r w:rsidR="00A439BD">
        <w:t xml:space="preserve"> known. </w:t>
      </w:r>
    </w:p>
    <w:p w14:paraId="0F4AAB8A" w14:textId="77777777" w:rsidR="00F077E9" w:rsidRDefault="00F85896" w:rsidP="00303282">
      <w:r>
        <w:t>Respondents</w:t>
      </w:r>
      <w:r w:rsidR="00D6458F">
        <w:t xml:space="preserve"> highlighted the complexities </w:t>
      </w:r>
      <w:r>
        <w:t xml:space="preserve">that will need to be considered when designing geographic boundaries if the 3.6 GHz band is re-farmed. </w:t>
      </w:r>
      <w:r w:rsidR="00F077E9">
        <w:t xml:space="preserve">It was noted in submissions that a misalignment of geographical boundaries already exists in </w:t>
      </w:r>
      <w:r w:rsidR="00F077E9" w:rsidRPr="00F077E9">
        <w:t>the 3400–3575 MHz band</w:t>
      </w:r>
      <w:r w:rsidR="000E45FA">
        <w:t>,</w:t>
      </w:r>
      <w:r w:rsidR="00F077E9">
        <w:t xml:space="preserve"> between that portion of the band allocated via spectrum licence and that potion allocated when implementing the </w:t>
      </w:r>
      <w:hyperlink r:id="rId35" w:history="1">
        <w:r w:rsidR="00F077E9" w:rsidRPr="002E7174">
          <w:rPr>
            <w:rStyle w:val="Hyperlink"/>
            <w:rFonts w:cs="Arial"/>
          </w:rPr>
          <w:t>October 2014 Ministerial Direction</w:t>
        </w:r>
      </w:hyperlink>
      <w:r w:rsidR="00531C78">
        <w:rPr>
          <w:rStyle w:val="Hyperlink"/>
          <w:rFonts w:cs="Arial"/>
        </w:rPr>
        <w:t xml:space="preserve"> for the 3.5 GHz band</w:t>
      </w:r>
      <w:r w:rsidR="00F077E9">
        <w:t>.</w:t>
      </w:r>
      <w:r w:rsidR="0000389A">
        <w:t xml:space="preserve"> It was argued that spectrum trading and spectrum markets could assist in rectifying this misalignment if licen</w:t>
      </w:r>
      <w:r w:rsidR="007B4F9F">
        <w:t>c</w:t>
      </w:r>
      <w:r w:rsidR="0000389A">
        <w:t>e holders were allowed to sub-divide their licen</w:t>
      </w:r>
      <w:r w:rsidR="007B4F9F">
        <w:t>c</w:t>
      </w:r>
      <w:r w:rsidR="0000389A">
        <w:t>e areas</w:t>
      </w:r>
      <w:r w:rsidR="001F3E51">
        <w:t xml:space="preserve"> (it should be noted that is option is already available to licensees)</w:t>
      </w:r>
      <w:r w:rsidR="0000389A">
        <w:t xml:space="preserve">. </w:t>
      </w:r>
      <w:r w:rsidR="005B5CBD">
        <w:t xml:space="preserve">Some submissions from wireless internet service providers </w:t>
      </w:r>
      <w:r w:rsidR="0000389A">
        <w:t>suggested that apparatus licence use of the entire band would allow natural boundaries to appear over time</w:t>
      </w:r>
      <w:r w:rsidR="000E45FA">
        <w:t>,</w:t>
      </w:r>
      <w:r w:rsidR="0000389A">
        <w:t xml:space="preserve"> </w:t>
      </w:r>
      <w:r w:rsidR="00D6458F">
        <w:t>whereas</w:t>
      </w:r>
      <w:r w:rsidR="0000389A">
        <w:t xml:space="preserve"> alignment of </w:t>
      </w:r>
      <w:r w:rsidR="00D6458F">
        <w:t xml:space="preserve">the current artificial </w:t>
      </w:r>
      <w:r w:rsidR="0000389A">
        <w:t xml:space="preserve">geographic boundaries </w:t>
      </w:r>
      <w:r w:rsidR="00D6458F">
        <w:t>would only benefit spectrum licence holders</w:t>
      </w:r>
      <w:r w:rsidR="0000389A">
        <w:t xml:space="preserve">. </w:t>
      </w:r>
    </w:p>
    <w:p w14:paraId="3EA37718" w14:textId="77777777" w:rsidR="00303282" w:rsidRDefault="00303282" w:rsidP="00303282">
      <w:pPr>
        <w:pStyle w:val="Heading3"/>
      </w:pPr>
      <w:r>
        <w:t>ACMA response to submissions</w:t>
      </w:r>
    </w:p>
    <w:p w14:paraId="201CA2C5" w14:textId="77777777" w:rsidR="00F077E9" w:rsidRDefault="00C66F52" w:rsidP="00F077E9">
      <w:r>
        <w:t xml:space="preserve">The ACMA </w:t>
      </w:r>
      <w:r w:rsidRPr="00C66F52">
        <w:t xml:space="preserve">sees the value in </w:t>
      </w:r>
      <w:r>
        <w:t>optimising arran</w:t>
      </w:r>
      <w:r w:rsidR="00D967D3">
        <w:t>ge</w:t>
      </w:r>
      <w:r>
        <w:t>ments across the 3400</w:t>
      </w:r>
      <w:r w:rsidR="000E45FA">
        <w:t>–</w:t>
      </w:r>
      <w:r>
        <w:t>3700</w:t>
      </w:r>
      <w:r w:rsidRPr="00C66F52">
        <w:t xml:space="preserve"> MHz band and has made several attempts in recent years to progress the issue</w:t>
      </w:r>
      <w:r>
        <w:t xml:space="preserve"> in the 3400</w:t>
      </w:r>
      <w:r w:rsidR="000E45FA">
        <w:t>–</w:t>
      </w:r>
      <w:r>
        <w:t>3575 MHz sub-portion. In particular</w:t>
      </w:r>
      <w:r w:rsidR="00B62EB1">
        <w:t>,</w:t>
      </w:r>
      <w:r>
        <w:t xml:space="preserve"> options </w:t>
      </w:r>
      <w:r w:rsidR="004F60D6">
        <w:t xml:space="preserve">and issues associated with this </w:t>
      </w:r>
      <w:r>
        <w:t>were discuss</w:t>
      </w:r>
      <w:r w:rsidR="004F60D6">
        <w:t>ed</w:t>
      </w:r>
      <w:r>
        <w:t xml:space="preserve"> in the paper </w:t>
      </w:r>
      <w:hyperlink r:id="rId36" w:history="1">
        <w:r w:rsidRPr="00C66F52">
          <w:rPr>
            <w:rStyle w:val="Hyperlink"/>
            <w:rFonts w:eastAsia="Calibri" w:cs="Arial"/>
            <w:i/>
            <w:szCs w:val="21"/>
            <w:lang w:eastAsia="en-US"/>
          </w:rPr>
          <w:t>Making the most of the 3.5 GHz band in future</w:t>
        </w:r>
      </w:hyperlink>
      <w:r>
        <w:rPr>
          <w:rStyle w:val="Hyperlink"/>
          <w:rFonts w:eastAsia="Calibri" w:cs="Arial"/>
          <w:szCs w:val="21"/>
          <w:lang w:eastAsia="en-US"/>
        </w:rPr>
        <w:t>.</w:t>
      </w:r>
      <w:r w:rsidR="004F60D6">
        <w:t xml:space="preserve"> However, t</w:t>
      </w:r>
      <w:r w:rsidR="009E52E6">
        <w:t>o facilitate timely consideration</w:t>
      </w:r>
      <w:r w:rsidR="004F60D6">
        <w:t xml:space="preserve"> of the 3.6 GHz band</w:t>
      </w:r>
      <w:r w:rsidR="009E52E6">
        <w:t>, any process for optimisation of the broader 3400</w:t>
      </w:r>
      <w:r w:rsidR="00B62EB1">
        <w:t>–</w:t>
      </w:r>
      <w:r w:rsidR="009E52E6">
        <w:t>3700 MHz frequency range will be postponed until the outcome</w:t>
      </w:r>
      <w:r w:rsidR="00A37EE0">
        <w:t>s</w:t>
      </w:r>
      <w:r w:rsidR="009E52E6">
        <w:t xml:space="preserve"> of this process are known. </w:t>
      </w:r>
      <w:r w:rsidR="004F60D6">
        <w:t>It should also be noted that</w:t>
      </w:r>
      <w:r w:rsidR="00D967D3">
        <w:t xml:space="preserve"> any</w:t>
      </w:r>
      <w:r w:rsidR="00F077E9">
        <w:t xml:space="preserve"> optimisation process would </w:t>
      </w:r>
      <w:r w:rsidR="0000389A">
        <w:t xml:space="preserve">need to respect the rights of existing licence holders under the </w:t>
      </w:r>
      <w:r w:rsidR="0000389A" w:rsidRPr="005B0A09">
        <w:rPr>
          <w:i/>
        </w:rPr>
        <w:t>Radiocommunications Act</w:t>
      </w:r>
      <w:r w:rsidR="005B0A09" w:rsidRPr="005B0A09">
        <w:rPr>
          <w:i/>
        </w:rPr>
        <w:t xml:space="preserve"> 1992</w:t>
      </w:r>
      <w:r w:rsidR="00B62EB1">
        <w:t>,</w:t>
      </w:r>
      <w:r w:rsidR="00421E10">
        <w:t xml:space="preserve"> and the fact that spectrum licences are designed to allow reconfiguration via aggregation or splitting</w:t>
      </w:r>
      <w:r w:rsidR="00F077E9">
        <w:t>.</w:t>
      </w:r>
    </w:p>
    <w:p w14:paraId="059D2B3F" w14:textId="77777777" w:rsidR="00C97F4B" w:rsidRDefault="00C97F4B" w:rsidP="00303282">
      <w:r>
        <w:t xml:space="preserve">Consideration of the options for geographical boundaries of the 3.6 GHz band should </w:t>
      </w:r>
      <w:r w:rsidR="00F077E9">
        <w:t>the band</w:t>
      </w:r>
      <w:r>
        <w:t xml:space="preserve"> be re-farmed for MBB services, and the consequences of alignment or otherwise with existing 3.4 GHz spectrum licence areas, is outlined in the Options paper. </w:t>
      </w:r>
    </w:p>
    <w:p w14:paraId="7990D4E4" w14:textId="77777777" w:rsidR="00390762" w:rsidRDefault="00390762" w:rsidP="00390762">
      <w:pPr>
        <w:pStyle w:val="Heading2"/>
      </w:pPr>
      <w:bookmarkStart w:id="17" w:name="_Toc483998562"/>
      <w:r>
        <w:t xml:space="preserve">Preliminary assessment of the </w:t>
      </w:r>
      <w:r w:rsidR="00303282">
        <w:t>3.6</w:t>
      </w:r>
      <w:r>
        <w:t xml:space="preserve"> GHz band for use by MBB services</w:t>
      </w:r>
      <w:bookmarkEnd w:id="17"/>
    </w:p>
    <w:p w14:paraId="44443A32" w14:textId="77777777" w:rsidR="00303282" w:rsidRDefault="00C25B8D" w:rsidP="00B62EB1">
      <w:pPr>
        <w:spacing w:after="120"/>
      </w:pPr>
      <w:r w:rsidRPr="00C25B8D">
        <w:t xml:space="preserve">A preliminary assessment of the highest value use of the </w:t>
      </w:r>
      <w:r>
        <w:t>3.6</w:t>
      </w:r>
      <w:r w:rsidRPr="00C25B8D">
        <w:t xml:space="preserve"> GHz band was outlined in the October 2016 discussion paper. The results indicated that the highest-value use of the bands has changed, or may be changing in some areas. </w:t>
      </w:r>
      <w:r w:rsidR="00D4566A">
        <w:t>In the October 2016 discussion paper, the following questions were asked related to this issue:</w:t>
      </w:r>
    </w:p>
    <w:p w14:paraId="08796450" w14:textId="77777777" w:rsidR="00303282" w:rsidRPr="006D6661" w:rsidRDefault="00303282" w:rsidP="00B62EB1">
      <w:pPr>
        <w:pStyle w:val="ListParagraph"/>
        <w:numPr>
          <w:ilvl w:val="0"/>
          <w:numId w:val="44"/>
        </w:numPr>
        <w:shd w:val="clear" w:color="auto" w:fill="F2F2F2" w:themeFill="background1" w:themeFillShade="F2"/>
        <w:spacing w:after="80"/>
        <w:ind w:left="426" w:hanging="426"/>
        <w:contextualSpacing w:val="0"/>
        <w:rPr>
          <w:b/>
        </w:rPr>
      </w:pPr>
      <w:r w:rsidRPr="006D6661">
        <w:rPr>
          <w:b/>
        </w:rPr>
        <w:t>To assist the ACMA in conducting a comprehensive assessment of the highest-value use for the 3.6 GHz band, responses to the following questions are requested:</w:t>
      </w:r>
    </w:p>
    <w:p w14:paraId="340A03DD" w14:textId="77777777" w:rsidR="00303282" w:rsidRPr="006D6661" w:rsidRDefault="00303282" w:rsidP="00303282">
      <w:pPr>
        <w:pStyle w:val="ListParagraph"/>
        <w:numPr>
          <w:ilvl w:val="0"/>
          <w:numId w:val="36"/>
        </w:numPr>
        <w:shd w:val="clear" w:color="auto" w:fill="F2F2F2" w:themeFill="background1" w:themeFillShade="F2"/>
        <w:spacing w:after="80"/>
        <w:contextualSpacing w:val="0"/>
        <w:rPr>
          <w:b/>
        </w:rPr>
      </w:pPr>
      <w:r w:rsidRPr="006D6661">
        <w:rPr>
          <w:b/>
        </w:rPr>
        <w:t>Do you see increasing demand for fixed</w:t>
      </w:r>
      <w:r>
        <w:rPr>
          <w:b/>
        </w:rPr>
        <w:t xml:space="preserve"> broadband</w:t>
      </w:r>
      <w:r w:rsidRPr="006D6661">
        <w:rPr>
          <w:b/>
        </w:rPr>
        <w:t>/MBB services in the 3.6 GHz band? What benefits do you envision from using the band for fixed</w:t>
      </w:r>
      <w:r>
        <w:rPr>
          <w:b/>
        </w:rPr>
        <w:t xml:space="preserve"> broadband</w:t>
      </w:r>
      <w:r w:rsidRPr="006D6661">
        <w:rPr>
          <w:b/>
        </w:rPr>
        <w:t>/MBB services?</w:t>
      </w:r>
    </w:p>
    <w:p w14:paraId="7F4314F7" w14:textId="77777777" w:rsidR="00303282" w:rsidRPr="006D6661" w:rsidRDefault="00303282" w:rsidP="00303282">
      <w:pPr>
        <w:pStyle w:val="ListParagraph"/>
        <w:numPr>
          <w:ilvl w:val="0"/>
          <w:numId w:val="36"/>
        </w:numPr>
        <w:shd w:val="clear" w:color="auto" w:fill="F2F2F2" w:themeFill="background1" w:themeFillShade="F2"/>
        <w:spacing w:after="80"/>
        <w:contextualSpacing w:val="0"/>
        <w:rPr>
          <w:b/>
        </w:rPr>
      </w:pPr>
      <w:r w:rsidRPr="006D6661">
        <w:rPr>
          <w:b/>
        </w:rPr>
        <w:t>Which regions of Australia will be in demand for fixed</w:t>
      </w:r>
      <w:r>
        <w:rPr>
          <w:b/>
        </w:rPr>
        <w:t xml:space="preserve"> broadband</w:t>
      </w:r>
      <w:r w:rsidRPr="006D6661">
        <w:rPr>
          <w:b/>
        </w:rPr>
        <w:t xml:space="preserve">/MBB services in the 3.6 GHz band? </w:t>
      </w:r>
    </w:p>
    <w:p w14:paraId="4B884636" w14:textId="77777777" w:rsidR="00303282" w:rsidRPr="006D6661" w:rsidRDefault="00303282" w:rsidP="00303282">
      <w:pPr>
        <w:pStyle w:val="ListParagraph"/>
        <w:numPr>
          <w:ilvl w:val="0"/>
          <w:numId w:val="36"/>
        </w:numPr>
        <w:shd w:val="clear" w:color="auto" w:fill="F2F2F2" w:themeFill="background1" w:themeFillShade="F2"/>
        <w:spacing w:after="80"/>
        <w:contextualSpacing w:val="0"/>
        <w:rPr>
          <w:b/>
        </w:rPr>
      </w:pPr>
      <w:r w:rsidRPr="006D6661">
        <w:rPr>
          <w:b/>
        </w:rPr>
        <w:t>Is demand the same or similar across regions, or are some regions/areas more likely to be in demand for MBB providers?</w:t>
      </w:r>
    </w:p>
    <w:p w14:paraId="45FA5078" w14:textId="77777777" w:rsidR="00303282" w:rsidRPr="006D6661" w:rsidRDefault="00303282" w:rsidP="00303282">
      <w:pPr>
        <w:pStyle w:val="ListParagraph"/>
        <w:numPr>
          <w:ilvl w:val="0"/>
          <w:numId w:val="36"/>
        </w:numPr>
        <w:shd w:val="clear" w:color="auto" w:fill="F2F2F2" w:themeFill="background1" w:themeFillShade="F2"/>
        <w:spacing w:after="80"/>
        <w:contextualSpacing w:val="0"/>
        <w:rPr>
          <w:b/>
        </w:rPr>
      </w:pPr>
      <w:r w:rsidRPr="006D6661">
        <w:rPr>
          <w:b/>
        </w:rPr>
        <w:t xml:space="preserve">Do incumbent 3.6 GHz band licensees require ongoing access to the band, or are there plans to cease operation at some future point? </w:t>
      </w:r>
    </w:p>
    <w:p w14:paraId="2EEDF70B" w14:textId="77777777" w:rsidR="00303282" w:rsidRPr="006D6661" w:rsidRDefault="00303282" w:rsidP="00303282">
      <w:pPr>
        <w:pStyle w:val="ListParagraph"/>
        <w:numPr>
          <w:ilvl w:val="0"/>
          <w:numId w:val="36"/>
        </w:numPr>
        <w:shd w:val="clear" w:color="auto" w:fill="F2F2F2" w:themeFill="background1" w:themeFillShade="F2"/>
        <w:spacing w:after="80"/>
        <w:contextualSpacing w:val="0"/>
        <w:rPr>
          <w:b/>
        </w:rPr>
      </w:pPr>
      <w:r w:rsidRPr="006D6661">
        <w:rPr>
          <w:b/>
        </w:rPr>
        <w:lastRenderedPageBreak/>
        <w:t>Do other options exist for the delivery of fixed, fixed</w:t>
      </w:r>
      <w:r>
        <w:rPr>
          <w:b/>
        </w:rPr>
        <w:t>-</w:t>
      </w:r>
      <w:r w:rsidRPr="006D6661">
        <w:rPr>
          <w:b/>
        </w:rPr>
        <w:t>satellite and amateur incumbent services, how practical are they? What are the costs involved? Will there be a diminution of the service delivered if MBB services are introduced in the band?</w:t>
      </w:r>
    </w:p>
    <w:p w14:paraId="7A2B269A" w14:textId="5010E634" w:rsidR="00303282" w:rsidRPr="006D6661" w:rsidRDefault="00303282" w:rsidP="00303282">
      <w:pPr>
        <w:pStyle w:val="ListParagraph"/>
        <w:numPr>
          <w:ilvl w:val="0"/>
          <w:numId w:val="36"/>
        </w:numPr>
        <w:shd w:val="clear" w:color="auto" w:fill="F2F2F2" w:themeFill="background1" w:themeFillShade="F2"/>
        <w:contextualSpacing w:val="0"/>
        <w:rPr>
          <w:b/>
        </w:rPr>
      </w:pPr>
      <w:r w:rsidRPr="006D6661">
        <w:rPr>
          <w:b/>
        </w:rPr>
        <w:t>Should further consideration be given to the migration of incumbent 3.6</w:t>
      </w:r>
      <w:r w:rsidR="00D4566A">
        <w:rPr>
          <w:b/>
        </w:rPr>
        <w:t> </w:t>
      </w:r>
      <w:r w:rsidRPr="006D6661">
        <w:rPr>
          <w:b/>
        </w:rPr>
        <w:t xml:space="preserve">GHz band FSS </w:t>
      </w:r>
      <w:r w:rsidR="00DE193E" w:rsidRPr="00DE193E">
        <w:rPr>
          <w:b/>
        </w:rPr>
        <w:t>E</w:t>
      </w:r>
      <w:r w:rsidRPr="00DE193E">
        <w:rPr>
          <w:b/>
        </w:rPr>
        <w:t>arth stations</w:t>
      </w:r>
      <w:r w:rsidRPr="006D6661">
        <w:rPr>
          <w:b/>
        </w:rPr>
        <w:t xml:space="preserve"> to low density population areas?</w:t>
      </w:r>
    </w:p>
    <w:p w14:paraId="6474D855" w14:textId="77777777" w:rsidR="00834021" w:rsidRDefault="00834021" w:rsidP="00834021">
      <w:pPr>
        <w:pStyle w:val="Heading3"/>
      </w:pPr>
      <w:r>
        <w:t>Summary of submissions</w:t>
      </w:r>
    </w:p>
    <w:p w14:paraId="719C0E6A" w14:textId="77777777" w:rsidR="00F85896" w:rsidRDefault="00F85896" w:rsidP="00F85896">
      <w:r>
        <w:t>Most respondents agreed that there was increasing demand for fixed broadband/MBB services in the 3.6 GHz band</w:t>
      </w:r>
      <w:r w:rsidR="00B62EB1">
        <w:t>,</w:t>
      </w:r>
      <w:r>
        <w:t xml:space="preserve"> with a number of responses outlining evidence that the band is well suited for </w:t>
      </w:r>
      <w:r w:rsidRPr="00F85896">
        <w:t>utili</w:t>
      </w:r>
      <w:r>
        <w:t>s</w:t>
      </w:r>
      <w:r w:rsidRPr="00F85896">
        <w:t>ing a small cell/dense coverage approach</w:t>
      </w:r>
      <w:r>
        <w:t>.</w:t>
      </w:r>
      <w:r w:rsidR="007427FE">
        <w:t xml:space="preserve"> A number of respondents highlighted that demand would be proportional to population density</w:t>
      </w:r>
      <w:r w:rsidR="00B62EB1">
        <w:t>,</w:t>
      </w:r>
      <w:r w:rsidR="007427FE">
        <w:t xml:space="preserve"> and therefore highest demand for these services </w:t>
      </w:r>
      <w:r w:rsidR="009E52E6">
        <w:t>will be in metropolitan areas. However, existing point-to-multipoint users noted increasing demand for wireless broadband services in rural and regional areas</w:t>
      </w:r>
      <w:r w:rsidR="00B62EB1">
        <w:t>,</w:t>
      </w:r>
      <w:r w:rsidR="00421E10">
        <w:t xml:space="preserve"> and that in these areas</w:t>
      </w:r>
      <w:r w:rsidR="00B62EB1">
        <w:t>,</w:t>
      </w:r>
      <w:r w:rsidR="00421E10">
        <w:t xml:space="preserve"> there are limited alternative delivery options available.</w:t>
      </w:r>
      <w:r>
        <w:t xml:space="preserve"> Further, increasing demand </w:t>
      </w:r>
      <w:r w:rsidR="007427FE">
        <w:t>for niche data</w:t>
      </w:r>
      <w:r w:rsidR="005B0A09">
        <w:t xml:space="preserve"> services</w:t>
      </w:r>
      <w:r w:rsidR="00B62EB1">
        <w:t>,</w:t>
      </w:r>
      <w:r w:rsidR="007427FE">
        <w:t xml:space="preserve"> including </w:t>
      </w:r>
      <w:r>
        <w:t xml:space="preserve">from the mining, transport and agriculture sectors </w:t>
      </w:r>
      <w:r w:rsidR="00B62EB1">
        <w:t xml:space="preserve">was </w:t>
      </w:r>
      <w:r>
        <w:t>highlighted</w:t>
      </w:r>
      <w:r w:rsidR="00B62EB1">
        <w:t>,</w:t>
      </w:r>
      <w:r>
        <w:t xml:space="preserve"> which expand into the metro and metro fringe area</w:t>
      </w:r>
      <w:r w:rsidR="00D4566A">
        <w:t>s</w:t>
      </w:r>
      <w:r>
        <w:t xml:space="preserve">.  </w:t>
      </w:r>
    </w:p>
    <w:p w14:paraId="0AE1FB09" w14:textId="77777777" w:rsidR="007427FE" w:rsidRDefault="007427FE" w:rsidP="00B62EB1">
      <w:r>
        <w:t>Point-to-multipoint users argued that the potential use of the band for MBB services</w:t>
      </w:r>
      <w:r w:rsidR="00137B96">
        <w:t xml:space="preserve">, in particular 5G services, </w:t>
      </w:r>
      <w:r>
        <w:t>is speculative at this stage as standards are yet to be finalised</w:t>
      </w:r>
      <w:r w:rsidR="007F336B">
        <w:t>, w</w:t>
      </w:r>
      <w:r>
        <w:t>hereas current fixed broadband use was proven</w:t>
      </w:r>
      <w:r w:rsidR="00F84E82">
        <w:t xml:space="preserve"> and in demand</w:t>
      </w:r>
      <w:r>
        <w:t xml:space="preserve">. </w:t>
      </w:r>
      <w:r w:rsidR="004616F3">
        <w:t xml:space="preserve">Telecommunications industry and mobile manufacturer respondents </w:t>
      </w:r>
      <w:r>
        <w:t xml:space="preserve">argued that use of the band for fixed broadband/MBB </w:t>
      </w:r>
      <w:r w:rsidR="00421E10">
        <w:t xml:space="preserve">using LTE </w:t>
      </w:r>
      <w:r>
        <w:t>is well established</w:t>
      </w:r>
      <w:r w:rsidR="00B62EB1">
        <w:t>,</w:t>
      </w:r>
      <w:r>
        <w:t xml:space="preserve"> with the number of networks in operation in this band internationally and the number of </w:t>
      </w:r>
      <w:r w:rsidR="003272CD">
        <w:t xml:space="preserve">available </w:t>
      </w:r>
      <w:r>
        <w:t>devices increasing rapidly</w:t>
      </w:r>
      <w:r w:rsidR="00A1255D">
        <w:t xml:space="preserve">. </w:t>
      </w:r>
      <w:r w:rsidR="007F336B">
        <w:t>They</w:t>
      </w:r>
      <w:r w:rsidR="00A1255D">
        <w:t xml:space="preserve"> also highlighted that the band is earmarked as an early implementation band </w:t>
      </w:r>
      <w:r w:rsidR="00F84E82">
        <w:t xml:space="preserve">for 5G </w:t>
      </w:r>
      <w:r w:rsidR="00A1255D">
        <w:t xml:space="preserve">and was therefore important </w:t>
      </w:r>
      <w:r w:rsidR="00B62EB1">
        <w:t>for</w:t>
      </w:r>
      <w:r w:rsidR="00A1255D">
        <w:t xml:space="preserve"> the timely roll-out of 5G services in Australia. </w:t>
      </w:r>
    </w:p>
    <w:p w14:paraId="1A684BEF" w14:textId="77777777" w:rsidR="00F85896" w:rsidRDefault="00F85896" w:rsidP="00834021">
      <w:r>
        <w:t>A number of respondents</w:t>
      </w:r>
      <w:r w:rsidR="004616F3">
        <w:t xml:space="preserve">, particularly incumbent point-to-multipoint users, </w:t>
      </w:r>
      <w:r>
        <w:t xml:space="preserve">raised concerns that a re-farming </w:t>
      </w:r>
      <w:r w:rsidR="000A6F7E">
        <w:t xml:space="preserve">of </w:t>
      </w:r>
      <w:r>
        <w:t xml:space="preserve">the 3.6 GHz band </w:t>
      </w:r>
      <w:r w:rsidR="003272CD">
        <w:t xml:space="preserve">via a </w:t>
      </w:r>
      <w:r w:rsidR="003272CD" w:rsidRPr="00F9704D">
        <w:t>price</w:t>
      </w:r>
      <w:r w:rsidR="00B62EB1" w:rsidRPr="00F9704D">
        <w:t>-</w:t>
      </w:r>
      <w:r w:rsidR="003272CD" w:rsidRPr="00F9704D">
        <w:t>based allocation</w:t>
      </w:r>
      <w:r w:rsidR="003272CD">
        <w:t xml:space="preserve"> </w:t>
      </w:r>
      <w:r>
        <w:t xml:space="preserve">would favour larger telecommunications </w:t>
      </w:r>
      <w:r w:rsidR="003272CD">
        <w:t xml:space="preserve">companies </w:t>
      </w:r>
      <w:r>
        <w:t xml:space="preserve">at the expense of small, locally operated communications companies. The social cost of the disenfranchisement of rural communities was highlighted as a potential issue. </w:t>
      </w:r>
    </w:p>
    <w:p w14:paraId="2E35C420" w14:textId="77777777" w:rsidR="007427FE" w:rsidRDefault="00F85896" w:rsidP="007427FE">
      <w:r>
        <w:t>In regard to alternative delivery models, most point-to-multipoint users claimed that the National Broadband Network (NBN) is not specialised enough to offer the type of data transmission requirements for their use</w:t>
      </w:r>
      <w:r w:rsidR="00B62EB1">
        <w:t>,</w:t>
      </w:r>
      <w:r>
        <w:t xml:space="preserve"> and is not </w:t>
      </w:r>
      <w:r w:rsidR="00F84E82">
        <w:t xml:space="preserve">as agile to meet the needs of customers as </w:t>
      </w:r>
      <w:r>
        <w:t>smaller network providers. Respondents noted the lack of alternative options for the provision of their services</w:t>
      </w:r>
      <w:r w:rsidR="00137B96">
        <w:t xml:space="preserve">. </w:t>
      </w:r>
      <w:r w:rsidR="007427FE">
        <w:t xml:space="preserve">It was noted that </w:t>
      </w:r>
      <w:r w:rsidR="00F84E82">
        <w:t xml:space="preserve">the bands these services could operate in </w:t>
      </w:r>
      <w:r w:rsidR="007427FE">
        <w:t>are limited by equipment availability</w:t>
      </w:r>
      <w:r w:rsidR="00B62EB1">
        <w:t>,</w:t>
      </w:r>
      <w:r w:rsidR="007427FE">
        <w:t xml:space="preserve"> with some level of international harmonisation required before equipment is readily available. </w:t>
      </w:r>
      <w:r w:rsidR="00137B96">
        <w:t>It was also noted that alternative spectrum is required to be apparatus licensed rather than class licensed to provide the required quality of service</w:t>
      </w:r>
      <w:r w:rsidR="00B62EB1">
        <w:t>,</w:t>
      </w:r>
      <w:r w:rsidR="00137B96">
        <w:t xml:space="preserve"> and that there are currently limited bands available in regional areas that meet this requirement. </w:t>
      </w:r>
      <w:r w:rsidR="00A1255D">
        <w:t>Submissions highlighted the increasing importance of t</w:t>
      </w:r>
      <w:r w:rsidR="00A1255D" w:rsidRPr="00A1255D">
        <w:t xml:space="preserve">echnology and access to </w:t>
      </w:r>
      <w:r w:rsidR="00F84E82">
        <w:t xml:space="preserve">broadband services </w:t>
      </w:r>
      <w:r w:rsidR="00A1255D">
        <w:t>for all areas</w:t>
      </w:r>
      <w:r w:rsidR="00A1255D" w:rsidRPr="00A1255D">
        <w:t>.</w:t>
      </w:r>
    </w:p>
    <w:p w14:paraId="5FB1D138" w14:textId="77777777" w:rsidR="00854831" w:rsidRDefault="00854831" w:rsidP="00854831">
      <w:r>
        <w:t xml:space="preserve">A number of respondents from the satellite industry expressed their opposition to the </w:t>
      </w:r>
      <w:r w:rsidR="009E0E80">
        <w:t>relocation of satellite facilities</w:t>
      </w:r>
      <w:r>
        <w:t xml:space="preserve">, noting the significant costs in the order of tens of millions of dollars involved in both initial </w:t>
      </w:r>
      <w:r w:rsidR="00F84E82">
        <w:t xml:space="preserve">geographic relocation of facilities </w:t>
      </w:r>
      <w:r>
        <w:t xml:space="preserve">and ongoing costs including extended backhaul links. It was argued that relocation of satellite facilities would threaten the viability of </w:t>
      </w:r>
      <w:r w:rsidRPr="00854831">
        <w:t xml:space="preserve">international programming and </w:t>
      </w:r>
      <w:r w:rsidR="0061226F">
        <w:t xml:space="preserve">other </w:t>
      </w:r>
      <w:r w:rsidRPr="00854831">
        <w:t>services, reducing Australia’s access to the international community and diverse sources of news, information and entertainment.</w:t>
      </w:r>
      <w:r>
        <w:t xml:space="preserve"> It was also noted that the 3.6 GHz band is </w:t>
      </w:r>
      <w:r w:rsidR="0061226F">
        <w:t xml:space="preserve">also </w:t>
      </w:r>
      <w:r>
        <w:t xml:space="preserve">used for </w:t>
      </w:r>
      <w:r w:rsidR="00DE193E">
        <w:t>telemetry, tracking and command (</w:t>
      </w:r>
      <w:r w:rsidRPr="00483172">
        <w:t>TT&amp;C</w:t>
      </w:r>
      <w:r w:rsidR="00DE193E">
        <w:t>)</w:t>
      </w:r>
      <w:r w:rsidRPr="00483172">
        <w:t xml:space="preserve"> </w:t>
      </w:r>
      <w:r>
        <w:t xml:space="preserve">of satellites, and therefore </w:t>
      </w:r>
      <w:r w:rsidR="0061226F">
        <w:t xml:space="preserve">geographic </w:t>
      </w:r>
      <w:r>
        <w:t>relocati</w:t>
      </w:r>
      <w:r w:rsidR="0061226F">
        <w:t>on</w:t>
      </w:r>
      <w:r>
        <w:t xml:space="preserve"> is not feasible as the location for such </w:t>
      </w:r>
      <w:r w:rsidR="00F9704D">
        <w:t>E</w:t>
      </w:r>
      <w:r>
        <w:t xml:space="preserve">arth stations is carefully </w:t>
      </w:r>
      <w:r>
        <w:lastRenderedPageBreak/>
        <w:t xml:space="preserve">selected based on a number of factors and </w:t>
      </w:r>
      <w:r w:rsidR="0061226F">
        <w:t>any movement</w:t>
      </w:r>
      <w:r>
        <w:t xml:space="preserve"> may interrupt satellite operations. </w:t>
      </w:r>
      <w:r w:rsidR="007F336B">
        <w:t>O</w:t>
      </w:r>
      <w:r w:rsidR="00697E6B">
        <w:t xml:space="preserve">thers noted that if relocation </w:t>
      </w:r>
      <w:r w:rsidR="00B62EB1">
        <w:t xml:space="preserve">was </w:t>
      </w:r>
      <w:r w:rsidR="00697E6B">
        <w:t>necessary</w:t>
      </w:r>
      <w:r w:rsidR="00B62EB1">
        <w:t>,</w:t>
      </w:r>
      <w:r w:rsidR="00697E6B">
        <w:t xml:space="preserve"> adequate time would be required to allow the transition of services.</w:t>
      </w:r>
    </w:p>
    <w:p w14:paraId="43B44A21" w14:textId="7385FC6E" w:rsidR="00854831" w:rsidRDefault="004616F3" w:rsidP="00854831">
      <w:r>
        <w:t>R</w:t>
      </w:r>
      <w:r w:rsidR="00854831">
        <w:t xml:space="preserve">espondents </w:t>
      </w:r>
      <w:r>
        <w:t xml:space="preserve">from the satellite industry </w:t>
      </w:r>
      <w:r w:rsidR="00854831">
        <w:t>highlighted the opportunistic use of direct-to-home satellite television services</w:t>
      </w:r>
      <w:r w:rsidR="002F0E70">
        <w:t>,</w:t>
      </w:r>
      <w:r w:rsidR="00854831">
        <w:t xml:space="preserve"> and noted that these customers could not be expected to move to areas of low population to continue to receive the services. </w:t>
      </w:r>
      <w:r w:rsidR="00137B96">
        <w:t xml:space="preserve">Conversely, </w:t>
      </w:r>
      <w:r>
        <w:t>telecommunications industry and mobile manufacturer</w:t>
      </w:r>
      <w:r w:rsidR="000A6F7E">
        <w:t xml:space="preserve"> respondents</w:t>
      </w:r>
      <w:r w:rsidR="00137B96">
        <w:t xml:space="preserve"> </w:t>
      </w:r>
      <w:r w:rsidR="005263F3">
        <w:t>noted that these services are not licensed in Australia</w:t>
      </w:r>
      <w:r w:rsidR="002F0E70">
        <w:t>,</w:t>
      </w:r>
      <w:r w:rsidR="00137B96">
        <w:t xml:space="preserve"> and therefore should not be taken into account in future planning arrangements. It was suggested that these services could </w:t>
      </w:r>
      <w:r w:rsidR="0061226F">
        <w:t xml:space="preserve">be allowed to continue to operate in the band on a ‘no protection’ basis. </w:t>
      </w:r>
      <w:r w:rsidR="005263F3">
        <w:t xml:space="preserve"> </w:t>
      </w:r>
    </w:p>
    <w:p w14:paraId="768CA655" w14:textId="77777777" w:rsidR="00834021" w:rsidRDefault="00834021" w:rsidP="00834021">
      <w:pPr>
        <w:pStyle w:val="Heading3"/>
      </w:pPr>
      <w:r>
        <w:t>ACMA response to submissions</w:t>
      </w:r>
    </w:p>
    <w:p w14:paraId="0CD5FCA0" w14:textId="3491A860" w:rsidR="00A52D94" w:rsidRDefault="00A52D94" w:rsidP="00A52D94">
      <w:r>
        <w:t xml:space="preserve">As discussed above, the 3.6 GHz band has been progressed to the </w:t>
      </w:r>
      <w:r>
        <w:rPr>
          <w:i/>
        </w:rPr>
        <w:t xml:space="preserve">preliminary replanning </w:t>
      </w:r>
      <w:r>
        <w:t xml:space="preserve">stage of the ACMA’s process for consideration of additional spectrum for </w:t>
      </w:r>
      <w:r w:rsidR="00D07ADE">
        <w:t>MBB</w:t>
      </w:r>
      <w:r>
        <w:t xml:space="preserve"> services.</w:t>
      </w:r>
      <w:r w:rsidR="002876C4" w:rsidRPr="002876C4">
        <w:t xml:space="preserve"> </w:t>
      </w:r>
      <w:r w:rsidR="002876C4">
        <w:t>The positions and concerns on replanning issues have been noted and will be taken into account in the dev</w:t>
      </w:r>
      <w:r w:rsidR="001F3E51">
        <w:t>elopment of options for the 3.6 </w:t>
      </w:r>
      <w:r w:rsidR="002876C4">
        <w:t>GHz band.</w:t>
      </w:r>
    </w:p>
    <w:p w14:paraId="4D5737A8" w14:textId="041E521A" w:rsidR="00777F84" w:rsidRPr="00F65EB8" w:rsidRDefault="00C97F4B" w:rsidP="00777F84">
      <w:pPr>
        <w:rPr>
          <w:rFonts w:cs="Arial"/>
          <w:szCs w:val="20"/>
          <w:lang w:val="en"/>
        </w:rPr>
      </w:pPr>
      <w:r>
        <w:t xml:space="preserve">As part of the work conducted at the </w:t>
      </w:r>
      <w:r w:rsidRPr="00C70215">
        <w:rPr>
          <w:i/>
        </w:rPr>
        <w:t xml:space="preserve">preliminary replanning </w:t>
      </w:r>
      <w:r w:rsidRPr="00C70215">
        <w:t>stage</w:t>
      </w:r>
      <w:r>
        <w:t xml:space="preserve">, </w:t>
      </w:r>
      <w:r w:rsidRPr="00337B1E">
        <w:t xml:space="preserve">a </w:t>
      </w:r>
      <w:r w:rsidRPr="00337B1E">
        <w:rPr>
          <w:bCs/>
        </w:rPr>
        <w:t>comprehensive assessment of the highest</w:t>
      </w:r>
      <w:r>
        <w:rPr>
          <w:bCs/>
        </w:rPr>
        <w:t>-</w:t>
      </w:r>
      <w:r w:rsidRPr="00337B1E">
        <w:rPr>
          <w:bCs/>
        </w:rPr>
        <w:t>value use for the 3.6 GHz band</w:t>
      </w:r>
      <w:r>
        <w:rPr>
          <w:bCs/>
        </w:rPr>
        <w:t xml:space="preserve"> </w:t>
      </w:r>
      <w:r w:rsidR="00A52D94">
        <w:rPr>
          <w:bCs/>
        </w:rPr>
        <w:t>ha</w:t>
      </w:r>
      <w:r>
        <w:rPr>
          <w:bCs/>
        </w:rPr>
        <w:t>s</w:t>
      </w:r>
      <w:r w:rsidR="00A52D94">
        <w:rPr>
          <w:bCs/>
        </w:rPr>
        <w:t xml:space="preserve"> been</w:t>
      </w:r>
      <w:r>
        <w:rPr>
          <w:bCs/>
        </w:rPr>
        <w:t xml:space="preserve"> conducted</w:t>
      </w:r>
      <w:r w:rsidRPr="00337B1E">
        <w:rPr>
          <w:bCs/>
        </w:rPr>
        <w:t>.</w:t>
      </w:r>
      <w:r>
        <w:rPr>
          <w:bCs/>
        </w:rPr>
        <w:t xml:space="preserve"> This assessment is outlined in the Options paper and accompanying material, including the </w:t>
      </w:r>
      <w:r w:rsidRPr="00C97F4B">
        <w:rPr>
          <w:bCs/>
          <w:i/>
        </w:rPr>
        <w:t>Future use of the 3.6 GHz band</w:t>
      </w:r>
      <w:r w:rsidR="002F0E70">
        <w:rPr>
          <w:bCs/>
          <w:i/>
        </w:rPr>
        <w:t>—</w:t>
      </w:r>
      <w:r w:rsidRPr="00C97F4B">
        <w:rPr>
          <w:bCs/>
          <w:i/>
        </w:rPr>
        <w:t>Highest value use assessment</w:t>
      </w:r>
      <w:r>
        <w:rPr>
          <w:bCs/>
        </w:rPr>
        <w:t xml:space="preserve"> paper. This takes into account the feedback received to the October 2016 </w:t>
      </w:r>
      <w:r w:rsidR="00874603">
        <w:rPr>
          <w:bCs/>
        </w:rPr>
        <w:t xml:space="preserve">discussion </w:t>
      </w:r>
      <w:r>
        <w:rPr>
          <w:bCs/>
        </w:rPr>
        <w:t>paper</w:t>
      </w:r>
      <w:r w:rsidR="002F0E70">
        <w:rPr>
          <w:bCs/>
        </w:rPr>
        <w:t>,</w:t>
      </w:r>
      <w:r>
        <w:rPr>
          <w:bCs/>
        </w:rPr>
        <w:t xml:space="preserve"> </w:t>
      </w:r>
      <w:r w:rsidR="002C3366">
        <w:rPr>
          <w:bCs/>
        </w:rPr>
        <w:t>which is summarised above</w:t>
      </w:r>
      <w:r w:rsidR="002F0E70">
        <w:rPr>
          <w:bCs/>
        </w:rPr>
        <w:t>,</w:t>
      </w:r>
      <w:r w:rsidR="002C3366">
        <w:rPr>
          <w:bCs/>
        </w:rPr>
        <w:t xml:space="preserve"> </w:t>
      </w:r>
      <w:r>
        <w:rPr>
          <w:bCs/>
        </w:rPr>
        <w:t>as well as further research and investigations from the ACMA and discussions with stakeholders</w:t>
      </w:r>
      <w:r w:rsidR="00A52D94">
        <w:rPr>
          <w:bCs/>
        </w:rPr>
        <w:t>.</w:t>
      </w:r>
      <w:r w:rsidRPr="00337B1E">
        <w:rPr>
          <w:bCs/>
        </w:rPr>
        <w:t xml:space="preserve"> </w:t>
      </w:r>
    </w:p>
    <w:p w14:paraId="25FF101C" w14:textId="77777777" w:rsidR="00264184" w:rsidRPr="000D76E0" w:rsidRDefault="005C2E34" w:rsidP="00264184">
      <w:pPr>
        <w:pStyle w:val="Heading1"/>
      </w:pPr>
      <w:bookmarkStart w:id="18" w:name="_Toc483998563"/>
      <w:r>
        <w:lastRenderedPageBreak/>
        <w:t>4</w:t>
      </w:r>
      <w:r w:rsidR="002F0E70">
        <w:t>.</w:t>
      </w:r>
      <w:r w:rsidR="00264184">
        <w:tab/>
      </w:r>
      <w:r w:rsidR="0018057A">
        <w:t>Further work</w:t>
      </w:r>
      <w:bookmarkEnd w:id="18"/>
    </w:p>
    <w:p w14:paraId="4519C11D" w14:textId="77777777" w:rsidR="0016458D" w:rsidRDefault="0016458D" w:rsidP="0016458D">
      <w:r>
        <w:t>C</w:t>
      </w:r>
      <w:r w:rsidRPr="005B0224">
        <w:t xml:space="preserve">onsideration of the 3.6 GHz band </w:t>
      </w:r>
      <w:r>
        <w:t xml:space="preserve">will </w:t>
      </w:r>
      <w:r w:rsidRPr="005B0224">
        <w:t xml:space="preserve">be prioritised </w:t>
      </w:r>
      <w:r>
        <w:t>over</w:t>
      </w:r>
      <w:r w:rsidRPr="005B0224">
        <w:t xml:space="preserve"> the 1.5 GHz band</w:t>
      </w:r>
      <w:r>
        <w:t xml:space="preserve"> through the ACMA’s process for </w:t>
      </w:r>
      <w:r w:rsidRPr="005B0224">
        <w:t xml:space="preserve">consideration of additional spectrum for MBB services. </w:t>
      </w:r>
      <w:r>
        <w:t xml:space="preserve">This </w:t>
      </w:r>
      <w:r w:rsidR="003272CD">
        <w:t xml:space="preserve">approach </w:t>
      </w:r>
      <w:r>
        <w:t>was foreshadowed in the October 2016 discussion paper</w:t>
      </w:r>
      <w:r w:rsidR="005C4E42">
        <w:t>,</w:t>
      </w:r>
      <w:r>
        <w:t xml:space="preserve"> where the potential for advancing the two bands through the remaining stages of the process at different rates was discussed. </w:t>
      </w:r>
    </w:p>
    <w:p w14:paraId="08123F32" w14:textId="77777777" w:rsidR="0016458D" w:rsidRDefault="0016458D" w:rsidP="005C4E42">
      <w:pPr>
        <w:spacing w:after="80"/>
      </w:pPr>
      <w:r>
        <w:t>Th</w:t>
      </w:r>
      <w:r w:rsidR="0061226F">
        <w:t>e</w:t>
      </w:r>
      <w:r>
        <w:t xml:space="preserve"> decision on work prioritisation is partly to enable </w:t>
      </w:r>
      <w:r w:rsidR="00137B96">
        <w:t xml:space="preserve">limited ACMA </w:t>
      </w:r>
      <w:r>
        <w:t>resources to be focused on facilitating the timely release of spectrum. However, timing has also been affected, and will continue to be affected, by factors unique to each band, such as:</w:t>
      </w:r>
    </w:p>
    <w:p w14:paraId="3F0F037B" w14:textId="77777777" w:rsidR="0016458D" w:rsidRPr="009F50E2" w:rsidRDefault="0016458D" w:rsidP="0016458D">
      <w:pPr>
        <w:pStyle w:val="ListBullet"/>
      </w:pPr>
      <w:r w:rsidRPr="00D94C1D">
        <w:t xml:space="preserve">incumbency issues, </w:t>
      </w:r>
      <w:r>
        <w:t xml:space="preserve">for example, </w:t>
      </w:r>
      <w:r w:rsidRPr="00D94C1D">
        <w:t xml:space="preserve">whether services will be required to re-locate </w:t>
      </w:r>
      <w:r w:rsidRPr="000E6E09">
        <w:t>from a band (or geographical location)</w:t>
      </w:r>
      <w:r>
        <w:t>,</w:t>
      </w:r>
      <w:r w:rsidRPr="000E6E09">
        <w:t xml:space="preserve"> and how much time is required to do this</w:t>
      </w:r>
    </w:p>
    <w:p w14:paraId="3E0566DE" w14:textId="77777777" w:rsidR="0016458D" w:rsidRDefault="0016458D" w:rsidP="0016458D">
      <w:pPr>
        <w:pStyle w:val="ListBullet"/>
      </w:pPr>
      <w:r>
        <w:t>international considerations, such as the development of internationally</w:t>
      </w:r>
      <w:r w:rsidR="005C4E42">
        <w:t>-</w:t>
      </w:r>
      <w:r>
        <w:t>harmonised band arrangements</w:t>
      </w:r>
    </w:p>
    <w:p w14:paraId="70481CAD" w14:textId="77777777" w:rsidR="0016458D" w:rsidRDefault="0016458D" w:rsidP="0016458D">
      <w:pPr>
        <w:pStyle w:val="ListBulletLast"/>
      </w:pPr>
      <w:r>
        <w:t xml:space="preserve">the availability of MBB equipment. </w:t>
      </w:r>
    </w:p>
    <w:p w14:paraId="1981045F" w14:textId="77777777" w:rsidR="00137B96" w:rsidRDefault="0016458D" w:rsidP="00137B96">
      <w:pPr>
        <w:pStyle w:val="CommentText"/>
      </w:pPr>
      <w:r>
        <w:t xml:space="preserve">There are incumbency issues in both the 1.5 GHz and 3.6 GHz band. However, the disruption to incumbent operators is more evident in the 3.6 GHz </w:t>
      </w:r>
      <w:r w:rsidR="0061226F">
        <w:t>band</w:t>
      </w:r>
      <w:r w:rsidR="005C4E42">
        <w:t>,</w:t>
      </w:r>
      <w:r w:rsidR="0061226F">
        <w:t xml:space="preserve"> </w:t>
      </w:r>
      <w:r>
        <w:t xml:space="preserve">where the revision of Embargo 42 </w:t>
      </w:r>
      <w:r w:rsidR="0061226F">
        <w:t>to include regional areas</w:t>
      </w:r>
      <w:r w:rsidR="00137B96">
        <w:t xml:space="preserve"> has been strongly opposed by incumbent point</w:t>
      </w:r>
      <w:r w:rsidR="005C4E42">
        <w:t>-</w:t>
      </w:r>
      <w:r w:rsidR="00137B96">
        <w:t>to</w:t>
      </w:r>
      <w:r w:rsidR="005C4E42">
        <w:t>-</w:t>
      </w:r>
      <w:r w:rsidR="00137B96">
        <w:t xml:space="preserve">multipoint operators, including a number who are seeking to further expand operations using this spectrum. An arguable advantage of prioritising work on the 3.6 GHz band is that it </w:t>
      </w:r>
      <w:r w:rsidR="00137B96" w:rsidRPr="005B0224">
        <w:t>w</w:t>
      </w:r>
      <w:r w:rsidR="00137B96">
        <w:t>ould</w:t>
      </w:r>
      <w:r w:rsidR="00137B96" w:rsidRPr="005B0224">
        <w:t xml:space="preserve"> provide </w:t>
      </w:r>
      <w:r w:rsidR="00137B96">
        <w:t xml:space="preserve">earlier </w:t>
      </w:r>
      <w:r w:rsidR="00137B96" w:rsidRPr="005B0224">
        <w:t xml:space="preserve">certainty to incumbent services </w:t>
      </w:r>
      <w:r w:rsidR="005C4E42">
        <w:t>about</w:t>
      </w:r>
      <w:r w:rsidR="005C4E42" w:rsidRPr="005B0224">
        <w:t xml:space="preserve"> </w:t>
      </w:r>
      <w:r w:rsidR="00137B96" w:rsidRPr="005B0224">
        <w:t>long</w:t>
      </w:r>
      <w:r w:rsidR="005C4E42">
        <w:t>-</w:t>
      </w:r>
      <w:r w:rsidR="00137B96" w:rsidRPr="005B0224">
        <w:t>term arrangements in the band</w:t>
      </w:r>
      <w:r w:rsidR="005C4E42">
        <w:t>—</w:t>
      </w:r>
      <w:r w:rsidR="00137B96">
        <w:t>including, as applicable, either an earlier end than otherwise to the embargo, or clarity about</w:t>
      </w:r>
      <w:r w:rsidR="00137B96" w:rsidRPr="005B0224">
        <w:t xml:space="preserve"> any alternative options av</w:t>
      </w:r>
      <w:r w:rsidR="00137B96">
        <w:t>ailable to them for future operation or expansion.</w:t>
      </w:r>
    </w:p>
    <w:p w14:paraId="05917D2B" w14:textId="77777777" w:rsidR="00906F59" w:rsidRDefault="00906F59" w:rsidP="0016458D">
      <w:pPr>
        <w:rPr>
          <w:rFonts w:cs="Arial"/>
        </w:rPr>
      </w:pPr>
      <w:r>
        <w:rPr>
          <w:rFonts w:cs="Arial"/>
        </w:rPr>
        <w:t>Considerations by international bodies, including the ITU, 3GPP and APT are ongoing</w:t>
      </w:r>
      <w:r w:rsidR="0061226F">
        <w:rPr>
          <w:rFonts w:cs="Arial"/>
        </w:rPr>
        <w:t xml:space="preserve"> for both the 1.5 GHz and 3.6 GHz bands. However, the ACMA believes the domestic review of the bands can progress in parallel</w:t>
      </w:r>
      <w:r w:rsidR="00526020">
        <w:rPr>
          <w:rFonts w:cs="Arial"/>
        </w:rPr>
        <w:t>, taking account of i</w:t>
      </w:r>
      <w:r w:rsidR="0061226F">
        <w:rPr>
          <w:rFonts w:cs="Arial"/>
        </w:rPr>
        <w:t xml:space="preserve">nternational considerations as appropriate. </w:t>
      </w:r>
      <w:r>
        <w:rPr>
          <w:rFonts w:cs="Arial"/>
        </w:rPr>
        <w:t>This, and the availability of MBB equipment, may influence the timing of any re-farming process</w:t>
      </w:r>
      <w:r w:rsidR="005C4E42">
        <w:rPr>
          <w:rFonts w:cs="Arial"/>
        </w:rPr>
        <w:t>,</w:t>
      </w:r>
      <w:r>
        <w:rPr>
          <w:rFonts w:cs="Arial"/>
        </w:rPr>
        <w:t xml:space="preserve"> if that is the outcome of the review of these bands. </w:t>
      </w:r>
    </w:p>
    <w:p w14:paraId="397B8721" w14:textId="7631FC52" w:rsidR="0016458D" w:rsidRDefault="008E378E" w:rsidP="008E378E">
      <w:pPr>
        <w:pStyle w:val="CommentText"/>
      </w:pPr>
      <w:r>
        <w:t xml:space="preserve">A feature of submissions is the strength of views in favour </w:t>
      </w:r>
      <w:r w:rsidR="005C4E42">
        <w:t>of urgent</w:t>
      </w:r>
      <w:r>
        <w:t xml:space="preserve"> re</w:t>
      </w:r>
      <w:r w:rsidR="000A6F7E">
        <w:t>-</w:t>
      </w:r>
      <w:r>
        <w:t xml:space="preserve">allocation of spectrum, most strikingly in the case of the 3.6 GHz band, but also the major challenges for incumbents associated with re-farming both the 1.5 GHz and 3.6 GHz bands. While the ACMA will make every effort to respond </w:t>
      </w:r>
      <w:r w:rsidR="000A6F7E">
        <w:t xml:space="preserve">in a timely way </w:t>
      </w:r>
      <w:r>
        <w:t>to changes in the highest value use or user (if established), sufficient time is also needed to work through the legitimate issues raised by all affected parties</w:t>
      </w:r>
      <w:r w:rsidR="005C4E42">
        <w:t>,</w:t>
      </w:r>
      <w:r>
        <w:t xml:space="preserve"> in accordance with due process</w:t>
      </w:r>
      <w:r w:rsidR="005C4E42">
        <w:t>,</w:t>
      </w:r>
      <w:r>
        <w:t xml:space="preserve"> and for parties to consider options or preliminary views developed by the ACMA.  </w:t>
      </w:r>
    </w:p>
    <w:p w14:paraId="52FBD2C8" w14:textId="47E501F8" w:rsidR="0016458D" w:rsidRDefault="00311CA1" w:rsidP="0016458D">
      <w:pPr>
        <w:spacing w:before="240"/>
      </w:pPr>
      <w:hyperlink w:anchor="Table1" w:history="1">
        <w:r w:rsidR="003D47D9" w:rsidRPr="003D47D9">
          <w:rPr>
            <w:rStyle w:val="Hyperlink"/>
          </w:rPr>
          <w:t>Table 1</w:t>
        </w:r>
      </w:hyperlink>
      <w:r w:rsidR="0016458D">
        <w:t xml:space="preserve"> provides an indication of the notional timeline for the progression of </w:t>
      </w:r>
      <w:r w:rsidR="00906F59">
        <w:t xml:space="preserve">the 3.6 GHz </w:t>
      </w:r>
      <w:r w:rsidR="0016458D">
        <w:t xml:space="preserve">band through the </w:t>
      </w:r>
      <w:r w:rsidR="00906F59">
        <w:t xml:space="preserve">remainder of the </w:t>
      </w:r>
      <w:r w:rsidR="0016458D">
        <w:t>ACMA’s process</w:t>
      </w:r>
      <w:r w:rsidR="00906F59">
        <w:t xml:space="preserve"> for consideration of additional spectrum for MBB services</w:t>
      </w:r>
      <w:r w:rsidR="0016458D">
        <w:t xml:space="preserve">. Under some circumstances and if required, it may be possible for this process to be accelerated by running more steps in parallel, or by compressing steps. However, there </w:t>
      </w:r>
      <w:r w:rsidR="00906F59">
        <w:t xml:space="preserve">are </w:t>
      </w:r>
      <w:r w:rsidR="0016458D">
        <w:t xml:space="preserve">practical limits as to how fast some issues can be progressed, and there may also be a corresponding increase in associated risks. </w:t>
      </w:r>
    </w:p>
    <w:p w14:paraId="21D21BAC" w14:textId="77777777" w:rsidR="0016458D" w:rsidRDefault="0016458D" w:rsidP="0016458D">
      <w:r>
        <w:t xml:space="preserve">Importantly, whether the notional timeline is achievable and/or appropriate </w:t>
      </w:r>
      <w:r w:rsidR="00906F59">
        <w:t>continues to be</w:t>
      </w:r>
      <w:r>
        <w:t xml:space="preserve"> contingent on variety of factors, a critical one being the feedback received to </w:t>
      </w:r>
      <w:r>
        <w:lastRenderedPageBreak/>
        <w:t xml:space="preserve">ACMA discussion papers that contributes to the ACMA’s evidence-informed decision-making processes. </w:t>
      </w:r>
    </w:p>
    <w:p w14:paraId="147C673C" w14:textId="77777777" w:rsidR="0016458D" w:rsidRDefault="0016458D" w:rsidP="005C4E42">
      <w:pPr>
        <w:pStyle w:val="ACMATableHeader"/>
      </w:pPr>
      <w:bookmarkStart w:id="19" w:name="Table1"/>
      <w:bookmarkEnd w:id="19"/>
      <w:r w:rsidRPr="005C4E42">
        <w:t>Indicative</w:t>
      </w:r>
      <w:r w:rsidRPr="00FE427A">
        <w:t xml:space="preserve"> timeline for the progression of </w:t>
      </w:r>
      <w:r w:rsidR="001B20CD">
        <w:t xml:space="preserve">the 3.6 GHz </w:t>
      </w:r>
      <w:r>
        <w:t xml:space="preserve">band </w:t>
      </w:r>
      <w:r w:rsidRPr="00FE427A">
        <w:t xml:space="preserve">through the process for consideration of additional spectrum for </w:t>
      </w:r>
      <w:r>
        <w:t>MBB</w:t>
      </w:r>
      <w:r w:rsidRPr="00FE427A">
        <w:t xml:space="preserve"> services</w:t>
      </w:r>
    </w:p>
    <w:tbl>
      <w:tblPr>
        <w:tblStyle w:val="TableGrid"/>
        <w:tblW w:w="7950" w:type="dxa"/>
        <w:tblInd w:w="-147" w:type="dxa"/>
        <w:tblLayout w:type="fixed"/>
        <w:tblCellMar>
          <w:top w:w="57" w:type="dxa"/>
          <w:left w:w="57" w:type="dxa"/>
          <w:bottom w:w="57" w:type="dxa"/>
          <w:right w:w="57" w:type="dxa"/>
        </w:tblCellMar>
        <w:tblLook w:val="04A0" w:firstRow="1" w:lastRow="0" w:firstColumn="1" w:lastColumn="0" w:noHBand="0" w:noVBand="1"/>
        <w:tblCaption w:val="Indicative timeline for the progression of one band through the process for consideration of additional spectrum for MBB services"/>
        <w:tblDescription w:val="includes stage, milestones and indicative timings."/>
      </w:tblPr>
      <w:tblGrid>
        <w:gridCol w:w="2269"/>
        <w:gridCol w:w="4270"/>
        <w:gridCol w:w="1411"/>
      </w:tblGrid>
      <w:tr w:rsidR="0016458D" w14:paraId="7ABABA9B" w14:textId="77777777" w:rsidTr="0016458D">
        <w:trPr>
          <w:trHeight w:val="428"/>
          <w:tblHeader/>
        </w:trPr>
        <w:tc>
          <w:tcPr>
            <w:tcW w:w="2269" w:type="dxa"/>
            <w:shd w:val="clear" w:color="auto" w:fill="404040" w:themeFill="text1" w:themeFillTint="BF"/>
          </w:tcPr>
          <w:p w14:paraId="039122CC" w14:textId="77777777" w:rsidR="0016458D" w:rsidRPr="006D6661" w:rsidRDefault="0016458D" w:rsidP="0016458D">
            <w:pPr>
              <w:pStyle w:val="TableHeading"/>
              <w:rPr>
                <w:color w:val="FFFFFF" w:themeColor="background1"/>
              </w:rPr>
            </w:pPr>
            <w:r w:rsidRPr="006D6661">
              <w:rPr>
                <w:color w:val="FFFFFF" w:themeColor="background1"/>
              </w:rPr>
              <w:t>Stage</w:t>
            </w:r>
          </w:p>
        </w:tc>
        <w:tc>
          <w:tcPr>
            <w:tcW w:w="4270" w:type="dxa"/>
            <w:shd w:val="clear" w:color="auto" w:fill="404040" w:themeFill="text1" w:themeFillTint="BF"/>
          </w:tcPr>
          <w:p w14:paraId="71F08FD9" w14:textId="77777777" w:rsidR="0016458D" w:rsidRPr="006D6661" w:rsidRDefault="0016458D" w:rsidP="0016458D">
            <w:pPr>
              <w:pStyle w:val="TableHeading"/>
              <w:rPr>
                <w:color w:val="FFFFFF" w:themeColor="background1"/>
              </w:rPr>
            </w:pPr>
            <w:r w:rsidRPr="006D6661">
              <w:rPr>
                <w:color w:val="FFFFFF" w:themeColor="background1"/>
              </w:rPr>
              <w:t>Milestone</w:t>
            </w:r>
          </w:p>
        </w:tc>
        <w:tc>
          <w:tcPr>
            <w:tcW w:w="1411" w:type="dxa"/>
            <w:shd w:val="clear" w:color="auto" w:fill="404040" w:themeFill="text1" w:themeFillTint="BF"/>
          </w:tcPr>
          <w:p w14:paraId="34CB6A53" w14:textId="77777777" w:rsidR="0016458D" w:rsidRPr="006D6661" w:rsidRDefault="0016458D" w:rsidP="0016458D">
            <w:pPr>
              <w:pStyle w:val="TableHeading"/>
              <w:rPr>
                <w:color w:val="FFFFFF" w:themeColor="background1"/>
              </w:rPr>
            </w:pPr>
            <w:r w:rsidRPr="006D6661">
              <w:rPr>
                <w:color w:val="FFFFFF" w:themeColor="background1"/>
              </w:rPr>
              <w:t>Date</w:t>
            </w:r>
          </w:p>
        </w:tc>
      </w:tr>
      <w:tr w:rsidR="0016458D" w14:paraId="2471B13E" w14:textId="77777777" w:rsidTr="0016458D">
        <w:tc>
          <w:tcPr>
            <w:tcW w:w="2269" w:type="dxa"/>
            <w:vMerge w:val="restart"/>
            <w:shd w:val="clear" w:color="auto" w:fill="auto"/>
            <w:tcMar>
              <w:left w:w="57" w:type="dxa"/>
              <w:right w:w="57" w:type="dxa"/>
            </w:tcMar>
          </w:tcPr>
          <w:p w14:paraId="6895BEF2" w14:textId="77777777" w:rsidR="0016458D" w:rsidRPr="00733DC2" w:rsidRDefault="0016458D" w:rsidP="0016458D">
            <w:pPr>
              <w:spacing w:after="0"/>
              <w:rPr>
                <w:rFonts w:cs="Arial"/>
                <w:b/>
                <w:sz w:val="18"/>
                <w:szCs w:val="18"/>
              </w:rPr>
            </w:pPr>
            <w:r w:rsidRPr="00733DC2">
              <w:rPr>
                <w:rFonts w:cs="Arial"/>
                <w:b/>
                <w:sz w:val="18"/>
                <w:szCs w:val="18"/>
              </w:rPr>
              <w:t>Stage 1</w:t>
            </w:r>
            <w:r>
              <w:rPr>
                <w:rFonts w:cs="Arial"/>
                <w:b/>
                <w:sz w:val="18"/>
                <w:szCs w:val="18"/>
              </w:rPr>
              <w:t>—</w:t>
            </w:r>
            <w:r>
              <w:rPr>
                <w:rFonts w:cs="Arial"/>
                <w:b/>
                <w:sz w:val="18"/>
                <w:szCs w:val="18"/>
              </w:rPr>
              <w:br/>
            </w:r>
            <w:r w:rsidRPr="00733DC2">
              <w:rPr>
                <w:rFonts w:cs="Arial"/>
                <w:b/>
                <w:sz w:val="18"/>
                <w:szCs w:val="18"/>
              </w:rPr>
              <w:t xml:space="preserve">Initial </w:t>
            </w:r>
            <w:r>
              <w:rPr>
                <w:rFonts w:cs="Arial"/>
                <w:b/>
                <w:sz w:val="18"/>
                <w:szCs w:val="18"/>
              </w:rPr>
              <w:t>i</w:t>
            </w:r>
            <w:r w:rsidRPr="00733DC2">
              <w:rPr>
                <w:rFonts w:cs="Arial"/>
                <w:b/>
                <w:sz w:val="18"/>
                <w:szCs w:val="18"/>
              </w:rPr>
              <w:t>nvestigation</w:t>
            </w:r>
          </w:p>
        </w:tc>
        <w:tc>
          <w:tcPr>
            <w:tcW w:w="4270" w:type="dxa"/>
            <w:shd w:val="clear" w:color="auto" w:fill="auto"/>
          </w:tcPr>
          <w:p w14:paraId="53CB46D2" w14:textId="77777777" w:rsidR="0016458D" w:rsidRPr="00733DC2" w:rsidRDefault="0016458D" w:rsidP="0016458D">
            <w:pPr>
              <w:spacing w:after="0"/>
              <w:rPr>
                <w:rFonts w:cs="Arial"/>
                <w:sz w:val="18"/>
                <w:szCs w:val="18"/>
              </w:rPr>
            </w:pPr>
            <w:r w:rsidRPr="00733DC2">
              <w:rPr>
                <w:rFonts w:cs="Arial"/>
                <w:sz w:val="18"/>
                <w:szCs w:val="18"/>
              </w:rPr>
              <w:t>Release: Initial investigation of the 1427</w:t>
            </w:r>
            <w:r>
              <w:rPr>
                <w:rFonts w:cs="Arial"/>
                <w:sz w:val="18"/>
                <w:szCs w:val="18"/>
              </w:rPr>
              <w:t>–</w:t>
            </w:r>
            <w:r w:rsidRPr="00733DC2">
              <w:rPr>
                <w:rFonts w:cs="Arial"/>
                <w:sz w:val="18"/>
                <w:szCs w:val="18"/>
              </w:rPr>
              <w:t>1518 MHz and 3575</w:t>
            </w:r>
            <w:r>
              <w:rPr>
                <w:rFonts w:cs="Arial"/>
                <w:sz w:val="18"/>
                <w:szCs w:val="18"/>
              </w:rPr>
              <w:t>–</w:t>
            </w:r>
            <w:r w:rsidRPr="00733DC2">
              <w:rPr>
                <w:rFonts w:cs="Arial"/>
                <w:sz w:val="18"/>
                <w:szCs w:val="18"/>
              </w:rPr>
              <w:t xml:space="preserve">3700 MHz bands for </w:t>
            </w:r>
            <w:r>
              <w:rPr>
                <w:rFonts w:cs="Arial"/>
                <w:sz w:val="18"/>
                <w:szCs w:val="18"/>
              </w:rPr>
              <w:t>MBB</w:t>
            </w:r>
            <w:r w:rsidRPr="00733DC2">
              <w:rPr>
                <w:rFonts w:cs="Arial"/>
                <w:sz w:val="18"/>
                <w:szCs w:val="18"/>
              </w:rPr>
              <w:t xml:space="preserve"> services discussion paper</w:t>
            </w:r>
          </w:p>
        </w:tc>
        <w:tc>
          <w:tcPr>
            <w:tcW w:w="1411" w:type="dxa"/>
            <w:shd w:val="clear" w:color="auto" w:fill="auto"/>
            <w:tcMar>
              <w:left w:w="57" w:type="dxa"/>
              <w:right w:w="57" w:type="dxa"/>
            </w:tcMar>
          </w:tcPr>
          <w:p w14:paraId="3868B843" w14:textId="77777777" w:rsidR="0016458D" w:rsidRPr="00733DC2" w:rsidRDefault="0016458D" w:rsidP="0016458D">
            <w:pPr>
              <w:spacing w:after="0"/>
              <w:rPr>
                <w:rFonts w:cs="Arial"/>
                <w:sz w:val="18"/>
                <w:szCs w:val="18"/>
              </w:rPr>
            </w:pPr>
            <w:r>
              <w:rPr>
                <w:rFonts w:cs="Arial"/>
                <w:sz w:val="18"/>
                <w:szCs w:val="18"/>
              </w:rPr>
              <w:t>October 2016</w:t>
            </w:r>
          </w:p>
        </w:tc>
      </w:tr>
      <w:tr w:rsidR="0016458D" w14:paraId="48EA9E61" w14:textId="77777777" w:rsidTr="0016458D">
        <w:tc>
          <w:tcPr>
            <w:tcW w:w="2269" w:type="dxa"/>
            <w:vMerge/>
            <w:shd w:val="clear" w:color="auto" w:fill="auto"/>
            <w:tcMar>
              <w:left w:w="57" w:type="dxa"/>
              <w:right w:w="57" w:type="dxa"/>
            </w:tcMar>
          </w:tcPr>
          <w:p w14:paraId="38A95544" w14:textId="77777777" w:rsidR="0016458D" w:rsidRPr="00733DC2" w:rsidRDefault="0016458D" w:rsidP="0016458D">
            <w:pPr>
              <w:spacing w:after="0"/>
              <w:rPr>
                <w:rFonts w:cs="Arial"/>
                <w:b/>
                <w:sz w:val="18"/>
                <w:szCs w:val="18"/>
              </w:rPr>
            </w:pPr>
          </w:p>
        </w:tc>
        <w:tc>
          <w:tcPr>
            <w:tcW w:w="4270" w:type="dxa"/>
            <w:shd w:val="clear" w:color="auto" w:fill="auto"/>
          </w:tcPr>
          <w:p w14:paraId="5338DEF4" w14:textId="77777777" w:rsidR="0016458D" w:rsidRPr="00733DC2" w:rsidRDefault="0016458D" w:rsidP="005C4E42">
            <w:pPr>
              <w:spacing w:after="0"/>
              <w:rPr>
                <w:rFonts w:cs="Arial"/>
                <w:sz w:val="18"/>
                <w:szCs w:val="18"/>
              </w:rPr>
            </w:pPr>
            <w:r w:rsidRPr="00733DC2">
              <w:rPr>
                <w:rFonts w:cs="Arial"/>
                <w:sz w:val="18"/>
                <w:szCs w:val="18"/>
              </w:rPr>
              <w:t>Submissions to discussion paper</w:t>
            </w:r>
            <w:r w:rsidR="005C4E42">
              <w:rPr>
                <w:rFonts w:cs="Arial"/>
                <w:sz w:val="18"/>
                <w:szCs w:val="18"/>
              </w:rPr>
              <w:t xml:space="preserve"> </w:t>
            </w:r>
            <w:r w:rsidR="005C4E42" w:rsidRPr="00733DC2">
              <w:rPr>
                <w:rFonts w:cs="Arial"/>
                <w:sz w:val="18"/>
                <w:szCs w:val="18"/>
              </w:rPr>
              <w:t>due</w:t>
            </w:r>
          </w:p>
        </w:tc>
        <w:tc>
          <w:tcPr>
            <w:tcW w:w="1411" w:type="dxa"/>
            <w:shd w:val="clear" w:color="auto" w:fill="auto"/>
            <w:tcMar>
              <w:left w:w="57" w:type="dxa"/>
              <w:right w:w="57" w:type="dxa"/>
            </w:tcMar>
          </w:tcPr>
          <w:p w14:paraId="47CE1AE5" w14:textId="77777777" w:rsidR="0016458D" w:rsidRPr="00733DC2" w:rsidRDefault="00EA6B1F" w:rsidP="0016458D">
            <w:pPr>
              <w:spacing w:after="0"/>
              <w:rPr>
                <w:rFonts w:cs="Arial"/>
                <w:sz w:val="18"/>
                <w:szCs w:val="18"/>
              </w:rPr>
            </w:pPr>
            <w:r>
              <w:rPr>
                <w:rFonts w:cs="Arial"/>
                <w:sz w:val="18"/>
                <w:szCs w:val="18"/>
              </w:rPr>
              <w:t xml:space="preserve">December </w:t>
            </w:r>
            <w:r w:rsidR="0016458D">
              <w:rPr>
                <w:rFonts w:cs="Arial"/>
                <w:sz w:val="18"/>
                <w:szCs w:val="18"/>
              </w:rPr>
              <w:t>2016</w:t>
            </w:r>
          </w:p>
        </w:tc>
      </w:tr>
      <w:tr w:rsidR="0016458D" w14:paraId="695EBEBD" w14:textId="77777777" w:rsidTr="0016458D">
        <w:tc>
          <w:tcPr>
            <w:tcW w:w="2269" w:type="dxa"/>
            <w:vMerge/>
            <w:shd w:val="clear" w:color="auto" w:fill="auto"/>
            <w:tcMar>
              <w:left w:w="57" w:type="dxa"/>
              <w:right w:w="57" w:type="dxa"/>
            </w:tcMar>
          </w:tcPr>
          <w:p w14:paraId="6BCACB3F" w14:textId="77777777" w:rsidR="0016458D" w:rsidRPr="00733DC2" w:rsidRDefault="0016458D" w:rsidP="0016458D">
            <w:pPr>
              <w:spacing w:after="0"/>
              <w:rPr>
                <w:rFonts w:cs="Arial"/>
                <w:b/>
                <w:sz w:val="18"/>
                <w:szCs w:val="18"/>
              </w:rPr>
            </w:pPr>
          </w:p>
        </w:tc>
        <w:tc>
          <w:tcPr>
            <w:tcW w:w="4270" w:type="dxa"/>
            <w:shd w:val="clear" w:color="auto" w:fill="auto"/>
          </w:tcPr>
          <w:p w14:paraId="5DE4322F" w14:textId="77777777" w:rsidR="0016458D" w:rsidRPr="00733DC2" w:rsidRDefault="0016458D" w:rsidP="0016458D">
            <w:pPr>
              <w:spacing w:after="0"/>
              <w:rPr>
                <w:rFonts w:cs="Arial"/>
                <w:sz w:val="18"/>
                <w:szCs w:val="18"/>
              </w:rPr>
            </w:pPr>
            <w:r>
              <w:rPr>
                <w:rFonts w:cs="Arial"/>
                <w:sz w:val="18"/>
                <w:szCs w:val="18"/>
              </w:rPr>
              <w:t xml:space="preserve">Consideration of </w:t>
            </w:r>
            <w:r w:rsidR="003272CD">
              <w:rPr>
                <w:rFonts w:cs="Arial"/>
                <w:sz w:val="18"/>
                <w:szCs w:val="18"/>
              </w:rPr>
              <w:t xml:space="preserve">submissions and </w:t>
            </w:r>
            <w:r>
              <w:rPr>
                <w:rFonts w:cs="Arial"/>
                <w:sz w:val="18"/>
                <w:szCs w:val="18"/>
              </w:rPr>
              <w:t xml:space="preserve">whether to progress consideration of the band </w:t>
            </w:r>
            <w:r w:rsidRPr="00733DC2">
              <w:rPr>
                <w:rFonts w:cs="Arial"/>
                <w:sz w:val="18"/>
                <w:szCs w:val="18"/>
              </w:rPr>
              <w:t xml:space="preserve">to </w:t>
            </w:r>
            <w:r w:rsidRPr="000043F4">
              <w:rPr>
                <w:rFonts w:cs="Arial"/>
                <w:sz w:val="18"/>
                <w:szCs w:val="18"/>
              </w:rPr>
              <w:t>stage 2</w:t>
            </w:r>
            <w:r>
              <w:rPr>
                <w:rFonts w:cs="Arial"/>
                <w:sz w:val="18"/>
                <w:szCs w:val="18"/>
              </w:rPr>
              <w:t>—</w:t>
            </w:r>
            <w:r w:rsidRPr="00733DC2">
              <w:rPr>
                <w:rFonts w:cs="Arial"/>
                <w:i/>
                <w:sz w:val="18"/>
                <w:szCs w:val="18"/>
              </w:rPr>
              <w:t>preliminary re-planning</w:t>
            </w:r>
          </w:p>
        </w:tc>
        <w:tc>
          <w:tcPr>
            <w:tcW w:w="1411" w:type="dxa"/>
            <w:shd w:val="clear" w:color="auto" w:fill="auto"/>
            <w:tcMar>
              <w:left w:w="57" w:type="dxa"/>
              <w:right w:w="57" w:type="dxa"/>
            </w:tcMar>
          </w:tcPr>
          <w:p w14:paraId="1666307C" w14:textId="77777777" w:rsidR="0016458D" w:rsidRPr="00733DC2" w:rsidRDefault="003272CD" w:rsidP="003272CD">
            <w:pPr>
              <w:spacing w:after="0"/>
              <w:rPr>
                <w:rFonts w:cs="Arial"/>
                <w:sz w:val="18"/>
                <w:szCs w:val="18"/>
              </w:rPr>
            </w:pPr>
            <w:r>
              <w:rPr>
                <w:rFonts w:cs="Arial"/>
                <w:sz w:val="18"/>
                <w:szCs w:val="18"/>
              </w:rPr>
              <w:t>December 2016</w:t>
            </w:r>
            <w:r w:rsidR="005C4E42">
              <w:rPr>
                <w:rFonts w:cs="Arial"/>
                <w:sz w:val="18"/>
                <w:szCs w:val="18"/>
              </w:rPr>
              <w:t xml:space="preserve"> – </w:t>
            </w:r>
            <w:r>
              <w:rPr>
                <w:rFonts w:cs="Arial"/>
                <w:sz w:val="18"/>
                <w:szCs w:val="18"/>
              </w:rPr>
              <w:t>May 2017</w:t>
            </w:r>
          </w:p>
        </w:tc>
      </w:tr>
      <w:tr w:rsidR="0016458D" w14:paraId="4CCCB1B9" w14:textId="77777777" w:rsidTr="0016458D">
        <w:tc>
          <w:tcPr>
            <w:tcW w:w="2269" w:type="dxa"/>
            <w:vMerge w:val="restart"/>
            <w:shd w:val="clear" w:color="auto" w:fill="F2F2F2" w:themeFill="background1" w:themeFillShade="F2"/>
            <w:tcMar>
              <w:left w:w="57" w:type="dxa"/>
              <w:right w:w="57" w:type="dxa"/>
            </w:tcMar>
          </w:tcPr>
          <w:p w14:paraId="72C8539D" w14:textId="77777777" w:rsidR="0016458D" w:rsidRPr="00733DC2" w:rsidRDefault="0016458D" w:rsidP="0016458D">
            <w:pPr>
              <w:spacing w:after="0"/>
              <w:rPr>
                <w:rFonts w:cs="Arial"/>
                <w:b/>
                <w:sz w:val="18"/>
                <w:szCs w:val="18"/>
              </w:rPr>
            </w:pPr>
            <w:r w:rsidRPr="00733DC2">
              <w:rPr>
                <w:rFonts w:cs="Arial"/>
                <w:b/>
                <w:sz w:val="18"/>
                <w:szCs w:val="18"/>
              </w:rPr>
              <w:t>Stage 2</w:t>
            </w:r>
            <w:r>
              <w:rPr>
                <w:rFonts w:cs="Arial"/>
                <w:b/>
                <w:sz w:val="18"/>
                <w:szCs w:val="18"/>
              </w:rPr>
              <w:t>—</w:t>
            </w:r>
            <w:r>
              <w:rPr>
                <w:rFonts w:cs="Arial"/>
                <w:b/>
                <w:sz w:val="18"/>
                <w:szCs w:val="18"/>
              </w:rPr>
              <w:br/>
            </w:r>
            <w:r w:rsidRPr="00733DC2">
              <w:rPr>
                <w:rFonts w:cs="Arial"/>
                <w:b/>
                <w:sz w:val="18"/>
                <w:szCs w:val="18"/>
              </w:rPr>
              <w:t xml:space="preserve">Preliminary </w:t>
            </w:r>
            <w:r>
              <w:rPr>
                <w:rFonts w:cs="Arial"/>
                <w:b/>
                <w:sz w:val="18"/>
                <w:szCs w:val="18"/>
              </w:rPr>
              <w:t>r</w:t>
            </w:r>
            <w:r w:rsidRPr="00733DC2">
              <w:rPr>
                <w:rFonts w:cs="Arial"/>
                <w:b/>
                <w:sz w:val="18"/>
                <w:szCs w:val="18"/>
              </w:rPr>
              <w:t>e-planning</w:t>
            </w:r>
          </w:p>
        </w:tc>
        <w:tc>
          <w:tcPr>
            <w:tcW w:w="4270" w:type="dxa"/>
            <w:shd w:val="clear" w:color="auto" w:fill="F2F2F2" w:themeFill="background1" w:themeFillShade="F2"/>
          </w:tcPr>
          <w:p w14:paraId="0A3CB103" w14:textId="6D077D12" w:rsidR="0016458D" w:rsidRPr="00733DC2" w:rsidRDefault="0016458D" w:rsidP="000A6F7E">
            <w:pPr>
              <w:spacing w:after="0"/>
              <w:rPr>
                <w:rFonts w:cs="Arial"/>
                <w:sz w:val="18"/>
                <w:szCs w:val="18"/>
              </w:rPr>
            </w:pPr>
            <w:r>
              <w:rPr>
                <w:rFonts w:cs="Arial"/>
                <w:sz w:val="18"/>
                <w:szCs w:val="18"/>
              </w:rPr>
              <w:t xml:space="preserve">Release: second discussion paper focused on </w:t>
            </w:r>
            <w:r w:rsidR="000A6F7E">
              <w:rPr>
                <w:rFonts w:cs="Arial"/>
                <w:sz w:val="18"/>
                <w:szCs w:val="18"/>
              </w:rPr>
              <w:t xml:space="preserve">the 3.6 GHz </w:t>
            </w:r>
            <w:r>
              <w:rPr>
                <w:rFonts w:cs="Arial"/>
                <w:sz w:val="18"/>
                <w:szCs w:val="18"/>
              </w:rPr>
              <w:t xml:space="preserve">band providing </w:t>
            </w:r>
            <w:r w:rsidR="000A6F7E">
              <w:rPr>
                <w:rFonts w:cs="Arial"/>
                <w:sz w:val="18"/>
                <w:szCs w:val="18"/>
              </w:rPr>
              <w:t xml:space="preserve">comprehensive </w:t>
            </w:r>
            <w:r>
              <w:rPr>
                <w:rFonts w:cs="Arial"/>
                <w:sz w:val="18"/>
                <w:szCs w:val="18"/>
              </w:rPr>
              <w:t>highest-value use assessment and planning options</w:t>
            </w:r>
          </w:p>
        </w:tc>
        <w:tc>
          <w:tcPr>
            <w:tcW w:w="1411" w:type="dxa"/>
            <w:shd w:val="clear" w:color="auto" w:fill="F2F2F2" w:themeFill="background1" w:themeFillShade="F2"/>
            <w:tcMar>
              <w:left w:w="57" w:type="dxa"/>
              <w:right w:w="57" w:type="dxa"/>
            </w:tcMar>
          </w:tcPr>
          <w:p w14:paraId="555F870C" w14:textId="77777777" w:rsidR="0016458D" w:rsidRPr="00733DC2" w:rsidRDefault="00906F59" w:rsidP="0016458D">
            <w:pPr>
              <w:spacing w:after="0"/>
              <w:rPr>
                <w:rFonts w:cs="Arial"/>
                <w:sz w:val="18"/>
                <w:szCs w:val="18"/>
              </w:rPr>
            </w:pPr>
            <w:r>
              <w:rPr>
                <w:rFonts w:cs="Arial"/>
                <w:sz w:val="18"/>
                <w:szCs w:val="18"/>
              </w:rPr>
              <w:t>June</w:t>
            </w:r>
            <w:r w:rsidR="0016458D">
              <w:rPr>
                <w:rFonts w:cs="Arial"/>
                <w:sz w:val="18"/>
                <w:szCs w:val="18"/>
              </w:rPr>
              <w:t xml:space="preserve"> 2017</w:t>
            </w:r>
          </w:p>
        </w:tc>
      </w:tr>
      <w:tr w:rsidR="0016458D" w14:paraId="27762970" w14:textId="77777777" w:rsidTr="0016458D">
        <w:tc>
          <w:tcPr>
            <w:tcW w:w="2269" w:type="dxa"/>
            <w:vMerge/>
            <w:shd w:val="clear" w:color="auto" w:fill="F2F2F2" w:themeFill="background1" w:themeFillShade="F2"/>
            <w:tcMar>
              <w:left w:w="57" w:type="dxa"/>
              <w:right w:w="57" w:type="dxa"/>
            </w:tcMar>
          </w:tcPr>
          <w:p w14:paraId="63CAE24B" w14:textId="77777777" w:rsidR="0016458D" w:rsidRPr="00733DC2" w:rsidRDefault="0016458D" w:rsidP="0016458D">
            <w:pPr>
              <w:spacing w:after="0"/>
              <w:rPr>
                <w:rFonts w:cs="Arial"/>
                <w:b/>
                <w:sz w:val="18"/>
                <w:szCs w:val="18"/>
              </w:rPr>
            </w:pPr>
          </w:p>
        </w:tc>
        <w:tc>
          <w:tcPr>
            <w:tcW w:w="4270" w:type="dxa"/>
            <w:shd w:val="clear" w:color="auto" w:fill="F2F2F2" w:themeFill="background1" w:themeFillShade="F2"/>
          </w:tcPr>
          <w:p w14:paraId="79583A26" w14:textId="77777777" w:rsidR="0016458D" w:rsidRPr="00733DC2" w:rsidRDefault="0016458D" w:rsidP="005C4E42">
            <w:pPr>
              <w:spacing w:after="0"/>
              <w:rPr>
                <w:rFonts w:cs="Arial"/>
                <w:sz w:val="18"/>
                <w:szCs w:val="18"/>
              </w:rPr>
            </w:pPr>
            <w:r>
              <w:rPr>
                <w:rFonts w:cs="Arial"/>
                <w:sz w:val="18"/>
                <w:szCs w:val="18"/>
              </w:rPr>
              <w:t>Submissions to second discussion paper</w:t>
            </w:r>
            <w:r w:rsidR="005C4E42">
              <w:rPr>
                <w:rFonts w:cs="Arial"/>
                <w:sz w:val="18"/>
                <w:szCs w:val="18"/>
              </w:rPr>
              <w:t xml:space="preserve"> due</w:t>
            </w:r>
          </w:p>
        </w:tc>
        <w:tc>
          <w:tcPr>
            <w:tcW w:w="1411" w:type="dxa"/>
            <w:shd w:val="clear" w:color="auto" w:fill="F2F2F2" w:themeFill="background1" w:themeFillShade="F2"/>
            <w:tcMar>
              <w:left w:w="57" w:type="dxa"/>
              <w:right w:w="57" w:type="dxa"/>
            </w:tcMar>
          </w:tcPr>
          <w:p w14:paraId="48BBBB04" w14:textId="24426629" w:rsidR="003272CD" w:rsidRPr="003E7778" w:rsidRDefault="00D92C9C" w:rsidP="0016458D">
            <w:pPr>
              <w:spacing w:after="0"/>
              <w:rPr>
                <w:rFonts w:cs="Arial"/>
                <w:b/>
                <w:sz w:val="18"/>
                <w:szCs w:val="18"/>
              </w:rPr>
            </w:pPr>
            <w:r w:rsidRPr="003E7778">
              <w:rPr>
                <w:rFonts w:cs="Arial"/>
                <w:b/>
                <w:sz w:val="18"/>
                <w:szCs w:val="18"/>
              </w:rPr>
              <w:t xml:space="preserve">30 </w:t>
            </w:r>
            <w:r w:rsidR="00906F59" w:rsidRPr="003E7778">
              <w:rPr>
                <w:rFonts w:cs="Arial"/>
                <w:b/>
                <w:sz w:val="18"/>
                <w:szCs w:val="18"/>
              </w:rPr>
              <w:t>July</w:t>
            </w:r>
            <w:r w:rsidR="0016458D" w:rsidRPr="003E7778">
              <w:rPr>
                <w:rFonts w:cs="Arial"/>
                <w:b/>
                <w:sz w:val="18"/>
                <w:szCs w:val="18"/>
              </w:rPr>
              <w:t xml:space="preserve"> 2017</w:t>
            </w:r>
            <w:r w:rsidR="003272CD" w:rsidRPr="003E7778">
              <w:rPr>
                <w:rFonts w:cs="Arial"/>
                <w:b/>
                <w:sz w:val="18"/>
                <w:szCs w:val="18"/>
              </w:rPr>
              <w:t xml:space="preserve"> </w:t>
            </w:r>
          </w:p>
          <w:p w14:paraId="650261FE" w14:textId="2255F150" w:rsidR="0016458D" w:rsidRPr="00733DC2" w:rsidRDefault="0016458D" w:rsidP="005C4E42">
            <w:pPr>
              <w:spacing w:after="0"/>
              <w:rPr>
                <w:rFonts w:cs="Arial"/>
                <w:sz w:val="18"/>
                <w:szCs w:val="18"/>
              </w:rPr>
            </w:pPr>
          </w:p>
        </w:tc>
      </w:tr>
      <w:tr w:rsidR="0016458D" w14:paraId="5920FCD0" w14:textId="77777777" w:rsidTr="0016458D">
        <w:tc>
          <w:tcPr>
            <w:tcW w:w="2269" w:type="dxa"/>
            <w:vMerge/>
            <w:shd w:val="clear" w:color="auto" w:fill="F2F2F2" w:themeFill="background1" w:themeFillShade="F2"/>
            <w:tcMar>
              <w:left w:w="57" w:type="dxa"/>
              <w:right w:w="57" w:type="dxa"/>
            </w:tcMar>
          </w:tcPr>
          <w:p w14:paraId="7B207132" w14:textId="77777777" w:rsidR="0016458D" w:rsidRPr="00733DC2" w:rsidRDefault="0016458D" w:rsidP="0016458D">
            <w:pPr>
              <w:spacing w:after="0"/>
              <w:rPr>
                <w:rFonts w:cs="Arial"/>
                <w:b/>
                <w:sz w:val="18"/>
                <w:szCs w:val="18"/>
              </w:rPr>
            </w:pPr>
          </w:p>
        </w:tc>
        <w:tc>
          <w:tcPr>
            <w:tcW w:w="4270" w:type="dxa"/>
            <w:shd w:val="clear" w:color="auto" w:fill="F2F2F2" w:themeFill="background1" w:themeFillShade="F2"/>
          </w:tcPr>
          <w:p w14:paraId="26A37E41" w14:textId="77777777" w:rsidR="0016458D" w:rsidRPr="007326D7" w:rsidRDefault="0016458D" w:rsidP="00650BD6">
            <w:pPr>
              <w:spacing w:after="0"/>
              <w:rPr>
                <w:rFonts w:cs="Arial"/>
                <w:sz w:val="18"/>
                <w:szCs w:val="18"/>
              </w:rPr>
            </w:pPr>
            <w:r>
              <w:rPr>
                <w:rFonts w:cs="Arial"/>
                <w:sz w:val="18"/>
                <w:szCs w:val="18"/>
              </w:rPr>
              <w:t>Release: decision paper on whether band will move to stage 3—</w:t>
            </w:r>
            <w:r>
              <w:rPr>
                <w:rFonts w:cs="Arial"/>
                <w:i/>
                <w:sz w:val="18"/>
                <w:szCs w:val="18"/>
              </w:rPr>
              <w:t>r</w:t>
            </w:r>
            <w:r w:rsidRPr="00733DC2">
              <w:rPr>
                <w:rFonts w:cs="Arial"/>
                <w:i/>
                <w:sz w:val="18"/>
                <w:szCs w:val="18"/>
              </w:rPr>
              <w:t>e-farming</w:t>
            </w:r>
            <w:r>
              <w:rPr>
                <w:rFonts w:cs="Arial"/>
                <w:sz w:val="18"/>
                <w:szCs w:val="18"/>
              </w:rPr>
              <w:t xml:space="preserve"> </w:t>
            </w:r>
          </w:p>
        </w:tc>
        <w:tc>
          <w:tcPr>
            <w:tcW w:w="1411" w:type="dxa"/>
            <w:shd w:val="clear" w:color="auto" w:fill="F2F2F2" w:themeFill="background1" w:themeFillShade="F2"/>
            <w:tcMar>
              <w:left w:w="57" w:type="dxa"/>
              <w:right w:w="57" w:type="dxa"/>
            </w:tcMar>
          </w:tcPr>
          <w:p w14:paraId="692F5D73" w14:textId="5355FE38" w:rsidR="0016458D" w:rsidRPr="00910E2A" w:rsidRDefault="000A6F7E" w:rsidP="0016458D">
            <w:pPr>
              <w:spacing w:after="0"/>
              <w:rPr>
                <w:rFonts w:cs="Arial"/>
                <w:sz w:val="18"/>
                <w:szCs w:val="18"/>
              </w:rPr>
            </w:pPr>
            <w:r w:rsidRPr="00E52559">
              <w:rPr>
                <w:rFonts w:cs="Arial"/>
                <w:sz w:val="18"/>
                <w:szCs w:val="18"/>
              </w:rPr>
              <w:t>No earlier than late Q3 2017</w:t>
            </w:r>
          </w:p>
        </w:tc>
      </w:tr>
      <w:tr w:rsidR="0016458D" w14:paraId="7FAEA964" w14:textId="77777777" w:rsidTr="0016458D">
        <w:tc>
          <w:tcPr>
            <w:tcW w:w="2269" w:type="dxa"/>
            <w:shd w:val="clear" w:color="auto" w:fill="auto"/>
            <w:tcMar>
              <w:left w:w="57" w:type="dxa"/>
              <w:right w:w="57" w:type="dxa"/>
            </w:tcMar>
          </w:tcPr>
          <w:p w14:paraId="618F90F3" w14:textId="77777777" w:rsidR="0016458D" w:rsidRPr="00733DC2" w:rsidRDefault="0016458D" w:rsidP="00650BD6">
            <w:pPr>
              <w:spacing w:after="0"/>
              <w:rPr>
                <w:rFonts w:cs="Arial"/>
                <w:b/>
                <w:sz w:val="18"/>
                <w:szCs w:val="18"/>
              </w:rPr>
            </w:pPr>
            <w:r w:rsidRPr="00733DC2">
              <w:rPr>
                <w:rFonts w:cs="Arial"/>
                <w:b/>
                <w:sz w:val="18"/>
                <w:szCs w:val="18"/>
              </w:rPr>
              <w:t>Stage 3–</w:t>
            </w:r>
            <w:r>
              <w:rPr>
                <w:rFonts w:cs="Arial"/>
                <w:b/>
                <w:sz w:val="18"/>
                <w:szCs w:val="18"/>
              </w:rPr>
              <w:br/>
            </w:r>
            <w:r w:rsidRPr="00733DC2">
              <w:rPr>
                <w:rFonts w:cs="Arial"/>
                <w:b/>
                <w:sz w:val="18"/>
                <w:szCs w:val="18"/>
              </w:rPr>
              <w:t>Re-farming</w:t>
            </w:r>
          </w:p>
        </w:tc>
        <w:tc>
          <w:tcPr>
            <w:tcW w:w="4270" w:type="dxa"/>
            <w:shd w:val="clear" w:color="auto" w:fill="auto"/>
          </w:tcPr>
          <w:p w14:paraId="5BB8AEDD" w14:textId="77777777" w:rsidR="0016458D" w:rsidRDefault="0016458D" w:rsidP="0016458D">
            <w:pPr>
              <w:spacing w:after="0"/>
              <w:rPr>
                <w:rFonts w:cs="Arial"/>
                <w:sz w:val="18"/>
                <w:szCs w:val="18"/>
              </w:rPr>
            </w:pPr>
            <w:r>
              <w:rPr>
                <w:rFonts w:cs="Arial"/>
                <w:sz w:val="18"/>
                <w:szCs w:val="18"/>
              </w:rPr>
              <w:t xml:space="preserve">Commencement of </w:t>
            </w:r>
            <w:r>
              <w:rPr>
                <w:rFonts w:cs="Arial"/>
                <w:i/>
                <w:sz w:val="18"/>
                <w:szCs w:val="18"/>
              </w:rPr>
              <w:t>re-farming</w:t>
            </w:r>
            <w:r>
              <w:rPr>
                <w:rFonts w:cs="Arial"/>
                <w:sz w:val="18"/>
                <w:szCs w:val="18"/>
              </w:rPr>
              <w:t xml:space="preserve"> stage</w:t>
            </w:r>
            <w:r w:rsidR="00131F11">
              <w:rPr>
                <w:rFonts w:cs="Arial"/>
                <w:sz w:val="18"/>
                <w:szCs w:val="18"/>
              </w:rPr>
              <w:t xml:space="preserve">, if </w:t>
            </w:r>
            <w:r w:rsidR="00FF2BF5">
              <w:rPr>
                <w:rFonts w:cs="Arial"/>
                <w:sz w:val="18"/>
                <w:szCs w:val="18"/>
              </w:rPr>
              <w:t>relevant</w:t>
            </w:r>
          </w:p>
        </w:tc>
        <w:tc>
          <w:tcPr>
            <w:tcW w:w="1411" w:type="dxa"/>
            <w:shd w:val="clear" w:color="auto" w:fill="auto"/>
            <w:tcMar>
              <w:left w:w="57" w:type="dxa"/>
              <w:right w:w="57" w:type="dxa"/>
            </w:tcMar>
          </w:tcPr>
          <w:p w14:paraId="57194666" w14:textId="77777777" w:rsidR="0016458D" w:rsidRPr="00910E2A" w:rsidRDefault="0016458D" w:rsidP="0016458D">
            <w:pPr>
              <w:spacing w:after="0"/>
              <w:rPr>
                <w:rFonts w:cs="Arial"/>
                <w:sz w:val="18"/>
                <w:szCs w:val="18"/>
              </w:rPr>
            </w:pPr>
            <w:r>
              <w:rPr>
                <w:rFonts w:cs="Arial"/>
                <w:sz w:val="18"/>
                <w:szCs w:val="18"/>
              </w:rPr>
              <w:t>Q4 2017</w:t>
            </w:r>
          </w:p>
        </w:tc>
      </w:tr>
    </w:tbl>
    <w:p w14:paraId="6AA56892" w14:textId="77777777" w:rsidR="00906F59" w:rsidRDefault="00906F59" w:rsidP="0016458D"/>
    <w:p w14:paraId="66A9A3FF" w14:textId="77777777" w:rsidR="0016458D" w:rsidRDefault="001B20CD" w:rsidP="0016458D">
      <w:r>
        <w:t xml:space="preserve">The 1.5 GHz band will also be progressed to the </w:t>
      </w:r>
      <w:r w:rsidRPr="001B20CD">
        <w:rPr>
          <w:i/>
        </w:rPr>
        <w:t>preliminary replanning</w:t>
      </w:r>
      <w:r>
        <w:t xml:space="preserve"> stage of the process for consideration of additional spectrum for MBB services. This will include the release of further discussion papers</w:t>
      </w:r>
      <w:r w:rsidR="00650BD6">
        <w:t>,</w:t>
      </w:r>
      <w:r>
        <w:t xml:space="preserve"> with the next paper likely to be released in 2018. </w:t>
      </w:r>
    </w:p>
    <w:p w14:paraId="15054A40" w14:textId="77777777" w:rsidR="008863CB" w:rsidRDefault="008863CB" w:rsidP="008863CB">
      <w:pPr>
        <w:pStyle w:val="Heading1"/>
      </w:pPr>
      <w:bookmarkStart w:id="20" w:name="_Toc483998564"/>
      <w:r>
        <w:lastRenderedPageBreak/>
        <w:t>Annex A</w:t>
      </w:r>
      <w:r w:rsidR="00650BD6">
        <w:t>—</w:t>
      </w:r>
      <w:r>
        <w:t>Submissions received</w:t>
      </w:r>
      <w:bookmarkEnd w:id="20"/>
      <w:r>
        <w:t xml:space="preserve"> </w:t>
      </w:r>
    </w:p>
    <w:p w14:paraId="06FE4036" w14:textId="77777777" w:rsidR="00E14AA6" w:rsidRPr="00E14AA6" w:rsidRDefault="00E14AA6" w:rsidP="000043F4">
      <w:pPr>
        <w:pStyle w:val="Heading2"/>
        <w:spacing w:after="120"/>
      </w:pPr>
      <w:bookmarkStart w:id="21" w:name="_Toc483998565"/>
      <w:r>
        <w:t>All submissions</w:t>
      </w:r>
      <w:bookmarkEnd w:id="21"/>
    </w:p>
    <w:tbl>
      <w:tblPr>
        <w:tblW w:w="8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931"/>
        <w:gridCol w:w="2932"/>
        <w:gridCol w:w="2932"/>
      </w:tblGrid>
      <w:tr w:rsidR="00EF5035" w:rsidRPr="00650BD6" w14:paraId="3970647D" w14:textId="77777777" w:rsidTr="00D07ADE">
        <w:trPr>
          <w:trHeight w:val="300"/>
        </w:trPr>
        <w:tc>
          <w:tcPr>
            <w:tcW w:w="2931" w:type="dxa"/>
            <w:shd w:val="clear" w:color="auto" w:fill="auto"/>
            <w:noWrap/>
            <w:hideMark/>
          </w:tcPr>
          <w:p w14:paraId="62F20B9E" w14:textId="77777777" w:rsidR="00EF5035" w:rsidRPr="00650BD6" w:rsidRDefault="00EF5035" w:rsidP="0086279B">
            <w:pPr>
              <w:spacing w:after="0" w:line="240" w:lineRule="auto"/>
              <w:rPr>
                <w:rFonts w:cs="Arial"/>
                <w:color w:val="000000"/>
                <w:szCs w:val="20"/>
              </w:rPr>
            </w:pPr>
            <w:r w:rsidRPr="00650BD6">
              <w:rPr>
                <w:rFonts w:cs="Arial"/>
                <w:color w:val="000000"/>
                <w:szCs w:val="20"/>
              </w:rPr>
              <w:t>7upttg</w:t>
            </w:r>
          </w:p>
        </w:tc>
        <w:tc>
          <w:tcPr>
            <w:tcW w:w="2932" w:type="dxa"/>
          </w:tcPr>
          <w:p w14:paraId="7AB4887B" w14:textId="77777777" w:rsidR="00EF5035" w:rsidRPr="00650BD6" w:rsidRDefault="00EF5035" w:rsidP="0086279B">
            <w:pPr>
              <w:spacing w:after="0" w:line="240" w:lineRule="auto"/>
              <w:rPr>
                <w:rFonts w:cs="Arial"/>
                <w:color w:val="000000"/>
                <w:szCs w:val="20"/>
              </w:rPr>
            </w:pPr>
            <w:r w:rsidRPr="00650BD6">
              <w:rPr>
                <w:rFonts w:cs="Arial"/>
                <w:color w:val="000000"/>
                <w:szCs w:val="20"/>
              </w:rPr>
              <w:t>Ericsson Australia</w:t>
            </w:r>
          </w:p>
        </w:tc>
        <w:tc>
          <w:tcPr>
            <w:tcW w:w="2932" w:type="dxa"/>
          </w:tcPr>
          <w:p w14:paraId="7AE4DFF3" w14:textId="77777777" w:rsidR="00EF5035" w:rsidRPr="00650BD6" w:rsidRDefault="00EF5035" w:rsidP="0086279B">
            <w:pPr>
              <w:spacing w:after="0" w:line="240" w:lineRule="auto"/>
              <w:rPr>
                <w:rFonts w:cs="Arial"/>
                <w:color w:val="000000"/>
                <w:szCs w:val="20"/>
              </w:rPr>
            </w:pPr>
            <w:r w:rsidRPr="00650BD6">
              <w:rPr>
                <w:rFonts w:cs="Arial"/>
                <w:color w:val="000000"/>
                <w:szCs w:val="20"/>
              </w:rPr>
              <w:t>Nicola Pitt</w:t>
            </w:r>
          </w:p>
        </w:tc>
      </w:tr>
      <w:tr w:rsidR="00EF5035" w:rsidRPr="00650BD6" w14:paraId="1DF1890B" w14:textId="77777777" w:rsidTr="00D07ADE">
        <w:trPr>
          <w:trHeight w:val="300"/>
        </w:trPr>
        <w:tc>
          <w:tcPr>
            <w:tcW w:w="2931" w:type="dxa"/>
            <w:shd w:val="clear" w:color="auto" w:fill="auto"/>
            <w:noWrap/>
            <w:hideMark/>
          </w:tcPr>
          <w:p w14:paraId="27CBE8F4" w14:textId="77777777" w:rsidR="00EF5035" w:rsidRPr="00650BD6" w:rsidRDefault="00EF5035" w:rsidP="0086279B">
            <w:pPr>
              <w:spacing w:after="0" w:line="240" w:lineRule="auto"/>
              <w:rPr>
                <w:rFonts w:cs="Arial"/>
                <w:color w:val="000000"/>
                <w:szCs w:val="20"/>
              </w:rPr>
            </w:pPr>
            <w:r w:rsidRPr="00650BD6">
              <w:rPr>
                <w:rFonts w:cs="Arial"/>
                <w:color w:val="000000"/>
                <w:szCs w:val="20"/>
              </w:rPr>
              <w:t>Ace Internet Services</w:t>
            </w:r>
          </w:p>
        </w:tc>
        <w:tc>
          <w:tcPr>
            <w:tcW w:w="2932" w:type="dxa"/>
          </w:tcPr>
          <w:p w14:paraId="54B48E70" w14:textId="77777777" w:rsidR="00EF5035" w:rsidRPr="00650BD6" w:rsidRDefault="00EF5035" w:rsidP="0086279B">
            <w:pPr>
              <w:spacing w:after="0" w:line="240" w:lineRule="auto"/>
              <w:rPr>
                <w:rFonts w:cs="Arial"/>
                <w:color w:val="000000"/>
                <w:szCs w:val="20"/>
              </w:rPr>
            </w:pPr>
            <w:r w:rsidRPr="00650BD6">
              <w:rPr>
                <w:rFonts w:cs="Arial"/>
                <w:color w:val="000000"/>
                <w:szCs w:val="20"/>
              </w:rPr>
              <w:t>Federated Wireless, Inc.</w:t>
            </w:r>
          </w:p>
        </w:tc>
        <w:tc>
          <w:tcPr>
            <w:tcW w:w="2932" w:type="dxa"/>
          </w:tcPr>
          <w:p w14:paraId="2DC94890" w14:textId="77777777" w:rsidR="00EF5035" w:rsidRPr="00650BD6" w:rsidRDefault="00EF5035" w:rsidP="0086279B">
            <w:pPr>
              <w:spacing w:after="0" w:line="240" w:lineRule="auto"/>
              <w:rPr>
                <w:rFonts w:cs="Arial"/>
                <w:color w:val="000000"/>
                <w:szCs w:val="20"/>
              </w:rPr>
            </w:pPr>
            <w:r w:rsidRPr="00650BD6">
              <w:rPr>
                <w:rFonts w:cs="Arial"/>
                <w:color w:val="000000"/>
                <w:szCs w:val="20"/>
              </w:rPr>
              <w:t>Noni Wells</w:t>
            </w:r>
          </w:p>
        </w:tc>
      </w:tr>
      <w:tr w:rsidR="00EF5035" w:rsidRPr="00650BD6" w14:paraId="3E665BF7" w14:textId="77777777" w:rsidTr="00D07ADE">
        <w:trPr>
          <w:trHeight w:val="300"/>
        </w:trPr>
        <w:tc>
          <w:tcPr>
            <w:tcW w:w="2931" w:type="dxa"/>
            <w:shd w:val="clear" w:color="auto" w:fill="auto"/>
            <w:noWrap/>
            <w:hideMark/>
          </w:tcPr>
          <w:p w14:paraId="56231E79" w14:textId="77777777" w:rsidR="00EF5035" w:rsidRPr="00650BD6" w:rsidRDefault="00EF5035" w:rsidP="0086279B">
            <w:pPr>
              <w:spacing w:after="0" w:line="240" w:lineRule="auto"/>
              <w:rPr>
                <w:rFonts w:cs="Arial"/>
                <w:color w:val="000000"/>
                <w:szCs w:val="20"/>
              </w:rPr>
            </w:pPr>
            <w:proofErr w:type="spellStart"/>
            <w:r w:rsidRPr="00650BD6">
              <w:rPr>
                <w:rFonts w:cs="Arial"/>
                <w:color w:val="000000"/>
                <w:szCs w:val="20"/>
              </w:rPr>
              <w:t>Airservices</w:t>
            </w:r>
            <w:proofErr w:type="spellEnd"/>
            <w:r w:rsidRPr="00650BD6">
              <w:rPr>
                <w:rFonts w:cs="Arial"/>
                <w:color w:val="000000"/>
                <w:szCs w:val="20"/>
              </w:rPr>
              <w:t xml:space="preserve"> Australia</w:t>
            </w:r>
          </w:p>
        </w:tc>
        <w:tc>
          <w:tcPr>
            <w:tcW w:w="2932" w:type="dxa"/>
          </w:tcPr>
          <w:p w14:paraId="1C54D9A2" w14:textId="77777777" w:rsidR="00EF5035" w:rsidRPr="00650BD6" w:rsidRDefault="00EF5035" w:rsidP="0086279B">
            <w:pPr>
              <w:spacing w:after="0" w:line="240" w:lineRule="auto"/>
              <w:rPr>
                <w:rFonts w:cs="Arial"/>
                <w:color w:val="000000"/>
                <w:szCs w:val="20"/>
              </w:rPr>
            </w:pPr>
            <w:r w:rsidRPr="00650BD6">
              <w:rPr>
                <w:rFonts w:cs="Arial"/>
                <w:color w:val="000000"/>
                <w:szCs w:val="20"/>
              </w:rPr>
              <w:t>Global VSAT Forum</w:t>
            </w:r>
          </w:p>
        </w:tc>
        <w:tc>
          <w:tcPr>
            <w:tcW w:w="2932" w:type="dxa"/>
          </w:tcPr>
          <w:p w14:paraId="7E2DCEE0" w14:textId="77777777" w:rsidR="00EF5035" w:rsidRPr="00650BD6" w:rsidRDefault="00EF5035" w:rsidP="0086279B">
            <w:pPr>
              <w:spacing w:after="0" w:line="240" w:lineRule="auto"/>
              <w:rPr>
                <w:rFonts w:cs="Arial"/>
                <w:color w:val="000000"/>
                <w:szCs w:val="20"/>
              </w:rPr>
            </w:pPr>
            <w:r w:rsidRPr="00650BD6">
              <w:rPr>
                <w:rFonts w:cs="Arial"/>
                <w:color w:val="000000"/>
                <w:szCs w:val="20"/>
              </w:rPr>
              <w:t>Optus (Public and CIC)</w:t>
            </w:r>
          </w:p>
        </w:tc>
      </w:tr>
      <w:tr w:rsidR="00EF5035" w:rsidRPr="00650BD6" w14:paraId="5EBEC412" w14:textId="77777777" w:rsidTr="00D07ADE">
        <w:trPr>
          <w:trHeight w:val="300"/>
        </w:trPr>
        <w:tc>
          <w:tcPr>
            <w:tcW w:w="2931" w:type="dxa"/>
            <w:shd w:val="clear" w:color="auto" w:fill="auto"/>
            <w:noWrap/>
            <w:hideMark/>
          </w:tcPr>
          <w:p w14:paraId="77E2DE7B" w14:textId="77777777" w:rsidR="00EF5035" w:rsidRPr="00650BD6" w:rsidRDefault="00EF5035" w:rsidP="0086279B">
            <w:pPr>
              <w:spacing w:after="0" w:line="240" w:lineRule="auto"/>
              <w:rPr>
                <w:rFonts w:cs="Arial"/>
                <w:color w:val="000000"/>
                <w:szCs w:val="20"/>
              </w:rPr>
            </w:pPr>
            <w:r w:rsidRPr="00650BD6">
              <w:rPr>
                <w:rFonts w:cs="Arial"/>
                <w:color w:val="000000"/>
                <w:szCs w:val="20"/>
              </w:rPr>
              <w:t>Alexandra Earl</w:t>
            </w:r>
          </w:p>
        </w:tc>
        <w:tc>
          <w:tcPr>
            <w:tcW w:w="2932" w:type="dxa"/>
          </w:tcPr>
          <w:p w14:paraId="557E0706" w14:textId="77777777" w:rsidR="00EF5035" w:rsidRPr="00650BD6" w:rsidRDefault="00EF5035" w:rsidP="0086279B">
            <w:pPr>
              <w:spacing w:after="0" w:line="240" w:lineRule="auto"/>
              <w:rPr>
                <w:rFonts w:cs="Arial"/>
                <w:color w:val="000000"/>
                <w:szCs w:val="20"/>
              </w:rPr>
            </w:pPr>
            <w:proofErr w:type="spellStart"/>
            <w:r w:rsidRPr="00650BD6">
              <w:rPr>
                <w:rFonts w:cs="Arial"/>
                <w:color w:val="000000"/>
                <w:szCs w:val="20"/>
              </w:rPr>
              <w:t>Gmbdc</w:t>
            </w:r>
            <w:proofErr w:type="spellEnd"/>
            <w:r w:rsidRPr="00650BD6">
              <w:rPr>
                <w:rFonts w:cs="Arial"/>
                <w:color w:val="000000"/>
                <w:szCs w:val="20"/>
              </w:rPr>
              <w:t>*</w:t>
            </w:r>
          </w:p>
        </w:tc>
        <w:tc>
          <w:tcPr>
            <w:tcW w:w="2932" w:type="dxa"/>
          </w:tcPr>
          <w:p w14:paraId="5EE05236" w14:textId="77777777" w:rsidR="00EF5035" w:rsidRPr="00650BD6" w:rsidRDefault="00EF5035" w:rsidP="0086279B">
            <w:pPr>
              <w:spacing w:after="0" w:line="240" w:lineRule="auto"/>
              <w:rPr>
                <w:rFonts w:cs="Arial"/>
                <w:color w:val="000000"/>
                <w:szCs w:val="20"/>
              </w:rPr>
            </w:pPr>
            <w:r w:rsidRPr="00650BD6">
              <w:rPr>
                <w:rFonts w:cs="Arial"/>
                <w:color w:val="000000"/>
                <w:szCs w:val="20"/>
              </w:rPr>
              <w:t>Outstanding</w:t>
            </w:r>
          </w:p>
        </w:tc>
      </w:tr>
      <w:tr w:rsidR="00EF5035" w:rsidRPr="00650BD6" w14:paraId="52D82BA7" w14:textId="77777777" w:rsidTr="00D07ADE">
        <w:trPr>
          <w:trHeight w:val="300"/>
        </w:trPr>
        <w:tc>
          <w:tcPr>
            <w:tcW w:w="2931" w:type="dxa"/>
            <w:shd w:val="clear" w:color="auto" w:fill="auto"/>
            <w:noWrap/>
            <w:hideMark/>
          </w:tcPr>
          <w:p w14:paraId="5774DA4D" w14:textId="77777777" w:rsidR="00EF5035" w:rsidRPr="00650BD6" w:rsidRDefault="00EF5035" w:rsidP="0086279B">
            <w:pPr>
              <w:spacing w:after="0" w:line="240" w:lineRule="auto"/>
              <w:rPr>
                <w:rFonts w:cs="Arial"/>
                <w:color w:val="000000"/>
                <w:szCs w:val="20"/>
              </w:rPr>
            </w:pPr>
            <w:proofErr w:type="spellStart"/>
            <w:r w:rsidRPr="00650BD6">
              <w:rPr>
                <w:rFonts w:cs="Arial"/>
                <w:color w:val="000000"/>
                <w:szCs w:val="20"/>
              </w:rPr>
              <w:t>Alimatchett</w:t>
            </w:r>
            <w:proofErr w:type="spellEnd"/>
          </w:p>
        </w:tc>
        <w:tc>
          <w:tcPr>
            <w:tcW w:w="2932" w:type="dxa"/>
          </w:tcPr>
          <w:p w14:paraId="38E7AE2A" w14:textId="77777777" w:rsidR="00EF5035" w:rsidRPr="00650BD6" w:rsidRDefault="00EF5035" w:rsidP="0086279B">
            <w:pPr>
              <w:spacing w:after="0" w:line="240" w:lineRule="auto"/>
              <w:rPr>
                <w:rFonts w:cs="Arial"/>
                <w:color w:val="000000"/>
                <w:szCs w:val="20"/>
              </w:rPr>
            </w:pPr>
            <w:r w:rsidRPr="00650BD6">
              <w:rPr>
                <w:rFonts w:cs="Arial"/>
                <w:color w:val="000000"/>
                <w:szCs w:val="20"/>
              </w:rPr>
              <w:t xml:space="preserve">Gus </w:t>
            </w:r>
            <w:proofErr w:type="spellStart"/>
            <w:r w:rsidRPr="00650BD6">
              <w:rPr>
                <w:rFonts w:cs="Arial"/>
                <w:color w:val="000000"/>
                <w:szCs w:val="20"/>
              </w:rPr>
              <w:t>McClymont</w:t>
            </w:r>
            <w:proofErr w:type="spellEnd"/>
          </w:p>
        </w:tc>
        <w:tc>
          <w:tcPr>
            <w:tcW w:w="2932" w:type="dxa"/>
          </w:tcPr>
          <w:p w14:paraId="2B115434" w14:textId="77777777" w:rsidR="00EF5035" w:rsidRPr="00650BD6" w:rsidRDefault="00EF5035" w:rsidP="0086279B">
            <w:pPr>
              <w:spacing w:after="0" w:line="240" w:lineRule="auto"/>
              <w:rPr>
                <w:rFonts w:cs="Arial"/>
                <w:color w:val="000000"/>
                <w:szCs w:val="20"/>
              </w:rPr>
            </w:pPr>
            <w:proofErr w:type="spellStart"/>
            <w:r w:rsidRPr="00650BD6">
              <w:rPr>
                <w:rFonts w:cs="Arial"/>
                <w:color w:val="000000"/>
                <w:szCs w:val="20"/>
              </w:rPr>
              <w:t>QEStel</w:t>
            </w:r>
            <w:proofErr w:type="spellEnd"/>
          </w:p>
        </w:tc>
      </w:tr>
      <w:tr w:rsidR="00EF5035" w:rsidRPr="00650BD6" w14:paraId="3A919BC2" w14:textId="77777777" w:rsidTr="00D07ADE">
        <w:trPr>
          <w:trHeight w:val="300"/>
        </w:trPr>
        <w:tc>
          <w:tcPr>
            <w:tcW w:w="2931" w:type="dxa"/>
            <w:shd w:val="clear" w:color="auto" w:fill="auto"/>
            <w:noWrap/>
            <w:hideMark/>
          </w:tcPr>
          <w:p w14:paraId="4A0F7A90" w14:textId="77777777" w:rsidR="00EF5035" w:rsidRPr="00650BD6" w:rsidRDefault="00EF5035" w:rsidP="0086279B">
            <w:pPr>
              <w:spacing w:after="0" w:line="240" w:lineRule="auto"/>
              <w:rPr>
                <w:rFonts w:cs="Arial"/>
                <w:color w:val="000000"/>
                <w:szCs w:val="20"/>
              </w:rPr>
            </w:pPr>
            <w:r w:rsidRPr="00650BD6">
              <w:rPr>
                <w:rFonts w:cs="Arial"/>
                <w:color w:val="000000"/>
                <w:szCs w:val="20"/>
              </w:rPr>
              <w:t>AMTA</w:t>
            </w:r>
          </w:p>
        </w:tc>
        <w:tc>
          <w:tcPr>
            <w:tcW w:w="2932" w:type="dxa"/>
          </w:tcPr>
          <w:p w14:paraId="4EDDB86F" w14:textId="77777777" w:rsidR="00EF5035" w:rsidRPr="00650BD6" w:rsidRDefault="00EF5035" w:rsidP="0086279B">
            <w:pPr>
              <w:spacing w:after="0" w:line="240" w:lineRule="auto"/>
              <w:rPr>
                <w:rFonts w:cs="Arial"/>
                <w:color w:val="000000"/>
                <w:szCs w:val="20"/>
              </w:rPr>
            </w:pPr>
            <w:r w:rsidRPr="00650BD6">
              <w:rPr>
                <w:rFonts w:cs="Arial"/>
                <w:color w:val="000000"/>
                <w:szCs w:val="20"/>
              </w:rPr>
              <w:t>Huawei Australia</w:t>
            </w:r>
          </w:p>
        </w:tc>
        <w:tc>
          <w:tcPr>
            <w:tcW w:w="2932" w:type="dxa"/>
          </w:tcPr>
          <w:p w14:paraId="2AF95729" w14:textId="77777777" w:rsidR="00EF5035" w:rsidRPr="00650BD6" w:rsidRDefault="00EF5035" w:rsidP="0086279B">
            <w:pPr>
              <w:spacing w:after="0" w:line="240" w:lineRule="auto"/>
              <w:rPr>
                <w:rFonts w:cs="Arial"/>
                <w:color w:val="000000"/>
                <w:szCs w:val="20"/>
              </w:rPr>
            </w:pPr>
            <w:r w:rsidRPr="00650BD6">
              <w:rPr>
                <w:rFonts w:cs="Arial"/>
                <w:color w:val="000000"/>
                <w:szCs w:val="20"/>
              </w:rPr>
              <w:t>Qualcomm</w:t>
            </w:r>
          </w:p>
        </w:tc>
      </w:tr>
      <w:tr w:rsidR="00EF5035" w:rsidRPr="00650BD6" w14:paraId="6E842C24" w14:textId="77777777" w:rsidTr="00D07ADE">
        <w:trPr>
          <w:trHeight w:val="300"/>
        </w:trPr>
        <w:tc>
          <w:tcPr>
            <w:tcW w:w="2931" w:type="dxa"/>
            <w:shd w:val="clear" w:color="auto" w:fill="auto"/>
            <w:noWrap/>
            <w:hideMark/>
          </w:tcPr>
          <w:p w14:paraId="7F112F79" w14:textId="77777777" w:rsidR="00EF5035" w:rsidRPr="00650BD6" w:rsidRDefault="00EF5035" w:rsidP="0086279B">
            <w:pPr>
              <w:spacing w:after="0" w:line="240" w:lineRule="auto"/>
              <w:rPr>
                <w:rFonts w:cs="Arial"/>
                <w:color w:val="000000"/>
                <w:szCs w:val="20"/>
              </w:rPr>
            </w:pPr>
            <w:r w:rsidRPr="00650BD6">
              <w:rPr>
                <w:rFonts w:cs="Arial"/>
                <w:color w:val="000000"/>
                <w:szCs w:val="20"/>
              </w:rPr>
              <w:t>ASTRA</w:t>
            </w:r>
          </w:p>
        </w:tc>
        <w:tc>
          <w:tcPr>
            <w:tcW w:w="2932" w:type="dxa"/>
          </w:tcPr>
          <w:p w14:paraId="51573888" w14:textId="77777777" w:rsidR="00EF5035" w:rsidRPr="00650BD6" w:rsidRDefault="00EF5035" w:rsidP="0086279B">
            <w:pPr>
              <w:spacing w:after="0" w:line="240" w:lineRule="auto"/>
              <w:rPr>
                <w:rFonts w:cs="Arial"/>
                <w:color w:val="000000"/>
                <w:szCs w:val="20"/>
              </w:rPr>
            </w:pPr>
            <w:r w:rsidRPr="00650BD6">
              <w:rPr>
                <w:rFonts w:cs="Arial"/>
                <w:color w:val="000000"/>
                <w:szCs w:val="20"/>
              </w:rPr>
              <w:t>Inmarsat</w:t>
            </w:r>
          </w:p>
        </w:tc>
        <w:tc>
          <w:tcPr>
            <w:tcW w:w="2932" w:type="dxa"/>
          </w:tcPr>
          <w:p w14:paraId="1A2091C0" w14:textId="77777777" w:rsidR="00EF5035" w:rsidRPr="00650BD6" w:rsidRDefault="00EF5035" w:rsidP="0086279B">
            <w:pPr>
              <w:spacing w:after="0" w:line="240" w:lineRule="auto"/>
              <w:rPr>
                <w:rFonts w:cs="Arial"/>
                <w:color w:val="000000"/>
                <w:szCs w:val="20"/>
              </w:rPr>
            </w:pPr>
            <w:r w:rsidRPr="00650BD6">
              <w:rPr>
                <w:rFonts w:cs="Arial"/>
                <w:color w:val="000000"/>
                <w:szCs w:val="20"/>
              </w:rPr>
              <w:t xml:space="preserve">Richard Clawson </w:t>
            </w:r>
          </w:p>
        </w:tc>
      </w:tr>
      <w:tr w:rsidR="00EF5035" w:rsidRPr="00650BD6" w14:paraId="53C1BA17" w14:textId="77777777" w:rsidTr="00D07ADE">
        <w:trPr>
          <w:trHeight w:val="300"/>
        </w:trPr>
        <w:tc>
          <w:tcPr>
            <w:tcW w:w="2931" w:type="dxa"/>
            <w:shd w:val="clear" w:color="auto" w:fill="auto"/>
            <w:noWrap/>
            <w:hideMark/>
          </w:tcPr>
          <w:p w14:paraId="5F9E6686" w14:textId="77777777" w:rsidR="00EF5035" w:rsidRPr="00650BD6" w:rsidRDefault="00EF5035" w:rsidP="0086279B">
            <w:pPr>
              <w:spacing w:after="0" w:line="240" w:lineRule="auto"/>
              <w:rPr>
                <w:rFonts w:cs="Arial"/>
                <w:color w:val="000000"/>
                <w:szCs w:val="20"/>
              </w:rPr>
            </w:pPr>
            <w:r w:rsidRPr="00650BD6">
              <w:rPr>
                <w:rFonts w:cs="Arial"/>
                <w:color w:val="000000"/>
                <w:szCs w:val="20"/>
              </w:rPr>
              <w:t>BMS Network Solutions</w:t>
            </w:r>
          </w:p>
        </w:tc>
        <w:tc>
          <w:tcPr>
            <w:tcW w:w="2932" w:type="dxa"/>
          </w:tcPr>
          <w:p w14:paraId="5AD00FD9" w14:textId="77777777" w:rsidR="00EF5035" w:rsidRPr="00650BD6" w:rsidRDefault="00EF5035" w:rsidP="0086279B">
            <w:pPr>
              <w:spacing w:after="0" w:line="240" w:lineRule="auto"/>
              <w:rPr>
                <w:rFonts w:cs="Arial"/>
                <w:color w:val="000000"/>
                <w:szCs w:val="20"/>
              </w:rPr>
            </w:pPr>
            <w:r w:rsidRPr="00650BD6">
              <w:rPr>
                <w:rFonts w:cs="Arial"/>
                <w:color w:val="000000"/>
                <w:szCs w:val="20"/>
              </w:rPr>
              <w:t>Intelsat</w:t>
            </w:r>
          </w:p>
        </w:tc>
        <w:tc>
          <w:tcPr>
            <w:tcW w:w="2932" w:type="dxa"/>
          </w:tcPr>
          <w:p w14:paraId="7AFCEA9E" w14:textId="77777777" w:rsidR="00EF5035" w:rsidRPr="00650BD6" w:rsidRDefault="00EF5035" w:rsidP="0086279B">
            <w:pPr>
              <w:spacing w:after="0" w:line="240" w:lineRule="auto"/>
              <w:rPr>
                <w:rFonts w:cs="Arial"/>
                <w:color w:val="000000"/>
                <w:szCs w:val="20"/>
              </w:rPr>
            </w:pPr>
            <w:r w:rsidRPr="00650BD6">
              <w:rPr>
                <w:rFonts w:cs="Arial"/>
                <w:color w:val="000000"/>
                <w:szCs w:val="20"/>
              </w:rPr>
              <w:t xml:space="preserve">Robert </w:t>
            </w:r>
            <w:proofErr w:type="spellStart"/>
            <w:r w:rsidRPr="00650BD6">
              <w:rPr>
                <w:rFonts w:cs="Arial"/>
                <w:color w:val="000000"/>
                <w:szCs w:val="20"/>
              </w:rPr>
              <w:t>Jost</w:t>
            </w:r>
            <w:proofErr w:type="spellEnd"/>
          </w:p>
        </w:tc>
      </w:tr>
      <w:tr w:rsidR="00EF5035" w:rsidRPr="00650BD6" w14:paraId="429DB95D" w14:textId="77777777" w:rsidTr="00D07ADE">
        <w:trPr>
          <w:trHeight w:val="300"/>
        </w:trPr>
        <w:tc>
          <w:tcPr>
            <w:tcW w:w="2931" w:type="dxa"/>
            <w:shd w:val="clear" w:color="auto" w:fill="auto"/>
            <w:noWrap/>
            <w:hideMark/>
          </w:tcPr>
          <w:p w14:paraId="4A0CE696" w14:textId="77777777" w:rsidR="00EF5035" w:rsidRPr="00650BD6" w:rsidRDefault="00EF5035" w:rsidP="0086279B">
            <w:pPr>
              <w:spacing w:after="0" w:line="240" w:lineRule="auto"/>
              <w:rPr>
                <w:rFonts w:cs="Arial"/>
                <w:color w:val="000000"/>
                <w:szCs w:val="20"/>
              </w:rPr>
            </w:pPr>
            <w:proofErr w:type="spellStart"/>
            <w:r w:rsidRPr="00650BD6">
              <w:rPr>
                <w:rFonts w:cs="Arial"/>
                <w:color w:val="000000"/>
                <w:szCs w:val="20"/>
              </w:rPr>
              <w:t>Bremner</w:t>
            </w:r>
            <w:proofErr w:type="spellEnd"/>
            <w:r w:rsidRPr="00650BD6">
              <w:rPr>
                <w:rFonts w:cs="Arial"/>
                <w:color w:val="000000"/>
                <w:szCs w:val="20"/>
              </w:rPr>
              <w:t xml:space="preserve"> Farms</w:t>
            </w:r>
          </w:p>
        </w:tc>
        <w:tc>
          <w:tcPr>
            <w:tcW w:w="2932" w:type="dxa"/>
          </w:tcPr>
          <w:p w14:paraId="6BF6E759" w14:textId="77777777" w:rsidR="00EF5035" w:rsidRPr="00650BD6" w:rsidRDefault="00EF5035" w:rsidP="0086279B">
            <w:pPr>
              <w:spacing w:after="0" w:line="240" w:lineRule="auto"/>
              <w:rPr>
                <w:rFonts w:cs="Arial"/>
                <w:color w:val="000000"/>
                <w:szCs w:val="20"/>
              </w:rPr>
            </w:pPr>
            <w:r w:rsidRPr="00650BD6">
              <w:rPr>
                <w:rFonts w:cs="Arial"/>
                <w:color w:val="000000"/>
                <w:szCs w:val="20"/>
              </w:rPr>
              <w:t>Jacki Bishop</w:t>
            </w:r>
          </w:p>
        </w:tc>
        <w:tc>
          <w:tcPr>
            <w:tcW w:w="2932" w:type="dxa"/>
          </w:tcPr>
          <w:p w14:paraId="7A163FE2" w14:textId="77777777" w:rsidR="00EF5035" w:rsidRPr="00650BD6" w:rsidRDefault="00EF5035" w:rsidP="0086279B">
            <w:pPr>
              <w:spacing w:after="0" w:line="240" w:lineRule="auto"/>
              <w:rPr>
                <w:rFonts w:cs="Arial"/>
                <w:color w:val="000000"/>
                <w:szCs w:val="20"/>
              </w:rPr>
            </w:pPr>
            <w:r w:rsidRPr="00650BD6">
              <w:rPr>
                <w:rFonts w:cs="Arial"/>
                <w:color w:val="000000"/>
                <w:szCs w:val="20"/>
              </w:rPr>
              <w:t>Ruckus Wireless</w:t>
            </w:r>
          </w:p>
        </w:tc>
      </w:tr>
      <w:tr w:rsidR="00EF5035" w:rsidRPr="00650BD6" w14:paraId="6158A477" w14:textId="77777777" w:rsidTr="00D07ADE">
        <w:trPr>
          <w:trHeight w:val="300"/>
        </w:trPr>
        <w:tc>
          <w:tcPr>
            <w:tcW w:w="2931" w:type="dxa"/>
            <w:shd w:val="clear" w:color="auto" w:fill="auto"/>
            <w:noWrap/>
            <w:hideMark/>
          </w:tcPr>
          <w:p w14:paraId="37DCECCB" w14:textId="77777777" w:rsidR="00EF5035" w:rsidRPr="00650BD6" w:rsidRDefault="00EF5035" w:rsidP="0086279B">
            <w:pPr>
              <w:spacing w:after="0" w:line="240" w:lineRule="auto"/>
              <w:rPr>
                <w:rFonts w:cs="Arial"/>
                <w:color w:val="000000"/>
                <w:szCs w:val="20"/>
              </w:rPr>
            </w:pPr>
            <w:r w:rsidRPr="00650BD6">
              <w:rPr>
                <w:rFonts w:cs="Arial"/>
                <w:color w:val="000000"/>
                <w:szCs w:val="20"/>
              </w:rPr>
              <w:t>Brian Hanlon</w:t>
            </w:r>
          </w:p>
        </w:tc>
        <w:tc>
          <w:tcPr>
            <w:tcW w:w="2932" w:type="dxa"/>
          </w:tcPr>
          <w:p w14:paraId="3174F094" w14:textId="77777777" w:rsidR="00EF5035" w:rsidRPr="00650BD6" w:rsidRDefault="00EF5035" w:rsidP="0086279B">
            <w:pPr>
              <w:spacing w:after="0" w:line="240" w:lineRule="auto"/>
              <w:rPr>
                <w:rFonts w:cs="Arial"/>
                <w:color w:val="000000"/>
                <w:szCs w:val="20"/>
              </w:rPr>
            </w:pPr>
            <w:r w:rsidRPr="00650BD6">
              <w:rPr>
                <w:rFonts w:cs="Arial"/>
                <w:color w:val="000000"/>
                <w:szCs w:val="20"/>
              </w:rPr>
              <w:t xml:space="preserve">Jason </w:t>
            </w:r>
            <w:proofErr w:type="spellStart"/>
            <w:r w:rsidRPr="00650BD6">
              <w:rPr>
                <w:rFonts w:cs="Arial"/>
                <w:color w:val="000000"/>
                <w:szCs w:val="20"/>
              </w:rPr>
              <w:t>Quinnell</w:t>
            </w:r>
            <w:proofErr w:type="spellEnd"/>
          </w:p>
        </w:tc>
        <w:tc>
          <w:tcPr>
            <w:tcW w:w="2932" w:type="dxa"/>
          </w:tcPr>
          <w:p w14:paraId="6E3E2685" w14:textId="77777777" w:rsidR="00EF5035" w:rsidRPr="00650BD6" w:rsidRDefault="00EF5035" w:rsidP="0086279B">
            <w:pPr>
              <w:spacing w:after="0" w:line="240" w:lineRule="auto"/>
              <w:rPr>
                <w:rFonts w:cs="Arial"/>
                <w:color w:val="000000"/>
                <w:szCs w:val="20"/>
              </w:rPr>
            </w:pPr>
            <w:r w:rsidRPr="00650BD6">
              <w:rPr>
                <w:rFonts w:cs="Arial"/>
                <w:color w:val="000000"/>
                <w:szCs w:val="20"/>
              </w:rPr>
              <w:t>Sam de Beer</w:t>
            </w:r>
          </w:p>
        </w:tc>
      </w:tr>
      <w:tr w:rsidR="00EF5035" w:rsidRPr="00650BD6" w14:paraId="4FAA4D3D" w14:textId="77777777" w:rsidTr="00D07ADE">
        <w:trPr>
          <w:trHeight w:val="300"/>
        </w:trPr>
        <w:tc>
          <w:tcPr>
            <w:tcW w:w="2931" w:type="dxa"/>
            <w:shd w:val="clear" w:color="auto" w:fill="auto"/>
            <w:noWrap/>
            <w:hideMark/>
          </w:tcPr>
          <w:p w14:paraId="20AA55A7" w14:textId="77777777" w:rsidR="00EF5035" w:rsidRPr="00650BD6" w:rsidRDefault="00EF5035" w:rsidP="0086279B">
            <w:pPr>
              <w:spacing w:after="0" w:line="240" w:lineRule="auto"/>
              <w:rPr>
                <w:rFonts w:cs="Arial"/>
                <w:color w:val="000000"/>
                <w:szCs w:val="20"/>
              </w:rPr>
            </w:pPr>
            <w:proofErr w:type="spellStart"/>
            <w:r w:rsidRPr="00650BD6">
              <w:rPr>
                <w:rFonts w:cs="Arial"/>
                <w:color w:val="000000"/>
                <w:szCs w:val="20"/>
              </w:rPr>
              <w:t>Cacharelbriards</w:t>
            </w:r>
            <w:proofErr w:type="spellEnd"/>
            <w:r w:rsidRPr="00650BD6">
              <w:rPr>
                <w:rFonts w:cs="Arial"/>
                <w:color w:val="000000"/>
                <w:szCs w:val="20"/>
              </w:rPr>
              <w:t>*</w:t>
            </w:r>
          </w:p>
        </w:tc>
        <w:tc>
          <w:tcPr>
            <w:tcW w:w="2932" w:type="dxa"/>
          </w:tcPr>
          <w:p w14:paraId="41A4BB23" w14:textId="77777777" w:rsidR="00EF5035" w:rsidRPr="00650BD6" w:rsidRDefault="00EF5035" w:rsidP="0086279B">
            <w:pPr>
              <w:spacing w:after="0" w:line="240" w:lineRule="auto"/>
              <w:rPr>
                <w:rFonts w:cs="Arial"/>
                <w:color w:val="000000"/>
                <w:szCs w:val="20"/>
              </w:rPr>
            </w:pPr>
            <w:r w:rsidRPr="00650BD6">
              <w:rPr>
                <w:rFonts w:cs="Arial"/>
                <w:color w:val="000000"/>
                <w:szCs w:val="20"/>
              </w:rPr>
              <w:t>Jennifer Gleeson</w:t>
            </w:r>
          </w:p>
        </w:tc>
        <w:tc>
          <w:tcPr>
            <w:tcW w:w="2932" w:type="dxa"/>
          </w:tcPr>
          <w:p w14:paraId="67AC14E4" w14:textId="77777777" w:rsidR="00EF5035" w:rsidRPr="00650BD6" w:rsidRDefault="00EF5035" w:rsidP="0086279B">
            <w:pPr>
              <w:spacing w:after="0" w:line="240" w:lineRule="auto"/>
              <w:rPr>
                <w:rFonts w:cs="Arial"/>
                <w:color w:val="000000"/>
                <w:szCs w:val="20"/>
              </w:rPr>
            </w:pPr>
            <w:r w:rsidRPr="00650BD6">
              <w:rPr>
                <w:rFonts w:cs="Arial"/>
                <w:color w:val="000000"/>
                <w:szCs w:val="20"/>
              </w:rPr>
              <w:t xml:space="preserve">Scott Farm* </w:t>
            </w:r>
          </w:p>
        </w:tc>
      </w:tr>
      <w:tr w:rsidR="00EF5035" w:rsidRPr="00650BD6" w14:paraId="34C9C0E3" w14:textId="77777777" w:rsidTr="00D07ADE">
        <w:trPr>
          <w:trHeight w:val="300"/>
        </w:trPr>
        <w:tc>
          <w:tcPr>
            <w:tcW w:w="2931" w:type="dxa"/>
            <w:shd w:val="clear" w:color="auto" w:fill="auto"/>
            <w:noWrap/>
            <w:hideMark/>
          </w:tcPr>
          <w:p w14:paraId="5361F1E7" w14:textId="77777777" w:rsidR="00EF5035" w:rsidRPr="00650BD6" w:rsidRDefault="00EF5035" w:rsidP="0086279B">
            <w:pPr>
              <w:spacing w:after="0" w:line="240" w:lineRule="auto"/>
              <w:rPr>
                <w:rFonts w:cs="Arial"/>
                <w:color w:val="000000"/>
                <w:szCs w:val="20"/>
              </w:rPr>
            </w:pPr>
            <w:r w:rsidRPr="00650BD6">
              <w:rPr>
                <w:rFonts w:cs="Arial"/>
                <w:color w:val="000000"/>
                <w:szCs w:val="20"/>
              </w:rPr>
              <w:t>Cambium</w:t>
            </w:r>
          </w:p>
        </w:tc>
        <w:tc>
          <w:tcPr>
            <w:tcW w:w="2932" w:type="dxa"/>
          </w:tcPr>
          <w:p w14:paraId="6F8A1577" w14:textId="77777777" w:rsidR="00EF5035" w:rsidRPr="00650BD6" w:rsidRDefault="00EF5035" w:rsidP="0086279B">
            <w:pPr>
              <w:spacing w:after="0" w:line="240" w:lineRule="auto"/>
              <w:rPr>
                <w:rFonts w:cs="Arial"/>
                <w:color w:val="000000"/>
                <w:szCs w:val="20"/>
              </w:rPr>
            </w:pPr>
            <w:proofErr w:type="spellStart"/>
            <w:r w:rsidRPr="00650BD6">
              <w:rPr>
                <w:rFonts w:cs="Arial"/>
                <w:color w:val="000000"/>
                <w:szCs w:val="20"/>
              </w:rPr>
              <w:t>Jettech</w:t>
            </w:r>
            <w:proofErr w:type="spellEnd"/>
            <w:r w:rsidRPr="00650BD6">
              <w:rPr>
                <w:rFonts w:cs="Arial"/>
                <w:color w:val="000000"/>
                <w:szCs w:val="20"/>
              </w:rPr>
              <w:t xml:space="preserve"> Networks</w:t>
            </w:r>
          </w:p>
        </w:tc>
        <w:tc>
          <w:tcPr>
            <w:tcW w:w="2932" w:type="dxa"/>
          </w:tcPr>
          <w:p w14:paraId="1F665B50" w14:textId="77777777" w:rsidR="00EF5035" w:rsidRPr="00650BD6" w:rsidRDefault="00EF5035" w:rsidP="0086279B">
            <w:pPr>
              <w:spacing w:after="0" w:line="240" w:lineRule="auto"/>
              <w:rPr>
                <w:rFonts w:cs="Arial"/>
                <w:color w:val="000000"/>
                <w:szCs w:val="20"/>
              </w:rPr>
            </w:pPr>
            <w:r w:rsidRPr="00650BD6">
              <w:rPr>
                <w:rFonts w:cs="Arial"/>
                <w:color w:val="000000"/>
                <w:szCs w:val="20"/>
              </w:rPr>
              <w:t xml:space="preserve">Special Broadcasting Service </w:t>
            </w:r>
          </w:p>
        </w:tc>
      </w:tr>
      <w:tr w:rsidR="00EF5035" w:rsidRPr="00650BD6" w14:paraId="02A95902" w14:textId="77777777" w:rsidTr="00D07ADE">
        <w:trPr>
          <w:trHeight w:val="300"/>
        </w:trPr>
        <w:tc>
          <w:tcPr>
            <w:tcW w:w="2931" w:type="dxa"/>
            <w:shd w:val="clear" w:color="auto" w:fill="auto"/>
            <w:noWrap/>
            <w:hideMark/>
          </w:tcPr>
          <w:p w14:paraId="3AF9A07A" w14:textId="77777777" w:rsidR="00EF5035" w:rsidRPr="00650BD6" w:rsidRDefault="00EF5035" w:rsidP="0086279B">
            <w:pPr>
              <w:spacing w:after="0" w:line="240" w:lineRule="auto"/>
              <w:rPr>
                <w:rFonts w:cs="Arial"/>
                <w:color w:val="000000"/>
                <w:szCs w:val="20"/>
              </w:rPr>
            </w:pPr>
            <w:r w:rsidRPr="00650BD6">
              <w:rPr>
                <w:rFonts w:cs="Arial"/>
                <w:color w:val="000000"/>
                <w:szCs w:val="20"/>
              </w:rPr>
              <w:t>Chris Metcalf</w:t>
            </w:r>
          </w:p>
        </w:tc>
        <w:tc>
          <w:tcPr>
            <w:tcW w:w="2932" w:type="dxa"/>
          </w:tcPr>
          <w:p w14:paraId="158E4443" w14:textId="77777777" w:rsidR="00EF5035" w:rsidRPr="00650BD6" w:rsidRDefault="00EF5035" w:rsidP="0086279B">
            <w:pPr>
              <w:spacing w:after="0" w:line="240" w:lineRule="auto"/>
              <w:rPr>
                <w:rFonts w:cs="Arial"/>
                <w:color w:val="000000"/>
                <w:szCs w:val="20"/>
              </w:rPr>
            </w:pPr>
            <w:r w:rsidRPr="00650BD6">
              <w:rPr>
                <w:rFonts w:cs="Arial"/>
                <w:color w:val="000000"/>
                <w:szCs w:val="20"/>
              </w:rPr>
              <w:t>JNS*</w:t>
            </w:r>
          </w:p>
        </w:tc>
        <w:tc>
          <w:tcPr>
            <w:tcW w:w="2932" w:type="dxa"/>
          </w:tcPr>
          <w:p w14:paraId="0DDD6CF3" w14:textId="77777777" w:rsidR="00EF5035" w:rsidRPr="00650BD6" w:rsidRDefault="00EF5035" w:rsidP="0086279B">
            <w:pPr>
              <w:spacing w:after="0" w:line="240" w:lineRule="auto"/>
              <w:rPr>
                <w:rFonts w:cs="Arial"/>
                <w:color w:val="000000"/>
                <w:szCs w:val="20"/>
              </w:rPr>
            </w:pPr>
            <w:r w:rsidRPr="00650BD6">
              <w:rPr>
                <w:rFonts w:cs="Arial"/>
                <w:color w:val="000000"/>
                <w:szCs w:val="20"/>
              </w:rPr>
              <w:t>Steve Berger</w:t>
            </w:r>
          </w:p>
        </w:tc>
      </w:tr>
      <w:tr w:rsidR="00EF5035" w:rsidRPr="00650BD6" w14:paraId="617D4ADF" w14:textId="77777777" w:rsidTr="00D07ADE">
        <w:trPr>
          <w:trHeight w:val="300"/>
        </w:trPr>
        <w:tc>
          <w:tcPr>
            <w:tcW w:w="2931" w:type="dxa"/>
            <w:shd w:val="clear" w:color="auto" w:fill="auto"/>
            <w:noWrap/>
            <w:hideMark/>
          </w:tcPr>
          <w:p w14:paraId="35C85414" w14:textId="77777777" w:rsidR="00EF5035" w:rsidRPr="00650BD6" w:rsidRDefault="00EF5035" w:rsidP="0086279B">
            <w:pPr>
              <w:spacing w:after="0" w:line="240" w:lineRule="auto"/>
              <w:rPr>
                <w:rFonts w:cs="Arial"/>
                <w:color w:val="000000"/>
                <w:szCs w:val="20"/>
              </w:rPr>
            </w:pPr>
            <w:proofErr w:type="spellStart"/>
            <w:r w:rsidRPr="00650BD6">
              <w:rPr>
                <w:rFonts w:cs="Arial"/>
                <w:color w:val="000000"/>
                <w:szCs w:val="20"/>
              </w:rPr>
              <w:t>CipherTel</w:t>
            </w:r>
            <w:proofErr w:type="spellEnd"/>
          </w:p>
        </w:tc>
        <w:tc>
          <w:tcPr>
            <w:tcW w:w="2932" w:type="dxa"/>
          </w:tcPr>
          <w:p w14:paraId="614E5F81" w14:textId="77777777" w:rsidR="00EF5035" w:rsidRPr="00650BD6" w:rsidRDefault="00EF5035" w:rsidP="0086279B">
            <w:pPr>
              <w:spacing w:after="0" w:line="240" w:lineRule="auto"/>
              <w:rPr>
                <w:rFonts w:cs="Arial"/>
                <w:color w:val="000000"/>
                <w:szCs w:val="20"/>
              </w:rPr>
            </w:pPr>
            <w:r w:rsidRPr="00650BD6">
              <w:rPr>
                <w:rFonts w:cs="Arial"/>
                <w:color w:val="000000"/>
                <w:szCs w:val="20"/>
              </w:rPr>
              <w:t>Julien*</w:t>
            </w:r>
          </w:p>
        </w:tc>
        <w:tc>
          <w:tcPr>
            <w:tcW w:w="2932" w:type="dxa"/>
          </w:tcPr>
          <w:p w14:paraId="16B2B959" w14:textId="77777777" w:rsidR="00EF5035" w:rsidRPr="00650BD6" w:rsidRDefault="00EF5035" w:rsidP="0086279B">
            <w:pPr>
              <w:spacing w:after="0" w:line="240" w:lineRule="auto"/>
              <w:rPr>
                <w:rFonts w:cs="Arial"/>
                <w:color w:val="000000"/>
                <w:szCs w:val="20"/>
              </w:rPr>
            </w:pPr>
            <w:proofErr w:type="spellStart"/>
            <w:r w:rsidRPr="00650BD6">
              <w:rPr>
                <w:rFonts w:cs="Arial"/>
                <w:color w:val="000000"/>
                <w:szCs w:val="20"/>
              </w:rPr>
              <w:t>TasmaNet</w:t>
            </w:r>
            <w:proofErr w:type="spellEnd"/>
          </w:p>
        </w:tc>
      </w:tr>
      <w:tr w:rsidR="00EF5035" w:rsidRPr="00650BD6" w14:paraId="70615119" w14:textId="77777777" w:rsidTr="00D07ADE">
        <w:trPr>
          <w:trHeight w:val="300"/>
        </w:trPr>
        <w:tc>
          <w:tcPr>
            <w:tcW w:w="2931" w:type="dxa"/>
            <w:shd w:val="clear" w:color="auto" w:fill="auto"/>
            <w:noWrap/>
            <w:hideMark/>
          </w:tcPr>
          <w:p w14:paraId="1EAE280D" w14:textId="77777777" w:rsidR="00EF5035" w:rsidRPr="00650BD6" w:rsidRDefault="00EF5035" w:rsidP="0086279B">
            <w:pPr>
              <w:spacing w:after="0" w:line="240" w:lineRule="auto"/>
              <w:rPr>
                <w:rFonts w:cs="Arial"/>
                <w:color w:val="000000"/>
                <w:szCs w:val="20"/>
              </w:rPr>
            </w:pPr>
            <w:r w:rsidRPr="00650BD6">
              <w:rPr>
                <w:rFonts w:cs="Arial"/>
                <w:color w:val="000000"/>
                <w:szCs w:val="20"/>
              </w:rPr>
              <w:t>Comm</w:t>
            </w:r>
            <w:r w:rsidR="00DE193E">
              <w:rPr>
                <w:rFonts w:cs="Arial"/>
                <w:color w:val="000000"/>
                <w:szCs w:val="20"/>
              </w:rPr>
              <w:t>unication</w:t>
            </w:r>
            <w:r w:rsidRPr="00650BD6">
              <w:rPr>
                <w:rFonts w:cs="Arial"/>
                <w:color w:val="000000"/>
                <w:szCs w:val="20"/>
              </w:rPr>
              <w:t>s Alliance SSWG</w:t>
            </w:r>
          </w:p>
        </w:tc>
        <w:tc>
          <w:tcPr>
            <w:tcW w:w="2932" w:type="dxa"/>
          </w:tcPr>
          <w:p w14:paraId="1A4348CD" w14:textId="77777777" w:rsidR="00EF5035" w:rsidRPr="00650BD6" w:rsidRDefault="00EF5035" w:rsidP="0086279B">
            <w:pPr>
              <w:spacing w:after="0" w:line="240" w:lineRule="auto"/>
              <w:rPr>
                <w:rFonts w:cs="Arial"/>
                <w:color w:val="000000"/>
                <w:szCs w:val="20"/>
              </w:rPr>
            </w:pPr>
            <w:r w:rsidRPr="00650BD6">
              <w:rPr>
                <w:rFonts w:cs="Arial"/>
                <w:color w:val="000000"/>
                <w:szCs w:val="20"/>
              </w:rPr>
              <w:t>Ken Woodward</w:t>
            </w:r>
          </w:p>
        </w:tc>
        <w:tc>
          <w:tcPr>
            <w:tcW w:w="2932" w:type="dxa"/>
          </w:tcPr>
          <w:p w14:paraId="224C9E4A" w14:textId="77777777" w:rsidR="00EF5035" w:rsidRPr="00650BD6" w:rsidRDefault="00EF5035" w:rsidP="0086279B">
            <w:pPr>
              <w:spacing w:after="0" w:line="240" w:lineRule="auto"/>
              <w:rPr>
                <w:rFonts w:cs="Arial"/>
                <w:color w:val="000000"/>
                <w:szCs w:val="20"/>
              </w:rPr>
            </w:pPr>
            <w:r w:rsidRPr="00650BD6">
              <w:rPr>
                <w:rFonts w:cs="Arial"/>
                <w:color w:val="000000"/>
                <w:szCs w:val="20"/>
              </w:rPr>
              <w:t>Telstra</w:t>
            </w:r>
          </w:p>
        </w:tc>
      </w:tr>
      <w:tr w:rsidR="00EF5035" w:rsidRPr="00650BD6" w14:paraId="1277DC1A" w14:textId="77777777" w:rsidTr="00D07ADE">
        <w:trPr>
          <w:trHeight w:val="300"/>
        </w:trPr>
        <w:tc>
          <w:tcPr>
            <w:tcW w:w="2931" w:type="dxa"/>
            <w:shd w:val="clear" w:color="auto" w:fill="auto"/>
            <w:noWrap/>
            <w:hideMark/>
          </w:tcPr>
          <w:p w14:paraId="60713294" w14:textId="77777777" w:rsidR="00EF5035" w:rsidRPr="00650BD6" w:rsidRDefault="00EF5035" w:rsidP="0086279B">
            <w:pPr>
              <w:spacing w:after="0" w:line="240" w:lineRule="auto"/>
              <w:rPr>
                <w:rFonts w:cs="Arial"/>
                <w:color w:val="000000"/>
                <w:szCs w:val="20"/>
              </w:rPr>
            </w:pPr>
            <w:proofErr w:type="spellStart"/>
            <w:r w:rsidRPr="00650BD6">
              <w:rPr>
                <w:rFonts w:cs="Arial"/>
                <w:color w:val="000000"/>
                <w:szCs w:val="20"/>
              </w:rPr>
              <w:t>Countrytell</w:t>
            </w:r>
            <w:proofErr w:type="spellEnd"/>
          </w:p>
        </w:tc>
        <w:tc>
          <w:tcPr>
            <w:tcW w:w="2932" w:type="dxa"/>
          </w:tcPr>
          <w:p w14:paraId="71AE3366" w14:textId="77777777" w:rsidR="00EF5035" w:rsidRPr="00650BD6" w:rsidRDefault="00EF5035" w:rsidP="0086279B">
            <w:pPr>
              <w:spacing w:after="0" w:line="240" w:lineRule="auto"/>
              <w:rPr>
                <w:rFonts w:cs="Arial"/>
                <w:color w:val="000000"/>
                <w:szCs w:val="20"/>
              </w:rPr>
            </w:pPr>
            <w:r w:rsidRPr="00650BD6">
              <w:rPr>
                <w:rFonts w:cs="Arial"/>
                <w:color w:val="000000"/>
                <w:szCs w:val="20"/>
              </w:rPr>
              <w:t>Lance*</w:t>
            </w:r>
          </w:p>
        </w:tc>
        <w:tc>
          <w:tcPr>
            <w:tcW w:w="2932" w:type="dxa"/>
          </w:tcPr>
          <w:p w14:paraId="42F6D5E0" w14:textId="77777777" w:rsidR="00EF5035" w:rsidRPr="00650BD6" w:rsidRDefault="00EF5035" w:rsidP="0086279B">
            <w:pPr>
              <w:spacing w:after="0" w:line="240" w:lineRule="auto"/>
              <w:rPr>
                <w:rFonts w:cs="Arial"/>
                <w:color w:val="000000"/>
                <w:szCs w:val="20"/>
              </w:rPr>
            </w:pPr>
            <w:r w:rsidRPr="00650BD6">
              <w:rPr>
                <w:rFonts w:cs="Arial"/>
                <w:color w:val="000000"/>
                <w:szCs w:val="20"/>
              </w:rPr>
              <w:t>Thuraya</w:t>
            </w:r>
          </w:p>
        </w:tc>
      </w:tr>
      <w:tr w:rsidR="00EF5035" w:rsidRPr="00650BD6" w14:paraId="2EDE82D4" w14:textId="77777777" w:rsidTr="00D07ADE">
        <w:trPr>
          <w:trHeight w:val="300"/>
        </w:trPr>
        <w:tc>
          <w:tcPr>
            <w:tcW w:w="2931" w:type="dxa"/>
            <w:shd w:val="clear" w:color="auto" w:fill="auto"/>
            <w:noWrap/>
            <w:hideMark/>
          </w:tcPr>
          <w:p w14:paraId="1B43903D" w14:textId="77777777" w:rsidR="00EF5035" w:rsidRPr="00650BD6" w:rsidRDefault="00EF5035" w:rsidP="0086279B">
            <w:pPr>
              <w:spacing w:after="0" w:line="240" w:lineRule="auto"/>
              <w:rPr>
                <w:rFonts w:cs="Arial"/>
                <w:color w:val="000000"/>
                <w:szCs w:val="20"/>
              </w:rPr>
            </w:pPr>
            <w:r w:rsidRPr="00650BD6">
              <w:rPr>
                <w:rFonts w:cs="Arial"/>
                <w:color w:val="000000"/>
                <w:szCs w:val="20"/>
              </w:rPr>
              <w:t>Craig Bethel</w:t>
            </w:r>
          </w:p>
        </w:tc>
        <w:tc>
          <w:tcPr>
            <w:tcW w:w="2932" w:type="dxa"/>
          </w:tcPr>
          <w:p w14:paraId="0A012FE2" w14:textId="77777777" w:rsidR="00EF5035" w:rsidRPr="00650BD6" w:rsidRDefault="00EF5035" w:rsidP="0086279B">
            <w:pPr>
              <w:spacing w:after="0" w:line="240" w:lineRule="auto"/>
              <w:rPr>
                <w:rFonts w:cs="Arial"/>
                <w:color w:val="000000"/>
                <w:szCs w:val="20"/>
              </w:rPr>
            </w:pPr>
            <w:r w:rsidRPr="00650BD6">
              <w:rPr>
                <w:rFonts w:cs="Arial"/>
                <w:color w:val="000000"/>
                <w:szCs w:val="20"/>
              </w:rPr>
              <w:t>Lee &amp; Geoff Longmire</w:t>
            </w:r>
          </w:p>
        </w:tc>
        <w:tc>
          <w:tcPr>
            <w:tcW w:w="2932" w:type="dxa"/>
          </w:tcPr>
          <w:p w14:paraId="6A969BA9" w14:textId="77777777" w:rsidR="00EF5035" w:rsidRPr="00650BD6" w:rsidRDefault="00EF5035" w:rsidP="0086279B">
            <w:pPr>
              <w:spacing w:after="0" w:line="240" w:lineRule="auto"/>
              <w:rPr>
                <w:rFonts w:cs="Arial"/>
                <w:color w:val="000000"/>
                <w:szCs w:val="20"/>
              </w:rPr>
            </w:pPr>
            <w:r w:rsidRPr="00650BD6">
              <w:rPr>
                <w:rFonts w:cs="Arial"/>
                <w:color w:val="000000"/>
                <w:szCs w:val="20"/>
              </w:rPr>
              <w:t>Troy Strang</w:t>
            </w:r>
          </w:p>
        </w:tc>
      </w:tr>
      <w:tr w:rsidR="00EF5035" w:rsidRPr="00650BD6" w14:paraId="74BDE827" w14:textId="77777777" w:rsidTr="00D07ADE">
        <w:trPr>
          <w:trHeight w:val="300"/>
        </w:trPr>
        <w:tc>
          <w:tcPr>
            <w:tcW w:w="2931" w:type="dxa"/>
            <w:shd w:val="clear" w:color="auto" w:fill="auto"/>
            <w:noWrap/>
            <w:hideMark/>
          </w:tcPr>
          <w:p w14:paraId="294DD017" w14:textId="77777777" w:rsidR="00EF5035" w:rsidRPr="00650BD6" w:rsidRDefault="00EF5035" w:rsidP="0086279B">
            <w:pPr>
              <w:spacing w:after="0" w:line="240" w:lineRule="auto"/>
              <w:rPr>
                <w:rFonts w:cs="Arial"/>
                <w:color w:val="000000"/>
                <w:szCs w:val="20"/>
              </w:rPr>
            </w:pPr>
            <w:proofErr w:type="spellStart"/>
            <w:r w:rsidRPr="00650BD6">
              <w:rPr>
                <w:rFonts w:cs="Arial"/>
                <w:color w:val="000000"/>
                <w:szCs w:val="20"/>
              </w:rPr>
              <w:t>Darktime</w:t>
            </w:r>
            <w:proofErr w:type="spellEnd"/>
            <w:r w:rsidRPr="00650BD6">
              <w:rPr>
                <w:rFonts w:cs="Arial"/>
                <w:color w:val="000000"/>
                <w:szCs w:val="20"/>
              </w:rPr>
              <w:t xml:space="preserve"> IT</w:t>
            </w:r>
          </w:p>
        </w:tc>
        <w:tc>
          <w:tcPr>
            <w:tcW w:w="2932" w:type="dxa"/>
          </w:tcPr>
          <w:p w14:paraId="2934CA5D" w14:textId="77777777" w:rsidR="00EF5035" w:rsidRPr="00650BD6" w:rsidRDefault="00EF5035" w:rsidP="0086279B">
            <w:pPr>
              <w:spacing w:after="0" w:line="240" w:lineRule="auto"/>
              <w:rPr>
                <w:rFonts w:cs="Arial"/>
                <w:color w:val="000000"/>
                <w:szCs w:val="20"/>
              </w:rPr>
            </w:pPr>
            <w:r w:rsidRPr="00650BD6">
              <w:rPr>
                <w:rFonts w:cs="Arial"/>
                <w:color w:val="000000"/>
                <w:szCs w:val="20"/>
              </w:rPr>
              <w:t>Louisek78*</w:t>
            </w:r>
          </w:p>
        </w:tc>
        <w:tc>
          <w:tcPr>
            <w:tcW w:w="2932" w:type="dxa"/>
          </w:tcPr>
          <w:p w14:paraId="69441A9D" w14:textId="77777777" w:rsidR="00EF5035" w:rsidRPr="00650BD6" w:rsidRDefault="00EF5035" w:rsidP="0086279B">
            <w:pPr>
              <w:spacing w:after="0" w:line="240" w:lineRule="auto"/>
              <w:rPr>
                <w:rFonts w:cs="Arial"/>
                <w:color w:val="000000"/>
                <w:szCs w:val="20"/>
              </w:rPr>
            </w:pPr>
            <w:r w:rsidRPr="00650BD6">
              <w:rPr>
                <w:rFonts w:cs="Arial"/>
                <w:color w:val="000000"/>
                <w:szCs w:val="20"/>
              </w:rPr>
              <w:t>Tyson Armitage</w:t>
            </w:r>
          </w:p>
        </w:tc>
      </w:tr>
      <w:tr w:rsidR="00EF5035" w:rsidRPr="00650BD6" w14:paraId="52215826" w14:textId="77777777" w:rsidTr="00D07ADE">
        <w:trPr>
          <w:trHeight w:val="300"/>
        </w:trPr>
        <w:tc>
          <w:tcPr>
            <w:tcW w:w="2931" w:type="dxa"/>
            <w:shd w:val="clear" w:color="auto" w:fill="auto"/>
            <w:noWrap/>
            <w:hideMark/>
          </w:tcPr>
          <w:p w14:paraId="34800852" w14:textId="77777777" w:rsidR="00EF5035" w:rsidRPr="00650BD6" w:rsidRDefault="00EF5035" w:rsidP="0086279B">
            <w:pPr>
              <w:spacing w:after="0" w:line="240" w:lineRule="auto"/>
              <w:rPr>
                <w:rFonts w:cs="Arial"/>
                <w:color w:val="000000"/>
                <w:szCs w:val="20"/>
              </w:rPr>
            </w:pPr>
            <w:r w:rsidRPr="00650BD6">
              <w:rPr>
                <w:rFonts w:cs="Arial"/>
                <w:color w:val="000000"/>
                <w:szCs w:val="20"/>
              </w:rPr>
              <w:t>David Melville</w:t>
            </w:r>
          </w:p>
        </w:tc>
        <w:tc>
          <w:tcPr>
            <w:tcW w:w="2932" w:type="dxa"/>
          </w:tcPr>
          <w:p w14:paraId="2ECBF7D9" w14:textId="77777777" w:rsidR="00EF5035" w:rsidRPr="00650BD6" w:rsidRDefault="00EF5035" w:rsidP="0086279B">
            <w:pPr>
              <w:spacing w:after="0" w:line="240" w:lineRule="auto"/>
              <w:rPr>
                <w:rFonts w:cs="Arial"/>
                <w:color w:val="000000"/>
                <w:szCs w:val="20"/>
              </w:rPr>
            </w:pPr>
            <w:r w:rsidRPr="00650BD6">
              <w:rPr>
                <w:rFonts w:cs="Arial"/>
                <w:color w:val="000000"/>
                <w:szCs w:val="20"/>
              </w:rPr>
              <w:t xml:space="preserve">Meg </w:t>
            </w:r>
            <w:proofErr w:type="spellStart"/>
            <w:r w:rsidRPr="00650BD6">
              <w:rPr>
                <w:rFonts w:cs="Arial"/>
                <w:color w:val="000000"/>
                <w:szCs w:val="20"/>
              </w:rPr>
              <w:t>Kummerow</w:t>
            </w:r>
            <w:proofErr w:type="spellEnd"/>
          </w:p>
        </w:tc>
        <w:tc>
          <w:tcPr>
            <w:tcW w:w="2932" w:type="dxa"/>
          </w:tcPr>
          <w:p w14:paraId="61F0134D" w14:textId="77777777" w:rsidR="00EF5035" w:rsidRPr="00650BD6" w:rsidRDefault="00EF5035" w:rsidP="0086279B">
            <w:pPr>
              <w:spacing w:after="0" w:line="240" w:lineRule="auto"/>
              <w:rPr>
                <w:rFonts w:cs="Arial"/>
                <w:color w:val="000000"/>
                <w:szCs w:val="20"/>
              </w:rPr>
            </w:pPr>
            <w:r w:rsidRPr="00650BD6">
              <w:rPr>
                <w:rFonts w:cs="Arial"/>
                <w:color w:val="000000"/>
                <w:szCs w:val="20"/>
              </w:rPr>
              <w:t>Vertical Telecoms</w:t>
            </w:r>
          </w:p>
        </w:tc>
      </w:tr>
      <w:tr w:rsidR="00EF5035" w:rsidRPr="00650BD6" w14:paraId="7071D257" w14:textId="77777777" w:rsidTr="00D07ADE">
        <w:trPr>
          <w:trHeight w:val="300"/>
        </w:trPr>
        <w:tc>
          <w:tcPr>
            <w:tcW w:w="2931" w:type="dxa"/>
            <w:shd w:val="clear" w:color="auto" w:fill="auto"/>
            <w:noWrap/>
            <w:hideMark/>
          </w:tcPr>
          <w:p w14:paraId="643F8836" w14:textId="77777777" w:rsidR="00EF5035" w:rsidRPr="00650BD6" w:rsidRDefault="00EF5035" w:rsidP="0086279B">
            <w:pPr>
              <w:spacing w:after="0" w:line="240" w:lineRule="auto"/>
              <w:rPr>
                <w:rFonts w:cs="Arial"/>
                <w:color w:val="000000"/>
                <w:szCs w:val="20"/>
              </w:rPr>
            </w:pPr>
            <w:r w:rsidRPr="00650BD6">
              <w:rPr>
                <w:rFonts w:cs="Arial"/>
                <w:color w:val="000000"/>
                <w:szCs w:val="20"/>
              </w:rPr>
              <w:t>DB Telecommunications</w:t>
            </w:r>
          </w:p>
        </w:tc>
        <w:tc>
          <w:tcPr>
            <w:tcW w:w="2932" w:type="dxa"/>
          </w:tcPr>
          <w:p w14:paraId="74597AB9" w14:textId="77777777" w:rsidR="00EF5035" w:rsidRPr="00650BD6" w:rsidRDefault="00EF5035" w:rsidP="0086279B">
            <w:pPr>
              <w:spacing w:after="0" w:line="240" w:lineRule="auto"/>
              <w:rPr>
                <w:rFonts w:cs="Arial"/>
                <w:color w:val="000000"/>
                <w:szCs w:val="20"/>
              </w:rPr>
            </w:pPr>
            <w:r w:rsidRPr="00650BD6">
              <w:rPr>
                <w:rFonts w:cs="Arial"/>
                <w:color w:val="000000"/>
                <w:szCs w:val="20"/>
              </w:rPr>
              <w:t>Mike Day</w:t>
            </w:r>
          </w:p>
        </w:tc>
        <w:tc>
          <w:tcPr>
            <w:tcW w:w="2932" w:type="dxa"/>
          </w:tcPr>
          <w:p w14:paraId="27C5F5C2" w14:textId="77777777" w:rsidR="00EF5035" w:rsidRPr="00650BD6" w:rsidRDefault="00EF5035" w:rsidP="0086279B">
            <w:pPr>
              <w:spacing w:after="0" w:line="240" w:lineRule="auto"/>
              <w:rPr>
                <w:rFonts w:cs="Arial"/>
                <w:color w:val="000000"/>
                <w:szCs w:val="20"/>
              </w:rPr>
            </w:pPr>
            <w:r w:rsidRPr="00650BD6">
              <w:rPr>
                <w:rFonts w:cs="Arial"/>
                <w:color w:val="000000"/>
                <w:szCs w:val="20"/>
              </w:rPr>
              <w:t>VHA</w:t>
            </w:r>
          </w:p>
        </w:tc>
      </w:tr>
      <w:tr w:rsidR="00EF5035" w:rsidRPr="00650BD6" w14:paraId="38D09BC5" w14:textId="77777777" w:rsidTr="00D07ADE">
        <w:trPr>
          <w:trHeight w:val="300"/>
        </w:trPr>
        <w:tc>
          <w:tcPr>
            <w:tcW w:w="2931" w:type="dxa"/>
            <w:shd w:val="clear" w:color="auto" w:fill="auto"/>
            <w:noWrap/>
            <w:hideMark/>
          </w:tcPr>
          <w:p w14:paraId="599F3CA7" w14:textId="77777777" w:rsidR="00EF5035" w:rsidRPr="00650BD6" w:rsidRDefault="00EF5035" w:rsidP="0086279B">
            <w:pPr>
              <w:spacing w:after="0" w:line="240" w:lineRule="auto"/>
              <w:rPr>
                <w:rFonts w:cs="Arial"/>
                <w:color w:val="000000"/>
                <w:szCs w:val="20"/>
              </w:rPr>
            </w:pPr>
            <w:r w:rsidRPr="00650BD6">
              <w:rPr>
                <w:rFonts w:cs="Arial"/>
                <w:color w:val="000000"/>
                <w:szCs w:val="20"/>
              </w:rPr>
              <w:t>Department of Defence</w:t>
            </w:r>
          </w:p>
        </w:tc>
        <w:tc>
          <w:tcPr>
            <w:tcW w:w="2932" w:type="dxa"/>
          </w:tcPr>
          <w:p w14:paraId="4CE6C5FB" w14:textId="77777777" w:rsidR="00EF5035" w:rsidRPr="00650BD6" w:rsidRDefault="00EF5035" w:rsidP="0086279B">
            <w:pPr>
              <w:spacing w:after="0" w:line="240" w:lineRule="auto"/>
              <w:rPr>
                <w:rFonts w:cs="Arial"/>
                <w:color w:val="000000"/>
                <w:szCs w:val="20"/>
              </w:rPr>
            </w:pPr>
            <w:r w:rsidRPr="00650BD6">
              <w:rPr>
                <w:rFonts w:cs="Arial"/>
                <w:color w:val="000000"/>
                <w:szCs w:val="20"/>
              </w:rPr>
              <w:t>Mitchell Hughes</w:t>
            </w:r>
          </w:p>
        </w:tc>
        <w:tc>
          <w:tcPr>
            <w:tcW w:w="2932" w:type="dxa"/>
          </w:tcPr>
          <w:p w14:paraId="4C461CED" w14:textId="77777777" w:rsidR="00EF5035" w:rsidRPr="00650BD6" w:rsidRDefault="00EF5035" w:rsidP="0086279B">
            <w:pPr>
              <w:spacing w:after="0" w:line="240" w:lineRule="auto"/>
              <w:rPr>
                <w:rFonts w:cs="Arial"/>
                <w:color w:val="000000"/>
                <w:szCs w:val="20"/>
              </w:rPr>
            </w:pPr>
            <w:r w:rsidRPr="00650BD6">
              <w:rPr>
                <w:rFonts w:cs="Arial"/>
                <w:color w:val="000000"/>
                <w:szCs w:val="20"/>
              </w:rPr>
              <w:t>wake.2.wake</w:t>
            </w:r>
            <w:r w:rsidRPr="00650BD6">
              <w:rPr>
                <w:rFonts w:cs="Arial"/>
                <w:b/>
                <w:bCs/>
                <w:color w:val="000000"/>
                <w:szCs w:val="20"/>
              </w:rPr>
              <w:t>*</w:t>
            </w:r>
          </w:p>
        </w:tc>
      </w:tr>
      <w:tr w:rsidR="00EF5035" w:rsidRPr="00650BD6" w14:paraId="499CB575" w14:textId="77777777" w:rsidTr="00D07ADE">
        <w:trPr>
          <w:trHeight w:val="300"/>
        </w:trPr>
        <w:tc>
          <w:tcPr>
            <w:tcW w:w="2931" w:type="dxa"/>
            <w:shd w:val="clear" w:color="auto" w:fill="auto"/>
            <w:noWrap/>
            <w:hideMark/>
          </w:tcPr>
          <w:p w14:paraId="35F4AF15" w14:textId="77777777" w:rsidR="00EF5035" w:rsidRPr="00650BD6" w:rsidRDefault="00EF5035" w:rsidP="0086279B">
            <w:pPr>
              <w:spacing w:after="0" w:line="240" w:lineRule="auto"/>
              <w:rPr>
                <w:rFonts w:cs="Arial"/>
                <w:color w:val="000000"/>
                <w:szCs w:val="20"/>
              </w:rPr>
            </w:pPr>
            <w:r w:rsidRPr="00650BD6">
              <w:rPr>
                <w:rFonts w:cs="Arial"/>
                <w:color w:val="000000"/>
                <w:szCs w:val="20"/>
              </w:rPr>
              <w:t>Department of Transport and Main Roads Queensland</w:t>
            </w:r>
          </w:p>
        </w:tc>
        <w:tc>
          <w:tcPr>
            <w:tcW w:w="2932" w:type="dxa"/>
            <w:shd w:val="clear" w:color="auto" w:fill="auto"/>
          </w:tcPr>
          <w:p w14:paraId="06ED7C4B" w14:textId="77777777" w:rsidR="00EF5035" w:rsidRPr="00650BD6" w:rsidRDefault="00EF5035" w:rsidP="0086279B">
            <w:pPr>
              <w:spacing w:after="0" w:line="240" w:lineRule="auto"/>
              <w:rPr>
                <w:rFonts w:cs="Arial"/>
                <w:color w:val="000000"/>
                <w:szCs w:val="20"/>
              </w:rPr>
            </w:pPr>
            <w:r w:rsidRPr="00650BD6">
              <w:rPr>
                <w:rFonts w:cs="Arial"/>
                <w:color w:val="000000"/>
                <w:szCs w:val="20"/>
              </w:rPr>
              <w:t>mphills05*</w:t>
            </w:r>
          </w:p>
        </w:tc>
        <w:tc>
          <w:tcPr>
            <w:tcW w:w="2932" w:type="dxa"/>
          </w:tcPr>
          <w:p w14:paraId="5FC5FD8B" w14:textId="77777777" w:rsidR="00EF5035" w:rsidRPr="00650BD6" w:rsidRDefault="00EF5035" w:rsidP="0086279B">
            <w:pPr>
              <w:spacing w:after="0" w:line="240" w:lineRule="auto"/>
              <w:rPr>
                <w:rFonts w:cs="Arial"/>
                <w:color w:val="000000"/>
                <w:szCs w:val="20"/>
              </w:rPr>
            </w:pPr>
            <w:r w:rsidRPr="00650BD6">
              <w:rPr>
                <w:rFonts w:cs="Arial"/>
                <w:color w:val="000000"/>
                <w:szCs w:val="20"/>
              </w:rPr>
              <w:t>WISPAU</w:t>
            </w:r>
          </w:p>
        </w:tc>
      </w:tr>
      <w:tr w:rsidR="00EF5035" w:rsidRPr="00650BD6" w14:paraId="4861A865" w14:textId="77777777" w:rsidTr="00D07ADE">
        <w:trPr>
          <w:trHeight w:val="300"/>
        </w:trPr>
        <w:tc>
          <w:tcPr>
            <w:tcW w:w="2931" w:type="dxa"/>
            <w:shd w:val="clear" w:color="auto" w:fill="auto"/>
            <w:noWrap/>
            <w:hideMark/>
          </w:tcPr>
          <w:p w14:paraId="1BEA1BED" w14:textId="77777777" w:rsidR="00EF5035" w:rsidRPr="00650BD6" w:rsidRDefault="00EF5035" w:rsidP="0086279B">
            <w:pPr>
              <w:spacing w:after="0" w:line="240" w:lineRule="auto"/>
              <w:rPr>
                <w:rFonts w:cs="Arial"/>
                <w:color w:val="000000"/>
                <w:szCs w:val="20"/>
              </w:rPr>
            </w:pPr>
            <w:r w:rsidRPr="00650BD6">
              <w:rPr>
                <w:rFonts w:cs="Arial"/>
                <w:color w:val="000000"/>
                <w:szCs w:val="20"/>
              </w:rPr>
              <w:t>Diane White</w:t>
            </w:r>
          </w:p>
        </w:tc>
        <w:tc>
          <w:tcPr>
            <w:tcW w:w="2932" w:type="dxa"/>
          </w:tcPr>
          <w:p w14:paraId="7F3E2571" w14:textId="77777777" w:rsidR="00EF5035" w:rsidRPr="00650BD6" w:rsidRDefault="00293A1D" w:rsidP="0086279B">
            <w:pPr>
              <w:spacing w:after="0" w:line="240" w:lineRule="auto"/>
              <w:rPr>
                <w:rFonts w:cs="Arial"/>
                <w:color w:val="000000"/>
                <w:szCs w:val="20"/>
              </w:rPr>
            </w:pPr>
            <w:r>
              <w:rPr>
                <w:rFonts w:cs="Arial"/>
                <w:color w:val="000000"/>
                <w:szCs w:val="20"/>
              </w:rPr>
              <w:t>NBN Co</w:t>
            </w:r>
          </w:p>
        </w:tc>
        <w:tc>
          <w:tcPr>
            <w:tcW w:w="2932" w:type="dxa"/>
          </w:tcPr>
          <w:p w14:paraId="0E2F51CC" w14:textId="77777777" w:rsidR="00EF5035" w:rsidRPr="00650BD6" w:rsidRDefault="00EF5035" w:rsidP="0086279B">
            <w:pPr>
              <w:spacing w:after="0" w:line="240" w:lineRule="auto"/>
              <w:rPr>
                <w:rFonts w:cs="Arial"/>
                <w:color w:val="000000"/>
                <w:szCs w:val="20"/>
              </w:rPr>
            </w:pPr>
            <w:r w:rsidRPr="00650BD6">
              <w:rPr>
                <w:rFonts w:cs="Arial"/>
                <w:color w:val="000000"/>
                <w:szCs w:val="20"/>
              </w:rPr>
              <w:t>World Without Wires</w:t>
            </w:r>
          </w:p>
        </w:tc>
      </w:tr>
      <w:tr w:rsidR="00F12895" w:rsidRPr="00650BD6" w14:paraId="2F3F0AFA" w14:textId="77777777" w:rsidTr="00D07ADE">
        <w:trPr>
          <w:trHeight w:val="300"/>
        </w:trPr>
        <w:tc>
          <w:tcPr>
            <w:tcW w:w="2931" w:type="dxa"/>
            <w:shd w:val="clear" w:color="auto" w:fill="auto"/>
            <w:noWrap/>
            <w:hideMark/>
          </w:tcPr>
          <w:p w14:paraId="658607C0" w14:textId="77777777" w:rsidR="00F12895" w:rsidRPr="00650BD6" w:rsidRDefault="00F12895" w:rsidP="0086279B">
            <w:pPr>
              <w:spacing w:after="0" w:line="240" w:lineRule="auto"/>
              <w:rPr>
                <w:rFonts w:cs="Arial"/>
                <w:color w:val="000000"/>
                <w:szCs w:val="20"/>
              </w:rPr>
            </w:pPr>
            <w:r w:rsidRPr="00650BD6">
              <w:rPr>
                <w:rFonts w:cs="Arial"/>
                <w:color w:val="000000"/>
                <w:szCs w:val="20"/>
              </w:rPr>
              <w:t>Emma Ryrie</w:t>
            </w:r>
          </w:p>
        </w:tc>
        <w:tc>
          <w:tcPr>
            <w:tcW w:w="2932" w:type="dxa"/>
          </w:tcPr>
          <w:p w14:paraId="61E44184" w14:textId="77777777" w:rsidR="00F12895" w:rsidRPr="00650BD6" w:rsidRDefault="00650BD6" w:rsidP="0086279B">
            <w:pPr>
              <w:spacing w:after="0" w:line="240" w:lineRule="auto"/>
              <w:rPr>
                <w:rFonts w:cs="Arial"/>
                <w:color w:val="000000"/>
                <w:szCs w:val="20"/>
              </w:rPr>
            </w:pPr>
            <w:r w:rsidRPr="00650BD6">
              <w:rPr>
                <w:rFonts w:cs="Arial"/>
                <w:color w:val="000000"/>
                <w:szCs w:val="20"/>
              </w:rPr>
              <w:t>NSW Telecommunications Authority</w:t>
            </w:r>
            <w:r w:rsidRPr="00650BD6" w:rsidDel="00650BD6">
              <w:rPr>
                <w:rFonts w:cs="Arial"/>
                <w:color w:val="000000"/>
                <w:szCs w:val="20"/>
              </w:rPr>
              <w:t xml:space="preserve"> </w:t>
            </w:r>
          </w:p>
        </w:tc>
        <w:tc>
          <w:tcPr>
            <w:tcW w:w="2932" w:type="dxa"/>
          </w:tcPr>
          <w:p w14:paraId="0CB24CF5" w14:textId="77777777" w:rsidR="00F12895" w:rsidRPr="00650BD6" w:rsidRDefault="00F12895" w:rsidP="0086279B">
            <w:pPr>
              <w:spacing w:after="0" w:line="240" w:lineRule="auto"/>
              <w:rPr>
                <w:rFonts w:cs="Arial"/>
                <w:color w:val="000000"/>
                <w:szCs w:val="20"/>
              </w:rPr>
            </w:pPr>
          </w:p>
        </w:tc>
      </w:tr>
      <w:tr w:rsidR="00650BD6" w:rsidRPr="00650BD6" w14:paraId="30F69042" w14:textId="77777777" w:rsidTr="00D07ADE">
        <w:trPr>
          <w:trHeight w:val="300"/>
        </w:trPr>
        <w:tc>
          <w:tcPr>
            <w:tcW w:w="2931" w:type="dxa"/>
            <w:shd w:val="clear" w:color="auto" w:fill="auto"/>
            <w:noWrap/>
          </w:tcPr>
          <w:p w14:paraId="2094E699" w14:textId="77777777" w:rsidR="00650BD6" w:rsidRPr="00650BD6" w:rsidRDefault="00650BD6" w:rsidP="0086279B">
            <w:pPr>
              <w:spacing w:after="0" w:line="240" w:lineRule="auto"/>
              <w:rPr>
                <w:rFonts w:cs="Arial"/>
                <w:color w:val="000000"/>
                <w:szCs w:val="20"/>
              </w:rPr>
            </w:pPr>
            <w:r w:rsidRPr="00650BD6">
              <w:rPr>
                <w:rFonts w:cs="Arial"/>
                <w:color w:val="000000"/>
                <w:szCs w:val="20"/>
              </w:rPr>
              <w:t>Epic Energy</w:t>
            </w:r>
          </w:p>
        </w:tc>
        <w:tc>
          <w:tcPr>
            <w:tcW w:w="2932" w:type="dxa"/>
          </w:tcPr>
          <w:p w14:paraId="0B5F43E4" w14:textId="77777777" w:rsidR="00650BD6" w:rsidRPr="00650BD6" w:rsidRDefault="00EF5035" w:rsidP="0086279B">
            <w:pPr>
              <w:spacing w:after="0" w:line="240" w:lineRule="auto"/>
              <w:rPr>
                <w:rFonts w:cs="Arial"/>
                <w:color w:val="000000"/>
                <w:szCs w:val="20"/>
              </w:rPr>
            </w:pPr>
            <w:r w:rsidRPr="00650BD6">
              <w:rPr>
                <w:rFonts w:cs="Arial"/>
                <w:color w:val="000000"/>
                <w:szCs w:val="20"/>
              </w:rPr>
              <w:t>Nick*</w:t>
            </w:r>
          </w:p>
        </w:tc>
        <w:tc>
          <w:tcPr>
            <w:tcW w:w="2932" w:type="dxa"/>
          </w:tcPr>
          <w:p w14:paraId="60BC402B" w14:textId="77777777" w:rsidR="00650BD6" w:rsidRPr="00650BD6" w:rsidRDefault="00650BD6" w:rsidP="0086279B">
            <w:pPr>
              <w:spacing w:after="0" w:line="240" w:lineRule="auto"/>
              <w:rPr>
                <w:rFonts w:cs="Arial"/>
                <w:color w:val="000000"/>
                <w:szCs w:val="20"/>
              </w:rPr>
            </w:pPr>
          </w:p>
        </w:tc>
      </w:tr>
    </w:tbl>
    <w:p w14:paraId="7E08F742" w14:textId="77777777" w:rsidR="00FB55C6" w:rsidRDefault="00FB55C6" w:rsidP="0086279B">
      <w:pPr>
        <w:pStyle w:val="ACMANotes"/>
        <w:spacing w:before="240"/>
        <w:rPr>
          <w:lang w:val="en"/>
        </w:rPr>
      </w:pPr>
      <w:r w:rsidRPr="00FB55C6">
        <w:rPr>
          <w:lang w:val="en"/>
        </w:rPr>
        <w:t>*</w:t>
      </w:r>
      <w:r>
        <w:rPr>
          <w:lang w:val="en"/>
        </w:rPr>
        <w:t>Online submission with no name provided</w:t>
      </w:r>
      <w:r w:rsidR="00EF5035">
        <w:rPr>
          <w:lang w:val="en"/>
        </w:rPr>
        <w:t>.</w:t>
      </w:r>
      <w:r>
        <w:rPr>
          <w:lang w:val="en"/>
        </w:rPr>
        <w:t xml:space="preserve"> </w:t>
      </w:r>
    </w:p>
    <w:p w14:paraId="3902A387" w14:textId="77777777" w:rsidR="00E14AA6" w:rsidRPr="00451607" w:rsidRDefault="00E14AA6" w:rsidP="000043F4">
      <w:pPr>
        <w:pStyle w:val="Heading2"/>
        <w:keepLines/>
        <w:spacing w:after="120"/>
      </w:pPr>
      <w:bookmarkStart w:id="22" w:name="_Toc483998566"/>
      <w:r w:rsidRPr="00451607">
        <w:lastRenderedPageBreak/>
        <w:t>Submissions by industry</w:t>
      </w:r>
      <w:bookmarkEnd w:id="22"/>
    </w:p>
    <w:tbl>
      <w:tblPr>
        <w:tblW w:w="8795" w:type="dxa"/>
        <w:tblLayout w:type="fixed"/>
        <w:tblCellMar>
          <w:top w:w="57" w:type="dxa"/>
          <w:left w:w="57" w:type="dxa"/>
          <w:bottom w:w="57" w:type="dxa"/>
          <w:right w:w="57" w:type="dxa"/>
        </w:tblCellMar>
        <w:tblLook w:val="04A0" w:firstRow="1" w:lastRow="0" w:firstColumn="1" w:lastColumn="0" w:noHBand="0" w:noVBand="1"/>
      </w:tblPr>
      <w:tblGrid>
        <w:gridCol w:w="2931"/>
        <w:gridCol w:w="2932"/>
        <w:gridCol w:w="2932"/>
      </w:tblGrid>
      <w:tr w:rsidR="00293A1D" w:rsidRPr="00293A1D" w14:paraId="2DB15B86" w14:textId="77777777" w:rsidTr="0086279B">
        <w:trPr>
          <w:trHeight w:val="300"/>
        </w:trPr>
        <w:tc>
          <w:tcPr>
            <w:tcW w:w="8795" w:type="dxa"/>
            <w:gridSpan w:val="3"/>
            <w:shd w:val="clear" w:color="auto" w:fill="F2F2F2" w:themeFill="background1" w:themeFillShade="F2"/>
            <w:noWrap/>
          </w:tcPr>
          <w:p w14:paraId="354831F5" w14:textId="77777777" w:rsidR="00293A1D" w:rsidRPr="00293A1D" w:rsidRDefault="00293A1D" w:rsidP="0086279B">
            <w:pPr>
              <w:keepNext/>
              <w:keepLines/>
              <w:spacing w:after="0" w:line="240" w:lineRule="auto"/>
              <w:rPr>
                <w:rFonts w:cs="Arial"/>
                <w:b/>
                <w:color w:val="000000"/>
                <w:szCs w:val="20"/>
              </w:rPr>
            </w:pPr>
            <w:r w:rsidRPr="00293A1D">
              <w:rPr>
                <w:rFonts w:cs="Arial"/>
                <w:b/>
                <w:szCs w:val="20"/>
              </w:rPr>
              <w:t>1.5 GHz user</w:t>
            </w:r>
          </w:p>
        </w:tc>
      </w:tr>
      <w:tr w:rsidR="00F12895" w:rsidRPr="00293A1D" w14:paraId="6469BF9A" w14:textId="77777777" w:rsidTr="0086279B">
        <w:trPr>
          <w:trHeight w:val="300"/>
        </w:trPr>
        <w:tc>
          <w:tcPr>
            <w:tcW w:w="2931" w:type="dxa"/>
            <w:shd w:val="clear" w:color="auto" w:fill="auto"/>
            <w:noWrap/>
          </w:tcPr>
          <w:p w14:paraId="0810DD27" w14:textId="77777777" w:rsidR="00F12895" w:rsidRPr="00293A1D" w:rsidRDefault="00F12895" w:rsidP="000043F4">
            <w:pPr>
              <w:keepNext/>
              <w:keepLines/>
              <w:spacing w:after="120" w:line="240" w:lineRule="auto"/>
              <w:rPr>
                <w:rFonts w:cs="Arial"/>
                <w:color w:val="000000"/>
                <w:szCs w:val="20"/>
              </w:rPr>
            </w:pPr>
            <w:r w:rsidRPr="00293A1D">
              <w:rPr>
                <w:rFonts w:cs="Arial"/>
                <w:color w:val="000000"/>
                <w:szCs w:val="20"/>
              </w:rPr>
              <w:t>Epic Energy</w:t>
            </w:r>
          </w:p>
        </w:tc>
        <w:tc>
          <w:tcPr>
            <w:tcW w:w="2932" w:type="dxa"/>
          </w:tcPr>
          <w:p w14:paraId="0A00E0DC" w14:textId="77777777" w:rsidR="00F12895" w:rsidRPr="00293A1D" w:rsidRDefault="00F12895" w:rsidP="0086279B">
            <w:pPr>
              <w:keepNext/>
              <w:keepLines/>
              <w:spacing w:after="0" w:line="240" w:lineRule="auto"/>
              <w:rPr>
                <w:rFonts w:cs="Arial"/>
                <w:color w:val="000000"/>
                <w:szCs w:val="20"/>
              </w:rPr>
            </w:pPr>
          </w:p>
        </w:tc>
        <w:tc>
          <w:tcPr>
            <w:tcW w:w="2932" w:type="dxa"/>
          </w:tcPr>
          <w:p w14:paraId="5EBF1A88" w14:textId="77777777" w:rsidR="00F12895" w:rsidRPr="00293A1D" w:rsidRDefault="00F12895" w:rsidP="0086279B">
            <w:pPr>
              <w:keepNext/>
              <w:keepLines/>
              <w:spacing w:after="0" w:line="240" w:lineRule="auto"/>
              <w:rPr>
                <w:rFonts w:cs="Arial"/>
                <w:color w:val="000000"/>
                <w:szCs w:val="20"/>
              </w:rPr>
            </w:pPr>
          </w:p>
        </w:tc>
      </w:tr>
      <w:tr w:rsidR="00293A1D" w:rsidRPr="00293A1D" w14:paraId="38196D8D" w14:textId="77777777" w:rsidTr="0086279B">
        <w:trPr>
          <w:trHeight w:val="300"/>
        </w:trPr>
        <w:tc>
          <w:tcPr>
            <w:tcW w:w="8795" w:type="dxa"/>
            <w:gridSpan w:val="3"/>
            <w:shd w:val="clear" w:color="auto" w:fill="F2F2F2" w:themeFill="background1" w:themeFillShade="F2"/>
            <w:noWrap/>
          </w:tcPr>
          <w:p w14:paraId="47E85BE0" w14:textId="77777777" w:rsidR="00293A1D" w:rsidRPr="00293A1D" w:rsidRDefault="00293A1D" w:rsidP="0086279B">
            <w:pPr>
              <w:keepNext/>
              <w:keepLines/>
              <w:spacing w:after="0" w:line="240" w:lineRule="auto"/>
              <w:rPr>
                <w:rFonts w:cs="Arial"/>
                <w:b/>
                <w:color w:val="000000"/>
                <w:szCs w:val="20"/>
              </w:rPr>
            </w:pPr>
            <w:r w:rsidRPr="00293A1D">
              <w:rPr>
                <w:rFonts w:cs="Arial"/>
                <w:b/>
                <w:szCs w:val="20"/>
              </w:rPr>
              <w:t>3.6 GHz point-to-multipoint users</w:t>
            </w:r>
          </w:p>
        </w:tc>
      </w:tr>
      <w:tr w:rsidR="00F12895" w:rsidRPr="00293A1D" w14:paraId="577F093D" w14:textId="77777777" w:rsidTr="0086279B">
        <w:trPr>
          <w:trHeight w:val="300"/>
        </w:trPr>
        <w:tc>
          <w:tcPr>
            <w:tcW w:w="2931" w:type="dxa"/>
            <w:shd w:val="clear" w:color="auto" w:fill="auto"/>
            <w:noWrap/>
          </w:tcPr>
          <w:p w14:paraId="428C9782" w14:textId="77777777" w:rsidR="00F12895" w:rsidRPr="00293A1D" w:rsidRDefault="00F12895" w:rsidP="000043F4">
            <w:pPr>
              <w:keepNext/>
              <w:keepLines/>
              <w:spacing w:after="120" w:line="240" w:lineRule="auto"/>
              <w:rPr>
                <w:rFonts w:cs="Arial"/>
                <w:color w:val="000000"/>
                <w:szCs w:val="20"/>
              </w:rPr>
            </w:pPr>
            <w:proofErr w:type="spellStart"/>
            <w:r w:rsidRPr="00293A1D">
              <w:rPr>
                <w:rFonts w:cs="Arial"/>
                <w:color w:val="000000"/>
                <w:szCs w:val="20"/>
              </w:rPr>
              <w:t>Bremner</w:t>
            </w:r>
            <w:proofErr w:type="spellEnd"/>
            <w:r w:rsidRPr="00293A1D">
              <w:rPr>
                <w:rFonts w:cs="Arial"/>
                <w:color w:val="000000"/>
                <w:szCs w:val="20"/>
              </w:rPr>
              <w:t xml:space="preserve"> Farms</w:t>
            </w:r>
          </w:p>
        </w:tc>
        <w:tc>
          <w:tcPr>
            <w:tcW w:w="2932" w:type="dxa"/>
          </w:tcPr>
          <w:p w14:paraId="269D358A" w14:textId="77777777" w:rsidR="00F12895" w:rsidRPr="00293A1D" w:rsidRDefault="00F12895" w:rsidP="000043F4">
            <w:pPr>
              <w:keepNext/>
              <w:keepLines/>
              <w:spacing w:after="120" w:line="240" w:lineRule="auto"/>
              <w:rPr>
                <w:rFonts w:cs="Arial"/>
                <w:color w:val="000000"/>
                <w:szCs w:val="20"/>
              </w:rPr>
            </w:pPr>
            <w:r w:rsidRPr="00293A1D">
              <w:rPr>
                <w:rFonts w:cs="Arial"/>
                <w:color w:val="000000"/>
                <w:szCs w:val="20"/>
              </w:rPr>
              <w:t>Nicola Pitt</w:t>
            </w:r>
          </w:p>
        </w:tc>
        <w:tc>
          <w:tcPr>
            <w:tcW w:w="2932" w:type="dxa"/>
          </w:tcPr>
          <w:p w14:paraId="781BA467" w14:textId="77777777" w:rsidR="00F12895" w:rsidRPr="00293A1D" w:rsidRDefault="00F12895" w:rsidP="0086279B">
            <w:pPr>
              <w:keepNext/>
              <w:keepLines/>
              <w:spacing w:after="0" w:line="240" w:lineRule="auto"/>
              <w:rPr>
                <w:rFonts w:cs="Arial"/>
                <w:color w:val="000000"/>
                <w:szCs w:val="20"/>
              </w:rPr>
            </w:pPr>
          </w:p>
        </w:tc>
      </w:tr>
      <w:tr w:rsidR="00F12895" w:rsidRPr="00293A1D" w14:paraId="4C92F5A9" w14:textId="77777777" w:rsidTr="0086279B">
        <w:trPr>
          <w:trHeight w:val="300"/>
        </w:trPr>
        <w:tc>
          <w:tcPr>
            <w:tcW w:w="2931" w:type="dxa"/>
            <w:shd w:val="clear" w:color="auto" w:fill="F2F2F2" w:themeFill="background1" w:themeFillShade="F2"/>
            <w:noWrap/>
          </w:tcPr>
          <w:p w14:paraId="3F9252E2" w14:textId="77777777" w:rsidR="00F12895" w:rsidRPr="00293A1D" w:rsidRDefault="00F12895" w:rsidP="0086279B">
            <w:pPr>
              <w:pStyle w:val="Heading3"/>
              <w:spacing w:before="0" w:after="0"/>
              <w:rPr>
                <w:szCs w:val="20"/>
              </w:rPr>
            </w:pPr>
            <w:r w:rsidRPr="00293A1D">
              <w:rPr>
                <w:szCs w:val="20"/>
              </w:rPr>
              <w:t>Accredited persons</w:t>
            </w:r>
          </w:p>
        </w:tc>
        <w:tc>
          <w:tcPr>
            <w:tcW w:w="2932" w:type="dxa"/>
            <w:shd w:val="clear" w:color="auto" w:fill="F2F2F2" w:themeFill="background1" w:themeFillShade="F2"/>
          </w:tcPr>
          <w:p w14:paraId="6B828D41" w14:textId="77777777" w:rsidR="00F12895" w:rsidRPr="00293A1D" w:rsidRDefault="00F12895" w:rsidP="0086279B">
            <w:pPr>
              <w:spacing w:after="0" w:line="240" w:lineRule="auto"/>
              <w:rPr>
                <w:rFonts w:cs="Arial"/>
                <w:color w:val="000000"/>
                <w:szCs w:val="20"/>
              </w:rPr>
            </w:pPr>
          </w:p>
        </w:tc>
        <w:tc>
          <w:tcPr>
            <w:tcW w:w="2932" w:type="dxa"/>
            <w:shd w:val="clear" w:color="auto" w:fill="F2F2F2" w:themeFill="background1" w:themeFillShade="F2"/>
          </w:tcPr>
          <w:p w14:paraId="0A71D8B3" w14:textId="77777777" w:rsidR="00F12895" w:rsidRPr="00293A1D" w:rsidRDefault="00F12895" w:rsidP="0086279B">
            <w:pPr>
              <w:spacing w:after="0" w:line="240" w:lineRule="auto"/>
              <w:rPr>
                <w:rFonts w:cs="Arial"/>
                <w:color w:val="000000"/>
                <w:szCs w:val="20"/>
              </w:rPr>
            </w:pPr>
          </w:p>
        </w:tc>
      </w:tr>
      <w:tr w:rsidR="00F12895" w:rsidRPr="00293A1D" w14:paraId="6338B779" w14:textId="77777777" w:rsidTr="0086279B">
        <w:trPr>
          <w:trHeight w:val="300"/>
        </w:trPr>
        <w:tc>
          <w:tcPr>
            <w:tcW w:w="2931" w:type="dxa"/>
            <w:shd w:val="clear" w:color="auto" w:fill="auto"/>
            <w:noWrap/>
          </w:tcPr>
          <w:p w14:paraId="3CE73BCC" w14:textId="77777777" w:rsidR="00F12895" w:rsidRPr="00293A1D" w:rsidRDefault="00F12895" w:rsidP="000043F4">
            <w:pPr>
              <w:spacing w:after="120" w:line="240" w:lineRule="auto"/>
              <w:rPr>
                <w:rFonts w:cs="Arial"/>
                <w:color w:val="000000"/>
                <w:szCs w:val="20"/>
              </w:rPr>
            </w:pPr>
            <w:r w:rsidRPr="00293A1D">
              <w:rPr>
                <w:rFonts w:cs="Arial"/>
                <w:color w:val="000000"/>
                <w:szCs w:val="20"/>
              </w:rPr>
              <w:t>DB Telecommunications</w:t>
            </w:r>
          </w:p>
        </w:tc>
        <w:tc>
          <w:tcPr>
            <w:tcW w:w="2932" w:type="dxa"/>
          </w:tcPr>
          <w:p w14:paraId="0DEDCE10" w14:textId="77777777" w:rsidR="00F12895" w:rsidRPr="00293A1D" w:rsidRDefault="00F12895" w:rsidP="0086279B">
            <w:pPr>
              <w:spacing w:after="0" w:line="240" w:lineRule="auto"/>
              <w:rPr>
                <w:rFonts w:cs="Arial"/>
                <w:color w:val="000000"/>
                <w:szCs w:val="20"/>
              </w:rPr>
            </w:pPr>
          </w:p>
        </w:tc>
        <w:tc>
          <w:tcPr>
            <w:tcW w:w="2932" w:type="dxa"/>
          </w:tcPr>
          <w:p w14:paraId="77070431" w14:textId="77777777" w:rsidR="00F12895" w:rsidRPr="00293A1D" w:rsidRDefault="00F12895" w:rsidP="0086279B">
            <w:pPr>
              <w:spacing w:after="0" w:line="240" w:lineRule="auto"/>
              <w:rPr>
                <w:rFonts w:cs="Arial"/>
                <w:color w:val="000000"/>
                <w:szCs w:val="20"/>
              </w:rPr>
            </w:pPr>
          </w:p>
        </w:tc>
      </w:tr>
      <w:tr w:rsidR="00293A1D" w:rsidRPr="00293A1D" w14:paraId="5E6E007D" w14:textId="77777777" w:rsidTr="0086279B">
        <w:trPr>
          <w:trHeight w:val="300"/>
        </w:trPr>
        <w:tc>
          <w:tcPr>
            <w:tcW w:w="8795" w:type="dxa"/>
            <w:gridSpan w:val="3"/>
            <w:shd w:val="clear" w:color="auto" w:fill="F2F2F2" w:themeFill="background1" w:themeFillShade="F2"/>
            <w:noWrap/>
          </w:tcPr>
          <w:p w14:paraId="11E3778C" w14:textId="77777777" w:rsidR="00293A1D" w:rsidRPr="00293A1D" w:rsidRDefault="00293A1D" w:rsidP="0086279B">
            <w:pPr>
              <w:spacing w:after="0" w:line="240" w:lineRule="auto"/>
              <w:rPr>
                <w:rFonts w:cs="Arial"/>
                <w:b/>
                <w:color w:val="000000"/>
                <w:szCs w:val="20"/>
              </w:rPr>
            </w:pPr>
            <w:r w:rsidRPr="00293A1D">
              <w:rPr>
                <w:rFonts w:cs="Arial"/>
                <w:b/>
                <w:szCs w:val="20"/>
              </w:rPr>
              <w:t>Government—Federal</w:t>
            </w:r>
          </w:p>
        </w:tc>
      </w:tr>
      <w:tr w:rsidR="00F12895" w:rsidRPr="00293A1D" w14:paraId="56D55D01" w14:textId="77777777" w:rsidTr="0086279B">
        <w:trPr>
          <w:trHeight w:val="300"/>
        </w:trPr>
        <w:tc>
          <w:tcPr>
            <w:tcW w:w="2931" w:type="dxa"/>
            <w:shd w:val="clear" w:color="auto" w:fill="auto"/>
            <w:noWrap/>
          </w:tcPr>
          <w:p w14:paraId="3D1591F4" w14:textId="77777777" w:rsidR="00F12895" w:rsidRPr="00293A1D" w:rsidRDefault="00F12895" w:rsidP="0086279B">
            <w:pPr>
              <w:spacing w:after="0" w:line="240" w:lineRule="auto"/>
              <w:rPr>
                <w:rFonts w:cs="Arial"/>
                <w:color w:val="000000"/>
                <w:szCs w:val="20"/>
              </w:rPr>
            </w:pPr>
            <w:proofErr w:type="spellStart"/>
            <w:r w:rsidRPr="00293A1D">
              <w:rPr>
                <w:rFonts w:cs="Arial"/>
                <w:color w:val="000000"/>
                <w:szCs w:val="20"/>
              </w:rPr>
              <w:t>Airservices</w:t>
            </w:r>
            <w:proofErr w:type="spellEnd"/>
            <w:r w:rsidRPr="00293A1D">
              <w:rPr>
                <w:rFonts w:cs="Arial"/>
                <w:color w:val="000000"/>
                <w:szCs w:val="20"/>
              </w:rPr>
              <w:t xml:space="preserve"> Australia</w:t>
            </w:r>
          </w:p>
        </w:tc>
        <w:tc>
          <w:tcPr>
            <w:tcW w:w="2932" w:type="dxa"/>
          </w:tcPr>
          <w:p w14:paraId="7F8D0F9C" w14:textId="77777777" w:rsidR="00F12895" w:rsidRPr="00293A1D" w:rsidRDefault="00F12895" w:rsidP="0086279B">
            <w:pPr>
              <w:spacing w:after="0" w:line="240" w:lineRule="auto"/>
              <w:rPr>
                <w:rFonts w:cs="Arial"/>
                <w:color w:val="000000"/>
                <w:szCs w:val="20"/>
              </w:rPr>
            </w:pPr>
            <w:r w:rsidRPr="00293A1D">
              <w:rPr>
                <w:rFonts w:cs="Arial"/>
                <w:color w:val="000000"/>
                <w:szCs w:val="20"/>
              </w:rPr>
              <w:t>Department of Defence</w:t>
            </w:r>
          </w:p>
        </w:tc>
        <w:tc>
          <w:tcPr>
            <w:tcW w:w="2932" w:type="dxa"/>
          </w:tcPr>
          <w:p w14:paraId="619CC8EF" w14:textId="77777777" w:rsidR="00F12895" w:rsidRPr="00293A1D" w:rsidRDefault="00F12895" w:rsidP="0086279B">
            <w:pPr>
              <w:spacing w:after="0" w:line="240" w:lineRule="auto"/>
              <w:rPr>
                <w:rFonts w:cs="Arial"/>
                <w:color w:val="000000"/>
                <w:szCs w:val="20"/>
              </w:rPr>
            </w:pPr>
          </w:p>
        </w:tc>
      </w:tr>
      <w:tr w:rsidR="00846A3B" w:rsidRPr="00293A1D" w14:paraId="05B34A90" w14:textId="77777777" w:rsidTr="0086279B">
        <w:trPr>
          <w:trHeight w:val="300"/>
        </w:trPr>
        <w:tc>
          <w:tcPr>
            <w:tcW w:w="2931" w:type="dxa"/>
            <w:shd w:val="clear" w:color="auto" w:fill="auto"/>
            <w:noWrap/>
          </w:tcPr>
          <w:p w14:paraId="525DC395" w14:textId="77777777" w:rsidR="00846A3B" w:rsidRPr="00293A1D" w:rsidRDefault="00293A1D" w:rsidP="000043F4">
            <w:pPr>
              <w:spacing w:after="120" w:line="240" w:lineRule="auto"/>
              <w:rPr>
                <w:rFonts w:cs="Arial"/>
                <w:color w:val="000000"/>
                <w:szCs w:val="20"/>
              </w:rPr>
            </w:pPr>
            <w:r w:rsidRPr="00293A1D">
              <w:rPr>
                <w:rFonts w:cs="Arial"/>
                <w:color w:val="000000"/>
                <w:szCs w:val="20"/>
              </w:rPr>
              <w:t>Department of Transport and Main Roads Queensland</w:t>
            </w:r>
          </w:p>
        </w:tc>
        <w:tc>
          <w:tcPr>
            <w:tcW w:w="2932" w:type="dxa"/>
          </w:tcPr>
          <w:p w14:paraId="72250B42" w14:textId="77777777" w:rsidR="00846A3B" w:rsidRPr="00293A1D" w:rsidRDefault="00293A1D" w:rsidP="0086279B">
            <w:pPr>
              <w:spacing w:after="0" w:line="240" w:lineRule="auto"/>
              <w:rPr>
                <w:rFonts w:cs="Arial"/>
                <w:color w:val="000000"/>
                <w:szCs w:val="20"/>
              </w:rPr>
            </w:pPr>
            <w:r w:rsidRPr="00293A1D">
              <w:rPr>
                <w:rFonts w:cs="Arial"/>
                <w:color w:val="000000"/>
                <w:szCs w:val="20"/>
              </w:rPr>
              <w:t>NSW Telecommunications Authority</w:t>
            </w:r>
          </w:p>
        </w:tc>
        <w:tc>
          <w:tcPr>
            <w:tcW w:w="2932" w:type="dxa"/>
          </w:tcPr>
          <w:p w14:paraId="122DE4E8" w14:textId="77777777" w:rsidR="00846A3B" w:rsidRPr="00293A1D" w:rsidRDefault="00846A3B" w:rsidP="0086279B">
            <w:pPr>
              <w:spacing w:after="0" w:line="240" w:lineRule="auto"/>
              <w:rPr>
                <w:rFonts w:cs="Arial"/>
                <w:color w:val="000000"/>
                <w:szCs w:val="20"/>
              </w:rPr>
            </w:pPr>
          </w:p>
        </w:tc>
      </w:tr>
      <w:tr w:rsidR="00293A1D" w:rsidRPr="00293A1D" w14:paraId="19E0A3F2" w14:textId="77777777" w:rsidTr="0086279B">
        <w:trPr>
          <w:trHeight w:val="300"/>
        </w:trPr>
        <w:tc>
          <w:tcPr>
            <w:tcW w:w="8795" w:type="dxa"/>
            <w:gridSpan w:val="3"/>
            <w:shd w:val="clear" w:color="auto" w:fill="F2F2F2" w:themeFill="background1" w:themeFillShade="F2"/>
            <w:noWrap/>
          </w:tcPr>
          <w:p w14:paraId="4A402538" w14:textId="77777777" w:rsidR="00293A1D" w:rsidRPr="00293A1D" w:rsidRDefault="00293A1D" w:rsidP="0086279B">
            <w:pPr>
              <w:spacing w:after="0" w:line="240" w:lineRule="auto"/>
              <w:rPr>
                <w:rFonts w:cs="Arial"/>
                <w:b/>
                <w:color w:val="000000"/>
                <w:szCs w:val="20"/>
              </w:rPr>
            </w:pPr>
            <w:r w:rsidRPr="00293A1D">
              <w:rPr>
                <w:rFonts w:cs="Arial"/>
                <w:b/>
                <w:szCs w:val="20"/>
              </w:rPr>
              <w:t>Mobile manufacturers</w:t>
            </w:r>
          </w:p>
        </w:tc>
      </w:tr>
      <w:tr w:rsidR="00F12895" w:rsidRPr="00293A1D" w14:paraId="2A610BB9" w14:textId="77777777" w:rsidTr="0086279B">
        <w:trPr>
          <w:trHeight w:val="300"/>
        </w:trPr>
        <w:tc>
          <w:tcPr>
            <w:tcW w:w="2931" w:type="dxa"/>
            <w:shd w:val="clear" w:color="auto" w:fill="auto"/>
            <w:noWrap/>
          </w:tcPr>
          <w:p w14:paraId="59FE4325" w14:textId="77777777" w:rsidR="00F12895" w:rsidRPr="00293A1D" w:rsidRDefault="00F12895" w:rsidP="000043F4">
            <w:pPr>
              <w:spacing w:after="120" w:line="240" w:lineRule="auto"/>
              <w:rPr>
                <w:rFonts w:cs="Arial"/>
                <w:color w:val="000000"/>
                <w:szCs w:val="20"/>
              </w:rPr>
            </w:pPr>
            <w:r w:rsidRPr="00293A1D">
              <w:rPr>
                <w:rFonts w:cs="Arial"/>
                <w:color w:val="000000"/>
                <w:szCs w:val="20"/>
              </w:rPr>
              <w:t>Ericsson Australia</w:t>
            </w:r>
          </w:p>
        </w:tc>
        <w:tc>
          <w:tcPr>
            <w:tcW w:w="2932" w:type="dxa"/>
          </w:tcPr>
          <w:p w14:paraId="0A62C02E" w14:textId="77777777" w:rsidR="00F12895" w:rsidRPr="00293A1D" w:rsidRDefault="00F12895" w:rsidP="0086279B">
            <w:pPr>
              <w:spacing w:after="0" w:line="240" w:lineRule="auto"/>
              <w:rPr>
                <w:rFonts w:cs="Arial"/>
                <w:color w:val="000000"/>
                <w:szCs w:val="20"/>
              </w:rPr>
            </w:pPr>
            <w:r w:rsidRPr="00293A1D">
              <w:rPr>
                <w:rFonts w:cs="Arial"/>
                <w:color w:val="000000"/>
                <w:szCs w:val="20"/>
              </w:rPr>
              <w:t>Huawei Australia</w:t>
            </w:r>
          </w:p>
        </w:tc>
        <w:tc>
          <w:tcPr>
            <w:tcW w:w="2932" w:type="dxa"/>
          </w:tcPr>
          <w:p w14:paraId="0973611B" w14:textId="77777777" w:rsidR="00F12895" w:rsidRPr="00293A1D" w:rsidRDefault="00F12895" w:rsidP="0086279B">
            <w:pPr>
              <w:spacing w:after="0" w:line="240" w:lineRule="auto"/>
              <w:rPr>
                <w:rFonts w:cs="Arial"/>
                <w:color w:val="000000"/>
                <w:szCs w:val="20"/>
              </w:rPr>
            </w:pPr>
            <w:r w:rsidRPr="00293A1D">
              <w:rPr>
                <w:rFonts w:cs="Arial"/>
                <w:color w:val="000000"/>
                <w:szCs w:val="20"/>
              </w:rPr>
              <w:t>Qualcomm</w:t>
            </w:r>
          </w:p>
        </w:tc>
      </w:tr>
      <w:tr w:rsidR="00293A1D" w:rsidRPr="00293A1D" w14:paraId="1A5CBCAB" w14:textId="77777777" w:rsidTr="0086279B">
        <w:trPr>
          <w:trHeight w:val="300"/>
        </w:trPr>
        <w:tc>
          <w:tcPr>
            <w:tcW w:w="8795" w:type="dxa"/>
            <w:gridSpan w:val="3"/>
            <w:shd w:val="clear" w:color="auto" w:fill="F2F2F2" w:themeFill="background1" w:themeFillShade="F2"/>
            <w:noWrap/>
          </w:tcPr>
          <w:p w14:paraId="680B738C" w14:textId="77777777" w:rsidR="00293A1D" w:rsidRPr="00293A1D" w:rsidRDefault="00293A1D" w:rsidP="0086279B">
            <w:pPr>
              <w:spacing w:after="0" w:line="240" w:lineRule="auto"/>
              <w:rPr>
                <w:rFonts w:cs="Arial"/>
                <w:b/>
                <w:color w:val="000000"/>
                <w:szCs w:val="20"/>
              </w:rPr>
            </w:pPr>
            <w:r w:rsidRPr="00293A1D">
              <w:rPr>
                <w:rFonts w:cs="Arial"/>
                <w:b/>
                <w:szCs w:val="20"/>
              </w:rPr>
              <w:t>Rural internet supporters</w:t>
            </w:r>
          </w:p>
        </w:tc>
      </w:tr>
      <w:tr w:rsidR="00846A3B" w:rsidRPr="00293A1D" w14:paraId="64E97B10" w14:textId="77777777" w:rsidTr="0086279B">
        <w:trPr>
          <w:trHeight w:val="300"/>
        </w:trPr>
        <w:tc>
          <w:tcPr>
            <w:tcW w:w="2931" w:type="dxa"/>
            <w:shd w:val="clear" w:color="auto" w:fill="auto"/>
            <w:noWrap/>
          </w:tcPr>
          <w:p w14:paraId="72BEBACB" w14:textId="77777777" w:rsidR="00846A3B" w:rsidRPr="00293A1D" w:rsidRDefault="00846A3B" w:rsidP="0086279B">
            <w:pPr>
              <w:spacing w:after="0" w:line="240" w:lineRule="auto"/>
              <w:rPr>
                <w:rFonts w:cs="Arial"/>
                <w:color w:val="000000"/>
                <w:szCs w:val="20"/>
              </w:rPr>
            </w:pPr>
            <w:r w:rsidRPr="00293A1D">
              <w:rPr>
                <w:rFonts w:cs="Arial"/>
                <w:color w:val="000000"/>
                <w:szCs w:val="20"/>
              </w:rPr>
              <w:t>JNS*</w:t>
            </w:r>
          </w:p>
        </w:tc>
        <w:tc>
          <w:tcPr>
            <w:tcW w:w="2932" w:type="dxa"/>
          </w:tcPr>
          <w:p w14:paraId="1A10F350" w14:textId="77777777" w:rsidR="00846A3B" w:rsidRPr="00293A1D" w:rsidRDefault="00846A3B" w:rsidP="0086279B">
            <w:pPr>
              <w:spacing w:after="0" w:line="240" w:lineRule="auto"/>
              <w:rPr>
                <w:rFonts w:cs="Arial"/>
                <w:color w:val="000000"/>
                <w:szCs w:val="20"/>
              </w:rPr>
            </w:pPr>
            <w:r w:rsidRPr="00293A1D">
              <w:rPr>
                <w:rFonts w:cs="Arial"/>
                <w:color w:val="000000"/>
                <w:szCs w:val="20"/>
              </w:rPr>
              <w:t>Louisek78*</w:t>
            </w:r>
          </w:p>
        </w:tc>
        <w:tc>
          <w:tcPr>
            <w:tcW w:w="2932" w:type="dxa"/>
          </w:tcPr>
          <w:p w14:paraId="1752F764" w14:textId="77777777" w:rsidR="00846A3B" w:rsidRPr="00293A1D" w:rsidRDefault="00846A3B" w:rsidP="0086279B">
            <w:pPr>
              <w:spacing w:after="0" w:line="240" w:lineRule="auto"/>
              <w:rPr>
                <w:rFonts w:cs="Arial"/>
                <w:color w:val="000000"/>
                <w:szCs w:val="20"/>
              </w:rPr>
            </w:pPr>
            <w:r w:rsidRPr="00293A1D">
              <w:rPr>
                <w:rFonts w:cs="Arial"/>
                <w:color w:val="000000"/>
                <w:szCs w:val="20"/>
              </w:rPr>
              <w:t>Noni Wells</w:t>
            </w:r>
          </w:p>
        </w:tc>
      </w:tr>
      <w:tr w:rsidR="00846A3B" w:rsidRPr="00293A1D" w14:paraId="1BF9B1B2" w14:textId="77777777" w:rsidTr="0086279B">
        <w:trPr>
          <w:trHeight w:val="300"/>
        </w:trPr>
        <w:tc>
          <w:tcPr>
            <w:tcW w:w="2931" w:type="dxa"/>
            <w:shd w:val="clear" w:color="auto" w:fill="auto"/>
            <w:noWrap/>
          </w:tcPr>
          <w:p w14:paraId="6C22F671" w14:textId="77777777" w:rsidR="00846A3B" w:rsidRPr="00293A1D" w:rsidRDefault="00846A3B" w:rsidP="0086279B">
            <w:pPr>
              <w:spacing w:after="0" w:line="240" w:lineRule="auto"/>
              <w:rPr>
                <w:rFonts w:cs="Arial"/>
                <w:color w:val="000000"/>
                <w:szCs w:val="20"/>
              </w:rPr>
            </w:pPr>
            <w:r w:rsidRPr="00293A1D">
              <w:rPr>
                <w:rFonts w:cs="Arial"/>
                <w:color w:val="000000"/>
                <w:szCs w:val="20"/>
              </w:rPr>
              <w:t>Julien*</w:t>
            </w:r>
          </w:p>
        </w:tc>
        <w:tc>
          <w:tcPr>
            <w:tcW w:w="2932" w:type="dxa"/>
          </w:tcPr>
          <w:p w14:paraId="145540E5" w14:textId="77777777" w:rsidR="00846A3B" w:rsidRPr="00293A1D" w:rsidRDefault="00846A3B" w:rsidP="0086279B">
            <w:pPr>
              <w:spacing w:after="0" w:line="240" w:lineRule="auto"/>
              <w:rPr>
                <w:rFonts w:cs="Arial"/>
                <w:color w:val="000000"/>
                <w:szCs w:val="20"/>
              </w:rPr>
            </w:pPr>
            <w:r w:rsidRPr="00293A1D">
              <w:rPr>
                <w:rFonts w:cs="Arial"/>
                <w:color w:val="000000"/>
                <w:szCs w:val="20"/>
              </w:rPr>
              <w:t>Nick*</w:t>
            </w:r>
          </w:p>
        </w:tc>
        <w:tc>
          <w:tcPr>
            <w:tcW w:w="2932" w:type="dxa"/>
          </w:tcPr>
          <w:p w14:paraId="25A73DC7" w14:textId="77777777" w:rsidR="00846A3B" w:rsidRPr="00293A1D" w:rsidRDefault="00846A3B" w:rsidP="0086279B">
            <w:pPr>
              <w:spacing w:after="0" w:line="240" w:lineRule="auto"/>
              <w:rPr>
                <w:rFonts w:cs="Arial"/>
                <w:color w:val="000000"/>
                <w:szCs w:val="20"/>
              </w:rPr>
            </w:pPr>
            <w:r w:rsidRPr="00293A1D">
              <w:rPr>
                <w:rFonts w:cs="Arial"/>
                <w:color w:val="000000"/>
                <w:szCs w:val="20"/>
              </w:rPr>
              <w:t>Scott Farm*</w:t>
            </w:r>
            <w:hyperlink r:id="rId37" w:history="1"/>
          </w:p>
        </w:tc>
      </w:tr>
      <w:tr w:rsidR="00846A3B" w:rsidRPr="00293A1D" w14:paraId="221E0FEC" w14:textId="77777777" w:rsidTr="0086279B">
        <w:trPr>
          <w:trHeight w:val="300"/>
        </w:trPr>
        <w:tc>
          <w:tcPr>
            <w:tcW w:w="2931" w:type="dxa"/>
            <w:shd w:val="clear" w:color="auto" w:fill="auto"/>
            <w:noWrap/>
          </w:tcPr>
          <w:p w14:paraId="5522A832" w14:textId="77777777" w:rsidR="00846A3B" w:rsidRPr="00293A1D" w:rsidRDefault="00846A3B" w:rsidP="000043F4">
            <w:pPr>
              <w:spacing w:after="120" w:line="240" w:lineRule="auto"/>
              <w:rPr>
                <w:rFonts w:cs="Arial"/>
                <w:color w:val="000000"/>
                <w:szCs w:val="20"/>
              </w:rPr>
            </w:pPr>
            <w:r w:rsidRPr="00293A1D">
              <w:rPr>
                <w:rFonts w:cs="Arial"/>
                <w:color w:val="000000"/>
                <w:szCs w:val="20"/>
              </w:rPr>
              <w:t>Lance*</w:t>
            </w:r>
          </w:p>
        </w:tc>
        <w:tc>
          <w:tcPr>
            <w:tcW w:w="2932" w:type="dxa"/>
          </w:tcPr>
          <w:p w14:paraId="2D9B5849" w14:textId="77777777" w:rsidR="00846A3B" w:rsidRPr="00293A1D" w:rsidRDefault="00846A3B" w:rsidP="0086279B">
            <w:pPr>
              <w:spacing w:after="0" w:line="240" w:lineRule="auto"/>
              <w:rPr>
                <w:rFonts w:cs="Arial"/>
                <w:color w:val="000000"/>
                <w:szCs w:val="20"/>
              </w:rPr>
            </w:pPr>
          </w:p>
        </w:tc>
        <w:tc>
          <w:tcPr>
            <w:tcW w:w="2932" w:type="dxa"/>
          </w:tcPr>
          <w:p w14:paraId="3B96C55B" w14:textId="77777777" w:rsidR="00846A3B" w:rsidRPr="00293A1D" w:rsidRDefault="00846A3B" w:rsidP="0086279B">
            <w:pPr>
              <w:spacing w:after="0" w:line="240" w:lineRule="auto"/>
              <w:rPr>
                <w:rFonts w:cs="Arial"/>
                <w:color w:val="000000"/>
                <w:szCs w:val="20"/>
              </w:rPr>
            </w:pPr>
          </w:p>
        </w:tc>
      </w:tr>
      <w:tr w:rsidR="00293A1D" w:rsidRPr="00293A1D" w14:paraId="4DB76F82" w14:textId="77777777" w:rsidTr="0086279B">
        <w:trPr>
          <w:trHeight w:val="272"/>
        </w:trPr>
        <w:tc>
          <w:tcPr>
            <w:tcW w:w="8795" w:type="dxa"/>
            <w:gridSpan w:val="3"/>
            <w:shd w:val="clear" w:color="auto" w:fill="F2F2F2" w:themeFill="background1" w:themeFillShade="F2"/>
            <w:noWrap/>
          </w:tcPr>
          <w:p w14:paraId="76559EBB" w14:textId="77777777" w:rsidR="00293A1D" w:rsidRPr="00293A1D" w:rsidRDefault="00293A1D" w:rsidP="0086279B">
            <w:pPr>
              <w:spacing w:after="0" w:line="240" w:lineRule="auto"/>
              <w:rPr>
                <w:rFonts w:cs="Arial"/>
                <w:b/>
                <w:color w:val="000000"/>
                <w:szCs w:val="20"/>
              </w:rPr>
            </w:pPr>
            <w:r w:rsidRPr="00293A1D">
              <w:rPr>
                <w:rFonts w:cs="Arial"/>
                <w:b/>
                <w:szCs w:val="20"/>
              </w:rPr>
              <w:t>Satellite industry</w:t>
            </w:r>
          </w:p>
        </w:tc>
      </w:tr>
      <w:tr w:rsidR="00293A1D" w:rsidRPr="00293A1D" w14:paraId="67BB87E0" w14:textId="77777777" w:rsidTr="00AA04BB">
        <w:trPr>
          <w:trHeight w:val="300"/>
        </w:trPr>
        <w:tc>
          <w:tcPr>
            <w:tcW w:w="2931" w:type="dxa"/>
            <w:shd w:val="clear" w:color="auto" w:fill="auto"/>
            <w:noWrap/>
          </w:tcPr>
          <w:p w14:paraId="113DA692" w14:textId="77777777" w:rsidR="00293A1D" w:rsidRPr="00293A1D" w:rsidRDefault="00293A1D" w:rsidP="0086279B">
            <w:pPr>
              <w:spacing w:after="0" w:line="240" w:lineRule="auto"/>
              <w:rPr>
                <w:rFonts w:cs="Arial"/>
                <w:color w:val="000000"/>
                <w:szCs w:val="20"/>
              </w:rPr>
            </w:pPr>
            <w:r w:rsidRPr="00293A1D">
              <w:rPr>
                <w:rFonts w:cs="Arial"/>
                <w:color w:val="000000"/>
                <w:szCs w:val="20"/>
              </w:rPr>
              <w:t>ASTRA</w:t>
            </w:r>
          </w:p>
        </w:tc>
        <w:tc>
          <w:tcPr>
            <w:tcW w:w="2932" w:type="dxa"/>
          </w:tcPr>
          <w:p w14:paraId="052BE870" w14:textId="77777777" w:rsidR="00293A1D" w:rsidRPr="00293A1D" w:rsidRDefault="00293A1D" w:rsidP="0086279B">
            <w:pPr>
              <w:spacing w:after="0" w:line="240" w:lineRule="auto"/>
              <w:rPr>
                <w:rFonts w:cs="Arial"/>
                <w:color w:val="000000"/>
                <w:szCs w:val="20"/>
              </w:rPr>
            </w:pPr>
            <w:r w:rsidRPr="00293A1D">
              <w:rPr>
                <w:rFonts w:cs="Arial"/>
                <w:color w:val="000000"/>
                <w:szCs w:val="20"/>
              </w:rPr>
              <w:t>Inmarsat</w:t>
            </w:r>
          </w:p>
        </w:tc>
        <w:tc>
          <w:tcPr>
            <w:tcW w:w="2932" w:type="dxa"/>
          </w:tcPr>
          <w:p w14:paraId="0080C96A" w14:textId="77777777" w:rsidR="00293A1D" w:rsidRPr="00293A1D" w:rsidRDefault="00293A1D" w:rsidP="0086279B">
            <w:pPr>
              <w:spacing w:after="0" w:line="240" w:lineRule="auto"/>
              <w:rPr>
                <w:rFonts w:cs="Arial"/>
                <w:color w:val="000000"/>
                <w:szCs w:val="20"/>
              </w:rPr>
            </w:pPr>
            <w:r w:rsidRPr="00293A1D">
              <w:rPr>
                <w:rFonts w:cs="Arial"/>
                <w:color w:val="000000"/>
                <w:szCs w:val="20"/>
              </w:rPr>
              <w:t>Special Broadcasting Service (SBS)</w:t>
            </w:r>
          </w:p>
        </w:tc>
      </w:tr>
      <w:tr w:rsidR="00293A1D" w:rsidRPr="00293A1D" w14:paraId="1737FCC3" w14:textId="77777777" w:rsidTr="00AA04BB">
        <w:trPr>
          <w:trHeight w:val="300"/>
        </w:trPr>
        <w:tc>
          <w:tcPr>
            <w:tcW w:w="2931" w:type="dxa"/>
            <w:shd w:val="clear" w:color="auto" w:fill="auto"/>
            <w:noWrap/>
          </w:tcPr>
          <w:p w14:paraId="20588833" w14:textId="77777777" w:rsidR="00293A1D" w:rsidRPr="00293A1D" w:rsidRDefault="00293A1D" w:rsidP="0086279B">
            <w:pPr>
              <w:spacing w:after="0" w:line="240" w:lineRule="auto"/>
              <w:rPr>
                <w:rFonts w:cs="Arial"/>
                <w:color w:val="000000"/>
                <w:szCs w:val="20"/>
              </w:rPr>
            </w:pPr>
            <w:r w:rsidRPr="00293A1D">
              <w:rPr>
                <w:rFonts w:cs="Arial"/>
                <w:color w:val="000000"/>
                <w:szCs w:val="20"/>
              </w:rPr>
              <w:t>Comms Alliance SSWG</w:t>
            </w:r>
          </w:p>
        </w:tc>
        <w:tc>
          <w:tcPr>
            <w:tcW w:w="2932" w:type="dxa"/>
          </w:tcPr>
          <w:p w14:paraId="7F6DDA13" w14:textId="77777777" w:rsidR="00293A1D" w:rsidRPr="00293A1D" w:rsidRDefault="00293A1D" w:rsidP="0086279B">
            <w:pPr>
              <w:spacing w:after="0" w:line="240" w:lineRule="auto"/>
              <w:rPr>
                <w:rFonts w:cs="Arial"/>
                <w:color w:val="000000"/>
                <w:szCs w:val="20"/>
              </w:rPr>
            </w:pPr>
            <w:r w:rsidRPr="00293A1D">
              <w:rPr>
                <w:rFonts w:cs="Arial"/>
                <w:color w:val="000000"/>
                <w:szCs w:val="20"/>
              </w:rPr>
              <w:t>Intelsat</w:t>
            </w:r>
          </w:p>
        </w:tc>
        <w:tc>
          <w:tcPr>
            <w:tcW w:w="2932" w:type="dxa"/>
          </w:tcPr>
          <w:p w14:paraId="34540B08" w14:textId="77777777" w:rsidR="00293A1D" w:rsidRPr="00293A1D" w:rsidRDefault="00293A1D" w:rsidP="0086279B">
            <w:pPr>
              <w:spacing w:after="0" w:line="240" w:lineRule="auto"/>
              <w:rPr>
                <w:rFonts w:cs="Arial"/>
                <w:color w:val="000000"/>
                <w:szCs w:val="20"/>
              </w:rPr>
            </w:pPr>
            <w:r w:rsidRPr="00293A1D">
              <w:rPr>
                <w:rFonts w:cs="Arial"/>
                <w:color w:val="000000"/>
                <w:szCs w:val="20"/>
              </w:rPr>
              <w:t>Thuraya</w:t>
            </w:r>
          </w:p>
        </w:tc>
      </w:tr>
      <w:tr w:rsidR="00293A1D" w:rsidRPr="00293A1D" w14:paraId="33877CD5" w14:textId="77777777" w:rsidTr="00AA04BB">
        <w:trPr>
          <w:trHeight w:val="300"/>
        </w:trPr>
        <w:tc>
          <w:tcPr>
            <w:tcW w:w="2931" w:type="dxa"/>
            <w:shd w:val="clear" w:color="auto" w:fill="auto"/>
            <w:noWrap/>
          </w:tcPr>
          <w:p w14:paraId="59E889EC" w14:textId="77777777" w:rsidR="00293A1D" w:rsidRPr="00293A1D" w:rsidRDefault="00293A1D" w:rsidP="000043F4">
            <w:pPr>
              <w:spacing w:after="120" w:line="240" w:lineRule="auto"/>
              <w:rPr>
                <w:rFonts w:cs="Arial"/>
                <w:color w:val="000000"/>
                <w:szCs w:val="20"/>
              </w:rPr>
            </w:pPr>
            <w:r w:rsidRPr="00293A1D">
              <w:rPr>
                <w:rFonts w:cs="Arial"/>
                <w:color w:val="000000"/>
                <w:szCs w:val="20"/>
              </w:rPr>
              <w:t>Global VSAT Forum</w:t>
            </w:r>
          </w:p>
        </w:tc>
        <w:tc>
          <w:tcPr>
            <w:tcW w:w="2932" w:type="dxa"/>
          </w:tcPr>
          <w:p w14:paraId="49000EB5" w14:textId="77777777" w:rsidR="00293A1D" w:rsidRPr="00293A1D" w:rsidRDefault="00293A1D" w:rsidP="0086279B">
            <w:pPr>
              <w:spacing w:after="0" w:line="240" w:lineRule="auto"/>
              <w:rPr>
                <w:rFonts w:cs="Arial"/>
                <w:color w:val="000000"/>
                <w:szCs w:val="20"/>
              </w:rPr>
            </w:pPr>
          </w:p>
        </w:tc>
        <w:tc>
          <w:tcPr>
            <w:tcW w:w="2932" w:type="dxa"/>
          </w:tcPr>
          <w:p w14:paraId="224105C8" w14:textId="77777777" w:rsidR="00293A1D" w:rsidRPr="00293A1D" w:rsidRDefault="00293A1D" w:rsidP="0086279B">
            <w:pPr>
              <w:spacing w:after="0" w:line="240" w:lineRule="auto"/>
              <w:rPr>
                <w:rFonts w:cs="Arial"/>
                <w:color w:val="000000"/>
                <w:szCs w:val="20"/>
              </w:rPr>
            </w:pPr>
          </w:p>
        </w:tc>
      </w:tr>
      <w:tr w:rsidR="00293A1D" w:rsidRPr="00293A1D" w14:paraId="1FDC3F02" w14:textId="77777777" w:rsidTr="0086279B">
        <w:trPr>
          <w:trHeight w:val="300"/>
        </w:trPr>
        <w:tc>
          <w:tcPr>
            <w:tcW w:w="8795" w:type="dxa"/>
            <w:gridSpan w:val="3"/>
            <w:shd w:val="clear" w:color="auto" w:fill="F2F2F2" w:themeFill="background1" w:themeFillShade="F2"/>
            <w:noWrap/>
          </w:tcPr>
          <w:p w14:paraId="6FCCD38A" w14:textId="77777777" w:rsidR="00293A1D" w:rsidRPr="00293A1D" w:rsidRDefault="00293A1D" w:rsidP="0086279B">
            <w:pPr>
              <w:spacing w:after="0" w:line="240" w:lineRule="auto"/>
              <w:rPr>
                <w:rFonts w:cs="Arial"/>
                <w:b/>
                <w:color w:val="000000"/>
                <w:szCs w:val="20"/>
              </w:rPr>
            </w:pPr>
            <w:r w:rsidRPr="00293A1D">
              <w:rPr>
                <w:rFonts w:cs="Arial"/>
                <w:b/>
                <w:szCs w:val="20"/>
              </w:rPr>
              <w:t>Telecommunications industry</w:t>
            </w:r>
          </w:p>
        </w:tc>
      </w:tr>
      <w:tr w:rsidR="00846A3B" w:rsidRPr="00293A1D" w14:paraId="7B5D3026" w14:textId="77777777" w:rsidTr="0086279B">
        <w:trPr>
          <w:trHeight w:val="300"/>
        </w:trPr>
        <w:tc>
          <w:tcPr>
            <w:tcW w:w="2931" w:type="dxa"/>
            <w:shd w:val="clear" w:color="auto" w:fill="auto"/>
            <w:noWrap/>
          </w:tcPr>
          <w:p w14:paraId="5F69FC87" w14:textId="77777777" w:rsidR="00846A3B" w:rsidRPr="00293A1D" w:rsidRDefault="00846A3B" w:rsidP="0086279B">
            <w:pPr>
              <w:spacing w:after="0" w:line="240" w:lineRule="auto"/>
              <w:rPr>
                <w:rFonts w:cs="Arial"/>
                <w:color w:val="000000"/>
                <w:szCs w:val="20"/>
              </w:rPr>
            </w:pPr>
            <w:r w:rsidRPr="00293A1D">
              <w:rPr>
                <w:rFonts w:cs="Arial"/>
                <w:color w:val="000000"/>
                <w:szCs w:val="20"/>
              </w:rPr>
              <w:t>AMTA</w:t>
            </w:r>
          </w:p>
        </w:tc>
        <w:tc>
          <w:tcPr>
            <w:tcW w:w="2932" w:type="dxa"/>
          </w:tcPr>
          <w:p w14:paraId="0009A7DB" w14:textId="77777777" w:rsidR="00846A3B" w:rsidRPr="00293A1D" w:rsidRDefault="00846A3B" w:rsidP="0086279B">
            <w:pPr>
              <w:spacing w:after="0" w:line="240" w:lineRule="auto"/>
              <w:rPr>
                <w:rFonts w:cs="Arial"/>
                <w:color w:val="000000"/>
                <w:szCs w:val="20"/>
              </w:rPr>
            </w:pPr>
            <w:r w:rsidRPr="00293A1D">
              <w:rPr>
                <w:rFonts w:cs="Arial"/>
                <w:color w:val="000000"/>
                <w:szCs w:val="20"/>
              </w:rPr>
              <w:t>Optus</w:t>
            </w:r>
          </w:p>
        </w:tc>
        <w:tc>
          <w:tcPr>
            <w:tcW w:w="2932" w:type="dxa"/>
          </w:tcPr>
          <w:p w14:paraId="0D7923C0" w14:textId="77777777" w:rsidR="00846A3B" w:rsidRPr="00293A1D" w:rsidRDefault="00846A3B" w:rsidP="0086279B">
            <w:pPr>
              <w:spacing w:after="0" w:line="240" w:lineRule="auto"/>
              <w:rPr>
                <w:rFonts w:cs="Arial"/>
                <w:color w:val="000000"/>
                <w:szCs w:val="20"/>
              </w:rPr>
            </w:pPr>
            <w:r w:rsidRPr="00293A1D">
              <w:rPr>
                <w:rFonts w:cs="Arial"/>
                <w:color w:val="000000"/>
                <w:szCs w:val="20"/>
              </w:rPr>
              <w:t>VHA</w:t>
            </w:r>
          </w:p>
        </w:tc>
      </w:tr>
      <w:tr w:rsidR="00846A3B" w:rsidRPr="00293A1D" w14:paraId="1D7E7EF2" w14:textId="77777777" w:rsidTr="0086279B">
        <w:trPr>
          <w:trHeight w:val="300"/>
        </w:trPr>
        <w:tc>
          <w:tcPr>
            <w:tcW w:w="2931" w:type="dxa"/>
            <w:shd w:val="clear" w:color="auto" w:fill="auto"/>
            <w:noWrap/>
          </w:tcPr>
          <w:p w14:paraId="410D2087" w14:textId="77777777" w:rsidR="00846A3B" w:rsidRPr="00293A1D" w:rsidRDefault="00293A1D" w:rsidP="0086279B">
            <w:pPr>
              <w:spacing w:after="0" w:line="240" w:lineRule="auto"/>
              <w:rPr>
                <w:rFonts w:cs="Arial"/>
                <w:color w:val="000000"/>
                <w:szCs w:val="20"/>
              </w:rPr>
            </w:pPr>
            <w:r w:rsidRPr="00293A1D">
              <w:rPr>
                <w:rFonts w:cs="Arial"/>
                <w:color w:val="000000"/>
                <w:szCs w:val="20"/>
              </w:rPr>
              <w:t>NBN Co</w:t>
            </w:r>
          </w:p>
        </w:tc>
        <w:tc>
          <w:tcPr>
            <w:tcW w:w="2932" w:type="dxa"/>
          </w:tcPr>
          <w:p w14:paraId="2FA5B316" w14:textId="77777777" w:rsidR="00846A3B" w:rsidRPr="00293A1D" w:rsidRDefault="00846A3B" w:rsidP="0086279B">
            <w:pPr>
              <w:spacing w:after="0" w:line="240" w:lineRule="auto"/>
              <w:rPr>
                <w:rFonts w:cs="Arial"/>
                <w:color w:val="000000"/>
                <w:szCs w:val="20"/>
              </w:rPr>
            </w:pPr>
            <w:r w:rsidRPr="00293A1D">
              <w:rPr>
                <w:rFonts w:cs="Arial"/>
                <w:color w:val="000000"/>
                <w:szCs w:val="20"/>
              </w:rPr>
              <w:t>Telstra</w:t>
            </w:r>
          </w:p>
        </w:tc>
        <w:tc>
          <w:tcPr>
            <w:tcW w:w="2932" w:type="dxa"/>
          </w:tcPr>
          <w:p w14:paraId="02D416E2" w14:textId="77777777" w:rsidR="00846A3B" w:rsidRPr="00293A1D" w:rsidRDefault="00846A3B" w:rsidP="0086279B">
            <w:pPr>
              <w:spacing w:after="0" w:line="240" w:lineRule="auto"/>
              <w:rPr>
                <w:rFonts w:cs="Arial"/>
                <w:color w:val="000000"/>
                <w:szCs w:val="20"/>
              </w:rPr>
            </w:pPr>
          </w:p>
        </w:tc>
      </w:tr>
      <w:tr w:rsidR="00846A3B" w:rsidRPr="00293A1D" w14:paraId="508FCF5A" w14:textId="77777777" w:rsidTr="0086279B">
        <w:trPr>
          <w:trHeight w:val="300"/>
        </w:trPr>
        <w:tc>
          <w:tcPr>
            <w:tcW w:w="8795" w:type="dxa"/>
            <w:gridSpan w:val="3"/>
            <w:shd w:val="clear" w:color="auto" w:fill="F2F2F2" w:themeFill="background1" w:themeFillShade="F2"/>
            <w:noWrap/>
          </w:tcPr>
          <w:p w14:paraId="18D8CF27" w14:textId="77777777" w:rsidR="00846A3B" w:rsidRPr="00293A1D" w:rsidRDefault="00846A3B" w:rsidP="0086279B">
            <w:pPr>
              <w:pStyle w:val="Heading3"/>
              <w:spacing w:before="0" w:after="0"/>
              <w:rPr>
                <w:szCs w:val="20"/>
              </w:rPr>
            </w:pPr>
            <w:r w:rsidRPr="00293A1D">
              <w:rPr>
                <w:szCs w:val="20"/>
              </w:rPr>
              <w:t>US-based wireless organisations</w:t>
            </w:r>
          </w:p>
        </w:tc>
      </w:tr>
      <w:tr w:rsidR="00846A3B" w:rsidRPr="00293A1D" w14:paraId="209EF1B1" w14:textId="77777777" w:rsidTr="0086279B">
        <w:trPr>
          <w:trHeight w:val="300"/>
        </w:trPr>
        <w:tc>
          <w:tcPr>
            <w:tcW w:w="2931" w:type="dxa"/>
            <w:shd w:val="clear" w:color="auto" w:fill="auto"/>
            <w:noWrap/>
          </w:tcPr>
          <w:p w14:paraId="381294C6" w14:textId="77777777" w:rsidR="00846A3B" w:rsidRPr="00293A1D" w:rsidRDefault="00846A3B" w:rsidP="000043F4">
            <w:pPr>
              <w:keepNext/>
              <w:keepLines/>
              <w:spacing w:after="120" w:line="240" w:lineRule="auto"/>
              <w:rPr>
                <w:rFonts w:cs="Arial"/>
                <w:color w:val="000000"/>
                <w:szCs w:val="20"/>
              </w:rPr>
            </w:pPr>
            <w:r w:rsidRPr="00293A1D">
              <w:rPr>
                <w:rFonts w:cs="Arial"/>
                <w:color w:val="000000"/>
                <w:szCs w:val="20"/>
              </w:rPr>
              <w:t>Federated Wireless, Inc.</w:t>
            </w:r>
          </w:p>
        </w:tc>
        <w:tc>
          <w:tcPr>
            <w:tcW w:w="2932" w:type="dxa"/>
          </w:tcPr>
          <w:p w14:paraId="3BE24B0B" w14:textId="77777777" w:rsidR="00846A3B" w:rsidRPr="00293A1D" w:rsidRDefault="00846A3B" w:rsidP="0086279B">
            <w:pPr>
              <w:spacing w:after="0" w:line="240" w:lineRule="auto"/>
              <w:rPr>
                <w:rFonts w:cs="Arial"/>
                <w:color w:val="000000"/>
                <w:szCs w:val="20"/>
              </w:rPr>
            </w:pPr>
            <w:r w:rsidRPr="00293A1D">
              <w:rPr>
                <w:rFonts w:cs="Arial"/>
                <w:color w:val="000000"/>
                <w:szCs w:val="20"/>
              </w:rPr>
              <w:t>Ruckus Wireless</w:t>
            </w:r>
          </w:p>
        </w:tc>
        <w:tc>
          <w:tcPr>
            <w:tcW w:w="2932" w:type="dxa"/>
          </w:tcPr>
          <w:p w14:paraId="7365BA09" w14:textId="77777777" w:rsidR="00846A3B" w:rsidRPr="00293A1D" w:rsidRDefault="00846A3B" w:rsidP="0086279B">
            <w:pPr>
              <w:spacing w:after="0" w:line="240" w:lineRule="auto"/>
              <w:rPr>
                <w:rFonts w:cs="Arial"/>
                <w:color w:val="000000"/>
                <w:szCs w:val="20"/>
              </w:rPr>
            </w:pPr>
          </w:p>
        </w:tc>
      </w:tr>
      <w:tr w:rsidR="00EF5035" w:rsidRPr="00293A1D" w14:paraId="1394D88C" w14:textId="77777777" w:rsidTr="0086279B">
        <w:trPr>
          <w:trHeight w:val="300"/>
        </w:trPr>
        <w:tc>
          <w:tcPr>
            <w:tcW w:w="8795" w:type="dxa"/>
            <w:gridSpan w:val="3"/>
            <w:shd w:val="clear" w:color="auto" w:fill="F2F2F2" w:themeFill="background1" w:themeFillShade="F2"/>
            <w:noWrap/>
          </w:tcPr>
          <w:p w14:paraId="0CAAE80C" w14:textId="77777777" w:rsidR="00EF5035" w:rsidRPr="00293A1D" w:rsidRDefault="00EF5035" w:rsidP="0086279B">
            <w:pPr>
              <w:spacing w:after="0" w:line="240" w:lineRule="auto"/>
              <w:rPr>
                <w:rFonts w:cs="Arial"/>
                <w:color w:val="000000"/>
                <w:szCs w:val="20"/>
              </w:rPr>
            </w:pPr>
            <w:r w:rsidRPr="00293A1D">
              <w:rPr>
                <w:rFonts w:cs="Arial"/>
                <w:b/>
                <w:szCs w:val="20"/>
              </w:rPr>
              <w:t>Wireless internet service providers</w:t>
            </w:r>
            <w:r w:rsidRPr="00293A1D">
              <w:rPr>
                <w:rFonts w:cs="Arial"/>
                <w:szCs w:val="20"/>
              </w:rPr>
              <w:t xml:space="preserve"> </w:t>
            </w:r>
          </w:p>
        </w:tc>
      </w:tr>
      <w:tr w:rsidR="007F2B85" w:rsidRPr="00293A1D" w14:paraId="350E29B2" w14:textId="77777777" w:rsidTr="0086279B">
        <w:trPr>
          <w:trHeight w:val="300"/>
        </w:trPr>
        <w:tc>
          <w:tcPr>
            <w:tcW w:w="2931" w:type="dxa"/>
            <w:shd w:val="clear" w:color="auto" w:fill="auto"/>
            <w:noWrap/>
          </w:tcPr>
          <w:p w14:paraId="50443193" w14:textId="77777777" w:rsidR="007F2B85" w:rsidRPr="00293A1D" w:rsidRDefault="007F2B85" w:rsidP="0086279B">
            <w:pPr>
              <w:spacing w:after="0" w:line="240" w:lineRule="auto"/>
              <w:rPr>
                <w:rFonts w:cs="Arial"/>
                <w:color w:val="000000"/>
                <w:szCs w:val="20"/>
              </w:rPr>
            </w:pPr>
            <w:r w:rsidRPr="00293A1D">
              <w:rPr>
                <w:rFonts w:cs="Arial"/>
                <w:color w:val="000000"/>
                <w:szCs w:val="20"/>
              </w:rPr>
              <w:t>Ace Internet Services</w:t>
            </w:r>
          </w:p>
        </w:tc>
        <w:tc>
          <w:tcPr>
            <w:tcW w:w="2932" w:type="dxa"/>
          </w:tcPr>
          <w:p w14:paraId="632EAF83" w14:textId="77777777" w:rsidR="007F2B85" w:rsidRPr="00293A1D" w:rsidRDefault="007F2B85" w:rsidP="0086279B">
            <w:pPr>
              <w:spacing w:after="0" w:line="240" w:lineRule="auto"/>
              <w:rPr>
                <w:rFonts w:cs="Arial"/>
                <w:color w:val="000000"/>
                <w:szCs w:val="20"/>
              </w:rPr>
            </w:pPr>
            <w:proofErr w:type="spellStart"/>
            <w:r w:rsidRPr="00293A1D">
              <w:rPr>
                <w:rFonts w:cs="Arial"/>
                <w:color w:val="000000"/>
                <w:szCs w:val="20"/>
              </w:rPr>
              <w:t>QEStel</w:t>
            </w:r>
            <w:proofErr w:type="spellEnd"/>
          </w:p>
        </w:tc>
        <w:tc>
          <w:tcPr>
            <w:tcW w:w="2932" w:type="dxa"/>
          </w:tcPr>
          <w:p w14:paraId="11103000" w14:textId="77777777" w:rsidR="007F2B85" w:rsidRPr="00293A1D" w:rsidRDefault="007F2B85" w:rsidP="0086279B">
            <w:pPr>
              <w:spacing w:after="0" w:line="240" w:lineRule="auto"/>
              <w:rPr>
                <w:rFonts w:cs="Arial"/>
                <w:color w:val="000000"/>
                <w:szCs w:val="20"/>
              </w:rPr>
            </w:pPr>
            <w:r w:rsidRPr="00293A1D">
              <w:rPr>
                <w:rFonts w:cs="Arial"/>
                <w:color w:val="000000"/>
                <w:szCs w:val="20"/>
              </w:rPr>
              <w:t>World Without Wires</w:t>
            </w:r>
          </w:p>
        </w:tc>
      </w:tr>
      <w:tr w:rsidR="007F2B85" w:rsidRPr="00293A1D" w14:paraId="638B2EED" w14:textId="77777777" w:rsidTr="0086279B">
        <w:trPr>
          <w:trHeight w:val="300"/>
        </w:trPr>
        <w:tc>
          <w:tcPr>
            <w:tcW w:w="2931" w:type="dxa"/>
            <w:shd w:val="clear" w:color="auto" w:fill="auto"/>
            <w:noWrap/>
          </w:tcPr>
          <w:p w14:paraId="7B626641" w14:textId="77777777" w:rsidR="007F2B85" w:rsidRPr="00293A1D" w:rsidRDefault="007F2B85" w:rsidP="0086279B">
            <w:pPr>
              <w:spacing w:after="0" w:line="240" w:lineRule="auto"/>
              <w:rPr>
                <w:rFonts w:cs="Arial"/>
                <w:color w:val="000000"/>
                <w:szCs w:val="20"/>
              </w:rPr>
            </w:pPr>
            <w:proofErr w:type="spellStart"/>
            <w:r w:rsidRPr="00293A1D">
              <w:rPr>
                <w:rFonts w:cs="Arial"/>
                <w:color w:val="000000"/>
                <w:szCs w:val="20"/>
              </w:rPr>
              <w:t>CipherTel</w:t>
            </w:r>
            <w:proofErr w:type="spellEnd"/>
          </w:p>
        </w:tc>
        <w:tc>
          <w:tcPr>
            <w:tcW w:w="2932" w:type="dxa"/>
          </w:tcPr>
          <w:p w14:paraId="08F9CE97" w14:textId="77777777" w:rsidR="007F2B85" w:rsidRPr="00293A1D" w:rsidRDefault="007F2B85" w:rsidP="0086279B">
            <w:pPr>
              <w:spacing w:after="0" w:line="240" w:lineRule="auto"/>
              <w:rPr>
                <w:rFonts w:cs="Arial"/>
                <w:color w:val="000000"/>
                <w:szCs w:val="20"/>
              </w:rPr>
            </w:pPr>
            <w:proofErr w:type="spellStart"/>
            <w:r w:rsidRPr="00293A1D">
              <w:rPr>
                <w:rFonts w:cs="Arial"/>
                <w:color w:val="000000"/>
                <w:szCs w:val="20"/>
              </w:rPr>
              <w:t>TasmaNet</w:t>
            </w:r>
            <w:proofErr w:type="spellEnd"/>
          </w:p>
        </w:tc>
        <w:tc>
          <w:tcPr>
            <w:tcW w:w="2932" w:type="dxa"/>
          </w:tcPr>
          <w:p w14:paraId="72773DCF" w14:textId="77777777" w:rsidR="007F2B85" w:rsidRPr="00293A1D" w:rsidRDefault="007F2B85" w:rsidP="0086279B">
            <w:pPr>
              <w:spacing w:after="0" w:line="240" w:lineRule="auto"/>
              <w:rPr>
                <w:rFonts w:cs="Arial"/>
                <w:color w:val="000000"/>
                <w:szCs w:val="20"/>
              </w:rPr>
            </w:pPr>
            <w:r w:rsidRPr="00293A1D">
              <w:rPr>
                <w:rFonts w:cs="Arial"/>
                <w:color w:val="000000"/>
                <w:szCs w:val="20"/>
              </w:rPr>
              <w:t>Cambium</w:t>
            </w:r>
          </w:p>
        </w:tc>
      </w:tr>
      <w:tr w:rsidR="007F2B85" w:rsidRPr="00293A1D" w14:paraId="4204E585" w14:textId="77777777" w:rsidTr="0086279B">
        <w:trPr>
          <w:trHeight w:val="300"/>
        </w:trPr>
        <w:tc>
          <w:tcPr>
            <w:tcW w:w="2931" w:type="dxa"/>
            <w:shd w:val="clear" w:color="auto" w:fill="auto"/>
            <w:noWrap/>
          </w:tcPr>
          <w:p w14:paraId="6D941655" w14:textId="77777777" w:rsidR="007F2B85" w:rsidRPr="00293A1D" w:rsidRDefault="007F2B85" w:rsidP="0086279B">
            <w:pPr>
              <w:spacing w:after="0" w:line="240" w:lineRule="auto"/>
              <w:rPr>
                <w:rFonts w:cs="Arial"/>
                <w:color w:val="000000"/>
                <w:szCs w:val="20"/>
              </w:rPr>
            </w:pPr>
            <w:proofErr w:type="spellStart"/>
            <w:r w:rsidRPr="00293A1D">
              <w:rPr>
                <w:rFonts w:cs="Arial"/>
                <w:color w:val="000000"/>
                <w:szCs w:val="20"/>
              </w:rPr>
              <w:t>Countrytell</w:t>
            </w:r>
            <w:proofErr w:type="spellEnd"/>
          </w:p>
        </w:tc>
        <w:tc>
          <w:tcPr>
            <w:tcW w:w="2932" w:type="dxa"/>
          </w:tcPr>
          <w:p w14:paraId="6529ABB8" w14:textId="77777777" w:rsidR="007F2B85" w:rsidRPr="00293A1D" w:rsidRDefault="007F2B85" w:rsidP="0086279B">
            <w:pPr>
              <w:spacing w:after="0" w:line="240" w:lineRule="auto"/>
              <w:rPr>
                <w:rFonts w:cs="Arial"/>
                <w:color w:val="000000"/>
                <w:szCs w:val="20"/>
              </w:rPr>
            </w:pPr>
            <w:r w:rsidRPr="00293A1D">
              <w:rPr>
                <w:rFonts w:cs="Arial"/>
                <w:color w:val="000000"/>
                <w:szCs w:val="20"/>
              </w:rPr>
              <w:t>Vertical Telecoms</w:t>
            </w:r>
          </w:p>
        </w:tc>
        <w:tc>
          <w:tcPr>
            <w:tcW w:w="2932" w:type="dxa"/>
          </w:tcPr>
          <w:p w14:paraId="0AADA0F7" w14:textId="77777777" w:rsidR="007F2B85" w:rsidRPr="00293A1D" w:rsidRDefault="007F2B85" w:rsidP="0086279B">
            <w:pPr>
              <w:spacing w:after="0" w:line="240" w:lineRule="auto"/>
              <w:rPr>
                <w:rFonts w:cs="Arial"/>
                <w:color w:val="000000"/>
                <w:szCs w:val="20"/>
              </w:rPr>
            </w:pPr>
            <w:r w:rsidRPr="00293A1D">
              <w:rPr>
                <w:rFonts w:cs="Arial"/>
                <w:color w:val="000000"/>
                <w:szCs w:val="20"/>
              </w:rPr>
              <w:t>BMS Network Solutions</w:t>
            </w:r>
          </w:p>
        </w:tc>
      </w:tr>
      <w:tr w:rsidR="007F2B85" w:rsidRPr="00293A1D" w14:paraId="63FF0372" w14:textId="77777777" w:rsidTr="0086279B">
        <w:trPr>
          <w:trHeight w:val="300"/>
        </w:trPr>
        <w:tc>
          <w:tcPr>
            <w:tcW w:w="2931" w:type="dxa"/>
            <w:shd w:val="clear" w:color="auto" w:fill="auto"/>
            <w:noWrap/>
          </w:tcPr>
          <w:p w14:paraId="50E5E539" w14:textId="77777777" w:rsidR="007F2B85" w:rsidRPr="00293A1D" w:rsidRDefault="007F2B85" w:rsidP="000043F4">
            <w:pPr>
              <w:spacing w:after="120" w:line="240" w:lineRule="auto"/>
              <w:rPr>
                <w:rFonts w:cs="Arial"/>
                <w:color w:val="000000"/>
                <w:szCs w:val="20"/>
              </w:rPr>
            </w:pPr>
            <w:proofErr w:type="spellStart"/>
            <w:r w:rsidRPr="00293A1D">
              <w:rPr>
                <w:rFonts w:cs="Arial"/>
                <w:color w:val="000000"/>
                <w:szCs w:val="20"/>
              </w:rPr>
              <w:t>Jettech</w:t>
            </w:r>
            <w:proofErr w:type="spellEnd"/>
            <w:r w:rsidRPr="00293A1D">
              <w:rPr>
                <w:rFonts w:cs="Arial"/>
                <w:color w:val="000000"/>
                <w:szCs w:val="20"/>
              </w:rPr>
              <w:t xml:space="preserve"> Networks</w:t>
            </w:r>
          </w:p>
        </w:tc>
        <w:tc>
          <w:tcPr>
            <w:tcW w:w="2932" w:type="dxa"/>
          </w:tcPr>
          <w:p w14:paraId="1E97A79B" w14:textId="77777777" w:rsidR="007F2B85" w:rsidRPr="00293A1D" w:rsidRDefault="007F2B85" w:rsidP="0086279B">
            <w:pPr>
              <w:spacing w:after="0" w:line="240" w:lineRule="auto"/>
              <w:rPr>
                <w:rFonts w:cs="Arial"/>
                <w:color w:val="000000"/>
                <w:szCs w:val="20"/>
              </w:rPr>
            </w:pPr>
            <w:r w:rsidRPr="00293A1D">
              <w:rPr>
                <w:rFonts w:cs="Arial"/>
                <w:color w:val="000000"/>
                <w:szCs w:val="20"/>
              </w:rPr>
              <w:t>WISPAU</w:t>
            </w:r>
          </w:p>
        </w:tc>
        <w:tc>
          <w:tcPr>
            <w:tcW w:w="2932" w:type="dxa"/>
          </w:tcPr>
          <w:p w14:paraId="3B05AE5D" w14:textId="77777777" w:rsidR="007F2B85" w:rsidRPr="00293A1D" w:rsidRDefault="007F2B85" w:rsidP="0086279B">
            <w:pPr>
              <w:spacing w:after="0" w:line="240" w:lineRule="auto"/>
              <w:rPr>
                <w:rFonts w:cs="Arial"/>
                <w:color w:val="000000"/>
                <w:szCs w:val="20"/>
              </w:rPr>
            </w:pPr>
          </w:p>
        </w:tc>
      </w:tr>
      <w:tr w:rsidR="00EF5035" w:rsidRPr="00293A1D" w14:paraId="6C2B79EC" w14:textId="77777777" w:rsidTr="0086279B">
        <w:trPr>
          <w:trHeight w:val="300"/>
        </w:trPr>
        <w:tc>
          <w:tcPr>
            <w:tcW w:w="8795" w:type="dxa"/>
            <w:gridSpan w:val="3"/>
            <w:shd w:val="clear" w:color="auto" w:fill="F2F2F2" w:themeFill="background1" w:themeFillShade="F2"/>
            <w:noWrap/>
          </w:tcPr>
          <w:p w14:paraId="49340833" w14:textId="77777777" w:rsidR="00EF5035" w:rsidRPr="00293A1D" w:rsidRDefault="00EF5035" w:rsidP="000043F4">
            <w:pPr>
              <w:keepNext/>
              <w:spacing w:after="0" w:line="240" w:lineRule="auto"/>
              <w:rPr>
                <w:rFonts w:cs="Arial"/>
                <w:b/>
                <w:color w:val="000000"/>
                <w:szCs w:val="20"/>
              </w:rPr>
            </w:pPr>
            <w:r w:rsidRPr="00293A1D">
              <w:rPr>
                <w:rFonts w:cs="Arial"/>
                <w:b/>
                <w:szCs w:val="20"/>
              </w:rPr>
              <w:lastRenderedPageBreak/>
              <w:t>Wireless internet service provider supporters</w:t>
            </w:r>
          </w:p>
        </w:tc>
      </w:tr>
      <w:tr w:rsidR="00846A3B" w:rsidRPr="00293A1D" w14:paraId="60F4B0C9" w14:textId="77777777" w:rsidTr="0086279B">
        <w:trPr>
          <w:trHeight w:val="300"/>
        </w:trPr>
        <w:tc>
          <w:tcPr>
            <w:tcW w:w="2931" w:type="dxa"/>
            <w:shd w:val="clear" w:color="auto" w:fill="auto"/>
            <w:noWrap/>
          </w:tcPr>
          <w:p w14:paraId="5AF13411" w14:textId="77777777" w:rsidR="00846A3B" w:rsidRPr="00293A1D" w:rsidRDefault="00846A3B" w:rsidP="0086279B">
            <w:pPr>
              <w:spacing w:after="0" w:line="240" w:lineRule="auto"/>
              <w:rPr>
                <w:rFonts w:cs="Arial"/>
                <w:color w:val="000000"/>
                <w:szCs w:val="20"/>
              </w:rPr>
            </w:pPr>
            <w:r w:rsidRPr="00293A1D">
              <w:rPr>
                <w:rFonts w:cs="Arial"/>
                <w:color w:val="000000"/>
                <w:szCs w:val="20"/>
              </w:rPr>
              <w:t>7upttg</w:t>
            </w:r>
          </w:p>
        </w:tc>
        <w:tc>
          <w:tcPr>
            <w:tcW w:w="2932" w:type="dxa"/>
          </w:tcPr>
          <w:p w14:paraId="72674837" w14:textId="77777777" w:rsidR="00846A3B" w:rsidRPr="00293A1D" w:rsidRDefault="00846A3B" w:rsidP="0086279B">
            <w:pPr>
              <w:spacing w:after="0" w:line="240" w:lineRule="auto"/>
              <w:rPr>
                <w:rFonts w:cs="Arial"/>
                <w:color w:val="000000"/>
                <w:szCs w:val="20"/>
              </w:rPr>
            </w:pPr>
            <w:r w:rsidRPr="00293A1D">
              <w:rPr>
                <w:rFonts w:cs="Arial"/>
                <w:color w:val="000000"/>
                <w:szCs w:val="20"/>
              </w:rPr>
              <w:t>Emma Ryrie</w:t>
            </w:r>
          </w:p>
        </w:tc>
        <w:tc>
          <w:tcPr>
            <w:tcW w:w="2932" w:type="dxa"/>
          </w:tcPr>
          <w:p w14:paraId="7F4A503A" w14:textId="77777777" w:rsidR="00846A3B" w:rsidRPr="00293A1D" w:rsidRDefault="00846A3B" w:rsidP="0086279B">
            <w:pPr>
              <w:spacing w:after="0" w:line="240" w:lineRule="auto"/>
              <w:rPr>
                <w:rFonts w:cs="Arial"/>
                <w:color w:val="000000"/>
                <w:szCs w:val="20"/>
              </w:rPr>
            </w:pPr>
            <w:r w:rsidRPr="00293A1D">
              <w:rPr>
                <w:rFonts w:cs="Arial"/>
                <w:color w:val="000000"/>
                <w:szCs w:val="20"/>
              </w:rPr>
              <w:t>Mike Day</w:t>
            </w:r>
          </w:p>
        </w:tc>
      </w:tr>
      <w:tr w:rsidR="00846A3B" w:rsidRPr="00293A1D" w14:paraId="6EBC7DF1" w14:textId="77777777" w:rsidTr="0086279B">
        <w:trPr>
          <w:trHeight w:val="300"/>
        </w:trPr>
        <w:tc>
          <w:tcPr>
            <w:tcW w:w="2931" w:type="dxa"/>
            <w:shd w:val="clear" w:color="auto" w:fill="auto"/>
            <w:noWrap/>
          </w:tcPr>
          <w:p w14:paraId="262F08A1" w14:textId="77777777" w:rsidR="00846A3B" w:rsidRPr="00293A1D" w:rsidRDefault="00846A3B" w:rsidP="0086279B">
            <w:pPr>
              <w:spacing w:after="0" w:line="240" w:lineRule="auto"/>
              <w:rPr>
                <w:rFonts w:cs="Arial"/>
                <w:color w:val="000000"/>
                <w:szCs w:val="20"/>
              </w:rPr>
            </w:pPr>
            <w:r w:rsidRPr="00293A1D">
              <w:rPr>
                <w:rFonts w:cs="Arial"/>
                <w:color w:val="000000"/>
                <w:szCs w:val="20"/>
              </w:rPr>
              <w:t>Alexandra Earl</w:t>
            </w:r>
          </w:p>
        </w:tc>
        <w:tc>
          <w:tcPr>
            <w:tcW w:w="2932" w:type="dxa"/>
          </w:tcPr>
          <w:p w14:paraId="756ADAC2" w14:textId="77777777" w:rsidR="00846A3B" w:rsidRPr="00293A1D" w:rsidRDefault="00846A3B" w:rsidP="0086279B">
            <w:pPr>
              <w:spacing w:after="0" w:line="240" w:lineRule="auto"/>
              <w:rPr>
                <w:rFonts w:cs="Arial"/>
                <w:color w:val="000000"/>
                <w:szCs w:val="20"/>
              </w:rPr>
            </w:pPr>
            <w:proofErr w:type="spellStart"/>
            <w:r w:rsidRPr="00293A1D">
              <w:rPr>
                <w:rFonts w:cs="Arial"/>
                <w:color w:val="000000"/>
                <w:szCs w:val="20"/>
              </w:rPr>
              <w:t>gmbdc</w:t>
            </w:r>
            <w:proofErr w:type="spellEnd"/>
            <w:r w:rsidRPr="00293A1D">
              <w:rPr>
                <w:rFonts w:cs="Arial"/>
                <w:color w:val="000000"/>
                <w:szCs w:val="20"/>
              </w:rPr>
              <w:t>*</w:t>
            </w:r>
          </w:p>
        </w:tc>
        <w:tc>
          <w:tcPr>
            <w:tcW w:w="2932" w:type="dxa"/>
          </w:tcPr>
          <w:p w14:paraId="1F572F40" w14:textId="77777777" w:rsidR="00846A3B" w:rsidRPr="00293A1D" w:rsidRDefault="00846A3B" w:rsidP="0086279B">
            <w:pPr>
              <w:spacing w:after="0" w:line="240" w:lineRule="auto"/>
              <w:rPr>
                <w:rFonts w:cs="Arial"/>
                <w:color w:val="000000"/>
                <w:szCs w:val="20"/>
              </w:rPr>
            </w:pPr>
            <w:r w:rsidRPr="00293A1D">
              <w:rPr>
                <w:rFonts w:cs="Arial"/>
                <w:color w:val="000000"/>
                <w:szCs w:val="20"/>
              </w:rPr>
              <w:t>Mitchell Hughes</w:t>
            </w:r>
          </w:p>
        </w:tc>
      </w:tr>
      <w:tr w:rsidR="00846A3B" w:rsidRPr="00293A1D" w14:paraId="783C6A37" w14:textId="77777777" w:rsidTr="0086279B">
        <w:trPr>
          <w:trHeight w:val="300"/>
        </w:trPr>
        <w:tc>
          <w:tcPr>
            <w:tcW w:w="2931" w:type="dxa"/>
            <w:shd w:val="clear" w:color="auto" w:fill="auto"/>
            <w:noWrap/>
          </w:tcPr>
          <w:p w14:paraId="503882A2" w14:textId="77777777" w:rsidR="00846A3B" w:rsidRPr="00293A1D" w:rsidRDefault="00846A3B" w:rsidP="0086279B">
            <w:pPr>
              <w:spacing w:after="0" w:line="240" w:lineRule="auto"/>
              <w:rPr>
                <w:rFonts w:cs="Arial"/>
                <w:color w:val="000000"/>
                <w:szCs w:val="20"/>
              </w:rPr>
            </w:pPr>
            <w:proofErr w:type="spellStart"/>
            <w:r w:rsidRPr="00293A1D">
              <w:rPr>
                <w:rFonts w:cs="Arial"/>
                <w:color w:val="000000"/>
                <w:szCs w:val="20"/>
              </w:rPr>
              <w:t>Alimatchett</w:t>
            </w:r>
            <w:proofErr w:type="spellEnd"/>
          </w:p>
        </w:tc>
        <w:tc>
          <w:tcPr>
            <w:tcW w:w="2932" w:type="dxa"/>
          </w:tcPr>
          <w:p w14:paraId="22F852E6" w14:textId="77777777" w:rsidR="00846A3B" w:rsidRPr="00293A1D" w:rsidRDefault="00846A3B" w:rsidP="0086279B">
            <w:pPr>
              <w:spacing w:after="0" w:line="240" w:lineRule="auto"/>
              <w:rPr>
                <w:rFonts w:cs="Arial"/>
                <w:color w:val="000000"/>
                <w:szCs w:val="20"/>
              </w:rPr>
            </w:pPr>
            <w:r w:rsidRPr="00293A1D">
              <w:rPr>
                <w:rFonts w:cs="Arial"/>
                <w:color w:val="000000"/>
                <w:szCs w:val="20"/>
              </w:rPr>
              <w:t xml:space="preserve">Gus </w:t>
            </w:r>
            <w:proofErr w:type="spellStart"/>
            <w:r w:rsidRPr="00293A1D">
              <w:rPr>
                <w:rFonts w:cs="Arial"/>
                <w:color w:val="000000"/>
                <w:szCs w:val="20"/>
              </w:rPr>
              <w:t>McClymont</w:t>
            </w:r>
            <w:proofErr w:type="spellEnd"/>
          </w:p>
        </w:tc>
        <w:tc>
          <w:tcPr>
            <w:tcW w:w="2932" w:type="dxa"/>
          </w:tcPr>
          <w:p w14:paraId="2B91176D" w14:textId="77777777" w:rsidR="00846A3B" w:rsidRPr="00293A1D" w:rsidRDefault="00846A3B" w:rsidP="0086279B">
            <w:pPr>
              <w:spacing w:after="0" w:line="240" w:lineRule="auto"/>
              <w:rPr>
                <w:rFonts w:cs="Arial"/>
                <w:color w:val="000000"/>
                <w:szCs w:val="20"/>
              </w:rPr>
            </w:pPr>
            <w:r w:rsidRPr="00293A1D">
              <w:rPr>
                <w:rFonts w:cs="Arial"/>
                <w:color w:val="000000"/>
                <w:szCs w:val="20"/>
              </w:rPr>
              <w:t>mphills05*</w:t>
            </w:r>
          </w:p>
        </w:tc>
      </w:tr>
      <w:tr w:rsidR="00846A3B" w:rsidRPr="00293A1D" w14:paraId="094AA379" w14:textId="77777777" w:rsidTr="0086279B">
        <w:trPr>
          <w:trHeight w:val="300"/>
        </w:trPr>
        <w:tc>
          <w:tcPr>
            <w:tcW w:w="2931" w:type="dxa"/>
            <w:shd w:val="clear" w:color="auto" w:fill="auto"/>
            <w:noWrap/>
          </w:tcPr>
          <w:p w14:paraId="40C3B3F8" w14:textId="77777777" w:rsidR="00846A3B" w:rsidRPr="00293A1D" w:rsidRDefault="00846A3B" w:rsidP="0086279B">
            <w:pPr>
              <w:spacing w:after="0" w:line="240" w:lineRule="auto"/>
              <w:rPr>
                <w:rFonts w:cs="Arial"/>
                <w:color w:val="000000"/>
                <w:szCs w:val="20"/>
              </w:rPr>
            </w:pPr>
            <w:r w:rsidRPr="00293A1D">
              <w:rPr>
                <w:rFonts w:cs="Arial"/>
                <w:color w:val="000000"/>
                <w:szCs w:val="20"/>
              </w:rPr>
              <w:t>Brian Hanlon</w:t>
            </w:r>
          </w:p>
        </w:tc>
        <w:tc>
          <w:tcPr>
            <w:tcW w:w="2932" w:type="dxa"/>
          </w:tcPr>
          <w:p w14:paraId="2EDC11D4" w14:textId="77777777" w:rsidR="00846A3B" w:rsidRPr="00293A1D" w:rsidRDefault="00846A3B" w:rsidP="0086279B">
            <w:pPr>
              <w:spacing w:after="0" w:line="240" w:lineRule="auto"/>
              <w:rPr>
                <w:rFonts w:cs="Arial"/>
                <w:color w:val="000000"/>
                <w:szCs w:val="20"/>
              </w:rPr>
            </w:pPr>
            <w:r w:rsidRPr="00293A1D">
              <w:rPr>
                <w:rFonts w:cs="Arial"/>
                <w:color w:val="000000"/>
                <w:szCs w:val="20"/>
              </w:rPr>
              <w:t>Jacki Bishop</w:t>
            </w:r>
          </w:p>
        </w:tc>
        <w:tc>
          <w:tcPr>
            <w:tcW w:w="2932" w:type="dxa"/>
          </w:tcPr>
          <w:p w14:paraId="4BA4B899" w14:textId="77777777" w:rsidR="00846A3B" w:rsidRPr="00293A1D" w:rsidRDefault="00846A3B" w:rsidP="0086279B">
            <w:pPr>
              <w:spacing w:after="0" w:line="240" w:lineRule="auto"/>
              <w:rPr>
                <w:rFonts w:cs="Arial"/>
                <w:color w:val="000000"/>
                <w:szCs w:val="20"/>
              </w:rPr>
            </w:pPr>
            <w:r w:rsidRPr="00293A1D">
              <w:rPr>
                <w:rFonts w:cs="Arial"/>
                <w:color w:val="000000"/>
                <w:szCs w:val="20"/>
              </w:rPr>
              <w:t xml:space="preserve">Robert </w:t>
            </w:r>
            <w:proofErr w:type="spellStart"/>
            <w:r w:rsidRPr="00293A1D">
              <w:rPr>
                <w:rFonts w:cs="Arial"/>
                <w:color w:val="000000"/>
                <w:szCs w:val="20"/>
              </w:rPr>
              <w:t>Jost</w:t>
            </w:r>
            <w:proofErr w:type="spellEnd"/>
          </w:p>
        </w:tc>
      </w:tr>
      <w:tr w:rsidR="00846A3B" w:rsidRPr="00293A1D" w14:paraId="65D257CB" w14:textId="77777777" w:rsidTr="0086279B">
        <w:trPr>
          <w:trHeight w:val="300"/>
        </w:trPr>
        <w:tc>
          <w:tcPr>
            <w:tcW w:w="2931" w:type="dxa"/>
            <w:shd w:val="clear" w:color="auto" w:fill="auto"/>
            <w:noWrap/>
          </w:tcPr>
          <w:p w14:paraId="0F6DFCED" w14:textId="77777777" w:rsidR="00846A3B" w:rsidRPr="00293A1D" w:rsidRDefault="00846A3B" w:rsidP="0086279B">
            <w:pPr>
              <w:spacing w:after="0" w:line="240" w:lineRule="auto"/>
              <w:rPr>
                <w:rFonts w:cs="Arial"/>
                <w:color w:val="000000"/>
                <w:szCs w:val="20"/>
              </w:rPr>
            </w:pPr>
            <w:proofErr w:type="spellStart"/>
            <w:r w:rsidRPr="00293A1D">
              <w:rPr>
                <w:rFonts w:cs="Arial"/>
                <w:color w:val="000000"/>
                <w:szCs w:val="20"/>
              </w:rPr>
              <w:t>Cacharelbriards</w:t>
            </w:r>
            <w:proofErr w:type="spellEnd"/>
            <w:r w:rsidRPr="00293A1D">
              <w:rPr>
                <w:rFonts w:cs="Arial"/>
                <w:color w:val="000000"/>
                <w:szCs w:val="20"/>
              </w:rPr>
              <w:t>*</w:t>
            </w:r>
          </w:p>
        </w:tc>
        <w:tc>
          <w:tcPr>
            <w:tcW w:w="2932" w:type="dxa"/>
          </w:tcPr>
          <w:p w14:paraId="098CCAC5" w14:textId="77777777" w:rsidR="00846A3B" w:rsidRPr="00293A1D" w:rsidRDefault="00846A3B" w:rsidP="0086279B">
            <w:pPr>
              <w:spacing w:after="0" w:line="240" w:lineRule="auto"/>
              <w:rPr>
                <w:rFonts w:cs="Arial"/>
                <w:color w:val="000000"/>
                <w:szCs w:val="20"/>
              </w:rPr>
            </w:pPr>
            <w:r w:rsidRPr="00293A1D">
              <w:rPr>
                <w:rFonts w:cs="Arial"/>
                <w:color w:val="000000"/>
                <w:szCs w:val="20"/>
              </w:rPr>
              <w:t xml:space="preserve">Jason </w:t>
            </w:r>
            <w:proofErr w:type="spellStart"/>
            <w:r w:rsidRPr="00293A1D">
              <w:rPr>
                <w:rFonts w:cs="Arial"/>
                <w:color w:val="000000"/>
                <w:szCs w:val="20"/>
              </w:rPr>
              <w:t>Quinnell</w:t>
            </w:r>
            <w:proofErr w:type="spellEnd"/>
          </w:p>
        </w:tc>
        <w:tc>
          <w:tcPr>
            <w:tcW w:w="2932" w:type="dxa"/>
          </w:tcPr>
          <w:p w14:paraId="794BA3A8" w14:textId="77777777" w:rsidR="00846A3B" w:rsidRPr="00293A1D" w:rsidRDefault="00846A3B" w:rsidP="0086279B">
            <w:pPr>
              <w:spacing w:after="0" w:line="240" w:lineRule="auto"/>
              <w:rPr>
                <w:rFonts w:cs="Arial"/>
                <w:color w:val="000000"/>
                <w:szCs w:val="20"/>
              </w:rPr>
            </w:pPr>
            <w:r w:rsidRPr="00293A1D">
              <w:rPr>
                <w:rFonts w:cs="Arial"/>
                <w:color w:val="000000"/>
                <w:szCs w:val="20"/>
              </w:rPr>
              <w:t>Sam de Beer</w:t>
            </w:r>
          </w:p>
        </w:tc>
      </w:tr>
      <w:tr w:rsidR="00846A3B" w:rsidRPr="00293A1D" w14:paraId="63ECF0A1" w14:textId="77777777" w:rsidTr="0086279B">
        <w:trPr>
          <w:trHeight w:val="300"/>
        </w:trPr>
        <w:tc>
          <w:tcPr>
            <w:tcW w:w="2931" w:type="dxa"/>
            <w:shd w:val="clear" w:color="auto" w:fill="auto"/>
            <w:noWrap/>
          </w:tcPr>
          <w:p w14:paraId="517EF903" w14:textId="77777777" w:rsidR="00846A3B" w:rsidRPr="00293A1D" w:rsidRDefault="00846A3B" w:rsidP="0086279B">
            <w:pPr>
              <w:spacing w:after="0" w:line="240" w:lineRule="auto"/>
              <w:rPr>
                <w:rFonts w:cs="Arial"/>
                <w:color w:val="000000"/>
                <w:szCs w:val="20"/>
              </w:rPr>
            </w:pPr>
            <w:r w:rsidRPr="00293A1D">
              <w:rPr>
                <w:rFonts w:cs="Arial"/>
                <w:color w:val="000000"/>
                <w:szCs w:val="20"/>
              </w:rPr>
              <w:t>Chris Metcalf</w:t>
            </w:r>
          </w:p>
        </w:tc>
        <w:tc>
          <w:tcPr>
            <w:tcW w:w="2932" w:type="dxa"/>
          </w:tcPr>
          <w:p w14:paraId="0F23C202" w14:textId="77777777" w:rsidR="00846A3B" w:rsidRPr="00293A1D" w:rsidRDefault="00846A3B" w:rsidP="0086279B">
            <w:pPr>
              <w:spacing w:after="0" w:line="240" w:lineRule="auto"/>
              <w:rPr>
                <w:rFonts w:cs="Arial"/>
                <w:color w:val="000000"/>
                <w:szCs w:val="20"/>
              </w:rPr>
            </w:pPr>
            <w:r w:rsidRPr="00293A1D">
              <w:rPr>
                <w:rFonts w:cs="Arial"/>
                <w:color w:val="000000"/>
                <w:szCs w:val="20"/>
              </w:rPr>
              <w:t>Jennifer Gleeson</w:t>
            </w:r>
          </w:p>
        </w:tc>
        <w:tc>
          <w:tcPr>
            <w:tcW w:w="2932" w:type="dxa"/>
          </w:tcPr>
          <w:p w14:paraId="69D67900" w14:textId="77777777" w:rsidR="00846A3B" w:rsidRPr="00293A1D" w:rsidRDefault="00846A3B" w:rsidP="0086279B">
            <w:pPr>
              <w:spacing w:after="0" w:line="240" w:lineRule="auto"/>
              <w:rPr>
                <w:rFonts w:cs="Arial"/>
                <w:color w:val="000000"/>
                <w:szCs w:val="20"/>
              </w:rPr>
            </w:pPr>
            <w:r w:rsidRPr="00293A1D">
              <w:rPr>
                <w:rFonts w:cs="Arial"/>
                <w:color w:val="000000"/>
                <w:szCs w:val="20"/>
              </w:rPr>
              <w:t>Steve Berger</w:t>
            </w:r>
          </w:p>
        </w:tc>
      </w:tr>
      <w:tr w:rsidR="00846A3B" w:rsidRPr="00293A1D" w14:paraId="179D18B8" w14:textId="77777777" w:rsidTr="0086279B">
        <w:trPr>
          <w:trHeight w:val="300"/>
        </w:trPr>
        <w:tc>
          <w:tcPr>
            <w:tcW w:w="2931" w:type="dxa"/>
            <w:shd w:val="clear" w:color="auto" w:fill="auto"/>
            <w:noWrap/>
          </w:tcPr>
          <w:p w14:paraId="13D84574" w14:textId="77777777" w:rsidR="00846A3B" w:rsidRPr="00293A1D" w:rsidRDefault="00846A3B" w:rsidP="0086279B">
            <w:pPr>
              <w:spacing w:after="0" w:line="240" w:lineRule="auto"/>
              <w:rPr>
                <w:rFonts w:cs="Arial"/>
                <w:color w:val="000000"/>
                <w:szCs w:val="20"/>
              </w:rPr>
            </w:pPr>
            <w:r w:rsidRPr="00293A1D">
              <w:rPr>
                <w:rFonts w:cs="Arial"/>
                <w:color w:val="000000"/>
                <w:szCs w:val="20"/>
              </w:rPr>
              <w:t>Craig Bethel</w:t>
            </w:r>
          </w:p>
        </w:tc>
        <w:tc>
          <w:tcPr>
            <w:tcW w:w="2932" w:type="dxa"/>
          </w:tcPr>
          <w:p w14:paraId="6AED3B5F" w14:textId="77777777" w:rsidR="00846A3B" w:rsidRPr="00293A1D" w:rsidRDefault="00846A3B" w:rsidP="0086279B">
            <w:pPr>
              <w:spacing w:after="0" w:line="240" w:lineRule="auto"/>
              <w:rPr>
                <w:rFonts w:cs="Arial"/>
                <w:color w:val="000000"/>
                <w:szCs w:val="20"/>
              </w:rPr>
            </w:pPr>
            <w:r w:rsidRPr="00293A1D">
              <w:rPr>
                <w:rFonts w:cs="Arial"/>
                <w:color w:val="000000"/>
                <w:szCs w:val="20"/>
              </w:rPr>
              <w:t>Ken Woodward</w:t>
            </w:r>
          </w:p>
        </w:tc>
        <w:tc>
          <w:tcPr>
            <w:tcW w:w="2932" w:type="dxa"/>
          </w:tcPr>
          <w:p w14:paraId="2A0B8940" w14:textId="77777777" w:rsidR="00846A3B" w:rsidRPr="00293A1D" w:rsidRDefault="00846A3B" w:rsidP="0086279B">
            <w:pPr>
              <w:spacing w:after="0" w:line="240" w:lineRule="auto"/>
              <w:rPr>
                <w:rFonts w:cs="Arial"/>
                <w:color w:val="000000"/>
                <w:szCs w:val="20"/>
              </w:rPr>
            </w:pPr>
            <w:r w:rsidRPr="00293A1D">
              <w:rPr>
                <w:rFonts w:cs="Arial"/>
                <w:color w:val="000000"/>
                <w:szCs w:val="20"/>
              </w:rPr>
              <w:t>Troy Strang</w:t>
            </w:r>
          </w:p>
        </w:tc>
      </w:tr>
      <w:tr w:rsidR="00846A3B" w:rsidRPr="00293A1D" w14:paraId="7886FB4A" w14:textId="77777777" w:rsidTr="0086279B">
        <w:trPr>
          <w:trHeight w:val="300"/>
        </w:trPr>
        <w:tc>
          <w:tcPr>
            <w:tcW w:w="2931" w:type="dxa"/>
            <w:shd w:val="clear" w:color="auto" w:fill="auto"/>
            <w:noWrap/>
          </w:tcPr>
          <w:p w14:paraId="00CA14BA" w14:textId="77777777" w:rsidR="00846A3B" w:rsidRPr="00293A1D" w:rsidRDefault="00846A3B" w:rsidP="0086279B">
            <w:pPr>
              <w:spacing w:after="0" w:line="240" w:lineRule="auto"/>
              <w:rPr>
                <w:rFonts w:cs="Arial"/>
                <w:color w:val="000000"/>
                <w:szCs w:val="20"/>
              </w:rPr>
            </w:pPr>
            <w:proofErr w:type="spellStart"/>
            <w:r w:rsidRPr="00293A1D">
              <w:rPr>
                <w:rFonts w:cs="Arial"/>
                <w:color w:val="000000"/>
                <w:szCs w:val="20"/>
              </w:rPr>
              <w:t>Darktime</w:t>
            </w:r>
            <w:proofErr w:type="spellEnd"/>
            <w:r w:rsidRPr="00293A1D">
              <w:rPr>
                <w:rFonts w:cs="Arial"/>
                <w:color w:val="000000"/>
                <w:szCs w:val="20"/>
              </w:rPr>
              <w:t xml:space="preserve"> IT</w:t>
            </w:r>
          </w:p>
        </w:tc>
        <w:tc>
          <w:tcPr>
            <w:tcW w:w="2932" w:type="dxa"/>
          </w:tcPr>
          <w:p w14:paraId="6389DACA" w14:textId="77777777" w:rsidR="00846A3B" w:rsidRPr="00293A1D" w:rsidRDefault="00846A3B" w:rsidP="0086279B">
            <w:pPr>
              <w:spacing w:after="0" w:line="240" w:lineRule="auto"/>
              <w:rPr>
                <w:rFonts w:cs="Arial"/>
                <w:color w:val="000000"/>
                <w:szCs w:val="20"/>
              </w:rPr>
            </w:pPr>
            <w:r w:rsidRPr="00293A1D">
              <w:rPr>
                <w:rFonts w:cs="Arial"/>
                <w:color w:val="000000"/>
                <w:szCs w:val="20"/>
              </w:rPr>
              <w:t>Lee &amp; Geoff Longmire</w:t>
            </w:r>
          </w:p>
        </w:tc>
        <w:tc>
          <w:tcPr>
            <w:tcW w:w="2932" w:type="dxa"/>
          </w:tcPr>
          <w:p w14:paraId="3A9B7291" w14:textId="77777777" w:rsidR="00846A3B" w:rsidRPr="00293A1D" w:rsidRDefault="00846A3B" w:rsidP="0086279B">
            <w:pPr>
              <w:spacing w:after="0" w:line="240" w:lineRule="auto"/>
              <w:rPr>
                <w:rFonts w:cs="Arial"/>
                <w:color w:val="000000"/>
                <w:szCs w:val="20"/>
              </w:rPr>
            </w:pPr>
            <w:r w:rsidRPr="00293A1D">
              <w:rPr>
                <w:rFonts w:cs="Arial"/>
                <w:color w:val="000000"/>
                <w:szCs w:val="20"/>
              </w:rPr>
              <w:t>Tyson Armitage</w:t>
            </w:r>
          </w:p>
        </w:tc>
      </w:tr>
      <w:tr w:rsidR="00846A3B" w:rsidRPr="00293A1D" w14:paraId="1AB6515C" w14:textId="77777777" w:rsidTr="0086279B">
        <w:trPr>
          <w:trHeight w:val="300"/>
        </w:trPr>
        <w:tc>
          <w:tcPr>
            <w:tcW w:w="2931" w:type="dxa"/>
            <w:shd w:val="clear" w:color="auto" w:fill="auto"/>
            <w:noWrap/>
          </w:tcPr>
          <w:p w14:paraId="6D63452F" w14:textId="77777777" w:rsidR="00846A3B" w:rsidRPr="00293A1D" w:rsidRDefault="00846A3B" w:rsidP="0086279B">
            <w:pPr>
              <w:spacing w:after="0" w:line="240" w:lineRule="auto"/>
              <w:rPr>
                <w:rFonts w:cs="Arial"/>
                <w:color w:val="000000"/>
                <w:szCs w:val="20"/>
              </w:rPr>
            </w:pPr>
            <w:r w:rsidRPr="00293A1D">
              <w:rPr>
                <w:rFonts w:cs="Arial"/>
                <w:color w:val="000000"/>
                <w:szCs w:val="20"/>
              </w:rPr>
              <w:t>David Melville</w:t>
            </w:r>
          </w:p>
        </w:tc>
        <w:tc>
          <w:tcPr>
            <w:tcW w:w="2932" w:type="dxa"/>
          </w:tcPr>
          <w:p w14:paraId="14620D4B" w14:textId="77777777" w:rsidR="00846A3B" w:rsidRPr="00293A1D" w:rsidRDefault="00846A3B" w:rsidP="0086279B">
            <w:pPr>
              <w:spacing w:after="0" w:line="240" w:lineRule="auto"/>
              <w:rPr>
                <w:rFonts w:cs="Arial"/>
                <w:color w:val="000000"/>
                <w:szCs w:val="20"/>
              </w:rPr>
            </w:pPr>
            <w:r w:rsidRPr="00293A1D">
              <w:rPr>
                <w:rFonts w:cs="Arial"/>
                <w:color w:val="000000"/>
                <w:szCs w:val="20"/>
              </w:rPr>
              <w:t xml:space="preserve">Meg </w:t>
            </w:r>
            <w:proofErr w:type="spellStart"/>
            <w:r w:rsidRPr="00293A1D">
              <w:rPr>
                <w:rFonts w:cs="Arial"/>
                <w:color w:val="000000"/>
                <w:szCs w:val="20"/>
              </w:rPr>
              <w:t>Kummerow</w:t>
            </w:r>
            <w:proofErr w:type="spellEnd"/>
          </w:p>
        </w:tc>
        <w:tc>
          <w:tcPr>
            <w:tcW w:w="2932" w:type="dxa"/>
          </w:tcPr>
          <w:p w14:paraId="10A4BB68" w14:textId="77777777" w:rsidR="00846A3B" w:rsidRPr="00293A1D" w:rsidRDefault="00846A3B" w:rsidP="0086279B">
            <w:pPr>
              <w:spacing w:after="0" w:line="240" w:lineRule="auto"/>
              <w:rPr>
                <w:rFonts w:cs="Arial"/>
                <w:color w:val="000000"/>
                <w:szCs w:val="20"/>
              </w:rPr>
            </w:pPr>
            <w:r w:rsidRPr="00293A1D">
              <w:rPr>
                <w:rFonts w:cs="Arial"/>
                <w:color w:val="000000"/>
                <w:szCs w:val="20"/>
              </w:rPr>
              <w:t>wake.2.wake*</w:t>
            </w:r>
          </w:p>
        </w:tc>
      </w:tr>
      <w:tr w:rsidR="00846A3B" w:rsidRPr="00293A1D" w14:paraId="45749F32" w14:textId="77777777" w:rsidTr="0086279B">
        <w:trPr>
          <w:trHeight w:val="300"/>
        </w:trPr>
        <w:tc>
          <w:tcPr>
            <w:tcW w:w="2931" w:type="dxa"/>
            <w:shd w:val="clear" w:color="auto" w:fill="auto"/>
            <w:noWrap/>
          </w:tcPr>
          <w:p w14:paraId="5F5C0253" w14:textId="77777777" w:rsidR="00846A3B" w:rsidRPr="00293A1D" w:rsidRDefault="00846A3B" w:rsidP="000043F4">
            <w:pPr>
              <w:spacing w:after="120" w:line="240" w:lineRule="auto"/>
              <w:rPr>
                <w:rFonts w:cs="Arial"/>
                <w:color w:val="000000"/>
                <w:szCs w:val="20"/>
              </w:rPr>
            </w:pPr>
            <w:r w:rsidRPr="00293A1D">
              <w:rPr>
                <w:rFonts w:cs="Arial"/>
                <w:color w:val="000000"/>
                <w:szCs w:val="20"/>
              </w:rPr>
              <w:t>Diane White</w:t>
            </w:r>
          </w:p>
        </w:tc>
        <w:tc>
          <w:tcPr>
            <w:tcW w:w="2932" w:type="dxa"/>
          </w:tcPr>
          <w:p w14:paraId="67D20410" w14:textId="77777777" w:rsidR="00846A3B" w:rsidRPr="00293A1D" w:rsidRDefault="00846A3B" w:rsidP="0086279B">
            <w:pPr>
              <w:spacing w:after="0" w:line="240" w:lineRule="auto"/>
              <w:rPr>
                <w:rFonts w:cs="Arial"/>
                <w:color w:val="000000"/>
                <w:szCs w:val="20"/>
              </w:rPr>
            </w:pPr>
          </w:p>
        </w:tc>
        <w:tc>
          <w:tcPr>
            <w:tcW w:w="2932" w:type="dxa"/>
          </w:tcPr>
          <w:p w14:paraId="7EF2D8D0" w14:textId="77777777" w:rsidR="00846A3B" w:rsidRPr="00293A1D" w:rsidRDefault="00846A3B" w:rsidP="0086279B">
            <w:pPr>
              <w:spacing w:after="0" w:line="240" w:lineRule="auto"/>
              <w:rPr>
                <w:rFonts w:cs="Arial"/>
                <w:color w:val="000000"/>
                <w:szCs w:val="20"/>
              </w:rPr>
            </w:pPr>
          </w:p>
        </w:tc>
      </w:tr>
    </w:tbl>
    <w:p w14:paraId="260C0FEA" w14:textId="77777777" w:rsidR="00E14AA6" w:rsidRPr="00FB55C6" w:rsidRDefault="007F2B85" w:rsidP="000043F4">
      <w:pPr>
        <w:pStyle w:val="ACMANotes"/>
        <w:rPr>
          <w:szCs w:val="20"/>
          <w:lang w:val="en"/>
        </w:rPr>
      </w:pPr>
      <w:r w:rsidRPr="00FB55C6">
        <w:rPr>
          <w:lang w:val="en"/>
        </w:rPr>
        <w:t>*</w:t>
      </w:r>
      <w:r>
        <w:rPr>
          <w:lang w:val="en"/>
        </w:rPr>
        <w:t>Online submission with no name provided</w:t>
      </w:r>
      <w:r w:rsidR="00293A1D">
        <w:rPr>
          <w:szCs w:val="20"/>
          <w:lang w:val="en"/>
        </w:rPr>
        <w:t>.</w:t>
      </w:r>
    </w:p>
    <w:sectPr w:rsidR="00E14AA6" w:rsidRPr="00FB55C6" w:rsidSect="00C77380">
      <w:headerReference w:type="even" r:id="rId38"/>
      <w:headerReference w:type="default" r:id="rId39"/>
      <w:footerReference w:type="even" r:id="rId40"/>
      <w:footerReference w:type="default" r:id="rId41"/>
      <w:pgSz w:w="11906" w:h="16838" w:code="9"/>
      <w:pgMar w:top="1945" w:right="3101" w:bottom="1134" w:left="1134" w:header="709" w:footer="11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4A76FA" w14:textId="77777777" w:rsidR="00F36693" w:rsidRDefault="00F36693">
      <w:r>
        <w:separator/>
      </w:r>
    </w:p>
  </w:endnote>
  <w:endnote w:type="continuationSeparator" w:id="0">
    <w:p w14:paraId="70DABF51" w14:textId="77777777" w:rsidR="00F36693" w:rsidRDefault="00F36693">
      <w:r>
        <w:continuationSeparator/>
      </w:r>
    </w:p>
  </w:endnote>
  <w:endnote w:type="continuationNotice" w:id="1">
    <w:p w14:paraId="49A906C1" w14:textId="77777777" w:rsidR="00F36693" w:rsidRDefault="00F3669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NeueLT Std Lt">
    <w:altName w:val="Malgun Gothic"/>
    <w:panose1 w:val="00000000000000000000"/>
    <w:charset w:val="00"/>
    <w:family w:val="swiss"/>
    <w:notTrueType/>
    <w:pitch w:val="variable"/>
    <w:sig w:usb0="800000AF" w:usb1="4000204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eueLT Std">
    <w:altName w:val="Arial"/>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宋体">
    <w:altName w:val="Arial Unicode MS"/>
    <w:charset w:val="86"/>
    <w:family w:val="auto"/>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637019" w14:textId="77777777" w:rsidR="000A665A" w:rsidRDefault="000A665A">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E41F3" w14:textId="77777777" w:rsidR="00DE193E" w:rsidRPr="00622A3B" w:rsidRDefault="00DE193E" w:rsidP="00447037">
    <w:pPr>
      <w:pStyle w:val="Footer"/>
      <w:framePr w:w="1440" w:h="357" w:hRule="exact" w:vSpace="425" w:wrap="around" w:vAnchor="page" w:hAnchor="page" w:x="7335" w:y="16166"/>
      <w:pBdr>
        <w:top w:val="single" w:sz="4" w:space="1" w:color="auto"/>
      </w:pBdr>
      <w:tabs>
        <w:tab w:val="clear" w:pos="113"/>
        <w:tab w:val="left" w:pos="397"/>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575AC5">
      <w:rPr>
        <w:color w:val="505050"/>
      </w:rPr>
      <w:fldChar w:fldCharType="begin"/>
    </w:r>
    <w:r w:rsidRPr="00575AC5">
      <w:rPr>
        <w:color w:val="505050"/>
      </w:rPr>
      <w:instrText xml:space="preserve"> PAGE  \* Arabic  \* MERGEFORMAT </w:instrText>
    </w:r>
    <w:r w:rsidRPr="00575AC5">
      <w:rPr>
        <w:color w:val="505050"/>
      </w:rPr>
      <w:fldChar w:fldCharType="separate"/>
    </w:r>
    <w:r w:rsidR="003D47D9">
      <w:rPr>
        <w:noProof/>
        <w:color w:val="505050"/>
      </w:rPr>
      <w:t>15</w:t>
    </w:r>
    <w:r w:rsidRPr="00575AC5">
      <w:rPr>
        <w:color w:val="505050"/>
      </w:rPr>
      <w:fldChar w:fldCharType="end"/>
    </w:r>
  </w:p>
  <w:p w14:paraId="6464BEF2" w14:textId="77777777" w:rsidR="00DE193E" w:rsidRPr="00A5474E" w:rsidRDefault="00DE193E" w:rsidP="00A547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30662B" w14:textId="77777777" w:rsidR="00DE193E" w:rsidRPr="00A5474E" w:rsidRDefault="00DE193E" w:rsidP="00A5474E">
    <w:pPr>
      <w:pStyle w:val="Footer"/>
    </w:pPr>
    <w:r>
      <w:rPr>
        <w:noProof/>
      </w:rPr>
      <w:drawing>
        <wp:inline distT="0" distB="0" distL="0" distR="0" wp14:anchorId="0E4F3872" wp14:editId="10351DBF">
          <wp:extent cx="3483864" cy="249613"/>
          <wp:effectExtent l="0" t="0" r="0" b="0"/>
          <wp:docPr id="24" name="Picture 24" title="Australian communications and Media Authority tagline – communicating, facilitating, regula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M_A4Letterhead_Strapline.jpg"/>
                  <pic:cNvPicPr/>
                </pic:nvPicPr>
                <pic:blipFill>
                  <a:blip r:embed="rId1">
                    <a:extLst>
                      <a:ext uri="{28A0092B-C50C-407E-A947-70E740481C1C}">
                        <a14:useLocalDpi xmlns:a14="http://schemas.microsoft.com/office/drawing/2010/main" val="0"/>
                      </a:ext>
                    </a:extLst>
                  </a:blip>
                  <a:stretch>
                    <a:fillRect/>
                  </a:stretch>
                </pic:blipFill>
                <pic:spPr>
                  <a:xfrm>
                    <a:off x="0" y="0"/>
                    <a:ext cx="3483864" cy="249613"/>
                  </a:xfrm>
                  <a:prstGeom prst="rect">
                    <a:avLst/>
                  </a:prstGeom>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C1A2FE" w14:textId="77777777" w:rsidR="000A665A" w:rsidRDefault="000A665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465F0" w14:textId="77777777" w:rsidR="00DE193E" w:rsidRDefault="00DE193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0B3C89" w14:textId="77777777" w:rsidR="00DE193E" w:rsidRDefault="00DE193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B4FA15" w14:textId="77777777" w:rsidR="00DE193E" w:rsidRPr="00622A3B" w:rsidRDefault="00DE193E" w:rsidP="00971914">
    <w:pPr>
      <w:pStyle w:val="Footer"/>
      <w:framePr w:w="1334" w:h="357" w:hRule="exact" w:vSpace="425" w:wrap="around" w:vAnchor="page" w:hAnchor="page" w:x="1156" w:y="16166"/>
      <w:pBdr>
        <w:top w:val="single" w:sz="4" w:space="1" w:color="auto"/>
      </w:pBdr>
      <w:tabs>
        <w:tab w:val="clear" w:pos="113"/>
        <w:tab w:val="left" w:pos="284"/>
      </w:tabs>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Pr>
        <w:noProof/>
        <w:color w:val="505050"/>
      </w:rPr>
      <w:t>iv</w:t>
    </w:r>
    <w:r w:rsidRPr="002E4DDC">
      <w:rPr>
        <w:color w:val="505050"/>
      </w:rPr>
      <w:fldChar w:fldCharType="end"/>
    </w:r>
  </w:p>
  <w:p w14:paraId="63EACADF" w14:textId="77777777" w:rsidR="00DE193E" w:rsidRPr="00A5474E" w:rsidRDefault="00DE193E" w:rsidP="00A5474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2C35B6" w14:textId="77777777" w:rsidR="00DE193E" w:rsidRPr="00622A3B" w:rsidRDefault="00DE193E" w:rsidP="00971914">
    <w:pPr>
      <w:pStyle w:val="Footer"/>
      <w:framePr w:w="1334" w:h="357" w:hRule="exact" w:vSpace="425" w:wrap="around" w:vAnchor="page" w:hAnchor="page" w:x="7335" w:y="16166"/>
      <w:pBdr>
        <w:top w:val="single" w:sz="4" w:space="1" w:color="auto"/>
      </w:pBdr>
      <w:tabs>
        <w:tab w:val="clear" w:pos="113"/>
        <w:tab w:val="left" w:pos="284"/>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Pr>
        <w:noProof/>
        <w:color w:val="505050"/>
      </w:rPr>
      <w:t>v</w:t>
    </w:r>
    <w:r w:rsidRPr="002E4DDC">
      <w:rPr>
        <w:color w:val="505050"/>
      </w:rPr>
      <w:fldChar w:fldCharType="end"/>
    </w:r>
  </w:p>
  <w:p w14:paraId="61158119" w14:textId="77777777" w:rsidR="00DE193E" w:rsidRPr="00A5474E" w:rsidRDefault="00DE193E" w:rsidP="00A5474E">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D0155" w14:textId="77777777" w:rsidR="00DE193E" w:rsidRPr="00622A3B" w:rsidRDefault="00DE193E" w:rsidP="0094078F">
    <w:pPr>
      <w:pStyle w:val="Footer"/>
      <w:framePr w:w="1334" w:h="357" w:hRule="exact" w:vSpace="425" w:wrap="around" w:vAnchor="page" w:hAnchor="page" w:x="7335" w:y="16166"/>
      <w:pBdr>
        <w:top w:val="single" w:sz="4" w:space="1" w:color="auto"/>
      </w:pBdr>
      <w:tabs>
        <w:tab w:val="clear" w:pos="113"/>
        <w:tab w:val="left" w:pos="284"/>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sidR="003D47D9">
      <w:rPr>
        <w:noProof/>
        <w:color w:val="505050"/>
      </w:rPr>
      <w:t>iii</w:t>
    </w:r>
    <w:r w:rsidRPr="002E4DDC">
      <w:rPr>
        <w:color w:val="505050"/>
      </w:rPr>
      <w:fldChar w:fldCharType="end"/>
    </w:r>
  </w:p>
  <w:p w14:paraId="5C28EF5F" w14:textId="77777777" w:rsidR="00DE193E" w:rsidRPr="00A5474E" w:rsidRDefault="00DE193E" w:rsidP="00A5474E">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CCC41" w14:textId="77777777" w:rsidR="00DE193E" w:rsidRPr="00622A3B" w:rsidRDefault="00DE193E" w:rsidP="00B43262">
    <w:pPr>
      <w:pStyle w:val="FooterLeft"/>
      <w:framePr w:wrap="around" w:x="1141" w:y="16166"/>
      <w:tabs>
        <w:tab w:val="clear" w:pos="113"/>
        <w:tab w:val="right" w:pos="397"/>
      </w:tabs>
    </w:pPr>
    <w:r w:rsidRPr="00575AC5">
      <w:fldChar w:fldCharType="begin"/>
    </w:r>
    <w:r w:rsidRPr="00575AC5">
      <w:instrText xml:space="preserve"> PAGE  \* Arabic  \* MERGEFORMAT </w:instrText>
    </w:r>
    <w:r w:rsidRPr="00575AC5">
      <w:fldChar w:fldCharType="separate"/>
    </w:r>
    <w:r w:rsidR="003D47D9">
      <w:rPr>
        <w:noProof/>
      </w:rPr>
      <w:t>16</w:t>
    </w:r>
    <w:r w:rsidRPr="00575AC5">
      <w:fldChar w:fldCharType="end"/>
    </w:r>
    <w:r w:rsidRPr="0094078F">
      <w:tab/>
    </w:r>
    <w:r w:rsidRPr="00622A3B">
      <w:t>|</w:t>
    </w:r>
    <w:r>
      <w:tab/>
    </w:r>
    <w:r w:rsidRPr="00622A3B">
      <w:rPr>
        <w:b/>
        <w:noProof/>
        <w:spacing w:val="-16"/>
        <w:sz w:val="20"/>
        <w:szCs w:val="20"/>
      </w:rPr>
      <w:t>a</w:t>
    </w:r>
    <w:r w:rsidRPr="00622A3B">
      <w:rPr>
        <w:b/>
        <w:noProof/>
        <w:spacing w:val="-15"/>
        <w:sz w:val="20"/>
        <w:szCs w:val="20"/>
      </w:rPr>
      <w:t>c</w:t>
    </w:r>
    <w:r w:rsidRPr="00622A3B">
      <w:rPr>
        <w:b/>
        <w:noProof/>
        <w:spacing w:val="-16"/>
        <w:sz w:val="20"/>
        <w:szCs w:val="20"/>
      </w:rPr>
      <w:t>m</w:t>
    </w:r>
    <w:r w:rsidRPr="00622A3B">
      <w:rPr>
        <w:b/>
        <w:noProof/>
        <w:spacing w:val="-14"/>
        <w:sz w:val="20"/>
        <w:szCs w:val="20"/>
      </w:rPr>
      <w:t>a</w:t>
    </w:r>
  </w:p>
  <w:p w14:paraId="5EF4C5F5" w14:textId="77777777" w:rsidR="00DE193E" w:rsidRPr="00A5474E" w:rsidRDefault="00DE193E" w:rsidP="00A547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8402F8" w14:textId="77777777" w:rsidR="00F36693" w:rsidRDefault="00F36693">
      <w:r>
        <w:separator/>
      </w:r>
    </w:p>
  </w:footnote>
  <w:footnote w:type="continuationSeparator" w:id="0">
    <w:p w14:paraId="3A87D679" w14:textId="77777777" w:rsidR="00F36693" w:rsidRDefault="00F36693">
      <w:r>
        <w:continuationSeparator/>
      </w:r>
    </w:p>
  </w:footnote>
  <w:footnote w:type="continuationNotice" w:id="1">
    <w:p w14:paraId="76031C66" w14:textId="77777777" w:rsidR="00F36693" w:rsidRDefault="00F36693">
      <w:pPr>
        <w:spacing w:after="0" w:line="240" w:lineRule="auto"/>
      </w:pPr>
    </w:p>
  </w:footnote>
  <w:footnote w:id="2">
    <w:p w14:paraId="2F62547C" w14:textId="77777777" w:rsidR="00DE193E" w:rsidRDefault="00DE193E" w:rsidP="00D239DB">
      <w:pPr>
        <w:pStyle w:val="FootnoteText"/>
        <w:spacing w:after="0"/>
      </w:pPr>
      <w:r>
        <w:rPr>
          <w:rStyle w:val="FootnoteReference"/>
        </w:rPr>
        <w:footnoteRef/>
      </w:r>
      <w:r>
        <w:t xml:space="preserve"> Refer to </w:t>
      </w:r>
      <w:hyperlink r:id="rId1" w:history="1">
        <w:r w:rsidRPr="00B627A9">
          <w:rPr>
            <w:rStyle w:val="Hyperlink"/>
          </w:rPr>
          <w:t>Rulemaking 12-354</w:t>
        </w:r>
      </w:hyperlink>
      <w:r w:rsidRPr="002A0304">
        <w:rPr>
          <w:rStyle w:val="Hyperlink"/>
          <w:u w:val="non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55FE2" w14:textId="77777777" w:rsidR="000A665A" w:rsidRDefault="000A66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D9AC97" w14:textId="77777777" w:rsidR="00DE193E" w:rsidRPr="00A5474E" w:rsidRDefault="00DE193E" w:rsidP="00A5474E">
    <w:pPr>
      <w:pStyle w:val="Header"/>
    </w:pPr>
    <w:r>
      <w:rPr>
        <w:noProof/>
      </w:rPr>
      <w:drawing>
        <wp:inline distT="0" distB="0" distL="0" distR="0" wp14:anchorId="2FD034BA" wp14:editId="618389ED">
          <wp:extent cx="6388100" cy="520700"/>
          <wp:effectExtent l="0" t="0" r="0" b="12700"/>
          <wp:docPr id="4" name="Picture 4" title="Australian Communications and Media Authority logo and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cussion-paper-header-block.pdf"/>
                  <pic:cNvPicPr/>
                </pic:nvPicPr>
                <pic:blipFill>
                  <a:blip r:embed="rId1">
                    <a:extLst>
                      <a:ext uri="{28A0092B-C50C-407E-A947-70E740481C1C}">
                        <a14:useLocalDpi xmlns:a14="http://schemas.microsoft.com/office/drawing/2010/main" val="0"/>
                      </a:ext>
                    </a:extLst>
                  </a:blip>
                  <a:stretch>
                    <a:fillRect/>
                  </a:stretch>
                </pic:blipFill>
                <pic:spPr>
                  <a:xfrm>
                    <a:off x="0" y="0"/>
                    <a:ext cx="6388100" cy="5207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B14DAB" w14:textId="238C4C18" w:rsidR="00DE193E" w:rsidRPr="00A5474E" w:rsidRDefault="00DE193E" w:rsidP="00594E9C">
    <w:pPr>
      <w:pStyle w:val="TOCHeading"/>
    </w:pPr>
    <w:r w:rsidRPr="0029593B">
      <w:t>Contents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F132E8" w14:textId="77777777" w:rsidR="00DE193E" w:rsidRDefault="00DE193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19C197" w14:textId="77777777" w:rsidR="00DE193E" w:rsidRDefault="00DE193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678" w:type="dxa"/>
      <w:tblLayout w:type="fixed"/>
      <w:tblCellMar>
        <w:left w:w="0" w:type="dxa"/>
        <w:right w:w="0" w:type="dxa"/>
      </w:tblCellMar>
      <w:tblLook w:val="01E0" w:firstRow="1" w:lastRow="1" w:firstColumn="1" w:lastColumn="1" w:noHBand="0" w:noVBand="0"/>
    </w:tblPr>
    <w:tblGrid>
      <w:gridCol w:w="7678"/>
    </w:tblGrid>
    <w:tr w:rsidR="00DE193E" w14:paraId="476D3040" w14:textId="77777777" w:rsidTr="009135A5">
      <w:trPr>
        <w:trHeight w:hRule="exact" w:val="988"/>
      </w:trPr>
      <w:tc>
        <w:tcPr>
          <w:tcW w:w="7678" w:type="dxa"/>
          <w:shd w:val="clear" w:color="auto" w:fill="auto"/>
        </w:tcPr>
        <w:p w14:paraId="40884934" w14:textId="77777777" w:rsidR="00DE193E" w:rsidRDefault="00DE193E" w:rsidP="00971914">
          <w:pPr>
            <w:pStyle w:val="Header"/>
          </w:pPr>
        </w:p>
      </w:tc>
    </w:tr>
    <w:tr w:rsidR="00DE193E" w14:paraId="45CC5C30" w14:textId="77777777" w:rsidTr="009135A5">
      <w:tc>
        <w:tcPr>
          <w:tcW w:w="7678" w:type="dxa"/>
          <w:shd w:val="clear" w:color="auto" w:fill="auto"/>
        </w:tcPr>
        <w:p w14:paraId="42E0D15B" w14:textId="77777777" w:rsidR="00DE193E" w:rsidRDefault="00DE193E" w:rsidP="00971914">
          <w:pPr>
            <w:pStyle w:val="GridTable31"/>
          </w:pPr>
          <w:r>
            <w:t xml:space="preserve">Contents </w:t>
          </w:r>
          <w:r w:rsidRPr="00915B1C">
            <w:rPr>
              <w:b w:val="0"/>
              <w:spacing w:val="0"/>
              <w:sz w:val="28"/>
              <w:szCs w:val="28"/>
            </w:rPr>
            <w:t>(Continued)</w:t>
          </w:r>
        </w:p>
      </w:tc>
    </w:tr>
    <w:tr w:rsidR="00DE193E" w14:paraId="39C6CE78" w14:textId="77777777" w:rsidTr="009135A5">
      <w:trPr>
        <w:trHeight w:val="1220"/>
      </w:trPr>
      <w:tc>
        <w:tcPr>
          <w:tcW w:w="7678" w:type="dxa"/>
          <w:shd w:val="clear" w:color="auto" w:fill="auto"/>
        </w:tcPr>
        <w:p w14:paraId="4BF965E5" w14:textId="77777777" w:rsidR="00DE193E" w:rsidRDefault="00DE193E" w:rsidP="00971914"/>
      </w:tc>
    </w:tr>
  </w:tbl>
  <w:p w14:paraId="1AEBA7FD" w14:textId="77777777" w:rsidR="00DE193E" w:rsidRDefault="00DE193E" w:rsidP="0097191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678" w:type="dxa"/>
      <w:tblLayout w:type="fixed"/>
      <w:tblCellMar>
        <w:left w:w="0" w:type="dxa"/>
        <w:right w:w="0" w:type="dxa"/>
      </w:tblCellMar>
      <w:tblLook w:val="01E0" w:firstRow="1" w:lastRow="1" w:firstColumn="1" w:lastColumn="1" w:noHBand="0" w:noVBand="0"/>
    </w:tblPr>
    <w:tblGrid>
      <w:gridCol w:w="7678"/>
    </w:tblGrid>
    <w:tr w:rsidR="00DE193E" w14:paraId="637CE370" w14:textId="77777777" w:rsidTr="009135A5">
      <w:trPr>
        <w:trHeight w:hRule="exact" w:val="988"/>
      </w:trPr>
      <w:tc>
        <w:tcPr>
          <w:tcW w:w="7678" w:type="dxa"/>
          <w:shd w:val="clear" w:color="auto" w:fill="auto"/>
        </w:tcPr>
        <w:p w14:paraId="3899130E" w14:textId="77777777" w:rsidR="00DE193E" w:rsidRDefault="00DE193E" w:rsidP="00971914">
          <w:pPr>
            <w:pStyle w:val="Header"/>
          </w:pPr>
        </w:p>
      </w:tc>
    </w:tr>
    <w:tr w:rsidR="00DE193E" w14:paraId="0D812913" w14:textId="77777777" w:rsidTr="009135A5">
      <w:tc>
        <w:tcPr>
          <w:tcW w:w="7678" w:type="dxa"/>
          <w:shd w:val="clear" w:color="auto" w:fill="auto"/>
        </w:tcPr>
        <w:p w14:paraId="492E3A58" w14:textId="77777777" w:rsidR="00DE193E" w:rsidRDefault="00DE193E" w:rsidP="00971914">
          <w:pPr>
            <w:pStyle w:val="GridTable31"/>
          </w:pPr>
          <w:r>
            <w:t xml:space="preserve">Contents </w:t>
          </w:r>
          <w:r w:rsidRPr="00915B1C">
            <w:rPr>
              <w:b w:val="0"/>
              <w:spacing w:val="0"/>
              <w:sz w:val="28"/>
              <w:szCs w:val="28"/>
            </w:rPr>
            <w:t>(Continued)</w:t>
          </w:r>
        </w:p>
      </w:tc>
    </w:tr>
    <w:tr w:rsidR="00DE193E" w14:paraId="4ADB6C0C" w14:textId="77777777" w:rsidTr="009135A5">
      <w:trPr>
        <w:trHeight w:val="1220"/>
      </w:trPr>
      <w:tc>
        <w:tcPr>
          <w:tcW w:w="7678" w:type="dxa"/>
          <w:shd w:val="clear" w:color="auto" w:fill="auto"/>
        </w:tcPr>
        <w:p w14:paraId="2F116EFB" w14:textId="77777777" w:rsidR="00DE193E" w:rsidRDefault="00DE193E" w:rsidP="00971914"/>
      </w:tc>
    </w:tr>
  </w:tbl>
  <w:p w14:paraId="5ECCF288" w14:textId="77777777" w:rsidR="00DE193E" w:rsidRPr="00A5474E" w:rsidRDefault="00DE193E" w:rsidP="00A5474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EC2AF" w14:textId="77777777" w:rsidR="00DE193E" w:rsidRDefault="00DE193E">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18483" w14:textId="77777777" w:rsidR="00DE193E" w:rsidRDefault="00DE19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CAAE618"/>
    <w:lvl w:ilvl="0">
      <w:start w:val="1"/>
      <w:numFmt w:val="decimal"/>
      <w:lvlText w:val="%1."/>
      <w:lvlJc w:val="left"/>
      <w:pPr>
        <w:tabs>
          <w:tab w:val="num" w:pos="1492"/>
        </w:tabs>
        <w:ind w:left="1492" w:hanging="360"/>
      </w:pPr>
    </w:lvl>
  </w:abstractNum>
  <w:abstractNum w:abstractNumId="1" w15:restartNumberingAfterBreak="0">
    <w:nsid w:val="FFFFFF7F"/>
    <w:multiLevelType w:val="singleLevel"/>
    <w:tmpl w:val="703632DA"/>
    <w:lvl w:ilvl="0">
      <w:start w:val="1"/>
      <w:numFmt w:val="decimal"/>
      <w:pStyle w:val="ListNumber2"/>
      <w:lvlText w:val="%1."/>
      <w:lvlJc w:val="left"/>
      <w:pPr>
        <w:ind w:left="360" w:hanging="360"/>
      </w:pPr>
      <w:rPr>
        <w:rFonts w:hint="default"/>
      </w:rPr>
    </w:lvl>
  </w:abstractNum>
  <w:abstractNum w:abstractNumId="2" w15:restartNumberingAfterBreak="0">
    <w:nsid w:val="FFFFFF83"/>
    <w:multiLevelType w:val="singleLevel"/>
    <w:tmpl w:val="3E303AD8"/>
    <w:lvl w:ilvl="0">
      <w:start w:val="1"/>
      <w:numFmt w:val="bullet"/>
      <w:pStyle w:val="ListBullet2"/>
      <w:lvlText w:val="&gt;"/>
      <w:lvlJc w:val="left"/>
      <w:pPr>
        <w:tabs>
          <w:tab w:val="num" w:pos="845"/>
        </w:tabs>
        <w:ind w:left="845" w:hanging="544"/>
      </w:pPr>
      <w:rPr>
        <w:rFonts w:ascii="HelveticaNeueLT Std Lt" w:hAnsi="HelveticaNeueLT Std Lt" w:hint="default"/>
        <w:sz w:val="20"/>
      </w:rPr>
    </w:lvl>
  </w:abstractNum>
  <w:abstractNum w:abstractNumId="3" w15:restartNumberingAfterBreak="0">
    <w:nsid w:val="FFFFFF88"/>
    <w:multiLevelType w:val="singleLevel"/>
    <w:tmpl w:val="34367B10"/>
    <w:lvl w:ilvl="0">
      <w:start w:val="1"/>
      <w:numFmt w:val="decimal"/>
      <w:pStyle w:val="ListNumber"/>
      <w:lvlText w:val="%1."/>
      <w:lvlJc w:val="left"/>
      <w:pPr>
        <w:ind w:left="360" w:hanging="360"/>
      </w:pPr>
      <w:rPr>
        <w:rFonts w:hint="default"/>
        <w:caps/>
        <w:sz w:val="20"/>
      </w:rPr>
    </w:lvl>
  </w:abstractNum>
  <w:abstractNum w:abstractNumId="4" w15:restartNumberingAfterBreak="0">
    <w:nsid w:val="FFFFFF89"/>
    <w:multiLevelType w:val="singleLevel"/>
    <w:tmpl w:val="8D465DE8"/>
    <w:lvl w:ilvl="0">
      <w:start w:val="1"/>
      <w:numFmt w:val="bullet"/>
      <w:pStyle w:val="ListBullet"/>
      <w:lvlText w:val="&gt;"/>
      <w:lvlJc w:val="left"/>
      <w:pPr>
        <w:tabs>
          <w:tab w:val="num" w:pos="295"/>
        </w:tabs>
        <w:ind w:left="295" w:hanging="295"/>
      </w:pPr>
      <w:rPr>
        <w:rFonts w:ascii="HelveticaNeueLT Std Lt" w:hAnsi="HelveticaNeueLT Std Lt" w:hint="default"/>
        <w:sz w:val="20"/>
      </w:rPr>
    </w:lvl>
  </w:abstractNum>
  <w:abstractNum w:abstractNumId="5" w15:restartNumberingAfterBreak="0">
    <w:nsid w:val="00000001"/>
    <w:multiLevelType w:val="multilevel"/>
    <w:tmpl w:val="894EE873"/>
    <w:lvl w:ilvl="0">
      <w:start w:val="1"/>
      <w:numFmt w:val="bullet"/>
      <w:lvlText w:val="&gt;"/>
      <w:lvlJc w:val="left"/>
      <w:pPr>
        <w:tabs>
          <w:tab w:val="num" w:pos="360"/>
        </w:tabs>
        <w:ind w:left="360" w:firstLine="0"/>
      </w:pPr>
      <w:rPr>
        <w:rFonts w:hint="default"/>
        <w:position w:val="0"/>
        <w:sz w:val="21"/>
      </w:rPr>
    </w:lvl>
    <w:lvl w:ilvl="1">
      <w:start w:val="1"/>
      <w:numFmt w:val="bullet"/>
      <w:lvlText w:val="&gt;"/>
      <w:lvlJc w:val="left"/>
      <w:pPr>
        <w:tabs>
          <w:tab w:val="num" w:pos="360"/>
        </w:tabs>
        <w:ind w:left="360" w:firstLine="0"/>
      </w:pPr>
      <w:rPr>
        <w:rFonts w:hint="default"/>
        <w:position w:val="0"/>
        <w:sz w:val="21"/>
      </w:rPr>
    </w:lvl>
    <w:lvl w:ilvl="2">
      <w:start w:val="1"/>
      <w:numFmt w:val="bullet"/>
      <w:lvlText w:val="&gt;"/>
      <w:lvlJc w:val="left"/>
      <w:pPr>
        <w:tabs>
          <w:tab w:val="num" w:pos="360"/>
        </w:tabs>
        <w:ind w:left="360" w:firstLine="0"/>
      </w:pPr>
      <w:rPr>
        <w:rFonts w:hint="default"/>
        <w:position w:val="0"/>
        <w:sz w:val="21"/>
      </w:rPr>
    </w:lvl>
    <w:lvl w:ilvl="3">
      <w:start w:val="1"/>
      <w:numFmt w:val="bullet"/>
      <w:lvlText w:val="&gt;"/>
      <w:lvlJc w:val="left"/>
      <w:pPr>
        <w:tabs>
          <w:tab w:val="num" w:pos="360"/>
        </w:tabs>
        <w:ind w:left="360" w:firstLine="0"/>
      </w:pPr>
      <w:rPr>
        <w:rFonts w:hint="default"/>
        <w:position w:val="0"/>
        <w:sz w:val="21"/>
      </w:rPr>
    </w:lvl>
    <w:lvl w:ilvl="4">
      <w:start w:val="1"/>
      <w:numFmt w:val="bullet"/>
      <w:lvlText w:val="&gt;"/>
      <w:lvlJc w:val="left"/>
      <w:pPr>
        <w:tabs>
          <w:tab w:val="num" w:pos="360"/>
        </w:tabs>
        <w:ind w:left="360" w:firstLine="0"/>
      </w:pPr>
      <w:rPr>
        <w:rFonts w:hint="default"/>
        <w:position w:val="0"/>
        <w:sz w:val="21"/>
      </w:rPr>
    </w:lvl>
    <w:lvl w:ilvl="5">
      <w:start w:val="1"/>
      <w:numFmt w:val="bullet"/>
      <w:lvlText w:val="&gt;"/>
      <w:lvlJc w:val="left"/>
      <w:pPr>
        <w:tabs>
          <w:tab w:val="num" w:pos="360"/>
        </w:tabs>
        <w:ind w:left="360" w:firstLine="0"/>
      </w:pPr>
      <w:rPr>
        <w:rFonts w:hint="default"/>
        <w:position w:val="0"/>
        <w:sz w:val="21"/>
      </w:rPr>
    </w:lvl>
    <w:lvl w:ilvl="6">
      <w:start w:val="1"/>
      <w:numFmt w:val="bullet"/>
      <w:lvlText w:val="&gt;"/>
      <w:lvlJc w:val="left"/>
      <w:pPr>
        <w:tabs>
          <w:tab w:val="num" w:pos="360"/>
        </w:tabs>
        <w:ind w:left="360" w:firstLine="0"/>
      </w:pPr>
      <w:rPr>
        <w:rFonts w:hint="default"/>
        <w:position w:val="0"/>
        <w:sz w:val="21"/>
      </w:rPr>
    </w:lvl>
    <w:lvl w:ilvl="7">
      <w:start w:val="1"/>
      <w:numFmt w:val="bullet"/>
      <w:lvlText w:val="&gt;"/>
      <w:lvlJc w:val="left"/>
      <w:pPr>
        <w:tabs>
          <w:tab w:val="num" w:pos="360"/>
        </w:tabs>
        <w:ind w:left="360" w:firstLine="0"/>
      </w:pPr>
      <w:rPr>
        <w:rFonts w:hint="default"/>
        <w:position w:val="0"/>
        <w:sz w:val="21"/>
      </w:rPr>
    </w:lvl>
    <w:lvl w:ilvl="8">
      <w:start w:val="1"/>
      <w:numFmt w:val="bullet"/>
      <w:lvlText w:val="&gt;"/>
      <w:lvlJc w:val="left"/>
      <w:pPr>
        <w:tabs>
          <w:tab w:val="num" w:pos="357"/>
        </w:tabs>
        <w:ind w:left="357" w:firstLine="0"/>
      </w:pPr>
      <w:rPr>
        <w:rFonts w:hint="default"/>
        <w:position w:val="0"/>
        <w:sz w:val="21"/>
      </w:rPr>
    </w:lvl>
  </w:abstractNum>
  <w:abstractNum w:abstractNumId="6" w15:restartNumberingAfterBreak="0">
    <w:nsid w:val="026504F6"/>
    <w:multiLevelType w:val="hybridMultilevel"/>
    <w:tmpl w:val="F4C859E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02AF1222"/>
    <w:multiLevelType w:val="hybridMultilevel"/>
    <w:tmpl w:val="BC6E3CC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87C268C"/>
    <w:multiLevelType w:val="hybridMultilevel"/>
    <w:tmpl w:val="E0A6CA9A"/>
    <w:lvl w:ilvl="0" w:tplc="44EEC084">
      <w:start w:val="1"/>
      <w:numFmt w:val="bullet"/>
      <w:lvlText w:val="&gt;"/>
      <w:lvlJc w:val="left"/>
      <w:pPr>
        <w:ind w:left="720" w:hanging="360"/>
      </w:pPr>
      <w:rPr>
        <w:rFonts w:ascii="HelveticaNeueLT Std" w:hAnsi="HelveticaNeueLT Std"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F5E49E7"/>
    <w:multiLevelType w:val="hybridMultilevel"/>
    <w:tmpl w:val="DC2E7186"/>
    <w:lvl w:ilvl="0" w:tplc="1D5CDC32">
      <w:start w:val="16"/>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0617CFC"/>
    <w:multiLevelType w:val="hybridMultilevel"/>
    <w:tmpl w:val="432657BE"/>
    <w:lvl w:ilvl="0" w:tplc="0C090019">
      <w:start w:val="1"/>
      <w:numFmt w:val="low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37934BA"/>
    <w:multiLevelType w:val="hybridMultilevel"/>
    <w:tmpl w:val="10B2BA7A"/>
    <w:lvl w:ilvl="0" w:tplc="0C090019">
      <w:start w:val="1"/>
      <w:numFmt w:val="low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3960800"/>
    <w:multiLevelType w:val="multilevel"/>
    <w:tmpl w:val="B332FCC4"/>
    <w:lvl w:ilvl="0">
      <w:start w:val="1"/>
      <w:numFmt w:val="decimal"/>
      <w:lvlText w:val="%1."/>
      <w:lvlJc w:val="left"/>
      <w:pPr>
        <w:ind w:left="720" w:hanging="360"/>
      </w:pPr>
      <w:rPr>
        <w:rFonts w:hint="default"/>
        <w:b/>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16915AE2"/>
    <w:multiLevelType w:val="multilevel"/>
    <w:tmpl w:val="BD922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A585C46"/>
    <w:multiLevelType w:val="hybridMultilevel"/>
    <w:tmpl w:val="67C69356"/>
    <w:lvl w:ilvl="0" w:tplc="C13E21E2">
      <w:start w:val="25"/>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B152F6C"/>
    <w:multiLevelType w:val="hybridMultilevel"/>
    <w:tmpl w:val="A2E824F4"/>
    <w:lvl w:ilvl="0" w:tplc="0C090001">
      <w:start w:val="5"/>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5492C67"/>
    <w:multiLevelType w:val="hybridMultilevel"/>
    <w:tmpl w:val="C1FC8424"/>
    <w:lvl w:ilvl="0" w:tplc="DC68FB3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6AA145C"/>
    <w:multiLevelType w:val="hybridMultilevel"/>
    <w:tmpl w:val="6F323B90"/>
    <w:lvl w:ilvl="0" w:tplc="0C090019">
      <w:start w:val="1"/>
      <w:numFmt w:val="low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E301DD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9" w15:restartNumberingAfterBreak="0">
    <w:nsid w:val="3947146F"/>
    <w:multiLevelType w:val="hybridMultilevel"/>
    <w:tmpl w:val="086680C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3C6B24F3"/>
    <w:multiLevelType w:val="hybridMultilevel"/>
    <w:tmpl w:val="948AE3A4"/>
    <w:lvl w:ilvl="0" w:tplc="84F679F0">
      <w:start w:val="2"/>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0CF145A"/>
    <w:multiLevelType w:val="hybridMultilevel"/>
    <w:tmpl w:val="E262486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0051D2E"/>
    <w:multiLevelType w:val="hybridMultilevel"/>
    <w:tmpl w:val="ED2AEBDE"/>
    <w:lvl w:ilvl="0" w:tplc="5380D3EE">
      <w:start w:val="5"/>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5AA21F0"/>
    <w:multiLevelType w:val="hybridMultilevel"/>
    <w:tmpl w:val="06AC6452"/>
    <w:lvl w:ilvl="0" w:tplc="075A84B2">
      <w:start w:val="1"/>
      <w:numFmt w:val="decimal"/>
      <w:pStyle w:val="ACMATableHeader"/>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C76D06"/>
    <w:multiLevelType w:val="hybridMultilevel"/>
    <w:tmpl w:val="A3545B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D1F3C73"/>
    <w:multiLevelType w:val="hybridMultilevel"/>
    <w:tmpl w:val="8AF68F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3C30333"/>
    <w:multiLevelType w:val="hybridMultilevel"/>
    <w:tmpl w:val="A5FC2D54"/>
    <w:lvl w:ilvl="0" w:tplc="65EA47EC">
      <w:start w:val="1"/>
      <w:numFmt w:val="decimal"/>
      <w:pStyle w:val="Captionfigure"/>
      <w:lvlText w:val="Figure %1:"/>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206714"/>
    <w:multiLevelType w:val="hybridMultilevel"/>
    <w:tmpl w:val="4AEA4CE2"/>
    <w:lvl w:ilvl="0" w:tplc="28C0D29C">
      <w:start w:val="14"/>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5071478"/>
    <w:multiLevelType w:val="hybridMultilevel"/>
    <w:tmpl w:val="4560EABA"/>
    <w:lvl w:ilvl="0" w:tplc="01D2533A">
      <w:start w:val="1"/>
      <w:numFmt w:val="decimal"/>
      <w:pStyle w:val="ACMAFigureHeader"/>
      <w:lvlText w:val="Figure %1: "/>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A1E5A9F"/>
    <w:multiLevelType w:val="hybridMultilevel"/>
    <w:tmpl w:val="B76C17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D757AE6"/>
    <w:multiLevelType w:val="hybridMultilevel"/>
    <w:tmpl w:val="4BAEE1E2"/>
    <w:lvl w:ilvl="0" w:tplc="0DA4929C">
      <w:start w:val="1"/>
      <w:numFmt w:val="decimal"/>
      <w:pStyle w:val="Caption"/>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9593062"/>
    <w:multiLevelType w:val="multilevel"/>
    <w:tmpl w:val="C832E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3"/>
  </w:num>
  <w:num w:numId="4">
    <w:abstractNumId w:val="1"/>
  </w:num>
  <w:num w:numId="5">
    <w:abstractNumId w:val="18"/>
  </w:num>
  <w:num w:numId="6">
    <w:abstractNumId w:val="28"/>
  </w:num>
  <w:num w:numId="7">
    <w:abstractNumId w:val="23"/>
  </w:num>
  <w:num w:numId="8">
    <w:abstractNumId w:val="26"/>
  </w:num>
  <w:num w:numId="9">
    <w:abstractNumId w:val="30"/>
  </w:num>
  <w:num w:numId="10">
    <w:abstractNumId w:val="8"/>
  </w:num>
  <w:num w:numId="11">
    <w:abstractNumId w:val="7"/>
  </w:num>
  <w:num w:numId="12">
    <w:abstractNumId w:val="4"/>
  </w:num>
  <w:num w:numId="13">
    <w:abstractNumId w:val="4"/>
  </w:num>
  <w:num w:numId="14">
    <w:abstractNumId w:val="4"/>
  </w:num>
  <w:num w:numId="15">
    <w:abstractNumId w:val="19"/>
  </w:num>
  <w:num w:numId="16">
    <w:abstractNumId w:val="4"/>
  </w:num>
  <w:num w:numId="17">
    <w:abstractNumId w:val="4"/>
  </w:num>
  <w:num w:numId="18">
    <w:abstractNumId w:val="16"/>
  </w:num>
  <w:num w:numId="19">
    <w:abstractNumId w:val="4"/>
  </w:num>
  <w:num w:numId="20">
    <w:abstractNumId w:val="4"/>
  </w:num>
  <w:num w:numId="21">
    <w:abstractNumId w:val="31"/>
  </w:num>
  <w:num w:numId="22">
    <w:abstractNumId w:val="13"/>
  </w:num>
  <w:num w:numId="23">
    <w:abstractNumId w:val="4"/>
  </w:num>
  <w:num w:numId="24">
    <w:abstractNumId w:val="4"/>
  </w:num>
  <w:num w:numId="25">
    <w:abstractNumId w:val="29"/>
  </w:num>
  <w:num w:numId="26">
    <w:abstractNumId w:val="1"/>
    <w:lvlOverride w:ilvl="0">
      <w:startOverride w:val="1"/>
    </w:lvlOverride>
  </w:num>
  <w:num w:numId="27">
    <w:abstractNumId w:val="25"/>
  </w:num>
  <w:num w:numId="28">
    <w:abstractNumId w:val="4"/>
  </w:num>
  <w:num w:numId="29">
    <w:abstractNumId w:val="4"/>
  </w:num>
  <w:num w:numId="30">
    <w:abstractNumId w:val="0"/>
  </w:num>
  <w:num w:numId="31">
    <w:abstractNumId w:val="1"/>
  </w:num>
  <w:num w:numId="32">
    <w:abstractNumId w:val="12"/>
  </w:num>
  <w:num w:numId="33">
    <w:abstractNumId w:val="21"/>
  </w:num>
  <w:num w:numId="34">
    <w:abstractNumId w:val="17"/>
  </w:num>
  <w:num w:numId="35">
    <w:abstractNumId w:val="10"/>
  </w:num>
  <w:num w:numId="36">
    <w:abstractNumId w:val="11"/>
  </w:num>
  <w:num w:numId="37">
    <w:abstractNumId w:val="22"/>
  </w:num>
  <w:num w:numId="38">
    <w:abstractNumId w:val="15"/>
  </w:num>
  <w:num w:numId="39">
    <w:abstractNumId w:val="27"/>
  </w:num>
  <w:num w:numId="40">
    <w:abstractNumId w:val="20"/>
  </w:num>
  <w:num w:numId="41">
    <w:abstractNumId w:val="14"/>
  </w:num>
  <w:num w:numId="42">
    <w:abstractNumId w:val="24"/>
  </w:num>
  <w:num w:numId="43">
    <w:abstractNumId w:val="6"/>
  </w:num>
  <w:num w:numId="44">
    <w:abstractNumId w:val="9"/>
  </w:num>
  <w:num w:numId="45">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hideGrammaticalError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NotTrackFormatting/>
  <w:defaultTabStop w:val="284"/>
  <w:evenAndOddHeaders/>
  <w:drawingGridHorizontalSpacing w:val="100"/>
  <w:displayHorizontalDrawingGridEvery w:val="2"/>
  <w:characterSpacingControl w:val="doNotCompress"/>
  <w:hdrShapeDefaults>
    <o:shapedefaults v:ext="edit" spidmax="6145">
      <o:colormru v:ext="edit" colors="red,#4d4d4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29A5"/>
    <w:rsid w:val="0000389A"/>
    <w:rsid w:val="00003DF1"/>
    <w:rsid w:val="000043F4"/>
    <w:rsid w:val="00006FB3"/>
    <w:rsid w:val="00010667"/>
    <w:rsid w:val="000117B5"/>
    <w:rsid w:val="00011DF9"/>
    <w:rsid w:val="000129D5"/>
    <w:rsid w:val="00015AE7"/>
    <w:rsid w:val="000164D3"/>
    <w:rsid w:val="00016E21"/>
    <w:rsid w:val="0001719C"/>
    <w:rsid w:val="00023994"/>
    <w:rsid w:val="000256B7"/>
    <w:rsid w:val="00026BD7"/>
    <w:rsid w:val="00026F91"/>
    <w:rsid w:val="00030A15"/>
    <w:rsid w:val="00034622"/>
    <w:rsid w:val="00044F90"/>
    <w:rsid w:val="00047A99"/>
    <w:rsid w:val="0005011A"/>
    <w:rsid w:val="0005045A"/>
    <w:rsid w:val="00051C1E"/>
    <w:rsid w:val="000539F9"/>
    <w:rsid w:val="00054C27"/>
    <w:rsid w:val="00055EC3"/>
    <w:rsid w:val="000563CE"/>
    <w:rsid w:val="000573A8"/>
    <w:rsid w:val="000659B6"/>
    <w:rsid w:val="0006722A"/>
    <w:rsid w:val="00070703"/>
    <w:rsid w:val="00070CE3"/>
    <w:rsid w:val="00072032"/>
    <w:rsid w:val="000729CA"/>
    <w:rsid w:val="00072B26"/>
    <w:rsid w:val="00072C5B"/>
    <w:rsid w:val="000732CF"/>
    <w:rsid w:val="0007375A"/>
    <w:rsid w:val="00075B96"/>
    <w:rsid w:val="0008196A"/>
    <w:rsid w:val="000844D9"/>
    <w:rsid w:val="000915ED"/>
    <w:rsid w:val="0009209D"/>
    <w:rsid w:val="00092376"/>
    <w:rsid w:val="000960DE"/>
    <w:rsid w:val="000969BD"/>
    <w:rsid w:val="000969BF"/>
    <w:rsid w:val="000A0C22"/>
    <w:rsid w:val="000A1B18"/>
    <w:rsid w:val="000A3A41"/>
    <w:rsid w:val="000A3C43"/>
    <w:rsid w:val="000A4A51"/>
    <w:rsid w:val="000A58B6"/>
    <w:rsid w:val="000A5D2B"/>
    <w:rsid w:val="000A665A"/>
    <w:rsid w:val="000A6F7E"/>
    <w:rsid w:val="000A72E6"/>
    <w:rsid w:val="000B10F7"/>
    <w:rsid w:val="000B5DE3"/>
    <w:rsid w:val="000C0A57"/>
    <w:rsid w:val="000C230C"/>
    <w:rsid w:val="000C2A63"/>
    <w:rsid w:val="000C37B0"/>
    <w:rsid w:val="000C3C11"/>
    <w:rsid w:val="000C4A02"/>
    <w:rsid w:val="000C6AB4"/>
    <w:rsid w:val="000C6F84"/>
    <w:rsid w:val="000C70DE"/>
    <w:rsid w:val="000D0C42"/>
    <w:rsid w:val="000D64DC"/>
    <w:rsid w:val="000D71D9"/>
    <w:rsid w:val="000D76E0"/>
    <w:rsid w:val="000D7E8B"/>
    <w:rsid w:val="000E0CA0"/>
    <w:rsid w:val="000E2E66"/>
    <w:rsid w:val="000E4449"/>
    <w:rsid w:val="000E45FA"/>
    <w:rsid w:val="000E6097"/>
    <w:rsid w:val="000F7234"/>
    <w:rsid w:val="00100578"/>
    <w:rsid w:val="00101F81"/>
    <w:rsid w:val="00102E23"/>
    <w:rsid w:val="00103829"/>
    <w:rsid w:val="00105C8A"/>
    <w:rsid w:val="00111113"/>
    <w:rsid w:val="001117CF"/>
    <w:rsid w:val="00111E3D"/>
    <w:rsid w:val="00111FCE"/>
    <w:rsid w:val="00111FF9"/>
    <w:rsid w:val="0011233C"/>
    <w:rsid w:val="00112AF8"/>
    <w:rsid w:val="00113015"/>
    <w:rsid w:val="0011311C"/>
    <w:rsid w:val="00114B15"/>
    <w:rsid w:val="00121D8C"/>
    <w:rsid w:val="001229A5"/>
    <w:rsid w:val="001233C5"/>
    <w:rsid w:val="0012489B"/>
    <w:rsid w:val="00124902"/>
    <w:rsid w:val="00127458"/>
    <w:rsid w:val="00130017"/>
    <w:rsid w:val="00130F91"/>
    <w:rsid w:val="00131F11"/>
    <w:rsid w:val="001349ED"/>
    <w:rsid w:val="0013633D"/>
    <w:rsid w:val="001363ED"/>
    <w:rsid w:val="00137424"/>
    <w:rsid w:val="00137B96"/>
    <w:rsid w:val="00140318"/>
    <w:rsid w:val="00141AD9"/>
    <w:rsid w:val="00142291"/>
    <w:rsid w:val="00145150"/>
    <w:rsid w:val="00146C74"/>
    <w:rsid w:val="00146CE6"/>
    <w:rsid w:val="00152903"/>
    <w:rsid w:val="001537B3"/>
    <w:rsid w:val="00154AE5"/>
    <w:rsid w:val="00155000"/>
    <w:rsid w:val="0015614F"/>
    <w:rsid w:val="001577C2"/>
    <w:rsid w:val="001633C4"/>
    <w:rsid w:val="0016458D"/>
    <w:rsid w:val="001652D4"/>
    <w:rsid w:val="00167337"/>
    <w:rsid w:val="001704ED"/>
    <w:rsid w:val="00171591"/>
    <w:rsid w:val="00172BF7"/>
    <w:rsid w:val="00172FFC"/>
    <w:rsid w:val="00173981"/>
    <w:rsid w:val="00174695"/>
    <w:rsid w:val="00175530"/>
    <w:rsid w:val="00176CB0"/>
    <w:rsid w:val="0017719D"/>
    <w:rsid w:val="0018057A"/>
    <w:rsid w:val="001824A2"/>
    <w:rsid w:val="00182882"/>
    <w:rsid w:val="00185750"/>
    <w:rsid w:val="00185CAB"/>
    <w:rsid w:val="00186B47"/>
    <w:rsid w:val="0018704E"/>
    <w:rsid w:val="001875B7"/>
    <w:rsid w:val="00187CB3"/>
    <w:rsid w:val="0019050A"/>
    <w:rsid w:val="00190645"/>
    <w:rsid w:val="00190C00"/>
    <w:rsid w:val="001910D4"/>
    <w:rsid w:val="001910D7"/>
    <w:rsid w:val="001976E3"/>
    <w:rsid w:val="001A076C"/>
    <w:rsid w:val="001A44EC"/>
    <w:rsid w:val="001B20CD"/>
    <w:rsid w:val="001B58AA"/>
    <w:rsid w:val="001B5B98"/>
    <w:rsid w:val="001B60F8"/>
    <w:rsid w:val="001B7E48"/>
    <w:rsid w:val="001C17CE"/>
    <w:rsid w:val="001C36CA"/>
    <w:rsid w:val="001C44D1"/>
    <w:rsid w:val="001C6AEE"/>
    <w:rsid w:val="001C7630"/>
    <w:rsid w:val="001D10A8"/>
    <w:rsid w:val="001D219E"/>
    <w:rsid w:val="001D27F0"/>
    <w:rsid w:val="001D6ABD"/>
    <w:rsid w:val="001D6C05"/>
    <w:rsid w:val="001D6D15"/>
    <w:rsid w:val="001D6FB2"/>
    <w:rsid w:val="001E05DF"/>
    <w:rsid w:val="001E3D39"/>
    <w:rsid w:val="001E794D"/>
    <w:rsid w:val="001F070A"/>
    <w:rsid w:val="001F0CC3"/>
    <w:rsid w:val="001F230F"/>
    <w:rsid w:val="001F3E51"/>
    <w:rsid w:val="001F6340"/>
    <w:rsid w:val="001F7558"/>
    <w:rsid w:val="002003D9"/>
    <w:rsid w:val="00205B57"/>
    <w:rsid w:val="00207874"/>
    <w:rsid w:val="00210CDD"/>
    <w:rsid w:val="002132DA"/>
    <w:rsid w:val="00213C1C"/>
    <w:rsid w:val="00214645"/>
    <w:rsid w:val="002157E0"/>
    <w:rsid w:val="00216A57"/>
    <w:rsid w:val="00217154"/>
    <w:rsid w:val="002204EC"/>
    <w:rsid w:val="002225FB"/>
    <w:rsid w:val="0022334F"/>
    <w:rsid w:val="00224697"/>
    <w:rsid w:val="00224D3C"/>
    <w:rsid w:val="00226471"/>
    <w:rsid w:val="00226819"/>
    <w:rsid w:val="002273C3"/>
    <w:rsid w:val="002310DE"/>
    <w:rsid w:val="00231860"/>
    <w:rsid w:val="00233101"/>
    <w:rsid w:val="00233817"/>
    <w:rsid w:val="00234DB8"/>
    <w:rsid w:val="002367FF"/>
    <w:rsid w:val="00240CE9"/>
    <w:rsid w:val="00242F83"/>
    <w:rsid w:val="002434BA"/>
    <w:rsid w:val="00246089"/>
    <w:rsid w:val="00246093"/>
    <w:rsid w:val="00246702"/>
    <w:rsid w:val="00246CFC"/>
    <w:rsid w:val="00247C59"/>
    <w:rsid w:val="00247F2E"/>
    <w:rsid w:val="0025045C"/>
    <w:rsid w:val="00250A2E"/>
    <w:rsid w:val="00250ADC"/>
    <w:rsid w:val="00250B07"/>
    <w:rsid w:val="00250CB7"/>
    <w:rsid w:val="00253912"/>
    <w:rsid w:val="00257553"/>
    <w:rsid w:val="00260FB2"/>
    <w:rsid w:val="00262128"/>
    <w:rsid w:val="00264184"/>
    <w:rsid w:val="00265A42"/>
    <w:rsid w:val="00270E79"/>
    <w:rsid w:val="0027165D"/>
    <w:rsid w:val="00273CEB"/>
    <w:rsid w:val="00274A41"/>
    <w:rsid w:val="00277A14"/>
    <w:rsid w:val="00281C89"/>
    <w:rsid w:val="00281F4D"/>
    <w:rsid w:val="0028282F"/>
    <w:rsid w:val="002844F0"/>
    <w:rsid w:val="002859FE"/>
    <w:rsid w:val="002870BD"/>
    <w:rsid w:val="002876C4"/>
    <w:rsid w:val="00290A62"/>
    <w:rsid w:val="00290ED7"/>
    <w:rsid w:val="002939A4"/>
    <w:rsid w:val="00293A1D"/>
    <w:rsid w:val="00294BCE"/>
    <w:rsid w:val="0029593B"/>
    <w:rsid w:val="00297FC5"/>
    <w:rsid w:val="002A0417"/>
    <w:rsid w:val="002A16D8"/>
    <w:rsid w:val="002A1BC8"/>
    <w:rsid w:val="002A37BB"/>
    <w:rsid w:val="002A3EF2"/>
    <w:rsid w:val="002A6485"/>
    <w:rsid w:val="002A777D"/>
    <w:rsid w:val="002A7824"/>
    <w:rsid w:val="002B0DED"/>
    <w:rsid w:val="002B19A2"/>
    <w:rsid w:val="002B2837"/>
    <w:rsid w:val="002B381A"/>
    <w:rsid w:val="002B4FCC"/>
    <w:rsid w:val="002B7174"/>
    <w:rsid w:val="002B7408"/>
    <w:rsid w:val="002B7CFD"/>
    <w:rsid w:val="002C03DE"/>
    <w:rsid w:val="002C1363"/>
    <w:rsid w:val="002C210F"/>
    <w:rsid w:val="002C3366"/>
    <w:rsid w:val="002C7E42"/>
    <w:rsid w:val="002D234E"/>
    <w:rsid w:val="002D35A8"/>
    <w:rsid w:val="002D3600"/>
    <w:rsid w:val="002D798D"/>
    <w:rsid w:val="002E248A"/>
    <w:rsid w:val="002E29A8"/>
    <w:rsid w:val="002E3E1C"/>
    <w:rsid w:val="002E3F57"/>
    <w:rsid w:val="002E4DDC"/>
    <w:rsid w:val="002E78B4"/>
    <w:rsid w:val="002F0196"/>
    <w:rsid w:val="002F0E70"/>
    <w:rsid w:val="002F27FE"/>
    <w:rsid w:val="002F5311"/>
    <w:rsid w:val="002F5B33"/>
    <w:rsid w:val="0030125B"/>
    <w:rsid w:val="00302480"/>
    <w:rsid w:val="00303282"/>
    <w:rsid w:val="003032AA"/>
    <w:rsid w:val="003100E7"/>
    <w:rsid w:val="00311CA1"/>
    <w:rsid w:val="003165E6"/>
    <w:rsid w:val="00320A51"/>
    <w:rsid w:val="003217F8"/>
    <w:rsid w:val="003221CF"/>
    <w:rsid w:val="003233ED"/>
    <w:rsid w:val="00324D9F"/>
    <w:rsid w:val="00325DB0"/>
    <w:rsid w:val="003272CD"/>
    <w:rsid w:val="00327948"/>
    <w:rsid w:val="0033000F"/>
    <w:rsid w:val="0033158C"/>
    <w:rsid w:val="00332011"/>
    <w:rsid w:val="00332518"/>
    <w:rsid w:val="00332925"/>
    <w:rsid w:val="003332ED"/>
    <w:rsid w:val="0033685F"/>
    <w:rsid w:val="003368DC"/>
    <w:rsid w:val="0034241D"/>
    <w:rsid w:val="00342C21"/>
    <w:rsid w:val="00345927"/>
    <w:rsid w:val="00350584"/>
    <w:rsid w:val="003513A7"/>
    <w:rsid w:val="00351857"/>
    <w:rsid w:val="00351C8E"/>
    <w:rsid w:val="00354453"/>
    <w:rsid w:val="003552BD"/>
    <w:rsid w:val="003606E8"/>
    <w:rsid w:val="003610E1"/>
    <w:rsid w:val="003615DD"/>
    <w:rsid w:val="003671BE"/>
    <w:rsid w:val="00367243"/>
    <w:rsid w:val="00371938"/>
    <w:rsid w:val="00372485"/>
    <w:rsid w:val="00373200"/>
    <w:rsid w:val="003732E4"/>
    <w:rsid w:val="003747CF"/>
    <w:rsid w:val="00375EF5"/>
    <w:rsid w:val="003767A5"/>
    <w:rsid w:val="00376BB9"/>
    <w:rsid w:val="00385254"/>
    <w:rsid w:val="00385477"/>
    <w:rsid w:val="0038619A"/>
    <w:rsid w:val="00390762"/>
    <w:rsid w:val="00392FA8"/>
    <w:rsid w:val="00393C83"/>
    <w:rsid w:val="0039504D"/>
    <w:rsid w:val="00395C18"/>
    <w:rsid w:val="003968A4"/>
    <w:rsid w:val="003968D3"/>
    <w:rsid w:val="003A1F32"/>
    <w:rsid w:val="003A5EC2"/>
    <w:rsid w:val="003A5F5B"/>
    <w:rsid w:val="003A69F1"/>
    <w:rsid w:val="003A7427"/>
    <w:rsid w:val="003A766F"/>
    <w:rsid w:val="003A789A"/>
    <w:rsid w:val="003B12EC"/>
    <w:rsid w:val="003B408C"/>
    <w:rsid w:val="003B551A"/>
    <w:rsid w:val="003B6F58"/>
    <w:rsid w:val="003C02FF"/>
    <w:rsid w:val="003C6035"/>
    <w:rsid w:val="003C69FB"/>
    <w:rsid w:val="003C77E0"/>
    <w:rsid w:val="003C79FA"/>
    <w:rsid w:val="003C7CB9"/>
    <w:rsid w:val="003D17D7"/>
    <w:rsid w:val="003D2678"/>
    <w:rsid w:val="003D3ACB"/>
    <w:rsid w:val="003D47D9"/>
    <w:rsid w:val="003D6D4D"/>
    <w:rsid w:val="003D71A3"/>
    <w:rsid w:val="003D7A63"/>
    <w:rsid w:val="003E2B8A"/>
    <w:rsid w:val="003E4BF1"/>
    <w:rsid w:val="003E7778"/>
    <w:rsid w:val="003F05AF"/>
    <w:rsid w:val="003F10EE"/>
    <w:rsid w:val="003F16F6"/>
    <w:rsid w:val="003F25C3"/>
    <w:rsid w:val="003F35FB"/>
    <w:rsid w:val="003F4DC7"/>
    <w:rsid w:val="003F5235"/>
    <w:rsid w:val="00400763"/>
    <w:rsid w:val="004027E4"/>
    <w:rsid w:val="00404883"/>
    <w:rsid w:val="00404DB1"/>
    <w:rsid w:val="004060BB"/>
    <w:rsid w:val="00406D84"/>
    <w:rsid w:val="00407385"/>
    <w:rsid w:val="0041071D"/>
    <w:rsid w:val="00413029"/>
    <w:rsid w:val="00413408"/>
    <w:rsid w:val="004136E7"/>
    <w:rsid w:val="00414AFC"/>
    <w:rsid w:val="004151A7"/>
    <w:rsid w:val="00415310"/>
    <w:rsid w:val="0042013F"/>
    <w:rsid w:val="00420561"/>
    <w:rsid w:val="00420CDF"/>
    <w:rsid w:val="00421709"/>
    <w:rsid w:val="00421D0B"/>
    <w:rsid w:val="00421E10"/>
    <w:rsid w:val="004233C0"/>
    <w:rsid w:val="00423763"/>
    <w:rsid w:val="00425694"/>
    <w:rsid w:val="0042762F"/>
    <w:rsid w:val="00427DC7"/>
    <w:rsid w:val="00431556"/>
    <w:rsid w:val="00431613"/>
    <w:rsid w:val="00431792"/>
    <w:rsid w:val="00432821"/>
    <w:rsid w:val="0043297A"/>
    <w:rsid w:val="00432EB2"/>
    <w:rsid w:val="00433222"/>
    <w:rsid w:val="0043714F"/>
    <w:rsid w:val="00440DEB"/>
    <w:rsid w:val="004438B5"/>
    <w:rsid w:val="004456B2"/>
    <w:rsid w:val="00447037"/>
    <w:rsid w:val="0045124D"/>
    <w:rsid w:val="00451607"/>
    <w:rsid w:val="00454596"/>
    <w:rsid w:val="0045605D"/>
    <w:rsid w:val="00456D37"/>
    <w:rsid w:val="00460698"/>
    <w:rsid w:val="00460E15"/>
    <w:rsid w:val="0046135B"/>
    <w:rsid w:val="004616F3"/>
    <w:rsid w:val="004626F6"/>
    <w:rsid w:val="00464CA4"/>
    <w:rsid w:val="00465F1A"/>
    <w:rsid w:val="00466AD4"/>
    <w:rsid w:val="004718CC"/>
    <w:rsid w:val="00473D31"/>
    <w:rsid w:val="0047603C"/>
    <w:rsid w:val="0047766B"/>
    <w:rsid w:val="00477D8F"/>
    <w:rsid w:val="004813A3"/>
    <w:rsid w:val="00481695"/>
    <w:rsid w:val="004825B3"/>
    <w:rsid w:val="00483172"/>
    <w:rsid w:val="00483970"/>
    <w:rsid w:val="0048724F"/>
    <w:rsid w:val="0049580A"/>
    <w:rsid w:val="00495A96"/>
    <w:rsid w:val="00495BB3"/>
    <w:rsid w:val="00496616"/>
    <w:rsid w:val="004A0203"/>
    <w:rsid w:val="004A2671"/>
    <w:rsid w:val="004A4F3D"/>
    <w:rsid w:val="004A52EA"/>
    <w:rsid w:val="004A56BB"/>
    <w:rsid w:val="004B0A55"/>
    <w:rsid w:val="004B10C5"/>
    <w:rsid w:val="004B1751"/>
    <w:rsid w:val="004B44DF"/>
    <w:rsid w:val="004C0253"/>
    <w:rsid w:val="004C17A5"/>
    <w:rsid w:val="004C1A59"/>
    <w:rsid w:val="004C5986"/>
    <w:rsid w:val="004C5C01"/>
    <w:rsid w:val="004C7518"/>
    <w:rsid w:val="004D1193"/>
    <w:rsid w:val="004D49B4"/>
    <w:rsid w:val="004D56FF"/>
    <w:rsid w:val="004D7195"/>
    <w:rsid w:val="004E39D3"/>
    <w:rsid w:val="004E508A"/>
    <w:rsid w:val="004E616D"/>
    <w:rsid w:val="004E7D3E"/>
    <w:rsid w:val="004F061D"/>
    <w:rsid w:val="004F1BDE"/>
    <w:rsid w:val="004F2CEE"/>
    <w:rsid w:val="004F4E78"/>
    <w:rsid w:val="004F556E"/>
    <w:rsid w:val="004F60D6"/>
    <w:rsid w:val="004F682C"/>
    <w:rsid w:val="004F7A12"/>
    <w:rsid w:val="004F7F44"/>
    <w:rsid w:val="005037B4"/>
    <w:rsid w:val="005042A6"/>
    <w:rsid w:val="00505F98"/>
    <w:rsid w:val="00506954"/>
    <w:rsid w:val="00507306"/>
    <w:rsid w:val="005079BF"/>
    <w:rsid w:val="005112AD"/>
    <w:rsid w:val="00512447"/>
    <w:rsid w:val="00515A02"/>
    <w:rsid w:val="005201BA"/>
    <w:rsid w:val="005219E7"/>
    <w:rsid w:val="0052221D"/>
    <w:rsid w:val="00526020"/>
    <w:rsid w:val="005263F3"/>
    <w:rsid w:val="00530C31"/>
    <w:rsid w:val="00531B9A"/>
    <w:rsid w:val="00531BB9"/>
    <w:rsid w:val="00531C78"/>
    <w:rsid w:val="00531D15"/>
    <w:rsid w:val="00532F74"/>
    <w:rsid w:val="00533974"/>
    <w:rsid w:val="00536FD9"/>
    <w:rsid w:val="00537269"/>
    <w:rsid w:val="00537604"/>
    <w:rsid w:val="005402D0"/>
    <w:rsid w:val="00541FFC"/>
    <w:rsid w:val="0054222D"/>
    <w:rsid w:val="00542377"/>
    <w:rsid w:val="00545A86"/>
    <w:rsid w:val="00546101"/>
    <w:rsid w:val="005476EB"/>
    <w:rsid w:val="005477E0"/>
    <w:rsid w:val="00550E5E"/>
    <w:rsid w:val="00551782"/>
    <w:rsid w:val="00553938"/>
    <w:rsid w:val="0056244C"/>
    <w:rsid w:val="00563EF1"/>
    <w:rsid w:val="00565420"/>
    <w:rsid w:val="00566AB4"/>
    <w:rsid w:val="00571D2B"/>
    <w:rsid w:val="005739A2"/>
    <w:rsid w:val="00574350"/>
    <w:rsid w:val="00575AC5"/>
    <w:rsid w:val="0057605D"/>
    <w:rsid w:val="00577D71"/>
    <w:rsid w:val="00581347"/>
    <w:rsid w:val="00581AC9"/>
    <w:rsid w:val="00582AEE"/>
    <w:rsid w:val="00583697"/>
    <w:rsid w:val="005849F8"/>
    <w:rsid w:val="005863B9"/>
    <w:rsid w:val="00590AE7"/>
    <w:rsid w:val="005910BA"/>
    <w:rsid w:val="00592E1F"/>
    <w:rsid w:val="005938DF"/>
    <w:rsid w:val="00593DDE"/>
    <w:rsid w:val="00594E9C"/>
    <w:rsid w:val="005952D9"/>
    <w:rsid w:val="00596653"/>
    <w:rsid w:val="005968F3"/>
    <w:rsid w:val="005A099B"/>
    <w:rsid w:val="005A2D9C"/>
    <w:rsid w:val="005A3A61"/>
    <w:rsid w:val="005A3E26"/>
    <w:rsid w:val="005A55FE"/>
    <w:rsid w:val="005A627E"/>
    <w:rsid w:val="005A6A11"/>
    <w:rsid w:val="005B01CB"/>
    <w:rsid w:val="005B0224"/>
    <w:rsid w:val="005B0A09"/>
    <w:rsid w:val="005B1E00"/>
    <w:rsid w:val="005B39E7"/>
    <w:rsid w:val="005B5CBD"/>
    <w:rsid w:val="005B63F2"/>
    <w:rsid w:val="005B723F"/>
    <w:rsid w:val="005C2E34"/>
    <w:rsid w:val="005C4E42"/>
    <w:rsid w:val="005D2502"/>
    <w:rsid w:val="005D47F3"/>
    <w:rsid w:val="005D49BF"/>
    <w:rsid w:val="005D4E69"/>
    <w:rsid w:val="005D673E"/>
    <w:rsid w:val="005D6F4E"/>
    <w:rsid w:val="005D7BB8"/>
    <w:rsid w:val="005E106B"/>
    <w:rsid w:val="005E1600"/>
    <w:rsid w:val="005E3ACD"/>
    <w:rsid w:val="005E7226"/>
    <w:rsid w:val="005E7A57"/>
    <w:rsid w:val="005F159C"/>
    <w:rsid w:val="005F1A1D"/>
    <w:rsid w:val="005F1AE8"/>
    <w:rsid w:val="005F24B0"/>
    <w:rsid w:val="005F2E14"/>
    <w:rsid w:val="00601EE3"/>
    <w:rsid w:val="00604315"/>
    <w:rsid w:val="00604316"/>
    <w:rsid w:val="00604E26"/>
    <w:rsid w:val="006052CF"/>
    <w:rsid w:val="00605403"/>
    <w:rsid w:val="006057B3"/>
    <w:rsid w:val="00607088"/>
    <w:rsid w:val="00607160"/>
    <w:rsid w:val="00607262"/>
    <w:rsid w:val="00607B8D"/>
    <w:rsid w:val="00611F5C"/>
    <w:rsid w:val="0061226F"/>
    <w:rsid w:val="006123DB"/>
    <w:rsid w:val="00614CA9"/>
    <w:rsid w:val="00615B4A"/>
    <w:rsid w:val="00616E09"/>
    <w:rsid w:val="00622A3B"/>
    <w:rsid w:val="00622EEA"/>
    <w:rsid w:val="0062396C"/>
    <w:rsid w:val="00623FF9"/>
    <w:rsid w:val="00624602"/>
    <w:rsid w:val="00627D4E"/>
    <w:rsid w:val="006313F7"/>
    <w:rsid w:val="00634478"/>
    <w:rsid w:val="0063478C"/>
    <w:rsid w:val="006360F1"/>
    <w:rsid w:val="00636750"/>
    <w:rsid w:val="00637A6A"/>
    <w:rsid w:val="00643330"/>
    <w:rsid w:val="006436DD"/>
    <w:rsid w:val="00644373"/>
    <w:rsid w:val="006450DB"/>
    <w:rsid w:val="00645915"/>
    <w:rsid w:val="006459E4"/>
    <w:rsid w:val="00650BD6"/>
    <w:rsid w:val="006519C3"/>
    <w:rsid w:val="0065224C"/>
    <w:rsid w:val="00652B30"/>
    <w:rsid w:val="00655306"/>
    <w:rsid w:val="00656345"/>
    <w:rsid w:val="006567C6"/>
    <w:rsid w:val="00656DC6"/>
    <w:rsid w:val="00660121"/>
    <w:rsid w:val="0066228E"/>
    <w:rsid w:val="00663933"/>
    <w:rsid w:val="00664110"/>
    <w:rsid w:val="00664D17"/>
    <w:rsid w:val="0066612F"/>
    <w:rsid w:val="00666520"/>
    <w:rsid w:val="00666E40"/>
    <w:rsid w:val="00667C5B"/>
    <w:rsid w:val="0067349B"/>
    <w:rsid w:val="00674C0A"/>
    <w:rsid w:val="00674C77"/>
    <w:rsid w:val="00680486"/>
    <w:rsid w:val="00683835"/>
    <w:rsid w:val="006844CE"/>
    <w:rsid w:val="006862B7"/>
    <w:rsid w:val="00690B25"/>
    <w:rsid w:val="0069271A"/>
    <w:rsid w:val="00692CDE"/>
    <w:rsid w:val="00693073"/>
    <w:rsid w:val="006933A0"/>
    <w:rsid w:val="006977FF"/>
    <w:rsid w:val="00697E6B"/>
    <w:rsid w:val="006A004F"/>
    <w:rsid w:val="006A01FA"/>
    <w:rsid w:val="006A0E9E"/>
    <w:rsid w:val="006A25C7"/>
    <w:rsid w:val="006A4AAD"/>
    <w:rsid w:val="006A6DA2"/>
    <w:rsid w:val="006A7AB2"/>
    <w:rsid w:val="006B288F"/>
    <w:rsid w:val="006B5717"/>
    <w:rsid w:val="006B582F"/>
    <w:rsid w:val="006B66EE"/>
    <w:rsid w:val="006B6DFA"/>
    <w:rsid w:val="006B7547"/>
    <w:rsid w:val="006C0CEB"/>
    <w:rsid w:val="006C144F"/>
    <w:rsid w:val="006C2B1E"/>
    <w:rsid w:val="006C2D0C"/>
    <w:rsid w:val="006C3B1E"/>
    <w:rsid w:val="006C47FD"/>
    <w:rsid w:val="006C5587"/>
    <w:rsid w:val="006C70A0"/>
    <w:rsid w:val="006D27CB"/>
    <w:rsid w:val="006D2F08"/>
    <w:rsid w:val="006D576C"/>
    <w:rsid w:val="006D5865"/>
    <w:rsid w:val="006D5AED"/>
    <w:rsid w:val="006D7CF1"/>
    <w:rsid w:val="006E1570"/>
    <w:rsid w:val="006E4B1B"/>
    <w:rsid w:val="006E5445"/>
    <w:rsid w:val="006E5ABE"/>
    <w:rsid w:val="006E74C0"/>
    <w:rsid w:val="006E7D93"/>
    <w:rsid w:val="006F25A6"/>
    <w:rsid w:val="00700877"/>
    <w:rsid w:val="00701580"/>
    <w:rsid w:val="007029A3"/>
    <w:rsid w:val="00702DC9"/>
    <w:rsid w:val="00703232"/>
    <w:rsid w:val="00704B6E"/>
    <w:rsid w:val="0070538D"/>
    <w:rsid w:val="00706E4E"/>
    <w:rsid w:val="0070791C"/>
    <w:rsid w:val="00710FC4"/>
    <w:rsid w:val="0071383C"/>
    <w:rsid w:val="007141A7"/>
    <w:rsid w:val="00714F0A"/>
    <w:rsid w:val="00715708"/>
    <w:rsid w:val="00715A63"/>
    <w:rsid w:val="00720E89"/>
    <w:rsid w:val="00721032"/>
    <w:rsid w:val="00721B55"/>
    <w:rsid w:val="00724E75"/>
    <w:rsid w:val="00724E78"/>
    <w:rsid w:val="0072581D"/>
    <w:rsid w:val="00725AEC"/>
    <w:rsid w:val="00726CE4"/>
    <w:rsid w:val="00727CD3"/>
    <w:rsid w:val="00732C87"/>
    <w:rsid w:val="00734143"/>
    <w:rsid w:val="00735103"/>
    <w:rsid w:val="00737E47"/>
    <w:rsid w:val="00740EAC"/>
    <w:rsid w:val="00741D7D"/>
    <w:rsid w:val="007427FE"/>
    <w:rsid w:val="00744956"/>
    <w:rsid w:val="00745A19"/>
    <w:rsid w:val="00745A5C"/>
    <w:rsid w:val="0074605F"/>
    <w:rsid w:val="00746708"/>
    <w:rsid w:val="00747E94"/>
    <w:rsid w:val="007541BB"/>
    <w:rsid w:val="00754894"/>
    <w:rsid w:val="00754EFB"/>
    <w:rsid w:val="0075541C"/>
    <w:rsid w:val="00766749"/>
    <w:rsid w:val="00767C1B"/>
    <w:rsid w:val="00771373"/>
    <w:rsid w:val="007714A9"/>
    <w:rsid w:val="00774362"/>
    <w:rsid w:val="00774F88"/>
    <w:rsid w:val="00774FDB"/>
    <w:rsid w:val="00777440"/>
    <w:rsid w:val="00777BA2"/>
    <w:rsid w:val="00777F84"/>
    <w:rsid w:val="007802FB"/>
    <w:rsid w:val="0078092B"/>
    <w:rsid w:val="00781408"/>
    <w:rsid w:val="00781D45"/>
    <w:rsid w:val="00784F7F"/>
    <w:rsid w:val="00785FAE"/>
    <w:rsid w:val="00787E49"/>
    <w:rsid w:val="00794402"/>
    <w:rsid w:val="007947CF"/>
    <w:rsid w:val="00796C91"/>
    <w:rsid w:val="00796F25"/>
    <w:rsid w:val="007A2E98"/>
    <w:rsid w:val="007A3BA3"/>
    <w:rsid w:val="007A6CC0"/>
    <w:rsid w:val="007A7FEC"/>
    <w:rsid w:val="007B0AD6"/>
    <w:rsid w:val="007B1499"/>
    <w:rsid w:val="007B1BBF"/>
    <w:rsid w:val="007B2960"/>
    <w:rsid w:val="007B355D"/>
    <w:rsid w:val="007B4F9F"/>
    <w:rsid w:val="007B6DBF"/>
    <w:rsid w:val="007B6FE7"/>
    <w:rsid w:val="007B7980"/>
    <w:rsid w:val="007B7C03"/>
    <w:rsid w:val="007C0D0A"/>
    <w:rsid w:val="007C0D77"/>
    <w:rsid w:val="007C5D5A"/>
    <w:rsid w:val="007C607F"/>
    <w:rsid w:val="007C79DD"/>
    <w:rsid w:val="007D1A97"/>
    <w:rsid w:val="007D1CF3"/>
    <w:rsid w:val="007D2CD6"/>
    <w:rsid w:val="007D3063"/>
    <w:rsid w:val="007D3650"/>
    <w:rsid w:val="007D3CEB"/>
    <w:rsid w:val="007E09E3"/>
    <w:rsid w:val="007E46BA"/>
    <w:rsid w:val="007E72A6"/>
    <w:rsid w:val="007E7666"/>
    <w:rsid w:val="007E7683"/>
    <w:rsid w:val="007F2B85"/>
    <w:rsid w:val="007F336B"/>
    <w:rsid w:val="007F49FA"/>
    <w:rsid w:val="007F54C4"/>
    <w:rsid w:val="007F5988"/>
    <w:rsid w:val="007F6291"/>
    <w:rsid w:val="007F6E9A"/>
    <w:rsid w:val="007F7AF8"/>
    <w:rsid w:val="00801917"/>
    <w:rsid w:val="008044D4"/>
    <w:rsid w:val="00807B1E"/>
    <w:rsid w:val="00810AB4"/>
    <w:rsid w:val="0081300A"/>
    <w:rsid w:val="00815AFD"/>
    <w:rsid w:val="00817B56"/>
    <w:rsid w:val="00821A88"/>
    <w:rsid w:val="0082495D"/>
    <w:rsid w:val="00831AC3"/>
    <w:rsid w:val="00834021"/>
    <w:rsid w:val="00834D50"/>
    <w:rsid w:val="008408FF"/>
    <w:rsid w:val="00842BE9"/>
    <w:rsid w:val="00845071"/>
    <w:rsid w:val="008450C6"/>
    <w:rsid w:val="00846A3B"/>
    <w:rsid w:val="00847435"/>
    <w:rsid w:val="00847674"/>
    <w:rsid w:val="00847D94"/>
    <w:rsid w:val="00851F3F"/>
    <w:rsid w:val="00854831"/>
    <w:rsid w:val="00856EDC"/>
    <w:rsid w:val="00860300"/>
    <w:rsid w:val="00860594"/>
    <w:rsid w:val="008623B5"/>
    <w:rsid w:val="0086279B"/>
    <w:rsid w:val="00867BA0"/>
    <w:rsid w:val="00870ABA"/>
    <w:rsid w:val="008710E1"/>
    <w:rsid w:val="008716E5"/>
    <w:rsid w:val="00874496"/>
    <w:rsid w:val="00874603"/>
    <w:rsid w:val="00881CA9"/>
    <w:rsid w:val="008826CC"/>
    <w:rsid w:val="00883628"/>
    <w:rsid w:val="008840F0"/>
    <w:rsid w:val="00885305"/>
    <w:rsid w:val="00885544"/>
    <w:rsid w:val="0088634E"/>
    <w:rsid w:val="008863CB"/>
    <w:rsid w:val="008869EA"/>
    <w:rsid w:val="00887462"/>
    <w:rsid w:val="00891C18"/>
    <w:rsid w:val="008927B9"/>
    <w:rsid w:val="00893AB8"/>
    <w:rsid w:val="008964FD"/>
    <w:rsid w:val="00896AA5"/>
    <w:rsid w:val="00897374"/>
    <w:rsid w:val="008A04C8"/>
    <w:rsid w:val="008A6913"/>
    <w:rsid w:val="008A6F20"/>
    <w:rsid w:val="008B2DAF"/>
    <w:rsid w:val="008B3288"/>
    <w:rsid w:val="008B68FC"/>
    <w:rsid w:val="008B70F3"/>
    <w:rsid w:val="008B76DF"/>
    <w:rsid w:val="008B7757"/>
    <w:rsid w:val="008C05EF"/>
    <w:rsid w:val="008C0B38"/>
    <w:rsid w:val="008C10F4"/>
    <w:rsid w:val="008C1BF9"/>
    <w:rsid w:val="008C3F40"/>
    <w:rsid w:val="008C6596"/>
    <w:rsid w:val="008C65F7"/>
    <w:rsid w:val="008D0B6F"/>
    <w:rsid w:val="008E044E"/>
    <w:rsid w:val="008E378E"/>
    <w:rsid w:val="008E4767"/>
    <w:rsid w:val="008E754E"/>
    <w:rsid w:val="008E7A8C"/>
    <w:rsid w:val="008E7D5B"/>
    <w:rsid w:val="008F13C0"/>
    <w:rsid w:val="008F1ABB"/>
    <w:rsid w:val="008F7292"/>
    <w:rsid w:val="00900C85"/>
    <w:rsid w:val="00903285"/>
    <w:rsid w:val="00903728"/>
    <w:rsid w:val="0090395E"/>
    <w:rsid w:val="00906F40"/>
    <w:rsid w:val="00906F59"/>
    <w:rsid w:val="0090731E"/>
    <w:rsid w:val="009105D7"/>
    <w:rsid w:val="00911439"/>
    <w:rsid w:val="00912388"/>
    <w:rsid w:val="00912A66"/>
    <w:rsid w:val="009133F8"/>
    <w:rsid w:val="009135A5"/>
    <w:rsid w:val="00914262"/>
    <w:rsid w:val="00915B1C"/>
    <w:rsid w:val="00916D9D"/>
    <w:rsid w:val="009174F3"/>
    <w:rsid w:val="0091797D"/>
    <w:rsid w:val="009179AF"/>
    <w:rsid w:val="00923CBA"/>
    <w:rsid w:val="00926703"/>
    <w:rsid w:val="009269B5"/>
    <w:rsid w:val="00927691"/>
    <w:rsid w:val="00927A5F"/>
    <w:rsid w:val="00927BDF"/>
    <w:rsid w:val="00933FBE"/>
    <w:rsid w:val="00935B63"/>
    <w:rsid w:val="00937060"/>
    <w:rsid w:val="0093752E"/>
    <w:rsid w:val="0094078F"/>
    <w:rsid w:val="00940FA3"/>
    <w:rsid w:val="00941B23"/>
    <w:rsid w:val="00941FB0"/>
    <w:rsid w:val="009426D4"/>
    <w:rsid w:val="00942B09"/>
    <w:rsid w:val="0094390F"/>
    <w:rsid w:val="00943942"/>
    <w:rsid w:val="00945012"/>
    <w:rsid w:val="009460C5"/>
    <w:rsid w:val="00947CB2"/>
    <w:rsid w:val="00947F25"/>
    <w:rsid w:val="00950159"/>
    <w:rsid w:val="009517B3"/>
    <w:rsid w:val="0095490B"/>
    <w:rsid w:val="009566C2"/>
    <w:rsid w:val="00957DF9"/>
    <w:rsid w:val="00961A9E"/>
    <w:rsid w:val="00962B16"/>
    <w:rsid w:val="00962EE9"/>
    <w:rsid w:val="00963604"/>
    <w:rsid w:val="00965B42"/>
    <w:rsid w:val="00965F7E"/>
    <w:rsid w:val="00967069"/>
    <w:rsid w:val="00970B25"/>
    <w:rsid w:val="00971914"/>
    <w:rsid w:val="00974363"/>
    <w:rsid w:val="00981898"/>
    <w:rsid w:val="00981B82"/>
    <w:rsid w:val="00982D94"/>
    <w:rsid w:val="00983CE8"/>
    <w:rsid w:val="0099074C"/>
    <w:rsid w:val="00991873"/>
    <w:rsid w:val="00991D05"/>
    <w:rsid w:val="00992EB1"/>
    <w:rsid w:val="0099577C"/>
    <w:rsid w:val="009A025A"/>
    <w:rsid w:val="009A2687"/>
    <w:rsid w:val="009A5018"/>
    <w:rsid w:val="009A59AE"/>
    <w:rsid w:val="009A6904"/>
    <w:rsid w:val="009B4370"/>
    <w:rsid w:val="009B4E9E"/>
    <w:rsid w:val="009B674F"/>
    <w:rsid w:val="009B7B95"/>
    <w:rsid w:val="009C1690"/>
    <w:rsid w:val="009C6881"/>
    <w:rsid w:val="009C7759"/>
    <w:rsid w:val="009D043D"/>
    <w:rsid w:val="009D17C9"/>
    <w:rsid w:val="009D2010"/>
    <w:rsid w:val="009D581F"/>
    <w:rsid w:val="009D6C71"/>
    <w:rsid w:val="009E0631"/>
    <w:rsid w:val="009E076C"/>
    <w:rsid w:val="009E0E80"/>
    <w:rsid w:val="009E16D0"/>
    <w:rsid w:val="009E38FD"/>
    <w:rsid w:val="009E3E28"/>
    <w:rsid w:val="009E52E6"/>
    <w:rsid w:val="009E68C0"/>
    <w:rsid w:val="009F1267"/>
    <w:rsid w:val="009F13D6"/>
    <w:rsid w:val="009F278A"/>
    <w:rsid w:val="009F34B1"/>
    <w:rsid w:val="009F4C6B"/>
    <w:rsid w:val="009F672E"/>
    <w:rsid w:val="009F697D"/>
    <w:rsid w:val="009F78A8"/>
    <w:rsid w:val="00A027FF"/>
    <w:rsid w:val="00A02AA1"/>
    <w:rsid w:val="00A02AD6"/>
    <w:rsid w:val="00A032D5"/>
    <w:rsid w:val="00A07096"/>
    <w:rsid w:val="00A07318"/>
    <w:rsid w:val="00A07BF8"/>
    <w:rsid w:val="00A11370"/>
    <w:rsid w:val="00A12438"/>
    <w:rsid w:val="00A1255D"/>
    <w:rsid w:val="00A126FA"/>
    <w:rsid w:val="00A1305C"/>
    <w:rsid w:val="00A1504A"/>
    <w:rsid w:val="00A1728C"/>
    <w:rsid w:val="00A22086"/>
    <w:rsid w:val="00A224CE"/>
    <w:rsid w:val="00A22521"/>
    <w:rsid w:val="00A22522"/>
    <w:rsid w:val="00A24774"/>
    <w:rsid w:val="00A24AFD"/>
    <w:rsid w:val="00A24F5C"/>
    <w:rsid w:val="00A268E5"/>
    <w:rsid w:val="00A32F96"/>
    <w:rsid w:val="00A33D55"/>
    <w:rsid w:val="00A35176"/>
    <w:rsid w:val="00A353CE"/>
    <w:rsid w:val="00A37EE0"/>
    <w:rsid w:val="00A40871"/>
    <w:rsid w:val="00A40A4C"/>
    <w:rsid w:val="00A412AB"/>
    <w:rsid w:val="00A41728"/>
    <w:rsid w:val="00A4193E"/>
    <w:rsid w:val="00A439BD"/>
    <w:rsid w:val="00A440E0"/>
    <w:rsid w:val="00A442EF"/>
    <w:rsid w:val="00A443A2"/>
    <w:rsid w:val="00A46D65"/>
    <w:rsid w:val="00A47256"/>
    <w:rsid w:val="00A51D1A"/>
    <w:rsid w:val="00A52221"/>
    <w:rsid w:val="00A52D94"/>
    <w:rsid w:val="00A5418D"/>
    <w:rsid w:val="00A5474E"/>
    <w:rsid w:val="00A56D53"/>
    <w:rsid w:val="00A57A1E"/>
    <w:rsid w:val="00A600AF"/>
    <w:rsid w:val="00A60CC3"/>
    <w:rsid w:val="00A6145F"/>
    <w:rsid w:val="00A65411"/>
    <w:rsid w:val="00A70ADF"/>
    <w:rsid w:val="00A71466"/>
    <w:rsid w:val="00A7309A"/>
    <w:rsid w:val="00A73BD7"/>
    <w:rsid w:val="00A74B5E"/>
    <w:rsid w:val="00A81BED"/>
    <w:rsid w:val="00A81EC4"/>
    <w:rsid w:val="00A82222"/>
    <w:rsid w:val="00A83BD2"/>
    <w:rsid w:val="00A8506A"/>
    <w:rsid w:val="00A959BD"/>
    <w:rsid w:val="00A9628A"/>
    <w:rsid w:val="00A967FD"/>
    <w:rsid w:val="00AA04BB"/>
    <w:rsid w:val="00AA13C9"/>
    <w:rsid w:val="00AB156C"/>
    <w:rsid w:val="00AB4D9E"/>
    <w:rsid w:val="00AB6814"/>
    <w:rsid w:val="00AB7842"/>
    <w:rsid w:val="00AC04BA"/>
    <w:rsid w:val="00AC0E39"/>
    <w:rsid w:val="00AC2D18"/>
    <w:rsid w:val="00AC569E"/>
    <w:rsid w:val="00AC5E79"/>
    <w:rsid w:val="00AD1EBB"/>
    <w:rsid w:val="00AD25E5"/>
    <w:rsid w:val="00AD3082"/>
    <w:rsid w:val="00AD4482"/>
    <w:rsid w:val="00AD4AD0"/>
    <w:rsid w:val="00AD5436"/>
    <w:rsid w:val="00AD5E2A"/>
    <w:rsid w:val="00AD60CD"/>
    <w:rsid w:val="00AD6C8C"/>
    <w:rsid w:val="00AD6F94"/>
    <w:rsid w:val="00AE091D"/>
    <w:rsid w:val="00AE3B60"/>
    <w:rsid w:val="00AE53A1"/>
    <w:rsid w:val="00AE5C79"/>
    <w:rsid w:val="00AE65C2"/>
    <w:rsid w:val="00AE7174"/>
    <w:rsid w:val="00AF189B"/>
    <w:rsid w:val="00AF2184"/>
    <w:rsid w:val="00AF2484"/>
    <w:rsid w:val="00AF30AA"/>
    <w:rsid w:val="00AF47C3"/>
    <w:rsid w:val="00AF63E7"/>
    <w:rsid w:val="00B0165D"/>
    <w:rsid w:val="00B01C6F"/>
    <w:rsid w:val="00B031F3"/>
    <w:rsid w:val="00B0349C"/>
    <w:rsid w:val="00B03712"/>
    <w:rsid w:val="00B052A4"/>
    <w:rsid w:val="00B07CDA"/>
    <w:rsid w:val="00B10F59"/>
    <w:rsid w:val="00B125DE"/>
    <w:rsid w:val="00B13139"/>
    <w:rsid w:val="00B13FDD"/>
    <w:rsid w:val="00B15CEC"/>
    <w:rsid w:val="00B15D12"/>
    <w:rsid w:val="00B21553"/>
    <w:rsid w:val="00B22EB2"/>
    <w:rsid w:val="00B23251"/>
    <w:rsid w:val="00B23D27"/>
    <w:rsid w:val="00B2430F"/>
    <w:rsid w:val="00B24F33"/>
    <w:rsid w:val="00B27286"/>
    <w:rsid w:val="00B27442"/>
    <w:rsid w:val="00B30E7C"/>
    <w:rsid w:val="00B30F41"/>
    <w:rsid w:val="00B31167"/>
    <w:rsid w:val="00B318C6"/>
    <w:rsid w:val="00B329D8"/>
    <w:rsid w:val="00B32BB9"/>
    <w:rsid w:val="00B3332F"/>
    <w:rsid w:val="00B33AE1"/>
    <w:rsid w:val="00B37046"/>
    <w:rsid w:val="00B374B7"/>
    <w:rsid w:val="00B37C38"/>
    <w:rsid w:val="00B4288C"/>
    <w:rsid w:val="00B43262"/>
    <w:rsid w:val="00B435FF"/>
    <w:rsid w:val="00B44100"/>
    <w:rsid w:val="00B445FD"/>
    <w:rsid w:val="00B46CBA"/>
    <w:rsid w:val="00B46F94"/>
    <w:rsid w:val="00B51954"/>
    <w:rsid w:val="00B52D03"/>
    <w:rsid w:val="00B61F03"/>
    <w:rsid w:val="00B626E4"/>
    <w:rsid w:val="00B62EB1"/>
    <w:rsid w:val="00B64C30"/>
    <w:rsid w:val="00B67FCF"/>
    <w:rsid w:val="00B71823"/>
    <w:rsid w:val="00B72F4A"/>
    <w:rsid w:val="00B74C00"/>
    <w:rsid w:val="00B76693"/>
    <w:rsid w:val="00B805C4"/>
    <w:rsid w:val="00B83C27"/>
    <w:rsid w:val="00B84358"/>
    <w:rsid w:val="00B84BC3"/>
    <w:rsid w:val="00B84BDD"/>
    <w:rsid w:val="00B8590B"/>
    <w:rsid w:val="00B87390"/>
    <w:rsid w:val="00B92812"/>
    <w:rsid w:val="00B93824"/>
    <w:rsid w:val="00B9563C"/>
    <w:rsid w:val="00B95D58"/>
    <w:rsid w:val="00BA076C"/>
    <w:rsid w:val="00BA0ACC"/>
    <w:rsid w:val="00BA72F2"/>
    <w:rsid w:val="00BB0E11"/>
    <w:rsid w:val="00BB45A1"/>
    <w:rsid w:val="00BB7686"/>
    <w:rsid w:val="00BB7F7F"/>
    <w:rsid w:val="00BC171D"/>
    <w:rsid w:val="00BC23F9"/>
    <w:rsid w:val="00BC26E9"/>
    <w:rsid w:val="00BC2B2A"/>
    <w:rsid w:val="00BC3421"/>
    <w:rsid w:val="00BC732C"/>
    <w:rsid w:val="00BC7DED"/>
    <w:rsid w:val="00BD37C6"/>
    <w:rsid w:val="00BE1D1F"/>
    <w:rsid w:val="00BE2580"/>
    <w:rsid w:val="00BE266D"/>
    <w:rsid w:val="00BE3938"/>
    <w:rsid w:val="00BE425C"/>
    <w:rsid w:val="00BE4C11"/>
    <w:rsid w:val="00BE71C0"/>
    <w:rsid w:val="00BF5B02"/>
    <w:rsid w:val="00BF610C"/>
    <w:rsid w:val="00C0060B"/>
    <w:rsid w:val="00C0277D"/>
    <w:rsid w:val="00C03B40"/>
    <w:rsid w:val="00C04C87"/>
    <w:rsid w:val="00C053A1"/>
    <w:rsid w:val="00C13F23"/>
    <w:rsid w:val="00C16198"/>
    <w:rsid w:val="00C2083D"/>
    <w:rsid w:val="00C213AA"/>
    <w:rsid w:val="00C22E14"/>
    <w:rsid w:val="00C233CD"/>
    <w:rsid w:val="00C237E4"/>
    <w:rsid w:val="00C24A53"/>
    <w:rsid w:val="00C25B8D"/>
    <w:rsid w:val="00C269D8"/>
    <w:rsid w:val="00C26C86"/>
    <w:rsid w:val="00C328E4"/>
    <w:rsid w:val="00C35B92"/>
    <w:rsid w:val="00C35F4E"/>
    <w:rsid w:val="00C36BE3"/>
    <w:rsid w:val="00C4032F"/>
    <w:rsid w:val="00C41432"/>
    <w:rsid w:val="00C41A36"/>
    <w:rsid w:val="00C43AC3"/>
    <w:rsid w:val="00C44047"/>
    <w:rsid w:val="00C45155"/>
    <w:rsid w:val="00C459D4"/>
    <w:rsid w:val="00C4689F"/>
    <w:rsid w:val="00C54247"/>
    <w:rsid w:val="00C5498F"/>
    <w:rsid w:val="00C551AD"/>
    <w:rsid w:val="00C55235"/>
    <w:rsid w:val="00C5560D"/>
    <w:rsid w:val="00C60969"/>
    <w:rsid w:val="00C648E6"/>
    <w:rsid w:val="00C64CD0"/>
    <w:rsid w:val="00C6578A"/>
    <w:rsid w:val="00C6684F"/>
    <w:rsid w:val="00C66F52"/>
    <w:rsid w:val="00C675CE"/>
    <w:rsid w:val="00C70215"/>
    <w:rsid w:val="00C70E70"/>
    <w:rsid w:val="00C71565"/>
    <w:rsid w:val="00C7335D"/>
    <w:rsid w:val="00C75E6F"/>
    <w:rsid w:val="00C75F8D"/>
    <w:rsid w:val="00C76D30"/>
    <w:rsid w:val="00C77380"/>
    <w:rsid w:val="00C80877"/>
    <w:rsid w:val="00C82C42"/>
    <w:rsid w:val="00C8550A"/>
    <w:rsid w:val="00C904E9"/>
    <w:rsid w:val="00C944ED"/>
    <w:rsid w:val="00C94FA1"/>
    <w:rsid w:val="00C96164"/>
    <w:rsid w:val="00C97736"/>
    <w:rsid w:val="00C97F4B"/>
    <w:rsid w:val="00CA2921"/>
    <w:rsid w:val="00CA345A"/>
    <w:rsid w:val="00CA63BC"/>
    <w:rsid w:val="00CB1E82"/>
    <w:rsid w:val="00CB4BA8"/>
    <w:rsid w:val="00CB4C46"/>
    <w:rsid w:val="00CB52D7"/>
    <w:rsid w:val="00CB7161"/>
    <w:rsid w:val="00CB7B2E"/>
    <w:rsid w:val="00CC3E14"/>
    <w:rsid w:val="00CC6248"/>
    <w:rsid w:val="00CC6732"/>
    <w:rsid w:val="00CC6FFD"/>
    <w:rsid w:val="00CD7267"/>
    <w:rsid w:val="00CE3C96"/>
    <w:rsid w:val="00CE51A8"/>
    <w:rsid w:val="00CE66E2"/>
    <w:rsid w:val="00CF091D"/>
    <w:rsid w:val="00CF369B"/>
    <w:rsid w:val="00D0090B"/>
    <w:rsid w:val="00D00E28"/>
    <w:rsid w:val="00D0269E"/>
    <w:rsid w:val="00D0532F"/>
    <w:rsid w:val="00D05DAE"/>
    <w:rsid w:val="00D07ADE"/>
    <w:rsid w:val="00D11191"/>
    <w:rsid w:val="00D12137"/>
    <w:rsid w:val="00D14AAA"/>
    <w:rsid w:val="00D15810"/>
    <w:rsid w:val="00D16D4E"/>
    <w:rsid w:val="00D16FE3"/>
    <w:rsid w:val="00D20E5B"/>
    <w:rsid w:val="00D221BE"/>
    <w:rsid w:val="00D231FE"/>
    <w:rsid w:val="00D239DB"/>
    <w:rsid w:val="00D2446E"/>
    <w:rsid w:val="00D24FA5"/>
    <w:rsid w:val="00D26C78"/>
    <w:rsid w:val="00D27F41"/>
    <w:rsid w:val="00D328BD"/>
    <w:rsid w:val="00D333B0"/>
    <w:rsid w:val="00D34981"/>
    <w:rsid w:val="00D36441"/>
    <w:rsid w:val="00D36D2E"/>
    <w:rsid w:val="00D4064E"/>
    <w:rsid w:val="00D42E68"/>
    <w:rsid w:val="00D44E9B"/>
    <w:rsid w:val="00D45536"/>
    <w:rsid w:val="00D4566A"/>
    <w:rsid w:val="00D47AEB"/>
    <w:rsid w:val="00D50DB9"/>
    <w:rsid w:val="00D516EA"/>
    <w:rsid w:val="00D52057"/>
    <w:rsid w:val="00D52C43"/>
    <w:rsid w:val="00D54769"/>
    <w:rsid w:val="00D55F42"/>
    <w:rsid w:val="00D56EA5"/>
    <w:rsid w:val="00D577FC"/>
    <w:rsid w:val="00D57815"/>
    <w:rsid w:val="00D6458F"/>
    <w:rsid w:val="00D6507F"/>
    <w:rsid w:val="00D70093"/>
    <w:rsid w:val="00D70360"/>
    <w:rsid w:val="00D705AC"/>
    <w:rsid w:val="00D730BC"/>
    <w:rsid w:val="00D73912"/>
    <w:rsid w:val="00D77EB5"/>
    <w:rsid w:val="00D811C6"/>
    <w:rsid w:val="00D813B1"/>
    <w:rsid w:val="00D816A6"/>
    <w:rsid w:val="00D848C5"/>
    <w:rsid w:val="00D85226"/>
    <w:rsid w:val="00D8673F"/>
    <w:rsid w:val="00D87B94"/>
    <w:rsid w:val="00D918E5"/>
    <w:rsid w:val="00D92C9C"/>
    <w:rsid w:val="00D92D49"/>
    <w:rsid w:val="00D92EC1"/>
    <w:rsid w:val="00D95A36"/>
    <w:rsid w:val="00D967D3"/>
    <w:rsid w:val="00D96DEA"/>
    <w:rsid w:val="00DA0EAA"/>
    <w:rsid w:val="00DA1F3A"/>
    <w:rsid w:val="00DA2145"/>
    <w:rsid w:val="00DA3432"/>
    <w:rsid w:val="00DA3F0C"/>
    <w:rsid w:val="00DA46F3"/>
    <w:rsid w:val="00DA4E41"/>
    <w:rsid w:val="00DA644E"/>
    <w:rsid w:val="00DB117A"/>
    <w:rsid w:val="00DB34E4"/>
    <w:rsid w:val="00DB5173"/>
    <w:rsid w:val="00DB5B39"/>
    <w:rsid w:val="00DB5D13"/>
    <w:rsid w:val="00DB7240"/>
    <w:rsid w:val="00DB7873"/>
    <w:rsid w:val="00DB7DF5"/>
    <w:rsid w:val="00DC0661"/>
    <w:rsid w:val="00DC187B"/>
    <w:rsid w:val="00DC3721"/>
    <w:rsid w:val="00DC5C34"/>
    <w:rsid w:val="00DC6527"/>
    <w:rsid w:val="00DC7FCF"/>
    <w:rsid w:val="00DD13F3"/>
    <w:rsid w:val="00DD1B94"/>
    <w:rsid w:val="00DD73C2"/>
    <w:rsid w:val="00DD75F3"/>
    <w:rsid w:val="00DE1773"/>
    <w:rsid w:val="00DE193E"/>
    <w:rsid w:val="00DE319B"/>
    <w:rsid w:val="00DE4906"/>
    <w:rsid w:val="00DF0128"/>
    <w:rsid w:val="00DF1481"/>
    <w:rsid w:val="00DF246B"/>
    <w:rsid w:val="00DF34FE"/>
    <w:rsid w:val="00DF4D7E"/>
    <w:rsid w:val="00DF56AA"/>
    <w:rsid w:val="00DF78E7"/>
    <w:rsid w:val="00E01CC0"/>
    <w:rsid w:val="00E05A14"/>
    <w:rsid w:val="00E0601A"/>
    <w:rsid w:val="00E06E7E"/>
    <w:rsid w:val="00E07496"/>
    <w:rsid w:val="00E07E6C"/>
    <w:rsid w:val="00E110E0"/>
    <w:rsid w:val="00E1174B"/>
    <w:rsid w:val="00E14AA6"/>
    <w:rsid w:val="00E15371"/>
    <w:rsid w:val="00E2057C"/>
    <w:rsid w:val="00E20844"/>
    <w:rsid w:val="00E20EE2"/>
    <w:rsid w:val="00E24104"/>
    <w:rsid w:val="00E2646E"/>
    <w:rsid w:val="00E302D0"/>
    <w:rsid w:val="00E339C4"/>
    <w:rsid w:val="00E35707"/>
    <w:rsid w:val="00E36AA1"/>
    <w:rsid w:val="00E37A9B"/>
    <w:rsid w:val="00E41ECB"/>
    <w:rsid w:val="00E43C92"/>
    <w:rsid w:val="00E548FC"/>
    <w:rsid w:val="00E54FDB"/>
    <w:rsid w:val="00E5617D"/>
    <w:rsid w:val="00E563D7"/>
    <w:rsid w:val="00E663F4"/>
    <w:rsid w:val="00E666F2"/>
    <w:rsid w:val="00E66DD4"/>
    <w:rsid w:val="00E670A3"/>
    <w:rsid w:val="00E70AC3"/>
    <w:rsid w:val="00E731A6"/>
    <w:rsid w:val="00E748CC"/>
    <w:rsid w:val="00E75415"/>
    <w:rsid w:val="00E775B1"/>
    <w:rsid w:val="00E807B8"/>
    <w:rsid w:val="00E8152A"/>
    <w:rsid w:val="00E87883"/>
    <w:rsid w:val="00E878F4"/>
    <w:rsid w:val="00E90994"/>
    <w:rsid w:val="00E92F6A"/>
    <w:rsid w:val="00E93629"/>
    <w:rsid w:val="00E93663"/>
    <w:rsid w:val="00E93B5C"/>
    <w:rsid w:val="00E93F32"/>
    <w:rsid w:val="00E94CEC"/>
    <w:rsid w:val="00E97126"/>
    <w:rsid w:val="00E97E00"/>
    <w:rsid w:val="00E97EA4"/>
    <w:rsid w:val="00EA04EF"/>
    <w:rsid w:val="00EA6B1F"/>
    <w:rsid w:val="00EA6F19"/>
    <w:rsid w:val="00EA7CE8"/>
    <w:rsid w:val="00EB032C"/>
    <w:rsid w:val="00EB26D8"/>
    <w:rsid w:val="00EB6088"/>
    <w:rsid w:val="00EB7090"/>
    <w:rsid w:val="00EB72E8"/>
    <w:rsid w:val="00EC1BBE"/>
    <w:rsid w:val="00EC5CB5"/>
    <w:rsid w:val="00EC5CD7"/>
    <w:rsid w:val="00ED2657"/>
    <w:rsid w:val="00ED2B52"/>
    <w:rsid w:val="00ED453C"/>
    <w:rsid w:val="00ED5392"/>
    <w:rsid w:val="00EE1E94"/>
    <w:rsid w:val="00EE4C93"/>
    <w:rsid w:val="00EE5FB3"/>
    <w:rsid w:val="00EE6BE8"/>
    <w:rsid w:val="00EE7F79"/>
    <w:rsid w:val="00EF2079"/>
    <w:rsid w:val="00EF5035"/>
    <w:rsid w:val="00EF715A"/>
    <w:rsid w:val="00EF71C1"/>
    <w:rsid w:val="00F06E14"/>
    <w:rsid w:val="00F077E9"/>
    <w:rsid w:val="00F119D6"/>
    <w:rsid w:val="00F12895"/>
    <w:rsid w:val="00F15D15"/>
    <w:rsid w:val="00F15F44"/>
    <w:rsid w:val="00F179D4"/>
    <w:rsid w:val="00F20988"/>
    <w:rsid w:val="00F253C1"/>
    <w:rsid w:val="00F2576D"/>
    <w:rsid w:val="00F277B2"/>
    <w:rsid w:val="00F3138B"/>
    <w:rsid w:val="00F31B8E"/>
    <w:rsid w:val="00F33C56"/>
    <w:rsid w:val="00F347C7"/>
    <w:rsid w:val="00F34848"/>
    <w:rsid w:val="00F3651C"/>
    <w:rsid w:val="00F36693"/>
    <w:rsid w:val="00F36F09"/>
    <w:rsid w:val="00F42457"/>
    <w:rsid w:val="00F42D46"/>
    <w:rsid w:val="00F4496C"/>
    <w:rsid w:val="00F44F3A"/>
    <w:rsid w:val="00F478EC"/>
    <w:rsid w:val="00F51F10"/>
    <w:rsid w:val="00F529A5"/>
    <w:rsid w:val="00F55484"/>
    <w:rsid w:val="00F60977"/>
    <w:rsid w:val="00F60F00"/>
    <w:rsid w:val="00F614C0"/>
    <w:rsid w:val="00F632C6"/>
    <w:rsid w:val="00F65B47"/>
    <w:rsid w:val="00F65D6F"/>
    <w:rsid w:val="00F65EB8"/>
    <w:rsid w:val="00F702A6"/>
    <w:rsid w:val="00F76C52"/>
    <w:rsid w:val="00F804F8"/>
    <w:rsid w:val="00F830B9"/>
    <w:rsid w:val="00F83848"/>
    <w:rsid w:val="00F84E82"/>
    <w:rsid w:val="00F85896"/>
    <w:rsid w:val="00F8719D"/>
    <w:rsid w:val="00F904E6"/>
    <w:rsid w:val="00F91010"/>
    <w:rsid w:val="00F91DDE"/>
    <w:rsid w:val="00F9515B"/>
    <w:rsid w:val="00F9704D"/>
    <w:rsid w:val="00F975E9"/>
    <w:rsid w:val="00FA048E"/>
    <w:rsid w:val="00FA0818"/>
    <w:rsid w:val="00FA1B7D"/>
    <w:rsid w:val="00FA3A88"/>
    <w:rsid w:val="00FA459E"/>
    <w:rsid w:val="00FB0A80"/>
    <w:rsid w:val="00FB3BDE"/>
    <w:rsid w:val="00FB4063"/>
    <w:rsid w:val="00FB55C6"/>
    <w:rsid w:val="00FB6BB5"/>
    <w:rsid w:val="00FC07B9"/>
    <w:rsid w:val="00FC1EBD"/>
    <w:rsid w:val="00FC3037"/>
    <w:rsid w:val="00FC4E21"/>
    <w:rsid w:val="00FC5F6D"/>
    <w:rsid w:val="00FC68B1"/>
    <w:rsid w:val="00FC6D20"/>
    <w:rsid w:val="00FD0107"/>
    <w:rsid w:val="00FD1A1E"/>
    <w:rsid w:val="00FD2879"/>
    <w:rsid w:val="00FD2C2F"/>
    <w:rsid w:val="00FD3B31"/>
    <w:rsid w:val="00FD6A3F"/>
    <w:rsid w:val="00FE1663"/>
    <w:rsid w:val="00FE1823"/>
    <w:rsid w:val="00FE2CB3"/>
    <w:rsid w:val="00FE487A"/>
    <w:rsid w:val="00FE4BFB"/>
    <w:rsid w:val="00FE6882"/>
    <w:rsid w:val="00FE7CE6"/>
    <w:rsid w:val="00FF0569"/>
    <w:rsid w:val="00FF206E"/>
    <w:rsid w:val="00FF23C4"/>
    <w:rsid w:val="00FF2BF5"/>
    <w:rsid w:val="00FF3C69"/>
    <w:rsid w:val="00FF518B"/>
    <w:rsid w:val="00FF5605"/>
    <w:rsid w:val="00FF6E0A"/>
    <w:rsid w:val="00FF78D7"/>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colormru v:ext="edit" colors="red,#4d4d4f"/>
    </o:shapedefaults>
    <o:shapelayout v:ext="edit">
      <o:idmap v:ext="edit" data="1"/>
    </o:shapelayout>
  </w:shapeDefaults>
  <w:decimalSymbol w:val="."/>
  <w:listSeparator w:val=","/>
  <w14:docId w14:val="40E3D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49"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0107"/>
    <w:pPr>
      <w:spacing w:after="240" w:line="240" w:lineRule="atLeast"/>
    </w:pPr>
    <w:rPr>
      <w:rFonts w:ascii="Arial" w:hAnsi="Arial"/>
      <w:sz w:val="20"/>
    </w:rPr>
  </w:style>
  <w:style w:type="paragraph" w:styleId="Heading1">
    <w:name w:val="heading 1"/>
    <w:basedOn w:val="Normal"/>
    <w:next w:val="Normal"/>
    <w:qFormat/>
    <w:rsid w:val="00C55235"/>
    <w:pPr>
      <w:keepNext/>
      <w:pageBreakBefore/>
      <w:widowControl w:val="0"/>
      <w:spacing w:after="360" w:line="550" w:lineRule="exact"/>
      <w:outlineLvl w:val="0"/>
    </w:pPr>
    <w:rPr>
      <w:rFonts w:cs="Arial"/>
      <w:bCs/>
      <w:color w:val="323232"/>
      <w:kern w:val="32"/>
      <w:sz w:val="53"/>
      <w:szCs w:val="32"/>
    </w:rPr>
  </w:style>
  <w:style w:type="paragraph" w:styleId="Heading2">
    <w:name w:val="heading 2"/>
    <w:basedOn w:val="Normal"/>
    <w:next w:val="Normal"/>
    <w:link w:val="Heading2Char"/>
    <w:qFormat/>
    <w:rsid w:val="00C55235"/>
    <w:pPr>
      <w:keepNext/>
      <w:spacing w:before="320" w:after="60"/>
      <w:outlineLvl w:val="1"/>
    </w:pPr>
    <w:rPr>
      <w:rFonts w:cs="Arial"/>
      <w:b/>
      <w:bCs/>
      <w:iCs/>
      <w:sz w:val="28"/>
      <w:szCs w:val="28"/>
    </w:rPr>
  </w:style>
  <w:style w:type="paragraph" w:styleId="Heading3">
    <w:name w:val="heading 3"/>
    <w:basedOn w:val="Normal"/>
    <w:next w:val="Normal"/>
    <w:link w:val="Heading3Char"/>
    <w:qFormat/>
    <w:rsid w:val="00C55235"/>
    <w:pPr>
      <w:keepNext/>
      <w:spacing w:before="60" w:after="60"/>
      <w:outlineLvl w:val="2"/>
    </w:pPr>
    <w:rPr>
      <w:rFonts w:cs="Arial"/>
      <w:b/>
      <w:bCs/>
      <w:szCs w:val="26"/>
    </w:rPr>
  </w:style>
  <w:style w:type="paragraph" w:styleId="Heading4">
    <w:name w:val="heading 4"/>
    <w:basedOn w:val="Normal"/>
    <w:next w:val="Normal"/>
    <w:semiHidden/>
    <w:qFormat/>
    <w:rsid w:val="00AD5436"/>
    <w:pPr>
      <w:keepNext/>
      <w:numPr>
        <w:ilvl w:val="3"/>
        <w:numId w:val="5"/>
      </w:numPr>
      <w:spacing w:before="240" w:after="60"/>
      <w:outlineLvl w:val="3"/>
    </w:pPr>
    <w:rPr>
      <w:rFonts w:ascii="Times New Roman" w:hAnsi="Times New Roman"/>
      <w:b/>
      <w:bCs/>
      <w:sz w:val="28"/>
      <w:szCs w:val="28"/>
    </w:rPr>
  </w:style>
  <w:style w:type="paragraph" w:styleId="Heading5">
    <w:name w:val="heading 5"/>
    <w:basedOn w:val="Normal"/>
    <w:next w:val="Normal"/>
    <w:semiHidden/>
    <w:qFormat/>
    <w:rsid w:val="00AD5436"/>
    <w:pPr>
      <w:numPr>
        <w:ilvl w:val="4"/>
        <w:numId w:val="5"/>
      </w:numPr>
      <w:spacing w:before="240" w:after="60"/>
      <w:outlineLvl w:val="4"/>
    </w:pPr>
    <w:rPr>
      <w:b/>
      <w:bCs/>
      <w:i/>
      <w:iCs/>
      <w:sz w:val="26"/>
      <w:szCs w:val="26"/>
    </w:rPr>
  </w:style>
  <w:style w:type="paragraph" w:styleId="Heading6">
    <w:name w:val="heading 6"/>
    <w:basedOn w:val="Normal"/>
    <w:next w:val="Normal"/>
    <w:semiHidden/>
    <w:qFormat/>
    <w:rsid w:val="00AD5436"/>
    <w:pPr>
      <w:numPr>
        <w:ilvl w:val="5"/>
        <w:numId w:val="5"/>
      </w:numPr>
      <w:spacing w:before="240" w:after="60"/>
      <w:outlineLvl w:val="5"/>
    </w:pPr>
    <w:rPr>
      <w:rFonts w:ascii="Times New Roman" w:hAnsi="Times New Roman"/>
      <w:b/>
      <w:bCs/>
      <w:sz w:val="22"/>
      <w:szCs w:val="22"/>
    </w:rPr>
  </w:style>
  <w:style w:type="paragraph" w:styleId="Heading7">
    <w:name w:val="heading 7"/>
    <w:basedOn w:val="Normal"/>
    <w:next w:val="Normal"/>
    <w:semiHidden/>
    <w:qFormat/>
    <w:rsid w:val="00AD5436"/>
    <w:pPr>
      <w:numPr>
        <w:ilvl w:val="6"/>
        <w:numId w:val="5"/>
      </w:numPr>
      <w:spacing w:before="240" w:after="60"/>
      <w:outlineLvl w:val="6"/>
    </w:pPr>
    <w:rPr>
      <w:rFonts w:ascii="Times New Roman" w:hAnsi="Times New Roman"/>
      <w:sz w:val="24"/>
    </w:rPr>
  </w:style>
  <w:style w:type="paragraph" w:styleId="Heading8">
    <w:name w:val="heading 8"/>
    <w:basedOn w:val="Normal"/>
    <w:next w:val="Normal"/>
    <w:semiHidden/>
    <w:qFormat/>
    <w:rsid w:val="00AD5436"/>
    <w:pPr>
      <w:numPr>
        <w:ilvl w:val="7"/>
        <w:numId w:val="5"/>
      </w:numPr>
      <w:spacing w:before="240" w:after="60"/>
      <w:outlineLvl w:val="7"/>
    </w:pPr>
    <w:rPr>
      <w:rFonts w:ascii="Times New Roman" w:hAnsi="Times New Roman"/>
      <w:i/>
      <w:iCs/>
      <w:sz w:val="24"/>
    </w:rPr>
  </w:style>
  <w:style w:type="paragraph" w:styleId="Heading9">
    <w:name w:val="heading 9"/>
    <w:basedOn w:val="Normal"/>
    <w:next w:val="Normal"/>
    <w:semiHidden/>
    <w:qFormat/>
    <w:rsid w:val="00AD5436"/>
    <w:pPr>
      <w:numPr>
        <w:ilvl w:val="8"/>
        <w:numId w:val="5"/>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70791C"/>
    <w:pPr>
      <w:tabs>
        <w:tab w:val="center" w:pos="4153"/>
        <w:tab w:val="right" w:pos="8306"/>
      </w:tabs>
      <w:spacing w:line="240" w:lineRule="auto"/>
    </w:pPr>
    <w:rPr>
      <w:sz w:val="16"/>
    </w:rPr>
  </w:style>
  <w:style w:type="paragraph" w:styleId="Footer">
    <w:name w:val="footer"/>
    <w:basedOn w:val="Normal"/>
    <w:link w:val="FooterChar"/>
    <w:qFormat/>
    <w:rsid w:val="0094078F"/>
    <w:pPr>
      <w:tabs>
        <w:tab w:val="right" w:pos="113"/>
      </w:tabs>
      <w:spacing w:line="240" w:lineRule="auto"/>
    </w:pPr>
    <w:rPr>
      <w:color w:val="323232"/>
      <w:sz w:val="16"/>
    </w:rPr>
  </w:style>
  <w:style w:type="character" w:customStyle="1" w:styleId="FooterChar">
    <w:name w:val="Footer Char"/>
    <w:basedOn w:val="DefaultParagraphFont"/>
    <w:link w:val="Footer"/>
    <w:rsid w:val="0094078F"/>
    <w:rPr>
      <w:rFonts w:ascii="Arial" w:hAnsi="Arial"/>
      <w:color w:val="323232"/>
      <w:sz w:val="16"/>
    </w:rPr>
  </w:style>
  <w:style w:type="paragraph" w:customStyle="1" w:styleId="ACMAReportTitle">
    <w:name w:val="ACMA_ReportTitle"/>
    <w:basedOn w:val="Normal"/>
    <w:qFormat/>
    <w:rsid w:val="00A51D1A"/>
    <w:pPr>
      <w:spacing w:after="0" w:line="560" w:lineRule="exact"/>
    </w:pPr>
    <w:rPr>
      <w:b/>
      <w:spacing w:val="-28"/>
      <w:sz w:val="53"/>
    </w:rPr>
  </w:style>
  <w:style w:type="paragraph" w:customStyle="1" w:styleId="ACMAReportSubTitle">
    <w:name w:val="ACMA_ReportSubTitle"/>
    <w:basedOn w:val="Normal"/>
    <w:qFormat/>
    <w:rsid w:val="00950159"/>
    <w:pPr>
      <w:spacing w:after="200" w:line="560" w:lineRule="exact"/>
    </w:pPr>
    <w:rPr>
      <w:color w:val="323232"/>
      <w:spacing w:val="-28"/>
      <w:sz w:val="53"/>
    </w:rPr>
  </w:style>
  <w:style w:type="table" w:styleId="TableGrid">
    <w:name w:val="Table Grid"/>
    <w:basedOn w:val="TableNormal"/>
    <w:rsid w:val="00226819"/>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MAReportDate">
    <w:name w:val="ACMA_ReportDate"/>
    <w:basedOn w:val="ACMAReportSubTitle"/>
    <w:qFormat/>
    <w:rsid w:val="00950159"/>
    <w:pPr>
      <w:spacing w:after="1200" w:line="240" w:lineRule="auto"/>
    </w:pPr>
    <w:rPr>
      <w:caps/>
      <w:spacing w:val="-10"/>
      <w:sz w:val="20"/>
    </w:rPr>
  </w:style>
  <w:style w:type="paragraph" w:customStyle="1" w:styleId="TableHeading">
    <w:name w:val="Table Heading"/>
    <w:basedOn w:val="Normal"/>
    <w:qFormat/>
    <w:rsid w:val="00774FDB"/>
    <w:pPr>
      <w:spacing w:after="0"/>
    </w:pPr>
    <w:rPr>
      <w:b/>
    </w:rPr>
  </w:style>
  <w:style w:type="paragraph" w:customStyle="1" w:styleId="PageNumber">
    <w:name w:val="PageNumber"/>
    <w:basedOn w:val="Normal"/>
    <w:semiHidden/>
    <w:rsid w:val="0070791C"/>
    <w:pPr>
      <w:spacing w:line="240" w:lineRule="auto"/>
    </w:pPr>
    <w:rPr>
      <w:sz w:val="16"/>
    </w:rPr>
  </w:style>
  <w:style w:type="paragraph" w:customStyle="1" w:styleId="Copyright">
    <w:name w:val="Copyright"/>
    <w:basedOn w:val="Normal"/>
    <w:semiHidden/>
    <w:rsid w:val="00454596"/>
    <w:pPr>
      <w:spacing w:line="160" w:lineRule="exact"/>
    </w:pPr>
    <w:rPr>
      <w:color w:val="4D4D4F"/>
      <w:sz w:val="13"/>
    </w:rPr>
  </w:style>
  <w:style w:type="paragraph" w:styleId="TOCHeading">
    <w:name w:val="TOC Heading"/>
    <w:basedOn w:val="Normal"/>
    <w:qFormat/>
    <w:rsid w:val="00950159"/>
    <w:pPr>
      <w:spacing w:before="1200" w:line="240" w:lineRule="auto"/>
    </w:pPr>
    <w:rPr>
      <w:b/>
      <w:color w:val="323232"/>
      <w:spacing w:val="-28"/>
      <w:sz w:val="53"/>
    </w:rPr>
  </w:style>
  <w:style w:type="paragraph" w:styleId="Caption">
    <w:name w:val="caption"/>
    <w:aliases w:val="Caption table"/>
    <w:basedOn w:val="Normal"/>
    <w:next w:val="Normal"/>
    <w:qFormat/>
    <w:rsid w:val="00E8152A"/>
    <w:pPr>
      <w:numPr>
        <w:numId w:val="9"/>
      </w:numPr>
      <w:spacing w:after="0"/>
    </w:pPr>
    <w:rPr>
      <w:b/>
      <w:bCs/>
      <w:color w:val="323232"/>
      <w:szCs w:val="20"/>
    </w:rPr>
  </w:style>
  <w:style w:type="paragraph" w:customStyle="1" w:styleId="BodySubHeader">
    <w:name w:val="BodySubHeader"/>
    <w:basedOn w:val="Normal"/>
    <w:next w:val="Normal"/>
    <w:qFormat/>
    <w:rsid w:val="00146CE6"/>
    <w:pPr>
      <w:spacing w:before="240" w:after="0"/>
    </w:pPr>
    <w:rPr>
      <w:b/>
      <w:i/>
    </w:rPr>
  </w:style>
  <w:style w:type="paragraph" w:styleId="ListBullet">
    <w:name w:val="List Bullet"/>
    <w:basedOn w:val="Normal"/>
    <w:qFormat/>
    <w:rsid w:val="001C6AEE"/>
    <w:pPr>
      <w:numPr>
        <w:numId w:val="1"/>
      </w:numPr>
      <w:spacing w:after="80"/>
    </w:pPr>
  </w:style>
  <w:style w:type="paragraph" w:styleId="ListBullet2">
    <w:name w:val="List Bullet 2"/>
    <w:basedOn w:val="Normal"/>
    <w:qFormat/>
    <w:rsid w:val="001C6AEE"/>
    <w:pPr>
      <w:numPr>
        <w:numId w:val="2"/>
      </w:numPr>
      <w:spacing w:after="80"/>
    </w:pPr>
  </w:style>
  <w:style w:type="paragraph" w:styleId="ListNumber">
    <w:name w:val="List Number"/>
    <w:basedOn w:val="Normal"/>
    <w:qFormat/>
    <w:rsid w:val="00C24A53"/>
    <w:pPr>
      <w:numPr>
        <w:numId w:val="3"/>
      </w:numPr>
      <w:spacing w:after="80"/>
    </w:pPr>
  </w:style>
  <w:style w:type="paragraph" w:styleId="ListNumber2">
    <w:name w:val="List Number 2"/>
    <w:basedOn w:val="Normal"/>
    <w:qFormat/>
    <w:rsid w:val="00247C59"/>
    <w:pPr>
      <w:numPr>
        <w:numId w:val="4"/>
      </w:numPr>
      <w:spacing w:after="80"/>
    </w:pPr>
  </w:style>
  <w:style w:type="paragraph" w:customStyle="1" w:styleId="URLEmail">
    <w:name w:val="URL/Email"/>
    <w:basedOn w:val="Normal"/>
    <w:semiHidden/>
    <w:rsid w:val="00302480"/>
    <w:rPr>
      <w:color w:val="4D4D4F"/>
      <w:spacing w:val="4"/>
    </w:rPr>
  </w:style>
  <w:style w:type="paragraph" w:customStyle="1" w:styleId="ACMAExecSummaryHeading">
    <w:name w:val="ACMA_ExecSummaryHeading"/>
    <w:basedOn w:val="Normal"/>
    <w:qFormat/>
    <w:rsid w:val="00950159"/>
    <w:pPr>
      <w:spacing w:after="1440" w:line="550" w:lineRule="exact"/>
    </w:pPr>
    <w:rPr>
      <w:b/>
      <w:color w:val="323232"/>
      <w:spacing w:val="-18"/>
      <w:sz w:val="53"/>
    </w:rPr>
  </w:style>
  <w:style w:type="character" w:styleId="PageNumber0">
    <w:name w:val="page number"/>
    <w:basedOn w:val="DefaultParagraphFont"/>
    <w:semiHidden/>
    <w:rsid w:val="00542377"/>
  </w:style>
  <w:style w:type="paragraph" w:styleId="BalloonText">
    <w:name w:val="Balloon Text"/>
    <w:basedOn w:val="Normal"/>
    <w:link w:val="BalloonTextChar"/>
    <w:semiHidden/>
    <w:rsid w:val="009F4C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6A6DA2"/>
    <w:rPr>
      <w:rFonts w:ascii="Tahoma" w:hAnsi="Tahoma" w:cs="Tahoma"/>
      <w:sz w:val="16"/>
      <w:szCs w:val="16"/>
    </w:rPr>
  </w:style>
  <w:style w:type="paragraph" w:styleId="TOC1">
    <w:name w:val="toc 1"/>
    <w:basedOn w:val="Normal"/>
    <w:next w:val="Normal"/>
    <w:uiPriority w:val="39"/>
    <w:qFormat/>
    <w:rsid w:val="007A6CC0"/>
    <w:pPr>
      <w:tabs>
        <w:tab w:val="right" w:pos="7660"/>
      </w:tabs>
      <w:spacing w:before="280" w:after="80" w:line="320" w:lineRule="exact"/>
      <w:ind w:right="851"/>
    </w:pPr>
    <w:rPr>
      <w:b/>
      <w:noProof/>
      <w:spacing w:val="-14"/>
      <w:sz w:val="28"/>
    </w:rPr>
  </w:style>
  <w:style w:type="paragraph" w:styleId="TOC2">
    <w:name w:val="toc 2"/>
    <w:basedOn w:val="Normal"/>
    <w:next w:val="Normal"/>
    <w:uiPriority w:val="39"/>
    <w:qFormat/>
    <w:rsid w:val="007A6CC0"/>
    <w:pPr>
      <w:tabs>
        <w:tab w:val="right" w:pos="7660"/>
      </w:tabs>
      <w:spacing w:after="80" w:line="300" w:lineRule="exact"/>
      <w:ind w:left="885" w:hanging="885"/>
    </w:pPr>
    <w:rPr>
      <w:noProof/>
      <w:spacing w:val="-14"/>
      <w:sz w:val="26"/>
      <w:szCs w:val="26"/>
    </w:rPr>
  </w:style>
  <w:style w:type="paragraph" w:styleId="TableofFigures">
    <w:name w:val="table of figures"/>
    <w:basedOn w:val="Normal"/>
    <w:next w:val="Normal"/>
    <w:semiHidden/>
    <w:rsid w:val="00AD3082"/>
    <w:pPr>
      <w:tabs>
        <w:tab w:val="right" w:pos="7615"/>
      </w:tabs>
      <w:spacing w:line="320" w:lineRule="exact"/>
    </w:pPr>
    <w:rPr>
      <w:noProof/>
      <w:color w:val="808285"/>
      <w:sz w:val="28"/>
    </w:rPr>
  </w:style>
  <w:style w:type="paragraph" w:styleId="TOC3">
    <w:name w:val="toc 3"/>
    <w:basedOn w:val="Normal"/>
    <w:next w:val="Normal"/>
    <w:uiPriority w:val="39"/>
    <w:qFormat/>
    <w:rsid w:val="007A6CC0"/>
    <w:pPr>
      <w:tabs>
        <w:tab w:val="right" w:pos="7661"/>
      </w:tabs>
      <w:spacing w:after="80" w:line="240" w:lineRule="auto"/>
    </w:pPr>
    <w:rPr>
      <w:noProof/>
      <w:sz w:val="22"/>
      <w:szCs w:val="22"/>
    </w:rPr>
  </w:style>
  <w:style w:type="character" w:styleId="Hyperlink">
    <w:name w:val="Hyperlink"/>
    <w:basedOn w:val="DefaultParagraphFont"/>
    <w:uiPriority w:val="99"/>
    <w:qFormat/>
    <w:rsid w:val="003A5F5B"/>
    <w:rPr>
      <w:color w:val="0000FF"/>
      <w:u w:val="single"/>
    </w:rPr>
  </w:style>
  <w:style w:type="character" w:styleId="FootnoteReference">
    <w:name w:val="footnote reference"/>
    <w:aliases w:val="Appel note de bas de p,Appel note de bas de p + 11 pt,Italic,Footnote,Style 12,(NECG) Footnote Reference,Style 124,o,fr,Style 3,Appel note de bas de p1,Appel note de bas de p2,Appel note de bas de p3,Footnote Reference/"/>
    <w:basedOn w:val="DefaultParagraphFont"/>
    <w:rsid w:val="00566AB4"/>
    <w:rPr>
      <w:rFonts w:ascii="Arial" w:hAnsi="Arial"/>
      <w:vertAlign w:val="superscript"/>
    </w:rPr>
  </w:style>
  <w:style w:type="paragraph" w:styleId="FootnoteText">
    <w:name w:val="footnote text"/>
    <w:aliases w:val="ACMA Footnote Text,footnote text,Footnote Text Char1,Footnote Text Char Char,Footnote Text Char1 Char Char,Footnote Text Char Char Char Char,Footnote Text Char1 Char Char Char Char,Footnote Text Char Char Char Char Char Char,f,fn"/>
    <w:basedOn w:val="Normal"/>
    <w:link w:val="FootnoteTextChar"/>
    <w:rsid w:val="00566AB4"/>
    <w:rPr>
      <w:sz w:val="16"/>
      <w:szCs w:val="16"/>
    </w:rPr>
  </w:style>
  <w:style w:type="paragraph" w:customStyle="1" w:styleId="TableBody">
    <w:name w:val="Table Body"/>
    <w:basedOn w:val="Normal"/>
    <w:qFormat/>
    <w:rsid w:val="00774FDB"/>
    <w:pPr>
      <w:spacing w:after="0" w:line="240" w:lineRule="auto"/>
    </w:pPr>
  </w:style>
  <w:style w:type="character" w:styleId="CommentReference">
    <w:name w:val="annotation reference"/>
    <w:basedOn w:val="DefaultParagraphFont"/>
    <w:uiPriority w:val="99"/>
    <w:semiHidden/>
    <w:rsid w:val="00EE7F79"/>
    <w:rPr>
      <w:sz w:val="16"/>
      <w:szCs w:val="16"/>
    </w:rPr>
  </w:style>
  <w:style w:type="paragraph" w:styleId="CommentText">
    <w:name w:val="annotation text"/>
    <w:basedOn w:val="Normal"/>
    <w:link w:val="CommentTextChar"/>
    <w:uiPriority w:val="49"/>
    <w:semiHidden/>
    <w:rsid w:val="00EE7F79"/>
    <w:pPr>
      <w:spacing w:line="240" w:lineRule="auto"/>
    </w:pPr>
    <w:rPr>
      <w:szCs w:val="20"/>
    </w:rPr>
  </w:style>
  <w:style w:type="character" w:customStyle="1" w:styleId="CommentTextChar">
    <w:name w:val="Comment Text Char"/>
    <w:basedOn w:val="DefaultParagraphFont"/>
    <w:link w:val="CommentText"/>
    <w:uiPriority w:val="49"/>
    <w:semiHidden/>
    <w:rsid w:val="00EE7F79"/>
    <w:rPr>
      <w:rFonts w:ascii="Arial" w:hAnsi="Arial"/>
    </w:rPr>
  </w:style>
  <w:style w:type="paragraph" w:styleId="CommentSubject">
    <w:name w:val="annotation subject"/>
    <w:basedOn w:val="CommentText"/>
    <w:next w:val="CommentText"/>
    <w:link w:val="CommentSubjectChar"/>
    <w:semiHidden/>
    <w:rsid w:val="00EE7F79"/>
    <w:rPr>
      <w:b/>
      <w:bCs/>
    </w:rPr>
  </w:style>
  <w:style w:type="character" w:customStyle="1" w:styleId="CommentSubjectChar">
    <w:name w:val="Comment Subject Char"/>
    <w:basedOn w:val="CommentTextChar"/>
    <w:link w:val="CommentSubject"/>
    <w:semiHidden/>
    <w:rsid w:val="00EE7F79"/>
    <w:rPr>
      <w:rFonts w:ascii="Arial" w:hAnsi="Arial"/>
      <w:b/>
      <w:bCs/>
    </w:rPr>
  </w:style>
  <w:style w:type="character" w:styleId="FollowedHyperlink">
    <w:name w:val="FollowedHyperlink"/>
    <w:basedOn w:val="DefaultParagraphFont"/>
    <w:semiHidden/>
    <w:rsid w:val="00F60F00"/>
    <w:rPr>
      <w:color w:val="800080" w:themeColor="followedHyperlink"/>
      <w:u w:val="single"/>
    </w:rPr>
  </w:style>
  <w:style w:type="character" w:styleId="PlaceholderText">
    <w:name w:val="Placeholder Text"/>
    <w:basedOn w:val="DefaultParagraphFont"/>
    <w:uiPriority w:val="99"/>
    <w:semiHidden/>
    <w:rsid w:val="00C97736"/>
    <w:rPr>
      <w:color w:val="808080"/>
    </w:rPr>
  </w:style>
  <w:style w:type="paragraph" w:customStyle="1" w:styleId="ACMAInstructions">
    <w:name w:val="ACMA_Instructions"/>
    <w:basedOn w:val="Normal"/>
    <w:qFormat/>
    <w:rsid w:val="00BF610C"/>
    <w:pPr>
      <w:spacing w:after="200"/>
    </w:pPr>
    <w:rPr>
      <w:rFonts w:cs="Arial"/>
      <w:b/>
      <w:vanish/>
      <w:sz w:val="24"/>
    </w:rPr>
  </w:style>
  <w:style w:type="paragraph" w:customStyle="1" w:styleId="CorporateAddresses">
    <w:name w:val="Corporate Addresses"/>
    <w:basedOn w:val="Normal"/>
    <w:semiHidden/>
    <w:rsid w:val="0005011A"/>
    <w:pPr>
      <w:spacing w:line="140" w:lineRule="exact"/>
    </w:pPr>
    <w:rPr>
      <w:color w:val="4D4D4F"/>
      <w:sz w:val="13"/>
    </w:rPr>
  </w:style>
  <w:style w:type="character" w:styleId="Strong">
    <w:name w:val="Strong"/>
    <w:basedOn w:val="DefaultParagraphFont"/>
    <w:semiHidden/>
    <w:qFormat/>
    <w:rsid w:val="0005011A"/>
    <w:rPr>
      <w:b/>
      <w:bCs/>
    </w:rPr>
  </w:style>
  <w:style w:type="paragraph" w:customStyle="1" w:styleId="ACMACorporateAddressHeader">
    <w:name w:val="ACMA_CorporateAddressHeader"/>
    <w:basedOn w:val="Normal"/>
    <w:next w:val="ACMACorporateAddresses"/>
    <w:qFormat/>
    <w:rsid w:val="00FC07B9"/>
    <w:pPr>
      <w:tabs>
        <w:tab w:val="left" w:pos="142"/>
      </w:tabs>
      <w:spacing w:before="240" w:after="0" w:line="140" w:lineRule="exact"/>
    </w:pPr>
    <w:rPr>
      <w:b/>
      <w:sz w:val="13"/>
    </w:rPr>
  </w:style>
  <w:style w:type="paragraph" w:customStyle="1" w:styleId="ACMACorporateAddresses">
    <w:name w:val="ACMA_CorporateAddresses"/>
    <w:basedOn w:val="ACMACorporateAddressHeader"/>
    <w:qFormat/>
    <w:rsid w:val="00FC07B9"/>
    <w:pPr>
      <w:spacing w:before="0" w:after="120"/>
    </w:pPr>
    <w:rPr>
      <w:b w:val="0"/>
    </w:rPr>
  </w:style>
  <w:style w:type="paragraph" w:customStyle="1" w:styleId="ACMACopyrightHeader">
    <w:name w:val="ACMA_CopyrightHeader"/>
    <w:basedOn w:val="ACMACorporateAddressHeader"/>
    <w:qFormat/>
    <w:rsid w:val="00950159"/>
    <w:pPr>
      <w:spacing w:before="3000"/>
    </w:pPr>
  </w:style>
  <w:style w:type="paragraph" w:customStyle="1" w:styleId="ACMACClogo">
    <w:name w:val="ACMA_CClogo"/>
    <w:qFormat/>
    <w:rsid w:val="00623FF9"/>
    <w:pPr>
      <w:spacing w:before="160" w:after="120"/>
    </w:pPr>
    <w:rPr>
      <w:rFonts w:ascii="Arial" w:hAnsi="Arial"/>
      <w:b/>
      <w:sz w:val="13"/>
    </w:rPr>
  </w:style>
  <w:style w:type="paragraph" w:customStyle="1" w:styleId="ListBulletLast">
    <w:name w:val="List Bullet Last"/>
    <w:basedOn w:val="ListBullet"/>
    <w:qFormat/>
    <w:rsid w:val="00146CE6"/>
    <w:pPr>
      <w:spacing w:after="240"/>
    </w:pPr>
    <w:rPr>
      <w:rFonts w:cs="Arial"/>
    </w:rPr>
  </w:style>
  <w:style w:type="paragraph" w:customStyle="1" w:styleId="ListNumberLast">
    <w:name w:val="List Number Last"/>
    <w:basedOn w:val="ListNumber"/>
    <w:qFormat/>
    <w:rsid w:val="00C16198"/>
    <w:pPr>
      <w:spacing w:after="240"/>
      <w:ind w:left="357" w:hanging="357"/>
    </w:pPr>
    <w:rPr>
      <w:rFonts w:cs="Arial"/>
    </w:rPr>
  </w:style>
  <w:style w:type="paragraph" w:customStyle="1" w:styleId="ACMATableHeader">
    <w:name w:val="ACMA_TableHeader"/>
    <w:qFormat/>
    <w:rsid w:val="003F10EE"/>
    <w:pPr>
      <w:numPr>
        <w:numId w:val="7"/>
      </w:numPr>
      <w:spacing w:after="160"/>
    </w:pPr>
    <w:rPr>
      <w:rFonts w:ascii="Arial" w:hAnsi="Arial"/>
      <w:b/>
      <w:bCs/>
      <w:color w:val="323232"/>
      <w:sz w:val="20"/>
      <w:szCs w:val="20"/>
    </w:rPr>
  </w:style>
  <w:style w:type="paragraph" w:customStyle="1" w:styleId="ACMANotes">
    <w:name w:val="ACMA_Notes"/>
    <w:qFormat/>
    <w:rsid w:val="00FF206E"/>
    <w:pPr>
      <w:spacing w:before="80"/>
    </w:pPr>
    <w:rPr>
      <w:rFonts w:ascii="Arial" w:hAnsi="Arial" w:cs="Arial"/>
      <w:i/>
      <w:sz w:val="16"/>
    </w:rPr>
  </w:style>
  <w:style w:type="paragraph" w:customStyle="1" w:styleId="ACMANormalTabbed">
    <w:name w:val="ACMA_NormalTabbed"/>
    <w:basedOn w:val="Normal"/>
    <w:qFormat/>
    <w:rsid w:val="005E7226"/>
    <w:pPr>
      <w:tabs>
        <w:tab w:val="left" w:pos="1134"/>
      </w:tabs>
    </w:pPr>
  </w:style>
  <w:style w:type="character" w:styleId="Emphasis">
    <w:name w:val="Emphasis"/>
    <w:basedOn w:val="DefaultParagraphFont"/>
    <w:qFormat/>
    <w:rsid w:val="006D576C"/>
    <w:rPr>
      <w:i/>
      <w:iCs/>
    </w:rPr>
  </w:style>
  <w:style w:type="paragraph" w:customStyle="1" w:styleId="ListNumber2Last">
    <w:name w:val="List Number 2 Last"/>
    <w:basedOn w:val="ListNumber2"/>
    <w:qFormat/>
    <w:rsid w:val="00E35707"/>
    <w:pPr>
      <w:spacing w:after="240"/>
      <w:ind w:left="907"/>
    </w:pPr>
    <w:rPr>
      <w:rFonts w:cs="Arial"/>
    </w:rPr>
  </w:style>
  <w:style w:type="paragraph" w:customStyle="1" w:styleId="ACMASpaceaftertable">
    <w:name w:val="ACMA_Space after table"/>
    <w:basedOn w:val="Normal"/>
    <w:qFormat/>
    <w:rsid w:val="00C2083D"/>
    <w:rPr>
      <w:rFonts w:cs="Arial"/>
    </w:rPr>
  </w:style>
  <w:style w:type="paragraph" w:customStyle="1" w:styleId="FooterLeft">
    <w:name w:val="Footer Left"/>
    <w:basedOn w:val="Footer"/>
    <w:qFormat/>
    <w:rsid w:val="00950159"/>
    <w:pPr>
      <w:framePr w:w="1440" w:h="357" w:hRule="exact" w:vSpace="425" w:wrap="around" w:vAnchor="page" w:hAnchor="page" w:x="935" w:y="15871"/>
      <w:pBdr>
        <w:top w:val="single" w:sz="4" w:space="1" w:color="auto"/>
      </w:pBdr>
    </w:pPr>
    <w:rPr>
      <w:rFonts w:cs="Arial"/>
    </w:rPr>
  </w:style>
  <w:style w:type="paragraph" w:customStyle="1" w:styleId="ACMAFigureHeader">
    <w:name w:val="ACMA_FigureHeader"/>
    <w:qFormat/>
    <w:rsid w:val="003F10EE"/>
    <w:pPr>
      <w:numPr>
        <w:numId w:val="6"/>
      </w:numPr>
      <w:spacing w:after="160"/>
    </w:pPr>
    <w:rPr>
      <w:rFonts w:ascii="Arial" w:hAnsi="Arial"/>
      <w:b/>
      <w:bCs/>
      <w:color w:val="323232"/>
      <w:sz w:val="20"/>
      <w:szCs w:val="20"/>
    </w:rPr>
  </w:style>
  <w:style w:type="paragraph" w:customStyle="1" w:styleId="Captionfigure">
    <w:name w:val="Caption figure"/>
    <w:basedOn w:val="Caption"/>
    <w:qFormat/>
    <w:rsid w:val="00E8152A"/>
    <w:pPr>
      <w:keepNext/>
      <w:numPr>
        <w:numId w:val="8"/>
      </w:numPr>
    </w:pPr>
    <w:rPr>
      <w:rFonts w:cs="Arial"/>
    </w:rPr>
  </w:style>
  <w:style w:type="paragraph" w:customStyle="1" w:styleId="GridTable31">
    <w:name w:val="Grid Table 31"/>
    <w:basedOn w:val="Normal"/>
    <w:qFormat/>
    <w:rsid w:val="00971914"/>
    <w:pPr>
      <w:spacing w:after="0" w:line="240" w:lineRule="auto"/>
    </w:pPr>
    <w:rPr>
      <w:b/>
      <w:color w:val="4D4D4F"/>
      <w:spacing w:val="-28"/>
      <w:sz w:val="53"/>
    </w:rPr>
  </w:style>
  <w:style w:type="character" w:customStyle="1" w:styleId="HeaderChar">
    <w:name w:val="Header Char"/>
    <w:link w:val="Header"/>
    <w:semiHidden/>
    <w:rsid w:val="00971914"/>
    <w:rPr>
      <w:rFonts w:ascii="Arial" w:hAnsi="Arial"/>
      <w:sz w:val="16"/>
    </w:rPr>
  </w:style>
  <w:style w:type="character" w:customStyle="1" w:styleId="Heading2Char">
    <w:name w:val="Heading 2 Char"/>
    <w:basedOn w:val="DefaultParagraphFont"/>
    <w:link w:val="Heading2"/>
    <w:rsid w:val="00C944ED"/>
    <w:rPr>
      <w:rFonts w:ascii="Arial" w:hAnsi="Arial" w:cs="Arial"/>
      <w:b/>
      <w:bCs/>
      <w:iCs/>
      <w:sz w:val="28"/>
      <w:szCs w:val="28"/>
    </w:rPr>
  </w:style>
  <w:style w:type="character" w:customStyle="1" w:styleId="Heading3Char">
    <w:name w:val="Heading 3 Char"/>
    <w:basedOn w:val="DefaultParagraphFont"/>
    <w:link w:val="Heading3"/>
    <w:rsid w:val="00C944ED"/>
    <w:rPr>
      <w:rFonts w:ascii="Arial" w:hAnsi="Arial" w:cs="Arial"/>
      <w:b/>
      <w:bCs/>
      <w:sz w:val="20"/>
      <w:szCs w:val="26"/>
    </w:rPr>
  </w:style>
  <w:style w:type="paragraph" w:customStyle="1" w:styleId="Bodysubheader0">
    <w:name w:val="Body sub header"/>
    <w:basedOn w:val="Normal"/>
    <w:next w:val="Normal"/>
    <w:rsid w:val="005D7BB8"/>
    <w:pPr>
      <w:spacing w:after="0"/>
    </w:pPr>
    <w:rPr>
      <w:b/>
      <w:i/>
    </w:rPr>
  </w:style>
  <w:style w:type="paragraph" w:customStyle="1" w:styleId="Default">
    <w:name w:val="Default"/>
    <w:rsid w:val="002D35A8"/>
    <w:pPr>
      <w:autoSpaceDE w:val="0"/>
      <w:autoSpaceDN w:val="0"/>
      <w:adjustRightInd w:val="0"/>
    </w:pPr>
    <w:rPr>
      <w:rFonts w:ascii="Calibri" w:hAnsi="Calibri" w:cs="Calibri"/>
      <w:color w:val="000000"/>
    </w:rPr>
  </w:style>
  <w:style w:type="paragraph" w:styleId="BodyText">
    <w:name w:val="Body Text"/>
    <w:basedOn w:val="Normal"/>
    <w:link w:val="BodyTextChar1"/>
    <w:autoRedefine/>
    <w:qFormat/>
    <w:rsid w:val="00DC7FCF"/>
    <w:pPr>
      <w:spacing w:before="120" w:line="320" w:lineRule="exact"/>
      <w:jc w:val="both"/>
    </w:pPr>
    <w:rPr>
      <w:rFonts w:ascii="Verdana" w:eastAsia="'宋体" w:hAnsi="Verdana" w:cs="Arial"/>
      <w:sz w:val="22"/>
      <w:szCs w:val="22"/>
    </w:rPr>
  </w:style>
  <w:style w:type="character" w:customStyle="1" w:styleId="BodyTextChar">
    <w:name w:val="Body Text Char"/>
    <w:basedOn w:val="DefaultParagraphFont"/>
    <w:semiHidden/>
    <w:rsid w:val="00DC7FCF"/>
    <w:rPr>
      <w:rFonts w:ascii="Arial" w:hAnsi="Arial"/>
      <w:sz w:val="20"/>
    </w:rPr>
  </w:style>
  <w:style w:type="character" w:customStyle="1" w:styleId="BodyTextChar1">
    <w:name w:val="Body Text Char1"/>
    <w:basedOn w:val="DefaultParagraphFont"/>
    <w:link w:val="BodyText"/>
    <w:rsid w:val="00DC7FCF"/>
    <w:rPr>
      <w:rFonts w:ascii="Verdana" w:eastAsia="'宋体" w:hAnsi="Verdana" w:cs="Arial"/>
      <w:sz w:val="22"/>
      <w:szCs w:val="22"/>
    </w:rPr>
  </w:style>
  <w:style w:type="character" w:customStyle="1" w:styleId="FootnoteTextChar">
    <w:name w:val="Footnote Text Char"/>
    <w:aliases w:val="ACMA Footnote Text Char,footnote text Char,Footnote Text Char1 Char,Footnote Text Char Char Char,Footnote Text Char1 Char Char Char,Footnote Text Char Char Char Char Char,Footnote Text Char1 Char Char Char Char Char,f Char,fn Char"/>
    <w:basedOn w:val="DefaultParagraphFont"/>
    <w:link w:val="FootnoteText"/>
    <w:rsid w:val="00465F1A"/>
    <w:rPr>
      <w:rFonts w:ascii="Arial" w:hAnsi="Arial"/>
      <w:sz w:val="16"/>
      <w:szCs w:val="16"/>
    </w:rPr>
  </w:style>
  <w:style w:type="paragraph" w:styleId="ListParagraph">
    <w:name w:val="List Paragraph"/>
    <w:basedOn w:val="Normal"/>
    <w:link w:val="ListParagraphChar"/>
    <w:uiPriority w:val="34"/>
    <w:qFormat/>
    <w:rsid w:val="00AA13C9"/>
    <w:pPr>
      <w:ind w:left="720"/>
      <w:contextualSpacing/>
    </w:pPr>
  </w:style>
  <w:style w:type="paragraph" w:styleId="NormalWeb">
    <w:name w:val="Normal (Web)"/>
    <w:basedOn w:val="Normal"/>
    <w:uiPriority w:val="99"/>
    <w:semiHidden/>
    <w:unhideWhenUsed/>
    <w:rsid w:val="00101F81"/>
    <w:pPr>
      <w:spacing w:line="240" w:lineRule="auto"/>
    </w:pPr>
    <w:rPr>
      <w:rFonts w:ascii="Times New Roman" w:hAnsi="Times New Roman"/>
      <w:sz w:val="24"/>
    </w:rPr>
  </w:style>
  <w:style w:type="paragraph" w:styleId="Revision">
    <w:name w:val="Revision"/>
    <w:hidden/>
    <w:semiHidden/>
    <w:rsid w:val="00903728"/>
    <w:rPr>
      <w:rFonts w:ascii="Arial" w:hAnsi="Arial"/>
      <w:sz w:val="20"/>
    </w:rPr>
  </w:style>
  <w:style w:type="character" w:customStyle="1" w:styleId="ListParagraphChar">
    <w:name w:val="List Paragraph Char"/>
    <w:basedOn w:val="DefaultParagraphFont"/>
    <w:link w:val="ListParagraph"/>
    <w:uiPriority w:val="34"/>
    <w:rsid w:val="005B0224"/>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932159">
      <w:bodyDiv w:val="1"/>
      <w:marLeft w:val="0"/>
      <w:marRight w:val="0"/>
      <w:marTop w:val="0"/>
      <w:marBottom w:val="0"/>
      <w:divBdr>
        <w:top w:val="none" w:sz="0" w:space="0" w:color="auto"/>
        <w:left w:val="none" w:sz="0" w:space="0" w:color="auto"/>
        <w:bottom w:val="none" w:sz="0" w:space="0" w:color="auto"/>
        <w:right w:val="none" w:sz="0" w:space="0" w:color="auto"/>
      </w:divBdr>
    </w:div>
    <w:div w:id="249044959">
      <w:bodyDiv w:val="1"/>
      <w:marLeft w:val="0"/>
      <w:marRight w:val="0"/>
      <w:marTop w:val="0"/>
      <w:marBottom w:val="0"/>
      <w:divBdr>
        <w:top w:val="none" w:sz="0" w:space="0" w:color="auto"/>
        <w:left w:val="none" w:sz="0" w:space="0" w:color="auto"/>
        <w:bottom w:val="none" w:sz="0" w:space="0" w:color="auto"/>
        <w:right w:val="none" w:sz="0" w:space="0" w:color="auto"/>
      </w:divBdr>
    </w:div>
    <w:div w:id="352416141">
      <w:bodyDiv w:val="1"/>
      <w:marLeft w:val="0"/>
      <w:marRight w:val="0"/>
      <w:marTop w:val="0"/>
      <w:marBottom w:val="0"/>
      <w:divBdr>
        <w:top w:val="none" w:sz="0" w:space="0" w:color="auto"/>
        <w:left w:val="none" w:sz="0" w:space="0" w:color="auto"/>
        <w:bottom w:val="none" w:sz="0" w:space="0" w:color="auto"/>
        <w:right w:val="none" w:sz="0" w:space="0" w:color="auto"/>
      </w:divBdr>
    </w:div>
    <w:div w:id="355355284">
      <w:bodyDiv w:val="1"/>
      <w:marLeft w:val="0"/>
      <w:marRight w:val="0"/>
      <w:marTop w:val="0"/>
      <w:marBottom w:val="0"/>
      <w:divBdr>
        <w:top w:val="none" w:sz="0" w:space="0" w:color="auto"/>
        <w:left w:val="none" w:sz="0" w:space="0" w:color="auto"/>
        <w:bottom w:val="none" w:sz="0" w:space="0" w:color="auto"/>
        <w:right w:val="none" w:sz="0" w:space="0" w:color="auto"/>
      </w:divBdr>
      <w:divsChild>
        <w:div w:id="682391648">
          <w:marLeft w:val="0"/>
          <w:marRight w:val="0"/>
          <w:marTop w:val="0"/>
          <w:marBottom w:val="0"/>
          <w:divBdr>
            <w:top w:val="none" w:sz="0" w:space="0" w:color="auto"/>
            <w:left w:val="none" w:sz="0" w:space="0" w:color="auto"/>
            <w:bottom w:val="none" w:sz="0" w:space="0" w:color="auto"/>
            <w:right w:val="none" w:sz="0" w:space="0" w:color="auto"/>
          </w:divBdr>
          <w:divsChild>
            <w:div w:id="816530441">
              <w:marLeft w:val="0"/>
              <w:marRight w:val="0"/>
              <w:marTop w:val="0"/>
              <w:marBottom w:val="0"/>
              <w:divBdr>
                <w:top w:val="none" w:sz="0" w:space="0" w:color="auto"/>
                <w:left w:val="none" w:sz="0" w:space="0" w:color="auto"/>
                <w:bottom w:val="none" w:sz="0" w:space="0" w:color="auto"/>
                <w:right w:val="none" w:sz="0" w:space="0" w:color="auto"/>
              </w:divBdr>
              <w:divsChild>
                <w:div w:id="1206673386">
                  <w:marLeft w:val="0"/>
                  <w:marRight w:val="0"/>
                  <w:marTop w:val="0"/>
                  <w:marBottom w:val="0"/>
                  <w:divBdr>
                    <w:top w:val="none" w:sz="0" w:space="0" w:color="auto"/>
                    <w:left w:val="none" w:sz="0" w:space="0" w:color="auto"/>
                    <w:bottom w:val="none" w:sz="0" w:space="0" w:color="auto"/>
                    <w:right w:val="none" w:sz="0" w:space="0" w:color="auto"/>
                  </w:divBdr>
                  <w:divsChild>
                    <w:div w:id="1121341934">
                      <w:marLeft w:val="0"/>
                      <w:marRight w:val="0"/>
                      <w:marTop w:val="0"/>
                      <w:marBottom w:val="0"/>
                      <w:divBdr>
                        <w:top w:val="none" w:sz="0" w:space="0" w:color="auto"/>
                        <w:left w:val="none" w:sz="0" w:space="0" w:color="auto"/>
                        <w:bottom w:val="none" w:sz="0" w:space="0" w:color="auto"/>
                        <w:right w:val="none" w:sz="0" w:space="0" w:color="auto"/>
                      </w:divBdr>
                      <w:divsChild>
                        <w:div w:id="1165245012">
                          <w:marLeft w:val="0"/>
                          <w:marRight w:val="120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3422568">
      <w:bodyDiv w:val="1"/>
      <w:marLeft w:val="0"/>
      <w:marRight w:val="0"/>
      <w:marTop w:val="0"/>
      <w:marBottom w:val="0"/>
      <w:divBdr>
        <w:top w:val="none" w:sz="0" w:space="0" w:color="auto"/>
        <w:left w:val="none" w:sz="0" w:space="0" w:color="auto"/>
        <w:bottom w:val="none" w:sz="0" w:space="0" w:color="auto"/>
        <w:right w:val="none" w:sz="0" w:space="0" w:color="auto"/>
      </w:divBdr>
    </w:div>
    <w:div w:id="569311695">
      <w:bodyDiv w:val="1"/>
      <w:marLeft w:val="0"/>
      <w:marRight w:val="0"/>
      <w:marTop w:val="0"/>
      <w:marBottom w:val="0"/>
      <w:divBdr>
        <w:top w:val="none" w:sz="0" w:space="0" w:color="auto"/>
        <w:left w:val="none" w:sz="0" w:space="0" w:color="auto"/>
        <w:bottom w:val="none" w:sz="0" w:space="0" w:color="auto"/>
        <w:right w:val="none" w:sz="0" w:space="0" w:color="auto"/>
      </w:divBdr>
    </w:div>
    <w:div w:id="642320153">
      <w:bodyDiv w:val="1"/>
      <w:marLeft w:val="0"/>
      <w:marRight w:val="0"/>
      <w:marTop w:val="0"/>
      <w:marBottom w:val="0"/>
      <w:divBdr>
        <w:top w:val="none" w:sz="0" w:space="0" w:color="auto"/>
        <w:left w:val="none" w:sz="0" w:space="0" w:color="auto"/>
        <w:bottom w:val="none" w:sz="0" w:space="0" w:color="auto"/>
        <w:right w:val="none" w:sz="0" w:space="0" w:color="auto"/>
      </w:divBdr>
    </w:div>
    <w:div w:id="709840188">
      <w:bodyDiv w:val="1"/>
      <w:marLeft w:val="0"/>
      <w:marRight w:val="0"/>
      <w:marTop w:val="0"/>
      <w:marBottom w:val="0"/>
      <w:divBdr>
        <w:top w:val="none" w:sz="0" w:space="0" w:color="auto"/>
        <w:left w:val="none" w:sz="0" w:space="0" w:color="auto"/>
        <w:bottom w:val="none" w:sz="0" w:space="0" w:color="auto"/>
        <w:right w:val="none" w:sz="0" w:space="0" w:color="auto"/>
      </w:divBdr>
    </w:div>
    <w:div w:id="921524977">
      <w:bodyDiv w:val="1"/>
      <w:marLeft w:val="0"/>
      <w:marRight w:val="0"/>
      <w:marTop w:val="0"/>
      <w:marBottom w:val="0"/>
      <w:divBdr>
        <w:top w:val="none" w:sz="0" w:space="0" w:color="auto"/>
        <w:left w:val="none" w:sz="0" w:space="0" w:color="auto"/>
        <w:bottom w:val="none" w:sz="0" w:space="0" w:color="auto"/>
        <w:right w:val="none" w:sz="0" w:space="0" w:color="auto"/>
      </w:divBdr>
    </w:div>
    <w:div w:id="1289508083">
      <w:bodyDiv w:val="1"/>
      <w:marLeft w:val="0"/>
      <w:marRight w:val="0"/>
      <w:marTop w:val="0"/>
      <w:marBottom w:val="0"/>
      <w:divBdr>
        <w:top w:val="none" w:sz="0" w:space="0" w:color="auto"/>
        <w:left w:val="none" w:sz="0" w:space="0" w:color="auto"/>
        <w:bottom w:val="none" w:sz="0" w:space="0" w:color="auto"/>
        <w:right w:val="none" w:sz="0" w:space="0" w:color="auto"/>
      </w:divBdr>
    </w:div>
    <w:div w:id="1324043811">
      <w:bodyDiv w:val="1"/>
      <w:marLeft w:val="0"/>
      <w:marRight w:val="0"/>
      <w:marTop w:val="0"/>
      <w:marBottom w:val="0"/>
      <w:divBdr>
        <w:top w:val="none" w:sz="0" w:space="0" w:color="auto"/>
        <w:left w:val="none" w:sz="0" w:space="0" w:color="auto"/>
        <w:bottom w:val="none" w:sz="0" w:space="0" w:color="auto"/>
        <w:right w:val="none" w:sz="0" w:space="0" w:color="auto"/>
      </w:divBdr>
    </w:div>
    <w:div w:id="1333409759">
      <w:bodyDiv w:val="1"/>
      <w:marLeft w:val="0"/>
      <w:marRight w:val="0"/>
      <w:marTop w:val="0"/>
      <w:marBottom w:val="0"/>
      <w:divBdr>
        <w:top w:val="none" w:sz="0" w:space="0" w:color="auto"/>
        <w:left w:val="none" w:sz="0" w:space="0" w:color="auto"/>
        <w:bottom w:val="none" w:sz="0" w:space="0" w:color="auto"/>
        <w:right w:val="none" w:sz="0" w:space="0" w:color="auto"/>
      </w:divBdr>
    </w:div>
    <w:div w:id="1388528073">
      <w:bodyDiv w:val="1"/>
      <w:marLeft w:val="0"/>
      <w:marRight w:val="0"/>
      <w:marTop w:val="0"/>
      <w:marBottom w:val="0"/>
      <w:divBdr>
        <w:top w:val="none" w:sz="0" w:space="0" w:color="auto"/>
        <w:left w:val="none" w:sz="0" w:space="0" w:color="auto"/>
        <w:bottom w:val="none" w:sz="0" w:space="0" w:color="auto"/>
        <w:right w:val="none" w:sz="0" w:space="0" w:color="auto"/>
      </w:divBdr>
    </w:div>
    <w:div w:id="1438334093">
      <w:bodyDiv w:val="1"/>
      <w:marLeft w:val="0"/>
      <w:marRight w:val="0"/>
      <w:marTop w:val="0"/>
      <w:marBottom w:val="0"/>
      <w:divBdr>
        <w:top w:val="none" w:sz="0" w:space="0" w:color="auto"/>
        <w:left w:val="none" w:sz="0" w:space="0" w:color="auto"/>
        <w:bottom w:val="none" w:sz="0" w:space="0" w:color="auto"/>
        <w:right w:val="none" w:sz="0" w:space="0" w:color="auto"/>
      </w:divBdr>
    </w:div>
    <w:div w:id="1487865121">
      <w:bodyDiv w:val="1"/>
      <w:marLeft w:val="0"/>
      <w:marRight w:val="0"/>
      <w:marTop w:val="0"/>
      <w:marBottom w:val="0"/>
      <w:divBdr>
        <w:top w:val="none" w:sz="0" w:space="0" w:color="auto"/>
        <w:left w:val="none" w:sz="0" w:space="0" w:color="auto"/>
        <w:bottom w:val="none" w:sz="0" w:space="0" w:color="auto"/>
        <w:right w:val="none" w:sz="0" w:space="0" w:color="auto"/>
      </w:divBdr>
    </w:div>
    <w:div w:id="1509558910">
      <w:bodyDiv w:val="1"/>
      <w:marLeft w:val="0"/>
      <w:marRight w:val="0"/>
      <w:marTop w:val="0"/>
      <w:marBottom w:val="0"/>
      <w:divBdr>
        <w:top w:val="none" w:sz="0" w:space="0" w:color="auto"/>
        <w:left w:val="none" w:sz="0" w:space="0" w:color="auto"/>
        <w:bottom w:val="none" w:sz="0" w:space="0" w:color="auto"/>
        <w:right w:val="none" w:sz="0" w:space="0" w:color="auto"/>
      </w:divBdr>
    </w:div>
    <w:div w:id="1640762717">
      <w:bodyDiv w:val="1"/>
      <w:marLeft w:val="0"/>
      <w:marRight w:val="0"/>
      <w:marTop w:val="0"/>
      <w:marBottom w:val="0"/>
      <w:divBdr>
        <w:top w:val="none" w:sz="0" w:space="0" w:color="auto"/>
        <w:left w:val="none" w:sz="0" w:space="0" w:color="auto"/>
        <w:bottom w:val="none" w:sz="0" w:space="0" w:color="auto"/>
        <w:right w:val="none" w:sz="0" w:space="0" w:color="auto"/>
      </w:divBdr>
    </w:div>
    <w:div w:id="1722896157">
      <w:bodyDiv w:val="1"/>
      <w:marLeft w:val="0"/>
      <w:marRight w:val="0"/>
      <w:marTop w:val="0"/>
      <w:marBottom w:val="0"/>
      <w:divBdr>
        <w:top w:val="none" w:sz="0" w:space="0" w:color="auto"/>
        <w:left w:val="none" w:sz="0" w:space="0" w:color="auto"/>
        <w:bottom w:val="none" w:sz="0" w:space="0" w:color="auto"/>
        <w:right w:val="none" w:sz="0" w:space="0" w:color="auto"/>
      </w:divBdr>
    </w:div>
    <w:div w:id="1854957463">
      <w:bodyDiv w:val="1"/>
      <w:marLeft w:val="0"/>
      <w:marRight w:val="0"/>
      <w:marTop w:val="0"/>
      <w:marBottom w:val="0"/>
      <w:divBdr>
        <w:top w:val="none" w:sz="0" w:space="0" w:color="auto"/>
        <w:left w:val="none" w:sz="0" w:space="0" w:color="auto"/>
        <w:bottom w:val="none" w:sz="0" w:space="0" w:color="auto"/>
        <w:right w:val="none" w:sz="0" w:space="0" w:color="auto"/>
      </w:divBdr>
    </w:div>
    <w:div w:id="2138061323">
      <w:bodyDiv w:val="1"/>
      <w:marLeft w:val="0"/>
      <w:marRight w:val="0"/>
      <w:marTop w:val="0"/>
      <w:marBottom w:val="0"/>
      <w:divBdr>
        <w:top w:val="none" w:sz="0" w:space="0" w:color="auto"/>
        <w:left w:val="none" w:sz="0" w:space="0" w:color="auto"/>
        <w:bottom w:val="none" w:sz="0" w:space="0" w:color="auto"/>
        <w:right w:val="none" w:sz="0" w:space="0" w:color="auto"/>
      </w:divBdr>
    </w:div>
    <w:div w:id="2143499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3.png"/><Relationship Id="rId26" Type="http://schemas.openxmlformats.org/officeDocument/2006/relationships/header" Target="header7.xml"/><Relationship Id="rId39" Type="http://schemas.openxmlformats.org/officeDocument/2006/relationships/header" Target="header9.xml"/><Relationship Id="rId3" Type="http://schemas.openxmlformats.org/officeDocument/2006/relationships/customXml" Target="../customXml/item3.xml"/><Relationship Id="rId21" Type="http://schemas.openxmlformats.org/officeDocument/2006/relationships/header" Target="header4.xml"/><Relationship Id="rId34" Type="http://schemas.openxmlformats.org/officeDocument/2006/relationships/hyperlink" Target="http://auction.acma.gov.au/auction_results/3.4ghz_results_page/34_pdf/aip_pdf/re-allocation.pdf" TargetMode="Externa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i.creativecommons.org/l/by/3.0/88x31.png" TargetMode="External"/><Relationship Id="rId25" Type="http://schemas.openxmlformats.org/officeDocument/2006/relationships/header" Target="header6.xml"/><Relationship Id="rId33" Type="http://schemas.openxmlformats.org/officeDocument/2006/relationships/hyperlink" Target="http://www.acma.gov.au/~/media/Spectrum%20Engineering/Information/Word%20Document/RALI%20MS39%20final%20docx.docx" TargetMode="External"/><Relationship Id="rId38"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mailto:candinfo@acma.gov.au" TargetMode="External"/><Relationship Id="rId29" Type="http://schemas.openxmlformats.org/officeDocument/2006/relationships/footer" Target="footer8.xml"/><Relationship Id="rId41"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5.xml"/><Relationship Id="rId32" Type="http://schemas.openxmlformats.org/officeDocument/2006/relationships/hyperlink" Target="http://www.acma.gov.au/~/media/Spectrum%20Transformation%20and%20Government/Issue%20for%20comment/IFC%2022%202015/MBB%20strategyThe%20ACMAs%20spectrum%20management%20strategy%20to%20address%20the%20growth%20in%20mobile%20broadband%20capacity%20docx.docx" TargetMode="External"/><Relationship Id="rId37" Type="http://schemas.openxmlformats.org/officeDocument/2006/relationships/hyperlink" Target="mailto:scottfarm6549@gmail.com" TargetMode="External"/><Relationship Id="rId40" Type="http://schemas.openxmlformats.org/officeDocument/2006/relationships/footer" Target="footer9.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4.xml"/><Relationship Id="rId28" Type="http://schemas.openxmlformats.org/officeDocument/2006/relationships/footer" Target="footer7.xml"/><Relationship Id="rId36" Type="http://schemas.openxmlformats.org/officeDocument/2006/relationships/hyperlink" Target="http://www.acma.gov.au/theACMA/making-the-most-of-the-3dot5-ghz-band-in-future" TargetMode="External"/><Relationship Id="rId10" Type="http://schemas.openxmlformats.org/officeDocument/2006/relationships/endnotes" Target="endnotes.xml"/><Relationship Id="rId19" Type="http://schemas.openxmlformats.org/officeDocument/2006/relationships/hyperlink" Target="http://creativecommons.org/licenses/by/3.0/au/" TargetMode="External"/><Relationship Id="rId31" Type="http://schemas.openxmlformats.org/officeDocument/2006/relationships/hyperlink" Target="http://www.acma.gov.au/~/media/Spectrum%20Transformation%20and%20Government/Issue%20for%20comment/IFC%2022%202015/MBB%20strategyThe%20ACMAs%20spectrum%20management%20strategy%20to%20address%20the%20growth%20in%20mobile%20broadband%20capacity%20docx.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5.xml"/><Relationship Id="rId27" Type="http://schemas.openxmlformats.org/officeDocument/2006/relationships/footer" Target="footer6.xml"/><Relationship Id="rId30" Type="http://schemas.openxmlformats.org/officeDocument/2006/relationships/hyperlink" Target="http://www.acma.gov.au/sitecore/content/Home/theACMA/future-use-of-the-1_5-ghz-and-3_6-ghz-bands" TargetMode="External"/><Relationship Id="rId35" Type="http://schemas.openxmlformats.org/officeDocument/2006/relationships/hyperlink" Target="https://www.legislation.gov.au/Details/F2014L01399" TargetMode="External"/><Relationship Id="rId43"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1" Type="http://schemas.openxmlformats.org/officeDocument/2006/relationships/hyperlink" Target="https://www.fcc.gov/rulemaking/12-35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0208D3386B714F868445C21D19A09D" ma:contentTypeVersion="13" ma:contentTypeDescription="Create a new document." ma:contentTypeScope="" ma:versionID="0177a2d1a84547a15dabbbd22cb5ad0b">
  <xsd:schema xmlns:xsd="http://www.w3.org/2001/XMLSchema" xmlns:xs="http://www.w3.org/2001/XMLSchema" xmlns:p="http://schemas.microsoft.com/office/2006/metadata/properties" xmlns:ns3="f46e3ec0-68a7-4224-820d-95137d47d6b5" xmlns:ns4="4eb9cabd-8d5a-42b9-b1ef-e48dbcba3a05" targetNamespace="http://schemas.microsoft.com/office/2006/metadata/properties" ma:root="true" ma:fieldsID="ebe610df55ab1148d0d0c19cbb3a5067" ns3:_="" ns4:_="">
    <xsd:import namespace="f46e3ec0-68a7-4224-820d-95137d47d6b5"/>
    <xsd:import namespace="4eb9cabd-8d5a-42b9-b1ef-e48dbcba3a0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Loca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6e3ec0-68a7-4224-820d-95137d47d6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b9cabd-8d5a-42b9-b1ef-e48dbcba3a0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F46F38-AA98-4ADC-99B1-BB522013B0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6e3ec0-68a7-4224-820d-95137d47d6b5"/>
    <ds:schemaRef ds:uri="4eb9cabd-8d5a-42b9-b1ef-e48dbcba3a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FBB484-DFB0-4139-AA47-5367C5690774}">
  <ds:schemaRefs>
    <ds:schemaRef ds:uri="http://schemas.microsoft.com/sharepoint/v3/contenttype/forms"/>
  </ds:schemaRefs>
</ds:datastoreItem>
</file>

<file path=customXml/itemProps3.xml><?xml version="1.0" encoding="utf-8"?>
<ds:datastoreItem xmlns:ds="http://schemas.openxmlformats.org/officeDocument/2006/customXml" ds:itemID="{ED453FA9-B4D3-4CAC-A689-19759919071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BBFCFCF-C9D1-4A16-A687-1EA5CB6EF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7838</Words>
  <Characters>44677</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52411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2020-02-26T05:30:00Z</dcterms:created>
  <dcterms:modified xsi:type="dcterms:W3CDTF">2020-02-26T05:30:00Z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0x010100880208D3386B714F868445C21D19A09D</vt:lpwstr>
  </property>
</Properties>
</file>