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F3EB5" w14:textId="24C0C68E" w:rsidR="00F06E14" w:rsidRPr="00A51D1A" w:rsidRDefault="007858C6" w:rsidP="00A51D1A">
      <w:pPr>
        <w:pStyle w:val="ACMAReportTitle"/>
      </w:pPr>
      <w:bookmarkStart w:id="0" w:name="_GoBack"/>
      <w:bookmarkEnd w:id="0"/>
      <w:r>
        <w:t>Future use of the 1.5 GHz and 3.6 GHz bands</w:t>
      </w:r>
    </w:p>
    <w:p w14:paraId="5D355F99" w14:textId="4C49F422" w:rsidR="00F06E14" w:rsidRDefault="007858C6" w:rsidP="00F06E14">
      <w:pPr>
        <w:pStyle w:val="ACMAReportSubTitle"/>
      </w:pPr>
      <w:r>
        <w:t>Initial investigation of the 1427</w:t>
      </w:r>
      <w:r w:rsidR="00F95C2B">
        <w:t>–</w:t>
      </w:r>
      <w:r>
        <w:t>1518</w:t>
      </w:r>
      <w:r w:rsidR="00F95C2B">
        <w:t> </w:t>
      </w:r>
      <w:r>
        <w:t>MHz and 3575</w:t>
      </w:r>
      <w:r w:rsidR="00F95C2B">
        <w:t>–</w:t>
      </w:r>
      <w:r>
        <w:t>3700 MHz bands for mobile broadband services</w:t>
      </w:r>
      <w:r w:rsidRPr="006D46E5">
        <w:t xml:space="preserve"> </w:t>
      </w:r>
      <w:r w:rsidR="00402338">
        <w:t>discussion paper</w:t>
      </w:r>
    </w:p>
    <w:p w14:paraId="63A1531C" w14:textId="49B50201" w:rsidR="00F06E14" w:rsidRDefault="007858C6" w:rsidP="00D47AEB">
      <w:pPr>
        <w:pStyle w:val="ACMAReportDate"/>
        <w:spacing w:after="720"/>
      </w:pPr>
      <w:r>
        <w:t>OCTOBER 2016</w:t>
      </w:r>
    </w:p>
    <w:p w14:paraId="52431107" w14:textId="77777777" w:rsidR="00C97736" w:rsidRPr="000D76E0" w:rsidRDefault="00C97736" w:rsidP="0041071D">
      <w:pPr>
        <w:rPr>
          <w:rFonts w:cs="Arial"/>
        </w:rPr>
      </w:pPr>
    </w:p>
    <w:p w14:paraId="71F10B23" w14:textId="77777777" w:rsidR="00C97736" w:rsidRPr="000D76E0" w:rsidRDefault="00C97736" w:rsidP="0041071D">
      <w:pPr>
        <w:rPr>
          <w:rFonts w:cs="Arial"/>
        </w:rPr>
        <w:sectPr w:rsidR="00C97736" w:rsidRPr="000D76E0" w:rsidSect="004F556E">
          <w:headerReference w:type="even" r:id="rId11"/>
          <w:headerReference w:type="default" r:id="rId12"/>
          <w:footerReference w:type="even" r:id="rId13"/>
          <w:footerReference w:type="default" r:id="rId14"/>
          <w:headerReference w:type="first" r:id="rId15"/>
          <w:footerReference w:type="first" r:id="rId16"/>
          <w:pgSz w:w="11906" w:h="16838" w:code="9"/>
          <w:pgMar w:top="3924" w:right="1797" w:bottom="1440" w:left="1134" w:header="709" w:footer="454" w:gutter="0"/>
          <w:cols w:space="708"/>
          <w:docGrid w:linePitch="360"/>
        </w:sectPr>
      </w:pPr>
    </w:p>
    <w:p w14:paraId="47453680" w14:textId="77777777" w:rsidR="0005011A" w:rsidRPr="00F44F3A" w:rsidRDefault="0005011A" w:rsidP="00FC07B9">
      <w:pPr>
        <w:pStyle w:val="ACMACorporateAddressHeader"/>
      </w:pPr>
      <w:r w:rsidRPr="00F44F3A">
        <w:lastRenderedPageBreak/>
        <w:t>Canberra</w:t>
      </w:r>
    </w:p>
    <w:p w14:paraId="45489ED9"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0E02B637" w14:textId="77777777" w:rsidR="0005011A" w:rsidRPr="00FC07B9" w:rsidRDefault="0005011A" w:rsidP="00FC07B9">
      <w:pPr>
        <w:pStyle w:val="ACMACorporateAddresses"/>
      </w:pPr>
      <w:r w:rsidRPr="00FC07B9">
        <w:t>PO Box 78</w:t>
      </w:r>
      <w:r w:rsidRPr="00FC07B9">
        <w:br/>
        <w:t>Belconnen ACT 2616</w:t>
      </w:r>
    </w:p>
    <w:p w14:paraId="1915051E"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56721F06" w14:textId="77777777" w:rsidR="0005011A" w:rsidRPr="00F44F3A" w:rsidRDefault="0005011A" w:rsidP="00FC07B9">
      <w:pPr>
        <w:pStyle w:val="ACMACorporateAddressHeader"/>
      </w:pPr>
      <w:r w:rsidRPr="00F44F3A">
        <w:t>Melbourne</w:t>
      </w:r>
    </w:p>
    <w:p w14:paraId="731CFBD3"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39F5B4E7"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2229E773"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3CA0DEF9" w14:textId="77777777" w:rsidR="0005011A" w:rsidRPr="00F44F3A" w:rsidRDefault="0005011A" w:rsidP="00FC07B9">
      <w:pPr>
        <w:pStyle w:val="ACMACorporateAddressHeader"/>
      </w:pPr>
      <w:r w:rsidRPr="00F44F3A">
        <w:t>Sydney</w:t>
      </w:r>
    </w:p>
    <w:p w14:paraId="0296D924"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7014F605"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6F2F03A5"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79ABBC03" w14:textId="77777777" w:rsidR="00140318" w:rsidRPr="006D46E5" w:rsidRDefault="00140318" w:rsidP="00FC07B9">
      <w:pPr>
        <w:pStyle w:val="ACMACopyrightHeader"/>
      </w:pPr>
      <w:r w:rsidRPr="00140318">
        <w:t>Copyright notice</w:t>
      </w:r>
    </w:p>
    <w:p w14:paraId="4C58AEA8" w14:textId="77777777" w:rsidR="00140318" w:rsidRPr="006D46E5" w:rsidRDefault="00623FF9" w:rsidP="00623FF9">
      <w:pPr>
        <w:pStyle w:val="ACMACClogo"/>
      </w:pPr>
      <w:r w:rsidRPr="00623FF9">
        <w:rPr>
          <w:noProof/>
        </w:rPr>
        <w:drawing>
          <wp:inline distT="0" distB="0" distL="0" distR="0" wp14:anchorId="253B644E" wp14:editId="7283BD5B">
            <wp:extent cx="838200" cy="295275"/>
            <wp:effectExtent l="0" t="0" r="0" b="0"/>
            <wp:docPr id="1" name="Picture 1" title="Creative Commons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7"/>
                    </pic:cNvPr>
                    <pic:cNvPicPr>
                      <a:picLocks noChangeAspect="1" noChangeArrowheads="1"/>
                    </pic:cNvPicPr>
                  </pic:nvPicPr>
                  <pic:blipFill>
                    <a:blip r:embed="rId18" cstate="print"/>
                    <a:srcRect/>
                    <a:stretch>
                      <a:fillRect/>
                    </a:stretch>
                  </pic:blipFill>
                  <pic:spPr bwMode="auto">
                    <a:xfrm>
                      <a:off x="0" y="0"/>
                      <a:ext cx="838200" cy="295275"/>
                    </a:xfrm>
                    <a:prstGeom prst="rect">
                      <a:avLst/>
                    </a:prstGeom>
                    <a:noFill/>
                  </pic:spPr>
                </pic:pic>
              </a:graphicData>
            </a:graphic>
          </wp:inline>
        </w:drawing>
      </w:r>
    </w:p>
    <w:p w14:paraId="01314EB5" w14:textId="77777777" w:rsidR="00140318" w:rsidRPr="00431792" w:rsidRDefault="00C23324" w:rsidP="00FC07B9">
      <w:pPr>
        <w:pStyle w:val="ACMACorporateAddresses"/>
        <w:rPr>
          <w:rStyle w:val="Hyperlink"/>
        </w:rPr>
      </w:pPr>
      <w:hyperlink r:id="rId19" w:tooltip="Creative Commons Licenses" w:history="1">
        <w:r w:rsidR="00140318" w:rsidRPr="00431792">
          <w:rPr>
            <w:rStyle w:val="Hyperlink"/>
          </w:rPr>
          <w:t>http://creativecommons.org/licenses/by/3.0/au/</w:t>
        </w:r>
      </w:hyperlink>
    </w:p>
    <w:p w14:paraId="5BA529E7"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6A456CF1" w14:textId="77777777" w:rsidR="00140318" w:rsidRPr="006D46E5" w:rsidRDefault="00C34A05" w:rsidP="00FC07B9">
      <w:pPr>
        <w:pStyle w:val="ACMACorporateAddresses"/>
      </w:pPr>
      <w:r>
        <w:t>We request attribution as</w:t>
      </w:r>
      <w:r w:rsidR="00140318" w:rsidRPr="006D46E5">
        <w:t xml:space="preserve"> © Commonwealth of Australia (Australian Communic</w:t>
      </w:r>
      <w:r w:rsidR="00B6003C">
        <w:t>ations and Media Authority) 2016</w:t>
      </w:r>
      <w:r w:rsidR="00140318" w:rsidRPr="006D46E5">
        <w:t>.</w:t>
      </w:r>
    </w:p>
    <w:p w14:paraId="04713FAF" w14:textId="77777777" w:rsidR="00140318" w:rsidRPr="006D46E5" w:rsidRDefault="00140318" w:rsidP="00FC07B9">
      <w:pPr>
        <w:pStyle w:val="ACMACorporateAddresses"/>
      </w:pPr>
      <w:r>
        <w:t>All other rights are reserved.</w:t>
      </w:r>
    </w:p>
    <w:p w14:paraId="07A4BFCB"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565E9075" w14:textId="77777777" w:rsidR="00140318" w:rsidRPr="006D46E5" w:rsidRDefault="00140318" w:rsidP="00FC07B9">
      <w:pPr>
        <w:pStyle w:val="ACMACorporateAddresses"/>
      </w:pPr>
      <w:r w:rsidRPr="006D46E5">
        <w:t>Written enquiries may be sent to:</w:t>
      </w:r>
    </w:p>
    <w:p w14:paraId="04D8BDD0"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 xml:space="preserve">Email: </w:t>
      </w:r>
      <w:hyperlink r:id="rId20" w:history="1">
        <w:r w:rsidRPr="00431792">
          <w:rPr>
            <w:rStyle w:val="Hyperlink"/>
          </w:rPr>
          <w:t>candinfo@acma.gov.au</w:t>
        </w:r>
      </w:hyperlink>
    </w:p>
    <w:p w14:paraId="09F677DB" w14:textId="77777777" w:rsidR="00D16FE3" w:rsidRDefault="00D16FE3" w:rsidP="00D16FE3">
      <w:pPr>
        <w:pStyle w:val="ACMACorporateAddresses"/>
        <w:rPr>
          <w:rStyle w:val="Hyperlink"/>
        </w:rPr>
      </w:pPr>
    </w:p>
    <w:p w14:paraId="4F60D53D" w14:textId="77777777" w:rsidR="00D16FE3" w:rsidRPr="00D16FE3" w:rsidRDefault="00D16FE3" w:rsidP="00D16FE3">
      <w:pPr>
        <w:pStyle w:val="ACMACorporateAddresses"/>
        <w:sectPr w:rsidR="00D16FE3" w:rsidRPr="00D16FE3">
          <w:headerReference w:type="even" r:id="rId21"/>
          <w:headerReference w:type="default" r:id="rId22"/>
          <w:footerReference w:type="even" r:id="rId23"/>
          <w:footerReference w:type="default" r:id="rId24"/>
          <w:pgSz w:w="11906" w:h="16838" w:code="9"/>
          <w:pgMar w:top="3924" w:right="1797" w:bottom="697" w:left="1134" w:header="709" w:footer="119" w:gutter="0"/>
          <w:cols w:space="708"/>
          <w:docGrid w:linePitch="360"/>
        </w:sectPr>
      </w:pPr>
    </w:p>
    <w:p w14:paraId="4ACEF759" w14:textId="37995F71" w:rsidR="00B546E9" w:rsidRDefault="007A6CC0">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"1-3" \t "ACMA_ExecSummaryHeading,1" </w:instrText>
      </w:r>
      <w:r>
        <w:rPr>
          <w:rFonts w:cs="Arial"/>
          <w:b w:val="0"/>
        </w:rPr>
        <w:fldChar w:fldCharType="separate"/>
      </w:r>
      <w:r w:rsidR="00B546E9">
        <w:t>Executive summary</w:t>
      </w:r>
      <w:r w:rsidR="00B546E9">
        <w:tab/>
      </w:r>
      <w:r w:rsidR="00B546E9">
        <w:fldChar w:fldCharType="begin"/>
      </w:r>
      <w:r w:rsidR="00B546E9">
        <w:instrText xml:space="preserve"> PAGEREF _Toc464480494 \h </w:instrText>
      </w:r>
      <w:r w:rsidR="00B546E9">
        <w:fldChar w:fldCharType="separate"/>
      </w:r>
      <w:r w:rsidR="00FA0A5F">
        <w:t>6</w:t>
      </w:r>
      <w:r w:rsidR="00B546E9">
        <w:fldChar w:fldCharType="end"/>
      </w:r>
    </w:p>
    <w:p w14:paraId="00F3EEC6" w14:textId="2198DA06" w:rsidR="00B546E9" w:rsidRDefault="00B546E9">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_Toc464480495 \h </w:instrText>
      </w:r>
      <w:r>
        <w:fldChar w:fldCharType="separate"/>
      </w:r>
      <w:r w:rsidR="00FA0A5F">
        <w:t>7</w:t>
      </w:r>
      <w:r>
        <w:fldChar w:fldCharType="end"/>
      </w:r>
    </w:p>
    <w:p w14:paraId="291BC273" w14:textId="55B5E733" w:rsidR="00B546E9" w:rsidRDefault="00B546E9">
      <w:pPr>
        <w:pStyle w:val="TOC1"/>
        <w:rPr>
          <w:rFonts w:asciiTheme="minorHAnsi" w:eastAsiaTheme="minorEastAsia" w:hAnsiTheme="minorHAnsi" w:cstheme="minorBidi"/>
          <w:b w:val="0"/>
          <w:spacing w:val="0"/>
          <w:sz w:val="22"/>
          <w:szCs w:val="22"/>
        </w:rPr>
      </w:pPr>
      <w:r>
        <w:t>Introduction</w:t>
      </w:r>
      <w:r>
        <w:tab/>
      </w:r>
      <w:r>
        <w:fldChar w:fldCharType="begin"/>
      </w:r>
      <w:r>
        <w:instrText xml:space="preserve"> PAGEREF _Toc464480496 \h </w:instrText>
      </w:r>
      <w:r>
        <w:fldChar w:fldCharType="separate"/>
      </w:r>
      <w:r w:rsidR="00FA0A5F">
        <w:t>10</w:t>
      </w:r>
      <w:r>
        <w:fldChar w:fldCharType="end"/>
      </w:r>
    </w:p>
    <w:p w14:paraId="28FF892D" w14:textId="6E52F929" w:rsidR="00B546E9" w:rsidRDefault="00B546E9">
      <w:pPr>
        <w:pStyle w:val="TOC2"/>
        <w:rPr>
          <w:rFonts w:asciiTheme="minorHAnsi" w:eastAsiaTheme="minorEastAsia" w:hAnsiTheme="minorHAnsi" w:cstheme="minorBidi"/>
          <w:spacing w:val="0"/>
          <w:sz w:val="22"/>
          <w:szCs w:val="22"/>
        </w:rPr>
      </w:pPr>
      <w:r>
        <w:t>The ACMA’s role</w:t>
      </w:r>
      <w:r>
        <w:tab/>
      </w:r>
      <w:r>
        <w:fldChar w:fldCharType="begin"/>
      </w:r>
      <w:r>
        <w:instrText xml:space="preserve"> PAGEREF _Toc464480497 \h </w:instrText>
      </w:r>
      <w:r>
        <w:fldChar w:fldCharType="separate"/>
      </w:r>
      <w:r w:rsidR="00FA0A5F">
        <w:t>10</w:t>
      </w:r>
      <w:r>
        <w:fldChar w:fldCharType="end"/>
      </w:r>
    </w:p>
    <w:p w14:paraId="6E3E48B1" w14:textId="6E895954" w:rsidR="00B546E9" w:rsidRDefault="00B546E9">
      <w:pPr>
        <w:pStyle w:val="TOC3"/>
        <w:rPr>
          <w:rFonts w:asciiTheme="minorHAnsi" w:eastAsiaTheme="minorEastAsia" w:hAnsiTheme="minorHAnsi" w:cstheme="minorBidi"/>
        </w:rPr>
      </w:pPr>
      <w:r>
        <w:t>Spectrum Review</w:t>
      </w:r>
      <w:r>
        <w:tab/>
      </w:r>
      <w:r>
        <w:fldChar w:fldCharType="begin"/>
      </w:r>
      <w:r>
        <w:instrText xml:space="preserve"> PAGEREF _Toc464480498 \h </w:instrText>
      </w:r>
      <w:r>
        <w:fldChar w:fldCharType="separate"/>
      </w:r>
      <w:r w:rsidR="00FA0A5F">
        <w:t>12</w:t>
      </w:r>
      <w:r>
        <w:fldChar w:fldCharType="end"/>
      </w:r>
    </w:p>
    <w:p w14:paraId="66779F7A" w14:textId="5677BB15" w:rsidR="00B546E9" w:rsidRDefault="00B546E9">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_Toc464480499 \h </w:instrText>
      </w:r>
      <w:r>
        <w:fldChar w:fldCharType="separate"/>
      </w:r>
      <w:r w:rsidR="00FA0A5F">
        <w:t>13</w:t>
      </w:r>
      <w:r>
        <w:fldChar w:fldCharType="end"/>
      </w:r>
    </w:p>
    <w:p w14:paraId="162E0695" w14:textId="20AAC2CF" w:rsidR="00B546E9" w:rsidRDefault="00B546E9">
      <w:pPr>
        <w:pStyle w:val="TOC3"/>
        <w:rPr>
          <w:rFonts w:asciiTheme="minorHAnsi" w:eastAsiaTheme="minorEastAsia" w:hAnsiTheme="minorHAnsi" w:cstheme="minorBidi"/>
        </w:rPr>
      </w:pPr>
      <w:r>
        <w:t>Mobile broadband strategy and work program</w:t>
      </w:r>
      <w:r>
        <w:tab/>
      </w:r>
      <w:r>
        <w:fldChar w:fldCharType="begin"/>
      </w:r>
      <w:r>
        <w:instrText xml:space="preserve"> PAGEREF _Toc464480500 \h </w:instrText>
      </w:r>
      <w:r>
        <w:fldChar w:fldCharType="separate"/>
      </w:r>
      <w:r w:rsidR="00FA0A5F">
        <w:t>13</w:t>
      </w:r>
      <w:r>
        <w:fldChar w:fldCharType="end"/>
      </w:r>
    </w:p>
    <w:p w14:paraId="7EBF2DE2" w14:textId="6CCA46D6" w:rsidR="00B546E9" w:rsidRDefault="00B546E9">
      <w:pPr>
        <w:pStyle w:val="TOC3"/>
        <w:rPr>
          <w:rFonts w:asciiTheme="minorHAnsi" w:eastAsiaTheme="minorEastAsia" w:hAnsiTheme="minorHAnsi" w:cstheme="minorBidi"/>
        </w:rPr>
      </w:pPr>
      <w:r>
        <w:t>Past consideration of the 1.5 GHz and 3.6 GHz bands</w:t>
      </w:r>
      <w:r>
        <w:tab/>
      </w:r>
      <w:r>
        <w:fldChar w:fldCharType="begin"/>
      </w:r>
      <w:r>
        <w:instrText xml:space="preserve"> PAGEREF _Toc464480501 \h </w:instrText>
      </w:r>
      <w:r>
        <w:fldChar w:fldCharType="separate"/>
      </w:r>
      <w:r w:rsidR="00FA0A5F">
        <w:t>15</w:t>
      </w:r>
      <w:r>
        <w:fldChar w:fldCharType="end"/>
      </w:r>
    </w:p>
    <w:p w14:paraId="07503A4E" w14:textId="233C73C4" w:rsidR="00B546E9" w:rsidRDefault="00B546E9">
      <w:pPr>
        <w:pStyle w:val="TOC2"/>
        <w:rPr>
          <w:rFonts w:asciiTheme="minorHAnsi" w:eastAsiaTheme="minorEastAsia" w:hAnsiTheme="minorHAnsi" w:cstheme="minorBidi"/>
          <w:spacing w:val="0"/>
          <w:sz w:val="22"/>
          <w:szCs w:val="22"/>
        </w:rPr>
      </w:pPr>
      <w:r>
        <w:t>Purpose</w:t>
      </w:r>
      <w:r>
        <w:tab/>
      </w:r>
      <w:r>
        <w:tab/>
      </w:r>
      <w:r>
        <w:fldChar w:fldCharType="begin"/>
      </w:r>
      <w:r>
        <w:instrText xml:space="preserve"> PAGEREF _Toc464480502 \h </w:instrText>
      </w:r>
      <w:r>
        <w:fldChar w:fldCharType="separate"/>
      </w:r>
      <w:r w:rsidR="00FA0A5F">
        <w:t>15</w:t>
      </w:r>
      <w:r>
        <w:fldChar w:fldCharType="end"/>
      </w:r>
    </w:p>
    <w:p w14:paraId="2BD977E9" w14:textId="551624BB" w:rsidR="00B546E9" w:rsidRDefault="00B546E9">
      <w:pPr>
        <w:pStyle w:val="TOC3"/>
        <w:rPr>
          <w:rFonts w:asciiTheme="minorHAnsi" w:eastAsiaTheme="minorEastAsia" w:hAnsiTheme="minorHAnsi" w:cstheme="minorBidi"/>
        </w:rPr>
      </w:pPr>
      <w:r>
        <w:t>Next steps</w:t>
      </w:r>
      <w:r>
        <w:tab/>
      </w:r>
      <w:r>
        <w:fldChar w:fldCharType="begin"/>
      </w:r>
      <w:r>
        <w:instrText xml:space="preserve"> PAGEREF _Toc464480503 \h </w:instrText>
      </w:r>
      <w:r>
        <w:fldChar w:fldCharType="separate"/>
      </w:r>
      <w:r w:rsidR="00FA0A5F">
        <w:t>16</w:t>
      </w:r>
      <w:r>
        <w:fldChar w:fldCharType="end"/>
      </w:r>
    </w:p>
    <w:p w14:paraId="50D9FA9D" w14:textId="0C252F57" w:rsidR="00B546E9" w:rsidRDefault="00B546E9">
      <w:pPr>
        <w:pStyle w:val="TOC2"/>
        <w:rPr>
          <w:rFonts w:asciiTheme="minorHAnsi" w:eastAsiaTheme="minorEastAsia" w:hAnsiTheme="minorHAnsi" w:cstheme="minorBidi"/>
          <w:spacing w:val="0"/>
          <w:sz w:val="22"/>
          <w:szCs w:val="22"/>
        </w:rPr>
      </w:pPr>
      <w:r>
        <w:t>Scope</w:t>
      </w:r>
      <w:r>
        <w:tab/>
      </w:r>
      <w:r>
        <w:tab/>
      </w:r>
      <w:r>
        <w:fldChar w:fldCharType="begin"/>
      </w:r>
      <w:r>
        <w:instrText xml:space="preserve"> PAGEREF _Toc464480504 \h </w:instrText>
      </w:r>
      <w:r>
        <w:fldChar w:fldCharType="separate"/>
      </w:r>
      <w:r w:rsidR="00FA0A5F">
        <w:t>17</w:t>
      </w:r>
      <w:r>
        <w:fldChar w:fldCharType="end"/>
      </w:r>
    </w:p>
    <w:p w14:paraId="55703220" w14:textId="52CFADA3" w:rsidR="00B546E9" w:rsidRDefault="00B546E9">
      <w:pPr>
        <w:pStyle w:val="TOC3"/>
        <w:rPr>
          <w:rFonts w:asciiTheme="minorHAnsi" w:eastAsiaTheme="minorEastAsia" w:hAnsiTheme="minorHAnsi" w:cstheme="minorBidi"/>
        </w:rPr>
      </w:pPr>
      <w:r>
        <w:t>In scope—planning options</w:t>
      </w:r>
      <w:r>
        <w:tab/>
      </w:r>
      <w:r>
        <w:fldChar w:fldCharType="begin"/>
      </w:r>
      <w:r>
        <w:instrText xml:space="preserve"> PAGEREF _Toc464480505 \h </w:instrText>
      </w:r>
      <w:r>
        <w:fldChar w:fldCharType="separate"/>
      </w:r>
      <w:r w:rsidR="00FA0A5F">
        <w:t>17</w:t>
      </w:r>
      <w:r>
        <w:fldChar w:fldCharType="end"/>
      </w:r>
    </w:p>
    <w:p w14:paraId="4C3FCE57" w14:textId="6C5E5A13" w:rsidR="00B546E9" w:rsidRDefault="00B546E9">
      <w:pPr>
        <w:pStyle w:val="TOC3"/>
        <w:rPr>
          <w:rFonts w:asciiTheme="minorHAnsi" w:eastAsiaTheme="minorEastAsia" w:hAnsiTheme="minorHAnsi" w:cstheme="minorBidi"/>
        </w:rPr>
      </w:pPr>
      <w:r>
        <w:t>Out of scope—licensing and allocation options</w:t>
      </w:r>
      <w:r>
        <w:tab/>
      </w:r>
      <w:r>
        <w:fldChar w:fldCharType="begin"/>
      </w:r>
      <w:r>
        <w:instrText xml:space="preserve"> PAGEREF _Toc464480506 \h </w:instrText>
      </w:r>
      <w:r>
        <w:fldChar w:fldCharType="separate"/>
      </w:r>
      <w:r w:rsidR="00FA0A5F">
        <w:t>18</w:t>
      </w:r>
      <w:r>
        <w:fldChar w:fldCharType="end"/>
      </w:r>
    </w:p>
    <w:p w14:paraId="46DBBBD8" w14:textId="2990362F" w:rsidR="00B546E9" w:rsidRDefault="00B546E9">
      <w:pPr>
        <w:pStyle w:val="TOC3"/>
        <w:rPr>
          <w:rFonts w:asciiTheme="minorHAnsi" w:eastAsiaTheme="minorEastAsia" w:hAnsiTheme="minorHAnsi" w:cstheme="minorBidi"/>
        </w:rPr>
      </w:pPr>
      <w:r>
        <w:t>Out of scope—Spectrum currently subject to spectrum licensing</w:t>
      </w:r>
      <w:r>
        <w:tab/>
      </w:r>
      <w:r>
        <w:fldChar w:fldCharType="begin"/>
      </w:r>
      <w:r>
        <w:instrText xml:space="preserve"> PAGEREF _Toc464480507 \h </w:instrText>
      </w:r>
      <w:r>
        <w:fldChar w:fldCharType="separate"/>
      </w:r>
      <w:r w:rsidR="00FA0A5F">
        <w:t>18</w:t>
      </w:r>
      <w:r>
        <w:fldChar w:fldCharType="end"/>
      </w:r>
    </w:p>
    <w:p w14:paraId="76C217F2" w14:textId="4480548C" w:rsidR="00B546E9" w:rsidRDefault="00B546E9">
      <w:pPr>
        <w:pStyle w:val="TOC3"/>
        <w:rPr>
          <w:rFonts w:asciiTheme="minorHAnsi" w:eastAsiaTheme="minorEastAsia" w:hAnsiTheme="minorHAnsi" w:cstheme="minorBidi"/>
        </w:rPr>
      </w:pPr>
      <w:r>
        <w:t>Out of scope—Engagement in international activities</w:t>
      </w:r>
      <w:r>
        <w:tab/>
      </w:r>
      <w:r>
        <w:fldChar w:fldCharType="begin"/>
      </w:r>
      <w:r>
        <w:instrText xml:space="preserve"> PAGEREF _Toc464480508 \h </w:instrText>
      </w:r>
      <w:r>
        <w:fldChar w:fldCharType="separate"/>
      </w:r>
      <w:r w:rsidR="00FA0A5F">
        <w:t>18</w:t>
      </w:r>
      <w:r>
        <w:fldChar w:fldCharType="end"/>
      </w:r>
    </w:p>
    <w:p w14:paraId="0F1D8DE3" w14:textId="30F44294" w:rsidR="00B546E9" w:rsidRDefault="00B546E9">
      <w:pPr>
        <w:pStyle w:val="TOC2"/>
        <w:rPr>
          <w:rFonts w:asciiTheme="minorHAnsi" w:eastAsiaTheme="minorEastAsia" w:hAnsiTheme="minorHAnsi" w:cstheme="minorBidi"/>
          <w:spacing w:val="0"/>
          <w:sz w:val="22"/>
          <w:szCs w:val="22"/>
        </w:rPr>
      </w:pPr>
      <w:r>
        <w:t>Structure</w:t>
      </w:r>
      <w:r>
        <w:tab/>
      </w:r>
      <w:r>
        <w:fldChar w:fldCharType="begin"/>
      </w:r>
      <w:r>
        <w:instrText xml:space="preserve"> PAGEREF _Toc464480509 \h </w:instrText>
      </w:r>
      <w:r>
        <w:fldChar w:fldCharType="separate"/>
      </w:r>
      <w:r w:rsidR="00FA0A5F">
        <w:t>18</w:t>
      </w:r>
      <w:r>
        <w:fldChar w:fldCharType="end"/>
      </w:r>
    </w:p>
    <w:p w14:paraId="7BD8F163" w14:textId="2853180F" w:rsidR="00B546E9" w:rsidRDefault="00B546E9">
      <w:pPr>
        <w:pStyle w:val="TOC1"/>
        <w:rPr>
          <w:rFonts w:asciiTheme="minorHAnsi" w:eastAsiaTheme="minorEastAsia" w:hAnsiTheme="minorHAnsi" w:cstheme="minorBidi"/>
          <w:b w:val="0"/>
          <w:spacing w:val="0"/>
          <w:sz w:val="22"/>
          <w:szCs w:val="22"/>
        </w:rPr>
      </w:pPr>
      <w:r>
        <w:t>1.5 GHz band</w:t>
      </w:r>
      <w:r>
        <w:tab/>
      </w:r>
      <w:r>
        <w:fldChar w:fldCharType="begin"/>
      </w:r>
      <w:r>
        <w:instrText xml:space="preserve"> PAGEREF _Toc464480510 \h </w:instrText>
      </w:r>
      <w:r>
        <w:fldChar w:fldCharType="separate"/>
      </w:r>
      <w:r w:rsidR="00FA0A5F">
        <w:t>19</w:t>
      </w:r>
      <w:r>
        <w:fldChar w:fldCharType="end"/>
      </w:r>
    </w:p>
    <w:p w14:paraId="4CB15E72" w14:textId="120451D3" w:rsidR="00B546E9" w:rsidRDefault="00B546E9">
      <w:pPr>
        <w:pStyle w:val="TOC2"/>
        <w:rPr>
          <w:rFonts w:asciiTheme="minorHAnsi" w:eastAsiaTheme="minorEastAsia" w:hAnsiTheme="minorHAnsi" w:cstheme="minorBidi"/>
          <w:spacing w:val="0"/>
          <w:sz w:val="22"/>
          <w:szCs w:val="22"/>
        </w:rPr>
      </w:pPr>
      <w:r>
        <w:t>International arrangements</w:t>
      </w:r>
      <w:r>
        <w:tab/>
      </w:r>
      <w:r>
        <w:fldChar w:fldCharType="begin"/>
      </w:r>
      <w:r>
        <w:instrText xml:space="preserve"> PAGEREF _Toc464480511 \h </w:instrText>
      </w:r>
      <w:r>
        <w:fldChar w:fldCharType="separate"/>
      </w:r>
      <w:r w:rsidR="00FA0A5F">
        <w:t>19</w:t>
      </w:r>
      <w:r>
        <w:fldChar w:fldCharType="end"/>
      </w:r>
    </w:p>
    <w:p w14:paraId="4B812271" w14:textId="52CD238E" w:rsidR="00B546E9" w:rsidRDefault="00B546E9">
      <w:pPr>
        <w:pStyle w:val="TOC3"/>
        <w:rPr>
          <w:rFonts w:asciiTheme="minorHAnsi" w:eastAsiaTheme="minorEastAsia" w:hAnsiTheme="minorHAnsi" w:cstheme="minorBidi"/>
        </w:rPr>
      </w:pPr>
      <w:r>
        <w:t>International organisations</w:t>
      </w:r>
      <w:r>
        <w:tab/>
      </w:r>
      <w:r>
        <w:fldChar w:fldCharType="begin"/>
      </w:r>
      <w:r>
        <w:instrText xml:space="preserve"> PAGEREF _Toc464480512 \h </w:instrText>
      </w:r>
      <w:r>
        <w:fldChar w:fldCharType="separate"/>
      </w:r>
      <w:r w:rsidR="00FA0A5F">
        <w:t>19</w:t>
      </w:r>
      <w:r>
        <w:fldChar w:fldCharType="end"/>
      </w:r>
    </w:p>
    <w:p w14:paraId="34131986" w14:textId="1CAC441D" w:rsidR="00B546E9" w:rsidRDefault="00B546E9">
      <w:pPr>
        <w:pStyle w:val="TOC3"/>
        <w:rPr>
          <w:rFonts w:asciiTheme="minorHAnsi" w:eastAsiaTheme="minorEastAsia" w:hAnsiTheme="minorHAnsi" w:cstheme="minorBidi"/>
        </w:rPr>
      </w:pPr>
      <w:r>
        <w:t>Country-specific arrangements</w:t>
      </w:r>
      <w:r>
        <w:tab/>
      </w:r>
      <w:r>
        <w:fldChar w:fldCharType="begin"/>
      </w:r>
      <w:r>
        <w:instrText xml:space="preserve"> PAGEREF _Toc464480513 \h </w:instrText>
      </w:r>
      <w:r>
        <w:fldChar w:fldCharType="separate"/>
      </w:r>
      <w:r w:rsidR="00FA0A5F">
        <w:t>21</w:t>
      </w:r>
      <w:r>
        <w:fldChar w:fldCharType="end"/>
      </w:r>
    </w:p>
    <w:p w14:paraId="5BC706AA" w14:textId="67F4684F" w:rsidR="00B546E9" w:rsidRDefault="00B546E9">
      <w:pPr>
        <w:pStyle w:val="TOC3"/>
        <w:rPr>
          <w:rFonts w:asciiTheme="minorHAnsi" w:eastAsiaTheme="minorEastAsia" w:hAnsiTheme="minorHAnsi" w:cstheme="minorBidi"/>
        </w:rPr>
      </w:pPr>
      <w:r>
        <w:t>Summary of international considerations</w:t>
      </w:r>
      <w:r>
        <w:tab/>
      </w:r>
      <w:r>
        <w:fldChar w:fldCharType="begin"/>
      </w:r>
      <w:r>
        <w:instrText xml:space="preserve"> PAGEREF _Toc464480514 \h </w:instrText>
      </w:r>
      <w:r>
        <w:fldChar w:fldCharType="separate"/>
      </w:r>
      <w:r w:rsidR="00FA0A5F">
        <w:t>22</w:t>
      </w:r>
      <w:r>
        <w:fldChar w:fldCharType="end"/>
      </w:r>
    </w:p>
    <w:p w14:paraId="7D57918E" w14:textId="46F24044" w:rsidR="00B546E9" w:rsidRDefault="00B546E9">
      <w:pPr>
        <w:pStyle w:val="TOC2"/>
        <w:rPr>
          <w:rFonts w:asciiTheme="minorHAnsi" w:eastAsiaTheme="minorEastAsia" w:hAnsiTheme="minorHAnsi" w:cstheme="minorBidi"/>
          <w:spacing w:val="0"/>
          <w:sz w:val="22"/>
          <w:szCs w:val="22"/>
        </w:rPr>
      </w:pPr>
      <w:r>
        <w:t>Australian context</w:t>
      </w:r>
      <w:r>
        <w:tab/>
      </w:r>
      <w:r>
        <w:fldChar w:fldCharType="begin"/>
      </w:r>
      <w:r>
        <w:instrText xml:space="preserve"> PAGEREF _Toc464480515 \h </w:instrText>
      </w:r>
      <w:r>
        <w:fldChar w:fldCharType="separate"/>
      </w:r>
      <w:r w:rsidR="00FA0A5F">
        <w:t>22</w:t>
      </w:r>
      <w:r>
        <w:fldChar w:fldCharType="end"/>
      </w:r>
    </w:p>
    <w:p w14:paraId="2377E0B6" w14:textId="2DF46B33" w:rsidR="00B546E9" w:rsidRDefault="00B546E9">
      <w:pPr>
        <w:pStyle w:val="TOC3"/>
        <w:rPr>
          <w:rFonts w:asciiTheme="minorHAnsi" w:eastAsiaTheme="minorEastAsia" w:hAnsiTheme="minorHAnsi" w:cstheme="minorBidi"/>
        </w:rPr>
      </w:pPr>
      <w:r>
        <w:t>Current planning arrangements and use</w:t>
      </w:r>
      <w:r>
        <w:tab/>
      </w:r>
      <w:r>
        <w:fldChar w:fldCharType="begin"/>
      </w:r>
      <w:r>
        <w:instrText xml:space="preserve"> PAGEREF _Toc464480516 \h </w:instrText>
      </w:r>
      <w:r>
        <w:fldChar w:fldCharType="separate"/>
      </w:r>
      <w:r w:rsidR="00FA0A5F">
        <w:t>22</w:t>
      </w:r>
      <w:r>
        <w:fldChar w:fldCharType="end"/>
      </w:r>
    </w:p>
    <w:p w14:paraId="48F45DCA" w14:textId="58BA75BC" w:rsidR="00B546E9" w:rsidRDefault="00B546E9">
      <w:pPr>
        <w:pStyle w:val="TOC2"/>
        <w:rPr>
          <w:rFonts w:asciiTheme="minorHAnsi" w:eastAsiaTheme="minorEastAsia" w:hAnsiTheme="minorHAnsi" w:cstheme="minorBidi"/>
          <w:spacing w:val="0"/>
          <w:sz w:val="22"/>
          <w:szCs w:val="22"/>
        </w:rPr>
      </w:pPr>
      <w:r>
        <w:t>Initial investigation of the 1.5 GHz band for use by MBB services</w:t>
      </w:r>
      <w:r>
        <w:tab/>
      </w:r>
      <w:r>
        <w:fldChar w:fldCharType="begin"/>
      </w:r>
      <w:r>
        <w:instrText xml:space="preserve"> PAGEREF _Toc464480517 \h </w:instrText>
      </w:r>
      <w:r>
        <w:fldChar w:fldCharType="separate"/>
      </w:r>
      <w:r w:rsidR="00FA0A5F">
        <w:t>25</w:t>
      </w:r>
      <w:r>
        <w:fldChar w:fldCharType="end"/>
      </w:r>
    </w:p>
    <w:p w14:paraId="61BEE6A6" w14:textId="2E0B96BB" w:rsidR="00B546E9" w:rsidRDefault="00B546E9">
      <w:pPr>
        <w:pStyle w:val="TOC3"/>
        <w:rPr>
          <w:rFonts w:asciiTheme="minorHAnsi" w:eastAsiaTheme="minorEastAsia" w:hAnsiTheme="minorHAnsi" w:cstheme="minorBidi"/>
        </w:rPr>
      </w:pPr>
      <w:r>
        <w:t>Potential spectrum options</w:t>
      </w:r>
      <w:r>
        <w:tab/>
      </w:r>
      <w:r>
        <w:fldChar w:fldCharType="begin"/>
      </w:r>
      <w:r>
        <w:instrText xml:space="preserve"> PAGEREF _Toc464480518 \h </w:instrText>
      </w:r>
      <w:r>
        <w:fldChar w:fldCharType="separate"/>
      </w:r>
      <w:r w:rsidR="00FA0A5F">
        <w:t>25</w:t>
      </w:r>
      <w:r>
        <w:fldChar w:fldCharType="end"/>
      </w:r>
    </w:p>
    <w:p w14:paraId="73A34718" w14:textId="29A67E96" w:rsidR="00B546E9" w:rsidRDefault="00B546E9">
      <w:pPr>
        <w:pStyle w:val="TOC3"/>
        <w:rPr>
          <w:rFonts w:asciiTheme="minorHAnsi" w:eastAsiaTheme="minorEastAsia" w:hAnsiTheme="minorHAnsi" w:cstheme="minorBidi"/>
        </w:rPr>
      </w:pPr>
      <w:r>
        <w:t>Potential geographic options</w:t>
      </w:r>
      <w:r>
        <w:tab/>
      </w:r>
      <w:r>
        <w:fldChar w:fldCharType="begin"/>
      </w:r>
      <w:r>
        <w:instrText xml:space="preserve"> PAGEREF _Toc464480519 \h </w:instrText>
      </w:r>
      <w:r>
        <w:fldChar w:fldCharType="separate"/>
      </w:r>
      <w:r w:rsidR="00FA0A5F">
        <w:t>27</w:t>
      </w:r>
      <w:r>
        <w:fldChar w:fldCharType="end"/>
      </w:r>
    </w:p>
    <w:p w14:paraId="59EB46EC" w14:textId="52492D0A" w:rsidR="00B546E9" w:rsidRDefault="00B546E9">
      <w:pPr>
        <w:pStyle w:val="TOC3"/>
        <w:rPr>
          <w:rFonts w:asciiTheme="minorHAnsi" w:eastAsiaTheme="minorEastAsia" w:hAnsiTheme="minorHAnsi" w:cstheme="minorBidi"/>
        </w:rPr>
      </w:pPr>
      <w:r>
        <w:t>Coexistence and sharing with incumbent services</w:t>
      </w:r>
      <w:r>
        <w:tab/>
      </w:r>
      <w:r>
        <w:fldChar w:fldCharType="begin"/>
      </w:r>
      <w:r>
        <w:instrText xml:space="preserve"> PAGEREF _Toc464480520 \h </w:instrText>
      </w:r>
      <w:r>
        <w:fldChar w:fldCharType="separate"/>
      </w:r>
      <w:r w:rsidR="00FA0A5F">
        <w:t>28</w:t>
      </w:r>
      <w:r>
        <w:fldChar w:fldCharType="end"/>
      </w:r>
    </w:p>
    <w:p w14:paraId="320CB875" w14:textId="44E82140" w:rsidR="00B546E9" w:rsidRDefault="00B546E9">
      <w:pPr>
        <w:pStyle w:val="TOC2"/>
        <w:rPr>
          <w:rFonts w:asciiTheme="minorHAnsi" w:eastAsiaTheme="minorEastAsia" w:hAnsiTheme="minorHAnsi" w:cstheme="minorBidi"/>
          <w:spacing w:val="0"/>
          <w:sz w:val="22"/>
          <w:szCs w:val="22"/>
        </w:rPr>
      </w:pPr>
      <w:r>
        <w:t>Preliminary assessment of the highest value use of the 1.5 GHz band</w:t>
      </w:r>
      <w:r>
        <w:tab/>
      </w:r>
      <w:r>
        <w:fldChar w:fldCharType="begin"/>
      </w:r>
      <w:r>
        <w:instrText xml:space="preserve"> PAGEREF _Toc464480521 \h </w:instrText>
      </w:r>
      <w:r>
        <w:fldChar w:fldCharType="separate"/>
      </w:r>
      <w:r w:rsidR="00FA0A5F">
        <w:t>29</w:t>
      </w:r>
      <w:r>
        <w:fldChar w:fldCharType="end"/>
      </w:r>
    </w:p>
    <w:p w14:paraId="2D0D297C" w14:textId="60967A49" w:rsidR="00B546E9" w:rsidRDefault="00B546E9">
      <w:pPr>
        <w:pStyle w:val="TOC1"/>
        <w:rPr>
          <w:rFonts w:asciiTheme="minorHAnsi" w:eastAsiaTheme="minorEastAsia" w:hAnsiTheme="minorHAnsi" w:cstheme="minorBidi"/>
          <w:b w:val="0"/>
          <w:spacing w:val="0"/>
          <w:sz w:val="22"/>
          <w:szCs w:val="22"/>
        </w:rPr>
      </w:pPr>
      <w:r>
        <w:t>3.6 GHz band</w:t>
      </w:r>
      <w:r>
        <w:tab/>
      </w:r>
      <w:r>
        <w:fldChar w:fldCharType="begin"/>
      </w:r>
      <w:r>
        <w:instrText xml:space="preserve"> PAGEREF _Toc464480522 \h </w:instrText>
      </w:r>
      <w:r>
        <w:fldChar w:fldCharType="separate"/>
      </w:r>
      <w:r w:rsidR="00FA0A5F">
        <w:t>31</w:t>
      </w:r>
      <w:r>
        <w:fldChar w:fldCharType="end"/>
      </w:r>
    </w:p>
    <w:p w14:paraId="6CFD50BD" w14:textId="701DB9A4" w:rsidR="00B546E9" w:rsidRDefault="00B546E9">
      <w:pPr>
        <w:pStyle w:val="TOC2"/>
        <w:rPr>
          <w:rFonts w:asciiTheme="minorHAnsi" w:eastAsiaTheme="minorEastAsia" w:hAnsiTheme="minorHAnsi" w:cstheme="minorBidi"/>
          <w:spacing w:val="0"/>
          <w:sz w:val="22"/>
          <w:szCs w:val="22"/>
        </w:rPr>
      </w:pPr>
      <w:r>
        <w:t>International arrangements</w:t>
      </w:r>
      <w:r>
        <w:tab/>
      </w:r>
      <w:r>
        <w:fldChar w:fldCharType="begin"/>
      </w:r>
      <w:r>
        <w:instrText xml:space="preserve"> PAGEREF _Toc464480523 \h </w:instrText>
      </w:r>
      <w:r>
        <w:fldChar w:fldCharType="separate"/>
      </w:r>
      <w:r w:rsidR="00FA0A5F">
        <w:t>31</w:t>
      </w:r>
      <w:r>
        <w:fldChar w:fldCharType="end"/>
      </w:r>
    </w:p>
    <w:p w14:paraId="4D0F4291" w14:textId="0A803E90" w:rsidR="00B546E9" w:rsidRDefault="00B546E9">
      <w:pPr>
        <w:pStyle w:val="TOC3"/>
        <w:rPr>
          <w:rFonts w:asciiTheme="minorHAnsi" w:eastAsiaTheme="minorEastAsia" w:hAnsiTheme="minorHAnsi" w:cstheme="minorBidi"/>
        </w:rPr>
      </w:pPr>
      <w:r>
        <w:t>International organisations</w:t>
      </w:r>
      <w:r>
        <w:tab/>
      </w:r>
      <w:r>
        <w:fldChar w:fldCharType="begin"/>
      </w:r>
      <w:r>
        <w:instrText xml:space="preserve"> PAGEREF _Toc464480524 \h </w:instrText>
      </w:r>
      <w:r>
        <w:fldChar w:fldCharType="separate"/>
      </w:r>
      <w:r w:rsidR="00FA0A5F">
        <w:t>31</w:t>
      </w:r>
      <w:r>
        <w:fldChar w:fldCharType="end"/>
      </w:r>
    </w:p>
    <w:p w14:paraId="5D79A1B2" w14:textId="3D295E56" w:rsidR="00B546E9" w:rsidRDefault="00B546E9">
      <w:pPr>
        <w:pStyle w:val="TOC3"/>
        <w:rPr>
          <w:rFonts w:asciiTheme="minorHAnsi" w:eastAsiaTheme="minorEastAsia" w:hAnsiTheme="minorHAnsi" w:cstheme="minorBidi"/>
        </w:rPr>
      </w:pPr>
      <w:r>
        <w:lastRenderedPageBreak/>
        <w:t>Country-specific arrangements</w:t>
      </w:r>
      <w:r>
        <w:tab/>
      </w:r>
      <w:r>
        <w:fldChar w:fldCharType="begin"/>
      </w:r>
      <w:r>
        <w:instrText xml:space="preserve"> PAGEREF _Toc464480525 \h </w:instrText>
      </w:r>
      <w:r>
        <w:fldChar w:fldCharType="separate"/>
      </w:r>
      <w:r w:rsidR="00FA0A5F">
        <w:t>32</w:t>
      </w:r>
      <w:r>
        <w:fldChar w:fldCharType="end"/>
      </w:r>
    </w:p>
    <w:p w14:paraId="1E3D0E85" w14:textId="78EADC31" w:rsidR="00B546E9" w:rsidRDefault="00B546E9">
      <w:pPr>
        <w:pStyle w:val="TOC3"/>
        <w:rPr>
          <w:rFonts w:asciiTheme="minorHAnsi" w:eastAsiaTheme="minorEastAsia" w:hAnsiTheme="minorHAnsi" w:cstheme="minorBidi"/>
        </w:rPr>
      </w:pPr>
      <w:r>
        <w:t>Summary of international considerations</w:t>
      </w:r>
      <w:r>
        <w:tab/>
      </w:r>
      <w:r>
        <w:fldChar w:fldCharType="begin"/>
      </w:r>
      <w:r>
        <w:instrText xml:space="preserve"> PAGEREF _Toc464480526 \h </w:instrText>
      </w:r>
      <w:r>
        <w:fldChar w:fldCharType="separate"/>
      </w:r>
      <w:r w:rsidR="00FA0A5F">
        <w:t>33</w:t>
      </w:r>
      <w:r>
        <w:fldChar w:fldCharType="end"/>
      </w:r>
    </w:p>
    <w:p w14:paraId="2762CA87" w14:textId="6F0EAF36" w:rsidR="00B546E9" w:rsidRDefault="00B546E9">
      <w:pPr>
        <w:pStyle w:val="TOC2"/>
        <w:rPr>
          <w:rFonts w:asciiTheme="minorHAnsi" w:eastAsiaTheme="minorEastAsia" w:hAnsiTheme="minorHAnsi" w:cstheme="minorBidi"/>
          <w:spacing w:val="0"/>
          <w:sz w:val="22"/>
          <w:szCs w:val="22"/>
        </w:rPr>
      </w:pPr>
      <w:r>
        <w:t>Australian context</w:t>
      </w:r>
      <w:r>
        <w:tab/>
      </w:r>
      <w:r>
        <w:fldChar w:fldCharType="begin"/>
      </w:r>
      <w:r>
        <w:instrText xml:space="preserve"> PAGEREF _Toc464480527 \h </w:instrText>
      </w:r>
      <w:r>
        <w:fldChar w:fldCharType="separate"/>
      </w:r>
      <w:r w:rsidR="00FA0A5F">
        <w:t>34</w:t>
      </w:r>
      <w:r>
        <w:fldChar w:fldCharType="end"/>
      </w:r>
    </w:p>
    <w:p w14:paraId="14005817" w14:textId="2C873CCC" w:rsidR="00B546E9" w:rsidRDefault="00B546E9">
      <w:pPr>
        <w:pStyle w:val="TOC3"/>
        <w:rPr>
          <w:rFonts w:asciiTheme="minorHAnsi" w:eastAsiaTheme="minorEastAsia" w:hAnsiTheme="minorHAnsi" w:cstheme="minorBidi"/>
        </w:rPr>
      </w:pPr>
      <w:r>
        <w:t>Current planning arrangements and use</w:t>
      </w:r>
      <w:r>
        <w:tab/>
      </w:r>
      <w:r>
        <w:fldChar w:fldCharType="begin"/>
      </w:r>
      <w:r>
        <w:instrText xml:space="preserve"> PAGEREF _Toc464480528 \h </w:instrText>
      </w:r>
      <w:r>
        <w:fldChar w:fldCharType="separate"/>
      </w:r>
      <w:r w:rsidR="00FA0A5F">
        <w:t>34</w:t>
      </w:r>
      <w:r>
        <w:fldChar w:fldCharType="end"/>
      </w:r>
    </w:p>
    <w:p w14:paraId="6C4022ED" w14:textId="78C70B53" w:rsidR="00B546E9" w:rsidRDefault="00B546E9">
      <w:pPr>
        <w:pStyle w:val="TOC2"/>
        <w:rPr>
          <w:rFonts w:asciiTheme="minorHAnsi" w:eastAsiaTheme="minorEastAsia" w:hAnsiTheme="minorHAnsi" w:cstheme="minorBidi"/>
          <w:spacing w:val="0"/>
          <w:sz w:val="22"/>
          <w:szCs w:val="22"/>
        </w:rPr>
      </w:pPr>
      <w:r>
        <w:t>Initial investigation of the 3.6 GHz band for use by MBB services</w:t>
      </w:r>
      <w:r>
        <w:tab/>
      </w:r>
      <w:r>
        <w:fldChar w:fldCharType="begin"/>
      </w:r>
      <w:r>
        <w:instrText xml:space="preserve"> PAGEREF _Toc464480529 \h </w:instrText>
      </w:r>
      <w:r>
        <w:fldChar w:fldCharType="separate"/>
      </w:r>
      <w:r w:rsidR="00FA0A5F">
        <w:t>37</w:t>
      </w:r>
      <w:r>
        <w:fldChar w:fldCharType="end"/>
      </w:r>
    </w:p>
    <w:p w14:paraId="7388BD41" w14:textId="3376493A" w:rsidR="00B546E9" w:rsidRDefault="00B546E9">
      <w:pPr>
        <w:pStyle w:val="TOC3"/>
        <w:rPr>
          <w:rFonts w:asciiTheme="minorHAnsi" w:eastAsiaTheme="minorEastAsia" w:hAnsiTheme="minorHAnsi" w:cstheme="minorBidi"/>
        </w:rPr>
      </w:pPr>
      <w:r>
        <w:t>Potential spectrum options</w:t>
      </w:r>
      <w:r>
        <w:tab/>
      </w:r>
      <w:r>
        <w:fldChar w:fldCharType="begin"/>
      </w:r>
      <w:r>
        <w:instrText xml:space="preserve"> PAGEREF _Toc464480530 \h </w:instrText>
      </w:r>
      <w:r>
        <w:fldChar w:fldCharType="separate"/>
      </w:r>
      <w:r w:rsidR="00FA0A5F">
        <w:t>37</w:t>
      </w:r>
      <w:r>
        <w:fldChar w:fldCharType="end"/>
      </w:r>
    </w:p>
    <w:p w14:paraId="5FD15AD3" w14:textId="562C5BDC" w:rsidR="00B546E9" w:rsidRDefault="00B546E9">
      <w:pPr>
        <w:pStyle w:val="TOC3"/>
        <w:rPr>
          <w:rFonts w:asciiTheme="minorHAnsi" w:eastAsiaTheme="minorEastAsia" w:hAnsiTheme="minorHAnsi" w:cstheme="minorBidi"/>
        </w:rPr>
      </w:pPr>
      <w:r>
        <w:t>Potential geographic options</w:t>
      </w:r>
      <w:r>
        <w:tab/>
      </w:r>
      <w:r>
        <w:fldChar w:fldCharType="begin"/>
      </w:r>
      <w:r>
        <w:instrText xml:space="preserve"> PAGEREF _Toc464480531 \h </w:instrText>
      </w:r>
      <w:r>
        <w:fldChar w:fldCharType="separate"/>
      </w:r>
      <w:r w:rsidR="00FA0A5F">
        <w:t>38</w:t>
      </w:r>
      <w:r>
        <w:fldChar w:fldCharType="end"/>
      </w:r>
    </w:p>
    <w:p w14:paraId="7D96465C" w14:textId="17302F7C" w:rsidR="00B546E9" w:rsidRDefault="00B546E9">
      <w:pPr>
        <w:pStyle w:val="TOC3"/>
        <w:rPr>
          <w:rFonts w:asciiTheme="minorHAnsi" w:eastAsiaTheme="minorEastAsia" w:hAnsiTheme="minorHAnsi" w:cstheme="minorBidi"/>
        </w:rPr>
      </w:pPr>
      <w:r>
        <w:t>Coexistence and sharing with incumbent services</w:t>
      </w:r>
      <w:r>
        <w:tab/>
      </w:r>
      <w:r>
        <w:fldChar w:fldCharType="begin"/>
      </w:r>
      <w:r>
        <w:instrText xml:space="preserve"> PAGEREF _Toc464480532 \h </w:instrText>
      </w:r>
      <w:r>
        <w:fldChar w:fldCharType="separate"/>
      </w:r>
      <w:r w:rsidR="00FA0A5F">
        <w:t>40</w:t>
      </w:r>
      <w:r>
        <w:fldChar w:fldCharType="end"/>
      </w:r>
    </w:p>
    <w:p w14:paraId="09164557" w14:textId="75CF51A8" w:rsidR="00B546E9" w:rsidRDefault="00B546E9">
      <w:pPr>
        <w:pStyle w:val="TOC3"/>
        <w:rPr>
          <w:rFonts w:asciiTheme="minorHAnsi" w:eastAsiaTheme="minorEastAsia" w:hAnsiTheme="minorHAnsi" w:cstheme="minorBidi"/>
        </w:rPr>
      </w:pPr>
      <w:r>
        <w:t>Optimising use of the 3400–3700 MHz band</w:t>
      </w:r>
      <w:r>
        <w:tab/>
      </w:r>
      <w:r>
        <w:fldChar w:fldCharType="begin"/>
      </w:r>
      <w:r>
        <w:instrText xml:space="preserve"> PAGEREF _Toc464480533 \h </w:instrText>
      </w:r>
      <w:r>
        <w:fldChar w:fldCharType="separate"/>
      </w:r>
      <w:r w:rsidR="00FA0A5F">
        <w:t>42</w:t>
      </w:r>
      <w:r>
        <w:fldChar w:fldCharType="end"/>
      </w:r>
    </w:p>
    <w:p w14:paraId="366ECF48" w14:textId="1C6A2D42" w:rsidR="00B546E9" w:rsidRDefault="00B546E9">
      <w:pPr>
        <w:pStyle w:val="TOC2"/>
        <w:rPr>
          <w:rFonts w:asciiTheme="minorHAnsi" w:eastAsiaTheme="minorEastAsia" w:hAnsiTheme="minorHAnsi" w:cstheme="minorBidi"/>
          <w:spacing w:val="0"/>
          <w:sz w:val="22"/>
          <w:szCs w:val="22"/>
        </w:rPr>
      </w:pPr>
      <w:r>
        <w:t>Preliminary assessment of the highest value use of the 3.6 GHz band</w:t>
      </w:r>
      <w:r>
        <w:tab/>
      </w:r>
      <w:r>
        <w:fldChar w:fldCharType="begin"/>
      </w:r>
      <w:r>
        <w:instrText xml:space="preserve"> PAGEREF _Toc464480534 \h </w:instrText>
      </w:r>
      <w:r>
        <w:fldChar w:fldCharType="separate"/>
      </w:r>
      <w:r w:rsidR="00FA0A5F">
        <w:t>43</w:t>
      </w:r>
      <w:r>
        <w:fldChar w:fldCharType="end"/>
      </w:r>
    </w:p>
    <w:p w14:paraId="5412CB3B" w14:textId="1513A421" w:rsidR="00B546E9" w:rsidRDefault="00B546E9">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_Toc464480535 \h </w:instrText>
      </w:r>
      <w:r>
        <w:fldChar w:fldCharType="separate"/>
      </w:r>
      <w:r w:rsidR="00FA0A5F">
        <w:t>44</w:t>
      </w:r>
      <w:r>
        <w:fldChar w:fldCharType="end"/>
      </w:r>
    </w:p>
    <w:p w14:paraId="700B7A9C" w14:textId="7B5F4F8A" w:rsidR="00B546E9" w:rsidRDefault="00B546E9">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_Toc464480536 \h </w:instrText>
      </w:r>
      <w:r>
        <w:fldChar w:fldCharType="separate"/>
      </w:r>
      <w:r w:rsidR="00FA0A5F">
        <w:t>44</w:t>
      </w:r>
      <w:r>
        <w:fldChar w:fldCharType="end"/>
      </w:r>
    </w:p>
    <w:p w14:paraId="036BAD42" w14:textId="2323C87A" w:rsidR="00B546E9" w:rsidRDefault="00B546E9">
      <w:pPr>
        <w:pStyle w:val="TOC1"/>
        <w:rPr>
          <w:rFonts w:asciiTheme="minorHAnsi" w:eastAsiaTheme="minorEastAsia" w:hAnsiTheme="minorHAnsi" w:cstheme="minorBidi"/>
          <w:b w:val="0"/>
          <w:spacing w:val="0"/>
          <w:sz w:val="22"/>
          <w:szCs w:val="22"/>
        </w:rPr>
      </w:pPr>
      <w:r>
        <w:t>Appendix A—Current use of the 1.5 GHz band</w:t>
      </w:r>
      <w:r>
        <w:tab/>
      </w:r>
      <w:r>
        <w:fldChar w:fldCharType="begin"/>
      </w:r>
      <w:r>
        <w:instrText xml:space="preserve"> PAGEREF _Toc464480537 \h </w:instrText>
      </w:r>
      <w:r>
        <w:fldChar w:fldCharType="separate"/>
      </w:r>
      <w:r w:rsidR="00FA0A5F">
        <w:t>46</w:t>
      </w:r>
      <w:r>
        <w:fldChar w:fldCharType="end"/>
      </w:r>
    </w:p>
    <w:p w14:paraId="54E276BF" w14:textId="49463115" w:rsidR="00B546E9" w:rsidRDefault="00B546E9">
      <w:pPr>
        <w:pStyle w:val="TOC2"/>
        <w:rPr>
          <w:rFonts w:asciiTheme="minorHAnsi" w:eastAsiaTheme="minorEastAsia" w:hAnsiTheme="minorHAnsi" w:cstheme="minorBidi"/>
          <w:spacing w:val="0"/>
          <w:sz w:val="22"/>
          <w:szCs w:val="22"/>
        </w:rPr>
      </w:pPr>
      <w:r>
        <w:t>Defence aeronautical usage</w:t>
      </w:r>
      <w:r>
        <w:tab/>
      </w:r>
      <w:r>
        <w:fldChar w:fldCharType="begin"/>
      </w:r>
      <w:r>
        <w:instrText xml:space="preserve"> PAGEREF _Toc464480538 \h </w:instrText>
      </w:r>
      <w:r>
        <w:fldChar w:fldCharType="separate"/>
      </w:r>
      <w:r w:rsidR="00FA0A5F">
        <w:t>46</w:t>
      </w:r>
      <w:r>
        <w:fldChar w:fldCharType="end"/>
      </w:r>
    </w:p>
    <w:p w14:paraId="0EF258F4" w14:textId="38AD4DCB" w:rsidR="00B546E9" w:rsidRDefault="00B546E9">
      <w:pPr>
        <w:pStyle w:val="TOC2"/>
        <w:rPr>
          <w:rFonts w:asciiTheme="minorHAnsi" w:eastAsiaTheme="minorEastAsia" w:hAnsiTheme="minorHAnsi" w:cstheme="minorBidi"/>
          <w:spacing w:val="0"/>
          <w:sz w:val="22"/>
          <w:szCs w:val="22"/>
        </w:rPr>
      </w:pPr>
      <w:r>
        <w:t>Fixed services</w:t>
      </w:r>
      <w:r>
        <w:tab/>
      </w:r>
      <w:r>
        <w:fldChar w:fldCharType="begin"/>
      </w:r>
      <w:r>
        <w:instrText xml:space="preserve"> PAGEREF _Toc464480539 \h </w:instrText>
      </w:r>
      <w:r>
        <w:fldChar w:fldCharType="separate"/>
      </w:r>
      <w:r w:rsidR="00FA0A5F">
        <w:t>48</w:t>
      </w:r>
      <w:r>
        <w:fldChar w:fldCharType="end"/>
      </w:r>
    </w:p>
    <w:p w14:paraId="024B3AC6" w14:textId="499102D9" w:rsidR="00B546E9" w:rsidRDefault="00B546E9">
      <w:pPr>
        <w:pStyle w:val="TOC1"/>
        <w:rPr>
          <w:rFonts w:asciiTheme="minorHAnsi" w:eastAsiaTheme="minorEastAsia" w:hAnsiTheme="minorHAnsi" w:cstheme="minorBidi"/>
          <w:b w:val="0"/>
          <w:spacing w:val="0"/>
          <w:sz w:val="22"/>
          <w:szCs w:val="22"/>
        </w:rPr>
      </w:pPr>
      <w:r>
        <w:t>Appendix B—Current use of the 3.6 GHz band</w:t>
      </w:r>
      <w:r>
        <w:tab/>
      </w:r>
      <w:r>
        <w:fldChar w:fldCharType="begin"/>
      </w:r>
      <w:r>
        <w:instrText xml:space="preserve"> PAGEREF _Toc464480540 \h </w:instrText>
      </w:r>
      <w:r>
        <w:fldChar w:fldCharType="separate"/>
      </w:r>
      <w:r w:rsidR="00FA0A5F">
        <w:t>53</w:t>
      </w:r>
      <w:r>
        <w:fldChar w:fldCharType="end"/>
      </w:r>
    </w:p>
    <w:p w14:paraId="1B1A5EE7" w14:textId="050A1A3F" w:rsidR="00B546E9" w:rsidRDefault="00B546E9">
      <w:pPr>
        <w:pStyle w:val="TOC2"/>
        <w:rPr>
          <w:rFonts w:asciiTheme="minorHAnsi" w:eastAsiaTheme="minorEastAsia" w:hAnsiTheme="minorHAnsi" w:cstheme="minorBidi"/>
          <w:spacing w:val="0"/>
          <w:sz w:val="22"/>
          <w:szCs w:val="22"/>
        </w:rPr>
      </w:pPr>
      <w:r>
        <w:t>Licence overview</w:t>
      </w:r>
      <w:r>
        <w:tab/>
      </w:r>
      <w:r>
        <w:fldChar w:fldCharType="begin"/>
      </w:r>
      <w:r>
        <w:instrText xml:space="preserve"> PAGEREF _Toc464480541 \h </w:instrText>
      </w:r>
      <w:r>
        <w:fldChar w:fldCharType="separate"/>
      </w:r>
      <w:r w:rsidR="00FA0A5F">
        <w:t>53</w:t>
      </w:r>
      <w:r>
        <w:fldChar w:fldCharType="end"/>
      </w:r>
    </w:p>
    <w:p w14:paraId="5DB77466" w14:textId="0DBAA726" w:rsidR="00B546E9" w:rsidRDefault="00B546E9">
      <w:pPr>
        <w:pStyle w:val="TOC3"/>
        <w:rPr>
          <w:rFonts w:asciiTheme="minorHAnsi" w:eastAsiaTheme="minorEastAsia" w:hAnsiTheme="minorHAnsi" w:cstheme="minorBidi"/>
        </w:rPr>
      </w:pPr>
      <w:r>
        <w:t>Embargoes</w:t>
      </w:r>
      <w:r>
        <w:tab/>
      </w:r>
      <w:r>
        <w:fldChar w:fldCharType="begin"/>
      </w:r>
      <w:r>
        <w:instrText xml:space="preserve"> PAGEREF _Toc464480542 \h </w:instrText>
      </w:r>
      <w:r>
        <w:fldChar w:fldCharType="separate"/>
      </w:r>
      <w:r w:rsidR="00FA0A5F">
        <w:t>53</w:t>
      </w:r>
      <w:r>
        <w:fldChar w:fldCharType="end"/>
      </w:r>
    </w:p>
    <w:p w14:paraId="61F94B8A" w14:textId="58717947" w:rsidR="00B546E9" w:rsidRDefault="00B546E9">
      <w:pPr>
        <w:pStyle w:val="TOC1"/>
        <w:rPr>
          <w:rFonts w:asciiTheme="minorHAnsi" w:eastAsiaTheme="minorEastAsia" w:hAnsiTheme="minorHAnsi" w:cstheme="minorBidi"/>
          <w:b w:val="0"/>
          <w:spacing w:val="0"/>
          <w:sz w:val="22"/>
          <w:szCs w:val="22"/>
        </w:rPr>
      </w:pPr>
      <w:r>
        <w:t>Appendix C—Preliminary assessments of the highest-value use of the 1.5 GHz and 3.6 GHz bands</w:t>
      </w:r>
      <w:r>
        <w:tab/>
      </w:r>
      <w:r>
        <w:fldChar w:fldCharType="begin"/>
      </w:r>
      <w:r>
        <w:instrText xml:space="preserve"> PAGEREF _Toc464480543 \h </w:instrText>
      </w:r>
      <w:r>
        <w:fldChar w:fldCharType="separate"/>
      </w:r>
      <w:r w:rsidR="00FA0A5F">
        <w:t>58</w:t>
      </w:r>
      <w:r>
        <w:fldChar w:fldCharType="end"/>
      </w:r>
    </w:p>
    <w:p w14:paraId="33D3C8D9" w14:textId="6E9437EB" w:rsidR="00B546E9" w:rsidRDefault="00B546E9">
      <w:pPr>
        <w:pStyle w:val="TOC2"/>
        <w:rPr>
          <w:rFonts w:asciiTheme="minorHAnsi" w:eastAsiaTheme="minorEastAsia" w:hAnsiTheme="minorHAnsi" w:cstheme="minorBidi"/>
          <w:spacing w:val="0"/>
          <w:sz w:val="22"/>
          <w:szCs w:val="22"/>
        </w:rPr>
      </w:pPr>
      <w:r>
        <w:t>Elements to be considered in assessments of highest-value use</w:t>
      </w:r>
      <w:r>
        <w:tab/>
      </w:r>
      <w:r>
        <w:fldChar w:fldCharType="begin"/>
      </w:r>
      <w:r>
        <w:instrText xml:space="preserve"> PAGEREF _Toc464480544 \h </w:instrText>
      </w:r>
      <w:r>
        <w:fldChar w:fldCharType="separate"/>
      </w:r>
      <w:r w:rsidR="00FA0A5F">
        <w:t>58</w:t>
      </w:r>
      <w:r>
        <w:fldChar w:fldCharType="end"/>
      </w:r>
    </w:p>
    <w:p w14:paraId="5ECCECE5" w14:textId="6713B977" w:rsidR="00B546E9" w:rsidRDefault="00B546E9">
      <w:pPr>
        <w:pStyle w:val="TOC3"/>
        <w:rPr>
          <w:rFonts w:asciiTheme="minorHAnsi" w:eastAsiaTheme="minorEastAsia" w:hAnsiTheme="minorHAnsi" w:cstheme="minorBidi"/>
        </w:rPr>
      </w:pPr>
      <w:r>
        <w:t>Benefits, costs and externalities</w:t>
      </w:r>
      <w:r>
        <w:tab/>
      </w:r>
      <w:r>
        <w:fldChar w:fldCharType="begin"/>
      </w:r>
      <w:r>
        <w:instrText xml:space="preserve"> PAGEREF _Toc464480545 \h </w:instrText>
      </w:r>
      <w:r>
        <w:fldChar w:fldCharType="separate"/>
      </w:r>
      <w:r w:rsidR="00FA0A5F">
        <w:t>58</w:t>
      </w:r>
      <w:r>
        <w:fldChar w:fldCharType="end"/>
      </w:r>
    </w:p>
    <w:p w14:paraId="76A8F2A4" w14:textId="09E6E534" w:rsidR="00B546E9" w:rsidRDefault="00B546E9">
      <w:pPr>
        <w:pStyle w:val="TOC3"/>
        <w:rPr>
          <w:rFonts w:asciiTheme="minorHAnsi" w:eastAsiaTheme="minorEastAsia" w:hAnsiTheme="minorHAnsi" w:cstheme="minorBidi"/>
        </w:rPr>
      </w:pPr>
      <w:r>
        <w:t>Analysis required under constant- and variable-output cases</w:t>
      </w:r>
      <w:r>
        <w:tab/>
      </w:r>
      <w:r>
        <w:fldChar w:fldCharType="begin"/>
      </w:r>
      <w:r>
        <w:instrText xml:space="preserve"> PAGEREF _Toc464480546 \h </w:instrText>
      </w:r>
      <w:r>
        <w:fldChar w:fldCharType="separate"/>
      </w:r>
      <w:r w:rsidR="00FA0A5F">
        <w:t>59</w:t>
      </w:r>
      <w:r>
        <w:fldChar w:fldCharType="end"/>
      </w:r>
    </w:p>
    <w:p w14:paraId="4A717B88" w14:textId="15C0ADA2" w:rsidR="00B546E9" w:rsidRDefault="00B546E9">
      <w:pPr>
        <w:pStyle w:val="TOC2"/>
        <w:rPr>
          <w:rFonts w:asciiTheme="minorHAnsi" w:eastAsiaTheme="minorEastAsia" w:hAnsiTheme="minorHAnsi" w:cstheme="minorBidi"/>
          <w:spacing w:val="0"/>
          <w:sz w:val="22"/>
          <w:szCs w:val="22"/>
        </w:rPr>
      </w:pPr>
      <w:r w:rsidRPr="00736854">
        <w:rPr>
          <w:lang w:val="en-US"/>
        </w:rPr>
        <w:t xml:space="preserve">Preliminary assessments of </w:t>
      </w:r>
      <w:r>
        <w:t>HVU</w:t>
      </w:r>
      <w:r>
        <w:tab/>
      </w:r>
      <w:r>
        <w:fldChar w:fldCharType="begin"/>
      </w:r>
      <w:r>
        <w:instrText xml:space="preserve"> PAGEREF _Toc464480547 \h </w:instrText>
      </w:r>
      <w:r>
        <w:fldChar w:fldCharType="separate"/>
      </w:r>
      <w:r w:rsidR="00FA0A5F">
        <w:t>59</w:t>
      </w:r>
      <w:r>
        <w:fldChar w:fldCharType="end"/>
      </w:r>
    </w:p>
    <w:p w14:paraId="7E9CF748" w14:textId="5BD30D1E" w:rsidR="00B546E9" w:rsidRDefault="00B546E9">
      <w:pPr>
        <w:pStyle w:val="TOC2"/>
        <w:rPr>
          <w:rFonts w:asciiTheme="minorHAnsi" w:eastAsiaTheme="minorEastAsia" w:hAnsiTheme="minorHAnsi" w:cstheme="minorBidi"/>
          <w:spacing w:val="0"/>
          <w:sz w:val="22"/>
          <w:szCs w:val="22"/>
        </w:rPr>
      </w:pPr>
      <w:r>
        <w:t>1.5 GHz Preliminary assessment of HVU</w:t>
      </w:r>
      <w:r>
        <w:tab/>
      </w:r>
      <w:r>
        <w:fldChar w:fldCharType="begin"/>
      </w:r>
      <w:r>
        <w:instrText xml:space="preserve"> PAGEREF _Toc464480548 \h </w:instrText>
      </w:r>
      <w:r>
        <w:fldChar w:fldCharType="separate"/>
      </w:r>
      <w:r w:rsidR="00FA0A5F">
        <w:t>60</w:t>
      </w:r>
      <w:r>
        <w:fldChar w:fldCharType="end"/>
      </w:r>
    </w:p>
    <w:p w14:paraId="66C76E0E" w14:textId="2160FF7D" w:rsidR="00B546E9" w:rsidRDefault="00B546E9">
      <w:pPr>
        <w:pStyle w:val="TOC3"/>
        <w:rPr>
          <w:rFonts w:asciiTheme="minorHAnsi" w:eastAsiaTheme="minorEastAsia" w:hAnsiTheme="minorHAnsi" w:cstheme="minorBidi"/>
        </w:rPr>
      </w:pPr>
      <w:r>
        <w:t>Indicators of potential change in HVU</w:t>
      </w:r>
      <w:r>
        <w:tab/>
      </w:r>
      <w:r>
        <w:fldChar w:fldCharType="begin"/>
      </w:r>
      <w:r>
        <w:instrText xml:space="preserve"> PAGEREF _Toc464480549 \h </w:instrText>
      </w:r>
      <w:r>
        <w:fldChar w:fldCharType="separate"/>
      </w:r>
      <w:r w:rsidR="00FA0A5F">
        <w:t>60</w:t>
      </w:r>
      <w:r>
        <w:fldChar w:fldCharType="end"/>
      </w:r>
    </w:p>
    <w:p w14:paraId="0BD5F451" w14:textId="334A7846" w:rsidR="00B546E9" w:rsidRDefault="00B546E9">
      <w:pPr>
        <w:pStyle w:val="TOC3"/>
        <w:rPr>
          <w:rFonts w:asciiTheme="minorHAnsi" w:eastAsiaTheme="minorEastAsia" w:hAnsiTheme="minorHAnsi" w:cstheme="minorBidi"/>
        </w:rPr>
      </w:pPr>
      <w:r>
        <w:t>Potential benefits of spectrum re-farming</w:t>
      </w:r>
      <w:r>
        <w:tab/>
      </w:r>
      <w:r>
        <w:fldChar w:fldCharType="begin"/>
      </w:r>
      <w:r>
        <w:instrText xml:space="preserve"> PAGEREF _Toc464480550 \h </w:instrText>
      </w:r>
      <w:r>
        <w:fldChar w:fldCharType="separate"/>
      </w:r>
      <w:r w:rsidR="00FA0A5F">
        <w:t>60</w:t>
      </w:r>
      <w:r>
        <w:fldChar w:fldCharType="end"/>
      </w:r>
    </w:p>
    <w:p w14:paraId="2A0A8A1D" w14:textId="31583E11" w:rsidR="00B546E9" w:rsidRDefault="00B546E9">
      <w:pPr>
        <w:pStyle w:val="TOC3"/>
        <w:rPr>
          <w:rFonts w:asciiTheme="minorHAnsi" w:eastAsiaTheme="minorEastAsia" w:hAnsiTheme="minorHAnsi" w:cstheme="minorBidi"/>
        </w:rPr>
      </w:pPr>
      <w:r>
        <w:t>Potential costs of spectrum re-farming—Incumbency considerations</w:t>
      </w:r>
      <w:r>
        <w:tab/>
      </w:r>
      <w:r>
        <w:fldChar w:fldCharType="begin"/>
      </w:r>
      <w:r>
        <w:instrText xml:space="preserve"> PAGEREF _Toc464480551 \h </w:instrText>
      </w:r>
      <w:r>
        <w:fldChar w:fldCharType="separate"/>
      </w:r>
      <w:r w:rsidR="00FA0A5F">
        <w:t>61</w:t>
      </w:r>
      <w:r>
        <w:fldChar w:fldCharType="end"/>
      </w:r>
    </w:p>
    <w:p w14:paraId="71614755" w14:textId="5E652C4C" w:rsidR="00B546E9" w:rsidRDefault="00B546E9">
      <w:pPr>
        <w:pStyle w:val="TOC3"/>
        <w:rPr>
          <w:rFonts w:asciiTheme="minorHAnsi" w:eastAsiaTheme="minorEastAsia" w:hAnsiTheme="minorHAnsi" w:cstheme="minorBidi"/>
        </w:rPr>
      </w:pPr>
      <w:r>
        <w:t>Preliminary assessment</w:t>
      </w:r>
      <w:r>
        <w:tab/>
      </w:r>
      <w:r>
        <w:fldChar w:fldCharType="begin"/>
      </w:r>
      <w:r>
        <w:instrText xml:space="preserve"> PAGEREF _Toc464480552 \h </w:instrText>
      </w:r>
      <w:r>
        <w:fldChar w:fldCharType="separate"/>
      </w:r>
      <w:r w:rsidR="00FA0A5F">
        <w:t>61</w:t>
      </w:r>
      <w:r>
        <w:fldChar w:fldCharType="end"/>
      </w:r>
    </w:p>
    <w:p w14:paraId="3BFA8F0D" w14:textId="30896F92" w:rsidR="00B546E9" w:rsidRDefault="00B546E9" w:rsidP="00E03708">
      <w:pPr>
        <w:pStyle w:val="TOC2"/>
        <w:keepNext/>
        <w:rPr>
          <w:rFonts w:asciiTheme="minorHAnsi" w:eastAsiaTheme="minorEastAsia" w:hAnsiTheme="minorHAnsi" w:cstheme="minorBidi"/>
          <w:spacing w:val="0"/>
          <w:sz w:val="22"/>
          <w:szCs w:val="22"/>
        </w:rPr>
      </w:pPr>
      <w:r>
        <w:t>3.6 GHz Preliminary assessment of HVU</w:t>
      </w:r>
      <w:r>
        <w:tab/>
      </w:r>
      <w:r>
        <w:fldChar w:fldCharType="begin"/>
      </w:r>
      <w:r>
        <w:instrText xml:space="preserve"> PAGEREF _Toc464480553 \h </w:instrText>
      </w:r>
      <w:r>
        <w:fldChar w:fldCharType="separate"/>
      </w:r>
      <w:r w:rsidR="00FA0A5F">
        <w:t>62</w:t>
      </w:r>
      <w:r>
        <w:fldChar w:fldCharType="end"/>
      </w:r>
    </w:p>
    <w:p w14:paraId="164EB347" w14:textId="7E43F072" w:rsidR="00B546E9" w:rsidRDefault="00B546E9" w:rsidP="00E03708">
      <w:pPr>
        <w:pStyle w:val="TOC3"/>
        <w:keepNext/>
        <w:rPr>
          <w:rFonts w:asciiTheme="minorHAnsi" w:eastAsiaTheme="minorEastAsia" w:hAnsiTheme="minorHAnsi" w:cstheme="minorBidi"/>
        </w:rPr>
      </w:pPr>
      <w:r>
        <w:t>Indicators of potential change in HVU</w:t>
      </w:r>
      <w:r>
        <w:tab/>
      </w:r>
      <w:r>
        <w:fldChar w:fldCharType="begin"/>
      </w:r>
      <w:r>
        <w:instrText xml:space="preserve"> PAGEREF _Toc464480554 \h </w:instrText>
      </w:r>
      <w:r>
        <w:fldChar w:fldCharType="separate"/>
      </w:r>
      <w:r w:rsidR="00FA0A5F">
        <w:t>62</w:t>
      </w:r>
      <w:r>
        <w:fldChar w:fldCharType="end"/>
      </w:r>
    </w:p>
    <w:p w14:paraId="64405E31" w14:textId="490AC0E2" w:rsidR="00B546E9" w:rsidRDefault="00B546E9" w:rsidP="00E03708">
      <w:pPr>
        <w:pStyle w:val="TOC3"/>
        <w:keepNext/>
        <w:rPr>
          <w:rFonts w:asciiTheme="minorHAnsi" w:eastAsiaTheme="minorEastAsia" w:hAnsiTheme="minorHAnsi" w:cstheme="minorBidi"/>
        </w:rPr>
      </w:pPr>
      <w:r>
        <w:t>Potential benefits of spectrum re-farming</w:t>
      </w:r>
      <w:r>
        <w:tab/>
      </w:r>
      <w:r>
        <w:fldChar w:fldCharType="begin"/>
      </w:r>
      <w:r>
        <w:instrText xml:space="preserve"> PAGEREF _Toc464480555 \h </w:instrText>
      </w:r>
      <w:r>
        <w:fldChar w:fldCharType="separate"/>
      </w:r>
      <w:r w:rsidR="00FA0A5F">
        <w:t>62</w:t>
      </w:r>
      <w:r>
        <w:fldChar w:fldCharType="end"/>
      </w:r>
    </w:p>
    <w:p w14:paraId="146A6EDF" w14:textId="765B6980" w:rsidR="00B546E9" w:rsidRDefault="00B546E9">
      <w:pPr>
        <w:pStyle w:val="TOC3"/>
        <w:rPr>
          <w:rFonts w:asciiTheme="minorHAnsi" w:eastAsiaTheme="minorEastAsia" w:hAnsiTheme="minorHAnsi" w:cstheme="minorBidi"/>
        </w:rPr>
      </w:pPr>
      <w:r>
        <w:t>Potential costs of spectrum re-farming—Incumbency considerations</w:t>
      </w:r>
      <w:r>
        <w:tab/>
      </w:r>
      <w:r>
        <w:fldChar w:fldCharType="begin"/>
      </w:r>
      <w:r>
        <w:instrText xml:space="preserve"> PAGEREF _Toc464480556 \h </w:instrText>
      </w:r>
      <w:r>
        <w:fldChar w:fldCharType="separate"/>
      </w:r>
      <w:r w:rsidR="00FA0A5F">
        <w:t>63</w:t>
      </w:r>
      <w:r>
        <w:fldChar w:fldCharType="end"/>
      </w:r>
    </w:p>
    <w:p w14:paraId="522C1828" w14:textId="7CE01EC1" w:rsidR="00B546E9" w:rsidRDefault="00B546E9">
      <w:pPr>
        <w:pStyle w:val="TOC3"/>
        <w:rPr>
          <w:rFonts w:asciiTheme="minorHAnsi" w:eastAsiaTheme="minorEastAsia" w:hAnsiTheme="minorHAnsi" w:cstheme="minorBidi"/>
        </w:rPr>
      </w:pPr>
      <w:r>
        <w:t>Preliminary assessment</w:t>
      </w:r>
      <w:r>
        <w:tab/>
      </w:r>
      <w:r>
        <w:fldChar w:fldCharType="begin"/>
      </w:r>
      <w:r>
        <w:instrText xml:space="preserve"> PAGEREF _Toc464480557 \h </w:instrText>
      </w:r>
      <w:r>
        <w:fldChar w:fldCharType="separate"/>
      </w:r>
      <w:r w:rsidR="00FA0A5F">
        <w:t>64</w:t>
      </w:r>
      <w:r>
        <w:fldChar w:fldCharType="end"/>
      </w:r>
    </w:p>
    <w:p w14:paraId="2AF8015D" w14:textId="77777777" w:rsidR="000A4A51" w:rsidRPr="000D76E0" w:rsidRDefault="007A6CC0">
      <w:pPr>
        <w:rPr>
          <w:rFonts w:cs="Arial"/>
        </w:rPr>
      </w:pPr>
      <w:r>
        <w:rPr>
          <w:rFonts w:cs="Arial"/>
          <w:b/>
          <w:noProof/>
          <w:spacing w:val="-14"/>
          <w:sz w:val="28"/>
        </w:rPr>
        <w:fldChar w:fldCharType="end"/>
      </w:r>
    </w:p>
    <w:p w14:paraId="0759153F" w14:textId="77777777" w:rsidR="004D56FF" w:rsidRPr="000D76E0" w:rsidRDefault="004D56FF">
      <w:pPr>
        <w:rPr>
          <w:rFonts w:cs="Arial"/>
        </w:rPr>
        <w:sectPr w:rsidR="004D56FF" w:rsidRPr="000D76E0" w:rsidSect="00C77380">
          <w:headerReference w:type="even" r:id="rId25"/>
          <w:headerReference w:type="default" r:id="rId26"/>
          <w:footerReference w:type="even" r:id="rId27"/>
          <w:footerReference w:type="default" r:id="rId28"/>
          <w:footerReference w:type="first" r:id="rId29"/>
          <w:pgSz w:w="11906" w:h="16838" w:code="9"/>
          <w:pgMar w:top="3646" w:right="3101" w:bottom="1134" w:left="1134" w:header="709" w:footer="119" w:gutter="0"/>
          <w:cols w:space="708"/>
          <w:titlePg/>
          <w:docGrid w:linePitch="360"/>
        </w:sectPr>
      </w:pPr>
    </w:p>
    <w:p w14:paraId="7F90B7CC" w14:textId="0285FA55" w:rsidR="009D6C71" w:rsidRPr="009174F3" w:rsidRDefault="009D6C71" w:rsidP="009174F3">
      <w:pPr>
        <w:pStyle w:val="ACMAExecSummaryHeading"/>
      </w:pPr>
      <w:bookmarkStart w:id="1" w:name="_Toc459906700"/>
      <w:bookmarkStart w:id="2" w:name="_Toc464480494"/>
      <w:r w:rsidRPr="009174F3">
        <w:t>Executive summary</w:t>
      </w:r>
      <w:bookmarkEnd w:id="1"/>
      <w:bookmarkEnd w:id="2"/>
    </w:p>
    <w:p w14:paraId="02244165" w14:textId="2D4D78F0" w:rsidR="006348E2" w:rsidRDefault="006348E2" w:rsidP="00F95C2B">
      <w:r>
        <w:rPr>
          <w:rFonts w:cs="Arial"/>
        </w:rPr>
        <w:t>T</w:t>
      </w:r>
      <w:r>
        <w:t>he 1427</w:t>
      </w:r>
      <w:r w:rsidR="0065383A">
        <w:t>–</w:t>
      </w:r>
      <w:r>
        <w:t>1518 MHz band (the 1.5 GHz band) and the 3575</w:t>
      </w:r>
      <w:r w:rsidR="0065383A">
        <w:t>–</w:t>
      </w:r>
      <w:r>
        <w:t xml:space="preserve">3700 MHz band (the 3.6 GHz band) </w:t>
      </w:r>
      <w:r w:rsidR="00BB354E">
        <w:t>are currently</w:t>
      </w:r>
      <w:r w:rsidR="00360160">
        <w:t xml:space="preserve"> </w:t>
      </w:r>
      <w:r>
        <w:t xml:space="preserve">included </w:t>
      </w:r>
      <w:r w:rsidR="00360160">
        <w:t xml:space="preserve">in </w:t>
      </w:r>
      <w:r>
        <w:t xml:space="preserve">the </w:t>
      </w:r>
      <w:r w:rsidRPr="00AC5064">
        <w:rPr>
          <w:i/>
        </w:rPr>
        <w:t>initial investigation</w:t>
      </w:r>
      <w:r>
        <w:t xml:space="preserve"> stage of the ACMA’s </w:t>
      </w:r>
      <w:r w:rsidR="0065383A">
        <w:t>m</w:t>
      </w:r>
      <w:r w:rsidRPr="00660C0E">
        <w:t xml:space="preserve">obile </w:t>
      </w:r>
      <w:r w:rsidR="0065383A">
        <w:t>b</w:t>
      </w:r>
      <w:r w:rsidRPr="00660C0E">
        <w:t xml:space="preserve">roadband </w:t>
      </w:r>
      <w:r w:rsidR="0065383A">
        <w:t>w</w:t>
      </w:r>
      <w:r w:rsidRPr="00660C0E">
        <w:t xml:space="preserve">ork </w:t>
      </w:r>
      <w:r w:rsidR="0065383A">
        <w:t>p</w:t>
      </w:r>
      <w:r w:rsidRPr="00660C0E">
        <w:t>rogram</w:t>
      </w:r>
      <w:r w:rsidRPr="00134B3E">
        <w:t>.</w:t>
      </w:r>
      <w:r w:rsidR="00360160" w:rsidDel="005053E2">
        <w:t xml:space="preserve"> </w:t>
      </w:r>
      <w:r w:rsidR="00360160">
        <w:t xml:space="preserve"> </w:t>
      </w:r>
    </w:p>
    <w:p w14:paraId="0413C9A2" w14:textId="10256176" w:rsidR="006348E2" w:rsidRDefault="00B25271" w:rsidP="00F95C2B">
      <w:r>
        <w:t>The use of b</w:t>
      </w:r>
      <w:r w:rsidR="006348E2">
        <w:t xml:space="preserve">oth the 1.5 GHz and 3.6 GHz </w:t>
      </w:r>
      <w:r>
        <w:t xml:space="preserve">bands for mobile broadband </w:t>
      </w:r>
      <w:r w:rsidR="005A21F6">
        <w:t xml:space="preserve">(MBB) </w:t>
      </w:r>
      <w:r>
        <w:t xml:space="preserve">services </w:t>
      </w:r>
      <w:r w:rsidR="00BE19C6">
        <w:t xml:space="preserve">has progressed </w:t>
      </w:r>
      <w:r>
        <w:t>internationally in the International Telecommunication Union- Radiocommunication Sector (ITU-R), Asia</w:t>
      </w:r>
      <w:r w:rsidR="0065383A">
        <w:t>–</w:t>
      </w:r>
      <w:r>
        <w:t>Pacific Telecom</w:t>
      </w:r>
      <w:r w:rsidR="00FC77B8">
        <w:t>m</w:t>
      </w:r>
      <w:r>
        <w:t xml:space="preserve">unity (APT) and in individual countries around the world. The progress of this consideration means it is timely to consider the potential </w:t>
      </w:r>
      <w:r w:rsidR="00335B81">
        <w:t>re-planning</w:t>
      </w:r>
      <w:r>
        <w:t xml:space="preserve"> of these bands in Australia.  </w:t>
      </w:r>
    </w:p>
    <w:p w14:paraId="56390E56" w14:textId="0518B048" w:rsidR="003710EF" w:rsidRDefault="001B0FF3" w:rsidP="00F95C2B">
      <w:r>
        <w:t xml:space="preserve">The main intention of this discussion paper is to determine whether consideration of the 1.5 GHz and 3.6 GHz bands should be progressed to the </w:t>
      </w:r>
      <w:r w:rsidRPr="002753F4">
        <w:rPr>
          <w:i/>
        </w:rPr>
        <w:t xml:space="preserve">preliminary </w:t>
      </w:r>
      <w:r w:rsidR="00335B81">
        <w:rPr>
          <w:i/>
        </w:rPr>
        <w:t>re-planning</w:t>
      </w:r>
      <w:r w:rsidRPr="002753F4">
        <w:rPr>
          <w:i/>
        </w:rPr>
        <w:t xml:space="preserve"> stage</w:t>
      </w:r>
      <w:r>
        <w:rPr>
          <w:i/>
        </w:rPr>
        <w:t xml:space="preserve"> </w:t>
      </w:r>
      <w:r>
        <w:t xml:space="preserve">of the ACMA’s process for consideration of additional spectrum for </w:t>
      </w:r>
      <w:r w:rsidR="005A21F6">
        <w:t>MBB</w:t>
      </w:r>
      <w:r>
        <w:t xml:space="preserve"> services. </w:t>
      </w:r>
    </w:p>
    <w:p w14:paraId="3C0EEF93" w14:textId="1F2F676A" w:rsidR="00B25271" w:rsidRDefault="00B25271" w:rsidP="00F95C2B">
      <w:r>
        <w:t>These bands are currently used by other services</w:t>
      </w:r>
      <w:r w:rsidR="0065383A">
        <w:t>,</w:t>
      </w:r>
      <w:r>
        <w:t xml:space="preserve"> including fixed and satellite services. An analysis of current usage</w:t>
      </w:r>
      <w:r w:rsidR="0065383A">
        <w:t>,</w:t>
      </w:r>
      <w:r>
        <w:t xml:space="preserve"> as well as potential planning options for re-farming informed by a preliminary technical assessment</w:t>
      </w:r>
      <w:r w:rsidR="0065383A">
        <w:t>,</w:t>
      </w:r>
      <w:r>
        <w:t xml:space="preserve"> are outlined in this paper</w:t>
      </w:r>
      <w:r w:rsidR="0065383A">
        <w:t>. This will</w:t>
      </w:r>
      <w:r>
        <w:t xml:space="preserve"> provide an opportunity for stakeholders to inform the ACMA about their views and the effects of different options on incumbent and potential new services</w:t>
      </w:r>
      <w:r w:rsidR="0065383A">
        <w:t>,</w:t>
      </w:r>
      <w:r>
        <w:t xml:space="preserve"> so the costs and benefits can be accurately gauged and considered.</w:t>
      </w:r>
    </w:p>
    <w:p w14:paraId="5D538891" w14:textId="1A488E88" w:rsidR="00360160" w:rsidRDefault="00360160" w:rsidP="00F95C2B">
      <w:pPr>
        <w:rPr>
          <w:rFonts w:cs="Arial"/>
        </w:rPr>
      </w:pPr>
      <w:r>
        <w:t xml:space="preserve">To assist in forming a judgement on </w:t>
      </w:r>
      <w:r w:rsidR="001B0FF3">
        <w:t xml:space="preserve">whether bands should be progressed to the </w:t>
      </w:r>
      <w:r w:rsidR="001B0FF3" w:rsidRPr="002753F4">
        <w:rPr>
          <w:i/>
        </w:rPr>
        <w:t xml:space="preserve">preliminary </w:t>
      </w:r>
      <w:r w:rsidR="00335B81">
        <w:rPr>
          <w:i/>
        </w:rPr>
        <w:t>re-planning</w:t>
      </w:r>
      <w:r w:rsidR="001B0FF3" w:rsidRPr="002753F4">
        <w:rPr>
          <w:i/>
        </w:rPr>
        <w:t xml:space="preserve"> stage</w:t>
      </w:r>
      <w:r>
        <w:t xml:space="preserve">, the ACMA </w:t>
      </w:r>
      <w:r w:rsidR="001B0FF3">
        <w:t xml:space="preserve">has </w:t>
      </w:r>
      <w:r>
        <w:t>performed a preliminary assessment of highest</w:t>
      </w:r>
      <w:r w:rsidR="0065383A">
        <w:t>-</w:t>
      </w:r>
      <w:r>
        <w:t xml:space="preserve">value use. </w:t>
      </w:r>
      <w:r>
        <w:rPr>
          <w:rFonts w:cs="Arial"/>
          <w:bCs/>
        </w:rPr>
        <w:t>Based on the outcomes of this assessment</w:t>
      </w:r>
      <w:r w:rsidR="001B0FF3">
        <w:rPr>
          <w:rFonts w:cs="Arial"/>
          <w:bCs/>
        </w:rPr>
        <w:t>,</w:t>
      </w:r>
      <w:r>
        <w:rPr>
          <w:rFonts w:cs="Arial"/>
          <w:bCs/>
        </w:rPr>
        <w:t xml:space="preserve"> the ACMA believes that </w:t>
      </w:r>
      <w:r>
        <w:rPr>
          <w:rFonts w:cs="Arial"/>
        </w:rPr>
        <w:t>the highest</w:t>
      </w:r>
      <w:r w:rsidR="0065383A">
        <w:rPr>
          <w:rFonts w:cs="Arial"/>
        </w:rPr>
        <w:t>-</w:t>
      </w:r>
      <w:r>
        <w:rPr>
          <w:rFonts w:cs="Arial"/>
        </w:rPr>
        <w:t xml:space="preserve">value use of the 1.5 GHz and 3.6 GHz bands has changed, or may be changing, in some areas. </w:t>
      </w:r>
      <w:r w:rsidR="00660C0E">
        <w:rPr>
          <w:rFonts w:cs="Arial"/>
        </w:rPr>
        <w:t>The ACMA is</w:t>
      </w:r>
      <w:r>
        <w:rPr>
          <w:rFonts w:cs="Arial"/>
        </w:rPr>
        <w:t xml:space="preserve"> therefore </w:t>
      </w:r>
      <w:r w:rsidR="00660C0E">
        <w:rPr>
          <w:rFonts w:cs="Arial"/>
        </w:rPr>
        <w:t xml:space="preserve">inviting comment on the </w:t>
      </w:r>
      <w:r>
        <w:rPr>
          <w:rFonts w:cs="Arial"/>
        </w:rPr>
        <w:t>propos</w:t>
      </w:r>
      <w:r w:rsidR="00660C0E">
        <w:rPr>
          <w:rFonts w:cs="Arial"/>
        </w:rPr>
        <w:t xml:space="preserve">al to </w:t>
      </w:r>
      <w:r>
        <w:rPr>
          <w:rFonts w:cs="Arial"/>
        </w:rPr>
        <w:t xml:space="preserve">progress consideration of the bands for </w:t>
      </w:r>
      <w:r w:rsidR="005A21F6">
        <w:rPr>
          <w:rFonts w:cs="Arial"/>
        </w:rPr>
        <w:t>MBB</w:t>
      </w:r>
      <w:r>
        <w:rPr>
          <w:rFonts w:cs="Arial"/>
        </w:rPr>
        <w:t xml:space="preserve"> to the </w:t>
      </w:r>
      <w:r w:rsidR="00BE19C6">
        <w:rPr>
          <w:rFonts w:cs="Arial"/>
          <w:i/>
        </w:rPr>
        <w:t>p</w:t>
      </w:r>
      <w:r>
        <w:rPr>
          <w:rFonts w:cs="Arial"/>
          <w:i/>
        </w:rPr>
        <w:t xml:space="preserve">reliminary </w:t>
      </w:r>
      <w:r w:rsidR="00335B81">
        <w:rPr>
          <w:rFonts w:cs="Arial"/>
          <w:i/>
        </w:rPr>
        <w:t>re-planning</w:t>
      </w:r>
      <w:r>
        <w:rPr>
          <w:rFonts w:cs="Arial"/>
          <w:i/>
        </w:rPr>
        <w:t xml:space="preserve"> </w:t>
      </w:r>
      <w:r w:rsidRPr="00660C0E">
        <w:rPr>
          <w:rFonts w:cs="Arial"/>
          <w:i/>
        </w:rPr>
        <w:t>stage</w:t>
      </w:r>
      <w:r>
        <w:rPr>
          <w:rFonts w:cs="Arial"/>
        </w:rPr>
        <w:t xml:space="preserve"> of the ACMA’s </w:t>
      </w:r>
      <w:r w:rsidR="005A21F6">
        <w:rPr>
          <w:rFonts w:cs="Arial"/>
        </w:rPr>
        <w:t>MBB</w:t>
      </w:r>
      <w:r w:rsidR="0065383A">
        <w:rPr>
          <w:rFonts w:cs="Arial"/>
        </w:rPr>
        <w:t xml:space="preserve"> work program</w:t>
      </w:r>
      <w:r>
        <w:rPr>
          <w:rFonts w:cs="Arial"/>
        </w:rPr>
        <w:t xml:space="preserve">. </w:t>
      </w:r>
    </w:p>
    <w:p w14:paraId="6BC6E9BE" w14:textId="73B804E3" w:rsidR="00715722" w:rsidRPr="006D46E5" w:rsidRDefault="00423DFC" w:rsidP="00AD31BE">
      <w:pPr>
        <w:rPr>
          <w:rFonts w:cs="Arial"/>
        </w:rPr>
      </w:pPr>
      <w:r>
        <w:t>It is noted that although the term ‘mobile broadband’ is used th</w:t>
      </w:r>
      <w:r w:rsidR="009B111E">
        <w:t>r</w:t>
      </w:r>
      <w:r>
        <w:t>ough</w:t>
      </w:r>
      <w:r w:rsidR="009B111E">
        <w:t>ou</w:t>
      </w:r>
      <w:r>
        <w:t>t this paper, all discussion equally applies to fixed broadband services.</w:t>
      </w:r>
    </w:p>
    <w:p w14:paraId="49021190" w14:textId="408895EF" w:rsidR="00715722" w:rsidRDefault="00715722" w:rsidP="00715722">
      <w:pPr>
        <w:pStyle w:val="Heading1"/>
      </w:pPr>
      <w:bookmarkStart w:id="3" w:name="_Toc433122125"/>
      <w:bookmarkStart w:id="4" w:name="_Toc459906701"/>
      <w:bookmarkStart w:id="5" w:name="_Toc464480495"/>
      <w:r>
        <w:t>Issue</w:t>
      </w:r>
      <w:r w:rsidRPr="00F26BE7">
        <w:t>s</w:t>
      </w:r>
      <w:r>
        <w:t xml:space="preserve"> for comment</w:t>
      </w:r>
      <w:bookmarkEnd w:id="3"/>
      <w:bookmarkEnd w:id="4"/>
      <w:bookmarkEnd w:id="5"/>
    </w:p>
    <w:p w14:paraId="73F15241" w14:textId="77777777" w:rsidR="00B546E9" w:rsidRDefault="00715722" w:rsidP="00B546E9">
      <w:r w:rsidRPr="00190673">
        <w:t>The ACMA invites comments on the issues set out in this discussion paper</w:t>
      </w:r>
      <w:r w:rsidR="00B546E9">
        <w:t xml:space="preserve">. </w:t>
      </w:r>
    </w:p>
    <w:p w14:paraId="3BCF0466" w14:textId="6C90B0A6" w:rsidR="00715722" w:rsidRDefault="00B546E9" w:rsidP="00E13D9C">
      <w:r>
        <w:t xml:space="preserve">Specific questions are featured in the relevant sections of this paper and collated below. Details on making a submission can be found at </w:t>
      </w:r>
      <w:hyperlink w:anchor="_Invitation_to_comment" w:history="1">
        <w:r w:rsidRPr="00B546E9">
          <w:rPr>
            <w:rStyle w:val="Hyperlink"/>
            <w:i/>
          </w:rPr>
          <w:t>Invitation to comment</w:t>
        </w:r>
      </w:hyperlink>
      <w:r>
        <w:rPr>
          <w:i/>
        </w:rPr>
        <w:t xml:space="preserve"> </w:t>
      </w:r>
      <w:r>
        <w:t>at the end of this document</w:t>
      </w:r>
      <w:r>
        <w:rPr>
          <w:i/>
        </w:rPr>
        <w:t>.</w:t>
      </w:r>
    </w:p>
    <w:p w14:paraId="021DE957" w14:textId="05D5C7D2" w:rsidR="00E57411" w:rsidRPr="00E57411" w:rsidRDefault="00E57411" w:rsidP="00FD64A2">
      <w:pPr>
        <w:numPr>
          <w:ilvl w:val="0"/>
          <w:numId w:val="6"/>
        </w:numPr>
        <w:rPr>
          <w:rFonts w:cs="Arial"/>
        </w:rPr>
      </w:pPr>
      <w:r w:rsidRPr="00E57411">
        <w:rPr>
          <w:rFonts w:cs="Arial"/>
        </w:rPr>
        <w:t xml:space="preserve">Should the </w:t>
      </w:r>
      <w:r w:rsidR="001B0FF3">
        <w:rPr>
          <w:rFonts w:cs="Arial"/>
        </w:rPr>
        <w:t>1.5 G</w:t>
      </w:r>
      <w:r w:rsidRPr="00E57411">
        <w:rPr>
          <w:rFonts w:cs="Arial"/>
        </w:rPr>
        <w:t xml:space="preserve">Hz band and/or the </w:t>
      </w:r>
      <w:r w:rsidR="001B0FF3">
        <w:rPr>
          <w:rFonts w:cs="Arial"/>
        </w:rPr>
        <w:t>3.6 G</w:t>
      </w:r>
      <w:r w:rsidRPr="00E57411">
        <w:rPr>
          <w:rFonts w:cs="Arial"/>
        </w:rPr>
        <w:t xml:space="preserve">Hz band be progressed from the </w:t>
      </w:r>
      <w:r w:rsidRPr="00660C0E">
        <w:rPr>
          <w:rFonts w:cs="Arial"/>
          <w:i/>
        </w:rPr>
        <w:t>initial investigation</w:t>
      </w:r>
      <w:r w:rsidRPr="00E57411">
        <w:rPr>
          <w:rFonts w:cs="Arial"/>
        </w:rPr>
        <w:t xml:space="preserve"> stage to the </w:t>
      </w:r>
      <w:r w:rsidRPr="00660C0E">
        <w:rPr>
          <w:rFonts w:cs="Arial"/>
          <w:i/>
        </w:rPr>
        <w:t xml:space="preserve">preliminary </w:t>
      </w:r>
      <w:r w:rsidR="00335B81">
        <w:rPr>
          <w:rFonts w:cs="Arial"/>
          <w:i/>
        </w:rPr>
        <w:t>re-planning</w:t>
      </w:r>
      <w:r w:rsidRPr="00E57411">
        <w:rPr>
          <w:rFonts w:cs="Arial"/>
        </w:rPr>
        <w:t xml:space="preserve"> stage in the ACMA’s process for consideration of additional spectrum for </w:t>
      </w:r>
      <w:r w:rsidR="005A21F6">
        <w:rPr>
          <w:rFonts w:cs="Arial"/>
        </w:rPr>
        <w:t>MBB</w:t>
      </w:r>
      <w:r w:rsidRPr="00E57411">
        <w:rPr>
          <w:rFonts w:cs="Arial"/>
        </w:rPr>
        <w:t xml:space="preserve"> services? Why/Why not?</w:t>
      </w:r>
    </w:p>
    <w:p w14:paraId="56F7CE0F" w14:textId="755F6BF9" w:rsidR="00FA332F" w:rsidRPr="00FA332F" w:rsidRDefault="00FA332F" w:rsidP="00FD64A2">
      <w:pPr>
        <w:numPr>
          <w:ilvl w:val="0"/>
          <w:numId w:val="6"/>
        </w:numPr>
        <w:rPr>
          <w:rFonts w:cs="Arial"/>
        </w:rPr>
      </w:pPr>
      <w:r w:rsidRPr="00FA332F">
        <w:rPr>
          <w:rFonts w:cs="Arial"/>
        </w:rPr>
        <w:t xml:space="preserve">Should either of the 1.5 GHz and 3.6 GHz bands be prioritised through the ACMA’s process for consideration of additional spectrum for </w:t>
      </w:r>
      <w:r w:rsidR="005A21F6">
        <w:rPr>
          <w:rFonts w:cs="Arial"/>
        </w:rPr>
        <w:t>MBB</w:t>
      </w:r>
      <w:r w:rsidRPr="00FA332F">
        <w:rPr>
          <w:rFonts w:cs="Arial"/>
        </w:rPr>
        <w:t xml:space="preserve"> services? If so, which band? Why?</w:t>
      </w:r>
    </w:p>
    <w:p w14:paraId="47F69AFF" w14:textId="68BE217F" w:rsidR="00E57411" w:rsidRPr="00E57411" w:rsidRDefault="00117A3A" w:rsidP="00FD64A2">
      <w:pPr>
        <w:numPr>
          <w:ilvl w:val="0"/>
          <w:numId w:val="6"/>
        </w:numPr>
        <w:rPr>
          <w:rFonts w:cs="Arial"/>
        </w:rPr>
      </w:pPr>
      <w:r w:rsidRPr="00117A3A">
        <w:rPr>
          <w:rFonts w:cs="Arial"/>
        </w:rPr>
        <w:t xml:space="preserve">Are there specific issues, other than those mentioned, that may affect the timeframe in which the 1.5 GHz or 3.6 GHz bands could be made available for </w:t>
      </w:r>
      <w:r w:rsidR="005A21F6">
        <w:rPr>
          <w:rFonts w:cs="Arial"/>
        </w:rPr>
        <w:t>MBB</w:t>
      </w:r>
      <w:r w:rsidR="00E57411" w:rsidRPr="00E57411">
        <w:rPr>
          <w:rFonts w:cs="Arial"/>
        </w:rPr>
        <w:t>?</w:t>
      </w:r>
    </w:p>
    <w:p w14:paraId="5AA4F630" w14:textId="6117F0A8" w:rsidR="00E57411" w:rsidRDefault="00E57411" w:rsidP="00FD64A2">
      <w:pPr>
        <w:numPr>
          <w:ilvl w:val="0"/>
          <w:numId w:val="6"/>
        </w:numPr>
        <w:rPr>
          <w:rFonts w:cs="Arial"/>
        </w:rPr>
      </w:pPr>
      <w:r w:rsidRPr="00E57411">
        <w:rPr>
          <w:rFonts w:cs="Arial"/>
        </w:rPr>
        <w:t xml:space="preserve">If the 1.5 GHz and 3.6 GHz bands are </w:t>
      </w:r>
      <w:r w:rsidR="00460B53">
        <w:rPr>
          <w:rFonts w:cs="Arial"/>
        </w:rPr>
        <w:t>re</w:t>
      </w:r>
      <w:r w:rsidR="00CF2B74">
        <w:rPr>
          <w:rFonts w:cs="Arial"/>
        </w:rPr>
        <w:t xml:space="preserve">-farmed </w:t>
      </w:r>
      <w:r w:rsidRPr="00E57411">
        <w:rPr>
          <w:rFonts w:cs="Arial"/>
        </w:rPr>
        <w:t xml:space="preserve">for </w:t>
      </w:r>
      <w:r w:rsidR="005A21F6">
        <w:rPr>
          <w:rFonts w:cs="Arial"/>
        </w:rPr>
        <w:t>MBB</w:t>
      </w:r>
      <w:r w:rsidRPr="00E57411">
        <w:rPr>
          <w:rFonts w:cs="Arial"/>
        </w:rPr>
        <w:t>, would there be benefit in allocating the bands simultaneously?</w:t>
      </w:r>
    </w:p>
    <w:p w14:paraId="2A2D84F8" w14:textId="1840ED41" w:rsidR="001B0FF3" w:rsidRDefault="001B0FF3" w:rsidP="006D6661">
      <w:pPr>
        <w:pStyle w:val="BodySubHeader"/>
        <w:spacing w:after="80"/>
      </w:pPr>
      <w:r w:rsidRPr="00660C0E">
        <w:t>Questions specific to the 1.5 GHz band</w:t>
      </w:r>
      <w:r>
        <w:t>:</w:t>
      </w:r>
    </w:p>
    <w:p w14:paraId="402A5F94" w14:textId="2CBFE7E7" w:rsidR="00E57411" w:rsidRPr="00E57411" w:rsidRDefault="00E57411" w:rsidP="00FD64A2">
      <w:pPr>
        <w:numPr>
          <w:ilvl w:val="0"/>
          <w:numId w:val="6"/>
        </w:numPr>
        <w:rPr>
          <w:rFonts w:cs="Arial"/>
        </w:rPr>
      </w:pPr>
      <w:r w:rsidRPr="00E57411">
        <w:rPr>
          <w:rFonts w:cs="Arial"/>
        </w:rPr>
        <w:t xml:space="preserve">The ACMA seeks comment on expected future use of the 1.5 GHz band by the fixed, broadcasting and broadcasting-satellite </w:t>
      </w:r>
      <w:r w:rsidR="00CF37BD">
        <w:rPr>
          <w:rFonts w:cs="Arial"/>
        </w:rPr>
        <w:t xml:space="preserve">services </w:t>
      </w:r>
      <w:r w:rsidRPr="00E57411">
        <w:rPr>
          <w:rFonts w:cs="Arial"/>
        </w:rPr>
        <w:t>and by the Department of Defence in Australia.</w:t>
      </w:r>
    </w:p>
    <w:p w14:paraId="34A191B9" w14:textId="6E784FF8" w:rsidR="00E57411" w:rsidRPr="00E57411" w:rsidRDefault="00E57411" w:rsidP="00FD64A2">
      <w:pPr>
        <w:numPr>
          <w:ilvl w:val="0"/>
          <w:numId w:val="6"/>
        </w:numPr>
        <w:rPr>
          <w:rFonts w:cs="Arial"/>
        </w:rPr>
      </w:pPr>
      <w:r w:rsidRPr="00E57411">
        <w:rPr>
          <w:rFonts w:cs="Arial"/>
        </w:rPr>
        <w:t xml:space="preserve">Comment is sought on the potential deletion or modification of footnote AUS3 from the </w:t>
      </w:r>
      <w:r w:rsidR="00825760">
        <w:t>Australian Radiofrequency Spectrum Plan (</w:t>
      </w:r>
      <w:r w:rsidR="00825760" w:rsidRPr="00825760">
        <w:t>ARSP</w:t>
      </w:r>
      <w:r w:rsidR="00825760">
        <w:t>)</w:t>
      </w:r>
      <w:r w:rsidR="00DC0E8B">
        <w:rPr>
          <w:rFonts w:cs="Arial"/>
        </w:rPr>
        <w:t>.</w:t>
      </w:r>
    </w:p>
    <w:p w14:paraId="6E76CE92" w14:textId="681159C0" w:rsidR="00A27735" w:rsidRDefault="00E57411" w:rsidP="00FD64A2">
      <w:pPr>
        <w:numPr>
          <w:ilvl w:val="0"/>
          <w:numId w:val="6"/>
        </w:numPr>
        <w:rPr>
          <w:rFonts w:cs="Arial"/>
        </w:rPr>
      </w:pPr>
      <w:r w:rsidRPr="00E57411">
        <w:rPr>
          <w:rFonts w:cs="Arial"/>
        </w:rPr>
        <w:t xml:space="preserve">If the 1.5 GHz band is re-farmed for </w:t>
      </w:r>
      <w:r w:rsidR="005A21F6">
        <w:rPr>
          <w:rFonts w:cs="Arial"/>
        </w:rPr>
        <w:t>MBB</w:t>
      </w:r>
      <w:r w:rsidRPr="00E57411">
        <w:rPr>
          <w:rFonts w:cs="Arial"/>
        </w:rPr>
        <w:t xml:space="preserve"> services, </w:t>
      </w:r>
      <w:r w:rsidR="00460B53">
        <w:rPr>
          <w:rFonts w:cs="Arial"/>
        </w:rPr>
        <w:t xml:space="preserve">what frequency arrangement should be adopted? Should a </w:t>
      </w:r>
      <w:r w:rsidRPr="00E57411">
        <w:rPr>
          <w:rFonts w:cs="Arial"/>
        </w:rPr>
        <w:t>frequency division duplex (FDD)</w:t>
      </w:r>
      <w:r w:rsidR="00460B53">
        <w:rPr>
          <w:rFonts w:cs="Arial"/>
        </w:rPr>
        <w:t xml:space="preserve">, </w:t>
      </w:r>
      <w:r w:rsidR="00460B53" w:rsidRPr="00E57411">
        <w:rPr>
          <w:rFonts w:cs="Arial"/>
        </w:rPr>
        <w:t>supplemental downlink (SDL</w:t>
      </w:r>
      <w:r w:rsidR="00460B53">
        <w:rPr>
          <w:rFonts w:cs="Arial"/>
        </w:rPr>
        <w:t xml:space="preserve">) or </w:t>
      </w:r>
      <w:r w:rsidR="00460B53" w:rsidRPr="00E57411">
        <w:rPr>
          <w:rFonts w:cs="Arial"/>
        </w:rPr>
        <w:t xml:space="preserve">time division duplex (TDD) </w:t>
      </w:r>
      <w:r w:rsidRPr="00E57411">
        <w:rPr>
          <w:rFonts w:cs="Arial"/>
        </w:rPr>
        <w:t xml:space="preserve">arrangement be adopted? Why/why not? </w:t>
      </w:r>
      <w:r w:rsidR="00460B53">
        <w:rPr>
          <w:rFonts w:cs="Arial"/>
        </w:rPr>
        <w:t>W</w:t>
      </w:r>
      <w:r w:rsidRPr="00E57411">
        <w:rPr>
          <w:rFonts w:cs="Arial"/>
        </w:rPr>
        <w:t>hat type of arrangement should be adopted (</w:t>
      </w:r>
      <w:r w:rsidR="0065383A">
        <w:rPr>
          <w:rFonts w:cs="Arial"/>
        </w:rPr>
        <w:t>that is,</w:t>
      </w:r>
      <w:r w:rsidRPr="00E57411">
        <w:rPr>
          <w:rFonts w:cs="Arial"/>
        </w:rPr>
        <w:t xml:space="preserve"> 3GPP bands 11 and/or 21</w:t>
      </w:r>
      <w:r w:rsidR="00460B53">
        <w:rPr>
          <w:rFonts w:cs="Arial"/>
        </w:rPr>
        <w:t xml:space="preserve">, </w:t>
      </w:r>
      <w:r w:rsidR="00460B53" w:rsidRPr="00E57411">
        <w:rPr>
          <w:rFonts w:cs="Arial"/>
        </w:rPr>
        <w:t>3GPP band 32</w:t>
      </w:r>
      <w:r w:rsidR="00460B53">
        <w:rPr>
          <w:rFonts w:cs="Arial"/>
        </w:rPr>
        <w:t>,</w:t>
      </w:r>
      <w:r w:rsidRPr="00E57411">
        <w:rPr>
          <w:rFonts w:cs="Arial"/>
        </w:rPr>
        <w:t xml:space="preserve"> </w:t>
      </w:r>
      <w:r w:rsidR="00460B53" w:rsidRPr="00E57411">
        <w:rPr>
          <w:rFonts w:cs="Arial"/>
        </w:rPr>
        <w:t xml:space="preserve">3GPP band 45 </w:t>
      </w:r>
      <w:r w:rsidR="00460B53">
        <w:rPr>
          <w:rFonts w:cs="Arial"/>
        </w:rPr>
        <w:t xml:space="preserve">or </w:t>
      </w:r>
      <w:r w:rsidRPr="00E57411">
        <w:rPr>
          <w:rFonts w:cs="Arial"/>
        </w:rPr>
        <w:t>another arrangement)?</w:t>
      </w:r>
    </w:p>
    <w:p w14:paraId="637EEEBC" w14:textId="7CAD1242" w:rsidR="00E57411" w:rsidRDefault="00E57411" w:rsidP="00FD64A2">
      <w:pPr>
        <w:numPr>
          <w:ilvl w:val="0"/>
          <w:numId w:val="6"/>
        </w:numPr>
        <w:rPr>
          <w:rFonts w:cs="Arial"/>
        </w:rPr>
      </w:pPr>
      <w:r w:rsidRPr="00A27735">
        <w:rPr>
          <w:rFonts w:cs="Arial"/>
        </w:rPr>
        <w:t xml:space="preserve">If the 1.5 GHz band is re-farmed for </w:t>
      </w:r>
      <w:r w:rsidR="005A21F6">
        <w:rPr>
          <w:rFonts w:cs="Arial"/>
        </w:rPr>
        <w:t>MBB</w:t>
      </w:r>
      <w:r w:rsidRPr="00A27735">
        <w:rPr>
          <w:rFonts w:cs="Arial"/>
        </w:rPr>
        <w:t xml:space="preserve"> services, what geographical areas should be re-farmed? To what extent are mobile network operators (MNOs) interested in the 1.5 GHz </w:t>
      </w:r>
      <w:r w:rsidR="00CF37BD">
        <w:rPr>
          <w:rFonts w:cs="Arial"/>
        </w:rPr>
        <w:t xml:space="preserve">band </w:t>
      </w:r>
      <w:r w:rsidRPr="00A27735">
        <w:rPr>
          <w:rFonts w:cs="Arial"/>
        </w:rPr>
        <w:t>outside of metropolitan areas?</w:t>
      </w:r>
    </w:p>
    <w:p w14:paraId="1D73D37F" w14:textId="16A26351" w:rsidR="00E57411" w:rsidRPr="00E57411" w:rsidRDefault="00E57411" w:rsidP="00FD64A2">
      <w:pPr>
        <w:numPr>
          <w:ilvl w:val="0"/>
          <w:numId w:val="6"/>
        </w:numPr>
        <w:rPr>
          <w:rFonts w:cs="Arial"/>
        </w:rPr>
      </w:pPr>
      <w:r w:rsidRPr="00E57411">
        <w:rPr>
          <w:rFonts w:cs="Arial"/>
        </w:rPr>
        <w:t xml:space="preserve">If the 1.5 GHz band is re-farmed for </w:t>
      </w:r>
      <w:r w:rsidR="005A21F6">
        <w:rPr>
          <w:rFonts w:cs="Arial"/>
        </w:rPr>
        <w:t>MBB</w:t>
      </w:r>
      <w:r w:rsidRPr="00E57411">
        <w:rPr>
          <w:rFonts w:cs="Arial"/>
        </w:rPr>
        <w:t xml:space="preserve"> services, should a geographically and/or spectrally staged process be considered</w:t>
      </w:r>
      <w:r w:rsidR="0065383A">
        <w:rPr>
          <w:rFonts w:cs="Arial"/>
        </w:rPr>
        <w:t>,</w:t>
      </w:r>
      <w:r w:rsidRPr="00E57411">
        <w:rPr>
          <w:rFonts w:cs="Arial"/>
        </w:rPr>
        <w:t xml:space="preserve"> where more heavily utilised parts/areas are re-farmed later than those that are more lightly utilised?</w:t>
      </w:r>
    </w:p>
    <w:p w14:paraId="51EFC829" w14:textId="6EC8DF48" w:rsidR="00A27735" w:rsidRPr="00A27735" w:rsidRDefault="00A27735" w:rsidP="00FD64A2">
      <w:pPr>
        <w:numPr>
          <w:ilvl w:val="0"/>
          <w:numId w:val="6"/>
        </w:numPr>
        <w:rPr>
          <w:rFonts w:cs="Arial"/>
        </w:rPr>
      </w:pPr>
      <w:r w:rsidRPr="00A27735">
        <w:rPr>
          <w:rFonts w:cs="Arial"/>
        </w:rPr>
        <w:t>What are the alternative spectrum or delivery optio</w:t>
      </w:r>
      <w:r>
        <w:rPr>
          <w:rFonts w:cs="Arial"/>
        </w:rPr>
        <w:t>ns for current users of the 1.5 </w:t>
      </w:r>
      <w:r w:rsidRPr="00A27735">
        <w:rPr>
          <w:rFonts w:cs="Arial"/>
        </w:rPr>
        <w:t xml:space="preserve">GHz band if the band is re-farmed for </w:t>
      </w:r>
      <w:r w:rsidR="005A21F6">
        <w:rPr>
          <w:rFonts w:cs="Arial"/>
        </w:rPr>
        <w:t>MBB</w:t>
      </w:r>
      <w:r w:rsidRPr="00A27735">
        <w:rPr>
          <w:rFonts w:cs="Arial"/>
        </w:rPr>
        <w:t xml:space="preserve"> services and migration of </w:t>
      </w:r>
      <w:r w:rsidR="00FB1053">
        <w:rPr>
          <w:rFonts w:cs="Arial"/>
        </w:rPr>
        <w:t>incumbent</w:t>
      </w:r>
      <w:r w:rsidRPr="00A27735">
        <w:rPr>
          <w:rFonts w:cs="Arial"/>
        </w:rPr>
        <w:t xml:space="preserve"> services is required?</w:t>
      </w:r>
    </w:p>
    <w:p w14:paraId="76DEBE68" w14:textId="2B2ACA96" w:rsidR="00A27735" w:rsidRPr="00A27735" w:rsidRDefault="00A27735" w:rsidP="00FD64A2">
      <w:pPr>
        <w:numPr>
          <w:ilvl w:val="0"/>
          <w:numId w:val="6"/>
        </w:numPr>
        <w:rPr>
          <w:rFonts w:cs="Arial"/>
        </w:rPr>
      </w:pPr>
      <w:r w:rsidRPr="00A27735">
        <w:rPr>
          <w:rFonts w:cs="Arial"/>
        </w:rPr>
        <w:t xml:space="preserve">Could services, in particular fixed services, provided in the 1.5 GHz band be migrated to new or existing mobile networks in areas where the band is re-farmed for </w:t>
      </w:r>
      <w:r w:rsidR="005A21F6">
        <w:rPr>
          <w:rFonts w:cs="Arial"/>
        </w:rPr>
        <w:t>MBB</w:t>
      </w:r>
      <w:r w:rsidRPr="00A27735">
        <w:rPr>
          <w:rFonts w:cs="Arial"/>
        </w:rPr>
        <w:t xml:space="preserve"> services?</w:t>
      </w:r>
    </w:p>
    <w:p w14:paraId="3B307231" w14:textId="6EB1BA65" w:rsidR="00E57411" w:rsidRPr="00E57411" w:rsidRDefault="00E57411" w:rsidP="00FD64A2">
      <w:pPr>
        <w:numPr>
          <w:ilvl w:val="0"/>
          <w:numId w:val="6"/>
        </w:numPr>
        <w:rPr>
          <w:rFonts w:cs="Arial"/>
        </w:rPr>
      </w:pPr>
      <w:r w:rsidRPr="00E57411">
        <w:rPr>
          <w:rFonts w:cs="Arial"/>
        </w:rPr>
        <w:t>Should existing users (some or all) be allowed to continue operation within the band either temporarily or on an ongoing basis?</w:t>
      </w:r>
    </w:p>
    <w:p w14:paraId="4C998ADB" w14:textId="23AAB908" w:rsidR="00E57411" w:rsidRPr="00E57411" w:rsidRDefault="00E57411" w:rsidP="00FD64A2">
      <w:pPr>
        <w:numPr>
          <w:ilvl w:val="0"/>
          <w:numId w:val="6"/>
        </w:numPr>
        <w:rPr>
          <w:rFonts w:cs="Arial"/>
          <w:szCs w:val="20"/>
        </w:rPr>
      </w:pPr>
      <w:r w:rsidRPr="00A27735">
        <w:rPr>
          <w:rFonts w:cs="Arial"/>
        </w:rPr>
        <w:t>What types of sharing arrangements</w:t>
      </w:r>
      <w:r w:rsidRPr="00E57411">
        <w:rPr>
          <w:rFonts w:cs="Arial"/>
          <w:szCs w:val="20"/>
        </w:rPr>
        <w:t xml:space="preserve"> </w:t>
      </w:r>
      <w:r w:rsidR="00A27735">
        <w:rPr>
          <w:rFonts w:cs="Arial"/>
          <w:szCs w:val="20"/>
        </w:rPr>
        <w:t>c</w:t>
      </w:r>
      <w:r w:rsidRPr="00E57411">
        <w:rPr>
          <w:rFonts w:cs="Arial"/>
          <w:szCs w:val="20"/>
        </w:rPr>
        <w:t xml:space="preserve">ould be put in place to facilitate coexistence between </w:t>
      </w:r>
      <w:r w:rsidR="005A21F6">
        <w:rPr>
          <w:rFonts w:cs="Arial"/>
          <w:szCs w:val="20"/>
        </w:rPr>
        <w:t>MBB</w:t>
      </w:r>
      <w:r w:rsidRPr="00E57411">
        <w:rPr>
          <w:rFonts w:cs="Arial"/>
          <w:szCs w:val="20"/>
        </w:rPr>
        <w:t xml:space="preserve"> services and existing users of the 1.5 GHz band in both the short and long term?</w:t>
      </w:r>
    </w:p>
    <w:p w14:paraId="07512089" w14:textId="678927E5" w:rsidR="00E57411" w:rsidRDefault="00E57411" w:rsidP="00FD64A2">
      <w:pPr>
        <w:numPr>
          <w:ilvl w:val="0"/>
          <w:numId w:val="6"/>
        </w:numPr>
        <w:rPr>
          <w:rFonts w:cs="Arial"/>
          <w:szCs w:val="20"/>
        </w:rPr>
      </w:pPr>
      <w:r w:rsidRPr="00E57411">
        <w:rPr>
          <w:rFonts w:eastAsiaTheme="minorHAnsi" w:cs="Arial"/>
          <w:szCs w:val="20"/>
          <w:lang w:eastAsia="en-US"/>
        </w:rPr>
        <w:t xml:space="preserve">Comment is sought on the ACMA’s proposal to progress the 1.5 GHz band to the </w:t>
      </w:r>
      <w:r w:rsidRPr="00660C0E">
        <w:rPr>
          <w:rFonts w:eastAsiaTheme="minorHAnsi" w:cs="Arial"/>
          <w:i/>
          <w:szCs w:val="20"/>
          <w:lang w:eastAsia="en-US"/>
        </w:rPr>
        <w:t xml:space="preserve">preliminary </w:t>
      </w:r>
      <w:r w:rsidR="00335B81">
        <w:rPr>
          <w:rFonts w:eastAsiaTheme="minorHAnsi" w:cs="Arial"/>
          <w:i/>
          <w:szCs w:val="20"/>
          <w:lang w:eastAsia="en-US"/>
        </w:rPr>
        <w:t>re-planning</w:t>
      </w:r>
      <w:r w:rsidRPr="00660C0E">
        <w:rPr>
          <w:rFonts w:eastAsiaTheme="minorHAnsi" w:cs="Arial"/>
          <w:i/>
          <w:szCs w:val="20"/>
          <w:lang w:eastAsia="en-US"/>
        </w:rPr>
        <w:t xml:space="preserve"> </w:t>
      </w:r>
      <w:r w:rsidRPr="00335B81">
        <w:rPr>
          <w:rFonts w:eastAsiaTheme="minorHAnsi" w:cs="Arial"/>
          <w:szCs w:val="20"/>
          <w:lang w:eastAsia="en-US"/>
        </w:rPr>
        <w:t>stage</w:t>
      </w:r>
      <w:r w:rsidRPr="00E57411">
        <w:rPr>
          <w:rFonts w:eastAsiaTheme="minorHAnsi" w:cs="Arial"/>
          <w:szCs w:val="20"/>
          <w:lang w:eastAsia="en-US"/>
        </w:rPr>
        <w:t xml:space="preserve"> of its process for consideration of additional spectrum for </w:t>
      </w:r>
      <w:r w:rsidR="005A21F6">
        <w:rPr>
          <w:rFonts w:eastAsiaTheme="minorHAnsi" w:cs="Arial"/>
          <w:szCs w:val="20"/>
          <w:lang w:eastAsia="en-US"/>
        </w:rPr>
        <w:t>MBB</w:t>
      </w:r>
      <w:r w:rsidRPr="00E57411">
        <w:rPr>
          <w:rFonts w:eastAsiaTheme="minorHAnsi" w:cs="Arial"/>
          <w:szCs w:val="20"/>
          <w:lang w:eastAsia="en-US"/>
        </w:rPr>
        <w:t xml:space="preserve"> services, as</w:t>
      </w:r>
      <w:r w:rsidRPr="00E57411">
        <w:rPr>
          <w:rFonts w:cs="Arial"/>
          <w:szCs w:val="20"/>
        </w:rPr>
        <w:t xml:space="preserve"> detailed in the ACMA’s </w:t>
      </w:r>
      <w:hyperlink r:id="rId30" w:history="1">
        <w:r w:rsidRPr="001E57E7">
          <w:rPr>
            <w:rStyle w:val="Hyperlink"/>
            <w:rFonts w:cs="Arial"/>
            <w:szCs w:val="20"/>
          </w:rPr>
          <w:t>mobile broadband strategy</w:t>
        </w:r>
      </w:hyperlink>
      <w:r w:rsidR="001E57E7">
        <w:rPr>
          <w:rFonts w:cs="Arial"/>
          <w:szCs w:val="20"/>
        </w:rPr>
        <w:t>.</w:t>
      </w:r>
    </w:p>
    <w:p w14:paraId="6D115C0E" w14:textId="13CC5AAE" w:rsidR="00CF2B74" w:rsidRPr="00CF2B74" w:rsidRDefault="00CF2B74" w:rsidP="00FD64A2">
      <w:pPr>
        <w:numPr>
          <w:ilvl w:val="0"/>
          <w:numId w:val="6"/>
        </w:numPr>
        <w:spacing w:after="80"/>
        <w:rPr>
          <w:rFonts w:eastAsiaTheme="minorHAnsi" w:cs="Arial"/>
          <w:szCs w:val="20"/>
          <w:lang w:eastAsia="en-US"/>
        </w:rPr>
      </w:pPr>
      <w:r w:rsidRPr="00CF2B74">
        <w:rPr>
          <w:rFonts w:eastAsiaTheme="minorHAnsi" w:cs="Arial"/>
          <w:szCs w:val="20"/>
          <w:lang w:eastAsia="en-US"/>
        </w:rPr>
        <w:t>To assist the ACMA in conducting a comprehensive assessment of the highest</w:t>
      </w:r>
      <w:r w:rsidR="007B4812">
        <w:rPr>
          <w:rFonts w:eastAsiaTheme="minorHAnsi" w:cs="Arial"/>
          <w:szCs w:val="20"/>
          <w:lang w:eastAsia="en-US"/>
        </w:rPr>
        <w:t>-</w:t>
      </w:r>
      <w:r w:rsidRPr="00CF2B74">
        <w:rPr>
          <w:rFonts w:eastAsiaTheme="minorHAnsi" w:cs="Arial"/>
          <w:szCs w:val="20"/>
          <w:lang w:eastAsia="en-US"/>
        </w:rPr>
        <w:t>value use for the 1.5 GHz band, responses to the following questions are requested:</w:t>
      </w:r>
    </w:p>
    <w:p w14:paraId="0A7CB142" w14:textId="71749653" w:rsidR="00CB49DD" w:rsidRPr="00CF2B74" w:rsidRDefault="00CB49DD" w:rsidP="00FD64A2">
      <w:pPr>
        <w:numPr>
          <w:ilvl w:val="0"/>
          <w:numId w:val="8"/>
        </w:numPr>
        <w:spacing w:after="80"/>
        <w:rPr>
          <w:rFonts w:eastAsiaTheme="minorHAnsi" w:cs="Arial"/>
          <w:szCs w:val="20"/>
          <w:lang w:eastAsia="en-US"/>
        </w:rPr>
      </w:pPr>
      <w:r w:rsidRPr="00CF2B74">
        <w:rPr>
          <w:rFonts w:eastAsiaTheme="minorHAnsi" w:cs="Arial"/>
          <w:szCs w:val="20"/>
          <w:lang w:eastAsia="en-US"/>
        </w:rPr>
        <w:t>Do you see demand for fixed</w:t>
      </w:r>
      <w:r w:rsidR="00A56470">
        <w:rPr>
          <w:rFonts w:eastAsiaTheme="minorHAnsi" w:cs="Arial"/>
          <w:szCs w:val="20"/>
          <w:lang w:eastAsia="en-US"/>
        </w:rPr>
        <w:t xml:space="preserve"> broadband</w:t>
      </w:r>
      <w:r w:rsidRPr="00CF2B74">
        <w:rPr>
          <w:rFonts w:eastAsiaTheme="minorHAnsi" w:cs="Arial"/>
          <w:szCs w:val="20"/>
          <w:lang w:eastAsia="en-US"/>
        </w:rPr>
        <w:t>/</w:t>
      </w:r>
      <w:r w:rsidR="005A21F6">
        <w:rPr>
          <w:rFonts w:eastAsiaTheme="minorHAnsi" w:cs="Arial"/>
          <w:szCs w:val="20"/>
          <w:lang w:eastAsia="en-US"/>
        </w:rPr>
        <w:t>MBB</w:t>
      </w:r>
      <w:r w:rsidRPr="00CF2B74">
        <w:rPr>
          <w:rFonts w:eastAsiaTheme="minorHAnsi" w:cs="Arial"/>
          <w:szCs w:val="20"/>
          <w:lang w:eastAsia="en-US"/>
        </w:rPr>
        <w:t xml:space="preserve"> services in the 1.5 GHz band? </w:t>
      </w:r>
    </w:p>
    <w:p w14:paraId="6CA8FA7B" w14:textId="49AB8023" w:rsidR="00CB49DD" w:rsidRPr="00CF2B74" w:rsidRDefault="00CB49DD" w:rsidP="00FD64A2">
      <w:pPr>
        <w:numPr>
          <w:ilvl w:val="0"/>
          <w:numId w:val="8"/>
        </w:numPr>
        <w:spacing w:after="80"/>
        <w:rPr>
          <w:rFonts w:eastAsiaTheme="minorHAnsi" w:cs="Arial"/>
          <w:szCs w:val="20"/>
          <w:lang w:eastAsia="en-US"/>
        </w:rPr>
      </w:pPr>
      <w:r w:rsidRPr="00CF2B74">
        <w:rPr>
          <w:rFonts w:eastAsiaTheme="minorHAnsi" w:cs="Arial"/>
          <w:szCs w:val="20"/>
          <w:lang w:eastAsia="en-US"/>
        </w:rPr>
        <w:t>What benefits do you envision from using the band for fixed</w:t>
      </w:r>
      <w:r w:rsidR="00A56470" w:rsidRPr="00A56470">
        <w:rPr>
          <w:rFonts w:eastAsiaTheme="minorHAnsi" w:cs="Arial"/>
          <w:szCs w:val="20"/>
          <w:lang w:eastAsia="en-US"/>
        </w:rPr>
        <w:t xml:space="preserve"> </w:t>
      </w:r>
      <w:r w:rsidR="00A56470">
        <w:rPr>
          <w:rFonts w:eastAsiaTheme="minorHAnsi" w:cs="Arial"/>
          <w:szCs w:val="20"/>
          <w:lang w:eastAsia="en-US"/>
        </w:rPr>
        <w:t>broadband/</w:t>
      </w:r>
      <w:r w:rsidR="005A21F6">
        <w:rPr>
          <w:rFonts w:eastAsiaTheme="minorHAnsi" w:cs="Arial"/>
          <w:szCs w:val="20"/>
          <w:lang w:eastAsia="en-US"/>
        </w:rPr>
        <w:t>MBB</w:t>
      </w:r>
      <w:r w:rsidRPr="00CF2B74">
        <w:rPr>
          <w:rFonts w:eastAsiaTheme="minorHAnsi" w:cs="Arial"/>
          <w:szCs w:val="20"/>
          <w:lang w:eastAsia="en-US"/>
        </w:rPr>
        <w:t xml:space="preserve"> services?</w:t>
      </w:r>
    </w:p>
    <w:p w14:paraId="299E21CB" w14:textId="680AB2A7" w:rsidR="00CB49DD" w:rsidRPr="00CF2B74" w:rsidRDefault="00CB49DD" w:rsidP="00FD64A2">
      <w:pPr>
        <w:numPr>
          <w:ilvl w:val="0"/>
          <w:numId w:val="8"/>
        </w:numPr>
        <w:spacing w:after="80"/>
        <w:rPr>
          <w:rFonts w:eastAsiaTheme="minorHAnsi" w:cs="Arial"/>
          <w:szCs w:val="20"/>
          <w:lang w:eastAsia="en-US"/>
        </w:rPr>
      </w:pPr>
      <w:r w:rsidRPr="00CF2B74">
        <w:rPr>
          <w:rFonts w:eastAsiaTheme="minorHAnsi" w:cs="Arial"/>
          <w:szCs w:val="20"/>
          <w:lang w:eastAsia="en-US"/>
        </w:rPr>
        <w:t xml:space="preserve">What are relevant data points (for example, market based allocation results) for considering the demand for 1.5 GHz band spectrum for use by </w:t>
      </w:r>
      <w:r w:rsidR="005A21F6">
        <w:rPr>
          <w:rFonts w:eastAsiaTheme="minorHAnsi" w:cs="Arial"/>
          <w:szCs w:val="20"/>
          <w:lang w:eastAsia="en-US"/>
        </w:rPr>
        <w:t>MBB</w:t>
      </w:r>
      <w:r w:rsidRPr="00CF2B74">
        <w:rPr>
          <w:rFonts w:eastAsiaTheme="minorHAnsi" w:cs="Arial"/>
          <w:szCs w:val="20"/>
          <w:lang w:eastAsia="en-US"/>
        </w:rPr>
        <w:t xml:space="preserve"> providers? </w:t>
      </w:r>
    </w:p>
    <w:p w14:paraId="32832BCF" w14:textId="00BACC4D" w:rsidR="00CB49DD" w:rsidRPr="00CF2B74" w:rsidRDefault="00CB49DD" w:rsidP="00FD64A2">
      <w:pPr>
        <w:numPr>
          <w:ilvl w:val="0"/>
          <w:numId w:val="8"/>
        </w:numPr>
        <w:spacing w:after="80"/>
        <w:rPr>
          <w:rFonts w:eastAsiaTheme="minorHAnsi" w:cs="Arial"/>
          <w:szCs w:val="20"/>
          <w:lang w:eastAsia="en-US"/>
        </w:rPr>
      </w:pPr>
      <w:r w:rsidRPr="00CF2B74">
        <w:rPr>
          <w:rFonts w:eastAsiaTheme="minorHAnsi" w:cs="Arial"/>
          <w:szCs w:val="20"/>
          <w:lang w:eastAsia="en-US"/>
        </w:rPr>
        <w:t>Is demand the same or similar across regions (</w:t>
      </w:r>
      <w:r w:rsidR="007B4812">
        <w:rPr>
          <w:rFonts w:eastAsiaTheme="minorHAnsi" w:cs="Arial"/>
          <w:szCs w:val="20"/>
          <w:lang w:eastAsia="en-US"/>
        </w:rPr>
        <w:t>that is,</w:t>
      </w:r>
      <w:r w:rsidRPr="00CF2B74">
        <w:rPr>
          <w:rFonts w:eastAsiaTheme="minorHAnsi" w:cs="Arial"/>
          <w:szCs w:val="20"/>
          <w:lang w:eastAsia="en-US"/>
        </w:rPr>
        <w:t xml:space="preserve"> across metropolitan, rural and remote areas), or are some regions more likely to be in demand for </w:t>
      </w:r>
      <w:r w:rsidR="005A21F6">
        <w:rPr>
          <w:rFonts w:eastAsiaTheme="minorHAnsi" w:cs="Arial"/>
          <w:szCs w:val="20"/>
          <w:lang w:eastAsia="en-US"/>
        </w:rPr>
        <w:t>MBB</w:t>
      </w:r>
      <w:r w:rsidRPr="00CF2B74">
        <w:rPr>
          <w:rFonts w:eastAsiaTheme="minorHAnsi" w:cs="Arial"/>
          <w:szCs w:val="20"/>
          <w:lang w:eastAsia="en-US"/>
        </w:rPr>
        <w:t xml:space="preserve"> providers?</w:t>
      </w:r>
    </w:p>
    <w:p w14:paraId="6D346D7A" w14:textId="1A5C173F" w:rsidR="00CB49DD" w:rsidRPr="00CF2B74" w:rsidRDefault="00CB49DD" w:rsidP="00FD64A2">
      <w:pPr>
        <w:numPr>
          <w:ilvl w:val="0"/>
          <w:numId w:val="8"/>
        </w:numPr>
        <w:spacing w:after="80"/>
        <w:rPr>
          <w:rFonts w:eastAsiaTheme="minorHAnsi" w:cs="Arial"/>
          <w:szCs w:val="20"/>
          <w:lang w:eastAsia="en-US"/>
        </w:rPr>
      </w:pPr>
      <w:r w:rsidRPr="00CF2B74">
        <w:rPr>
          <w:rFonts w:eastAsiaTheme="minorHAnsi" w:cs="Arial"/>
          <w:szCs w:val="20"/>
          <w:lang w:eastAsia="en-US"/>
        </w:rPr>
        <w:t>Do incumbent 1.5 GHz band licensees require ongoing access to the band, or are ther</w:t>
      </w:r>
      <w:r w:rsidR="006E0DE8">
        <w:rPr>
          <w:rFonts w:eastAsiaTheme="minorHAnsi" w:cs="Arial"/>
          <w:szCs w:val="20"/>
          <w:lang w:eastAsia="en-US"/>
        </w:rPr>
        <w:t>e</w:t>
      </w:r>
      <w:r w:rsidRPr="00CF2B74">
        <w:rPr>
          <w:rFonts w:eastAsiaTheme="minorHAnsi" w:cs="Arial"/>
          <w:szCs w:val="20"/>
          <w:lang w:eastAsia="en-US"/>
        </w:rPr>
        <w:t xml:space="preserve"> plans to cease operation at some future point? </w:t>
      </w:r>
    </w:p>
    <w:p w14:paraId="0F58D3E4" w14:textId="6911CC8F" w:rsidR="00CB49DD" w:rsidRPr="00CF2B74" w:rsidRDefault="00CB49DD" w:rsidP="00FD64A2">
      <w:pPr>
        <w:numPr>
          <w:ilvl w:val="0"/>
          <w:numId w:val="8"/>
        </w:numPr>
        <w:rPr>
          <w:rFonts w:eastAsiaTheme="minorHAnsi" w:cs="Arial"/>
          <w:szCs w:val="20"/>
          <w:lang w:eastAsia="en-US"/>
        </w:rPr>
      </w:pPr>
      <w:r w:rsidRPr="00CF2B74">
        <w:rPr>
          <w:rFonts w:eastAsiaTheme="minorHAnsi" w:cs="Arial"/>
          <w:szCs w:val="20"/>
          <w:lang w:eastAsia="en-US"/>
        </w:rPr>
        <w:t>Do other options exist for the delivery of point-to-point, point-to-multipoint, fixed receive, aeronautical and radiodetermination incumbent services? How practical are they? What are the costs involved? Will there be a dimin</w:t>
      </w:r>
      <w:r w:rsidR="006E0DE8">
        <w:rPr>
          <w:rFonts w:eastAsiaTheme="minorHAnsi" w:cs="Arial"/>
          <w:szCs w:val="20"/>
          <w:lang w:eastAsia="en-US"/>
        </w:rPr>
        <w:t>ution</w:t>
      </w:r>
      <w:r w:rsidRPr="00CF2B74">
        <w:rPr>
          <w:rFonts w:eastAsiaTheme="minorHAnsi" w:cs="Arial"/>
          <w:szCs w:val="20"/>
          <w:lang w:eastAsia="en-US"/>
        </w:rPr>
        <w:t xml:space="preserve"> of the service delivered</w:t>
      </w:r>
      <w:r w:rsidR="00A27735" w:rsidRPr="00CF2B74">
        <w:rPr>
          <w:rFonts w:eastAsiaTheme="minorHAnsi" w:cs="Arial"/>
          <w:szCs w:val="20"/>
          <w:lang w:eastAsia="en-US"/>
        </w:rPr>
        <w:t xml:space="preserve"> if </w:t>
      </w:r>
      <w:r w:rsidR="005A21F6">
        <w:rPr>
          <w:rFonts w:eastAsiaTheme="minorHAnsi" w:cs="Arial"/>
          <w:szCs w:val="20"/>
          <w:lang w:eastAsia="en-US"/>
        </w:rPr>
        <w:t>MBB</w:t>
      </w:r>
      <w:r w:rsidR="00A27735" w:rsidRPr="00CF2B74">
        <w:rPr>
          <w:rFonts w:eastAsiaTheme="minorHAnsi" w:cs="Arial"/>
          <w:szCs w:val="20"/>
          <w:lang w:eastAsia="en-US"/>
        </w:rPr>
        <w:t xml:space="preserve"> services are introduced in the band</w:t>
      </w:r>
      <w:r w:rsidRPr="00CF2B74">
        <w:rPr>
          <w:rFonts w:eastAsiaTheme="minorHAnsi" w:cs="Arial"/>
          <w:szCs w:val="20"/>
          <w:lang w:eastAsia="en-US"/>
        </w:rPr>
        <w:t>?</w:t>
      </w:r>
    </w:p>
    <w:p w14:paraId="7B7358B0" w14:textId="170AA60A" w:rsidR="001B0FF3" w:rsidRPr="006D6661" w:rsidRDefault="001B0FF3" w:rsidP="00E03708">
      <w:pPr>
        <w:pStyle w:val="BodySubHeader"/>
        <w:spacing w:after="80"/>
      </w:pPr>
      <w:r w:rsidRPr="006D6661">
        <w:t>Questions specific to the 3.6 GHz band:</w:t>
      </w:r>
    </w:p>
    <w:p w14:paraId="760959CA" w14:textId="5952A099" w:rsidR="00B42F3F" w:rsidRDefault="001E57E7" w:rsidP="00FD64A2">
      <w:pPr>
        <w:numPr>
          <w:ilvl w:val="0"/>
          <w:numId w:val="6"/>
        </w:numPr>
        <w:rPr>
          <w:rFonts w:eastAsiaTheme="minorHAnsi" w:cs="Arial"/>
          <w:szCs w:val="20"/>
          <w:lang w:eastAsia="en-US"/>
        </w:rPr>
      </w:pPr>
      <w:r w:rsidRPr="001E57E7">
        <w:rPr>
          <w:rFonts w:eastAsiaTheme="minorHAnsi" w:cs="Arial"/>
          <w:szCs w:val="20"/>
          <w:lang w:eastAsia="en-US"/>
        </w:rPr>
        <w:t>The ACMA se</w:t>
      </w:r>
      <w:r w:rsidR="00AC4D60">
        <w:rPr>
          <w:rFonts w:eastAsiaTheme="minorHAnsi" w:cs="Arial"/>
          <w:szCs w:val="20"/>
          <w:lang w:eastAsia="en-US"/>
        </w:rPr>
        <w:t>e</w:t>
      </w:r>
      <w:r w:rsidRPr="001E57E7">
        <w:rPr>
          <w:rFonts w:eastAsiaTheme="minorHAnsi" w:cs="Arial"/>
          <w:szCs w:val="20"/>
          <w:lang w:eastAsia="en-US"/>
        </w:rPr>
        <w:t xml:space="preserve">ks comment on expected future use of the 3.6 GHz band by </w:t>
      </w:r>
      <w:r w:rsidR="007B4812">
        <w:rPr>
          <w:rFonts w:eastAsiaTheme="minorHAnsi" w:cs="Arial"/>
          <w:szCs w:val="20"/>
          <w:lang w:eastAsia="en-US"/>
        </w:rPr>
        <w:t>f</w:t>
      </w:r>
      <w:r w:rsidRPr="001E57E7">
        <w:rPr>
          <w:rFonts w:eastAsiaTheme="minorHAnsi" w:cs="Arial"/>
          <w:szCs w:val="20"/>
          <w:lang w:eastAsia="en-US"/>
        </w:rPr>
        <w:t xml:space="preserve">ixed, </w:t>
      </w:r>
      <w:r w:rsidR="007B4812">
        <w:rPr>
          <w:rFonts w:eastAsiaTheme="minorHAnsi" w:cs="Arial"/>
          <w:szCs w:val="20"/>
          <w:lang w:eastAsia="en-US"/>
        </w:rPr>
        <w:t>f</w:t>
      </w:r>
      <w:r w:rsidRPr="001E57E7">
        <w:rPr>
          <w:rFonts w:eastAsiaTheme="minorHAnsi" w:cs="Arial"/>
          <w:szCs w:val="20"/>
          <w:lang w:eastAsia="en-US"/>
        </w:rPr>
        <w:t>ixed</w:t>
      </w:r>
      <w:r w:rsidR="00A56470">
        <w:rPr>
          <w:rFonts w:eastAsiaTheme="minorHAnsi" w:cs="Arial"/>
          <w:szCs w:val="20"/>
          <w:lang w:eastAsia="en-US"/>
        </w:rPr>
        <w:noBreakHyphen/>
      </w:r>
      <w:r w:rsidR="007B4812">
        <w:rPr>
          <w:rFonts w:eastAsiaTheme="minorHAnsi" w:cs="Arial"/>
          <w:szCs w:val="20"/>
          <w:lang w:eastAsia="en-US"/>
        </w:rPr>
        <w:t>s</w:t>
      </w:r>
      <w:r w:rsidRPr="001E57E7">
        <w:rPr>
          <w:rFonts w:eastAsiaTheme="minorHAnsi" w:cs="Arial"/>
          <w:szCs w:val="20"/>
          <w:lang w:eastAsia="en-US"/>
        </w:rPr>
        <w:t xml:space="preserve">atellite, </w:t>
      </w:r>
      <w:r w:rsidR="007B4812">
        <w:rPr>
          <w:rFonts w:eastAsiaTheme="minorHAnsi" w:cs="Arial"/>
          <w:szCs w:val="20"/>
          <w:lang w:eastAsia="en-US"/>
        </w:rPr>
        <w:t>a</w:t>
      </w:r>
      <w:r w:rsidRPr="001E57E7">
        <w:rPr>
          <w:rFonts w:eastAsiaTheme="minorHAnsi" w:cs="Arial"/>
          <w:szCs w:val="20"/>
          <w:lang w:eastAsia="en-US"/>
        </w:rPr>
        <w:t xml:space="preserve">mateur and </w:t>
      </w:r>
      <w:r w:rsidR="007B4812">
        <w:rPr>
          <w:rFonts w:eastAsiaTheme="minorHAnsi" w:cs="Arial"/>
          <w:szCs w:val="20"/>
          <w:lang w:eastAsia="en-US"/>
        </w:rPr>
        <w:t>r</w:t>
      </w:r>
      <w:r w:rsidRPr="001E57E7">
        <w:rPr>
          <w:rFonts w:eastAsiaTheme="minorHAnsi" w:cs="Arial"/>
          <w:szCs w:val="20"/>
          <w:lang w:eastAsia="en-US"/>
        </w:rPr>
        <w:t>adiolocation services in Australia.</w:t>
      </w:r>
    </w:p>
    <w:p w14:paraId="0D07A657" w14:textId="4D21D86F" w:rsidR="001E57E7" w:rsidRPr="00B42F3F" w:rsidRDefault="001E57E7" w:rsidP="00FD64A2">
      <w:pPr>
        <w:numPr>
          <w:ilvl w:val="0"/>
          <w:numId w:val="6"/>
        </w:numPr>
        <w:spacing w:after="80"/>
        <w:rPr>
          <w:rFonts w:eastAsiaTheme="minorHAnsi" w:cs="Arial"/>
          <w:szCs w:val="20"/>
          <w:lang w:eastAsia="en-US"/>
        </w:rPr>
      </w:pPr>
      <w:r w:rsidRPr="00B42F3F">
        <w:rPr>
          <w:rFonts w:eastAsiaTheme="minorHAnsi" w:cs="Arial"/>
          <w:szCs w:val="20"/>
          <w:lang w:eastAsia="en-US"/>
        </w:rPr>
        <w:t xml:space="preserve">If the 3.6 GHz band is re-farmed for </w:t>
      </w:r>
      <w:r w:rsidR="005A21F6">
        <w:rPr>
          <w:rFonts w:eastAsiaTheme="minorHAnsi" w:cs="Arial"/>
          <w:szCs w:val="20"/>
          <w:lang w:eastAsia="en-US"/>
        </w:rPr>
        <w:t>MBB</w:t>
      </w:r>
      <w:r w:rsidRPr="00B42F3F">
        <w:rPr>
          <w:rFonts w:eastAsiaTheme="minorHAnsi" w:cs="Arial"/>
          <w:szCs w:val="20"/>
          <w:lang w:eastAsia="en-US"/>
        </w:rPr>
        <w:t xml:space="preserve"> services:</w:t>
      </w:r>
    </w:p>
    <w:p w14:paraId="60B80327" w14:textId="77777777" w:rsidR="00B42F3F" w:rsidRDefault="00B42F3F" w:rsidP="00FD64A2">
      <w:pPr>
        <w:numPr>
          <w:ilvl w:val="0"/>
          <w:numId w:val="11"/>
        </w:numPr>
        <w:spacing w:after="80"/>
        <w:rPr>
          <w:rFonts w:eastAsiaTheme="minorHAnsi" w:cs="Arial"/>
          <w:szCs w:val="20"/>
          <w:lang w:eastAsia="en-US"/>
        </w:rPr>
      </w:pPr>
      <w:r w:rsidRPr="00B42F3F">
        <w:rPr>
          <w:rFonts w:eastAsiaTheme="minorHAnsi" w:cs="Arial"/>
          <w:szCs w:val="20"/>
          <w:lang w:eastAsia="en-US"/>
        </w:rPr>
        <w:t>Do you agree that a time division duplex (TDD) arrangement should be adopted? Why/Why not?</w:t>
      </w:r>
    </w:p>
    <w:p w14:paraId="7FB679EB" w14:textId="0E5DD2AD" w:rsidR="001E57E7" w:rsidRPr="001E57E7" w:rsidRDefault="001E57E7" w:rsidP="00FD64A2">
      <w:pPr>
        <w:numPr>
          <w:ilvl w:val="0"/>
          <w:numId w:val="11"/>
        </w:numPr>
        <w:spacing w:after="80"/>
        <w:rPr>
          <w:rFonts w:eastAsiaTheme="minorHAnsi" w:cs="Arial"/>
          <w:szCs w:val="20"/>
          <w:lang w:eastAsia="en-US"/>
        </w:rPr>
      </w:pPr>
      <w:r w:rsidRPr="001E57E7">
        <w:rPr>
          <w:rFonts w:eastAsiaTheme="minorHAnsi" w:cs="Arial"/>
          <w:szCs w:val="20"/>
          <w:lang w:eastAsia="en-US"/>
        </w:rPr>
        <w:t>Should all or only part of the band be considered for re-farming?</w:t>
      </w:r>
    </w:p>
    <w:p w14:paraId="16702C94" w14:textId="210505FC" w:rsidR="001E57E7" w:rsidRPr="001E57E7" w:rsidRDefault="001E57E7" w:rsidP="00FD64A2">
      <w:pPr>
        <w:numPr>
          <w:ilvl w:val="0"/>
          <w:numId w:val="11"/>
        </w:numPr>
        <w:rPr>
          <w:rFonts w:eastAsiaTheme="minorHAnsi" w:cs="Arial"/>
          <w:szCs w:val="20"/>
          <w:lang w:eastAsia="en-US"/>
        </w:rPr>
      </w:pPr>
      <w:r w:rsidRPr="001E57E7">
        <w:rPr>
          <w:rFonts w:eastAsiaTheme="minorHAnsi" w:cs="Arial"/>
          <w:szCs w:val="20"/>
          <w:lang w:eastAsia="en-US"/>
        </w:rPr>
        <w:t>Should different amounts of spectrum be re-farmed in different areas?</w:t>
      </w:r>
    </w:p>
    <w:p w14:paraId="2330C7F6" w14:textId="26790792" w:rsidR="001E57E7" w:rsidRPr="001E57E7" w:rsidRDefault="001E57E7" w:rsidP="00FD64A2">
      <w:pPr>
        <w:numPr>
          <w:ilvl w:val="0"/>
          <w:numId w:val="6"/>
        </w:numPr>
        <w:rPr>
          <w:rFonts w:eastAsiaTheme="minorHAnsi" w:cs="Arial"/>
          <w:szCs w:val="20"/>
          <w:lang w:eastAsia="en-US"/>
        </w:rPr>
      </w:pPr>
      <w:r w:rsidRPr="001E57E7">
        <w:rPr>
          <w:rFonts w:eastAsiaTheme="minorHAnsi" w:cs="Arial"/>
          <w:szCs w:val="20"/>
          <w:lang w:eastAsia="en-US"/>
        </w:rPr>
        <w:t xml:space="preserve">If the 3.6 GHz band is re-farmed for </w:t>
      </w:r>
      <w:r w:rsidR="005A21F6">
        <w:rPr>
          <w:rFonts w:eastAsiaTheme="minorHAnsi" w:cs="Arial"/>
          <w:szCs w:val="20"/>
          <w:lang w:eastAsia="en-US"/>
        </w:rPr>
        <w:t>MBB</w:t>
      </w:r>
      <w:r w:rsidRPr="001E57E7">
        <w:rPr>
          <w:rFonts w:eastAsiaTheme="minorHAnsi" w:cs="Arial"/>
          <w:szCs w:val="20"/>
          <w:lang w:eastAsia="en-US"/>
        </w:rPr>
        <w:t xml:space="preserve"> services, what geographical areas should be considered?</w:t>
      </w:r>
    </w:p>
    <w:p w14:paraId="2CF9D55E" w14:textId="0C243F70" w:rsidR="00046D03" w:rsidRPr="00660C0E" w:rsidRDefault="00046D03" w:rsidP="00FD64A2">
      <w:pPr>
        <w:numPr>
          <w:ilvl w:val="0"/>
          <w:numId w:val="6"/>
        </w:numPr>
        <w:rPr>
          <w:rFonts w:eastAsiaTheme="minorHAnsi" w:cs="Arial"/>
          <w:szCs w:val="20"/>
          <w:lang w:eastAsia="en-US"/>
        </w:rPr>
      </w:pPr>
      <w:r w:rsidRPr="00764291">
        <w:t xml:space="preserve">If the 3.6 GHz band is re-farmed for </w:t>
      </w:r>
      <w:r w:rsidR="005A21F6">
        <w:t>MBB</w:t>
      </w:r>
      <w:r w:rsidRPr="00764291">
        <w:t xml:space="preserve"> services, should existing users (some or all) be allowed to continue operation within the band</w:t>
      </w:r>
      <w:r w:rsidR="007B4812">
        <w:t>,</w:t>
      </w:r>
      <w:r w:rsidRPr="00764291">
        <w:t xml:space="preserve"> either temporarily or on an ongoing basis? Should/could sharing arrangements be developed? Should sharing only be considered for some services or specific licences? If yes, what kind of arrangements would be suitable to support the ongoing operation of incumbent services or specific licences? If no, why</w:t>
      </w:r>
      <w:r>
        <w:t>?</w:t>
      </w:r>
    </w:p>
    <w:p w14:paraId="58E6F083" w14:textId="65A26588" w:rsidR="001E57E7" w:rsidRPr="001E57E7" w:rsidRDefault="00046D03" w:rsidP="00FD64A2">
      <w:pPr>
        <w:numPr>
          <w:ilvl w:val="0"/>
          <w:numId w:val="6"/>
        </w:numPr>
        <w:rPr>
          <w:rFonts w:eastAsiaTheme="minorHAnsi" w:cs="Arial"/>
          <w:szCs w:val="20"/>
          <w:lang w:eastAsia="en-US"/>
        </w:rPr>
      </w:pPr>
      <w:r w:rsidRPr="00764291">
        <w:t xml:space="preserve">If the 3.6 GHz band is re-farmed for </w:t>
      </w:r>
      <w:r w:rsidR="005A21F6">
        <w:t>MBB</w:t>
      </w:r>
      <w:r w:rsidRPr="00764291">
        <w:t xml:space="preserve"> services, and migration of </w:t>
      </w:r>
      <w:r w:rsidR="00FB1053">
        <w:t>incumbent</w:t>
      </w:r>
      <w:r w:rsidRPr="00764291">
        <w:t xml:space="preserve"> services is required, are the</w:t>
      </w:r>
      <w:r w:rsidR="00FC77B8">
        <w:t>re</w:t>
      </w:r>
      <w:r w:rsidRPr="00764291">
        <w:t xml:space="preserve"> alternative spectrum or delivery options?</w:t>
      </w:r>
    </w:p>
    <w:p w14:paraId="4E58770A" w14:textId="221DF4F0" w:rsidR="001E57E7" w:rsidRPr="001E57E7" w:rsidRDefault="001E57E7" w:rsidP="00FD64A2">
      <w:pPr>
        <w:keepNext/>
        <w:numPr>
          <w:ilvl w:val="0"/>
          <w:numId w:val="6"/>
        </w:numPr>
        <w:spacing w:after="80"/>
        <w:ind w:hanging="357"/>
        <w:rPr>
          <w:rFonts w:eastAsiaTheme="minorHAnsi" w:cs="Arial"/>
          <w:szCs w:val="20"/>
          <w:lang w:eastAsia="en-US"/>
        </w:rPr>
      </w:pPr>
      <w:r w:rsidRPr="001E57E7">
        <w:rPr>
          <w:rFonts w:eastAsiaTheme="minorHAnsi" w:cs="Arial"/>
          <w:szCs w:val="20"/>
          <w:lang w:eastAsia="en-US"/>
        </w:rPr>
        <w:t xml:space="preserve">In determining whether to </w:t>
      </w:r>
      <w:r w:rsidR="00B42F3F">
        <w:rPr>
          <w:rFonts w:eastAsiaTheme="minorHAnsi" w:cs="Arial"/>
          <w:szCs w:val="20"/>
          <w:lang w:eastAsia="en-US"/>
        </w:rPr>
        <w:t>re-farm</w:t>
      </w:r>
      <w:r w:rsidR="00B42F3F" w:rsidRPr="001E57E7">
        <w:rPr>
          <w:rFonts w:eastAsiaTheme="minorHAnsi" w:cs="Arial"/>
          <w:szCs w:val="20"/>
          <w:lang w:eastAsia="en-US"/>
        </w:rPr>
        <w:t xml:space="preserve"> </w:t>
      </w:r>
      <w:r w:rsidRPr="001E57E7">
        <w:rPr>
          <w:rFonts w:eastAsiaTheme="minorHAnsi" w:cs="Arial"/>
          <w:szCs w:val="20"/>
          <w:lang w:eastAsia="en-US"/>
        </w:rPr>
        <w:t xml:space="preserve">the 3.6 GHz band for </w:t>
      </w:r>
      <w:r w:rsidR="005A21F6">
        <w:rPr>
          <w:rFonts w:eastAsiaTheme="minorHAnsi" w:cs="Arial"/>
          <w:szCs w:val="20"/>
          <w:lang w:eastAsia="en-US"/>
        </w:rPr>
        <w:t>MBB</w:t>
      </w:r>
      <w:r w:rsidRPr="001E57E7">
        <w:rPr>
          <w:rFonts w:eastAsiaTheme="minorHAnsi" w:cs="Arial"/>
          <w:szCs w:val="20"/>
          <w:lang w:eastAsia="en-US"/>
        </w:rPr>
        <w:t xml:space="preserve">, are there any adjacent band issues that should be considered? This includes:  </w:t>
      </w:r>
    </w:p>
    <w:p w14:paraId="32DBAC26" w14:textId="2CA688A8" w:rsidR="001E57E7" w:rsidRPr="001E57E7" w:rsidRDefault="001E57E7" w:rsidP="00FD64A2">
      <w:pPr>
        <w:keepNext/>
        <w:numPr>
          <w:ilvl w:val="0"/>
          <w:numId w:val="9"/>
        </w:numPr>
        <w:spacing w:after="80"/>
        <w:ind w:hanging="357"/>
        <w:rPr>
          <w:rFonts w:eastAsiaTheme="minorHAnsi" w:cs="Arial"/>
          <w:szCs w:val="20"/>
          <w:lang w:eastAsia="en-US"/>
        </w:rPr>
      </w:pPr>
      <w:r w:rsidRPr="001E57E7">
        <w:rPr>
          <w:rFonts w:eastAsiaTheme="minorHAnsi" w:cs="Arial"/>
          <w:szCs w:val="20"/>
          <w:lang w:eastAsia="en-US"/>
        </w:rPr>
        <w:t>the effect such use may have on adjacent band services</w:t>
      </w:r>
    </w:p>
    <w:p w14:paraId="30680EC3" w14:textId="0BD5686E" w:rsidR="001E57E7" w:rsidRPr="001E57E7" w:rsidRDefault="001E57E7" w:rsidP="00FD64A2">
      <w:pPr>
        <w:keepNext/>
        <w:numPr>
          <w:ilvl w:val="0"/>
          <w:numId w:val="9"/>
        </w:numPr>
        <w:ind w:hanging="357"/>
        <w:rPr>
          <w:rFonts w:eastAsiaTheme="minorHAnsi" w:cs="Arial"/>
          <w:szCs w:val="20"/>
          <w:lang w:eastAsia="en-US"/>
        </w:rPr>
      </w:pPr>
      <w:r w:rsidRPr="001E57E7">
        <w:rPr>
          <w:rFonts w:eastAsiaTheme="minorHAnsi" w:cs="Arial"/>
          <w:szCs w:val="20"/>
          <w:lang w:eastAsia="en-US"/>
        </w:rPr>
        <w:t xml:space="preserve">the effect adjacent band services may have on the utility of the 3.6 GHz band for </w:t>
      </w:r>
      <w:r w:rsidR="005A21F6">
        <w:rPr>
          <w:rFonts w:eastAsiaTheme="minorHAnsi" w:cs="Arial"/>
          <w:szCs w:val="20"/>
          <w:lang w:eastAsia="en-US"/>
        </w:rPr>
        <w:t>MBB</w:t>
      </w:r>
      <w:r w:rsidRPr="001E57E7">
        <w:rPr>
          <w:rFonts w:eastAsiaTheme="minorHAnsi" w:cs="Arial"/>
          <w:szCs w:val="20"/>
          <w:lang w:eastAsia="en-US"/>
        </w:rPr>
        <w:t xml:space="preserve"> services.</w:t>
      </w:r>
    </w:p>
    <w:p w14:paraId="63160442" w14:textId="3AFCAA5E" w:rsidR="001E57E7" w:rsidRPr="001E57E7" w:rsidRDefault="001E57E7" w:rsidP="00FD64A2">
      <w:pPr>
        <w:numPr>
          <w:ilvl w:val="0"/>
          <w:numId w:val="6"/>
        </w:numPr>
        <w:rPr>
          <w:rFonts w:eastAsiaTheme="minorHAnsi" w:cs="Arial"/>
          <w:szCs w:val="20"/>
          <w:lang w:eastAsia="en-US"/>
        </w:rPr>
      </w:pPr>
      <w:r w:rsidRPr="001E57E7">
        <w:rPr>
          <w:rFonts w:eastAsiaTheme="minorHAnsi" w:cs="Arial"/>
          <w:szCs w:val="20"/>
          <w:lang w:eastAsia="en-US"/>
        </w:rPr>
        <w:t xml:space="preserve">If the 3.6 GHz band is re-farmed for </w:t>
      </w:r>
      <w:r w:rsidR="005A21F6">
        <w:rPr>
          <w:rFonts w:eastAsiaTheme="minorHAnsi" w:cs="Arial"/>
          <w:szCs w:val="20"/>
          <w:lang w:eastAsia="en-US"/>
        </w:rPr>
        <w:t>MBB</w:t>
      </w:r>
      <w:r w:rsidRPr="001E57E7">
        <w:rPr>
          <w:rFonts w:eastAsiaTheme="minorHAnsi" w:cs="Arial"/>
          <w:szCs w:val="20"/>
          <w:lang w:eastAsia="en-US"/>
        </w:rPr>
        <w:t xml:space="preserve"> services, should the ACMA review arrangements in the broader 3400</w:t>
      </w:r>
      <w:r w:rsidR="007B4812">
        <w:rPr>
          <w:rFonts w:eastAsiaTheme="minorHAnsi" w:cs="Arial"/>
          <w:szCs w:val="20"/>
          <w:lang w:eastAsia="en-US"/>
        </w:rPr>
        <w:t>–</w:t>
      </w:r>
      <w:r w:rsidRPr="001E57E7">
        <w:rPr>
          <w:rFonts w:eastAsiaTheme="minorHAnsi" w:cs="Arial"/>
          <w:szCs w:val="20"/>
          <w:lang w:eastAsia="en-US"/>
        </w:rPr>
        <w:t>3700 MHz band? Why</w:t>
      </w:r>
      <w:r w:rsidR="00CB287F">
        <w:rPr>
          <w:rFonts w:eastAsiaTheme="minorHAnsi" w:cs="Arial"/>
          <w:szCs w:val="20"/>
          <w:lang w:eastAsia="en-US"/>
        </w:rPr>
        <w:t>/Why not</w:t>
      </w:r>
      <w:r w:rsidRPr="001E57E7">
        <w:rPr>
          <w:rFonts w:eastAsiaTheme="minorHAnsi" w:cs="Arial"/>
          <w:szCs w:val="20"/>
          <w:lang w:eastAsia="en-US"/>
        </w:rPr>
        <w:t xml:space="preserve">? </w:t>
      </w:r>
    </w:p>
    <w:p w14:paraId="5EAE4A3E" w14:textId="22873206" w:rsidR="001E57E7" w:rsidRDefault="001E57E7" w:rsidP="00FD64A2">
      <w:pPr>
        <w:numPr>
          <w:ilvl w:val="0"/>
          <w:numId w:val="6"/>
        </w:numPr>
        <w:rPr>
          <w:rFonts w:eastAsiaTheme="minorHAnsi" w:cs="Arial"/>
          <w:szCs w:val="20"/>
          <w:lang w:eastAsia="en-US"/>
        </w:rPr>
      </w:pPr>
      <w:r w:rsidRPr="001E57E7">
        <w:rPr>
          <w:rFonts w:eastAsiaTheme="minorHAnsi" w:cs="Arial"/>
          <w:szCs w:val="20"/>
          <w:lang w:eastAsia="en-US"/>
        </w:rPr>
        <w:t xml:space="preserve">Would such a review be facilitated through the </w:t>
      </w:r>
      <w:r w:rsidR="00046D03">
        <w:rPr>
          <w:rFonts w:eastAsiaTheme="minorHAnsi" w:cs="Arial"/>
          <w:szCs w:val="20"/>
          <w:lang w:eastAsia="en-US"/>
        </w:rPr>
        <w:t xml:space="preserve">alignment of geographical boundaries </w:t>
      </w:r>
      <w:r w:rsidRPr="001E57E7">
        <w:rPr>
          <w:rFonts w:eastAsiaTheme="minorHAnsi" w:cs="Arial"/>
          <w:szCs w:val="20"/>
          <w:lang w:eastAsia="en-US"/>
        </w:rPr>
        <w:t xml:space="preserve">in the 3.6 GHz band </w:t>
      </w:r>
      <w:r w:rsidR="00046D03">
        <w:rPr>
          <w:rFonts w:eastAsiaTheme="minorHAnsi" w:cs="Arial"/>
          <w:szCs w:val="20"/>
          <w:lang w:eastAsia="en-US"/>
        </w:rPr>
        <w:t xml:space="preserve">with existing </w:t>
      </w:r>
      <w:r w:rsidR="00FC77B8">
        <w:rPr>
          <w:rFonts w:eastAsiaTheme="minorHAnsi" w:cs="Arial"/>
          <w:szCs w:val="20"/>
          <w:lang w:eastAsia="en-US"/>
        </w:rPr>
        <w:t>boundaries</w:t>
      </w:r>
      <w:r w:rsidR="00046D03">
        <w:rPr>
          <w:rFonts w:eastAsiaTheme="minorHAnsi" w:cs="Arial"/>
          <w:szCs w:val="20"/>
          <w:lang w:eastAsia="en-US"/>
        </w:rPr>
        <w:t xml:space="preserve"> defined for</w:t>
      </w:r>
      <w:r w:rsidRPr="001E57E7">
        <w:rPr>
          <w:rFonts w:eastAsiaTheme="minorHAnsi" w:cs="Arial"/>
          <w:szCs w:val="20"/>
          <w:lang w:eastAsia="en-US"/>
        </w:rPr>
        <w:t xml:space="preserve"> spectrum and apparatus licensing in the 3400</w:t>
      </w:r>
      <w:r w:rsidR="007B4812">
        <w:rPr>
          <w:rFonts w:eastAsiaTheme="minorHAnsi" w:cs="Arial"/>
          <w:szCs w:val="20"/>
          <w:lang w:eastAsia="en-US"/>
        </w:rPr>
        <w:t>–</w:t>
      </w:r>
      <w:r w:rsidRPr="001E57E7">
        <w:rPr>
          <w:rFonts w:eastAsiaTheme="minorHAnsi" w:cs="Arial"/>
          <w:szCs w:val="20"/>
          <w:lang w:eastAsia="en-US"/>
        </w:rPr>
        <w:t>3575 MHz band (</w:t>
      </w:r>
      <w:r w:rsidR="007B4812">
        <w:rPr>
          <w:rFonts w:eastAsiaTheme="minorHAnsi" w:cs="Arial"/>
          <w:szCs w:val="20"/>
          <w:lang w:eastAsia="en-US"/>
        </w:rPr>
        <w:t>that is,</w:t>
      </w:r>
      <w:r w:rsidRPr="001E57E7">
        <w:rPr>
          <w:rFonts w:eastAsiaTheme="minorHAnsi" w:cs="Arial"/>
          <w:szCs w:val="20"/>
          <w:lang w:eastAsia="en-US"/>
        </w:rPr>
        <w:t xml:space="preserve"> to facilitate trading)?</w:t>
      </w:r>
    </w:p>
    <w:p w14:paraId="443F0B38" w14:textId="3796E380" w:rsidR="00251841" w:rsidRPr="001E57E7" w:rsidRDefault="00251841" w:rsidP="00FD64A2">
      <w:pPr>
        <w:numPr>
          <w:ilvl w:val="0"/>
          <w:numId w:val="6"/>
        </w:numPr>
        <w:rPr>
          <w:rFonts w:eastAsiaTheme="minorHAnsi" w:cs="Arial"/>
          <w:szCs w:val="20"/>
          <w:lang w:eastAsia="en-US"/>
        </w:rPr>
      </w:pPr>
      <w:r w:rsidRPr="00251841">
        <w:rPr>
          <w:rFonts w:eastAsiaTheme="minorHAnsi" w:cs="Arial"/>
          <w:szCs w:val="20"/>
          <w:lang w:eastAsia="en-US"/>
        </w:rPr>
        <w:t>Is there anything else that could be considered as part of the 3.6 GHz band process that may facilitate a future review of the broader 3400</w:t>
      </w:r>
      <w:r w:rsidR="007B4812">
        <w:rPr>
          <w:rFonts w:eastAsiaTheme="minorHAnsi" w:cs="Arial"/>
          <w:szCs w:val="20"/>
          <w:lang w:eastAsia="en-US"/>
        </w:rPr>
        <w:t>–</w:t>
      </w:r>
      <w:r w:rsidRPr="00251841">
        <w:rPr>
          <w:rFonts w:eastAsiaTheme="minorHAnsi" w:cs="Arial"/>
          <w:szCs w:val="20"/>
          <w:lang w:eastAsia="en-US"/>
        </w:rPr>
        <w:t>3700 MHz frequency range</w:t>
      </w:r>
      <w:r>
        <w:rPr>
          <w:rFonts w:eastAsiaTheme="minorHAnsi" w:cs="Arial"/>
          <w:szCs w:val="20"/>
          <w:lang w:eastAsia="en-US"/>
        </w:rPr>
        <w:t>?</w:t>
      </w:r>
    </w:p>
    <w:p w14:paraId="4B342F09" w14:textId="32A27EBE" w:rsidR="001E57E7" w:rsidRDefault="001E57E7" w:rsidP="00FD64A2">
      <w:pPr>
        <w:numPr>
          <w:ilvl w:val="0"/>
          <w:numId w:val="6"/>
        </w:numPr>
        <w:rPr>
          <w:rFonts w:eastAsiaTheme="minorHAnsi" w:cs="Arial"/>
          <w:szCs w:val="20"/>
          <w:lang w:eastAsia="en-US"/>
        </w:rPr>
      </w:pPr>
      <w:r w:rsidRPr="001E57E7">
        <w:rPr>
          <w:rFonts w:eastAsiaTheme="minorHAnsi" w:cs="Arial"/>
          <w:szCs w:val="20"/>
          <w:lang w:eastAsia="en-US"/>
        </w:rPr>
        <w:t>Comment is sought on the ACMA’s proposal to progress the 3</w:t>
      </w:r>
      <w:r w:rsidR="00CB49DD">
        <w:rPr>
          <w:rFonts w:eastAsiaTheme="minorHAnsi" w:cs="Arial"/>
          <w:szCs w:val="20"/>
          <w:lang w:eastAsia="en-US"/>
        </w:rPr>
        <w:t>.6</w:t>
      </w:r>
      <w:r w:rsidRPr="001E57E7">
        <w:rPr>
          <w:rFonts w:eastAsiaTheme="minorHAnsi" w:cs="Arial"/>
          <w:szCs w:val="20"/>
          <w:lang w:eastAsia="en-US"/>
        </w:rPr>
        <w:t xml:space="preserve"> GHz band to the </w:t>
      </w:r>
      <w:r w:rsidRPr="00660C0E">
        <w:rPr>
          <w:rFonts w:eastAsiaTheme="minorHAnsi" w:cs="Arial"/>
          <w:i/>
          <w:szCs w:val="20"/>
          <w:lang w:eastAsia="en-US"/>
        </w:rPr>
        <w:t xml:space="preserve">preliminary </w:t>
      </w:r>
      <w:r w:rsidR="00335B81">
        <w:rPr>
          <w:rFonts w:eastAsiaTheme="minorHAnsi" w:cs="Arial"/>
          <w:i/>
          <w:szCs w:val="20"/>
          <w:lang w:eastAsia="en-US"/>
        </w:rPr>
        <w:t>re-planning</w:t>
      </w:r>
      <w:r w:rsidRPr="00660C0E">
        <w:rPr>
          <w:rFonts w:eastAsiaTheme="minorHAnsi" w:cs="Arial"/>
          <w:i/>
          <w:szCs w:val="20"/>
          <w:lang w:eastAsia="en-US"/>
        </w:rPr>
        <w:t xml:space="preserve"> </w:t>
      </w:r>
      <w:r w:rsidRPr="00335B81">
        <w:rPr>
          <w:rFonts w:eastAsiaTheme="minorHAnsi" w:cs="Arial"/>
          <w:szCs w:val="20"/>
          <w:lang w:eastAsia="en-US"/>
        </w:rPr>
        <w:t>stage</w:t>
      </w:r>
      <w:r w:rsidRPr="001E57E7">
        <w:rPr>
          <w:rFonts w:eastAsiaTheme="minorHAnsi" w:cs="Arial"/>
          <w:szCs w:val="20"/>
          <w:lang w:eastAsia="en-US"/>
        </w:rPr>
        <w:t xml:space="preserve"> of its process for consideration of additional spectrum for </w:t>
      </w:r>
      <w:r w:rsidR="005A21F6">
        <w:rPr>
          <w:rFonts w:eastAsiaTheme="minorHAnsi" w:cs="Arial"/>
          <w:szCs w:val="20"/>
          <w:lang w:eastAsia="en-US"/>
        </w:rPr>
        <w:t>MBB</w:t>
      </w:r>
      <w:r w:rsidRPr="001E57E7">
        <w:rPr>
          <w:rFonts w:eastAsiaTheme="minorHAnsi" w:cs="Arial"/>
          <w:szCs w:val="20"/>
          <w:lang w:eastAsia="en-US"/>
        </w:rPr>
        <w:t xml:space="preserve"> services, as detailed in the ACMA’s </w:t>
      </w:r>
      <w:hyperlink r:id="rId31" w:history="1">
        <w:r w:rsidRPr="001E57E7">
          <w:rPr>
            <w:rStyle w:val="Hyperlink"/>
            <w:rFonts w:eastAsiaTheme="minorHAnsi" w:cs="Arial"/>
            <w:szCs w:val="20"/>
            <w:lang w:eastAsia="en-US"/>
          </w:rPr>
          <w:t>mobile broadband strategy</w:t>
        </w:r>
      </w:hyperlink>
      <w:r w:rsidRPr="001E57E7">
        <w:rPr>
          <w:rFonts w:eastAsiaTheme="minorHAnsi" w:cs="Arial"/>
          <w:szCs w:val="20"/>
          <w:lang w:eastAsia="en-US"/>
        </w:rPr>
        <w:t>.</w:t>
      </w:r>
    </w:p>
    <w:p w14:paraId="35ED372B" w14:textId="1EE4FF50" w:rsidR="00CB49DD" w:rsidRPr="007F2046" w:rsidRDefault="00CB49DD" w:rsidP="00FD64A2">
      <w:pPr>
        <w:numPr>
          <w:ilvl w:val="0"/>
          <w:numId w:val="6"/>
        </w:numPr>
        <w:spacing w:after="80"/>
        <w:rPr>
          <w:rFonts w:eastAsiaTheme="minorHAnsi" w:cs="Arial"/>
          <w:szCs w:val="20"/>
          <w:lang w:eastAsia="en-US"/>
        </w:rPr>
      </w:pPr>
      <w:r w:rsidRPr="007F2046">
        <w:rPr>
          <w:rFonts w:eastAsiaTheme="minorHAnsi" w:cs="Arial"/>
          <w:szCs w:val="20"/>
          <w:lang w:eastAsia="en-US"/>
        </w:rPr>
        <w:t xml:space="preserve">To assist the ACMA in conducting </w:t>
      </w:r>
      <w:r w:rsidR="007F2046" w:rsidRPr="007F2046">
        <w:rPr>
          <w:rFonts w:eastAsiaTheme="minorHAnsi" w:cs="Arial"/>
          <w:szCs w:val="20"/>
          <w:lang w:eastAsia="en-US"/>
        </w:rPr>
        <w:t>a comprehensive assessment of the highest</w:t>
      </w:r>
      <w:r w:rsidR="007B4812">
        <w:rPr>
          <w:rFonts w:eastAsiaTheme="minorHAnsi" w:cs="Arial"/>
          <w:szCs w:val="20"/>
          <w:lang w:eastAsia="en-US"/>
        </w:rPr>
        <w:t>-</w:t>
      </w:r>
      <w:r w:rsidR="007F2046" w:rsidRPr="007F2046">
        <w:rPr>
          <w:rFonts w:eastAsiaTheme="minorHAnsi" w:cs="Arial"/>
          <w:szCs w:val="20"/>
          <w:lang w:eastAsia="en-US"/>
        </w:rPr>
        <w:t>value use for the 3.6 GHz band</w:t>
      </w:r>
      <w:r w:rsidRPr="007F2046">
        <w:rPr>
          <w:rFonts w:eastAsiaTheme="minorHAnsi" w:cs="Arial"/>
          <w:szCs w:val="20"/>
          <w:lang w:eastAsia="en-US"/>
        </w:rPr>
        <w:t>, responses to the following questions are requested:</w:t>
      </w:r>
    </w:p>
    <w:p w14:paraId="50325922" w14:textId="44694C4E" w:rsidR="00CB49DD" w:rsidRPr="007F2046" w:rsidRDefault="00CB49DD" w:rsidP="00FD64A2">
      <w:pPr>
        <w:numPr>
          <w:ilvl w:val="0"/>
          <w:numId w:val="10"/>
        </w:numPr>
        <w:spacing w:after="80"/>
        <w:rPr>
          <w:rFonts w:eastAsiaTheme="minorHAnsi" w:cs="Arial"/>
          <w:szCs w:val="20"/>
          <w:lang w:eastAsia="en-US"/>
        </w:rPr>
      </w:pPr>
      <w:r w:rsidRPr="007F2046">
        <w:rPr>
          <w:rFonts w:eastAsiaTheme="minorHAnsi" w:cs="Arial"/>
          <w:szCs w:val="20"/>
          <w:lang w:eastAsia="en-US"/>
        </w:rPr>
        <w:t>Do you see increasing demand for fixed</w:t>
      </w:r>
      <w:r w:rsidR="00A56470">
        <w:rPr>
          <w:rFonts w:eastAsiaTheme="minorHAnsi" w:cs="Arial"/>
          <w:szCs w:val="20"/>
          <w:lang w:eastAsia="en-US"/>
        </w:rPr>
        <w:t xml:space="preserve"> broadband</w:t>
      </w:r>
      <w:r w:rsidRPr="007F2046">
        <w:rPr>
          <w:rFonts w:eastAsiaTheme="minorHAnsi" w:cs="Arial"/>
          <w:szCs w:val="20"/>
          <w:lang w:eastAsia="en-US"/>
        </w:rPr>
        <w:t>/</w:t>
      </w:r>
      <w:r w:rsidR="005A21F6">
        <w:rPr>
          <w:rFonts w:eastAsiaTheme="minorHAnsi" w:cs="Arial"/>
          <w:szCs w:val="20"/>
          <w:lang w:eastAsia="en-US"/>
        </w:rPr>
        <w:t>MBB</w:t>
      </w:r>
      <w:r w:rsidRPr="007F2046">
        <w:rPr>
          <w:rFonts w:eastAsiaTheme="minorHAnsi" w:cs="Arial"/>
          <w:szCs w:val="20"/>
          <w:lang w:eastAsia="en-US"/>
        </w:rPr>
        <w:t xml:space="preserve"> services in the 3.</w:t>
      </w:r>
      <w:r w:rsidR="007B4812" w:rsidRPr="007F2046">
        <w:rPr>
          <w:rFonts w:eastAsiaTheme="minorHAnsi" w:cs="Arial"/>
          <w:szCs w:val="20"/>
          <w:lang w:eastAsia="en-US"/>
        </w:rPr>
        <w:t>6</w:t>
      </w:r>
      <w:r w:rsidR="007B4812">
        <w:rPr>
          <w:rFonts w:eastAsiaTheme="minorHAnsi" w:cs="Arial"/>
          <w:szCs w:val="20"/>
          <w:lang w:eastAsia="en-US"/>
        </w:rPr>
        <w:t> </w:t>
      </w:r>
      <w:r w:rsidRPr="007F2046">
        <w:rPr>
          <w:rFonts w:eastAsiaTheme="minorHAnsi" w:cs="Arial"/>
          <w:szCs w:val="20"/>
          <w:lang w:eastAsia="en-US"/>
        </w:rPr>
        <w:t>GHz band? What benefits do you envision from using the band for fixed</w:t>
      </w:r>
      <w:r w:rsidR="00F671E5">
        <w:rPr>
          <w:rFonts w:eastAsiaTheme="minorHAnsi" w:cs="Arial"/>
          <w:szCs w:val="20"/>
          <w:lang w:eastAsia="en-US"/>
        </w:rPr>
        <w:t xml:space="preserve"> broadband</w:t>
      </w:r>
      <w:r w:rsidRPr="007F2046">
        <w:rPr>
          <w:rFonts w:eastAsiaTheme="minorHAnsi" w:cs="Arial"/>
          <w:szCs w:val="20"/>
          <w:lang w:eastAsia="en-US"/>
        </w:rPr>
        <w:t>/</w:t>
      </w:r>
      <w:r w:rsidR="005A21F6">
        <w:rPr>
          <w:rFonts w:eastAsiaTheme="minorHAnsi" w:cs="Arial"/>
          <w:szCs w:val="20"/>
          <w:lang w:eastAsia="en-US"/>
        </w:rPr>
        <w:t>MBB</w:t>
      </w:r>
      <w:r w:rsidRPr="007F2046">
        <w:rPr>
          <w:rFonts w:eastAsiaTheme="minorHAnsi" w:cs="Arial"/>
          <w:szCs w:val="20"/>
          <w:lang w:eastAsia="en-US"/>
        </w:rPr>
        <w:t xml:space="preserve"> services?</w:t>
      </w:r>
    </w:p>
    <w:p w14:paraId="36924A0A" w14:textId="6893113B" w:rsidR="00CB49DD" w:rsidRPr="007F2046" w:rsidRDefault="00CF37BD" w:rsidP="00FD64A2">
      <w:pPr>
        <w:numPr>
          <w:ilvl w:val="0"/>
          <w:numId w:val="10"/>
        </w:numPr>
        <w:spacing w:after="80"/>
        <w:rPr>
          <w:rFonts w:eastAsiaTheme="minorHAnsi" w:cs="Arial"/>
          <w:szCs w:val="20"/>
          <w:lang w:eastAsia="en-US"/>
        </w:rPr>
      </w:pPr>
      <w:r>
        <w:rPr>
          <w:rFonts w:eastAsiaTheme="minorHAnsi" w:cs="Arial"/>
          <w:szCs w:val="20"/>
          <w:lang w:eastAsia="en-US"/>
        </w:rPr>
        <w:t>Which</w:t>
      </w:r>
      <w:r w:rsidRPr="007F2046">
        <w:rPr>
          <w:rFonts w:eastAsiaTheme="minorHAnsi" w:cs="Arial"/>
          <w:szCs w:val="20"/>
          <w:lang w:eastAsia="en-US"/>
        </w:rPr>
        <w:t xml:space="preserve"> </w:t>
      </w:r>
      <w:r w:rsidR="00CB49DD" w:rsidRPr="007F2046">
        <w:rPr>
          <w:rFonts w:eastAsiaTheme="minorHAnsi" w:cs="Arial"/>
          <w:szCs w:val="20"/>
          <w:lang w:eastAsia="en-US"/>
        </w:rPr>
        <w:t>regions of Australia will be in demand for fixed</w:t>
      </w:r>
      <w:r w:rsidR="00A56470">
        <w:rPr>
          <w:rFonts w:eastAsiaTheme="minorHAnsi" w:cs="Arial"/>
          <w:szCs w:val="20"/>
          <w:lang w:eastAsia="en-US"/>
        </w:rPr>
        <w:t xml:space="preserve"> broadband</w:t>
      </w:r>
      <w:r w:rsidR="00CB49DD" w:rsidRPr="007F2046">
        <w:rPr>
          <w:rFonts w:eastAsiaTheme="minorHAnsi" w:cs="Arial"/>
          <w:szCs w:val="20"/>
          <w:lang w:eastAsia="en-US"/>
        </w:rPr>
        <w:t>/</w:t>
      </w:r>
      <w:r w:rsidR="005A21F6">
        <w:rPr>
          <w:rFonts w:eastAsiaTheme="minorHAnsi" w:cs="Arial"/>
          <w:szCs w:val="20"/>
          <w:lang w:eastAsia="en-US"/>
        </w:rPr>
        <w:t>MBB</w:t>
      </w:r>
      <w:r w:rsidR="00CB49DD" w:rsidRPr="007F2046">
        <w:rPr>
          <w:rFonts w:eastAsiaTheme="minorHAnsi" w:cs="Arial"/>
          <w:szCs w:val="20"/>
          <w:lang w:eastAsia="en-US"/>
        </w:rPr>
        <w:t xml:space="preserve"> services in the 3.6 GHz band? </w:t>
      </w:r>
    </w:p>
    <w:p w14:paraId="252F2F8F" w14:textId="6D08F3A0" w:rsidR="00CB49DD" w:rsidRPr="007F2046" w:rsidRDefault="00CB49DD" w:rsidP="00FD64A2">
      <w:pPr>
        <w:numPr>
          <w:ilvl w:val="0"/>
          <w:numId w:val="10"/>
        </w:numPr>
        <w:spacing w:after="80"/>
        <w:rPr>
          <w:rFonts w:eastAsiaTheme="minorHAnsi" w:cs="Arial"/>
          <w:szCs w:val="20"/>
          <w:lang w:eastAsia="en-US"/>
        </w:rPr>
      </w:pPr>
      <w:r w:rsidRPr="007F2046">
        <w:rPr>
          <w:rFonts w:eastAsiaTheme="minorHAnsi" w:cs="Arial"/>
          <w:szCs w:val="20"/>
          <w:lang w:eastAsia="en-US"/>
        </w:rPr>
        <w:t xml:space="preserve">Is demand the same or similar across regions, or are some regions/areas more likely to be in demand for </w:t>
      </w:r>
      <w:r w:rsidR="005A21F6">
        <w:rPr>
          <w:rFonts w:eastAsiaTheme="minorHAnsi" w:cs="Arial"/>
          <w:szCs w:val="20"/>
          <w:lang w:eastAsia="en-US"/>
        </w:rPr>
        <w:t>MBB</w:t>
      </w:r>
      <w:r w:rsidRPr="007F2046">
        <w:rPr>
          <w:rFonts w:eastAsiaTheme="minorHAnsi" w:cs="Arial"/>
          <w:szCs w:val="20"/>
          <w:lang w:eastAsia="en-US"/>
        </w:rPr>
        <w:t xml:space="preserve"> providers?</w:t>
      </w:r>
    </w:p>
    <w:p w14:paraId="1E405732" w14:textId="09B1AD1A" w:rsidR="00CB49DD" w:rsidRPr="007F2046" w:rsidRDefault="00CB49DD" w:rsidP="00FD64A2">
      <w:pPr>
        <w:numPr>
          <w:ilvl w:val="0"/>
          <w:numId w:val="10"/>
        </w:numPr>
        <w:spacing w:after="80"/>
        <w:rPr>
          <w:rFonts w:eastAsiaTheme="minorHAnsi" w:cs="Arial"/>
          <w:szCs w:val="20"/>
          <w:lang w:eastAsia="en-US"/>
        </w:rPr>
      </w:pPr>
      <w:r w:rsidRPr="007F2046">
        <w:rPr>
          <w:rFonts w:eastAsiaTheme="minorHAnsi" w:cs="Arial"/>
          <w:szCs w:val="20"/>
          <w:lang w:eastAsia="en-US"/>
        </w:rPr>
        <w:t xml:space="preserve">Do incumbent 3.6 GHz band licensees require ongoing access to the band, or are </w:t>
      </w:r>
      <w:r w:rsidR="00CF37BD">
        <w:rPr>
          <w:rFonts w:eastAsiaTheme="minorHAnsi" w:cs="Arial"/>
          <w:szCs w:val="20"/>
          <w:lang w:eastAsia="en-US"/>
        </w:rPr>
        <w:t xml:space="preserve">there </w:t>
      </w:r>
      <w:r w:rsidRPr="007F2046">
        <w:rPr>
          <w:rFonts w:eastAsiaTheme="minorHAnsi" w:cs="Arial"/>
          <w:szCs w:val="20"/>
          <w:lang w:eastAsia="en-US"/>
        </w:rPr>
        <w:t xml:space="preserve">plans to cease operation at some future point? </w:t>
      </w:r>
    </w:p>
    <w:p w14:paraId="255DCF44" w14:textId="51E7EE3D" w:rsidR="00CB49DD" w:rsidRPr="007F2046" w:rsidRDefault="00CB49DD" w:rsidP="00FD64A2">
      <w:pPr>
        <w:numPr>
          <w:ilvl w:val="0"/>
          <w:numId w:val="10"/>
        </w:numPr>
        <w:spacing w:after="80"/>
        <w:rPr>
          <w:rFonts w:eastAsiaTheme="minorHAnsi" w:cs="Arial"/>
          <w:szCs w:val="20"/>
          <w:lang w:eastAsia="en-US"/>
        </w:rPr>
      </w:pPr>
      <w:r w:rsidRPr="007F2046">
        <w:rPr>
          <w:rFonts w:eastAsiaTheme="minorHAnsi" w:cs="Arial"/>
          <w:szCs w:val="20"/>
          <w:lang w:eastAsia="en-US"/>
        </w:rPr>
        <w:t>Do other options exist for the delivery of fixed, fixed</w:t>
      </w:r>
      <w:r w:rsidR="002C5793">
        <w:rPr>
          <w:rFonts w:eastAsiaTheme="minorHAnsi" w:cs="Arial"/>
          <w:szCs w:val="20"/>
          <w:lang w:eastAsia="en-US"/>
        </w:rPr>
        <w:t>-</w:t>
      </w:r>
      <w:r w:rsidRPr="007F2046">
        <w:rPr>
          <w:rFonts w:eastAsiaTheme="minorHAnsi" w:cs="Arial"/>
          <w:szCs w:val="20"/>
          <w:lang w:eastAsia="en-US"/>
        </w:rPr>
        <w:t>satellite and amateur incumbent service</w:t>
      </w:r>
      <w:r w:rsidR="00CF37BD">
        <w:rPr>
          <w:rFonts w:eastAsiaTheme="minorHAnsi" w:cs="Arial"/>
          <w:szCs w:val="20"/>
          <w:lang w:eastAsia="en-US"/>
        </w:rPr>
        <w:t>,</w:t>
      </w:r>
      <w:r w:rsidRPr="007F2046">
        <w:rPr>
          <w:rFonts w:eastAsiaTheme="minorHAnsi" w:cs="Arial"/>
          <w:szCs w:val="20"/>
          <w:lang w:eastAsia="en-US"/>
        </w:rPr>
        <w:t xml:space="preserve"> </w:t>
      </w:r>
      <w:r w:rsidR="00CF37BD">
        <w:rPr>
          <w:rFonts w:eastAsiaTheme="minorHAnsi" w:cs="Arial"/>
          <w:szCs w:val="20"/>
          <w:lang w:eastAsia="en-US"/>
        </w:rPr>
        <w:t>h</w:t>
      </w:r>
      <w:r w:rsidRPr="007F2046">
        <w:rPr>
          <w:rFonts w:eastAsiaTheme="minorHAnsi" w:cs="Arial"/>
          <w:szCs w:val="20"/>
          <w:lang w:eastAsia="en-US"/>
        </w:rPr>
        <w:t xml:space="preserve">ow practical are they? What are the costs involved? Will there be a </w:t>
      </w:r>
      <w:r w:rsidR="00CF37BD">
        <w:rPr>
          <w:rFonts w:eastAsiaTheme="minorHAnsi" w:cs="Arial"/>
          <w:szCs w:val="20"/>
          <w:lang w:eastAsia="en-US"/>
        </w:rPr>
        <w:t>diminution</w:t>
      </w:r>
      <w:r w:rsidR="00CF37BD" w:rsidRPr="007F2046">
        <w:rPr>
          <w:rFonts w:eastAsiaTheme="minorHAnsi" w:cs="Arial"/>
          <w:szCs w:val="20"/>
          <w:lang w:eastAsia="en-US"/>
        </w:rPr>
        <w:t xml:space="preserve"> </w:t>
      </w:r>
      <w:r w:rsidRPr="007F2046">
        <w:rPr>
          <w:rFonts w:eastAsiaTheme="minorHAnsi" w:cs="Arial"/>
          <w:szCs w:val="20"/>
          <w:lang w:eastAsia="en-US"/>
        </w:rPr>
        <w:t>of the service delivered</w:t>
      </w:r>
      <w:r w:rsidR="00A27735" w:rsidRPr="007F2046">
        <w:rPr>
          <w:rFonts w:eastAsiaTheme="minorHAnsi" w:cs="Arial"/>
          <w:szCs w:val="20"/>
          <w:lang w:eastAsia="en-US"/>
        </w:rPr>
        <w:t xml:space="preserve"> if </w:t>
      </w:r>
      <w:r w:rsidR="005A21F6">
        <w:rPr>
          <w:rFonts w:eastAsiaTheme="minorHAnsi" w:cs="Arial"/>
          <w:szCs w:val="20"/>
          <w:lang w:eastAsia="en-US"/>
        </w:rPr>
        <w:t>MBB</w:t>
      </w:r>
      <w:r w:rsidR="00A27735" w:rsidRPr="007F2046">
        <w:rPr>
          <w:rFonts w:eastAsiaTheme="minorHAnsi" w:cs="Arial"/>
          <w:szCs w:val="20"/>
          <w:lang w:eastAsia="en-US"/>
        </w:rPr>
        <w:t xml:space="preserve"> services are introduced in the band</w:t>
      </w:r>
      <w:r w:rsidRPr="007F2046">
        <w:rPr>
          <w:rFonts w:eastAsiaTheme="minorHAnsi" w:cs="Arial"/>
          <w:szCs w:val="20"/>
          <w:lang w:eastAsia="en-US"/>
        </w:rPr>
        <w:t>?</w:t>
      </w:r>
    </w:p>
    <w:p w14:paraId="15F91AEC" w14:textId="7682A2BF" w:rsidR="00CB49DD" w:rsidRPr="007B4812" w:rsidRDefault="009418AD" w:rsidP="00FD64A2">
      <w:pPr>
        <w:numPr>
          <w:ilvl w:val="0"/>
          <w:numId w:val="10"/>
        </w:numPr>
        <w:rPr>
          <w:rFonts w:eastAsiaTheme="minorHAnsi" w:cs="Arial"/>
          <w:szCs w:val="20"/>
          <w:lang w:eastAsia="en-US"/>
        </w:rPr>
      </w:pPr>
      <w:r w:rsidRPr="007F2046">
        <w:rPr>
          <w:rFonts w:eastAsiaTheme="minorHAnsi" w:cs="Arial"/>
          <w:szCs w:val="20"/>
          <w:lang w:eastAsia="en-US"/>
        </w:rPr>
        <w:t xml:space="preserve">Should further consideration be given to the migration of </w:t>
      </w:r>
      <w:r w:rsidR="00FB1053">
        <w:rPr>
          <w:rFonts w:eastAsiaTheme="minorHAnsi" w:cs="Arial"/>
          <w:szCs w:val="20"/>
          <w:lang w:eastAsia="en-US"/>
        </w:rPr>
        <w:t>incumbent</w:t>
      </w:r>
      <w:r w:rsidRPr="007F2046">
        <w:rPr>
          <w:rFonts w:eastAsiaTheme="minorHAnsi" w:cs="Arial"/>
          <w:szCs w:val="20"/>
          <w:lang w:eastAsia="en-US"/>
        </w:rPr>
        <w:t xml:space="preserve"> 3.6 GHz band FSS earth stations to low density population areas?</w:t>
      </w:r>
    </w:p>
    <w:p w14:paraId="64536EB9" w14:textId="4E5E09D7" w:rsidR="00BE4C11" w:rsidRPr="000D76E0" w:rsidRDefault="00F26BE7" w:rsidP="00777BA2">
      <w:pPr>
        <w:pStyle w:val="Heading1"/>
      </w:pPr>
      <w:bookmarkStart w:id="6" w:name="_Toc459906702"/>
      <w:bookmarkStart w:id="7" w:name="_Toc464480496"/>
      <w:r>
        <w:t>Introduction</w:t>
      </w:r>
      <w:bookmarkEnd w:id="6"/>
      <w:bookmarkEnd w:id="7"/>
      <w:r w:rsidR="0042762F" w:rsidRPr="00FF3C69">
        <w:t xml:space="preserve"> </w:t>
      </w:r>
    </w:p>
    <w:p w14:paraId="32145AEC" w14:textId="01161E0E" w:rsidR="0040079A" w:rsidRDefault="00AD16ED" w:rsidP="007B4812">
      <w:r>
        <w:rPr>
          <w:szCs w:val="20"/>
        </w:rPr>
        <w:t>T</w:t>
      </w:r>
      <w:r w:rsidR="0040079A">
        <w:rPr>
          <w:szCs w:val="20"/>
        </w:rPr>
        <w:t xml:space="preserve">he ACMA </w:t>
      </w:r>
      <w:r w:rsidR="00EC40BB">
        <w:rPr>
          <w:szCs w:val="20"/>
        </w:rPr>
        <w:t>published</w:t>
      </w:r>
      <w:r w:rsidR="0040079A">
        <w:rPr>
          <w:szCs w:val="20"/>
        </w:rPr>
        <w:t xml:space="preserve"> its </w:t>
      </w:r>
      <w:hyperlink r:id="rId32" w:history="1">
        <w:r w:rsidR="0040079A" w:rsidRPr="006D6661">
          <w:rPr>
            <w:rStyle w:val="Hyperlink"/>
            <w:i/>
            <w:szCs w:val="20"/>
          </w:rPr>
          <w:t>Mobile broadband strategy</w:t>
        </w:r>
      </w:hyperlink>
      <w:r w:rsidR="0040079A">
        <w:rPr>
          <w:szCs w:val="20"/>
        </w:rPr>
        <w:t xml:space="preserve"> in February 2016</w:t>
      </w:r>
      <w:r w:rsidR="007B4812">
        <w:rPr>
          <w:szCs w:val="20"/>
        </w:rPr>
        <w:t>,</w:t>
      </w:r>
      <w:r w:rsidR="0040079A">
        <w:rPr>
          <w:szCs w:val="20"/>
        </w:rPr>
        <w:t xml:space="preserve"> along with the </w:t>
      </w:r>
      <w:hyperlink r:id="rId33" w:history="1">
        <w:r w:rsidR="0040079A" w:rsidRPr="006D6661">
          <w:rPr>
            <w:rStyle w:val="Hyperlink"/>
            <w:i/>
            <w:szCs w:val="20"/>
          </w:rPr>
          <w:t xml:space="preserve">Mobile </w:t>
        </w:r>
        <w:r w:rsidR="007B4812" w:rsidRPr="006D6661">
          <w:rPr>
            <w:rStyle w:val="Hyperlink"/>
            <w:i/>
            <w:szCs w:val="20"/>
          </w:rPr>
          <w:t>b</w:t>
        </w:r>
        <w:r w:rsidR="0040079A" w:rsidRPr="006D6661">
          <w:rPr>
            <w:rStyle w:val="Hyperlink"/>
            <w:i/>
            <w:szCs w:val="20"/>
          </w:rPr>
          <w:t>roadband work program</w:t>
        </w:r>
        <w:r w:rsidR="007B4812" w:rsidRPr="006D6661">
          <w:rPr>
            <w:rStyle w:val="Hyperlink"/>
            <w:i/>
            <w:szCs w:val="20"/>
          </w:rPr>
          <w:t>—</w:t>
        </w:r>
        <w:r w:rsidR="0040079A" w:rsidRPr="006D6661">
          <w:rPr>
            <w:rStyle w:val="Hyperlink"/>
            <w:i/>
            <w:szCs w:val="20"/>
          </w:rPr>
          <w:t>February 2016 update</w:t>
        </w:r>
      </w:hyperlink>
      <w:r w:rsidR="0040079A">
        <w:rPr>
          <w:szCs w:val="20"/>
        </w:rPr>
        <w:t xml:space="preserve">. The work program was subsequently updated in September 2016 as part of the ACMA’s </w:t>
      </w:r>
      <w:r w:rsidR="0040079A" w:rsidRPr="00660C0E">
        <w:t>Five-year spectrum outlook 2016–2020</w:t>
      </w:r>
      <w:r w:rsidR="0040079A" w:rsidRPr="00046D03">
        <w:t>.</w:t>
      </w:r>
      <w:r w:rsidR="0040079A">
        <w:t xml:space="preserve"> </w:t>
      </w:r>
    </w:p>
    <w:p w14:paraId="10A09C13" w14:textId="40B47502" w:rsidR="0040079A" w:rsidRDefault="0040079A" w:rsidP="00E03708">
      <w:r>
        <w:t>As part of the work program, the 1427</w:t>
      </w:r>
      <w:r w:rsidR="007B4812">
        <w:t>–</w:t>
      </w:r>
      <w:r>
        <w:t>1518 MHz band (the 1.5 GHz band) and the 3575</w:t>
      </w:r>
      <w:r w:rsidR="007B4812">
        <w:t>–</w:t>
      </w:r>
      <w:r>
        <w:t xml:space="preserve">3700 MHz band (the 3.6 GHz band) were included under the </w:t>
      </w:r>
      <w:r w:rsidRPr="00AC5064">
        <w:rPr>
          <w:i/>
        </w:rPr>
        <w:t>initial investigation</w:t>
      </w:r>
      <w:r>
        <w:t xml:space="preserve"> stage of the process for consideration of ad</w:t>
      </w:r>
      <w:r w:rsidRPr="00F95C2B">
        <w:t>d</w:t>
      </w:r>
      <w:r>
        <w:t xml:space="preserve">itional spectrum for </w:t>
      </w:r>
      <w:r w:rsidR="005A21F6">
        <w:t>MBB</w:t>
      </w:r>
      <w:r>
        <w:t xml:space="preserve"> services.</w:t>
      </w:r>
    </w:p>
    <w:p w14:paraId="41B7579E" w14:textId="65F9ADEF" w:rsidR="0040079A" w:rsidRDefault="0040079A" w:rsidP="007B4812">
      <w:r>
        <w:t xml:space="preserve">This paper considers the current use of the 1.5 GHz and 3.6 GHz bands internationally and in Australia. A preliminary assessment of the highest value use of the 1.5 GHz and 3.6 GHz bands is also presented. Finally, options for potential future use for </w:t>
      </w:r>
      <w:r w:rsidR="005A21F6">
        <w:t>MBB</w:t>
      </w:r>
      <w:r>
        <w:t xml:space="preserve"> services are outlined. </w:t>
      </w:r>
    </w:p>
    <w:p w14:paraId="19586E2A" w14:textId="36928C5B" w:rsidR="00C75F0F" w:rsidRPr="0040079A" w:rsidRDefault="00C75F0F" w:rsidP="00F95C2B">
      <w:pPr>
        <w:rPr>
          <w:szCs w:val="20"/>
        </w:rPr>
      </w:pPr>
      <w:r>
        <w:rPr>
          <w:szCs w:val="20"/>
        </w:rPr>
        <w:t>For simplicity in this paper</w:t>
      </w:r>
      <w:r w:rsidR="007B4812">
        <w:rPr>
          <w:szCs w:val="20"/>
        </w:rPr>
        <w:t>,</w:t>
      </w:r>
      <w:r>
        <w:rPr>
          <w:szCs w:val="20"/>
        </w:rPr>
        <w:t xml:space="preserve"> the term ‘mobile broadband’ is used to refer to a variety of different technologies and terms such as 3G, 4G, 5G and </w:t>
      </w:r>
      <w:r w:rsidR="00825760" w:rsidRPr="00E05F0A">
        <w:t xml:space="preserve">long term </w:t>
      </w:r>
      <w:r w:rsidR="00825760" w:rsidRPr="00825760">
        <w:t>evolution (LTE).</w:t>
      </w:r>
      <w:r w:rsidR="00825760" w:rsidRPr="00E05F0A">
        <w:t xml:space="preserve"> </w:t>
      </w:r>
      <w:r>
        <w:rPr>
          <w:szCs w:val="20"/>
        </w:rPr>
        <w:t xml:space="preserve">The term should also be taken to equally refer to fixed broadband systems. </w:t>
      </w:r>
    </w:p>
    <w:p w14:paraId="6EF37BEA" w14:textId="2D5B3EAE" w:rsidR="00FF3C69" w:rsidRPr="006D46E5" w:rsidRDefault="00F26BE7" w:rsidP="00FF3C69">
      <w:pPr>
        <w:pStyle w:val="Heading2"/>
      </w:pPr>
      <w:bookmarkStart w:id="8" w:name="_Toc459906703"/>
      <w:bookmarkStart w:id="9" w:name="_Toc464480497"/>
      <w:r>
        <w:t>The ACMA’s role</w:t>
      </w:r>
      <w:bookmarkEnd w:id="8"/>
      <w:bookmarkEnd w:id="9"/>
      <w:r w:rsidR="00FF3C69" w:rsidRPr="006D46E5">
        <w:t xml:space="preserve"> </w:t>
      </w:r>
    </w:p>
    <w:p w14:paraId="1B7CB8E2" w14:textId="77777777" w:rsidR="00F95C2B" w:rsidRDefault="007A4CFC" w:rsidP="00F95C2B">
      <w:pPr>
        <w:spacing w:after="80"/>
      </w:pPr>
      <w:r w:rsidRPr="00D46C83">
        <w:t xml:space="preserve">Section 9 of the </w:t>
      </w:r>
      <w:r w:rsidRPr="00D46C83">
        <w:rPr>
          <w:i/>
        </w:rPr>
        <w:t>Australian Communications and Media Authority Act 2005</w:t>
      </w:r>
      <w:r w:rsidRPr="00D46C83">
        <w:t xml:space="preserve"> (the ACMA Act) sets out the spectrum management functions of the ACMA</w:t>
      </w:r>
      <w:r>
        <w:t>,</w:t>
      </w:r>
      <w:r w:rsidRPr="00D46C83">
        <w:t xml:space="preserve"> including</w:t>
      </w:r>
      <w:r>
        <w:t xml:space="preserve"> to</w:t>
      </w:r>
      <w:r w:rsidRPr="00D46C83">
        <w:t>:</w:t>
      </w:r>
    </w:p>
    <w:p w14:paraId="3B82E039" w14:textId="5601BCCE" w:rsidR="007A4CFC" w:rsidRPr="001D501B" w:rsidRDefault="007A4CFC" w:rsidP="00F95C2B">
      <w:pPr>
        <w:pStyle w:val="ListBullet"/>
      </w:pPr>
      <w:r w:rsidRPr="001D501B">
        <w:t xml:space="preserve">manage the radiofrequency spectrum in accordance with the </w:t>
      </w:r>
      <w:r w:rsidRPr="00D85F2E">
        <w:rPr>
          <w:i/>
        </w:rPr>
        <w:t>Radiocommunications Act 1992</w:t>
      </w:r>
      <w:r w:rsidRPr="001D501B">
        <w:t xml:space="preserve"> (the Act)</w:t>
      </w:r>
    </w:p>
    <w:p w14:paraId="26E0B2DD" w14:textId="77777777" w:rsidR="007A4CFC" w:rsidRPr="00D85F2E" w:rsidRDefault="007A4CFC" w:rsidP="00F95C2B">
      <w:pPr>
        <w:pStyle w:val="ListBulletLast"/>
      </w:pPr>
      <w:r w:rsidRPr="00D85F2E">
        <w:t>advise and assist the radiocommunications community.</w:t>
      </w:r>
    </w:p>
    <w:p w14:paraId="153A9F0E" w14:textId="62FB038A" w:rsidR="007A4CFC" w:rsidRPr="000F5E0A" w:rsidRDefault="007A4CFC" w:rsidP="00F95C2B">
      <w:pPr>
        <w:spacing w:after="80"/>
        <w:rPr>
          <w:rFonts w:cs="Arial"/>
        </w:rPr>
      </w:pPr>
      <w:r w:rsidRPr="001D501B">
        <w:t>Consistent with the spectrum management functions set out in the ACMA Act, the object of the Act is to provide for management of the radiofrequency spectrum in order to (among other goals</w:t>
      </w:r>
      <w:r>
        <w:rPr>
          <w:rFonts w:cs="Arial"/>
        </w:rPr>
        <w:t>):</w:t>
      </w:r>
      <w:r>
        <w:rPr>
          <w:rStyle w:val="FootnoteReference"/>
          <w:rFonts w:cs="Arial"/>
        </w:rPr>
        <w:footnoteReference w:id="2"/>
      </w:r>
    </w:p>
    <w:p w14:paraId="04F49C9A" w14:textId="102A46DA" w:rsidR="007A4CFC" w:rsidRPr="001D501B" w:rsidRDefault="007A4CFC" w:rsidP="00F95C2B">
      <w:pPr>
        <w:pStyle w:val="ListBulletLast"/>
      </w:pPr>
      <w:r w:rsidRPr="001D501B">
        <w:t>maximise, by ensuring the efficient allocation and use of the spectrum, the overall public benefit derived from using the radiofrequency spectrum</w:t>
      </w:r>
      <w:r w:rsidR="00CF37BD">
        <w:t>.</w:t>
      </w:r>
    </w:p>
    <w:p w14:paraId="31F8A2AB" w14:textId="77777777" w:rsidR="007A4CFC" w:rsidRPr="007A4CFC" w:rsidRDefault="007A4CFC" w:rsidP="007B4812">
      <w:r w:rsidRPr="007A4CFC">
        <w:t>The ACMA takes into account both economic and broader social impacts when considering the public benefit derived from using spectrum. The economic value of spectrum is broader than the price paid for access (that is, licence charges and taxes) and the cost of equipment. It is best characterised as the impact that use of spectrum has on the Australian economy. In the absence of market failures (for example, interference or safety-of-life issues), what a user is willing to pay for the spectrum acts as a proxy for the economic value that that party expects to generate by using the spectrum.</w:t>
      </w:r>
    </w:p>
    <w:p w14:paraId="2A854B45" w14:textId="682D7EDC" w:rsidR="007A4CFC" w:rsidRPr="007A4CFC" w:rsidRDefault="007A4CFC" w:rsidP="00F95C2B">
      <w:r w:rsidRPr="007A4CFC">
        <w:t>As noted, the ACMA also takes into account broader social impacts when considering the public benefit derived from spectrum. These impacts can be characterised as ‘non-economic’</w:t>
      </w:r>
      <w:r w:rsidR="007B4812">
        <w:t>,</w:t>
      </w:r>
      <w:r w:rsidRPr="007A4CFC">
        <w:t xml:space="preserve"> in that they are not well captured by an economic framework. For example, science services, including remote monitoring of the ‘fingerprints of nature’</w:t>
      </w:r>
      <w:r w:rsidRPr="007A4CFC">
        <w:rPr>
          <w:vertAlign w:val="superscript"/>
        </w:rPr>
        <w:footnoteReference w:id="3"/>
      </w:r>
      <w:r w:rsidRPr="007A4CFC">
        <w:rPr>
          <w:vertAlign w:val="superscript"/>
        </w:rPr>
        <w:t xml:space="preserve"> </w:t>
      </w:r>
      <w:r w:rsidRPr="007A4CFC">
        <w:t xml:space="preserve">provide an enormous social benefit that is not easily quantified in dollar terms. Such services are also usually unable to gather the information they need using </w:t>
      </w:r>
      <w:r w:rsidR="00EC40BB">
        <w:t>another part of the</w:t>
      </w:r>
      <w:r w:rsidRPr="007A4CFC">
        <w:t xml:space="preserve"> spectrum. </w:t>
      </w:r>
    </w:p>
    <w:p w14:paraId="56A5650A" w14:textId="77777777" w:rsidR="007A4CFC" w:rsidRPr="007A4CFC" w:rsidRDefault="007A4CFC" w:rsidP="007B4812">
      <w:r w:rsidRPr="007A4CFC">
        <w:t xml:space="preserve">Therefore, the ACMA needs to assess the use of spectrum holistically and consult with affected stakeholders to enable informed determinations regarding the value of a particular spectrum band. </w:t>
      </w:r>
    </w:p>
    <w:p w14:paraId="4D2EBECF" w14:textId="538F6D5D" w:rsidR="007A4CFC" w:rsidRPr="00840946" w:rsidRDefault="007A4CFC" w:rsidP="00F95C2B">
      <w:pPr>
        <w:spacing w:after="80"/>
      </w:pPr>
      <w:r w:rsidRPr="00840946">
        <w:t>The ACMA is also guided by</w:t>
      </w:r>
      <w:r w:rsidR="00EC40BB">
        <w:t xml:space="preserve"> its</w:t>
      </w:r>
      <w:r w:rsidRPr="00840946">
        <w:t xml:space="preserve"> </w:t>
      </w:r>
      <w:hyperlink r:id="rId34" w:history="1">
        <w:r w:rsidRPr="00221A07">
          <w:rPr>
            <w:rStyle w:val="Hyperlink"/>
            <w:rFonts w:cs="Arial"/>
            <w:i/>
          </w:rPr>
          <w:t>Principles for Spectrum Management</w:t>
        </w:r>
      </w:hyperlink>
      <w:r w:rsidRPr="00ED09FF">
        <w:rPr>
          <w:rStyle w:val="FootnoteReference"/>
          <w:rFonts w:cs="Arial"/>
        </w:rPr>
        <w:footnoteReference w:id="4"/>
      </w:r>
      <w:r w:rsidRPr="00C8574D" w:rsidDel="00DA0B78">
        <w:rPr>
          <w:i/>
        </w:rPr>
        <w:t xml:space="preserve"> </w:t>
      </w:r>
      <w:r w:rsidRPr="00840946">
        <w:t>(the Principles), which are:</w:t>
      </w:r>
    </w:p>
    <w:p w14:paraId="155AE8B6" w14:textId="77777777" w:rsidR="007A4CFC" w:rsidRPr="00F95C2B" w:rsidRDefault="007A4CFC" w:rsidP="00F95C2B">
      <w:pPr>
        <w:pStyle w:val="ListNumber"/>
      </w:pPr>
      <w:r w:rsidRPr="00F95C2B">
        <w:t>Allocate spectrum to the highest value use or uses.</w:t>
      </w:r>
    </w:p>
    <w:p w14:paraId="5B9E5BF7" w14:textId="77777777" w:rsidR="007A4CFC" w:rsidRPr="00F95C2B" w:rsidRDefault="007A4CFC" w:rsidP="00F95C2B">
      <w:pPr>
        <w:pStyle w:val="ListNumber"/>
      </w:pPr>
      <w:r w:rsidRPr="00F95C2B">
        <w:t>Enable and encourage spectrum to move to its highest value use or uses.</w:t>
      </w:r>
    </w:p>
    <w:p w14:paraId="653B085E" w14:textId="77777777" w:rsidR="007A4CFC" w:rsidRPr="00F95C2B" w:rsidRDefault="007A4CFC" w:rsidP="00F95C2B">
      <w:pPr>
        <w:pStyle w:val="ListNumber"/>
      </w:pPr>
      <w:r w:rsidRPr="00F95C2B">
        <w:t>Use the least cost and least restrictive approach to achieving policy objectives.</w:t>
      </w:r>
    </w:p>
    <w:p w14:paraId="24BCDEBC" w14:textId="77777777" w:rsidR="007A4CFC" w:rsidRPr="001D501B" w:rsidRDefault="007A4CFC" w:rsidP="00F95C2B">
      <w:pPr>
        <w:pStyle w:val="ListNumber"/>
      </w:pPr>
      <w:r w:rsidRPr="00F95C2B">
        <w:t>To the extent</w:t>
      </w:r>
      <w:r w:rsidRPr="001D501B">
        <w:t xml:space="preserve"> possible, promote both certainty and flexibility.</w:t>
      </w:r>
    </w:p>
    <w:p w14:paraId="7CB98AF0" w14:textId="77777777" w:rsidR="007A4CFC" w:rsidRPr="001D501B" w:rsidRDefault="007A4CFC" w:rsidP="00F95C2B">
      <w:pPr>
        <w:pStyle w:val="ListNumberLast"/>
      </w:pPr>
      <w:r w:rsidRPr="001D501B">
        <w:t>Balance the cost of interference and the benefits of greater spectrum utilisation.</w:t>
      </w:r>
    </w:p>
    <w:p w14:paraId="751425AD" w14:textId="77777777" w:rsidR="007A4CFC" w:rsidRPr="001D501B" w:rsidRDefault="007A4CFC" w:rsidP="00F95C2B">
      <w:r w:rsidRPr="001D501B">
        <w:t>The ACMA achieves the goals of the object of the Act and the Principles through a balanced application of market and regulatory mechanisms.</w:t>
      </w:r>
    </w:p>
    <w:p w14:paraId="20F64DDE" w14:textId="52B15ED4" w:rsidR="007A4CFC" w:rsidRDefault="001A5E68" w:rsidP="007B4812">
      <w:r>
        <w:fldChar w:fldCharType="begin"/>
      </w:r>
      <w:r>
        <w:instrText xml:space="preserve"> REF _Ref458523917 \h </w:instrText>
      </w:r>
      <w:r>
        <w:fldChar w:fldCharType="separate"/>
      </w:r>
      <w:r w:rsidR="00FA0A5F">
        <w:rPr>
          <w:b/>
          <w:bCs/>
          <w:lang w:val="en-US"/>
        </w:rPr>
        <w:t>Error! Reference source not found.</w:t>
      </w:r>
      <w:r>
        <w:fldChar w:fldCharType="end"/>
      </w:r>
      <w:r w:rsidR="007A4CFC" w:rsidRPr="001D501B">
        <w:t xml:space="preserve"> describes the ACMA’s general approach to spectrum management decision-making. The </w:t>
      </w:r>
      <w:r w:rsidR="007A4CFC">
        <w:t>review</w:t>
      </w:r>
      <w:r w:rsidR="00CF37BD">
        <w:t>s</w:t>
      </w:r>
      <w:r w:rsidR="007A4CFC">
        <w:t xml:space="preserve"> of the 1.5 GHz and 3.6 GHz bands were </w:t>
      </w:r>
      <w:r w:rsidR="007A4CFC" w:rsidRPr="001D501B">
        <w:t xml:space="preserve">flagged in the ACMA’s </w:t>
      </w:r>
      <w:r w:rsidR="007A4CFC" w:rsidRPr="00BE736A">
        <w:rPr>
          <w:i/>
        </w:rPr>
        <w:t>Five-year spectrum outlook 201</w:t>
      </w:r>
      <w:r w:rsidR="007A4CFC">
        <w:rPr>
          <w:i/>
        </w:rPr>
        <w:t>6</w:t>
      </w:r>
      <w:r w:rsidR="007A4CFC" w:rsidRPr="00BE736A">
        <w:rPr>
          <w:i/>
        </w:rPr>
        <w:t>–20</w:t>
      </w:r>
      <w:r w:rsidR="007A4CFC">
        <w:rPr>
          <w:i/>
        </w:rPr>
        <w:t>20</w:t>
      </w:r>
      <w:r w:rsidR="007A4CFC">
        <w:t xml:space="preserve">, including in the </w:t>
      </w:r>
      <w:r w:rsidR="007A4CFC" w:rsidRPr="00FE59F9">
        <w:rPr>
          <w:i/>
        </w:rPr>
        <w:t>Mobile broadband work program</w:t>
      </w:r>
      <w:r w:rsidR="007B4812">
        <w:rPr>
          <w:i/>
        </w:rPr>
        <w:t>—</w:t>
      </w:r>
      <w:r w:rsidR="007A4CFC" w:rsidRPr="00FE59F9">
        <w:rPr>
          <w:i/>
        </w:rPr>
        <w:t>September 2016 update</w:t>
      </w:r>
      <w:r w:rsidR="007A4CFC">
        <w:t>.</w:t>
      </w:r>
      <w:r w:rsidR="007A4CFC" w:rsidRPr="001D501B">
        <w:t xml:space="preserve"> In terms of the general approach, the release of this paper falls under the ACMA’s public consultation ‘filter’. The ACMA </w:t>
      </w:r>
      <w:r w:rsidR="00B546E9">
        <w:t>will use</w:t>
      </w:r>
      <w:r w:rsidR="007A4CFC" w:rsidRPr="001D501B">
        <w:t xml:space="preserve"> the elements of its spectrum management decision framework, including the spectrum management principles, as it considers the responses to this paper and </w:t>
      </w:r>
      <w:r w:rsidR="00FE59F9">
        <w:t>continues the reviews of the 1.5 GHz and 3.6 GHz bands</w:t>
      </w:r>
      <w:r w:rsidR="007A4CFC" w:rsidRPr="001D501B">
        <w:t>.</w:t>
      </w:r>
    </w:p>
    <w:p w14:paraId="0FACC38C" w14:textId="47CBC6EE" w:rsidR="00FE427A" w:rsidRPr="00FE427A" w:rsidRDefault="00FE427A" w:rsidP="00F95C2B">
      <w:pPr>
        <w:pStyle w:val="ACMAFigureHeader"/>
        <w:rPr>
          <w:rFonts w:cs="Arial"/>
        </w:rPr>
      </w:pPr>
      <w:r w:rsidRPr="00750690">
        <w:t>Spectrum management decision framework</w:t>
      </w:r>
    </w:p>
    <w:p w14:paraId="7C008591" w14:textId="77777777" w:rsidR="007A4CFC" w:rsidRDefault="007A4CFC" w:rsidP="007A4CFC">
      <w:pPr>
        <w:pStyle w:val="ACMAFigureHeader"/>
        <w:numPr>
          <w:ilvl w:val="0"/>
          <w:numId w:val="0"/>
        </w:numPr>
        <w:ind w:left="1021" w:hanging="1021"/>
      </w:pPr>
      <w:r>
        <w:rPr>
          <w:noProof/>
        </w:rPr>
        <w:drawing>
          <wp:inline distT="0" distB="0" distL="0" distR="0" wp14:anchorId="0D3BF23F" wp14:editId="4FC921FE">
            <wp:extent cx="5479712" cy="3573850"/>
            <wp:effectExtent l="0" t="0" r="6985" b="7620"/>
            <wp:docPr id="2" name="Picture 2" title="Flow chart showing environment, priorities, filter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1381" cy="3581460"/>
                    </a:xfrm>
                    <a:prstGeom prst="rect">
                      <a:avLst/>
                    </a:prstGeom>
                  </pic:spPr>
                </pic:pic>
              </a:graphicData>
            </a:graphic>
          </wp:inline>
        </w:drawing>
      </w:r>
    </w:p>
    <w:p w14:paraId="3B10F7F3" w14:textId="77777777" w:rsidR="007A4CFC" w:rsidRDefault="007A4CFC" w:rsidP="00F95C2B">
      <w:pPr>
        <w:pStyle w:val="Heading3"/>
      </w:pPr>
      <w:bookmarkStart w:id="10" w:name="_Toc348105634"/>
      <w:bookmarkStart w:id="11" w:name="_Toc457992295"/>
      <w:bookmarkStart w:id="12" w:name="_Toc459906704"/>
      <w:bookmarkStart w:id="13" w:name="_Toc464480498"/>
      <w:r>
        <w:t xml:space="preserve">Spectrum </w:t>
      </w:r>
      <w:r w:rsidRPr="00F95C2B">
        <w:t>Review</w:t>
      </w:r>
      <w:bookmarkEnd w:id="10"/>
      <w:bookmarkEnd w:id="11"/>
      <w:bookmarkEnd w:id="12"/>
      <w:bookmarkEnd w:id="13"/>
      <w:r w:rsidRPr="006D46E5">
        <w:t xml:space="preserve"> </w:t>
      </w:r>
    </w:p>
    <w:p w14:paraId="6739C85B" w14:textId="5C0CC94A" w:rsidR="00EC40BB" w:rsidRDefault="007A4CFC" w:rsidP="00F95C2B">
      <w:r w:rsidRPr="001D501B">
        <w:t>In May 2014, the then Minister for Communications, the Hon Malcolm Turnbull MP, announced a review of Australia’s spectrum policy and management framework.</w:t>
      </w:r>
      <w:r w:rsidRPr="001D501B">
        <w:rPr>
          <w:vertAlign w:val="superscript"/>
        </w:rPr>
        <w:footnoteReference w:id="5"/>
      </w:r>
      <w:r w:rsidRPr="001D501B">
        <w:t xml:space="preserve"> The Spectrum Review looked at the changes needed to cope with the increase in demand for spectrum and changes in technology, markets and consumer preferences. The review reported to the </w:t>
      </w:r>
      <w:r w:rsidR="007B4812">
        <w:t>m</w:t>
      </w:r>
      <w:r w:rsidRPr="001D501B">
        <w:t xml:space="preserve">inister in March 2015. </w:t>
      </w:r>
    </w:p>
    <w:p w14:paraId="7BA4E320" w14:textId="77777777" w:rsidR="000E6E09" w:rsidRDefault="007A4CFC" w:rsidP="00F95C2B">
      <w:pPr>
        <w:spacing w:after="80"/>
      </w:pPr>
      <w:r w:rsidRPr="001D501B">
        <w:t xml:space="preserve">The </w:t>
      </w:r>
      <w:r w:rsidR="00EC40BB">
        <w:t xml:space="preserve">resulting </w:t>
      </w:r>
      <w:r w:rsidRPr="001D501B">
        <w:t>Spectrum Review Report</w:t>
      </w:r>
      <w:r w:rsidRPr="001D501B">
        <w:rPr>
          <w:vertAlign w:val="superscript"/>
        </w:rPr>
        <w:footnoteReference w:id="6"/>
      </w:r>
      <w:r w:rsidRPr="001D501B">
        <w:t xml:space="preserve"> outlines recommended changes to improve Australia’s spectrum policy and management framework. On 25 August 2015, the </w:t>
      </w:r>
      <w:r>
        <w:t>g</w:t>
      </w:r>
      <w:r w:rsidRPr="001D501B">
        <w:t>overnment released its response, agreeing to implement the recommendations of the Spectrum Review.</w:t>
      </w:r>
      <w:r w:rsidRPr="001D501B">
        <w:rPr>
          <w:vertAlign w:val="superscript"/>
        </w:rPr>
        <w:footnoteReference w:id="7"/>
      </w:r>
      <w:r w:rsidR="000E6E09">
        <w:t xml:space="preserve"> The main </w:t>
      </w:r>
      <w:r w:rsidR="000E6E09" w:rsidRPr="001B7006">
        <w:t>reforms include</w:t>
      </w:r>
      <w:r w:rsidR="000E6E09">
        <w:t>:</w:t>
      </w:r>
    </w:p>
    <w:p w14:paraId="7FAA3749" w14:textId="77777777" w:rsidR="000E6E09" w:rsidRPr="00F95C2B" w:rsidRDefault="000E6E09" w:rsidP="00F95C2B">
      <w:pPr>
        <w:pStyle w:val="ListBullet"/>
        <w:rPr>
          <w:rStyle w:val="IntenseReference"/>
          <w:b w:val="0"/>
          <w:bCs w:val="0"/>
          <w:smallCaps w:val="0"/>
          <w:color w:val="auto"/>
          <w:spacing w:val="0"/>
        </w:rPr>
      </w:pPr>
      <w:r w:rsidRPr="00F95C2B">
        <w:rPr>
          <w:rStyle w:val="IntenseReference"/>
          <w:b w:val="0"/>
          <w:bCs w:val="0"/>
          <w:smallCaps w:val="0"/>
          <w:color w:val="auto"/>
          <w:spacing w:val="0"/>
        </w:rPr>
        <w:t>replacing the current legislative arrangements with new legislation that removes prescriptive process and streamlines licensing, for a simpler and more flexible framework</w:t>
      </w:r>
    </w:p>
    <w:p w14:paraId="4017E4AE" w14:textId="77777777" w:rsidR="000E6E09" w:rsidRPr="00660C0E" w:rsidRDefault="000E6E09" w:rsidP="00F95C2B">
      <w:pPr>
        <w:pStyle w:val="ListBullet"/>
        <w:rPr>
          <w:rFonts w:cs="Arial"/>
        </w:rPr>
      </w:pPr>
      <w:r w:rsidRPr="00F95C2B">
        <w:rPr>
          <w:rStyle w:val="IntenseReference"/>
          <w:b w:val="0"/>
          <w:bCs w:val="0"/>
          <w:smallCaps w:val="0"/>
          <w:color w:val="auto"/>
          <w:spacing w:val="0"/>
        </w:rPr>
        <w:t>better integrating</w:t>
      </w:r>
      <w:r w:rsidRPr="00660C0E">
        <w:rPr>
          <w:rFonts w:cs="Arial"/>
        </w:rPr>
        <w:t xml:space="preserve"> the management of public sector and broadcasting spectrum to improve the consistency and integrity of the framework</w:t>
      </w:r>
    </w:p>
    <w:p w14:paraId="6FACB61C" w14:textId="77777777" w:rsidR="000E6E09" w:rsidRPr="00660C0E" w:rsidRDefault="000E6E09" w:rsidP="00F95C2B">
      <w:pPr>
        <w:pStyle w:val="ListBulletLast"/>
      </w:pPr>
      <w:r w:rsidRPr="00660C0E">
        <w:t>reviewing spectrum pricing to ensure consistent and transparent arrangements to support the efficient use of spectrum and secondary markets.</w:t>
      </w:r>
    </w:p>
    <w:p w14:paraId="152604EF" w14:textId="493DDE55" w:rsidR="007A4CFC" w:rsidRPr="001D501B" w:rsidRDefault="000E6E09" w:rsidP="007B4812">
      <w:r>
        <w:t>O</w:t>
      </w:r>
      <w:r w:rsidRPr="001D501B">
        <w:t>n 10 March 2016</w:t>
      </w:r>
      <w:r>
        <w:t>, t</w:t>
      </w:r>
      <w:r w:rsidR="007A4CFC" w:rsidRPr="001D501B">
        <w:t xml:space="preserve">he </w:t>
      </w:r>
      <w:r w:rsidR="007B4812">
        <w:t>g</w:t>
      </w:r>
      <w:r w:rsidR="007A4CFC" w:rsidRPr="001D501B">
        <w:t xml:space="preserve">overnment released a </w:t>
      </w:r>
      <w:r w:rsidR="007A4CFC" w:rsidRPr="001D501B">
        <w:rPr>
          <w:i/>
        </w:rPr>
        <w:t>Legislative Proposals Consultation Paper</w:t>
      </w:r>
      <w:r w:rsidR="002737F5" w:rsidRPr="002737F5">
        <w:rPr>
          <w:rStyle w:val="FootnoteReference"/>
        </w:rPr>
        <w:footnoteReference w:id="8"/>
      </w:r>
      <w:r w:rsidR="007A4CFC" w:rsidRPr="001D501B">
        <w:t xml:space="preserve"> on its proposed approach to </w:t>
      </w:r>
      <w:r w:rsidR="007A4CFC">
        <w:t>new radiocommunications legislation</w:t>
      </w:r>
      <w:r w:rsidR="007A4CFC" w:rsidRPr="001D501B">
        <w:t>. The proposed legislation seeks to make Australia’s spectrum framework simpler, more efficient and flexible to use and better support innovative communication technologies and services.</w:t>
      </w:r>
    </w:p>
    <w:p w14:paraId="6E97F8AC" w14:textId="009BFE8F" w:rsidR="007A4CFC" w:rsidRDefault="007A4CFC" w:rsidP="00F95C2B">
      <w:pPr>
        <w:spacing w:after="80"/>
      </w:pPr>
      <w:r>
        <w:t>The Spectrum Review indicated that transitional arrangements would need to be worked through carefully with stakeholders</w:t>
      </w:r>
      <w:r w:rsidR="007B4812">
        <w:t>,</w:t>
      </w:r>
      <w:r>
        <w:t xml:space="preserve"> and that the full transition to a new framework would take place over a number of years. It is proposed that:</w:t>
      </w:r>
      <w:r w:rsidRPr="00CD691F">
        <w:t xml:space="preserve"> </w:t>
      </w:r>
    </w:p>
    <w:p w14:paraId="474A6BDC" w14:textId="2FD515C4" w:rsidR="007A4CFC" w:rsidRPr="001D501B" w:rsidRDefault="007A4CFC" w:rsidP="00F95C2B">
      <w:pPr>
        <w:pStyle w:val="ListBullet"/>
      </w:pPr>
      <w:r w:rsidRPr="001D501B">
        <w:t>licensing processes currently underway will continue under the current framework</w:t>
      </w:r>
    </w:p>
    <w:p w14:paraId="0D18ADFE" w14:textId="1CB0CB82" w:rsidR="007A4CFC" w:rsidRPr="001D501B" w:rsidRDefault="007A4CFC" w:rsidP="00F95C2B">
      <w:pPr>
        <w:pStyle w:val="ListBullet"/>
      </w:pPr>
      <w:r w:rsidRPr="001D501B">
        <w:t xml:space="preserve">where practicable, class licences will be deemed as spectrum authorisations on commencement of the </w:t>
      </w:r>
      <w:r>
        <w:t>new legislation</w:t>
      </w:r>
    </w:p>
    <w:p w14:paraId="06D79F4D" w14:textId="457C02C2" w:rsidR="007A4CFC" w:rsidRPr="001D501B" w:rsidRDefault="007A4CFC" w:rsidP="00F95C2B">
      <w:pPr>
        <w:pStyle w:val="ListBullet"/>
      </w:pPr>
      <w:r w:rsidRPr="001D501B">
        <w:t>apparatus licences will transition to the new framework over a period of time in a staged approach</w:t>
      </w:r>
    </w:p>
    <w:p w14:paraId="1906FF07" w14:textId="5D7DF869" w:rsidR="007A4CFC" w:rsidRPr="00D85F2E" w:rsidRDefault="007A4CFC" w:rsidP="00F95C2B">
      <w:pPr>
        <w:pStyle w:val="ListBulletLast"/>
      </w:pPr>
      <w:r w:rsidRPr="00D85F2E">
        <w:t>spectrum licences will continue until expiry</w:t>
      </w:r>
      <w:r w:rsidR="007B4812">
        <w:t>,</w:t>
      </w:r>
      <w:r w:rsidRPr="00D85F2E">
        <w:t xml:space="preserve"> unless the parties agree to transition earlier.</w:t>
      </w:r>
    </w:p>
    <w:p w14:paraId="6BFA948C" w14:textId="7D9D7710" w:rsidR="00FF3C69" w:rsidRDefault="00FE59F9" w:rsidP="00F95C2B">
      <w:pPr>
        <w:rPr>
          <w:rFonts w:cs="Arial"/>
        </w:rPr>
      </w:pPr>
      <w:r>
        <w:t>Given the time frames associated with any changes in arrangements in the 1.5 GHz and 3.6 GHz band</w:t>
      </w:r>
      <w:r w:rsidR="00CF37BD">
        <w:t>s</w:t>
      </w:r>
      <w:r>
        <w:t>, it is envisaged that a</w:t>
      </w:r>
      <w:r w:rsidR="007A4CFC" w:rsidRPr="001D501B">
        <w:t xml:space="preserve">ny </w:t>
      </w:r>
      <w:r>
        <w:t xml:space="preserve">new </w:t>
      </w:r>
      <w:r w:rsidR="007A4CFC" w:rsidRPr="001D501B">
        <w:t xml:space="preserve">arrangements </w:t>
      </w:r>
      <w:r>
        <w:t xml:space="preserve">would be </w:t>
      </w:r>
      <w:r w:rsidR="007A4CFC" w:rsidRPr="001D501B">
        <w:t xml:space="preserve">developed </w:t>
      </w:r>
      <w:r>
        <w:t xml:space="preserve">under the </w:t>
      </w:r>
      <w:r w:rsidR="00EC40BB">
        <w:t xml:space="preserve">anticipated </w:t>
      </w:r>
      <w:r>
        <w:t xml:space="preserve">new regulatory regime. However, if new arrangements are developed under the </w:t>
      </w:r>
      <w:r w:rsidR="007A4CFC" w:rsidRPr="001D501B">
        <w:t>existing regulatory regime</w:t>
      </w:r>
      <w:r>
        <w:t xml:space="preserve">, it is acknowledged that these arrangements would </w:t>
      </w:r>
      <w:r w:rsidR="007A4CFC" w:rsidRPr="001D501B">
        <w:t>need to be transitioned to the new regime in line with transitional arrangements for the broader Spectrum Review.</w:t>
      </w:r>
    </w:p>
    <w:p w14:paraId="44215785" w14:textId="3FE2E7D0" w:rsidR="00F26BE7" w:rsidRPr="006D46E5" w:rsidRDefault="00F26BE7" w:rsidP="00F95C2B">
      <w:pPr>
        <w:pStyle w:val="Heading2"/>
      </w:pPr>
      <w:bookmarkStart w:id="14" w:name="_Toc459906705"/>
      <w:bookmarkStart w:id="15" w:name="_Toc464480499"/>
      <w:r w:rsidRPr="00F95C2B">
        <w:t>Background</w:t>
      </w:r>
      <w:bookmarkEnd w:id="14"/>
      <w:bookmarkEnd w:id="15"/>
    </w:p>
    <w:p w14:paraId="5A752BC9" w14:textId="3C636458" w:rsidR="00F26BE7" w:rsidRDefault="00F26BE7" w:rsidP="00F95C2B">
      <w:pPr>
        <w:pStyle w:val="Heading3"/>
      </w:pPr>
      <w:bookmarkStart w:id="16" w:name="_Toc459906706"/>
      <w:bookmarkStart w:id="17" w:name="_Toc464480500"/>
      <w:r>
        <w:t xml:space="preserve">Mobile broadband </w:t>
      </w:r>
      <w:r w:rsidRPr="00F95C2B">
        <w:t>strategy</w:t>
      </w:r>
      <w:r>
        <w:t xml:space="preserve"> and work program</w:t>
      </w:r>
      <w:bookmarkEnd w:id="16"/>
      <w:bookmarkEnd w:id="17"/>
      <w:r w:rsidRPr="006D46E5">
        <w:t xml:space="preserve"> </w:t>
      </w:r>
    </w:p>
    <w:p w14:paraId="1D9EE695" w14:textId="28B96DC2" w:rsidR="00FE427A" w:rsidRDefault="001A5E68" w:rsidP="00F95C2B">
      <w:r>
        <w:fldChar w:fldCharType="begin"/>
      </w:r>
      <w:r>
        <w:instrText xml:space="preserve"> REF _Ref458524012 \h </w:instrText>
      </w:r>
      <w:r>
        <w:fldChar w:fldCharType="separate"/>
      </w:r>
      <w:r w:rsidR="00FA0A5F">
        <w:rPr>
          <w:b/>
          <w:bCs/>
          <w:lang w:val="en-US"/>
        </w:rPr>
        <w:t>Error! Reference source not found.</w:t>
      </w:r>
      <w:r>
        <w:fldChar w:fldCharType="end"/>
      </w:r>
      <w:r>
        <w:t xml:space="preserve"> </w:t>
      </w:r>
      <w:r w:rsidR="00E96226">
        <w:t xml:space="preserve">shows the stages of the process for consideration of additional spectrum for </w:t>
      </w:r>
      <w:r w:rsidR="005A21F6">
        <w:t>MBB</w:t>
      </w:r>
      <w:r w:rsidR="00E96226">
        <w:t xml:space="preserve"> services</w:t>
      </w:r>
      <w:r w:rsidR="00C76057">
        <w:t xml:space="preserve"> from the ACMA’s </w:t>
      </w:r>
      <w:hyperlink r:id="rId36" w:history="1">
        <w:r w:rsidR="003261DC">
          <w:rPr>
            <w:rStyle w:val="Hyperlink"/>
          </w:rPr>
          <w:t>m</w:t>
        </w:r>
        <w:r w:rsidR="00C76057" w:rsidRPr="003261DC">
          <w:rPr>
            <w:rStyle w:val="Hyperlink"/>
          </w:rPr>
          <w:t>obile broadband strategy</w:t>
        </w:r>
      </w:hyperlink>
      <w:r w:rsidR="00E96226">
        <w:t xml:space="preserve">. The 1.5 GHz and 3.6 GHz bands are currently in the </w:t>
      </w:r>
      <w:r w:rsidR="00E96226" w:rsidRPr="00AC5064">
        <w:rPr>
          <w:i/>
        </w:rPr>
        <w:t>initial investigation</w:t>
      </w:r>
      <w:r w:rsidR="00E96226">
        <w:t xml:space="preserve"> stage. </w:t>
      </w:r>
    </w:p>
    <w:p w14:paraId="59D240CA" w14:textId="10567141" w:rsidR="00E96226" w:rsidRPr="00FE427A" w:rsidRDefault="00FE427A" w:rsidP="00E03708">
      <w:pPr>
        <w:pStyle w:val="ACMATableHeader"/>
        <w:keepNext/>
      </w:pPr>
      <w:r>
        <w:t xml:space="preserve">Stages of the process for consideration of additional spectrum for </w:t>
      </w:r>
      <w:r w:rsidR="005A21F6">
        <w:t>MBB</w:t>
      </w:r>
      <w:r>
        <w:t xml:space="preserve"> services</w:t>
      </w:r>
    </w:p>
    <w:tbl>
      <w:tblPr>
        <w:tblW w:w="9504"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2: Stages of the process for consideration of additional spectrum for mobile broadband services"/>
      </w:tblPr>
      <w:tblGrid>
        <w:gridCol w:w="1418"/>
        <w:gridCol w:w="1435"/>
        <w:gridCol w:w="6651"/>
      </w:tblGrid>
      <w:tr w:rsidR="00464960" w:rsidRPr="006D46E5" w14:paraId="713FBCF7" w14:textId="6BA2C185" w:rsidTr="00D43B35">
        <w:trPr>
          <w:tblHeader/>
        </w:trPr>
        <w:tc>
          <w:tcPr>
            <w:tcW w:w="2853" w:type="dxa"/>
            <w:gridSpan w:val="2"/>
            <w:shd w:val="clear" w:color="auto" w:fill="404040" w:themeFill="text1" w:themeFillTint="BF"/>
          </w:tcPr>
          <w:p w14:paraId="720C6118" w14:textId="77777777" w:rsidR="00464960" w:rsidRPr="007B4812" w:rsidRDefault="00464960" w:rsidP="001056B9">
            <w:pPr>
              <w:pStyle w:val="TableHeading"/>
              <w:keepNext/>
              <w:keepLines/>
              <w:rPr>
                <w:rFonts w:cs="Arial"/>
                <w:color w:val="FFFFFF" w:themeColor="background1"/>
              </w:rPr>
            </w:pPr>
            <w:r w:rsidRPr="007B4812">
              <w:rPr>
                <w:rFonts w:cs="Arial"/>
                <w:color w:val="FFFFFF" w:themeColor="background1"/>
              </w:rPr>
              <w:t>Stage</w:t>
            </w:r>
          </w:p>
        </w:tc>
        <w:tc>
          <w:tcPr>
            <w:tcW w:w="6651" w:type="dxa"/>
            <w:shd w:val="clear" w:color="auto" w:fill="404040" w:themeFill="text1" w:themeFillTint="BF"/>
          </w:tcPr>
          <w:p w14:paraId="5FF5BC25" w14:textId="77777777" w:rsidR="00464960" w:rsidRPr="00E03708" w:rsidRDefault="00464960" w:rsidP="00E03708">
            <w:pPr>
              <w:pStyle w:val="TableHeading"/>
              <w:rPr>
                <w:color w:val="FFFFFF" w:themeColor="background1"/>
              </w:rPr>
            </w:pPr>
            <w:r w:rsidRPr="007B4812">
              <w:rPr>
                <w:color w:val="FFFFFF" w:themeColor="background1"/>
              </w:rPr>
              <w:t>Description</w:t>
            </w:r>
          </w:p>
        </w:tc>
      </w:tr>
      <w:tr w:rsidR="00464960" w:rsidRPr="006D46E5" w14:paraId="4FCA9161" w14:textId="604A92FD" w:rsidTr="00D43B35">
        <w:tc>
          <w:tcPr>
            <w:tcW w:w="2853" w:type="dxa"/>
            <w:gridSpan w:val="2"/>
            <w:tcBorders>
              <w:bottom w:val="single" w:sz="4" w:space="0" w:color="auto"/>
            </w:tcBorders>
            <w:shd w:val="clear" w:color="auto" w:fill="auto"/>
          </w:tcPr>
          <w:p w14:paraId="354154A7" w14:textId="77777777" w:rsidR="00464960" w:rsidRPr="006D46E5" w:rsidRDefault="00464960" w:rsidP="001056B9">
            <w:pPr>
              <w:pStyle w:val="TableBody"/>
              <w:keepNext/>
              <w:keepLines/>
              <w:rPr>
                <w:rFonts w:cs="Arial"/>
              </w:rPr>
            </w:pPr>
            <w:r>
              <w:rPr>
                <w:rFonts w:cs="Arial"/>
              </w:rPr>
              <w:t>Monitoring</w:t>
            </w:r>
          </w:p>
        </w:tc>
        <w:tc>
          <w:tcPr>
            <w:tcW w:w="6651" w:type="dxa"/>
            <w:tcBorders>
              <w:bottom w:val="single" w:sz="4" w:space="0" w:color="auto"/>
            </w:tcBorders>
            <w:shd w:val="clear" w:color="auto" w:fill="auto"/>
          </w:tcPr>
          <w:p w14:paraId="26596D80" w14:textId="5F437FF6" w:rsidR="00464960" w:rsidRPr="006D46E5" w:rsidRDefault="00464960" w:rsidP="001056B9">
            <w:pPr>
              <w:pStyle w:val="TableBody"/>
              <w:keepNext/>
              <w:keepLines/>
              <w:rPr>
                <w:rFonts w:cs="Arial"/>
              </w:rPr>
            </w:pPr>
            <w:r w:rsidRPr="00D60BD6">
              <w:rPr>
                <w:rFonts w:cs="Arial"/>
              </w:rPr>
              <w:t>‘Business</w:t>
            </w:r>
            <w:r>
              <w:rPr>
                <w:rFonts w:cs="Arial"/>
              </w:rPr>
              <w:t>-</w:t>
            </w:r>
            <w:r w:rsidRPr="00D60BD6">
              <w:rPr>
                <w:rFonts w:cs="Arial"/>
              </w:rPr>
              <w:t>as</w:t>
            </w:r>
            <w:r>
              <w:rPr>
                <w:rFonts w:cs="Arial"/>
              </w:rPr>
              <w:t>-</w:t>
            </w:r>
            <w:r w:rsidRPr="00D60BD6">
              <w:rPr>
                <w:rFonts w:cs="Arial"/>
              </w:rPr>
              <w:t xml:space="preserve">usual’ </w:t>
            </w:r>
            <w:r w:rsidRPr="00D60BD6">
              <w:rPr>
                <w:rFonts w:cs="Arial"/>
                <w:b/>
                <w:bCs/>
              </w:rPr>
              <w:t>monitoring</w:t>
            </w:r>
            <w:r w:rsidRPr="00D60BD6">
              <w:rPr>
                <w:rFonts w:cs="Arial"/>
              </w:rPr>
              <w:t xml:space="preserve"> of international and domestic </w:t>
            </w:r>
            <w:r w:rsidR="005A21F6">
              <w:rPr>
                <w:rFonts w:cs="Arial"/>
              </w:rPr>
              <w:t>MBB</w:t>
            </w:r>
            <w:r w:rsidRPr="00D60BD6">
              <w:rPr>
                <w:rFonts w:cs="Arial"/>
              </w:rPr>
              <w:t xml:space="preserve"> spectrum trends. </w:t>
            </w:r>
          </w:p>
        </w:tc>
      </w:tr>
      <w:tr w:rsidR="00464960" w:rsidRPr="006D46E5" w14:paraId="4638D621" w14:textId="19663D2F" w:rsidTr="00E03708">
        <w:tc>
          <w:tcPr>
            <w:tcW w:w="2853" w:type="dxa"/>
            <w:gridSpan w:val="2"/>
            <w:shd w:val="clear" w:color="auto" w:fill="F2F2F2" w:themeFill="background1" w:themeFillShade="F2"/>
          </w:tcPr>
          <w:p w14:paraId="293813D3" w14:textId="77777777" w:rsidR="00464960" w:rsidRPr="006D46E5" w:rsidRDefault="00464960" w:rsidP="001056B9">
            <w:pPr>
              <w:pStyle w:val="TableBody"/>
              <w:keepNext/>
              <w:keepLines/>
              <w:rPr>
                <w:rFonts w:cs="Arial"/>
              </w:rPr>
            </w:pPr>
            <w:r>
              <w:rPr>
                <w:rFonts w:cs="Arial"/>
              </w:rPr>
              <w:t>Initial investigation</w:t>
            </w:r>
          </w:p>
        </w:tc>
        <w:tc>
          <w:tcPr>
            <w:tcW w:w="6651" w:type="dxa"/>
            <w:shd w:val="clear" w:color="auto" w:fill="F2F2F2" w:themeFill="background1" w:themeFillShade="F2"/>
          </w:tcPr>
          <w:p w14:paraId="675D5A78" w14:textId="77777777" w:rsidR="00464960" w:rsidRPr="00D60BD6" w:rsidRDefault="00464960" w:rsidP="001056B9">
            <w:pPr>
              <w:pStyle w:val="TableBody"/>
              <w:keepNext/>
              <w:keepLines/>
              <w:spacing w:after="120"/>
              <w:rPr>
                <w:rFonts w:cs="Arial"/>
              </w:rPr>
            </w:pPr>
            <w:r w:rsidRPr="00D60BD6">
              <w:rPr>
                <w:rFonts w:cs="Arial"/>
              </w:rPr>
              <w:t xml:space="preserve">Initial investigation and scoping of potential </w:t>
            </w:r>
            <w:r w:rsidRPr="00D60BD6">
              <w:rPr>
                <w:rFonts w:cs="Arial"/>
                <w:b/>
                <w:bCs/>
              </w:rPr>
              <w:t>options</w:t>
            </w:r>
            <w:r w:rsidRPr="00D60BD6">
              <w:rPr>
                <w:rFonts w:cs="Arial"/>
              </w:rPr>
              <w:t xml:space="preserve"> for domestic re-farming of a band</w:t>
            </w:r>
            <w:r>
              <w:rPr>
                <w:rFonts w:cs="Arial"/>
              </w:rPr>
              <w:t>,</w:t>
            </w:r>
            <w:r w:rsidRPr="00D60BD6">
              <w:rPr>
                <w:rFonts w:cs="Arial"/>
              </w:rPr>
              <w:t xml:space="preserve"> informed by preliminary technical assessment.</w:t>
            </w:r>
          </w:p>
          <w:p w14:paraId="03649F1D" w14:textId="77777777" w:rsidR="00464960" w:rsidRPr="006D46E5" w:rsidRDefault="00464960" w:rsidP="001056B9">
            <w:pPr>
              <w:pStyle w:val="TableBody"/>
              <w:keepNext/>
              <w:keepLines/>
              <w:rPr>
                <w:rFonts w:cs="Arial"/>
              </w:rPr>
            </w:pPr>
            <w:r w:rsidRPr="00D60BD6">
              <w:rPr>
                <w:rFonts w:cs="Arial"/>
              </w:rPr>
              <w:t xml:space="preserve">If initial scoping and technical assessment shows potential, </w:t>
            </w:r>
            <w:r w:rsidRPr="00D60BD6">
              <w:rPr>
                <w:rFonts w:cs="Arial"/>
                <w:b/>
                <w:bCs/>
              </w:rPr>
              <w:t xml:space="preserve">preliminary assessment of highest value use </w:t>
            </w:r>
            <w:r w:rsidRPr="00D60BD6">
              <w:rPr>
                <w:rFonts w:cs="Arial"/>
              </w:rPr>
              <w:t xml:space="preserve">of the spectrum </w:t>
            </w:r>
            <w:r>
              <w:rPr>
                <w:rFonts w:cs="Arial"/>
              </w:rPr>
              <w:t xml:space="preserve">is </w:t>
            </w:r>
            <w:r w:rsidRPr="00D60BD6">
              <w:rPr>
                <w:rFonts w:cs="Arial"/>
              </w:rPr>
              <w:t>undertaken</w:t>
            </w:r>
            <w:r>
              <w:rPr>
                <w:rFonts w:cs="Arial"/>
              </w:rPr>
              <w:t>.</w:t>
            </w:r>
          </w:p>
        </w:tc>
      </w:tr>
      <w:tr w:rsidR="00464960" w:rsidRPr="006D46E5" w14:paraId="13CE61ED" w14:textId="11F70A18" w:rsidTr="00D43B35">
        <w:tc>
          <w:tcPr>
            <w:tcW w:w="2853" w:type="dxa"/>
            <w:gridSpan w:val="2"/>
            <w:shd w:val="clear" w:color="auto" w:fill="auto"/>
          </w:tcPr>
          <w:p w14:paraId="0D7B8B7B" w14:textId="7E35E8D1" w:rsidR="00464960" w:rsidRPr="006D46E5" w:rsidRDefault="00464960" w:rsidP="001056B9">
            <w:pPr>
              <w:pStyle w:val="TableBody"/>
              <w:keepNext/>
              <w:keepLines/>
              <w:rPr>
                <w:rFonts w:cs="Arial"/>
              </w:rPr>
            </w:pPr>
            <w:r>
              <w:rPr>
                <w:rFonts w:cs="Arial"/>
              </w:rPr>
              <w:t>Preliminary re-planning</w:t>
            </w:r>
          </w:p>
        </w:tc>
        <w:tc>
          <w:tcPr>
            <w:tcW w:w="6651" w:type="dxa"/>
            <w:shd w:val="clear" w:color="auto" w:fill="auto"/>
          </w:tcPr>
          <w:p w14:paraId="57A298D7" w14:textId="3190836B" w:rsidR="00464960" w:rsidRPr="006D46E5" w:rsidRDefault="00464960" w:rsidP="001056B9">
            <w:pPr>
              <w:pStyle w:val="TableBody"/>
              <w:keepNext/>
              <w:keepLines/>
              <w:rPr>
                <w:rFonts w:cs="Arial"/>
              </w:rPr>
            </w:pPr>
            <w:r w:rsidRPr="00D60BD6">
              <w:rPr>
                <w:rFonts w:cs="Arial"/>
              </w:rPr>
              <w:t xml:space="preserve">Identification of </w:t>
            </w:r>
            <w:r>
              <w:rPr>
                <w:rFonts w:cs="Arial"/>
              </w:rPr>
              <w:t>re-planning</w:t>
            </w:r>
            <w:r w:rsidRPr="00D60BD6">
              <w:rPr>
                <w:rFonts w:cs="Arial"/>
              </w:rPr>
              <w:t xml:space="preserve">/re-farming </w:t>
            </w:r>
            <w:r w:rsidRPr="00D60BD6">
              <w:rPr>
                <w:rFonts w:cs="Arial"/>
                <w:b/>
                <w:bCs/>
              </w:rPr>
              <w:t>proposals</w:t>
            </w:r>
            <w:r w:rsidRPr="00D60BD6">
              <w:rPr>
                <w:rFonts w:cs="Arial"/>
              </w:rPr>
              <w:t xml:space="preserve"> (including mechanisms to address incumbent issues) informed by detailed technical sharing studies and analysis of ongoing incumbent spectrum needs. </w:t>
            </w:r>
            <w:r w:rsidRPr="00211492">
              <w:rPr>
                <w:rFonts w:cs="Arial"/>
                <w:bCs/>
              </w:rPr>
              <w:t>A</w:t>
            </w:r>
            <w:r>
              <w:rPr>
                <w:rFonts w:cs="Arial"/>
                <w:b/>
                <w:bCs/>
              </w:rPr>
              <w:t xml:space="preserve"> comprehensive </w:t>
            </w:r>
            <w:r w:rsidRPr="00D60BD6">
              <w:rPr>
                <w:rFonts w:cs="Arial"/>
                <w:b/>
                <w:bCs/>
              </w:rPr>
              <w:t>assessment of the highest value use</w:t>
            </w:r>
            <w:r>
              <w:rPr>
                <w:rFonts w:cs="Arial"/>
                <w:b/>
                <w:bCs/>
              </w:rPr>
              <w:t xml:space="preserve"> or uses</w:t>
            </w:r>
            <w:r w:rsidRPr="00D60BD6">
              <w:rPr>
                <w:rFonts w:cs="Arial"/>
                <w:b/>
                <w:bCs/>
              </w:rPr>
              <w:t xml:space="preserve"> </w:t>
            </w:r>
            <w:r w:rsidRPr="00D60BD6">
              <w:rPr>
                <w:rFonts w:cs="Arial"/>
              </w:rPr>
              <w:t xml:space="preserve">of the band </w:t>
            </w:r>
            <w:r>
              <w:rPr>
                <w:rFonts w:cs="Arial"/>
              </w:rPr>
              <w:t xml:space="preserve">is </w:t>
            </w:r>
            <w:r w:rsidRPr="00D60BD6">
              <w:rPr>
                <w:rFonts w:cs="Arial"/>
              </w:rPr>
              <w:t>undertaken. </w:t>
            </w:r>
          </w:p>
        </w:tc>
      </w:tr>
      <w:tr w:rsidR="00464960" w:rsidRPr="006D46E5" w14:paraId="4CD3FE49" w14:textId="00BFB1C5" w:rsidTr="00D43B35">
        <w:tc>
          <w:tcPr>
            <w:tcW w:w="2853" w:type="dxa"/>
            <w:gridSpan w:val="2"/>
            <w:shd w:val="clear" w:color="auto" w:fill="auto"/>
          </w:tcPr>
          <w:p w14:paraId="6F8F7133" w14:textId="77777777" w:rsidR="00464960" w:rsidRDefault="00464960" w:rsidP="001056B9">
            <w:pPr>
              <w:pStyle w:val="TableBody"/>
              <w:keepNext/>
              <w:keepLines/>
              <w:rPr>
                <w:rFonts w:cs="Arial"/>
              </w:rPr>
            </w:pPr>
            <w:r>
              <w:rPr>
                <w:rFonts w:cs="Arial"/>
              </w:rPr>
              <w:t>Re-farming</w:t>
            </w:r>
          </w:p>
        </w:tc>
        <w:tc>
          <w:tcPr>
            <w:tcW w:w="6651" w:type="dxa"/>
            <w:shd w:val="clear" w:color="auto" w:fill="auto"/>
          </w:tcPr>
          <w:p w14:paraId="6CF6A2E4" w14:textId="77777777" w:rsidR="00464960" w:rsidRDefault="00464960" w:rsidP="001056B9">
            <w:pPr>
              <w:pStyle w:val="TableBody"/>
              <w:keepNext/>
              <w:keepLines/>
              <w:rPr>
                <w:rFonts w:cs="Arial"/>
              </w:rPr>
            </w:pPr>
            <w:r w:rsidRPr="00D60BD6">
              <w:rPr>
                <w:rFonts w:cs="Arial"/>
                <w:b/>
                <w:bCs/>
              </w:rPr>
              <w:t>Decisions</w:t>
            </w:r>
            <w:r w:rsidRPr="00D60BD6">
              <w:rPr>
                <w:rFonts w:cs="Arial"/>
              </w:rPr>
              <w:t xml:space="preserve"> made on preferred re-farming proposal.</w:t>
            </w:r>
          </w:p>
        </w:tc>
      </w:tr>
      <w:tr w:rsidR="00464960" w:rsidRPr="006D46E5" w14:paraId="3773CF33" w14:textId="555F7432" w:rsidTr="00D43B35">
        <w:tc>
          <w:tcPr>
            <w:tcW w:w="1418" w:type="dxa"/>
            <w:shd w:val="clear" w:color="auto" w:fill="auto"/>
          </w:tcPr>
          <w:p w14:paraId="7BCF214A" w14:textId="77777777" w:rsidR="00464960" w:rsidRDefault="00464960" w:rsidP="00EC40BB">
            <w:pPr>
              <w:pStyle w:val="TableBody"/>
              <w:keepNext/>
              <w:keepLines/>
              <w:rPr>
                <w:rFonts w:cs="Arial"/>
              </w:rPr>
            </w:pPr>
            <w:r>
              <w:rPr>
                <w:rFonts w:cs="Arial"/>
              </w:rPr>
              <w:t>Re-farming sub-stage a</w:t>
            </w:r>
          </w:p>
        </w:tc>
        <w:tc>
          <w:tcPr>
            <w:tcW w:w="1435" w:type="dxa"/>
            <w:shd w:val="clear" w:color="auto" w:fill="auto"/>
          </w:tcPr>
          <w:p w14:paraId="543D0DDD" w14:textId="676362B8" w:rsidR="00464960" w:rsidRDefault="00464960" w:rsidP="00EC40BB">
            <w:pPr>
              <w:pStyle w:val="TableBody"/>
              <w:keepNext/>
              <w:keepLines/>
              <w:rPr>
                <w:rFonts w:cs="Arial"/>
              </w:rPr>
            </w:pPr>
            <w:r>
              <w:rPr>
                <w:rFonts w:cs="Arial"/>
              </w:rPr>
              <w:t>Re-planning</w:t>
            </w:r>
          </w:p>
        </w:tc>
        <w:tc>
          <w:tcPr>
            <w:tcW w:w="6651" w:type="dxa"/>
            <w:shd w:val="clear" w:color="auto" w:fill="auto"/>
          </w:tcPr>
          <w:p w14:paraId="4549CC66" w14:textId="40F2DF33" w:rsidR="00464960" w:rsidRDefault="00464960" w:rsidP="001056B9">
            <w:pPr>
              <w:pStyle w:val="TableBody"/>
              <w:keepNext/>
              <w:keepLines/>
              <w:spacing w:after="120"/>
              <w:rPr>
                <w:rFonts w:cs="Arial"/>
              </w:rPr>
            </w:pPr>
            <w:r w:rsidRPr="00D60BD6">
              <w:rPr>
                <w:rFonts w:cs="Arial"/>
              </w:rPr>
              <w:t xml:space="preserve">Detailed band/channel </w:t>
            </w:r>
            <w:r>
              <w:rPr>
                <w:rFonts w:cs="Arial"/>
              </w:rPr>
              <w:t>re-planning</w:t>
            </w:r>
            <w:r w:rsidRPr="00D60BD6">
              <w:rPr>
                <w:rFonts w:cs="Arial"/>
              </w:rPr>
              <w:t xml:space="preserve"> undertaken</w:t>
            </w:r>
            <w:r>
              <w:rPr>
                <w:rFonts w:cs="Arial"/>
              </w:rPr>
              <w:t xml:space="preserve"> to support the change in the use of the spectrum to </w:t>
            </w:r>
            <w:r w:rsidR="005A21F6">
              <w:rPr>
                <w:rFonts w:cs="Arial"/>
              </w:rPr>
              <w:t>MBB</w:t>
            </w:r>
            <w:r>
              <w:rPr>
                <w:rFonts w:cs="Arial"/>
              </w:rPr>
              <w:t>. Where possible,</w:t>
            </w:r>
            <w:r w:rsidRPr="00D60BD6">
              <w:rPr>
                <w:rFonts w:cs="Arial"/>
              </w:rPr>
              <w:t xml:space="preserve"> long</w:t>
            </w:r>
            <w:r>
              <w:rPr>
                <w:rFonts w:cs="Arial"/>
              </w:rPr>
              <w:t>-</w:t>
            </w:r>
            <w:r w:rsidRPr="00D60BD6">
              <w:rPr>
                <w:rFonts w:cs="Arial"/>
              </w:rPr>
              <w:t xml:space="preserve">term transition arrangements </w:t>
            </w:r>
            <w:r>
              <w:rPr>
                <w:rFonts w:cs="Arial"/>
              </w:rPr>
              <w:t xml:space="preserve">are put in place, </w:t>
            </w:r>
            <w:r w:rsidRPr="00D60BD6">
              <w:rPr>
                <w:rFonts w:cs="Arial"/>
              </w:rPr>
              <w:t>allowing incumbents</w:t>
            </w:r>
            <w:r>
              <w:rPr>
                <w:rFonts w:cs="Arial"/>
              </w:rPr>
              <w:t xml:space="preserve"> to</w:t>
            </w:r>
            <w:r w:rsidRPr="00D60BD6">
              <w:rPr>
                <w:rFonts w:cs="Arial"/>
              </w:rPr>
              <w:t xml:space="preserve"> </w:t>
            </w:r>
            <w:r>
              <w:rPr>
                <w:rFonts w:cs="Arial"/>
              </w:rPr>
              <w:t>transition</w:t>
            </w:r>
            <w:r w:rsidRPr="00D60BD6">
              <w:rPr>
                <w:rFonts w:cs="Arial"/>
              </w:rPr>
              <w:t xml:space="preserve"> </w:t>
            </w:r>
            <w:r w:rsidRPr="00D60BD6">
              <w:rPr>
                <w:rFonts w:cs="Arial"/>
                <w:b/>
                <w:bCs/>
              </w:rPr>
              <w:t>voluntarily</w:t>
            </w:r>
            <w:r w:rsidRPr="00D60BD6">
              <w:rPr>
                <w:rFonts w:cs="Arial"/>
              </w:rPr>
              <w:t xml:space="preserve"> over time (</w:t>
            </w:r>
            <w:r>
              <w:rPr>
                <w:rFonts w:cs="Arial"/>
              </w:rPr>
              <w:t>i</w:t>
            </w:r>
            <w:r w:rsidRPr="00D60BD6">
              <w:rPr>
                <w:rFonts w:cs="Arial"/>
              </w:rPr>
              <w:t xml:space="preserve">ncumbents </w:t>
            </w:r>
            <w:r w:rsidRPr="00D60BD6">
              <w:rPr>
                <w:rFonts w:cs="Arial"/>
                <w:b/>
                <w:bCs/>
              </w:rPr>
              <w:t xml:space="preserve">retain their rights </w:t>
            </w:r>
            <w:r>
              <w:rPr>
                <w:rFonts w:cs="Arial"/>
              </w:rPr>
              <w:t>during the re-planning stage in accordance with the Act</w:t>
            </w:r>
            <w:r w:rsidRPr="00D60BD6">
              <w:rPr>
                <w:rFonts w:cs="Arial"/>
              </w:rPr>
              <w:t>)</w:t>
            </w:r>
            <w:r>
              <w:rPr>
                <w:rFonts w:cs="Arial"/>
              </w:rPr>
              <w:t xml:space="preserve">. In this scenario, a change of spectrum use commences at this stage, with final implementation concluded in the </w:t>
            </w:r>
            <w:r>
              <w:rPr>
                <w:rFonts w:cs="Arial"/>
                <w:i/>
              </w:rPr>
              <w:t>allocation</w:t>
            </w:r>
            <w:r w:rsidRPr="004C4BF4">
              <w:rPr>
                <w:rFonts w:cs="Arial"/>
                <w:i/>
              </w:rPr>
              <w:t xml:space="preserve"> sub-stage</w:t>
            </w:r>
            <w:r>
              <w:rPr>
                <w:rFonts w:cs="Arial"/>
              </w:rPr>
              <w:t xml:space="preserve"> via an allocation of spectrum to specific </w:t>
            </w:r>
            <w:r w:rsidR="005A21F6">
              <w:rPr>
                <w:rFonts w:cs="Arial"/>
              </w:rPr>
              <w:t>MBB</w:t>
            </w:r>
            <w:r>
              <w:rPr>
                <w:rFonts w:cs="Arial"/>
              </w:rPr>
              <w:t xml:space="preserve"> users. </w:t>
            </w:r>
          </w:p>
          <w:p w14:paraId="3B333B39" w14:textId="3C0F1CF6" w:rsidR="00464960" w:rsidRDefault="00464960" w:rsidP="001056B9">
            <w:pPr>
              <w:pStyle w:val="TableBody"/>
              <w:keepNext/>
              <w:keepLines/>
              <w:rPr>
                <w:rFonts w:cs="Arial"/>
              </w:rPr>
            </w:pPr>
            <w:r>
              <w:rPr>
                <w:rFonts w:cs="Arial"/>
              </w:rPr>
              <w:t xml:space="preserve">However, in some cases it may be appropriate for spectrum already available for </w:t>
            </w:r>
            <w:r w:rsidR="005A21F6">
              <w:rPr>
                <w:rFonts w:cs="Arial"/>
              </w:rPr>
              <w:t>MBB</w:t>
            </w:r>
            <w:r>
              <w:rPr>
                <w:rFonts w:cs="Arial"/>
              </w:rPr>
              <w:t xml:space="preserve"> to be replanned in order to better support new </w:t>
            </w:r>
            <w:r w:rsidR="005A21F6">
              <w:rPr>
                <w:rFonts w:cs="Arial"/>
              </w:rPr>
              <w:t>MBB</w:t>
            </w:r>
            <w:r>
              <w:rPr>
                <w:rFonts w:cs="Arial"/>
              </w:rPr>
              <w:t xml:space="preserve"> technologies. In this scenario, a change of use of spectrum and subsequent allocation may not be necessary. In such cases, the </w:t>
            </w:r>
            <w:r w:rsidRPr="00125BC7">
              <w:rPr>
                <w:rFonts w:cs="Arial"/>
                <w:i/>
              </w:rPr>
              <w:t>allocation</w:t>
            </w:r>
            <w:r>
              <w:rPr>
                <w:rFonts w:cs="Arial"/>
              </w:rPr>
              <w:t xml:space="preserve"> </w:t>
            </w:r>
            <w:r w:rsidRPr="00125BC7">
              <w:rPr>
                <w:rFonts w:cs="Arial"/>
              </w:rPr>
              <w:t>sub-stage</w:t>
            </w:r>
            <w:r>
              <w:rPr>
                <w:rFonts w:cs="Arial"/>
              </w:rPr>
              <w:t xml:space="preserve"> is not required and the process would stop here.</w:t>
            </w:r>
          </w:p>
        </w:tc>
      </w:tr>
      <w:tr w:rsidR="00464960" w:rsidRPr="006D46E5" w14:paraId="57136C8A" w14:textId="65CF9E9F" w:rsidTr="00D43B35">
        <w:tc>
          <w:tcPr>
            <w:tcW w:w="1418" w:type="dxa"/>
            <w:tcBorders>
              <w:bottom w:val="single" w:sz="4" w:space="0" w:color="auto"/>
            </w:tcBorders>
            <w:shd w:val="clear" w:color="auto" w:fill="auto"/>
          </w:tcPr>
          <w:p w14:paraId="70E0BB08" w14:textId="77777777" w:rsidR="00464960" w:rsidRDefault="00464960" w:rsidP="00EC40BB">
            <w:pPr>
              <w:pStyle w:val="TableBody"/>
              <w:keepNext/>
              <w:keepLines/>
              <w:rPr>
                <w:rFonts w:cs="Arial"/>
              </w:rPr>
            </w:pPr>
            <w:r>
              <w:rPr>
                <w:rFonts w:cs="Arial"/>
              </w:rPr>
              <w:t>Re-farming sub-stage b</w:t>
            </w:r>
          </w:p>
        </w:tc>
        <w:tc>
          <w:tcPr>
            <w:tcW w:w="1435" w:type="dxa"/>
            <w:tcBorders>
              <w:bottom w:val="single" w:sz="4" w:space="0" w:color="auto"/>
            </w:tcBorders>
            <w:shd w:val="clear" w:color="auto" w:fill="auto"/>
          </w:tcPr>
          <w:p w14:paraId="78740422" w14:textId="2AD6CC5B" w:rsidR="00464960" w:rsidRDefault="00464960" w:rsidP="00EC40BB">
            <w:pPr>
              <w:pStyle w:val="TableBody"/>
              <w:keepNext/>
              <w:keepLines/>
              <w:rPr>
                <w:rFonts w:cs="Arial"/>
              </w:rPr>
            </w:pPr>
            <w:r>
              <w:rPr>
                <w:rFonts w:cs="Arial"/>
              </w:rPr>
              <w:t xml:space="preserve">Allocation (to </w:t>
            </w:r>
            <w:r w:rsidR="005A21F6">
              <w:rPr>
                <w:rFonts w:cs="Arial"/>
              </w:rPr>
              <w:t>MBB</w:t>
            </w:r>
            <w:r>
              <w:rPr>
                <w:rFonts w:cs="Arial"/>
              </w:rPr>
              <w:t xml:space="preserve"> users)</w:t>
            </w:r>
          </w:p>
        </w:tc>
        <w:tc>
          <w:tcPr>
            <w:tcW w:w="6651" w:type="dxa"/>
            <w:tcBorders>
              <w:bottom w:val="single" w:sz="4" w:space="0" w:color="auto"/>
            </w:tcBorders>
            <w:shd w:val="clear" w:color="auto" w:fill="auto"/>
          </w:tcPr>
          <w:p w14:paraId="15CF91A7" w14:textId="77777777" w:rsidR="00464960" w:rsidRDefault="00464960" w:rsidP="001056B9">
            <w:pPr>
              <w:pStyle w:val="TableBody"/>
              <w:keepNext/>
              <w:keepLines/>
              <w:rPr>
                <w:rFonts w:cs="Arial"/>
              </w:rPr>
            </w:pPr>
            <w:r w:rsidRPr="00D60BD6">
              <w:rPr>
                <w:rFonts w:cs="Arial"/>
              </w:rPr>
              <w:t>Development of final technical framework and allocation instruments/tools for near</w:t>
            </w:r>
            <w:r>
              <w:rPr>
                <w:rFonts w:cs="Arial"/>
              </w:rPr>
              <w:t>-</w:t>
            </w:r>
            <w:r w:rsidRPr="00D60BD6">
              <w:rPr>
                <w:rFonts w:cs="Arial"/>
              </w:rPr>
              <w:t>term re</w:t>
            </w:r>
            <w:r>
              <w:rPr>
                <w:rFonts w:cs="Arial"/>
              </w:rPr>
              <w:t>-</w:t>
            </w:r>
            <w:r w:rsidRPr="00D60BD6">
              <w:rPr>
                <w:rFonts w:cs="Arial"/>
              </w:rPr>
              <w:t xml:space="preserve">farming. Incumbents are </w:t>
            </w:r>
            <w:r w:rsidRPr="00D60BD6">
              <w:rPr>
                <w:rFonts w:cs="Arial"/>
                <w:b/>
                <w:bCs/>
              </w:rPr>
              <w:t>obliged</w:t>
            </w:r>
            <w:r w:rsidRPr="00D60BD6">
              <w:rPr>
                <w:rFonts w:cs="Arial"/>
              </w:rPr>
              <w:t xml:space="preserve"> to transition to new arrangements or cease operations in </w:t>
            </w:r>
            <w:r>
              <w:rPr>
                <w:rFonts w:cs="Arial"/>
              </w:rPr>
              <w:t>specified</w:t>
            </w:r>
            <w:r w:rsidRPr="00D60BD6">
              <w:rPr>
                <w:rFonts w:cs="Arial"/>
              </w:rPr>
              <w:t xml:space="preserve"> time frame (</w:t>
            </w:r>
            <w:r>
              <w:rPr>
                <w:rFonts w:cs="Arial"/>
              </w:rPr>
              <w:t>i</w:t>
            </w:r>
            <w:r w:rsidRPr="00D60BD6">
              <w:rPr>
                <w:rFonts w:cs="Arial"/>
              </w:rPr>
              <w:t xml:space="preserve">ncumbents </w:t>
            </w:r>
            <w:r w:rsidRPr="00D60BD6">
              <w:rPr>
                <w:rFonts w:cs="Arial"/>
                <w:b/>
                <w:bCs/>
              </w:rPr>
              <w:t>rights are varied and/or removed</w:t>
            </w:r>
            <w:r>
              <w:rPr>
                <w:rFonts w:cs="Arial"/>
                <w:b/>
                <w:bCs/>
              </w:rPr>
              <w:t xml:space="preserve"> </w:t>
            </w:r>
            <w:r w:rsidRPr="00211492">
              <w:rPr>
                <w:rFonts w:cs="Arial"/>
                <w:bCs/>
              </w:rPr>
              <w:t>in accordance with the Act</w:t>
            </w:r>
            <w:r w:rsidRPr="00D60BD6">
              <w:rPr>
                <w:rFonts w:cs="Arial"/>
              </w:rPr>
              <w:t>).</w:t>
            </w:r>
            <w:r>
              <w:rPr>
                <w:rFonts w:cs="Arial"/>
              </w:rPr>
              <w:t xml:space="preserve"> Mobile broadband users are given the opportunity to acquire and use re-farmed spectrum. </w:t>
            </w:r>
          </w:p>
        </w:tc>
      </w:tr>
    </w:tbl>
    <w:p w14:paraId="0D419089" w14:textId="77777777" w:rsidR="00A02842" w:rsidRDefault="00A02842" w:rsidP="00F95C2B">
      <w:pPr>
        <w:pStyle w:val="ACMASpaceaftertable"/>
      </w:pPr>
    </w:p>
    <w:p w14:paraId="25F148AB" w14:textId="5E549941" w:rsidR="00322021" w:rsidRDefault="00322021" w:rsidP="00F95C2B">
      <w:pPr>
        <w:spacing w:after="80"/>
      </w:pPr>
      <w:r>
        <w:t xml:space="preserve">In classifying the 1.5 GHz and 3.6 GHz bands within the </w:t>
      </w:r>
      <w:r w:rsidRPr="00660C0E">
        <w:rPr>
          <w:i/>
        </w:rPr>
        <w:t>initial investigation</w:t>
      </w:r>
      <w:r>
        <w:t xml:space="preserve"> stage, the ACMA took into account a range of factors</w:t>
      </w:r>
      <w:r w:rsidR="004B0D5D">
        <w:t>,</w:t>
      </w:r>
      <w:r>
        <w:t xml:space="preserve"> as outlined in </w:t>
      </w:r>
      <w:r w:rsidRPr="00B546E9">
        <w:t xml:space="preserve">its </w:t>
      </w:r>
      <w:hyperlink r:id="rId37" w:history="1">
        <w:r w:rsidR="001E57E7" w:rsidRPr="00B546E9">
          <w:rPr>
            <w:rStyle w:val="Hyperlink"/>
          </w:rPr>
          <w:t>m</w:t>
        </w:r>
        <w:r w:rsidRPr="00B546E9">
          <w:rPr>
            <w:rStyle w:val="Hyperlink"/>
          </w:rPr>
          <w:t>obile broadband strategy</w:t>
        </w:r>
      </w:hyperlink>
      <w:r>
        <w:t>, including:</w:t>
      </w:r>
    </w:p>
    <w:p w14:paraId="347D91C7" w14:textId="0D6A8160" w:rsidR="00322021" w:rsidRPr="000E6E09" w:rsidRDefault="00322021" w:rsidP="00F95C2B">
      <w:pPr>
        <w:pStyle w:val="ListBullet"/>
      </w:pPr>
      <w:r w:rsidRPr="00D94C1D">
        <w:t xml:space="preserve">the level of interest or investigation in these bands both nationally and internationally for </w:t>
      </w:r>
      <w:r w:rsidR="005A21F6">
        <w:t>MBB</w:t>
      </w:r>
      <w:r w:rsidRPr="00D94C1D">
        <w:t xml:space="preserve"> services</w:t>
      </w:r>
    </w:p>
    <w:p w14:paraId="504E47F9" w14:textId="49F1E9D6" w:rsidR="00322021" w:rsidRPr="00660C0E" w:rsidRDefault="00322021" w:rsidP="00F95C2B">
      <w:pPr>
        <w:pStyle w:val="ListBullet"/>
      </w:pPr>
      <w:r w:rsidRPr="00660C0E">
        <w:t xml:space="preserve">incumbent use of the spectrum, including whether there is any strong reason why the band is fundamentally unsuitable or otherwise not viable for </w:t>
      </w:r>
      <w:r w:rsidR="005A21F6">
        <w:t>MBB</w:t>
      </w:r>
      <w:r w:rsidRPr="00660C0E">
        <w:t xml:space="preserve"> </w:t>
      </w:r>
    </w:p>
    <w:p w14:paraId="662BFCA3" w14:textId="77777777" w:rsidR="00322021" w:rsidRPr="00D94C1D" w:rsidRDefault="00322021" w:rsidP="00F95C2B">
      <w:pPr>
        <w:pStyle w:val="ListBullet"/>
      </w:pPr>
      <w:r w:rsidRPr="00660C0E">
        <w:t>technology standardisation developments (for example, progress within the 3GPP</w:t>
      </w:r>
      <w:r w:rsidRPr="00F95C2B">
        <w:rPr>
          <w:vertAlign w:val="superscript"/>
        </w:rPr>
        <w:footnoteReference w:id="9"/>
      </w:r>
      <w:r w:rsidRPr="00D94C1D">
        <w:t>)</w:t>
      </w:r>
    </w:p>
    <w:p w14:paraId="4087E99C" w14:textId="26C0FB66" w:rsidR="00322021" w:rsidRPr="00D85F2E" w:rsidRDefault="00322021" w:rsidP="00F95C2B">
      <w:pPr>
        <w:pStyle w:val="ListBulletLast"/>
      </w:pPr>
      <w:r w:rsidRPr="00D85F2E">
        <w:t xml:space="preserve">international spectrum harmonisation considerations, such as considerations in the International </w:t>
      </w:r>
      <w:r w:rsidRPr="00B546E9">
        <w:t xml:space="preserve">Telecommunication Union (ITU) and </w:t>
      </w:r>
      <w:r w:rsidR="00B546E9">
        <w:t>APT</w:t>
      </w:r>
      <w:r w:rsidRPr="00D85F2E">
        <w:t xml:space="preserve">, and in overseas jurisdictions. </w:t>
      </w:r>
    </w:p>
    <w:p w14:paraId="3919CAD5" w14:textId="7657829B" w:rsidR="00322021" w:rsidRPr="00E14FB8" w:rsidRDefault="00322021" w:rsidP="00F95C2B">
      <w:r w:rsidRPr="001E30AB">
        <w:t xml:space="preserve">The </w:t>
      </w:r>
      <w:r w:rsidRPr="00660C0E">
        <w:rPr>
          <w:i/>
        </w:rPr>
        <w:t>initial investigation</w:t>
      </w:r>
      <w:r w:rsidRPr="001E30AB">
        <w:t xml:space="preserve"> </w:t>
      </w:r>
      <w:r>
        <w:t xml:space="preserve">stage </w:t>
      </w:r>
      <w:r w:rsidRPr="001E30AB">
        <w:t>involve</w:t>
      </w:r>
      <w:r>
        <w:t>s</w:t>
      </w:r>
      <w:r w:rsidRPr="001E30AB">
        <w:t xml:space="preserve"> scoping of potential </w:t>
      </w:r>
      <w:r>
        <w:t xml:space="preserve">planning </w:t>
      </w:r>
      <w:r w:rsidRPr="001E30AB">
        <w:rPr>
          <w:bCs/>
        </w:rPr>
        <w:t>options</w:t>
      </w:r>
      <w:r w:rsidRPr="001E30AB">
        <w:t xml:space="preserve"> for domestic re</w:t>
      </w:r>
      <w:r>
        <w:t>-</w:t>
      </w:r>
      <w:r w:rsidRPr="001E30AB">
        <w:t>farming of a band informed by preliminary technical assessment</w:t>
      </w:r>
      <w:r w:rsidR="004B0D5D">
        <w:t>,</w:t>
      </w:r>
      <w:r>
        <w:t xml:space="preserve"> which is the primary purpose of this paper. T</w:t>
      </w:r>
      <w:r w:rsidRPr="001E30AB">
        <w:t>he initial s</w:t>
      </w:r>
      <w:r>
        <w:t xml:space="preserve">coping and technical assessment outlined in this paper </w:t>
      </w:r>
      <w:r w:rsidRPr="001E30AB">
        <w:t>shows potential</w:t>
      </w:r>
      <w:r w:rsidRPr="00E96226">
        <w:rPr>
          <w:rFonts w:cs="Arial"/>
        </w:rPr>
        <w:t xml:space="preserve"> </w:t>
      </w:r>
      <w:r w:rsidRPr="00D60BD6">
        <w:rPr>
          <w:rFonts w:cs="Arial"/>
        </w:rPr>
        <w:t xml:space="preserve">for domestic re-farming of </w:t>
      </w:r>
      <w:r>
        <w:t>the 1.5 GHz and 3.6 GHz bands</w:t>
      </w:r>
      <w:r w:rsidR="004B0D5D">
        <w:t>,</w:t>
      </w:r>
      <w:r>
        <w:t xml:space="preserve"> and therefore </w:t>
      </w:r>
      <w:r w:rsidRPr="001E30AB">
        <w:t>a preliminary assessment of the highest</w:t>
      </w:r>
      <w:r w:rsidR="004B0D5D">
        <w:t>-</w:t>
      </w:r>
      <w:r w:rsidRPr="001E30AB">
        <w:t xml:space="preserve">value use of the spectrum </w:t>
      </w:r>
      <w:r>
        <w:t xml:space="preserve">has </w:t>
      </w:r>
      <w:r w:rsidRPr="001E30AB">
        <w:t>be</w:t>
      </w:r>
      <w:r>
        <w:t>en</w:t>
      </w:r>
      <w:r w:rsidRPr="001E30AB">
        <w:t xml:space="preserve"> undertaken</w:t>
      </w:r>
      <w:r>
        <w:t xml:space="preserve"> and presented</w:t>
      </w:r>
      <w:r w:rsidRPr="001E30AB">
        <w:t>.</w:t>
      </w:r>
      <w:r>
        <w:t xml:space="preserve"> </w:t>
      </w:r>
    </w:p>
    <w:p w14:paraId="3CEFAD4E" w14:textId="3A6341C3" w:rsidR="00F26BE7" w:rsidRDefault="00F26BE7" w:rsidP="00CA4A15">
      <w:pPr>
        <w:pStyle w:val="Heading3"/>
      </w:pPr>
      <w:bookmarkStart w:id="18" w:name="_Toc459906707"/>
      <w:bookmarkStart w:id="19" w:name="_Toc464480501"/>
      <w:r>
        <w:t>Past consideration of the 1.5 GHz and 3.6 GHz band</w:t>
      </w:r>
      <w:bookmarkEnd w:id="18"/>
      <w:r w:rsidR="00CF37BD">
        <w:t>s</w:t>
      </w:r>
      <w:bookmarkEnd w:id="19"/>
      <w:r w:rsidRPr="006D46E5">
        <w:t xml:space="preserve"> </w:t>
      </w:r>
    </w:p>
    <w:p w14:paraId="7744714A" w14:textId="168B89C8" w:rsidR="00F26BE7" w:rsidRPr="00CA4A15" w:rsidRDefault="00F26BE7" w:rsidP="00E03708">
      <w:pPr>
        <w:pStyle w:val="BodySubHeader"/>
        <w:spacing w:before="120"/>
      </w:pPr>
      <w:r w:rsidRPr="00CA4A15">
        <w:t xml:space="preserve">1.5 GHz band </w:t>
      </w:r>
    </w:p>
    <w:p w14:paraId="530FE44E" w14:textId="163A5951" w:rsidR="007B018A" w:rsidRPr="00967AF0" w:rsidRDefault="007B018A" w:rsidP="00CA4A15">
      <w:pPr>
        <w:rPr>
          <w:rFonts w:cs="Arial"/>
        </w:rPr>
      </w:pPr>
      <w:r w:rsidRPr="00577F9D">
        <w:t xml:space="preserve">The ACMA released </w:t>
      </w:r>
      <w:r w:rsidRPr="00577F9D">
        <w:rPr>
          <w:i/>
        </w:rPr>
        <w:t xml:space="preserve">Planning for </w:t>
      </w:r>
      <w:r>
        <w:rPr>
          <w:i/>
        </w:rPr>
        <w:t>m</w:t>
      </w:r>
      <w:r w:rsidRPr="00577F9D">
        <w:rPr>
          <w:i/>
        </w:rPr>
        <w:t xml:space="preserve">obile </w:t>
      </w:r>
      <w:r>
        <w:rPr>
          <w:i/>
        </w:rPr>
        <w:t>b</w:t>
      </w:r>
      <w:r w:rsidRPr="00577F9D">
        <w:rPr>
          <w:i/>
        </w:rPr>
        <w:t>roadband in the 1.5 GHz mobile band</w:t>
      </w:r>
      <w:r w:rsidRPr="00577F9D">
        <w:t xml:space="preserve"> in May 2012 to gather further information on issues related to the potential use of the 1427.9</w:t>
      </w:r>
      <w:r>
        <w:t>–</w:t>
      </w:r>
      <w:r w:rsidRPr="00577F9D">
        <w:t xml:space="preserve">1510.9 MHz band for </w:t>
      </w:r>
      <w:r w:rsidR="005A21F6">
        <w:t>MBB</w:t>
      </w:r>
      <w:r w:rsidRPr="00577F9D">
        <w:t xml:space="preserve"> services.</w:t>
      </w:r>
      <w:r w:rsidRPr="00577F9D">
        <w:rPr>
          <w:rStyle w:val="FootnoteReference"/>
          <w:rFonts w:cs="Arial"/>
        </w:rPr>
        <w:footnoteReference w:id="10"/>
      </w:r>
      <w:r w:rsidRPr="00577F9D">
        <w:t xml:space="preserve"> </w:t>
      </w:r>
      <w:r w:rsidR="00282685">
        <w:rPr>
          <w:rFonts w:cs="Arial"/>
        </w:rPr>
        <w:t>Further progress domestically on the 1.5 GHz band has been on hold</w:t>
      </w:r>
      <w:r w:rsidR="004B0D5D">
        <w:rPr>
          <w:rFonts w:cs="Arial"/>
        </w:rPr>
        <w:t>,</w:t>
      </w:r>
      <w:r w:rsidR="00282685">
        <w:rPr>
          <w:rFonts w:cs="Arial"/>
        </w:rPr>
        <w:t xml:space="preserve"> pending the outcomes of the 2015 World Radiocommunications Conference (WRC-15). </w:t>
      </w:r>
    </w:p>
    <w:p w14:paraId="355F0174" w14:textId="59D6532B" w:rsidR="00282685" w:rsidRPr="00967AF0" w:rsidRDefault="00C23324" w:rsidP="00CA4A15">
      <w:pPr>
        <w:rPr>
          <w:rFonts w:cs="Arial"/>
        </w:rPr>
      </w:pPr>
      <w:hyperlink r:id="rId38" w:history="1">
        <w:r w:rsidR="00282685" w:rsidRPr="00282685">
          <w:rPr>
            <w:rStyle w:val="Hyperlink"/>
            <w:rFonts w:cs="Arial"/>
          </w:rPr>
          <w:t>Embargo 70</w:t>
        </w:r>
      </w:hyperlink>
      <w:r w:rsidR="00282685">
        <w:rPr>
          <w:rFonts w:cs="Arial"/>
        </w:rPr>
        <w:t xml:space="preserve"> was put in place on 20 April 2016 </w:t>
      </w:r>
      <w:r w:rsidR="00282685" w:rsidRPr="003D1119">
        <w:rPr>
          <w:rFonts w:cstheme="minorHAnsi"/>
          <w:szCs w:val="20"/>
          <w:lang w:val="en-GB"/>
        </w:rPr>
        <w:t xml:space="preserve">to </w:t>
      </w:r>
      <w:r w:rsidR="00282685">
        <w:rPr>
          <w:rFonts w:cstheme="minorHAnsi"/>
          <w:szCs w:val="20"/>
          <w:lang w:val="en-GB"/>
        </w:rPr>
        <w:t>preserve</w:t>
      </w:r>
      <w:r w:rsidR="00282685" w:rsidRPr="003D1119">
        <w:rPr>
          <w:rFonts w:cstheme="minorHAnsi"/>
          <w:szCs w:val="20"/>
          <w:lang w:val="en-GB"/>
        </w:rPr>
        <w:t xml:space="preserve"> future planning </w:t>
      </w:r>
      <w:r w:rsidR="00282685">
        <w:rPr>
          <w:rFonts w:cstheme="minorHAnsi"/>
          <w:szCs w:val="20"/>
          <w:lang w:val="en-GB"/>
        </w:rPr>
        <w:t>options</w:t>
      </w:r>
      <w:r w:rsidR="00282685">
        <w:rPr>
          <w:rFonts w:cs="Arial"/>
        </w:rPr>
        <w:t xml:space="preserve">. </w:t>
      </w:r>
    </w:p>
    <w:p w14:paraId="543340DE" w14:textId="5526AE0A" w:rsidR="00F26BE7" w:rsidRPr="00CA4A15" w:rsidRDefault="00F26BE7" w:rsidP="00CA4A15">
      <w:pPr>
        <w:pStyle w:val="BodySubHeader"/>
      </w:pPr>
      <w:r w:rsidRPr="00CA4A15">
        <w:t xml:space="preserve">3.6 GHz band </w:t>
      </w:r>
    </w:p>
    <w:p w14:paraId="7D55B76F" w14:textId="797B3298" w:rsidR="00AB29BA" w:rsidRDefault="00AB29BA" w:rsidP="00CA4A15">
      <w:pPr>
        <w:rPr>
          <w:rFonts w:cs="Arial"/>
        </w:rPr>
      </w:pPr>
      <w:r w:rsidRPr="00F73B0D">
        <w:t>In</w:t>
      </w:r>
      <w:r>
        <w:t xml:space="preserve"> December 2006, ACMA released the </w:t>
      </w:r>
      <w:r w:rsidRPr="00F73B0D">
        <w:t xml:space="preserve">discussion paper </w:t>
      </w:r>
      <w:hyperlink r:id="rId39" w:tooltip="_assets/main/LIB100639/WAS_DISCUSSION.PDF" w:history="1">
        <w:r>
          <w:rPr>
            <w:rStyle w:val="Hyperlink"/>
            <w:i/>
            <w:iCs/>
          </w:rPr>
          <w:t>Strategies for Wireless Access Services: Spectrum Access Options</w:t>
        </w:r>
      </w:hyperlink>
      <w:r w:rsidRPr="00F73B0D">
        <w:t>.</w:t>
      </w:r>
      <w:r w:rsidRPr="00F73B0D">
        <w:rPr>
          <w:iCs/>
        </w:rPr>
        <w:t xml:space="preserve"> </w:t>
      </w:r>
      <w:r>
        <w:rPr>
          <w:iCs/>
        </w:rPr>
        <w:t>This</w:t>
      </w:r>
      <w:r w:rsidRPr="00F73B0D">
        <w:rPr>
          <w:iCs/>
        </w:rPr>
        <w:t xml:space="preserve"> discussion paper sought </w:t>
      </w:r>
      <w:r>
        <w:rPr>
          <w:iCs/>
        </w:rPr>
        <w:t>comment</w:t>
      </w:r>
      <w:r w:rsidRPr="00F73B0D">
        <w:rPr>
          <w:iCs/>
        </w:rPr>
        <w:t xml:space="preserve"> from stakeholders about the suitability of a number of identified bands for W</w:t>
      </w:r>
      <w:r w:rsidR="00ED3899">
        <w:rPr>
          <w:iCs/>
        </w:rPr>
        <w:t xml:space="preserve">ireless </w:t>
      </w:r>
      <w:r w:rsidRPr="00F73B0D">
        <w:rPr>
          <w:iCs/>
        </w:rPr>
        <w:t>A</w:t>
      </w:r>
      <w:r w:rsidR="00ED3899">
        <w:rPr>
          <w:iCs/>
        </w:rPr>
        <w:t xml:space="preserve">ccess </w:t>
      </w:r>
      <w:r w:rsidRPr="00F73B0D">
        <w:rPr>
          <w:iCs/>
        </w:rPr>
        <w:t>S</w:t>
      </w:r>
      <w:r w:rsidR="00ED3899">
        <w:rPr>
          <w:iCs/>
        </w:rPr>
        <w:t xml:space="preserve">ervices </w:t>
      </w:r>
      <w:r w:rsidR="00ED3899">
        <w:rPr>
          <w:lang w:eastAsia="ja-JP"/>
        </w:rPr>
        <w:t>(</w:t>
      </w:r>
      <w:r w:rsidRPr="00F73B0D">
        <w:rPr>
          <w:iCs/>
        </w:rPr>
        <w:t>WAS</w:t>
      </w:r>
      <w:r w:rsidR="00ED3899">
        <w:rPr>
          <w:lang w:eastAsia="ja-JP"/>
        </w:rPr>
        <w:t>)</w:t>
      </w:r>
      <w:r>
        <w:rPr>
          <w:iCs/>
        </w:rPr>
        <w:t xml:space="preserve">, </w:t>
      </w:r>
      <w:r w:rsidRPr="00F73B0D">
        <w:rPr>
          <w:iCs/>
        </w:rPr>
        <w:t xml:space="preserve">including </w:t>
      </w:r>
      <w:r>
        <w:rPr>
          <w:iCs/>
        </w:rPr>
        <w:t xml:space="preserve">the 3.6 GHz band. </w:t>
      </w:r>
      <w:r>
        <w:t xml:space="preserve">In October 2008, </w:t>
      </w:r>
      <w:r>
        <w:rPr>
          <w:lang w:eastAsia="ja-JP"/>
        </w:rPr>
        <w:t xml:space="preserve">ACMA </w:t>
      </w:r>
      <w:r>
        <w:t xml:space="preserve">released the paper </w:t>
      </w:r>
      <w:hyperlink r:id="rId40" w:tooltip="_assets/main/LIB310081/SPP08_08_SPP08_08_STRATEGIES_FOR_WAS_CONSULTATION_OUTCOMES.PDF" w:history="1">
        <w:r>
          <w:rPr>
            <w:rStyle w:val="Hyperlink"/>
            <w:i/>
            <w:iCs/>
          </w:rPr>
          <w:t>Strategies for Wireless Access Services: Consultation Outcomes</w:t>
        </w:r>
      </w:hyperlink>
      <w:r>
        <w:t xml:space="preserve">. In this paper, among other things, the ACMA </w:t>
      </w:r>
      <w:r>
        <w:rPr>
          <w:lang w:eastAsia="ja-JP"/>
        </w:rPr>
        <w:t>announced its intention to allow the use of the 3.6 GHz band for the deployment of WAS in regional and remote areas of Australia.</w:t>
      </w:r>
    </w:p>
    <w:p w14:paraId="1F3E8AF7" w14:textId="4B8049BA" w:rsidR="007B018A" w:rsidRPr="005C215D" w:rsidRDefault="007B018A" w:rsidP="00CA4A15">
      <w:r w:rsidRPr="005C215D">
        <w:t>In November 2009, the 3575–3700 MHz band</w:t>
      </w:r>
      <w:r w:rsidR="004C468A">
        <w:t xml:space="preserve"> was made available for broadband services</w:t>
      </w:r>
      <w:r w:rsidRPr="005C215D">
        <w:t xml:space="preserve"> in regional and remote Australia. At the time, the band was not </w:t>
      </w:r>
      <w:r w:rsidR="004C468A">
        <w:t>made available for broadband services</w:t>
      </w:r>
      <w:r w:rsidRPr="005C215D">
        <w:t xml:space="preserve"> in capital cities (except Hobart)</w:t>
      </w:r>
      <w:r w:rsidR="004B0D5D">
        <w:t>,</w:t>
      </w:r>
      <w:r w:rsidRPr="005C215D">
        <w:t xml:space="preserve"> to preserve future planning options within these areas. </w:t>
      </w:r>
      <w:hyperlink r:id="rId41" w:history="1">
        <w:r w:rsidR="00CD292B" w:rsidRPr="00CD292B">
          <w:rPr>
            <w:rStyle w:val="Hyperlink"/>
            <w:rFonts w:cs="Arial"/>
          </w:rPr>
          <w:t>Embargo 42</w:t>
        </w:r>
      </w:hyperlink>
      <w:r w:rsidR="00CD292B">
        <w:t xml:space="preserve"> was revised to support this measure. </w:t>
      </w:r>
      <w:r w:rsidRPr="005C215D">
        <w:t xml:space="preserve"> </w:t>
      </w:r>
    </w:p>
    <w:p w14:paraId="7EF9B5CA" w14:textId="1AD6773D" w:rsidR="00F26BE7" w:rsidRPr="006D46E5" w:rsidRDefault="00F26BE7" w:rsidP="00F26BE7">
      <w:pPr>
        <w:pStyle w:val="Heading2"/>
      </w:pPr>
      <w:bookmarkStart w:id="20" w:name="_Toc458175601"/>
      <w:bookmarkStart w:id="21" w:name="_Toc459906708"/>
      <w:bookmarkStart w:id="22" w:name="_Toc464480502"/>
      <w:r>
        <w:t>Purpose</w:t>
      </w:r>
      <w:bookmarkEnd w:id="20"/>
      <w:bookmarkEnd w:id="21"/>
      <w:bookmarkEnd w:id="22"/>
    </w:p>
    <w:p w14:paraId="0DA52307" w14:textId="57812635" w:rsidR="00E96226" w:rsidRPr="001E30AB" w:rsidRDefault="00CD292B" w:rsidP="00CA4A15">
      <w:r>
        <w:t>As discussed, the 1.5 GHz and 3.6 GHz bands are in the</w:t>
      </w:r>
      <w:r w:rsidR="00E96226" w:rsidRPr="001E30AB">
        <w:t xml:space="preserve"> </w:t>
      </w:r>
      <w:r w:rsidR="00E96226" w:rsidRPr="00CD292B">
        <w:rPr>
          <w:i/>
        </w:rPr>
        <w:t>initial investigation</w:t>
      </w:r>
      <w:r w:rsidR="00E96226" w:rsidRPr="001E30AB">
        <w:t xml:space="preserve"> </w:t>
      </w:r>
      <w:r w:rsidR="00E96226">
        <w:t xml:space="preserve">stage </w:t>
      </w:r>
      <w:r>
        <w:t xml:space="preserve">of the process for consideration of additional spectrum for </w:t>
      </w:r>
      <w:r w:rsidR="005A21F6">
        <w:t>MBB</w:t>
      </w:r>
      <w:r>
        <w:t xml:space="preserve"> services. </w:t>
      </w:r>
      <w:r w:rsidR="00E96226" w:rsidRPr="001E30AB">
        <w:t>Th</w:t>
      </w:r>
      <w:r>
        <w:t>is</w:t>
      </w:r>
      <w:r w:rsidR="00E96226" w:rsidRPr="001E30AB">
        <w:t xml:space="preserve"> </w:t>
      </w:r>
      <w:r w:rsidR="00E96226">
        <w:t xml:space="preserve">stage </w:t>
      </w:r>
      <w:r w:rsidR="00E96226" w:rsidRPr="001E30AB">
        <w:t>involve</w:t>
      </w:r>
      <w:r w:rsidR="00E96226">
        <w:t>s</w:t>
      </w:r>
      <w:r w:rsidR="00E96226" w:rsidRPr="001E30AB">
        <w:t xml:space="preserve"> scoping of potential </w:t>
      </w:r>
      <w:r w:rsidR="00E96226">
        <w:t xml:space="preserve">planning </w:t>
      </w:r>
      <w:r w:rsidR="00E96226" w:rsidRPr="001E30AB">
        <w:rPr>
          <w:bCs/>
        </w:rPr>
        <w:t>options</w:t>
      </w:r>
      <w:r w:rsidR="00E96226" w:rsidRPr="001E30AB">
        <w:t xml:space="preserve"> for domestic re</w:t>
      </w:r>
      <w:r w:rsidR="00E96226">
        <w:t>-</w:t>
      </w:r>
      <w:r w:rsidR="00E96226" w:rsidRPr="001E30AB">
        <w:t>farming of a band informed by preliminary technical assessment</w:t>
      </w:r>
      <w:r w:rsidR="004B0D5D">
        <w:t>,</w:t>
      </w:r>
      <w:r>
        <w:t xml:space="preserve"> which is the primary purpose of this </w:t>
      </w:r>
      <w:r w:rsidR="00E96226" w:rsidRPr="001E30AB">
        <w:t xml:space="preserve">paper. </w:t>
      </w:r>
    </w:p>
    <w:p w14:paraId="5925049F" w14:textId="6FF9D8D4" w:rsidR="00CD292B" w:rsidRPr="00E14FB8" w:rsidRDefault="00CD292B" w:rsidP="00CA4A15">
      <w:r>
        <w:t>This paper provides an opportunity for stakeholders to inform the ACMA about their views</w:t>
      </w:r>
      <w:r w:rsidR="004B0D5D">
        <w:t>,</w:t>
      </w:r>
      <w:r>
        <w:t xml:space="preserve"> and the effects of different options on incumbent and potential new services</w:t>
      </w:r>
      <w:r w:rsidR="004B0D5D">
        <w:t>,</w:t>
      </w:r>
      <w:r>
        <w:t xml:space="preserve"> so the costs and benefits can be accurately gauged and considered. </w:t>
      </w:r>
    </w:p>
    <w:p w14:paraId="1687E574" w14:textId="776390FD" w:rsidR="00CD292B" w:rsidRDefault="00CD292B" w:rsidP="00CA4A15">
      <w:r>
        <w:t xml:space="preserve">In forming a judgement as to whether a band should progress from </w:t>
      </w:r>
      <w:r>
        <w:rPr>
          <w:rFonts w:cs="Arial"/>
        </w:rPr>
        <w:t xml:space="preserve">the </w:t>
      </w:r>
      <w:r w:rsidRPr="004C4BF4">
        <w:rPr>
          <w:rFonts w:cs="Arial"/>
          <w:i/>
        </w:rPr>
        <w:t>initial investigation</w:t>
      </w:r>
      <w:r>
        <w:rPr>
          <w:rFonts w:cs="Arial"/>
        </w:rPr>
        <w:t xml:space="preserve"> stage</w:t>
      </w:r>
      <w:r>
        <w:t xml:space="preserve"> to the </w:t>
      </w:r>
      <w:r w:rsidRPr="004C4BF4">
        <w:rPr>
          <w:i/>
        </w:rPr>
        <w:t xml:space="preserve">preliminary </w:t>
      </w:r>
      <w:r w:rsidR="00335B81">
        <w:rPr>
          <w:i/>
        </w:rPr>
        <w:t>re-planning</w:t>
      </w:r>
      <w:r>
        <w:t xml:space="preserve"> stage in the process, the ACMA’s decision will be informed by the results of the preliminary assessment of highest value use. To that end, preliminary assessments of highest value use for the 1.5 GHz and 3.6 GHz bands are provided in this paper for stakeholder comment and feedback. </w:t>
      </w:r>
      <w:r w:rsidR="003E259F">
        <w:t>The main outcome sought from this paper is to determine</w:t>
      </w:r>
      <w:r w:rsidR="005053E2">
        <w:t xml:space="preserve"> if the bands should be progressed from the </w:t>
      </w:r>
      <w:r w:rsidR="005053E2" w:rsidRPr="00660C0E">
        <w:rPr>
          <w:i/>
        </w:rPr>
        <w:t>initial investigation</w:t>
      </w:r>
      <w:r w:rsidR="005053E2">
        <w:t xml:space="preserve"> stage to the </w:t>
      </w:r>
      <w:r w:rsidR="005053E2" w:rsidRPr="00660C0E">
        <w:rPr>
          <w:i/>
        </w:rPr>
        <w:t xml:space="preserve">preliminary </w:t>
      </w:r>
      <w:r w:rsidR="00335B81">
        <w:rPr>
          <w:i/>
        </w:rPr>
        <w:t>re-planning</w:t>
      </w:r>
      <w:r w:rsidR="005053E2" w:rsidRPr="00660C0E">
        <w:rPr>
          <w:i/>
        </w:rPr>
        <w:t xml:space="preserve"> </w:t>
      </w:r>
      <w:r w:rsidR="005053E2" w:rsidRPr="00D85F2E">
        <w:t>stage</w:t>
      </w:r>
      <w:r w:rsidR="005053E2">
        <w:t>.</w:t>
      </w:r>
      <w:r w:rsidR="005053E2" w:rsidDel="005053E2">
        <w:t xml:space="preserve"> </w:t>
      </w:r>
    </w:p>
    <w:p w14:paraId="63EEDD1D" w14:textId="1C93E29C" w:rsidR="004B0D5D" w:rsidRDefault="003E259F" w:rsidP="00FD64A2">
      <w:pPr>
        <w:pStyle w:val="ListParagraph"/>
        <w:numPr>
          <w:ilvl w:val="0"/>
          <w:numId w:val="19"/>
        </w:numPr>
        <w:shd w:val="clear" w:color="auto" w:fill="F2F2F2" w:themeFill="background1" w:themeFillShade="F2"/>
        <w:ind w:left="426" w:hanging="426"/>
      </w:pPr>
      <w:r w:rsidRPr="00E03708">
        <w:rPr>
          <w:b/>
        </w:rPr>
        <w:t xml:space="preserve">Should the </w:t>
      </w:r>
      <w:r w:rsidR="00CF37BD" w:rsidRPr="00E03708">
        <w:rPr>
          <w:b/>
        </w:rPr>
        <w:t>1.5 G</w:t>
      </w:r>
      <w:r w:rsidRPr="00E03708">
        <w:rPr>
          <w:b/>
        </w:rPr>
        <w:t xml:space="preserve">Hz band and/or the </w:t>
      </w:r>
      <w:r w:rsidR="00CF37BD" w:rsidRPr="00E03708">
        <w:rPr>
          <w:b/>
        </w:rPr>
        <w:t>3.6 G</w:t>
      </w:r>
      <w:r w:rsidRPr="00E03708">
        <w:rPr>
          <w:b/>
        </w:rPr>
        <w:t xml:space="preserve">Hz band be progressed from </w:t>
      </w:r>
      <w:r w:rsidRPr="00E03708">
        <w:rPr>
          <w:b/>
          <w:i/>
        </w:rPr>
        <w:t>the initial investigation</w:t>
      </w:r>
      <w:r w:rsidRPr="00E03708">
        <w:rPr>
          <w:b/>
        </w:rPr>
        <w:t xml:space="preserve"> stage to the </w:t>
      </w:r>
      <w:r w:rsidRPr="00E03708">
        <w:rPr>
          <w:b/>
          <w:i/>
        </w:rPr>
        <w:t xml:space="preserve">preliminary </w:t>
      </w:r>
      <w:r w:rsidR="00335B81" w:rsidRPr="00E03708">
        <w:rPr>
          <w:b/>
          <w:i/>
        </w:rPr>
        <w:t>re-planning</w:t>
      </w:r>
      <w:r w:rsidRPr="00E03708">
        <w:rPr>
          <w:b/>
        </w:rPr>
        <w:t xml:space="preserve"> stage in the ACMA’s process for consideration of additional spectrum for </w:t>
      </w:r>
      <w:r w:rsidR="005A21F6" w:rsidRPr="00E03708">
        <w:rPr>
          <w:b/>
        </w:rPr>
        <w:t>MBB</w:t>
      </w:r>
      <w:r w:rsidRPr="00E03708">
        <w:rPr>
          <w:b/>
        </w:rPr>
        <w:t xml:space="preserve"> services? Why/Why not?</w:t>
      </w:r>
    </w:p>
    <w:p w14:paraId="08C40625" w14:textId="70694898" w:rsidR="00CD292B" w:rsidRPr="001E30AB" w:rsidRDefault="00CD292B" w:rsidP="00CA4A15">
      <w:r>
        <w:t xml:space="preserve">As part of the request for feedback, the ACMA is </w:t>
      </w:r>
      <w:r w:rsidR="00D85F2E">
        <w:t xml:space="preserve">also </w:t>
      </w:r>
      <w:r>
        <w:t xml:space="preserve">seeking information to inform </w:t>
      </w:r>
      <w:r w:rsidR="00D85F2E">
        <w:t xml:space="preserve">development of a </w:t>
      </w:r>
      <w:r>
        <w:t>comprehensive assessment of highest</w:t>
      </w:r>
      <w:r w:rsidR="004B0D5D">
        <w:t>-</w:t>
      </w:r>
      <w:r>
        <w:t>value use</w:t>
      </w:r>
      <w:r w:rsidR="004B0D5D">
        <w:t>,</w:t>
      </w:r>
      <w:r>
        <w:t xml:space="preserve"> which will be </w:t>
      </w:r>
      <w:r w:rsidR="00D85F2E">
        <w:t xml:space="preserve">completed </w:t>
      </w:r>
      <w:r>
        <w:t xml:space="preserve">as part of the </w:t>
      </w:r>
      <w:r w:rsidRPr="004C4BF4">
        <w:rPr>
          <w:i/>
        </w:rPr>
        <w:t xml:space="preserve">preliminary </w:t>
      </w:r>
      <w:r w:rsidR="00335B81">
        <w:rPr>
          <w:i/>
        </w:rPr>
        <w:t>re-planning</w:t>
      </w:r>
      <w:r>
        <w:t xml:space="preserve"> stage should the bands progress</w:t>
      </w:r>
      <w:r w:rsidR="00CF37BD">
        <w:t xml:space="preserve"> to that stage</w:t>
      </w:r>
      <w:r>
        <w:t xml:space="preserve">. </w:t>
      </w:r>
    </w:p>
    <w:p w14:paraId="6BB20940" w14:textId="72D2FDF4" w:rsidR="00B62624" w:rsidRDefault="003E259F" w:rsidP="003E259F">
      <w:pPr>
        <w:pStyle w:val="Heading3"/>
      </w:pPr>
      <w:bookmarkStart w:id="23" w:name="_Toc459906709"/>
      <w:bookmarkStart w:id="24" w:name="_Toc464480503"/>
      <w:r w:rsidRPr="003E259F">
        <w:t>Next steps</w:t>
      </w:r>
      <w:bookmarkEnd w:id="23"/>
      <w:bookmarkEnd w:id="24"/>
    </w:p>
    <w:p w14:paraId="00CBAADD" w14:textId="11D849CB" w:rsidR="00093D25" w:rsidRDefault="003E259F" w:rsidP="00E03708">
      <w:pPr>
        <w:spacing w:after="80"/>
      </w:pPr>
      <w:r>
        <w:t>Should the 1.5 GHz and 3.6 GHz band</w:t>
      </w:r>
      <w:r w:rsidR="00E11308">
        <w:t>s progress</w:t>
      </w:r>
      <w:r>
        <w:t xml:space="preserve"> to the </w:t>
      </w:r>
      <w:r w:rsidRPr="00660C0E">
        <w:rPr>
          <w:i/>
        </w:rPr>
        <w:t xml:space="preserve">preliminary </w:t>
      </w:r>
      <w:r w:rsidR="00335B81">
        <w:rPr>
          <w:i/>
        </w:rPr>
        <w:t>re-planning</w:t>
      </w:r>
      <w:r>
        <w:t xml:space="preserve"> stage, it is likely </w:t>
      </w:r>
      <w:r w:rsidR="00E11308">
        <w:t>they</w:t>
      </w:r>
      <w:r>
        <w:t xml:space="preserve"> will be advanced </w:t>
      </w:r>
      <w:r w:rsidR="00E11308">
        <w:t xml:space="preserve">through the remaining stages </w:t>
      </w:r>
      <w:r>
        <w:t>at different rates</w:t>
      </w:r>
      <w:r w:rsidR="00E11308">
        <w:t>.</w:t>
      </w:r>
      <w:r>
        <w:t xml:space="preserve"> </w:t>
      </w:r>
      <w:r w:rsidR="00C37BA9">
        <w:t xml:space="preserve">This is partly to </w:t>
      </w:r>
      <w:r w:rsidR="00E11308">
        <w:t>enable resources to be focused on facilitating the timely release of spectrum</w:t>
      </w:r>
      <w:r w:rsidR="00C37BA9">
        <w:t xml:space="preserve">. However, timing </w:t>
      </w:r>
      <w:r w:rsidR="001E12FB">
        <w:t xml:space="preserve">is also likely to </w:t>
      </w:r>
      <w:r w:rsidR="00C37BA9">
        <w:t xml:space="preserve">be affected by </w:t>
      </w:r>
      <w:r w:rsidR="001E12FB">
        <w:t xml:space="preserve">factors </w:t>
      </w:r>
      <w:r w:rsidR="00C37BA9">
        <w:t>unique to each band</w:t>
      </w:r>
      <w:r w:rsidR="001E12FB">
        <w:t>, such as</w:t>
      </w:r>
      <w:r w:rsidR="00093D25">
        <w:t>:</w:t>
      </w:r>
    </w:p>
    <w:p w14:paraId="2F4C99DB" w14:textId="3193A905" w:rsidR="00093D25" w:rsidRPr="009F50E2" w:rsidRDefault="00093D25" w:rsidP="00E03708">
      <w:pPr>
        <w:pStyle w:val="ListBullet"/>
      </w:pPr>
      <w:r w:rsidRPr="00D94C1D">
        <w:t>incumbency issues</w:t>
      </w:r>
      <w:r w:rsidR="00924BD6" w:rsidRPr="00D94C1D">
        <w:t xml:space="preserve">, </w:t>
      </w:r>
      <w:r w:rsidR="000A63AC">
        <w:t xml:space="preserve">for example, </w:t>
      </w:r>
      <w:r w:rsidR="00924BD6" w:rsidRPr="00D94C1D">
        <w:t>whether services will be</w:t>
      </w:r>
      <w:r w:rsidRPr="00D94C1D">
        <w:t xml:space="preserve"> required to re-locate </w:t>
      </w:r>
      <w:r w:rsidR="00924BD6" w:rsidRPr="000E6E09">
        <w:t>from a band (or geographical location)</w:t>
      </w:r>
      <w:r w:rsidR="004B0D5D">
        <w:t>,</w:t>
      </w:r>
      <w:r w:rsidR="00924BD6" w:rsidRPr="000E6E09">
        <w:t xml:space="preserve"> </w:t>
      </w:r>
      <w:r w:rsidR="006C0E1C" w:rsidRPr="000E6E09">
        <w:t xml:space="preserve">and how much time </w:t>
      </w:r>
      <w:r w:rsidR="00924BD6" w:rsidRPr="000E6E09">
        <w:t>is</w:t>
      </w:r>
      <w:r w:rsidR="006C0E1C" w:rsidRPr="000E6E09">
        <w:t xml:space="preserve"> required to do this</w:t>
      </w:r>
    </w:p>
    <w:p w14:paraId="2F5824CA" w14:textId="006B05B2" w:rsidR="00093D25" w:rsidRDefault="00093D25" w:rsidP="00E03708">
      <w:pPr>
        <w:pStyle w:val="ListBullet"/>
      </w:pPr>
      <w:r>
        <w:t xml:space="preserve">international considerations, such as the development of </w:t>
      </w:r>
      <w:r w:rsidR="006C0E1C">
        <w:t>internationally</w:t>
      </w:r>
      <w:r w:rsidR="004B0D5D">
        <w:t>-</w:t>
      </w:r>
      <w:r w:rsidR="006C0E1C">
        <w:t xml:space="preserve">harmonised </w:t>
      </w:r>
      <w:r>
        <w:t xml:space="preserve">band </w:t>
      </w:r>
      <w:r w:rsidR="006C0E1C">
        <w:t>arrangements</w:t>
      </w:r>
    </w:p>
    <w:p w14:paraId="0ADA90F8" w14:textId="24C627DA" w:rsidR="006C0E1C" w:rsidRDefault="006C0E1C" w:rsidP="00E03708">
      <w:pPr>
        <w:pStyle w:val="ListBulletLast"/>
      </w:pPr>
      <w:r>
        <w:t xml:space="preserve">the availability of </w:t>
      </w:r>
      <w:r w:rsidR="005A21F6">
        <w:t>MBB</w:t>
      </w:r>
      <w:r>
        <w:t xml:space="preserve"> equipment. </w:t>
      </w:r>
    </w:p>
    <w:p w14:paraId="3373E9E2" w14:textId="1FDC2CB9" w:rsidR="003D6728" w:rsidRPr="003D6728" w:rsidRDefault="00B92663" w:rsidP="00660C0E">
      <w:pPr>
        <w:spacing w:before="240"/>
        <w:rPr>
          <w:rFonts w:cs="Arial"/>
        </w:rPr>
      </w:pPr>
      <w:r>
        <w:t xml:space="preserve">Scrutiny of these factors will assist in determining how fast consideration of a band for </w:t>
      </w:r>
      <w:r w:rsidR="005A21F6">
        <w:t>MBB</w:t>
      </w:r>
      <w:r>
        <w:t xml:space="preserve"> could be progressed. </w:t>
      </w:r>
      <w:r w:rsidR="00D15D5C">
        <w:t>I</w:t>
      </w:r>
      <w:r w:rsidR="005F13D0">
        <w:t>n the 1.5 GHz band</w:t>
      </w:r>
      <w:r w:rsidR="00D15D5C">
        <w:t>,</w:t>
      </w:r>
      <w:r w:rsidR="005F13D0">
        <w:t xml:space="preserve"> </w:t>
      </w:r>
      <w:r w:rsidR="00D15D5C">
        <w:t xml:space="preserve">for example, </w:t>
      </w:r>
      <w:r w:rsidR="005F13D0">
        <w:t xml:space="preserve">although there are arrangements in place for </w:t>
      </w:r>
      <w:r w:rsidR="005A21F6">
        <w:t>MBB</w:t>
      </w:r>
      <w:r w:rsidR="000A63AC">
        <w:t>,</w:t>
      </w:r>
      <w:r w:rsidR="005F13D0">
        <w:t xml:space="preserve"> they only encompass a portion of the band. </w:t>
      </w:r>
      <w:r w:rsidR="003D6728">
        <w:rPr>
          <w:rFonts w:cs="Arial"/>
        </w:rPr>
        <w:t xml:space="preserve">Arrangements for </w:t>
      </w:r>
      <w:r w:rsidR="005A21F6">
        <w:rPr>
          <w:rFonts w:cs="Arial"/>
        </w:rPr>
        <w:t>MBB</w:t>
      </w:r>
      <w:r w:rsidR="003D6728">
        <w:rPr>
          <w:rFonts w:cs="Arial"/>
        </w:rPr>
        <w:t xml:space="preserve"> use that maximise the utility of the entire</w:t>
      </w:r>
      <w:r w:rsidR="00D15D5C">
        <w:rPr>
          <w:rFonts w:cs="Arial"/>
        </w:rPr>
        <w:t xml:space="preserve"> </w:t>
      </w:r>
      <w:r w:rsidR="003D6728">
        <w:rPr>
          <w:rFonts w:cs="Arial"/>
        </w:rPr>
        <w:t xml:space="preserve">1.5 GHz band are currently under </w:t>
      </w:r>
      <w:r w:rsidR="00A42A51">
        <w:rPr>
          <w:rFonts w:cs="Arial"/>
        </w:rPr>
        <w:t xml:space="preserve">consideration </w:t>
      </w:r>
      <w:r w:rsidR="003D6728">
        <w:rPr>
          <w:rFonts w:cs="Arial"/>
        </w:rPr>
        <w:t>by international bodies</w:t>
      </w:r>
      <w:r w:rsidR="004B0D5D">
        <w:rPr>
          <w:rFonts w:cs="Arial"/>
        </w:rPr>
        <w:t>,</w:t>
      </w:r>
      <w:r w:rsidR="003D6728">
        <w:rPr>
          <w:rFonts w:cs="Arial"/>
        </w:rPr>
        <w:t xml:space="preserve"> including the ITU, 3GPP and APT. </w:t>
      </w:r>
      <w:r w:rsidR="00733DC2">
        <w:rPr>
          <w:rFonts w:cs="Arial"/>
        </w:rPr>
        <w:t>While this work is going on</w:t>
      </w:r>
      <w:r w:rsidR="003D6728">
        <w:rPr>
          <w:rFonts w:cs="Arial"/>
        </w:rPr>
        <w:t xml:space="preserve">, a decision needs to be made as to how fast consideration of the 1.5 GHz band for </w:t>
      </w:r>
      <w:r w:rsidR="005A21F6">
        <w:rPr>
          <w:rFonts w:cs="Arial"/>
        </w:rPr>
        <w:t>MBB</w:t>
      </w:r>
      <w:r w:rsidR="003D6728">
        <w:rPr>
          <w:rFonts w:cs="Arial"/>
        </w:rPr>
        <w:t xml:space="preserve"> domestically should progress. For example</w:t>
      </w:r>
      <w:r w:rsidR="00CF37BD">
        <w:rPr>
          <w:rFonts w:cs="Arial"/>
        </w:rPr>
        <w:t>,</w:t>
      </w:r>
      <w:r w:rsidR="003D6728">
        <w:rPr>
          <w:rFonts w:cs="Arial"/>
        </w:rPr>
        <w:t xml:space="preserve"> should domestic consideration of the band be paused until international work is finalised? Or can</w:t>
      </w:r>
      <w:r w:rsidR="004B0D5D">
        <w:rPr>
          <w:rFonts w:cs="Arial"/>
        </w:rPr>
        <w:t>,</w:t>
      </w:r>
      <w:r w:rsidR="003D6728">
        <w:rPr>
          <w:rFonts w:cs="Arial"/>
        </w:rPr>
        <w:t xml:space="preserve"> and should</w:t>
      </w:r>
      <w:r w:rsidR="004B0D5D">
        <w:rPr>
          <w:rFonts w:cs="Arial"/>
        </w:rPr>
        <w:t>,</w:t>
      </w:r>
      <w:r w:rsidR="003D6728">
        <w:rPr>
          <w:rFonts w:cs="Arial"/>
        </w:rPr>
        <w:t xml:space="preserve"> the work continue in parallel? This issue is discussed further in the 1.5 GHz </w:t>
      </w:r>
      <w:hyperlink w:anchor="_Potential_spectrum_options" w:history="1">
        <w:r w:rsidR="003D6728" w:rsidRPr="004B0D5D">
          <w:rPr>
            <w:rStyle w:val="Hyperlink"/>
            <w:rFonts w:cs="Arial"/>
            <w:i/>
          </w:rPr>
          <w:t xml:space="preserve">Potential </w:t>
        </w:r>
        <w:r w:rsidR="004B0D5D" w:rsidRPr="004B0D5D">
          <w:rPr>
            <w:rStyle w:val="Hyperlink"/>
            <w:rFonts w:cs="Arial"/>
            <w:i/>
          </w:rPr>
          <w:t>s</w:t>
        </w:r>
        <w:r w:rsidR="003D6728" w:rsidRPr="004B0D5D">
          <w:rPr>
            <w:rStyle w:val="Hyperlink"/>
            <w:rFonts w:cs="Arial"/>
            <w:i/>
          </w:rPr>
          <w:t xml:space="preserve">pectrum </w:t>
        </w:r>
        <w:r w:rsidR="004B0D5D" w:rsidRPr="004B0D5D">
          <w:rPr>
            <w:rStyle w:val="Hyperlink"/>
            <w:rFonts w:cs="Arial"/>
            <w:i/>
          </w:rPr>
          <w:t>o</w:t>
        </w:r>
        <w:r w:rsidR="003D6728" w:rsidRPr="004B0D5D">
          <w:rPr>
            <w:rStyle w:val="Hyperlink"/>
            <w:rFonts w:cs="Arial"/>
            <w:i/>
          </w:rPr>
          <w:t>ptions</w:t>
        </w:r>
      </w:hyperlink>
      <w:r w:rsidR="003D6728">
        <w:rPr>
          <w:rFonts w:cs="Arial"/>
        </w:rPr>
        <w:t xml:space="preserve"> section of this paper.</w:t>
      </w:r>
    </w:p>
    <w:p w14:paraId="4668EE75" w14:textId="16655F8D" w:rsidR="00DE655A" w:rsidRDefault="00A24056" w:rsidP="00733DC2">
      <w:pPr>
        <w:spacing w:before="240"/>
      </w:pPr>
      <w:r w:rsidRPr="001A5E68">
        <w:fldChar w:fldCharType="begin"/>
      </w:r>
      <w:r w:rsidRPr="001A5E68">
        <w:instrText xml:space="preserve"> REF _Ref458523954 \h  \* MERGEFORMAT </w:instrText>
      </w:r>
      <w:r w:rsidRPr="001A5E68">
        <w:fldChar w:fldCharType="separate"/>
      </w:r>
      <w:r w:rsidR="00FA0A5F">
        <w:rPr>
          <w:b/>
          <w:bCs/>
          <w:lang w:val="en-US"/>
        </w:rPr>
        <w:t>Error! Reference source not found.</w:t>
      </w:r>
      <w:r w:rsidRPr="001A5E68">
        <w:fldChar w:fldCharType="end"/>
      </w:r>
      <w:r w:rsidR="001A5E68">
        <w:t xml:space="preserve"> </w:t>
      </w:r>
      <w:r w:rsidR="00C059B8">
        <w:t xml:space="preserve">provides </w:t>
      </w:r>
      <w:r w:rsidR="00F86995">
        <w:t xml:space="preserve">an indication of the </w:t>
      </w:r>
      <w:r w:rsidR="009C336F">
        <w:t xml:space="preserve">notional </w:t>
      </w:r>
      <w:r w:rsidR="00F86995">
        <w:t xml:space="preserve">timeline for the progression of </w:t>
      </w:r>
      <w:r w:rsidR="007326D7">
        <w:t xml:space="preserve">a single </w:t>
      </w:r>
      <w:r w:rsidR="00FF03A1">
        <w:t xml:space="preserve">band </w:t>
      </w:r>
      <w:r w:rsidR="007326D7">
        <w:t xml:space="preserve">under consideration </w:t>
      </w:r>
      <w:r w:rsidR="00F86995">
        <w:t xml:space="preserve">through the </w:t>
      </w:r>
      <w:r w:rsidR="005E6E67">
        <w:t xml:space="preserve">ACMA’s </w:t>
      </w:r>
      <w:r w:rsidR="00CA7C82">
        <w:t xml:space="preserve">planning </w:t>
      </w:r>
      <w:r w:rsidR="00F86995">
        <w:t>process</w:t>
      </w:r>
      <w:r w:rsidR="003E259F">
        <w:t>.</w:t>
      </w:r>
      <w:r w:rsidR="00FF03A1">
        <w:t xml:space="preserve"> </w:t>
      </w:r>
      <w:r w:rsidR="007326D7">
        <w:t>Under some circumstances and i</w:t>
      </w:r>
      <w:r w:rsidR="00927DAC">
        <w:t xml:space="preserve">f </w:t>
      </w:r>
      <w:r w:rsidR="005E6E67">
        <w:t xml:space="preserve">required, </w:t>
      </w:r>
      <w:r w:rsidR="007326D7">
        <w:t>it may be possible for this process to be accelerated</w:t>
      </w:r>
      <w:r w:rsidR="00927DAC">
        <w:t xml:space="preserve"> by running more steps in parallel</w:t>
      </w:r>
      <w:r w:rsidR="004B0D5D">
        <w:t>,</w:t>
      </w:r>
      <w:r w:rsidR="006E2895">
        <w:t xml:space="preserve"> or by compressing steps</w:t>
      </w:r>
      <w:r w:rsidR="00927DAC">
        <w:t>.</w:t>
      </w:r>
      <w:r w:rsidR="005E6E67">
        <w:t xml:space="preserve"> However, there </w:t>
      </w:r>
      <w:r w:rsidR="007326D7">
        <w:t>would</w:t>
      </w:r>
      <w:r w:rsidR="005E6E67">
        <w:t xml:space="preserve"> be practical limits as to how fast some issues can </w:t>
      </w:r>
      <w:r w:rsidR="00423DFC">
        <w:t>be progressed</w:t>
      </w:r>
      <w:r w:rsidR="004B0D5D">
        <w:t>,</w:t>
      </w:r>
      <w:r w:rsidR="007326D7">
        <w:t xml:space="preserve"> and there may </w:t>
      </w:r>
      <w:r w:rsidR="00423DFC">
        <w:t xml:space="preserve">also </w:t>
      </w:r>
      <w:r w:rsidR="007326D7">
        <w:t xml:space="preserve">be </w:t>
      </w:r>
      <w:r w:rsidR="00334FBA">
        <w:t xml:space="preserve">a </w:t>
      </w:r>
      <w:r w:rsidR="007326D7">
        <w:t>corresponding increas</w:t>
      </w:r>
      <w:r w:rsidR="00334FBA">
        <w:t>e</w:t>
      </w:r>
      <w:r w:rsidR="007326D7">
        <w:t xml:space="preserve"> </w:t>
      </w:r>
      <w:r w:rsidR="00334FBA">
        <w:t xml:space="preserve">in associated </w:t>
      </w:r>
      <w:r w:rsidR="007326D7">
        <w:t>risks</w:t>
      </w:r>
      <w:r w:rsidR="005E6E67">
        <w:t xml:space="preserve">. </w:t>
      </w:r>
      <w:r w:rsidR="00FF03A1">
        <w:t xml:space="preserve">It should </w:t>
      </w:r>
      <w:r w:rsidR="00927DAC">
        <w:t xml:space="preserve">also </w:t>
      </w:r>
      <w:r w:rsidR="00FF03A1">
        <w:t>be noted that if consideration of both bands is</w:t>
      </w:r>
      <w:r w:rsidR="00733DC2">
        <w:t xml:space="preserve"> undertaken</w:t>
      </w:r>
      <w:r w:rsidR="00FF03A1">
        <w:t xml:space="preserve"> </w:t>
      </w:r>
      <w:r w:rsidR="005E6E67">
        <w:t>together</w:t>
      </w:r>
      <w:r w:rsidR="004B0D5D">
        <w:t>,</w:t>
      </w:r>
      <w:r w:rsidR="00FF03A1">
        <w:t xml:space="preserve"> this would likely </w:t>
      </w:r>
      <w:r w:rsidR="005E6E67">
        <w:t>extend</w:t>
      </w:r>
      <w:r w:rsidR="00FF03A1">
        <w:t xml:space="preserve"> the timeframes indicated </w:t>
      </w:r>
      <w:r w:rsidR="009B111E">
        <w:t xml:space="preserve">in </w:t>
      </w:r>
      <w:r w:rsidRPr="001A5E68">
        <w:fldChar w:fldCharType="begin"/>
      </w:r>
      <w:r w:rsidRPr="001A5E68">
        <w:instrText xml:space="preserve"> REF _Ref458523954 \h  \* MERGEFORMAT </w:instrText>
      </w:r>
      <w:r w:rsidRPr="001A5E68">
        <w:fldChar w:fldCharType="separate"/>
      </w:r>
      <w:r w:rsidR="00FA0A5F">
        <w:rPr>
          <w:b/>
          <w:bCs/>
          <w:lang w:val="en-US"/>
        </w:rPr>
        <w:t>Error! Reference source not found.</w:t>
      </w:r>
      <w:r w:rsidRPr="001A5E68">
        <w:fldChar w:fldCharType="end"/>
      </w:r>
      <w:r w:rsidR="00FF03A1">
        <w:t>.</w:t>
      </w:r>
      <w:r w:rsidR="003E259F">
        <w:t xml:space="preserve"> </w:t>
      </w:r>
    </w:p>
    <w:p w14:paraId="7143552F" w14:textId="48B5652D" w:rsidR="00DE655A" w:rsidRDefault="00DE655A" w:rsidP="00CA4A15">
      <w:r>
        <w:t>Importantly, whether the notional timeline is achievable and/or appropriate is contingent on variety of factors, a critical one being the feedback received to ACMA discussion papers that contributes to the ACMA’s evidenced</w:t>
      </w:r>
      <w:r w:rsidR="004B0D5D">
        <w:t>-</w:t>
      </w:r>
      <w:r>
        <w:t>informed decision</w:t>
      </w:r>
      <w:r w:rsidR="004B0D5D">
        <w:t>-</w:t>
      </w:r>
      <w:r>
        <w:t xml:space="preserve">making processes. </w:t>
      </w:r>
    </w:p>
    <w:p w14:paraId="09C6AC97" w14:textId="00B0DC4E" w:rsidR="00B62624" w:rsidRDefault="00FE427A" w:rsidP="00E03708">
      <w:pPr>
        <w:pStyle w:val="ACMATableHeader"/>
        <w:keepNext/>
      </w:pPr>
      <w:r w:rsidRPr="00FE427A">
        <w:t xml:space="preserve">Indicative timeline for the progression of </w:t>
      </w:r>
      <w:r w:rsidR="00910E2A">
        <w:t xml:space="preserve">one band </w:t>
      </w:r>
      <w:r w:rsidRPr="00FE427A">
        <w:t xml:space="preserve">through the process for consideration of additional spectrum for </w:t>
      </w:r>
      <w:r w:rsidR="005A21F6">
        <w:t>MBB</w:t>
      </w:r>
      <w:r w:rsidRPr="00FE427A">
        <w:t xml:space="preserve"> services</w:t>
      </w:r>
    </w:p>
    <w:tbl>
      <w:tblPr>
        <w:tblStyle w:val="TableGrid"/>
        <w:tblW w:w="7950" w:type="dxa"/>
        <w:tblInd w:w="-147" w:type="dxa"/>
        <w:tblLayout w:type="fixed"/>
        <w:tblCellMar>
          <w:top w:w="57" w:type="dxa"/>
          <w:left w:w="57" w:type="dxa"/>
          <w:bottom w:w="57" w:type="dxa"/>
          <w:right w:w="57" w:type="dxa"/>
        </w:tblCellMar>
        <w:tblLook w:val="04A0" w:firstRow="1" w:lastRow="0" w:firstColumn="1" w:lastColumn="0" w:noHBand="0" w:noVBand="1"/>
        <w:tblCaption w:val="Indicative timeline for the progression of one band through the process for consideration of additional spectrum for MBB services"/>
        <w:tblDescription w:val="includes stage, milestones and indicative timings."/>
      </w:tblPr>
      <w:tblGrid>
        <w:gridCol w:w="2269"/>
        <w:gridCol w:w="4270"/>
        <w:gridCol w:w="1411"/>
      </w:tblGrid>
      <w:tr w:rsidR="00910E2A" w14:paraId="0AE5CA75" w14:textId="77777777" w:rsidTr="00E03708">
        <w:trPr>
          <w:trHeight w:val="428"/>
          <w:tblHeader/>
        </w:trPr>
        <w:tc>
          <w:tcPr>
            <w:tcW w:w="2269" w:type="dxa"/>
            <w:shd w:val="clear" w:color="auto" w:fill="404040" w:themeFill="text1" w:themeFillTint="BF"/>
          </w:tcPr>
          <w:p w14:paraId="7162F1D2" w14:textId="1B9A1621" w:rsidR="00910E2A" w:rsidRPr="006D6661" w:rsidRDefault="00910E2A" w:rsidP="006D6661">
            <w:pPr>
              <w:pStyle w:val="TableHeading"/>
              <w:rPr>
                <w:color w:val="FFFFFF" w:themeColor="background1"/>
              </w:rPr>
            </w:pPr>
            <w:r w:rsidRPr="006D6661">
              <w:rPr>
                <w:color w:val="FFFFFF" w:themeColor="background1"/>
              </w:rPr>
              <w:t>Stage</w:t>
            </w:r>
          </w:p>
        </w:tc>
        <w:tc>
          <w:tcPr>
            <w:tcW w:w="4270" w:type="dxa"/>
            <w:shd w:val="clear" w:color="auto" w:fill="404040" w:themeFill="text1" w:themeFillTint="BF"/>
          </w:tcPr>
          <w:p w14:paraId="7BE401AB" w14:textId="2E7CF5C9" w:rsidR="00910E2A" w:rsidRPr="006D6661" w:rsidRDefault="00910E2A" w:rsidP="006D6661">
            <w:pPr>
              <w:pStyle w:val="TableHeading"/>
              <w:rPr>
                <w:color w:val="FFFFFF" w:themeColor="background1"/>
              </w:rPr>
            </w:pPr>
            <w:r w:rsidRPr="006D6661">
              <w:rPr>
                <w:color w:val="FFFFFF" w:themeColor="background1"/>
              </w:rPr>
              <w:t>Milestone</w:t>
            </w:r>
          </w:p>
        </w:tc>
        <w:tc>
          <w:tcPr>
            <w:tcW w:w="1411" w:type="dxa"/>
            <w:shd w:val="clear" w:color="auto" w:fill="404040" w:themeFill="text1" w:themeFillTint="BF"/>
          </w:tcPr>
          <w:p w14:paraId="7520EB0A" w14:textId="0AEDFA29" w:rsidR="00910E2A" w:rsidRPr="006D6661" w:rsidRDefault="00910E2A" w:rsidP="006D6661">
            <w:pPr>
              <w:pStyle w:val="TableHeading"/>
              <w:rPr>
                <w:color w:val="FFFFFF" w:themeColor="background1"/>
              </w:rPr>
            </w:pPr>
            <w:r w:rsidRPr="006D6661">
              <w:rPr>
                <w:color w:val="FFFFFF" w:themeColor="background1"/>
              </w:rPr>
              <w:t>Date</w:t>
            </w:r>
          </w:p>
        </w:tc>
      </w:tr>
      <w:tr w:rsidR="00910E2A" w14:paraId="50CED13E" w14:textId="77777777" w:rsidTr="00E03708">
        <w:tc>
          <w:tcPr>
            <w:tcW w:w="2269" w:type="dxa"/>
            <w:vMerge w:val="restart"/>
            <w:shd w:val="clear" w:color="auto" w:fill="auto"/>
            <w:tcMar>
              <w:left w:w="57" w:type="dxa"/>
              <w:right w:w="57" w:type="dxa"/>
            </w:tcMar>
          </w:tcPr>
          <w:p w14:paraId="2C94ACAB" w14:textId="54B1DCD6" w:rsidR="00910E2A" w:rsidRPr="00733DC2" w:rsidRDefault="00910E2A" w:rsidP="00733DC2">
            <w:pPr>
              <w:spacing w:after="0"/>
              <w:rPr>
                <w:rFonts w:cs="Arial"/>
                <w:b/>
                <w:sz w:val="18"/>
                <w:szCs w:val="18"/>
              </w:rPr>
            </w:pPr>
            <w:r w:rsidRPr="00733DC2">
              <w:rPr>
                <w:rFonts w:cs="Arial"/>
                <w:b/>
                <w:sz w:val="18"/>
                <w:szCs w:val="18"/>
              </w:rPr>
              <w:t>Stage 1</w:t>
            </w:r>
            <w:r w:rsidR="00102FA5">
              <w:rPr>
                <w:rFonts w:cs="Arial"/>
                <w:b/>
                <w:sz w:val="18"/>
                <w:szCs w:val="18"/>
              </w:rPr>
              <w:t>—</w:t>
            </w:r>
            <w:r w:rsidR="00102FA5">
              <w:rPr>
                <w:rFonts w:cs="Arial"/>
                <w:b/>
                <w:sz w:val="18"/>
                <w:szCs w:val="18"/>
              </w:rPr>
              <w:br/>
            </w:r>
            <w:r w:rsidRPr="00733DC2">
              <w:rPr>
                <w:rFonts w:cs="Arial"/>
                <w:b/>
                <w:sz w:val="18"/>
                <w:szCs w:val="18"/>
              </w:rPr>
              <w:t xml:space="preserve">Initial </w:t>
            </w:r>
            <w:r w:rsidR="00102FA5">
              <w:rPr>
                <w:rFonts w:cs="Arial"/>
                <w:b/>
                <w:sz w:val="18"/>
                <w:szCs w:val="18"/>
              </w:rPr>
              <w:t>i</w:t>
            </w:r>
            <w:r w:rsidRPr="00733DC2">
              <w:rPr>
                <w:rFonts w:cs="Arial"/>
                <w:b/>
                <w:sz w:val="18"/>
                <w:szCs w:val="18"/>
              </w:rPr>
              <w:t>nvestigation</w:t>
            </w:r>
          </w:p>
        </w:tc>
        <w:tc>
          <w:tcPr>
            <w:tcW w:w="4270" w:type="dxa"/>
            <w:shd w:val="clear" w:color="auto" w:fill="auto"/>
          </w:tcPr>
          <w:p w14:paraId="5EB0DE82" w14:textId="70F3189A" w:rsidR="00910E2A" w:rsidRPr="00733DC2" w:rsidRDefault="00910E2A" w:rsidP="00E03708">
            <w:pPr>
              <w:spacing w:after="0"/>
              <w:rPr>
                <w:rFonts w:cs="Arial"/>
                <w:sz w:val="18"/>
                <w:szCs w:val="18"/>
              </w:rPr>
            </w:pPr>
            <w:r w:rsidRPr="00733DC2">
              <w:rPr>
                <w:rFonts w:cs="Arial"/>
                <w:sz w:val="18"/>
                <w:szCs w:val="18"/>
              </w:rPr>
              <w:t>Release: Initial investigation of the 1427</w:t>
            </w:r>
            <w:r w:rsidR="00102FA5">
              <w:rPr>
                <w:rFonts w:cs="Arial"/>
                <w:sz w:val="18"/>
                <w:szCs w:val="18"/>
              </w:rPr>
              <w:t>–</w:t>
            </w:r>
            <w:r w:rsidRPr="00733DC2">
              <w:rPr>
                <w:rFonts w:cs="Arial"/>
                <w:sz w:val="18"/>
                <w:szCs w:val="18"/>
              </w:rPr>
              <w:t>1518 MHz and 3575</w:t>
            </w:r>
            <w:r w:rsidR="00102FA5">
              <w:rPr>
                <w:rFonts w:cs="Arial"/>
                <w:sz w:val="18"/>
                <w:szCs w:val="18"/>
              </w:rPr>
              <w:t>–</w:t>
            </w:r>
            <w:r w:rsidRPr="00733DC2">
              <w:rPr>
                <w:rFonts w:cs="Arial"/>
                <w:sz w:val="18"/>
                <w:szCs w:val="18"/>
              </w:rPr>
              <w:t xml:space="preserve">3700 MHz bands for </w:t>
            </w:r>
            <w:r w:rsidR="005A21F6">
              <w:rPr>
                <w:rFonts w:cs="Arial"/>
                <w:sz w:val="18"/>
                <w:szCs w:val="18"/>
              </w:rPr>
              <w:t>MBB</w:t>
            </w:r>
            <w:r w:rsidRPr="00733DC2">
              <w:rPr>
                <w:rFonts w:cs="Arial"/>
                <w:sz w:val="18"/>
                <w:szCs w:val="18"/>
              </w:rPr>
              <w:t xml:space="preserve"> services discussion paper</w:t>
            </w:r>
          </w:p>
        </w:tc>
        <w:tc>
          <w:tcPr>
            <w:tcW w:w="1411" w:type="dxa"/>
            <w:shd w:val="clear" w:color="auto" w:fill="auto"/>
            <w:tcMar>
              <w:left w:w="57" w:type="dxa"/>
              <w:right w:w="57" w:type="dxa"/>
            </w:tcMar>
          </w:tcPr>
          <w:p w14:paraId="4254F885" w14:textId="18A16DCF" w:rsidR="00910E2A" w:rsidRPr="00733DC2" w:rsidRDefault="00910E2A" w:rsidP="00E03708">
            <w:pPr>
              <w:spacing w:after="0"/>
              <w:rPr>
                <w:rFonts w:cs="Arial"/>
                <w:sz w:val="18"/>
                <w:szCs w:val="18"/>
              </w:rPr>
            </w:pPr>
            <w:r>
              <w:rPr>
                <w:rFonts w:cs="Arial"/>
                <w:sz w:val="18"/>
                <w:szCs w:val="18"/>
              </w:rPr>
              <w:t>October 2016</w:t>
            </w:r>
          </w:p>
        </w:tc>
      </w:tr>
      <w:tr w:rsidR="00910E2A" w14:paraId="0761FCED" w14:textId="77777777" w:rsidTr="00E03708">
        <w:tc>
          <w:tcPr>
            <w:tcW w:w="2269" w:type="dxa"/>
            <w:vMerge/>
            <w:shd w:val="clear" w:color="auto" w:fill="auto"/>
            <w:tcMar>
              <w:left w:w="57" w:type="dxa"/>
              <w:right w:w="57" w:type="dxa"/>
            </w:tcMar>
          </w:tcPr>
          <w:p w14:paraId="293E29F1" w14:textId="77777777" w:rsidR="00910E2A" w:rsidRPr="00733DC2" w:rsidRDefault="00910E2A" w:rsidP="00733DC2">
            <w:pPr>
              <w:spacing w:after="0"/>
              <w:rPr>
                <w:rFonts w:cs="Arial"/>
                <w:b/>
                <w:sz w:val="18"/>
                <w:szCs w:val="18"/>
              </w:rPr>
            </w:pPr>
          </w:p>
        </w:tc>
        <w:tc>
          <w:tcPr>
            <w:tcW w:w="4270" w:type="dxa"/>
            <w:shd w:val="clear" w:color="auto" w:fill="auto"/>
          </w:tcPr>
          <w:p w14:paraId="50DBC40A" w14:textId="28B241E7" w:rsidR="00910E2A" w:rsidRPr="00733DC2" w:rsidRDefault="00910E2A" w:rsidP="00E03708">
            <w:pPr>
              <w:spacing w:after="0"/>
              <w:rPr>
                <w:rFonts w:cs="Arial"/>
                <w:sz w:val="18"/>
                <w:szCs w:val="18"/>
              </w:rPr>
            </w:pPr>
            <w:r w:rsidRPr="00733DC2">
              <w:rPr>
                <w:rFonts w:cs="Arial"/>
                <w:sz w:val="18"/>
                <w:szCs w:val="18"/>
              </w:rPr>
              <w:t>Submissions due to discussion paper</w:t>
            </w:r>
          </w:p>
        </w:tc>
        <w:tc>
          <w:tcPr>
            <w:tcW w:w="1411" w:type="dxa"/>
            <w:shd w:val="clear" w:color="auto" w:fill="auto"/>
            <w:tcMar>
              <w:left w:w="57" w:type="dxa"/>
              <w:right w:w="57" w:type="dxa"/>
            </w:tcMar>
          </w:tcPr>
          <w:p w14:paraId="19FC8409" w14:textId="4796B473" w:rsidR="00910E2A" w:rsidRPr="00733DC2" w:rsidRDefault="008E4F28" w:rsidP="00E03708">
            <w:pPr>
              <w:spacing w:after="0"/>
              <w:rPr>
                <w:rFonts w:cs="Arial"/>
                <w:sz w:val="18"/>
                <w:szCs w:val="18"/>
              </w:rPr>
            </w:pPr>
            <w:r>
              <w:rPr>
                <w:rFonts w:cs="Arial"/>
                <w:sz w:val="18"/>
                <w:szCs w:val="18"/>
              </w:rPr>
              <w:t>November</w:t>
            </w:r>
            <w:r w:rsidR="00910E2A">
              <w:rPr>
                <w:rFonts w:cs="Arial"/>
                <w:sz w:val="18"/>
                <w:szCs w:val="18"/>
              </w:rPr>
              <w:t xml:space="preserve"> 2016</w:t>
            </w:r>
          </w:p>
        </w:tc>
      </w:tr>
      <w:tr w:rsidR="00910E2A" w14:paraId="22F8DBD1" w14:textId="77777777" w:rsidTr="00E03708">
        <w:tc>
          <w:tcPr>
            <w:tcW w:w="2269" w:type="dxa"/>
            <w:vMerge/>
            <w:shd w:val="clear" w:color="auto" w:fill="auto"/>
            <w:tcMar>
              <w:left w:w="57" w:type="dxa"/>
              <w:right w:w="57" w:type="dxa"/>
            </w:tcMar>
          </w:tcPr>
          <w:p w14:paraId="5530D7A7" w14:textId="77777777" w:rsidR="00910E2A" w:rsidRPr="00733DC2" w:rsidRDefault="00910E2A" w:rsidP="00733DC2">
            <w:pPr>
              <w:spacing w:after="0"/>
              <w:rPr>
                <w:rFonts w:cs="Arial"/>
                <w:b/>
                <w:sz w:val="18"/>
                <w:szCs w:val="18"/>
              </w:rPr>
            </w:pPr>
          </w:p>
        </w:tc>
        <w:tc>
          <w:tcPr>
            <w:tcW w:w="4270" w:type="dxa"/>
            <w:shd w:val="clear" w:color="auto" w:fill="auto"/>
          </w:tcPr>
          <w:p w14:paraId="4DCE0D6A" w14:textId="3903B5F9" w:rsidR="00910E2A" w:rsidRPr="00733DC2" w:rsidRDefault="007326D7" w:rsidP="00E03708">
            <w:pPr>
              <w:spacing w:after="0"/>
              <w:rPr>
                <w:rFonts w:cs="Arial"/>
                <w:sz w:val="18"/>
                <w:szCs w:val="18"/>
              </w:rPr>
            </w:pPr>
            <w:r>
              <w:rPr>
                <w:rFonts w:cs="Arial"/>
                <w:sz w:val="18"/>
                <w:szCs w:val="18"/>
              </w:rPr>
              <w:t xml:space="preserve">Consideration of whether to </w:t>
            </w:r>
            <w:r w:rsidR="00C5568C">
              <w:rPr>
                <w:rFonts w:cs="Arial"/>
                <w:sz w:val="18"/>
                <w:szCs w:val="18"/>
              </w:rPr>
              <w:t xml:space="preserve">progress consideration of the band </w:t>
            </w:r>
            <w:r w:rsidR="00910E2A" w:rsidRPr="00733DC2">
              <w:rPr>
                <w:rFonts w:cs="Arial"/>
                <w:sz w:val="18"/>
                <w:szCs w:val="18"/>
              </w:rPr>
              <w:t>to stage 2</w:t>
            </w:r>
            <w:r w:rsidR="00102FA5">
              <w:rPr>
                <w:rFonts w:cs="Arial"/>
                <w:sz w:val="18"/>
                <w:szCs w:val="18"/>
              </w:rPr>
              <w:t>—</w:t>
            </w:r>
            <w:r w:rsidR="00910E2A" w:rsidRPr="00733DC2">
              <w:rPr>
                <w:rFonts w:cs="Arial"/>
                <w:i/>
                <w:sz w:val="18"/>
                <w:szCs w:val="18"/>
              </w:rPr>
              <w:t>preliminary re-planning</w:t>
            </w:r>
          </w:p>
        </w:tc>
        <w:tc>
          <w:tcPr>
            <w:tcW w:w="1411" w:type="dxa"/>
            <w:shd w:val="clear" w:color="auto" w:fill="auto"/>
            <w:tcMar>
              <w:left w:w="57" w:type="dxa"/>
              <w:right w:w="57" w:type="dxa"/>
            </w:tcMar>
          </w:tcPr>
          <w:p w14:paraId="74E57CFD" w14:textId="3721A70A" w:rsidR="00910E2A" w:rsidRPr="00733DC2" w:rsidRDefault="00910E2A" w:rsidP="00E03708">
            <w:pPr>
              <w:spacing w:after="0"/>
              <w:rPr>
                <w:rFonts w:cs="Arial"/>
                <w:sz w:val="18"/>
                <w:szCs w:val="18"/>
              </w:rPr>
            </w:pPr>
            <w:r>
              <w:rPr>
                <w:rFonts w:cs="Arial"/>
                <w:sz w:val="18"/>
                <w:szCs w:val="18"/>
              </w:rPr>
              <w:t>January 201</w:t>
            </w:r>
            <w:r w:rsidR="001A26FA">
              <w:rPr>
                <w:rFonts w:cs="Arial"/>
                <w:sz w:val="18"/>
                <w:szCs w:val="18"/>
              </w:rPr>
              <w:t>7</w:t>
            </w:r>
          </w:p>
        </w:tc>
      </w:tr>
      <w:tr w:rsidR="00910E2A" w14:paraId="4C339CDB" w14:textId="77777777" w:rsidTr="00E03708">
        <w:tc>
          <w:tcPr>
            <w:tcW w:w="2269" w:type="dxa"/>
            <w:vMerge w:val="restart"/>
            <w:shd w:val="clear" w:color="auto" w:fill="F2F2F2" w:themeFill="background1" w:themeFillShade="F2"/>
            <w:tcMar>
              <w:left w:w="57" w:type="dxa"/>
              <w:right w:w="57" w:type="dxa"/>
            </w:tcMar>
          </w:tcPr>
          <w:p w14:paraId="4015959A" w14:textId="76A23C1C" w:rsidR="00910E2A" w:rsidRPr="00733DC2" w:rsidRDefault="00910E2A" w:rsidP="00733DC2">
            <w:pPr>
              <w:spacing w:after="0"/>
              <w:rPr>
                <w:rFonts w:cs="Arial"/>
                <w:b/>
                <w:sz w:val="18"/>
                <w:szCs w:val="18"/>
              </w:rPr>
            </w:pPr>
            <w:r w:rsidRPr="00733DC2">
              <w:rPr>
                <w:rFonts w:cs="Arial"/>
                <w:b/>
                <w:sz w:val="18"/>
                <w:szCs w:val="18"/>
              </w:rPr>
              <w:t>Stage 2</w:t>
            </w:r>
            <w:r w:rsidR="00102FA5">
              <w:rPr>
                <w:rFonts w:cs="Arial"/>
                <w:b/>
                <w:sz w:val="18"/>
                <w:szCs w:val="18"/>
              </w:rPr>
              <w:t>—</w:t>
            </w:r>
            <w:r w:rsidR="00102FA5">
              <w:rPr>
                <w:rFonts w:cs="Arial"/>
                <w:b/>
                <w:sz w:val="18"/>
                <w:szCs w:val="18"/>
              </w:rPr>
              <w:br/>
            </w:r>
            <w:r w:rsidRPr="00733DC2">
              <w:rPr>
                <w:rFonts w:cs="Arial"/>
                <w:b/>
                <w:sz w:val="18"/>
                <w:szCs w:val="18"/>
              </w:rPr>
              <w:t xml:space="preserve">Preliminary </w:t>
            </w:r>
            <w:r w:rsidR="00102FA5">
              <w:rPr>
                <w:rFonts w:cs="Arial"/>
                <w:b/>
                <w:sz w:val="18"/>
                <w:szCs w:val="18"/>
              </w:rPr>
              <w:t>r</w:t>
            </w:r>
            <w:r w:rsidRPr="00733DC2">
              <w:rPr>
                <w:rFonts w:cs="Arial"/>
                <w:b/>
                <w:sz w:val="18"/>
                <w:szCs w:val="18"/>
              </w:rPr>
              <w:t>e-planning</w:t>
            </w:r>
          </w:p>
        </w:tc>
        <w:tc>
          <w:tcPr>
            <w:tcW w:w="4270" w:type="dxa"/>
            <w:shd w:val="clear" w:color="auto" w:fill="F2F2F2" w:themeFill="background1" w:themeFillShade="F2"/>
          </w:tcPr>
          <w:p w14:paraId="17190306" w14:textId="48E90139" w:rsidR="00910E2A" w:rsidRPr="00733DC2" w:rsidRDefault="00910E2A" w:rsidP="00E03708">
            <w:pPr>
              <w:spacing w:after="0"/>
              <w:rPr>
                <w:rFonts w:cs="Arial"/>
                <w:sz w:val="18"/>
                <w:szCs w:val="18"/>
              </w:rPr>
            </w:pPr>
            <w:r>
              <w:rPr>
                <w:rFonts w:cs="Arial"/>
                <w:sz w:val="18"/>
                <w:szCs w:val="18"/>
              </w:rPr>
              <w:t>Release</w:t>
            </w:r>
            <w:r w:rsidR="00FF03A1">
              <w:rPr>
                <w:rFonts w:cs="Arial"/>
                <w:sz w:val="18"/>
                <w:szCs w:val="18"/>
              </w:rPr>
              <w:t>:</w:t>
            </w:r>
            <w:r>
              <w:rPr>
                <w:rFonts w:cs="Arial"/>
                <w:sz w:val="18"/>
                <w:szCs w:val="18"/>
              </w:rPr>
              <w:t xml:space="preserve"> second discussion paper focused on one band</w:t>
            </w:r>
            <w:r w:rsidR="007326D7">
              <w:rPr>
                <w:rFonts w:cs="Arial"/>
                <w:sz w:val="18"/>
                <w:szCs w:val="18"/>
              </w:rPr>
              <w:t xml:space="preserve"> providing draft definitive highest</w:t>
            </w:r>
            <w:r w:rsidR="00102FA5">
              <w:rPr>
                <w:rFonts w:cs="Arial"/>
                <w:sz w:val="18"/>
                <w:szCs w:val="18"/>
              </w:rPr>
              <w:t>-</w:t>
            </w:r>
            <w:r w:rsidR="007326D7">
              <w:rPr>
                <w:rFonts w:cs="Arial"/>
                <w:sz w:val="18"/>
                <w:szCs w:val="18"/>
              </w:rPr>
              <w:t>value use assessment and planning options</w:t>
            </w:r>
          </w:p>
        </w:tc>
        <w:tc>
          <w:tcPr>
            <w:tcW w:w="1411" w:type="dxa"/>
            <w:shd w:val="clear" w:color="auto" w:fill="F2F2F2" w:themeFill="background1" w:themeFillShade="F2"/>
            <w:tcMar>
              <w:left w:w="57" w:type="dxa"/>
              <w:right w:w="57" w:type="dxa"/>
            </w:tcMar>
          </w:tcPr>
          <w:p w14:paraId="3595BAFF" w14:textId="7A9C4F6A" w:rsidR="00910E2A" w:rsidRPr="00733DC2" w:rsidRDefault="00910E2A" w:rsidP="00E03708">
            <w:pPr>
              <w:spacing w:after="0"/>
              <w:rPr>
                <w:rFonts w:cs="Arial"/>
                <w:sz w:val="18"/>
                <w:szCs w:val="18"/>
              </w:rPr>
            </w:pPr>
            <w:r>
              <w:rPr>
                <w:rFonts w:cs="Arial"/>
                <w:sz w:val="18"/>
                <w:szCs w:val="18"/>
              </w:rPr>
              <w:t>Q2 2017</w:t>
            </w:r>
          </w:p>
        </w:tc>
      </w:tr>
      <w:tr w:rsidR="00910E2A" w14:paraId="2801B15E" w14:textId="77777777" w:rsidTr="00E03708">
        <w:tc>
          <w:tcPr>
            <w:tcW w:w="2269" w:type="dxa"/>
            <w:vMerge/>
            <w:shd w:val="clear" w:color="auto" w:fill="F2F2F2" w:themeFill="background1" w:themeFillShade="F2"/>
            <w:tcMar>
              <w:left w:w="57" w:type="dxa"/>
              <w:right w:w="57" w:type="dxa"/>
            </w:tcMar>
          </w:tcPr>
          <w:p w14:paraId="73155DB0" w14:textId="77777777" w:rsidR="00910E2A" w:rsidRPr="00733DC2" w:rsidRDefault="00910E2A" w:rsidP="00733DC2">
            <w:pPr>
              <w:spacing w:after="0"/>
              <w:rPr>
                <w:rFonts w:cs="Arial"/>
                <w:b/>
                <w:sz w:val="18"/>
                <w:szCs w:val="18"/>
              </w:rPr>
            </w:pPr>
          </w:p>
        </w:tc>
        <w:tc>
          <w:tcPr>
            <w:tcW w:w="4270" w:type="dxa"/>
            <w:shd w:val="clear" w:color="auto" w:fill="F2F2F2" w:themeFill="background1" w:themeFillShade="F2"/>
          </w:tcPr>
          <w:p w14:paraId="15B82ADE" w14:textId="4FB1BCB7" w:rsidR="00910E2A" w:rsidRPr="00733DC2" w:rsidRDefault="00910E2A" w:rsidP="00E03708">
            <w:pPr>
              <w:spacing w:after="0"/>
              <w:rPr>
                <w:rFonts w:cs="Arial"/>
                <w:sz w:val="18"/>
                <w:szCs w:val="18"/>
              </w:rPr>
            </w:pPr>
            <w:r>
              <w:rPr>
                <w:rFonts w:cs="Arial"/>
                <w:sz w:val="18"/>
                <w:szCs w:val="18"/>
              </w:rPr>
              <w:t>Submissions due to second discussion paper</w:t>
            </w:r>
          </w:p>
        </w:tc>
        <w:tc>
          <w:tcPr>
            <w:tcW w:w="1411" w:type="dxa"/>
            <w:shd w:val="clear" w:color="auto" w:fill="F2F2F2" w:themeFill="background1" w:themeFillShade="F2"/>
            <w:tcMar>
              <w:left w:w="57" w:type="dxa"/>
              <w:right w:w="57" w:type="dxa"/>
            </w:tcMar>
          </w:tcPr>
          <w:p w14:paraId="555138ED" w14:textId="599FA1FF" w:rsidR="00910E2A" w:rsidRPr="00733DC2" w:rsidRDefault="00910E2A" w:rsidP="00E03708">
            <w:pPr>
              <w:spacing w:after="0"/>
              <w:rPr>
                <w:rFonts w:cs="Arial"/>
                <w:sz w:val="18"/>
                <w:szCs w:val="18"/>
              </w:rPr>
            </w:pPr>
            <w:r>
              <w:rPr>
                <w:rFonts w:cs="Arial"/>
                <w:sz w:val="18"/>
                <w:szCs w:val="18"/>
              </w:rPr>
              <w:t>Q3 2017</w:t>
            </w:r>
          </w:p>
        </w:tc>
      </w:tr>
      <w:tr w:rsidR="00910E2A" w14:paraId="2682A595" w14:textId="77777777" w:rsidTr="00E03708">
        <w:tc>
          <w:tcPr>
            <w:tcW w:w="2269" w:type="dxa"/>
            <w:vMerge/>
            <w:shd w:val="clear" w:color="auto" w:fill="F2F2F2" w:themeFill="background1" w:themeFillShade="F2"/>
            <w:tcMar>
              <w:left w:w="57" w:type="dxa"/>
              <w:right w:w="57" w:type="dxa"/>
            </w:tcMar>
          </w:tcPr>
          <w:p w14:paraId="4773E704" w14:textId="77777777" w:rsidR="00910E2A" w:rsidRPr="00733DC2" w:rsidRDefault="00910E2A" w:rsidP="00910E2A">
            <w:pPr>
              <w:spacing w:after="0"/>
              <w:rPr>
                <w:rFonts w:cs="Arial"/>
                <w:b/>
                <w:sz w:val="18"/>
                <w:szCs w:val="18"/>
              </w:rPr>
            </w:pPr>
          </w:p>
        </w:tc>
        <w:tc>
          <w:tcPr>
            <w:tcW w:w="4270" w:type="dxa"/>
            <w:shd w:val="clear" w:color="auto" w:fill="F2F2F2" w:themeFill="background1" w:themeFillShade="F2"/>
          </w:tcPr>
          <w:p w14:paraId="44726E2D" w14:textId="20A7BDF8" w:rsidR="00910E2A" w:rsidRPr="007326D7" w:rsidRDefault="00FF03A1" w:rsidP="00E03708">
            <w:pPr>
              <w:spacing w:after="0"/>
              <w:rPr>
                <w:rFonts w:cs="Arial"/>
                <w:sz w:val="18"/>
                <w:szCs w:val="18"/>
              </w:rPr>
            </w:pPr>
            <w:r>
              <w:rPr>
                <w:rFonts w:cs="Arial"/>
                <w:sz w:val="18"/>
                <w:szCs w:val="18"/>
              </w:rPr>
              <w:t>Release: de</w:t>
            </w:r>
            <w:r w:rsidR="00910E2A">
              <w:rPr>
                <w:rFonts w:cs="Arial"/>
                <w:sz w:val="18"/>
                <w:szCs w:val="18"/>
              </w:rPr>
              <w:t>cision paper on whether or not band will move to stage 3</w:t>
            </w:r>
            <w:r w:rsidR="00102FA5">
              <w:rPr>
                <w:rFonts w:cs="Arial"/>
                <w:sz w:val="18"/>
                <w:szCs w:val="18"/>
              </w:rPr>
              <w:t>—</w:t>
            </w:r>
            <w:r w:rsidR="00A24056">
              <w:rPr>
                <w:rFonts w:cs="Arial"/>
                <w:i/>
                <w:sz w:val="18"/>
                <w:szCs w:val="18"/>
              </w:rPr>
              <w:t>r</w:t>
            </w:r>
            <w:r w:rsidR="00910E2A" w:rsidRPr="00733DC2">
              <w:rPr>
                <w:rFonts w:cs="Arial"/>
                <w:i/>
                <w:sz w:val="18"/>
                <w:szCs w:val="18"/>
              </w:rPr>
              <w:t>e-farming</w:t>
            </w:r>
            <w:r w:rsidR="007326D7">
              <w:rPr>
                <w:rFonts w:cs="Arial"/>
                <w:sz w:val="18"/>
                <w:szCs w:val="18"/>
              </w:rPr>
              <w:t xml:space="preserve"> </w:t>
            </w:r>
          </w:p>
        </w:tc>
        <w:tc>
          <w:tcPr>
            <w:tcW w:w="1411" w:type="dxa"/>
            <w:shd w:val="clear" w:color="auto" w:fill="F2F2F2" w:themeFill="background1" w:themeFillShade="F2"/>
            <w:tcMar>
              <w:left w:w="57" w:type="dxa"/>
              <w:right w:w="57" w:type="dxa"/>
            </w:tcMar>
          </w:tcPr>
          <w:p w14:paraId="74F9997F" w14:textId="6574840C" w:rsidR="00910E2A" w:rsidRPr="00910E2A" w:rsidRDefault="00D63740" w:rsidP="00E03708">
            <w:pPr>
              <w:spacing w:after="0"/>
              <w:rPr>
                <w:rFonts w:cs="Arial"/>
                <w:sz w:val="18"/>
                <w:szCs w:val="18"/>
              </w:rPr>
            </w:pPr>
            <w:r>
              <w:rPr>
                <w:rFonts w:cs="Arial"/>
                <w:sz w:val="18"/>
                <w:szCs w:val="18"/>
              </w:rPr>
              <w:t>Q3–</w:t>
            </w:r>
            <w:r w:rsidR="00910E2A">
              <w:rPr>
                <w:rFonts w:cs="Arial"/>
                <w:sz w:val="18"/>
                <w:szCs w:val="18"/>
              </w:rPr>
              <w:t>Q4 2017</w:t>
            </w:r>
          </w:p>
        </w:tc>
      </w:tr>
      <w:tr w:rsidR="00910E2A" w14:paraId="790D9E97" w14:textId="77777777" w:rsidTr="00E03708">
        <w:tc>
          <w:tcPr>
            <w:tcW w:w="2269" w:type="dxa"/>
            <w:shd w:val="clear" w:color="auto" w:fill="auto"/>
            <w:tcMar>
              <w:left w:w="57" w:type="dxa"/>
              <w:right w:w="57" w:type="dxa"/>
            </w:tcMar>
          </w:tcPr>
          <w:p w14:paraId="7D17161F" w14:textId="6010E34C" w:rsidR="00910E2A" w:rsidRPr="00733DC2" w:rsidRDefault="00910E2A" w:rsidP="00E03708">
            <w:pPr>
              <w:spacing w:before="120" w:after="0"/>
              <w:rPr>
                <w:rFonts w:cs="Arial"/>
                <w:b/>
                <w:sz w:val="18"/>
                <w:szCs w:val="18"/>
              </w:rPr>
            </w:pPr>
            <w:r w:rsidRPr="00733DC2">
              <w:rPr>
                <w:rFonts w:cs="Arial"/>
                <w:b/>
                <w:sz w:val="18"/>
                <w:szCs w:val="18"/>
              </w:rPr>
              <w:t>Stage 3–</w:t>
            </w:r>
            <w:r w:rsidR="00102FA5">
              <w:rPr>
                <w:rFonts w:cs="Arial"/>
                <w:b/>
                <w:sz w:val="18"/>
                <w:szCs w:val="18"/>
              </w:rPr>
              <w:br/>
            </w:r>
            <w:r w:rsidRPr="00733DC2">
              <w:rPr>
                <w:rFonts w:cs="Arial"/>
                <w:b/>
                <w:sz w:val="18"/>
                <w:szCs w:val="18"/>
              </w:rPr>
              <w:t>Re-farming</w:t>
            </w:r>
          </w:p>
        </w:tc>
        <w:tc>
          <w:tcPr>
            <w:tcW w:w="4270" w:type="dxa"/>
            <w:shd w:val="clear" w:color="auto" w:fill="auto"/>
          </w:tcPr>
          <w:p w14:paraId="79B8B106" w14:textId="02ECB9B3" w:rsidR="00910E2A" w:rsidRDefault="00910E2A" w:rsidP="00E03708">
            <w:pPr>
              <w:spacing w:after="0"/>
              <w:rPr>
                <w:rFonts w:cs="Arial"/>
                <w:sz w:val="18"/>
                <w:szCs w:val="18"/>
              </w:rPr>
            </w:pPr>
            <w:r>
              <w:rPr>
                <w:rFonts w:cs="Arial"/>
                <w:sz w:val="18"/>
                <w:szCs w:val="18"/>
              </w:rPr>
              <w:t xml:space="preserve">Commencement of </w:t>
            </w:r>
            <w:r w:rsidR="00A24056">
              <w:rPr>
                <w:rFonts w:cs="Arial"/>
                <w:i/>
                <w:sz w:val="18"/>
                <w:szCs w:val="18"/>
              </w:rPr>
              <w:t>r</w:t>
            </w:r>
            <w:r w:rsidR="006E2895">
              <w:rPr>
                <w:rFonts w:cs="Arial"/>
                <w:i/>
                <w:sz w:val="18"/>
                <w:szCs w:val="18"/>
              </w:rPr>
              <w:t>e-farming</w:t>
            </w:r>
            <w:r w:rsidR="006E2895">
              <w:rPr>
                <w:rFonts w:cs="Arial"/>
                <w:sz w:val="18"/>
                <w:szCs w:val="18"/>
              </w:rPr>
              <w:t xml:space="preserve"> stage</w:t>
            </w:r>
          </w:p>
        </w:tc>
        <w:tc>
          <w:tcPr>
            <w:tcW w:w="1411" w:type="dxa"/>
            <w:shd w:val="clear" w:color="auto" w:fill="auto"/>
            <w:tcMar>
              <w:left w:w="57" w:type="dxa"/>
              <w:right w:w="57" w:type="dxa"/>
            </w:tcMar>
          </w:tcPr>
          <w:p w14:paraId="3D6C267F" w14:textId="67E5CA64" w:rsidR="00910E2A" w:rsidRPr="00910E2A" w:rsidRDefault="00910E2A" w:rsidP="00E03708">
            <w:pPr>
              <w:spacing w:after="0"/>
              <w:rPr>
                <w:rFonts w:cs="Arial"/>
                <w:sz w:val="18"/>
                <w:szCs w:val="18"/>
              </w:rPr>
            </w:pPr>
            <w:r>
              <w:rPr>
                <w:rFonts w:cs="Arial"/>
                <w:sz w:val="18"/>
                <w:szCs w:val="18"/>
              </w:rPr>
              <w:t>Q4 2017</w:t>
            </w:r>
          </w:p>
        </w:tc>
      </w:tr>
    </w:tbl>
    <w:p w14:paraId="1DCF3122" w14:textId="77777777" w:rsidR="00910E2A" w:rsidRDefault="00910E2A" w:rsidP="00CA4A15">
      <w:pPr>
        <w:pStyle w:val="ACMASpaceaftertable"/>
      </w:pPr>
    </w:p>
    <w:p w14:paraId="6322FF77" w14:textId="75110BB1" w:rsidR="00F86995" w:rsidRDefault="00F86995" w:rsidP="00CA4A15">
      <w:r>
        <w:t xml:space="preserve">The ACMA is seeking comment as to </w:t>
      </w:r>
      <w:r w:rsidR="00C059B8">
        <w:t>how consideration of the 1.5 GHz and 3.6 GHz bands</w:t>
      </w:r>
      <w:r>
        <w:t xml:space="preserve"> should be progressed</w:t>
      </w:r>
      <w:r w:rsidR="00C059B8">
        <w:t>. For example, should they progress in parallel or should the timing of one be prioritised over the other</w:t>
      </w:r>
      <w:r w:rsidR="00242323">
        <w:t>?</w:t>
      </w:r>
      <w:r>
        <w:t xml:space="preserve"> </w:t>
      </w:r>
    </w:p>
    <w:p w14:paraId="4C7722B3" w14:textId="6C873D27" w:rsidR="00C27508" w:rsidRDefault="001E12FB" w:rsidP="00CA4A15">
      <w:r>
        <w:t xml:space="preserve">Although consideration of the bands may advance at different rates, there may be strong drivers </w:t>
      </w:r>
      <w:r w:rsidR="00041CFE">
        <w:t xml:space="preserve">(if a decision to re-farm is made) </w:t>
      </w:r>
      <w:r>
        <w:t xml:space="preserve">to ultimately </w:t>
      </w:r>
      <w:r w:rsidR="00041CFE">
        <w:t xml:space="preserve">allocate </w:t>
      </w:r>
      <w:r>
        <w:t>them at the same time</w:t>
      </w:r>
      <w:r w:rsidR="00041CFE">
        <w:t>, noting that access to the different bands may occur at separate times</w:t>
      </w:r>
      <w:r>
        <w:t xml:space="preserve">. </w:t>
      </w:r>
      <w:r w:rsidR="00767306">
        <w:t>In practice</w:t>
      </w:r>
      <w:r w:rsidR="00102FA5">
        <w:t>,</w:t>
      </w:r>
      <w:r w:rsidR="00767306">
        <w:t xml:space="preserve"> this may </w:t>
      </w:r>
      <w:r>
        <w:t>or may not be practical to achieve</w:t>
      </w:r>
      <w:r w:rsidR="00767306">
        <w:t>. T</w:t>
      </w:r>
      <w:r>
        <w:t xml:space="preserve">he ACMA seeks comment on whether there would be benefit in allocating the bands simultaneously. </w:t>
      </w:r>
    </w:p>
    <w:p w14:paraId="117B0D50" w14:textId="4E9CA865" w:rsidR="00C27508" w:rsidRPr="006D6661" w:rsidRDefault="00B17916" w:rsidP="00FD64A2">
      <w:pPr>
        <w:pStyle w:val="ListParagraph"/>
        <w:numPr>
          <w:ilvl w:val="0"/>
          <w:numId w:val="19"/>
        </w:numPr>
        <w:shd w:val="clear" w:color="auto" w:fill="F2F2F2" w:themeFill="background1" w:themeFillShade="F2"/>
        <w:ind w:left="426" w:hanging="426"/>
        <w:rPr>
          <w:b/>
        </w:rPr>
      </w:pPr>
      <w:r w:rsidRPr="006D6661">
        <w:rPr>
          <w:b/>
        </w:rPr>
        <w:t>Should either of</w:t>
      </w:r>
      <w:r w:rsidR="00C27508" w:rsidRPr="006D6661">
        <w:rPr>
          <w:b/>
        </w:rPr>
        <w:t xml:space="preserve"> the </w:t>
      </w:r>
      <w:r w:rsidR="00482A16" w:rsidRPr="006D6661">
        <w:rPr>
          <w:b/>
        </w:rPr>
        <w:t>1</w:t>
      </w:r>
      <w:r w:rsidR="00C27508" w:rsidRPr="006D6661">
        <w:rPr>
          <w:b/>
        </w:rPr>
        <w:t>.5 GHz and 3.6 GHz bands</w:t>
      </w:r>
      <w:r w:rsidRPr="006D6661">
        <w:rPr>
          <w:b/>
        </w:rPr>
        <w:t xml:space="preserve"> be prioritised </w:t>
      </w:r>
      <w:r w:rsidR="00C27508" w:rsidRPr="006D6661">
        <w:rPr>
          <w:b/>
        </w:rPr>
        <w:t xml:space="preserve">through the ACMA’s process for consideration of additional spectrum for </w:t>
      </w:r>
      <w:r w:rsidR="005A21F6" w:rsidRPr="006D6661">
        <w:rPr>
          <w:b/>
        </w:rPr>
        <w:t>MBB</w:t>
      </w:r>
      <w:r w:rsidR="00C27508" w:rsidRPr="006D6661">
        <w:rPr>
          <w:b/>
        </w:rPr>
        <w:t xml:space="preserve"> services? </w:t>
      </w:r>
      <w:r w:rsidRPr="006D6661">
        <w:rPr>
          <w:b/>
        </w:rPr>
        <w:t>If so, which band?</w:t>
      </w:r>
      <w:r w:rsidR="00FA332F" w:rsidRPr="006D6661">
        <w:rPr>
          <w:b/>
        </w:rPr>
        <w:t xml:space="preserve"> </w:t>
      </w:r>
      <w:r w:rsidR="00C27508" w:rsidRPr="006D6661">
        <w:rPr>
          <w:b/>
        </w:rPr>
        <w:t>Why?</w:t>
      </w:r>
    </w:p>
    <w:p w14:paraId="38764187" w14:textId="6AF51683" w:rsidR="001E12FB" w:rsidRPr="006D6661" w:rsidRDefault="001E12FB" w:rsidP="00FD64A2">
      <w:pPr>
        <w:pStyle w:val="ListParagraph"/>
        <w:numPr>
          <w:ilvl w:val="0"/>
          <w:numId w:val="19"/>
        </w:numPr>
        <w:shd w:val="clear" w:color="auto" w:fill="F2F2F2" w:themeFill="background1" w:themeFillShade="F2"/>
        <w:ind w:left="426" w:hanging="426"/>
        <w:rPr>
          <w:b/>
        </w:rPr>
      </w:pPr>
      <w:r w:rsidRPr="006D6661">
        <w:rPr>
          <w:b/>
        </w:rPr>
        <w:t>Are there specific issues</w:t>
      </w:r>
      <w:r w:rsidR="00093D25" w:rsidRPr="006D6661">
        <w:rPr>
          <w:b/>
        </w:rPr>
        <w:t>, other than those mentioned,</w:t>
      </w:r>
      <w:r w:rsidRPr="006D6661">
        <w:rPr>
          <w:b/>
        </w:rPr>
        <w:t xml:space="preserve"> that may affect the tim</w:t>
      </w:r>
      <w:r w:rsidR="001728AC" w:rsidRPr="006D6661">
        <w:rPr>
          <w:b/>
        </w:rPr>
        <w:t xml:space="preserve">eframe </w:t>
      </w:r>
      <w:r w:rsidR="00460B53" w:rsidRPr="006D6661">
        <w:rPr>
          <w:b/>
        </w:rPr>
        <w:t xml:space="preserve">in which </w:t>
      </w:r>
      <w:r w:rsidR="001728AC" w:rsidRPr="006D6661">
        <w:rPr>
          <w:b/>
        </w:rPr>
        <w:t>the 1.5 GHz or 3.6 GH</w:t>
      </w:r>
      <w:r w:rsidRPr="006D6661">
        <w:rPr>
          <w:b/>
        </w:rPr>
        <w:t xml:space="preserve">z bands could be made available for </w:t>
      </w:r>
      <w:r w:rsidR="005A21F6" w:rsidRPr="006D6661">
        <w:rPr>
          <w:b/>
        </w:rPr>
        <w:t>MBB</w:t>
      </w:r>
      <w:r w:rsidRPr="006D6661">
        <w:rPr>
          <w:b/>
        </w:rPr>
        <w:t>?</w:t>
      </w:r>
    </w:p>
    <w:p w14:paraId="7EBCB1A1" w14:textId="576D9F0B" w:rsidR="001E12FB" w:rsidRPr="006D6661" w:rsidRDefault="001E12FB" w:rsidP="00FD64A2">
      <w:pPr>
        <w:pStyle w:val="ListParagraph"/>
        <w:numPr>
          <w:ilvl w:val="0"/>
          <w:numId w:val="19"/>
        </w:numPr>
        <w:shd w:val="clear" w:color="auto" w:fill="F2F2F2" w:themeFill="background1" w:themeFillShade="F2"/>
        <w:ind w:left="426" w:hanging="426"/>
        <w:rPr>
          <w:b/>
        </w:rPr>
      </w:pPr>
      <w:r w:rsidRPr="006D6661">
        <w:rPr>
          <w:b/>
        </w:rPr>
        <w:t xml:space="preserve">If the 1.5 GHz and 3.6 GHz bands are </w:t>
      </w:r>
      <w:r w:rsidR="00460B53" w:rsidRPr="006D6661">
        <w:rPr>
          <w:b/>
        </w:rPr>
        <w:t>re</w:t>
      </w:r>
      <w:r w:rsidR="00653A25" w:rsidRPr="006D6661">
        <w:rPr>
          <w:b/>
        </w:rPr>
        <w:t>-farmed</w:t>
      </w:r>
      <w:r w:rsidR="00460B53" w:rsidRPr="006D6661">
        <w:rPr>
          <w:b/>
        </w:rPr>
        <w:t xml:space="preserve"> </w:t>
      </w:r>
      <w:r w:rsidRPr="006D6661">
        <w:rPr>
          <w:b/>
        </w:rPr>
        <w:t xml:space="preserve">for </w:t>
      </w:r>
      <w:r w:rsidR="005A21F6" w:rsidRPr="006D6661">
        <w:rPr>
          <w:b/>
        </w:rPr>
        <w:t>MBB</w:t>
      </w:r>
      <w:r w:rsidRPr="006D6661">
        <w:rPr>
          <w:b/>
        </w:rPr>
        <w:t>, would there be benefit in allocating the bands simultaneously?</w:t>
      </w:r>
    </w:p>
    <w:p w14:paraId="3606ED1E" w14:textId="2F4E98CC" w:rsidR="00F26BE7" w:rsidRPr="006D46E5" w:rsidRDefault="00F26BE7" w:rsidP="00CA4A15">
      <w:pPr>
        <w:pStyle w:val="Heading2"/>
      </w:pPr>
      <w:bookmarkStart w:id="25" w:name="_Toc458175603"/>
      <w:bookmarkStart w:id="26" w:name="_Toc459906710"/>
      <w:bookmarkStart w:id="27" w:name="_Toc464480504"/>
      <w:r w:rsidRPr="00CA4A15">
        <w:t>Scope</w:t>
      </w:r>
      <w:bookmarkEnd w:id="25"/>
      <w:bookmarkEnd w:id="26"/>
      <w:bookmarkEnd w:id="27"/>
    </w:p>
    <w:p w14:paraId="5DD1166B" w14:textId="77777777" w:rsidR="003A1675" w:rsidRPr="003A1675" w:rsidRDefault="003A1675" w:rsidP="003A1675">
      <w:pPr>
        <w:pStyle w:val="Heading3"/>
      </w:pPr>
      <w:bookmarkStart w:id="28" w:name="_Toc280866003"/>
      <w:bookmarkStart w:id="29" w:name="_Toc282069665"/>
      <w:bookmarkStart w:id="30" w:name="_Toc282597050"/>
      <w:bookmarkStart w:id="31" w:name="_Toc320629110"/>
      <w:bookmarkStart w:id="32" w:name="_Toc320629196"/>
      <w:bookmarkStart w:id="33" w:name="_Toc321230128"/>
      <w:bookmarkStart w:id="34" w:name="_Toc323810224"/>
      <w:bookmarkStart w:id="35" w:name="_Toc324517362"/>
      <w:bookmarkStart w:id="36" w:name="_Toc459906711"/>
      <w:bookmarkStart w:id="37" w:name="_Toc464480505"/>
      <w:r w:rsidRPr="003A1675">
        <w:t>In scope</w:t>
      </w:r>
      <w:bookmarkEnd w:id="28"/>
      <w:bookmarkEnd w:id="29"/>
      <w:bookmarkEnd w:id="30"/>
      <w:r w:rsidRPr="003A1675">
        <w:t>—planning op</w:t>
      </w:r>
      <w:r w:rsidRPr="00CA4A15">
        <w:t>t</w:t>
      </w:r>
      <w:r w:rsidRPr="003A1675">
        <w:t>ions</w:t>
      </w:r>
      <w:bookmarkEnd w:id="31"/>
      <w:bookmarkEnd w:id="32"/>
      <w:bookmarkEnd w:id="33"/>
      <w:bookmarkEnd w:id="34"/>
      <w:bookmarkEnd w:id="35"/>
      <w:bookmarkEnd w:id="36"/>
      <w:bookmarkEnd w:id="37"/>
    </w:p>
    <w:p w14:paraId="3955FDEF" w14:textId="237B41CA" w:rsidR="003A1675" w:rsidRPr="00E05F0A" w:rsidRDefault="003A1675" w:rsidP="00CA4A15">
      <w:r w:rsidRPr="00E05F0A">
        <w:t xml:space="preserve">This paper provides a snapshot of current arrangements in the 1.5 GHz </w:t>
      </w:r>
      <w:r>
        <w:t xml:space="preserve">and 3.6 GHz </w:t>
      </w:r>
      <w:r w:rsidRPr="00E05F0A">
        <w:t>band</w:t>
      </w:r>
      <w:r>
        <w:t>s</w:t>
      </w:r>
      <w:r w:rsidRPr="00E05F0A">
        <w:t xml:space="preserve"> in Australia and internationally. It also canvasses potential planning options for facilitating </w:t>
      </w:r>
      <w:r w:rsidR="005A21F6">
        <w:t>MBB</w:t>
      </w:r>
      <w:r w:rsidRPr="00E05F0A">
        <w:t xml:space="preserve"> services in the</w:t>
      </w:r>
      <w:r>
        <w:t>se</w:t>
      </w:r>
      <w:r w:rsidRPr="00E05F0A">
        <w:t xml:space="preserve"> band</w:t>
      </w:r>
      <w:r>
        <w:t>s</w:t>
      </w:r>
      <w:r w:rsidRPr="00E05F0A">
        <w:t xml:space="preserve">, including an indication of the impact of these on </w:t>
      </w:r>
      <w:r w:rsidR="00FB1053">
        <w:t>incumbent</w:t>
      </w:r>
      <w:r w:rsidRPr="00E05F0A">
        <w:t xml:space="preserve"> services. The ACMA is seeking comment on these broad planning options, including on suggested spectrum planning arrangements and potential diffe</w:t>
      </w:r>
      <w:r>
        <w:t>rences across geographic areas.</w:t>
      </w:r>
    </w:p>
    <w:p w14:paraId="7637AB21" w14:textId="77777777" w:rsidR="003A1675" w:rsidRPr="003A1675" w:rsidRDefault="003A1675" w:rsidP="00CA4A15">
      <w:pPr>
        <w:pStyle w:val="Heading3"/>
      </w:pPr>
      <w:bookmarkStart w:id="38" w:name="_Toc280866004"/>
      <w:bookmarkStart w:id="39" w:name="_Toc282069666"/>
      <w:bookmarkStart w:id="40" w:name="_Toc282597051"/>
      <w:bookmarkStart w:id="41" w:name="_Toc320629111"/>
      <w:bookmarkStart w:id="42" w:name="_Toc320629197"/>
      <w:bookmarkStart w:id="43" w:name="_Toc321230129"/>
      <w:bookmarkStart w:id="44" w:name="_Toc323810225"/>
      <w:bookmarkStart w:id="45" w:name="_Toc324517363"/>
      <w:bookmarkStart w:id="46" w:name="_Toc459906712"/>
      <w:bookmarkStart w:id="47" w:name="_Toc464480506"/>
      <w:r w:rsidRPr="003A1675">
        <w:t>Out of scope</w:t>
      </w:r>
      <w:bookmarkEnd w:id="38"/>
      <w:bookmarkEnd w:id="39"/>
      <w:bookmarkEnd w:id="40"/>
      <w:r w:rsidRPr="003A1675">
        <w:t xml:space="preserve">—licensing and </w:t>
      </w:r>
      <w:r w:rsidRPr="00CA4A15">
        <w:t>allocation</w:t>
      </w:r>
      <w:r w:rsidRPr="003A1675">
        <w:t xml:space="preserve"> options</w:t>
      </w:r>
      <w:bookmarkEnd w:id="41"/>
      <w:bookmarkEnd w:id="42"/>
      <w:bookmarkEnd w:id="43"/>
      <w:bookmarkEnd w:id="44"/>
      <w:bookmarkEnd w:id="45"/>
      <w:bookmarkEnd w:id="46"/>
      <w:bookmarkEnd w:id="47"/>
    </w:p>
    <w:p w14:paraId="50ACFE3C" w14:textId="35C43A6E" w:rsidR="003A1675" w:rsidRDefault="003A1675" w:rsidP="00CA4A15">
      <w:r w:rsidRPr="00E05F0A">
        <w:t>Licensing and allocation options are not discussed in this paper. Depending on the mix of services that will use th</w:t>
      </w:r>
      <w:r w:rsidR="00C059B8">
        <w:t>ese</w:t>
      </w:r>
      <w:r w:rsidRPr="00E05F0A">
        <w:t xml:space="preserve"> band</w:t>
      </w:r>
      <w:r w:rsidR="00C059B8">
        <w:t>s</w:t>
      </w:r>
      <w:r w:rsidRPr="00E05F0A">
        <w:t xml:space="preserve"> in the future, </w:t>
      </w:r>
      <w:r>
        <w:t xml:space="preserve">and the implementation of the recommendations of the Spectrum Review, </w:t>
      </w:r>
      <w:r w:rsidRPr="00E05F0A">
        <w:t xml:space="preserve">different regulatory arrangements and associated licensing and allocation methods </w:t>
      </w:r>
      <w:r w:rsidR="00924BD6">
        <w:t>may be</w:t>
      </w:r>
      <w:r w:rsidRPr="00E05F0A">
        <w:t xml:space="preserve"> appropriate. Licensing and allocation options will be considered when the most suitable planning direction is determined</w:t>
      </w:r>
      <w:r>
        <w:t>.</w:t>
      </w:r>
    </w:p>
    <w:p w14:paraId="1476B03A" w14:textId="790F9A2B" w:rsidR="003A1675" w:rsidRPr="00E05F0A" w:rsidRDefault="003A1675" w:rsidP="00CA4A15">
      <w:pPr>
        <w:pStyle w:val="Heading3"/>
      </w:pPr>
      <w:bookmarkStart w:id="48" w:name="_Toc459906713"/>
      <w:bookmarkStart w:id="49" w:name="_Toc464480507"/>
      <w:r w:rsidRPr="003A1675">
        <w:t>Out of scope—</w:t>
      </w:r>
      <w:r>
        <w:t xml:space="preserve">Spectrum </w:t>
      </w:r>
      <w:r w:rsidRPr="00CA4A15">
        <w:t>currently</w:t>
      </w:r>
      <w:r>
        <w:t xml:space="preserve"> subject to spectrum </w:t>
      </w:r>
      <w:bookmarkEnd w:id="48"/>
      <w:r>
        <w:t>licen</w:t>
      </w:r>
      <w:r w:rsidR="00D75038">
        <w:t>s</w:t>
      </w:r>
      <w:r w:rsidR="00921664">
        <w:t>ing</w:t>
      </w:r>
      <w:bookmarkEnd w:id="49"/>
    </w:p>
    <w:p w14:paraId="6AD03189" w14:textId="28CE323F" w:rsidR="003A1675" w:rsidRDefault="003A1675" w:rsidP="00CA4A15">
      <w:r w:rsidRPr="00E05F0A">
        <w:t xml:space="preserve">This paper </w:t>
      </w:r>
      <w:r>
        <w:t>covers the 1427</w:t>
      </w:r>
      <w:r w:rsidR="00102FA5">
        <w:t>–</w:t>
      </w:r>
      <w:r>
        <w:t>1518 MHz and the 3575</w:t>
      </w:r>
      <w:r w:rsidR="00102FA5">
        <w:t>–</w:t>
      </w:r>
      <w:r>
        <w:t>3700 MHz band</w:t>
      </w:r>
      <w:r w:rsidR="00D503A5">
        <w:t>s</w:t>
      </w:r>
      <w:r>
        <w:t xml:space="preserve">. </w:t>
      </w:r>
    </w:p>
    <w:p w14:paraId="740842FD" w14:textId="72C24C79" w:rsidR="00AE21FF" w:rsidRPr="00AE21FF" w:rsidRDefault="003A1675" w:rsidP="00CA4A15">
      <w:r>
        <w:t xml:space="preserve">Spectrum adjacent to the 3.6 GHz band </w:t>
      </w:r>
      <w:r w:rsidR="00411C7E">
        <w:t xml:space="preserve">(the </w:t>
      </w:r>
      <w:r w:rsidR="00411C7E" w:rsidRPr="00411C7E">
        <w:t>3425–3492.5 MHz</w:t>
      </w:r>
      <w:r w:rsidR="00411C7E">
        <w:t xml:space="preserve"> and </w:t>
      </w:r>
      <w:r w:rsidR="00411C7E" w:rsidRPr="00411C7E">
        <w:t>3542.5–3575</w:t>
      </w:r>
      <w:r w:rsidR="00411C7E">
        <w:t> </w:t>
      </w:r>
      <w:r w:rsidR="00411C7E" w:rsidRPr="00411C7E">
        <w:t>MHz</w:t>
      </w:r>
      <w:r w:rsidR="00411C7E">
        <w:t xml:space="preserve"> bands) is subject to spectrum licen</w:t>
      </w:r>
      <w:r w:rsidR="005053E2">
        <w:t>s</w:t>
      </w:r>
      <w:r w:rsidR="00411C7E">
        <w:t xml:space="preserve">ing in metropolitan and regional areas. </w:t>
      </w:r>
      <w:r w:rsidR="00924BD6">
        <w:t>Any planning arrangements developed for the 3.6 GHz band will</w:t>
      </w:r>
      <w:r w:rsidR="00C059B8">
        <w:t>,</w:t>
      </w:r>
      <w:r w:rsidR="00924BD6">
        <w:t xml:space="preserve"> as a matter of course, take this into account. However, w</w:t>
      </w:r>
      <w:r w:rsidR="00411C7E">
        <w:t>hile options to optimise and improve the overall utility of the 3400</w:t>
      </w:r>
      <w:r w:rsidR="00102FA5">
        <w:t>–</w:t>
      </w:r>
      <w:r w:rsidR="00411C7E">
        <w:t xml:space="preserve">3700 MHz band </w:t>
      </w:r>
      <w:r w:rsidR="00924BD6">
        <w:t xml:space="preserve">may be </w:t>
      </w:r>
      <w:r w:rsidR="00411C7E">
        <w:t xml:space="preserve">explored </w:t>
      </w:r>
      <w:r w:rsidR="00924BD6">
        <w:t>as part of (or separate to) th</w:t>
      </w:r>
      <w:r w:rsidR="00127AEC">
        <w:t>e consideration of the 3.6 GHz band</w:t>
      </w:r>
      <w:r w:rsidR="00083D65">
        <w:t xml:space="preserve"> for future use for MBB</w:t>
      </w:r>
      <w:r w:rsidR="00411C7E">
        <w:t>, these will be subject to the limitations of the existing licen</w:t>
      </w:r>
      <w:r w:rsidR="00921664">
        <w:t>s</w:t>
      </w:r>
      <w:r w:rsidR="00AD16ED">
        <w:t>ing arrangements</w:t>
      </w:r>
      <w:r w:rsidR="00411C7E">
        <w:t xml:space="preserve">. </w:t>
      </w:r>
      <w:r w:rsidR="00924BD6">
        <w:t>This includes the need to obtain agreement from spectrum licensees before any licence core conditions can be varied.</w:t>
      </w:r>
    </w:p>
    <w:p w14:paraId="6CA9A9B8" w14:textId="123BD694" w:rsidR="003A1675" w:rsidRPr="00E05F0A" w:rsidRDefault="003A1675" w:rsidP="003A1675">
      <w:pPr>
        <w:pStyle w:val="Heading3"/>
      </w:pPr>
      <w:bookmarkStart w:id="50" w:name="_Toc459906714"/>
      <w:bookmarkStart w:id="51" w:name="_Toc464480508"/>
      <w:r w:rsidRPr="003A1675">
        <w:t>Out of scope—</w:t>
      </w:r>
      <w:r w:rsidR="00924BD6">
        <w:t>Engagement in i</w:t>
      </w:r>
      <w:r>
        <w:t>nternational activities</w:t>
      </w:r>
      <w:bookmarkEnd w:id="50"/>
      <w:bookmarkEnd w:id="51"/>
    </w:p>
    <w:p w14:paraId="7ACA3224" w14:textId="3AC20BD7" w:rsidR="00AE21FF" w:rsidRPr="00AE21FF" w:rsidRDefault="00892691" w:rsidP="00AE21FF">
      <w:pPr>
        <w:rPr>
          <w:rFonts w:cs="Arial"/>
        </w:rPr>
      </w:pPr>
      <w:r>
        <w:rPr>
          <w:rFonts w:cs="Arial"/>
        </w:rPr>
        <w:t>Various i</w:t>
      </w:r>
      <w:r w:rsidR="003A1675">
        <w:rPr>
          <w:rFonts w:cs="Arial"/>
        </w:rPr>
        <w:t>nternational developments and activities are discussed in this paper</w:t>
      </w:r>
      <w:r w:rsidR="00102FA5">
        <w:rPr>
          <w:rFonts w:cs="Arial"/>
        </w:rPr>
        <w:t>,</w:t>
      </w:r>
      <w:r w:rsidR="003A1675">
        <w:rPr>
          <w:rFonts w:cs="Arial"/>
        </w:rPr>
        <w:t xml:space="preserve"> as they form an important part of the consideration of the 1.5 GHz and 3.6 GHz bands domestically. </w:t>
      </w:r>
      <w:r>
        <w:rPr>
          <w:rFonts w:cs="Arial"/>
        </w:rPr>
        <w:t>However, the ACMA’s actual international engagement process into these matters is not considered in this paper.</w:t>
      </w:r>
      <w:r>
        <w:t xml:space="preserve"> </w:t>
      </w:r>
      <w:r w:rsidR="003A1675">
        <w:t xml:space="preserve">The ACMA will continue to monitor and </w:t>
      </w:r>
      <w:r w:rsidR="003A1675" w:rsidRPr="00465146">
        <w:t xml:space="preserve">engage with stakeholders via the </w:t>
      </w:r>
      <w:r w:rsidR="003A1675">
        <w:t xml:space="preserve">usual </w:t>
      </w:r>
      <w:r w:rsidR="003A1675" w:rsidRPr="00465146">
        <w:t>international preparatory process</w:t>
      </w:r>
      <w:r w:rsidR="00102FA5">
        <w:t>,</w:t>
      </w:r>
      <w:r w:rsidR="003A1675" w:rsidRPr="00465146">
        <w:t xml:space="preserve"> to </w:t>
      </w:r>
      <w:r w:rsidR="003A1675">
        <w:t xml:space="preserve">develop </w:t>
      </w:r>
      <w:r w:rsidR="003A1675" w:rsidRPr="00465146">
        <w:t>Australian positions</w:t>
      </w:r>
      <w:r w:rsidR="003A1675">
        <w:t xml:space="preserve"> on </w:t>
      </w:r>
      <w:r w:rsidR="00423DFC">
        <w:t xml:space="preserve">issues </w:t>
      </w:r>
      <w:r w:rsidR="003A1675">
        <w:t xml:space="preserve">regarding the </w:t>
      </w:r>
      <w:r w:rsidR="005053E2">
        <w:t>1</w:t>
      </w:r>
      <w:r w:rsidR="003A1675">
        <w:rPr>
          <w:rFonts w:cs="Arial"/>
        </w:rPr>
        <w:t xml:space="preserve">.5 GHz and 3.6 GHz bands in the ITU-R and APT. </w:t>
      </w:r>
      <w:r>
        <w:rPr>
          <w:rFonts w:cs="Arial"/>
        </w:rPr>
        <w:t xml:space="preserve">Those interested in participating in these </w:t>
      </w:r>
      <w:r w:rsidR="003A1675">
        <w:rPr>
          <w:rFonts w:cs="Arial"/>
        </w:rPr>
        <w:t xml:space="preserve">activities </w:t>
      </w:r>
      <w:r>
        <w:rPr>
          <w:rFonts w:cs="Arial"/>
        </w:rPr>
        <w:t xml:space="preserve">should </w:t>
      </w:r>
      <w:r w:rsidR="00102FA5">
        <w:rPr>
          <w:rFonts w:cs="Arial"/>
        </w:rPr>
        <w:t xml:space="preserve">email </w:t>
      </w:r>
      <w:r>
        <w:rPr>
          <w:rFonts w:cs="Arial"/>
        </w:rPr>
        <w:t xml:space="preserve">the International Radiocommunications Section of the ACMA at </w:t>
      </w:r>
      <w:hyperlink r:id="rId42" w:history="1">
        <w:r w:rsidRPr="00162C40">
          <w:rPr>
            <w:rStyle w:val="Hyperlink"/>
            <w:rFonts w:cs="Arial"/>
          </w:rPr>
          <w:t>IRS@acma.gov.au</w:t>
        </w:r>
      </w:hyperlink>
      <w:r>
        <w:rPr>
          <w:rFonts w:cs="Arial"/>
        </w:rPr>
        <w:t xml:space="preserve">. </w:t>
      </w:r>
      <w:r w:rsidR="003A1675">
        <w:rPr>
          <w:rFonts w:cs="Arial"/>
        </w:rPr>
        <w:t xml:space="preserve"> </w:t>
      </w:r>
    </w:p>
    <w:p w14:paraId="75488D64" w14:textId="372D1DF3" w:rsidR="00F26BE7" w:rsidRPr="006D46E5" w:rsidRDefault="00F26BE7" w:rsidP="00F26BE7">
      <w:pPr>
        <w:pStyle w:val="Heading2"/>
      </w:pPr>
      <w:bookmarkStart w:id="52" w:name="_Toc459906715"/>
      <w:bookmarkStart w:id="53" w:name="_Toc464480509"/>
      <w:r>
        <w:t>Structure</w:t>
      </w:r>
      <w:bookmarkEnd w:id="52"/>
      <w:bookmarkEnd w:id="53"/>
    </w:p>
    <w:p w14:paraId="154797C6" w14:textId="77777777" w:rsidR="00411C7E" w:rsidRPr="00321857" w:rsidRDefault="00411C7E" w:rsidP="00E03708">
      <w:pPr>
        <w:spacing w:after="80"/>
      </w:pPr>
      <w:r w:rsidRPr="00321857">
        <w:t>The rest of this document is structured as follows:</w:t>
      </w:r>
    </w:p>
    <w:p w14:paraId="77ED0A8C" w14:textId="42C3FA47" w:rsidR="00257AB0" w:rsidRDefault="00257AB0" w:rsidP="00E03708">
      <w:pPr>
        <w:pStyle w:val="ListBullet"/>
      </w:pPr>
      <w:r w:rsidRPr="00E03708">
        <w:rPr>
          <w:b/>
          <w:i/>
        </w:rPr>
        <w:t>1.5 GH</w:t>
      </w:r>
      <w:r w:rsidR="00411C7E" w:rsidRPr="00E03708">
        <w:rPr>
          <w:b/>
          <w:i/>
        </w:rPr>
        <w:t>z band</w:t>
      </w:r>
      <w:r w:rsidR="00411C7E" w:rsidRPr="00257AB0">
        <w:rPr>
          <w:i/>
        </w:rPr>
        <w:t xml:space="preserve"> </w:t>
      </w:r>
      <w:r w:rsidR="00411C7E" w:rsidRPr="00257AB0">
        <w:t>describes international arrangements in the 1.5 GHz band</w:t>
      </w:r>
      <w:r w:rsidRPr="00257AB0">
        <w:t xml:space="preserve">, </w:t>
      </w:r>
      <w:r w:rsidR="00411C7E" w:rsidRPr="00257AB0">
        <w:t>the current use of the 1.5 GHz band in Australia</w:t>
      </w:r>
      <w:r>
        <w:t>,</w:t>
      </w:r>
      <w:r w:rsidRPr="00257AB0">
        <w:t xml:space="preserve"> the </w:t>
      </w:r>
      <w:r w:rsidR="00411C7E" w:rsidRPr="00257AB0">
        <w:t xml:space="preserve">potential </w:t>
      </w:r>
      <w:r>
        <w:t xml:space="preserve">future </w:t>
      </w:r>
      <w:r w:rsidR="00411C7E" w:rsidRPr="00257AB0">
        <w:t xml:space="preserve">planning options for </w:t>
      </w:r>
      <w:r w:rsidR="005A21F6">
        <w:t>MBB</w:t>
      </w:r>
      <w:r w:rsidR="00411C7E" w:rsidRPr="00257AB0">
        <w:t xml:space="preserve"> services</w:t>
      </w:r>
      <w:r w:rsidR="00102FA5">
        <w:t>,</w:t>
      </w:r>
      <w:r>
        <w:t xml:space="preserve"> along with a preliminary assessment of the highest</w:t>
      </w:r>
      <w:r w:rsidR="00102FA5">
        <w:t>-</w:t>
      </w:r>
      <w:r>
        <w:t xml:space="preserve">value use of the band. </w:t>
      </w:r>
    </w:p>
    <w:p w14:paraId="0E2BAD20" w14:textId="14C9E73B" w:rsidR="00411C7E" w:rsidRDefault="00257AB0" w:rsidP="00E03708">
      <w:pPr>
        <w:pStyle w:val="ListBulletLast"/>
      </w:pPr>
      <w:r w:rsidRPr="006D6661">
        <w:rPr>
          <w:b/>
          <w:i/>
        </w:rPr>
        <w:t>3.6 GHz band</w:t>
      </w:r>
      <w:r w:rsidRPr="00257AB0">
        <w:rPr>
          <w:i/>
        </w:rPr>
        <w:t xml:space="preserve"> </w:t>
      </w:r>
      <w:r w:rsidRPr="00257AB0">
        <w:t xml:space="preserve">describes international arrangements in the </w:t>
      </w:r>
      <w:r>
        <w:t>3.6</w:t>
      </w:r>
      <w:r w:rsidRPr="00257AB0">
        <w:t xml:space="preserve"> GHz band, the current use of the </w:t>
      </w:r>
      <w:r>
        <w:t>3.6</w:t>
      </w:r>
      <w:r w:rsidRPr="00257AB0">
        <w:t> GHz band in Australia</w:t>
      </w:r>
      <w:r>
        <w:t>,</w:t>
      </w:r>
      <w:r w:rsidRPr="00257AB0">
        <w:t xml:space="preserve"> the potential </w:t>
      </w:r>
      <w:r>
        <w:t xml:space="preserve">future </w:t>
      </w:r>
      <w:r w:rsidRPr="00257AB0">
        <w:t xml:space="preserve">planning options for </w:t>
      </w:r>
      <w:r w:rsidR="005A21F6">
        <w:t>MBB</w:t>
      </w:r>
      <w:r w:rsidRPr="00257AB0">
        <w:t xml:space="preserve"> services</w:t>
      </w:r>
      <w:r w:rsidR="00102FA5">
        <w:t>,</w:t>
      </w:r>
      <w:r>
        <w:t xml:space="preserve"> along with a preliminary assessment of the highest</w:t>
      </w:r>
      <w:r w:rsidR="00102FA5">
        <w:t>-</w:t>
      </w:r>
      <w:r>
        <w:t xml:space="preserve">value use of the band. </w:t>
      </w:r>
    </w:p>
    <w:p w14:paraId="2038418D" w14:textId="77777777" w:rsidR="00F23F68" w:rsidRDefault="00F23F68" w:rsidP="00F26BE7">
      <w:pPr>
        <w:pStyle w:val="Heading1"/>
      </w:pPr>
      <w:bookmarkStart w:id="54" w:name="_Toc459906716"/>
      <w:bookmarkStart w:id="55" w:name="_Toc464480510"/>
      <w:r>
        <w:t>1.5 GHz band</w:t>
      </w:r>
      <w:bookmarkEnd w:id="54"/>
      <w:bookmarkEnd w:id="55"/>
    </w:p>
    <w:p w14:paraId="5873CAE4" w14:textId="066F021E" w:rsidR="00F26BE7" w:rsidRPr="000D76E0" w:rsidRDefault="00F26BE7" w:rsidP="00F23F68">
      <w:pPr>
        <w:pStyle w:val="Heading2"/>
      </w:pPr>
      <w:bookmarkStart w:id="56" w:name="_Toc459906717"/>
      <w:bookmarkStart w:id="57" w:name="_Ref461617272"/>
      <w:bookmarkStart w:id="58" w:name="_Toc464480511"/>
      <w:r>
        <w:t>International arrangements</w:t>
      </w:r>
      <w:bookmarkEnd w:id="56"/>
      <w:bookmarkEnd w:id="57"/>
      <w:bookmarkEnd w:id="58"/>
    </w:p>
    <w:p w14:paraId="449CE580" w14:textId="62E0372A" w:rsidR="00E329E2" w:rsidRDefault="0088482C" w:rsidP="00E03708">
      <w:pPr>
        <w:spacing w:after="80"/>
      </w:pPr>
      <w:r w:rsidRPr="00296388">
        <w:t xml:space="preserve">This </w:t>
      </w:r>
      <w:r w:rsidR="00302335">
        <w:t>section</w:t>
      </w:r>
      <w:r w:rsidRPr="00296388">
        <w:t xml:space="preserve"> provides an overview o</w:t>
      </w:r>
      <w:r>
        <w:t xml:space="preserve">f </w:t>
      </w:r>
      <w:r w:rsidR="00102FA5">
        <w:t xml:space="preserve">international </w:t>
      </w:r>
      <w:r>
        <w:t xml:space="preserve">arrangements and developments </w:t>
      </w:r>
      <w:r w:rsidR="00302335">
        <w:t>in</w:t>
      </w:r>
      <w:r w:rsidRPr="00296388">
        <w:t xml:space="preserve"> the </w:t>
      </w:r>
      <w:r w:rsidR="00302335">
        <w:t>1427</w:t>
      </w:r>
      <w:r w:rsidR="00102FA5">
        <w:t>–</w:t>
      </w:r>
      <w:r w:rsidR="00302335">
        <w:t xml:space="preserve">1518 </w:t>
      </w:r>
      <w:r>
        <w:t>MHz</w:t>
      </w:r>
      <w:r w:rsidRPr="00296388">
        <w:t xml:space="preserve"> band</w:t>
      </w:r>
      <w:r>
        <w:t>.</w:t>
      </w:r>
      <w:r w:rsidRPr="00296388">
        <w:t xml:space="preserve"> </w:t>
      </w:r>
      <w:r w:rsidR="00E329E2">
        <w:t>This section is divided into three parts:</w:t>
      </w:r>
    </w:p>
    <w:p w14:paraId="521D2E66" w14:textId="4EB12B8F" w:rsidR="00E329E2" w:rsidRDefault="00E329E2" w:rsidP="00E03708">
      <w:pPr>
        <w:pStyle w:val="ListBullet"/>
      </w:pPr>
      <w:r>
        <w:t>arrangements and development</w:t>
      </w:r>
      <w:r w:rsidR="009179D7">
        <w:t>s</w:t>
      </w:r>
      <w:r>
        <w:t xml:space="preserve"> within international organisations</w:t>
      </w:r>
    </w:p>
    <w:p w14:paraId="4489E329" w14:textId="3B557EC6" w:rsidR="00E329E2" w:rsidRDefault="00E329E2" w:rsidP="00E03708">
      <w:pPr>
        <w:pStyle w:val="ListBullet"/>
      </w:pPr>
      <w:r>
        <w:t>country</w:t>
      </w:r>
      <w:r w:rsidR="00102FA5">
        <w:t>-</w:t>
      </w:r>
      <w:r>
        <w:t>specific arrangements and developments</w:t>
      </w:r>
    </w:p>
    <w:p w14:paraId="78DC6924" w14:textId="59ED5343" w:rsidR="00E329E2" w:rsidRPr="002B62C8" w:rsidRDefault="00E329E2" w:rsidP="00CA4A15">
      <w:pPr>
        <w:pStyle w:val="ListBulletLast"/>
      </w:pPr>
      <w:r>
        <w:t>a high</w:t>
      </w:r>
      <w:r w:rsidR="00102FA5">
        <w:t>-</w:t>
      </w:r>
      <w:r>
        <w:t>level summary of international arrangements and developments.</w:t>
      </w:r>
    </w:p>
    <w:p w14:paraId="60752D20" w14:textId="00A0094F" w:rsidR="0088482C" w:rsidRDefault="0088482C" w:rsidP="00576748">
      <w:pPr>
        <w:pStyle w:val="Heading3"/>
        <w:spacing w:before="240"/>
      </w:pPr>
      <w:bookmarkStart w:id="59" w:name="_Toc459906718"/>
      <w:bookmarkStart w:id="60" w:name="_Toc464480512"/>
      <w:r>
        <w:t xml:space="preserve">International </w:t>
      </w:r>
      <w:r w:rsidR="00102FA5">
        <w:t>o</w:t>
      </w:r>
      <w:r>
        <w:t>rganisations</w:t>
      </w:r>
      <w:bookmarkEnd w:id="59"/>
      <w:bookmarkEnd w:id="60"/>
      <w:r>
        <w:t xml:space="preserve"> </w:t>
      </w:r>
    </w:p>
    <w:p w14:paraId="0A511C10" w14:textId="77777777" w:rsidR="0088482C" w:rsidRPr="00CA4A15" w:rsidRDefault="0088482C" w:rsidP="00E03708">
      <w:pPr>
        <w:pStyle w:val="BodySubHeader"/>
        <w:spacing w:before="120"/>
      </w:pPr>
      <w:r w:rsidRPr="00CA4A15">
        <w:t>ITU</w:t>
      </w:r>
    </w:p>
    <w:p w14:paraId="64AE59D1" w14:textId="616CEA94" w:rsidR="0088482C" w:rsidRDefault="003D7223" w:rsidP="00CA4A15">
      <w:pPr>
        <w:spacing w:after="80"/>
      </w:pPr>
      <w:r>
        <w:t>Article 5 of the ITU Radio Regulations</w:t>
      </w:r>
      <w:r w:rsidR="0088482C">
        <w:t xml:space="preserve"> defines the current service allocations for the </w:t>
      </w:r>
      <w:r w:rsidR="00F96BD2">
        <w:t>1427</w:t>
      </w:r>
      <w:r w:rsidR="00102FA5">
        <w:t>–</w:t>
      </w:r>
      <w:r w:rsidR="00F96BD2">
        <w:t>1518</w:t>
      </w:r>
      <w:r w:rsidR="0088482C">
        <w:t xml:space="preserve"> MHz frequency range for all </w:t>
      </w:r>
      <w:r w:rsidR="00F659D9">
        <w:t>R</w:t>
      </w:r>
      <w:r w:rsidR="0088482C">
        <w:t>egions of the world (</w:t>
      </w:r>
      <w:r w:rsidR="0088482C" w:rsidRPr="006A2730">
        <w:t>refer to</w:t>
      </w:r>
      <w:r w:rsidR="0088482C">
        <w:t xml:space="preserve"> </w:t>
      </w:r>
      <w:r w:rsidR="00A24056">
        <w:t>Table 3</w:t>
      </w:r>
      <w:r w:rsidR="0088482C">
        <w:t xml:space="preserve">). As a result of WRC-15 agenda item 1.1, numerous changes were made that will take effect in 2017. These changes are defined in the </w:t>
      </w:r>
      <w:hyperlink r:id="rId43" w:history="1">
        <w:r w:rsidR="0088482C" w:rsidRPr="00FF437E">
          <w:rPr>
            <w:rStyle w:val="Hyperlink"/>
            <w:rFonts w:cs="Arial"/>
            <w:i/>
          </w:rPr>
          <w:t>Final Acts WRC-15</w:t>
        </w:r>
      </w:hyperlink>
      <w:r w:rsidR="0088482C">
        <w:t>. In summary</w:t>
      </w:r>
      <w:r w:rsidR="00102FA5">
        <w:t>,</w:t>
      </w:r>
      <w:r w:rsidR="0088482C">
        <w:t xml:space="preserve"> the changes to the </w:t>
      </w:r>
      <w:r w:rsidR="00F96BD2">
        <w:t>1427</w:t>
      </w:r>
      <w:r w:rsidR="00102FA5">
        <w:t>–</w:t>
      </w:r>
      <w:r w:rsidR="00F96BD2">
        <w:t>1518</w:t>
      </w:r>
      <w:r w:rsidR="0088482C">
        <w:t xml:space="preserve"> MHz frequency range were:</w:t>
      </w:r>
    </w:p>
    <w:p w14:paraId="62189455" w14:textId="0470C4F2" w:rsidR="00F96BD2" w:rsidRPr="00D94C1D" w:rsidRDefault="00F96BD2" w:rsidP="00CA4A15">
      <w:pPr>
        <w:pStyle w:val="ListBullet"/>
      </w:pPr>
      <w:r w:rsidRPr="00D94C1D">
        <w:t xml:space="preserve">Identification of the 1427–1518 MHz frequency range for </w:t>
      </w:r>
      <w:r w:rsidR="008D3712">
        <w:t>International Mobile Telecommunications (</w:t>
      </w:r>
      <w:r w:rsidR="008D3712" w:rsidRPr="00D94C1D">
        <w:t>IMT</w:t>
      </w:r>
      <w:r w:rsidR="008D3712">
        <w:t>)</w:t>
      </w:r>
      <w:r w:rsidR="008D3712" w:rsidRPr="00D94C1D">
        <w:t xml:space="preserve"> </w:t>
      </w:r>
      <w:r w:rsidRPr="00D94C1D">
        <w:t>in all of Region 2 and Region 3</w:t>
      </w:r>
      <w:r w:rsidR="00102FA5">
        <w:t>.</w:t>
      </w:r>
      <w:r w:rsidRPr="00D94C1D">
        <w:t xml:space="preserve"> </w:t>
      </w:r>
    </w:p>
    <w:p w14:paraId="68B446CB" w14:textId="75402E16" w:rsidR="00F96BD2" w:rsidRPr="000E6E09" w:rsidRDefault="00F96BD2" w:rsidP="00CA4A15">
      <w:pPr>
        <w:pStyle w:val="ListBullet"/>
      </w:pPr>
      <w:r w:rsidRPr="000E6E09">
        <w:t>Identification of the 1427–1452 MHz and 1492–1518 MHz frequency ranges for IMT in Region 1</w:t>
      </w:r>
      <w:r w:rsidR="00102FA5">
        <w:t>.</w:t>
      </w:r>
    </w:p>
    <w:p w14:paraId="199495CE" w14:textId="3A34E858" w:rsidR="00F96BD2" w:rsidRPr="000E6E09" w:rsidRDefault="00F96BD2" w:rsidP="00CA4A15">
      <w:pPr>
        <w:pStyle w:val="ListBulletLast"/>
      </w:pPr>
      <w:r w:rsidRPr="000E6E09">
        <w:t>Identification of the 1452–1492 MHz frequency ranges for IMT in African and Arab states of Region 1</w:t>
      </w:r>
      <w:r w:rsidR="00E11755" w:rsidRPr="000E6E09">
        <w:t>.</w:t>
      </w:r>
      <w:r w:rsidRPr="000E6E09">
        <w:t xml:space="preserve"> CEPT</w:t>
      </w:r>
      <w:r w:rsidR="008D3712" w:rsidRPr="00D43B35">
        <w:rPr>
          <w:vertAlign w:val="superscript"/>
        </w:rPr>
        <w:footnoteReference w:id="11"/>
      </w:r>
      <w:r w:rsidR="008D3712" w:rsidRPr="00D94C1D">
        <w:t xml:space="preserve"> countries</w:t>
      </w:r>
      <w:r w:rsidRPr="00D94C1D">
        <w:t xml:space="preserve"> did not identify this band due to an ongoing </w:t>
      </w:r>
      <w:r w:rsidR="003D7223" w:rsidRPr="00D94C1D">
        <w:t>disagreement</w:t>
      </w:r>
      <w:r w:rsidRPr="000E6E09">
        <w:t xml:space="preserve"> with RCC countries over the protection of Aeronautical Mobile Telemetry services.</w:t>
      </w:r>
      <w:r w:rsidR="00E11755" w:rsidRPr="000E6E09">
        <w:t xml:space="preserve"> However, CEPT have indicated their intention to use the band for </w:t>
      </w:r>
      <w:r w:rsidR="005A21F6">
        <w:t>MBB</w:t>
      </w:r>
      <w:r w:rsidR="00AD16ED" w:rsidRPr="000E6E09">
        <w:t xml:space="preserve"> services</w:t>
      </w:r>
      <w:r w:rsidR="00E11755" w:rsidRPr="000E6E09">
        <w:t xml:space="preserve"> under the existing primary mobile allocation.</w:t>
      </w:r>
    </w:p>
    <w:p w14:paraId="46E22937" w14:textId="1AC2569B" w:rsidR="0088482C" w:rsidRPr="00D91512" w:rsidRDefault="00AD16ED" w:rsidP="00CA4A15">
      <w:r>
        <w:rPr>
          <w:rFonts w:cs="Arial"/>
        </w:rPr>
        <w:t xml:space="preserve">Article 5 of the ITU Radio Regulations </w:t>
      </w:r>
      <w:r w:rsidR="0088482C" w:rsidRPr="00A26389">
        <w:t xml:space="preserve">also shows that there are primary allocations to the </w:t>
      </w:r>
      <w:r w:rsidR="00F96BD2" w:rsidRPr="00A26389">
        <w:t xml:space="preserve">space operation, </w:t>
      </w:r>
      <w:r w:rsidR="0088482C" w:rsidRPr="00A26389">
        <w:t>fixed</w:t>
      </w:r>
      <w:r w:rsidR="00F96BD2" w:rsidRPr="0036432D">
        <w:t>, broadcasting</w:t>
      </w:r>
      <w:r w:rsidR="0088482C" w:rsidRPr="002B62C8">
        <w:t xml:space="preserve"> and </w:t>
      </w:r>
      <w:r w:rsidR="00F96BD2" w:rsidRPr="002B62C8">
        <w:t>broadcasting-</w:t>
      </w:r>
      <w:r w:rsidR="0088482C" w:rsidRPr="002B62C8">
        <w:t xml:space="preserve">satellite </w:t>
      </w:r>
      <w:r w:rsidR="00F96BD2" w:rsidRPr="002B62C8">
        <w:t>services</w:t>
      </w:r>
      <w:r w:rsidR="0088482C" w:rsidRPr="00D91512">
        <w:t xml:space="preserve"> </w:t>
      </w:r>
      <w:r w:rsidR="00825760">
        <w:t>worldwide</w:t>
      </w:r>
      <w:r w:rsidR="0088482C" w:rsidRPr="00D91512">
        <w:t xml:space="preserve">. </w:t>
      </w:r>
    </w:p>
    <w:p w14:paraId="37EE90E8" w14:textId="730507FA" w:rsidR="00A00825" w:rsidRDefault="00A00825" w:rsidP="00CA4A15">
      <w:pPr>
        <w:spacing w:after="80"/>
      </w:pPr>
      <w:r>
        <w:rPr>
          <w:szCs w:val="20"/>
        </w:rPr>
        <w:t xml:space="preserve">Studies are ongoing in the ITU-R on the 1.5 GHz band. </w:t>
      </w:r>
      <w:r>
        <w:t>The following t</w:t>
      </w:r>
      <w:r w:rsidRPr="00DD3864">
        <w:t xml:space="preserve">ext was included in </w:t>
      </w:r>
      <w:r>
        <w:t xml:space="preserve">the </w:t>
      </w:r>
      <w:r w:rsidR="00C059B8">
        <w:rPr>
          <w:i/>
        </w:rPr>
        <w:t>I</w:t>
      </w:r>
      <w:r w:rsidRPr="001848CA">
        <w:rPr>
          <w:i/>
        </w:rPr>
        <w:t>nvites ITU-R</w:t>
      </w:r>
      <w:r>
        <w:t xml:space="preserve"> </w:t>
      </w:r>
      <w:r w:rsidRPr="001848CA">
        <w:t>of Resolution</w:t>
      </w:r>
      <w:r w:rsidRPr="00DD3864">
        <w:rPr>
          <w:b/>
        </w:rPr>
        <w:t xml:space="preserve"> 223</w:t>
      </w:r>
      <w:r>
        <w:rPr>
          <w:b/>
        </w:rPr>
        <w:t xml:space="preserve"> (Rev. WRC-15)</w:t>
      </w:r>
      <w:r w:rsidRPr="001848CA">
        <w:t>:</w:t>
      </w:r>
      <w:r w:rsidRPr="00DD3864">
        <w:t xml:space="preserve"> </w:t>
      </w:r>
    </w:p>
    <w:p w14:paraId="5639F683" w14:textId="7F40A002" w:rsidR="00A00825" w:rsidRPr="00E95553" w:rsidRDefault="00A00825" w:rsidP="00FD64A2">
      <w:pPr>
        <w:pStyle w:val="ListNumber"/>
        <w:numPr>
          <w:ilvl w:val="0"/>
          <w:numId w:val="16"/>
        </w:numPr>
      </w:pPr>
      <w:r w:rsidRPr="00E95553">
        <w:t>to conduct compatibility studies in order to provide technical measures to ensure</w:t>
      </w:r>
      <w:r>
        <w:t xml:space="preserve"> </w:t>
      </w:r>
      <w:r w:rsidRPr="00E95553">
        <w:t>coexistence between MSS in the frequency band 1518</w:t>
      </w:r>
      <w:r>
        <w:t>–</w:t>
      </w:r>
      <w:r w:rsidRPr="00E95553">
        <w:t xml:space="preserve">1525 MHz and </w:t>
      </w:r>
      <w:r w:rsidR="008D3712">
        <w:t xml:space="preserve">IMT </w:t>
      </w:r>
      <w:r w:rsidRPr="00E95553">
        <w:t>in the frequency band</w:t>
      </w:r>
      <w:r>
        <w:t xml:space="preserve"> </w:t>
      </w:r>
      <w:r w:rsidRPr="00E95553">
        <w:t>1492</w:t>
      </w:r>
      <w:r>
        <w:t>–</w:t>
      </w:r>
      <w:r w:rsidRPr="00E95553">
        <w:t>1518 MHz;</w:t>
      </w:r>
    </w:p>
    <w:p w14:paraId="08B2DE74" w14:textId="16C31C8A" w:rsidR="00A00825" w:rsidRDefault="00A00825" w:rsidP="00CA4A15">
      <w:pPr>
        <w:pStyle w:val="ListNumberLast"/>
      </w:pPr>
      <w:r w:rsidRPr="00E95553">
        <w:t>to develop harmoni</w:t>
      </w:r>
      <w:r w:rsidR="00D75038">
        <w:t>s</w:t>
      </w:r>
      <w:r w:rsidRPr="00E95553">
        <w:t>ed frequency arrangements to f</w:t>
      </w:r>
      <w:r w:rsidRPr="00EE29AC">
        <w:t>acilitate IMT deployment in the</w:t>
      </w:r>
      <w:r>
        <w:t xml:space="preserve"> </w:t>
      </w:r>
      <w:r w:rsidRPr="00E95553">
        <w:t>frequency band 1427</w:t>
      </w:r>
      <w:r>
        <w:t>–</w:t>
      </w:r>
      <w:r w:rsidRPr="00E95553">
        <w:t>1518 MHz, taking into account the results of sharing and compatibility</w:t>
      </w:r>
      <w:r>
        <w:t xml:space="preserve"> </w:t>
      </w:r>
      <w:r w:rsidRPr="00E95553">
        <w:t>studies</w:t>
      </w:r>
      <w:r w:rsidR="00C059B8">
        <w:t>.</w:t>
      </w:r>
    </w:p>
    <w:p w14:paraId="510CB9F8" w14:textId="49930E24" w:rsidR="00A00825" w:rsidRPr="00AE21FF" w:rsidRDefault="00A00825" w:rsidP="00CA4A15">
      <w:r>
        <w:t xml:space="preserve">An additional outcome of WRC-15 was </w:t>
      </w:r>
      <w:r w:rsidRPr="00967AF0">
        <w:t xml:space="preserve">Resolution </w:t>
      </w:r>
      <w:r>
        <w:rPr>
          <w:b/>
        </w:rPr>
        <w:t xml:space="preserve">761 </w:t>
      </w:r>
      <w:r w:rsidRPr="00967AF0">
        <w:rPr>
          <w:b/>
        </w:rPr>
        <w:t>(WRC-15)</w:t>
      </w:r>
      <w:r w:rsidRPr="009E51BC">
        <w:t>. This resolution</w:t>
      </w:r>
      <w:r>
        <w:t xml:space="preserve"> </w:t>
      </w:r>
      <w:r w:rsidRPr="00967AF0">
        <w:t>invites the ITU</w:t>
      </w:r>
      <w:r>
        <w:t>-</w:t>
      </w:r>
      <w:r w:rsidRPr="00967AF0">
        <w:t>R to conduct, in time for WRC-19, the appropriate regulatory and technical studies, with a</w:t>
      </w:r>
      <w:r>
        <w:t xml:space="preserve"> </w:t>
      </w:r>
      <w:r w:rsidRPr="00967AF0">
        <w:t>view to ensuring the compatibility of IMT and</w:t>
      </w:r>
      <w:r>
        <w:t xml:space="preserve"> the broadcasting-satellite service</w:t>
      </w:r>
      <w:r w:rsidRPr="00967AF0">
        <w:t xml:space="preserve"> </w:t>
      </w:r>
      <w:r>
        <w:t>(</w:t>
      </w:r>
      <w:r w:rsidRPr="00967AF0">
        <w:t>BSS</w:t>
      </w:r>
      <w:r>
        <w:t>)</w:t>
      </w:r>
      <w:r w:rsidRPr="00967AF0">
        <w:t xml:space="preserve"> (sound) in the frequency band</w:t>
      </w:r>
      <w:r>
        <w:t xml:space="preserve"> </w:t>
      </w:r>
      <w:r w:rsidRPr="00967AF0">
        <w:t>1452</w:t>
      </w:r>
      <w:r>
        <w:t>–</w:t>
      </w:r>
      <w:r w:rsidRPr="00967AF0">
        <w:t xml:space="preserve">1492 MHz in </w:t>
      </w:r>
      <w:r w:rsidR="00C00BDE">
        <w:t>R</w:t>
      </w:r>
      <w:r w:rsidRPr="00967AF0">
        <w:t>egions 1 and 3, taking into account IMT and BSS (sound) operational</w:t>
      </w:r>
      <w:r>
        <w:t xml:space="preserve"> </w:t>
      </w:r>
      <w:r w:rsidRPr="00967AF0">
        <w:t>requirements</w:t>
      </w:r>
      <w:r>
        <w:t>.</w:t>
      </w:r>
    </w:p>
    <w:p w14:paraId="7DE83EC8" w14:textId="3CC5EDAE" w:rsidR="009C4BBB" w:rsidRPr="006A2730" w:rsidRDefault="00A87C3D" w:rsidP="00E03708">
      <w:pPr>
        <w:pStyle w:val="ACMATableHeader"/>
        <w:keepNext/>
      </w:pPr>
      <w:r>
        <w:t xml:space="preserve">2013 </w:t>
      </w:r>
      <w:r w:rsidR="009C4BBB" w:rsidRPr="00296388">
        <w:t xml:space="preserve">Australian </w:t>
      </w:r>
      <w:r w:rsidR="00AD16ED">
        <w:t xml:space="preserve">and </w:t>
      </w:r>
      <w:r w:rsidR="00F659D9" w:rsidRPr="003D598A">
        <w:t>ITU Radio Regulations Table of Allocations</w:t>
      </w:r>
      <w:r w:rsidR="00F659D9">
        <w:t xml:space="preserve"> </w:t>
      </w:r>
      <w:r w:rsidR="009C4BBB" w:rsidRPr="00296388">
        <w:t xml:space="preserve">for the </w:t>
      </w:r>
      <w:r w:rsidR="009C4BBB">
        <w:t>1427</w:t>
      </w:r>
      <w:r w:rsidR="00102FA5">
        <w:t>–</w:t>
      </w:r>
      <w:r w:rsidR="009C4BBB">
        <w:t>1518</w:t>
      </w:r>
      <w:r w:rsidR="009C4BBB" w:rsidRPr="00296388">
        <w:t xml:space="preserve"> MHz frequency range</w:t>
      </w:r>
    </w:p>
    <w:tbl>
      <w:tblPr>
        <w:tblW w:w="8801" w:type="dxa"/>
        <w:shd w:val="clear" w:color="auto" w:fill="FDE9D9" w:themeFill="accent6" w:themeFillTint="33"/>
        <w:tblLayout w:type="fixed"/>
        <w:tblLook w:val="0000" w:firstRow="0" w:lastRow="0" w:firstColumn="0" w:lastColumn="0" w:noHBand="0" w:noVBand="0"/>
      </w:tblPr>
      <w:tblGrid>
        <w:gridCol w:w="2281"/>
        <w:gridCol w:w="2126"/>
        <w:gridCol w:w="2125"/>
        <w:gridCol w:w="2269"/>
      </w:tblGrid>
      <w:tr w:rsidR="009C4BBB" w:rsidRPr="003D598A" w14:paraId="40067784" w14:textId="77777777" w:rsidTr="009C4BBB">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tcPr>
          <w:p w14:paraId="51BD7C9C" w14:textId="77777777" w:rsidR="009C4BBB" w:rsidRPr="00FD64A2" w:rsidRDefault="009C4BBB" w:rsidP="009C4BBB">
            <w:pPr>
              <w:keepNext/>
              <w:keepLines/>
              <w:tabs>
                <w:tab w:val="left" w:pos="284"/>
                <w:tab w:val="left" w:pos="567"/>
                <w:tab w:val="left" w:pos="1134"/>
              </w:tabs>
              <w:spacing w:after="0"/>
              <w:jc w:val="center"/>
              <w:rPr>
                <w:b/>
                <w:szCs w:val="20"/>
              </w:rPr>
            </w:pPr>
            <w:r w:rsidRPr="00FD64A2">
              <w:rPr>
                <w:b/>
                <w:szCs w:val="20"/>
              </w:rPr>
              <w:t>Region 1</w:t>
            </w:r>
          </w:p>
        </w:tc>
        <w:tc>
          <w:tcPr>
            <w:tcW w:w="1208" w:type="pct"/>
            <w:tcBorders>
              <w:top w:val="single" w:sz="4" w:space="0" w:color="auto"/>
              <w:left w:val="nil"/>
              <w:bottom w:val="single" w:sz="4" w:space="0" w:color="auto"/>
              <w:right w:val="single" w:sz="4" w:space="0" w:color="auto"/>
            </w:tcBorders>
            <w:shd w:val="clear" w:color="auto" w:fill="auto"/>
          </w:tcPr>
          <w:p w14:paraId="6D62538C" w14:textId="77777777" w:rsidR="009C4BBB" w:rsidRPr="00FD64A2" w:rsidRDefault="009C4BBB" w:rsidP="009C4BBB">
            <w:pPr>
              <w:keepNext/>
              <w:keepLines/>
              <w:tabs>
                <w:tab w:val="left" w:pos="284"/>
                <w:tab w:val="left" w:pos="567"/>
                <w:tab w:val="left" w:pos="1134"/>
              </w:tabs>
              <w:spacing w:after="0"/>
              <w:jc w:val="center"/>
              <w:rPr>
                <w:b/>
                <w:szCs w:val="20"/>
              </w:rPr>
            </w:pPr>
            <w:r w:rsidRPr="00FD64A2">
              <w:rPr>
                <w:b/>
                <w:szCs w:val="20"/>
              </w:rPr>
              <w:t>Region 2</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702C0AC2" w14:textId="77777777" w:rsidR="009C4BBB" w:rsidRPr="00FD64A2" w:rsidRDefault="009C4BBB" w:rsidP="009C4BBB">
            <w:pPr>
              <w:keepNext/>
              <w:keepLines/>
              <w:tabs>
                <w:tab w:val="left" w:pos="284"/>
                <w:tab w:val="left" w:pos="567"/>
                <w:tab w:val="left" w:pos="1134"/>
              </w:tabs>
              <w:spacing w:after="0"/>
              <w:jc w:val="center"/>
              <w:rPr>
                <w:b/>
                <w:szCs w:val="20"/>
              </w:rPr>
            </w:pPr>
            <w:r w:rsidRPr="00FD64A2">
              <w:rPr>
                <w:b/>
                <w:szCs w:val="20"/>
              </w:rPr>
              <w:t>Region 3</w:t>
            </w:r>
          </w:p>
        </w:tc>
        <w:tc>
          <w:tcPr>
            <w:tcW w:w="1289" w:type="pct"/>
            <w:tcBorders>
              <w:top w:val="single" w:sz="4" w:space="0" w:color="auto"/>
              <w:left w:val="single" w:sz="4" w:space="0" w:color="auto"/>
              <w:bottom w:val="single" w:sz="4" w:space="0" w:color="auto"/>
              <w:right w:val="single" w:sz="4" w:space="0" w:color="auto"/>
            </w:tcBorders>
            <w:shd w:val="clear" w:color="auto" w:fill="auto"/>
          </w:tcPr>
          <w:p w14:paraId="64A599B4" w14:textId="77777777" w:rsidR="009C4BBB" w:rsidRPr="00FD64A2" w:rsidRDefault="009C4BBB" w:rsidP="009C4BBB">
            <w:pPr>
              <w:keepNext/>
              <w:keepLines/>
              <w:spacing w:after="0"/>
              <w:jc w:val="center"/>
              <w:rPr>
                <w:b/>
                <w:szCs w:val="20"/>
              </w:rPr>
            </w:pPr>
            <w:r w:rsidRPr="00FD64A2">
              <w:rPr>
                <w:b/>
                <w:szCs w:val="20"/>
              </w:rPr>
              <w:t>Australian Table of Allocations</w:t>
            </w:r>
          </w:p>
        </w:tc>
      </w:tr>
      <w:tr w:rsidR="009C4BBB" w:rsidRPr="003D598A" w14:paraId="1E4A715C" w14:textId="77777777" w:rsidTr="009C4BBB">
        <w:tblPrEx>
          <w:tblCellMar>
            <w:left w:w="107" w:type="dxa"/>
            <w:right w:w="107" w:type="dxa"/>
          </w:tblCellMar>
        </w:tblPrEx>
        <w:trPr>
          <w:cantSplit/>
        </w:trPr>
        <w:tc>
          <w:tcPr>
            <w:tcW w:w="3711" w:type="pct"/>
            <w:gridSpan w:val="3"/>
            <w:tcBorders>
              <w:top w:val="single" w:sz="4" w:space="0" w:color="auto"/>
              <w:left w:val="single" w:sz="4" w:space="0" w:color="auto"/>
              <w:bottom w:val="single" w:sz="4" w:space="0" w:color="auto"/>
              <w:right w:val="single" w:sz="4" w:space="0" w:color="auto"/>
            </w:tcBorders>
            <w:shd w:val="clear" w:color="auto" w:fill="auto"/>
          </w:tcPr>
          <w:p w14:paraId="5323D6B9" w14:textId="5436A03D" w:rsidR="009C4BBB" w:rsidRPr="003D598A" w:rsidRDefault="009C4BBB" w:rsidP="009C4BBB">
            <w:pPr>
              <w:keepNext/>
              <w:keepLines/>
              <w:tabs>
                <w:tab w:val="left" w:pos="2693"/>
              </w:tabs>
              <w:spacing w:after="0"/>
              <w:ind w:left="2920" w:hanging="2920"/>
              <w:rPr>
                <w:szCs w:val="20"/>
                <w:lang w:eastAsia="en-US"/>
              </w:rPr>
            </w:pPr>
            <w:r w:rsidRPr="003D598A">
              <w:rPr>
                <w:b/>
                <w:szCs w:val="20"/>
                <w:lang w:eastAsia="en-US"/>
              </w:rPr>
              <w:t>1 427</w:t>
            </w:r>
            <w:r w:rsidR="00102FA5">
              <w:rPr>
                <w:b/>
                <w:szCs w:val="20"/>
                <w:lang w:eastAsia="en-US"/>
              </w:rPr>
              <w:t>–</w:t>
            </w:r>
            <w:r w:rsidRPr="003D598A">
              <w:rPr>
                <w:b/>
                <w:szCs w:val="20"/>
                <w:lang w:eastAsia="en-US"/>
              </w:rPr>
              <w:t>1 429</w:t>
            </w:r>
            <w:r w:rsidRPr="003D598A">
              <w:rPr>
                <w:b/>
                <w:szCs w:val="20"/>
                <w:lang w:eastAsia="en-US"/>
              </w:rPr>
              <w:tab/>
            </w:r>
            <w:r w:rsidRPr="003D598A">
              <w:rPr>
                <w:szCs w:val="20"/>
                <w:lang w:eastAsia="en-US"/>
              </w:rPr>
              <w:t>SPACE OPERATION (Earth-to-space)</w:t>
            </w:r>
          </w:p>
          <w:p w14:paraId="20F153E5" w14:textId="77777777" w:rsidR="009C4BBB" w:rsidRPr="003D598A" w:rsidRDefault="009C4BBB" w:rsidP="009C4BBB">
            <w:pPr>
              <w:keepNext/>
              <w:keepLines/>
              <w:tabs>
                <w:tab w:val="left" w:pos="2693"/>
              </w:tabs>
              <w:spacing w:after="0"/>
              <w:ind w:left="2920" w:hanging="2920"/>
              <w:rPr>
                <w:szCs w:val="20"/>
                <w:lang w:eastAsia="en-US"/>
              </w:rPr>
            </w:pPr>
            <w:r w:rsidRPr="003D598A">
              <w:rPr>
                <w:szCs w:val="20"/>
                <w:lang w:eastAsia="en-US"/>
              </w:rPr>
              <w:tab/>
              <w:t>FIXED</w:t>
            </w:r>
          </w:p>
          <w:p w14:paraId="652C461D" w14:textId="77777777" w:rsidR="009C4BBB" w:rsidRPr="003D598A" w:rsidRDefault="009C4BBB" w:rsidP="009C4BBB">
            <w:pPr>
              <w:keepNext/>
              <w:keepLines/>
              <w:tabs>
                <w:tab w:val="left" w:pos="2693"/>
              </w:tabs>
              <w:spacing w:after="0"/>
              <w:ind w:left="2920" w:hanging="2920"/>
              <w:rPr>
                <w:szCs w:val="20"/>
                <w:lang w:eastAsia="en-US"/>
              </w:rPr>
            </w:pPr>
            <w:r w:rsidRPr="003D598A">
              <w:rPr>
                <w:szCs w:val="20"/>
                <w:lang w:eastAsia="en-US"/>
              </w:rPr>
              <w:tab/>
              <w:t>MOBILE except aeronautical mobile</w:t>
            </w:r>
          </w:p>
          <w:p w14:paraId="6E8AC323" w14:textId="77777777" w:rsidR="009C4BBB" w:rsidRPr="003D598A" w:rsidRDefault="009C4BBB" w:rsidP="009C4BBB">
            <w:pPr>
              <w:keepNext/>
              <w:keepLines/>
              <w:tabs>
                <w:tab w:val="left" w:pos="2693"/>
              </w:tabs>
              <w:spacing w:after="0"/>
              <w:ind w:left="2920" w:hanging="2920"/>
              <w:rPr>
                <w:b/>
                <w:szCs w:val="20"/>
                <w:lang w:eastAsia="en-US"/>
              </w:rPr>
            </w:pPr>
            <w:r w:rsidRPr="003D598A">
              <w:rPr>
                <w:b/>
                <w:szCs w:val="20"/>
                <w:lang w:eastAsia="en-US"/>
              </w:rPr>
              <w:tab/>
            </w:r>
          </w:p>
          <w:p w14:paraId="5C6D188A" w14:textId="77777777" w:rsidR="009C4BBB" w:rsidRPr="003D598A" w:rsidRDefault="009C4BBB" w:rsidP="009C4BBB">
            <w:pPr>
              <w:keepNext/>
              <w:keepLines/>
              <w:tabs>
                <w:tab w:val="left" w:pos="2693"/>
              </w:tabs>
              <w:spacing w:after="0"/>
              <w:ind w:left="2920" w:hanging="2920"/>
              <w:rPr>
                <w:b/>
                <w:szCs w:val="20"/>
                <w:lang w:eastAsia="en-US"/>
              </w:rPr>
            </w:pPr>
            <w:r w:rsidRPr="003D598A">
              <w:rPr>
                <w:b/>
                <w:szCs w:val="20"/>
                <w:lang w:eastAsia="en-US"/>
              </w:rPr>
              <w:tab/>
            </w:r>
          </w:p>
          <w:p w14:paraId="605345AA" w14:textId="77777777" w:rsidR="009C4BBB" w:rsidRPr="003D598A" w:rsidRDefault="009C4BBB" w:rsidP="009C4BBB">
            <w:pPr>
              <w:keepNext/>
              <w:keepLines/>
              <w:tabs>
                <w:tab w:val="left" w:pos="2693"/>
              </w:tabs>
              <w:spacing w:after="0"/>
              <w:ind w:left="2920" w:hanging="2920"/>
              <w:rPr>
                <w:szCs w:val="20"/>
                <w:lang w:eastAsia="en-US"/>
              </w:rPr>
            </w:pPr>
            <w:r w:rsidRPr="003D598A">
              <w:rPr>
                <w:szCs w:val="20"/>
                <w:lang w:eastAsia="en-US"/>
              </w:rPr>
              <w:tab/>
            </w:r>
          </w:p>
          <w:p w14:paraId="75A47B4C" w14:textId="77777777" w:rsidR="009C4BBB" w:rsidRPr="003D598A" w:rsidRDefault="009C4BBB" w:rsidP="009C4BBB">
            <w:pPr>
              <w:keepNext/>
              <w:keepLines/>
              <w:tabs>
                <w:tab w:val="left" w:pos="2693"/>
              </w:tabs>
              <w:spacing w:after="0"/>
              <w:ind w:left="2920" w:hanging="2920"/>
              <w:rPr>
                <w:szCs w:val="20"/>
                <w:lang w:eastAsia="en-US"/>
              </w:rPr>
            </w:pPr>
            <w:r w:rsidRPr="003D598A">
              <w:rPr>
                <w:szCs w:val="20"/>
                <w:lang w:eastAsia="en-US"/>
              </w:rPr>
              <w:tab/>
              <w:t>338A  341</w:t>
            </w:r>
          </w:p>
        </w:tc>
        <w:tc>
          <w:tcPr>
            <w:tcW w:w="1289" w:type="pct"/>
            <w:tcBorders>
              <w:top w:val="single" w:sz="4" w:space="0" w:color="auto"/>
              <w:left w:val="single" w:sz="4" w:space="0" w:color="auto"/>
              <w:bottom w:val="single" w:sz="4" w:space="0" w:color="auto"/>
              <w:right w:val="single" w:sz="4" w:space="0" w:color="auto"/>
            </w:tcBorders>
            <w:shd w:val="clear" w:color="auto" w:fill="auto"/>
          </w:tcPr>
          <w:p w14:paraId="421B0C11" w14:textId="23530087"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1 427</w:t>
            </w:r>
            <w:r w:rsidR="00102FA5">
              <w:rPr>
                <w:b/>
                <w:szCs w:val="20"/>
                <w:lang w:eastAsia="en-US"/>
              </w:rPr>
              <w:t>–</w:t>
            </w:r>
            <w:r w:rsidRPr="003D598A">
              <w:rPr>
                <w:b/>
                <w:szCs w:val="20"/>
                <w:lang w:eastAsia="en-US"/>
              </w:rPr>
              <w:t>1 429</w:t>
            </w:r>
          </w:p>
          <w:p w14:paraId="22AAD2F3"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SPACE OPERATION (Earth-to-space)</w:t>
            </w:r>
          </w:p>
          <w:p w14:paraId="0E6B87E7"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4E49514E"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except aeronautical mobile</w:t>
            </w:r>
          </w:p>
          <w:p w14:paraId="6DC0F380" w14:textId="77777777" w:rsidR="009C4BBB" w:rsidRPr="003D598A" w:rsidRDefault="009C4BBB" w:rsidP="009C4BBB">
            <w:pPr>
              <w:keepNext/>
              <w:keepLines/>
              <w:tabs>
                <w:tab w:val="left" w:pos="425"/>
              </w:tabs>
              <w:spacing w:after="0"/>
              <w:ind w:left="227" w:hanging="227"/>
              <w:rPr>
                <w:b/>
                <w:szCs w:val="20"/>
                <w:lang w:eastAsia="en-US"/>
              </w:rPr>
            </w:pPr>
            <w:r w:rsidRPr="003D598A">
              <w:rPr>
                <w:szCs w:val="20"/>
                <w:lang w:eastAsia="en-US"/>
              </w:rPr>
              <w:t>338A  341  AUS87  AUS103</w:t>
            </w:r>
          </w:p>
        </w:tc>
      </w:tr>
      <w:tr w:rsidR="009C4BBB" w:rsidRPr="003D598A" w14:paraId="47ED5F2F" w14:textId="77777777" w:rsidTr="009C4BBB">
        <w:tblPrEx>
          <w:tblCellMar>
            <w:left w:w="107" w:type="dxa"/>
            <w:right w:w="107" w:type="dxa"/>
          </w:tblCellMar>
        </w:tblPrEx>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tcPr>
          <w:p w14:paraId="28EB93A4" w14:textId="60564ACB"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1 429–1 452</w:t>
            </w:r>
          </w:p>
          <w:p w14:paraId="708BBD69"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3BEE663F"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except aeronautical mobile</w:t>
            </w:r>
          </w:p>
          <w:p w14:paraId="43D55787" w14:textId="77777777" w:rsidR="009C4BBB" w:rsidRPr="003D598A" w:rsidRDefault="009C4BBB" w:rsidP="009C4BBB">
            <w:pPr>
              <w:keepNext/>
              <w:keepLines/>
              <w:tabs>
                <w:tab w:val="left" w:pos="425"/>
              </w:tabs>
              <w:spacing w:after="0"/>
              <w:ind w:left="227" w:hanging="227"/>
              <w:rPr>
                <w:b/>
                <w:szCs w:val="20"/>
                <w:lang w:eastAsia="en-US"/>
              </w:rPr>
            </w:pPr>
            <w:r w:rsidRPr="003D598A">
              <w:rPr>
                <w:szCs w:val="20"/>
                <w:lang w:eastAsia="en-US"/>
              </w:rPr>
              <w:t>338A  341  342</w:t>
            </w:r>
          </w:p>
        </w:tc>
        <w:tc>
          <w:tcPr>
            <w:tcW w:w="2415" w:type="pct"/>
            <w:gridSpan w:val="2"/>
            <w:tcBorders>
              <w:top w:val="single" w:sz="4" w:space="0" w:color="auto"/>
              <w:left w:val="single" w:sz="4" w:space="0" w:color="auto"/>
              <w:bottom w:val="single" w:sz="4" w:space="0" w:color="auto"/>
              <w:right w:val="single" w:sz="4" w:space="0" w:color="auto"/>
            </w:tcBorders>
            <w:shd w:val="clear" w:color="auto" w:fill="auto"/>
          </w:tcPr>
          <w:p w14:paraId="6A8BAB4F" w14:textId="751C6FEB" w:rsidR="009C4BBB" w:rsidRPr="003D598A" w:rsidRDefault="009C4BBB" w:rsidP="009C4BBB">
            <w:pPr>
              <w:keepNext/>
              <w:keepLines/>
              <w:tabs>
                <w:tab w:val="left" w:pos="425"/>
              </w:tabs>
              <w:spacing w:after="0"/>
              <w:ind w:left="652" w:hanging="652"/>
              <w:rPr>
                <w:szCs w:val="20"/>
                <w:lang w:eastAsia="en-US"/>
              </w:rPr>
            </w:pPr>
            <w:r w:rsidRPr="003D598A">
              <w:rPr>
                <w:b/>
                <w:szCs w:val="20"/>
                <w:lang w:eastAsia="en-US"/>
              </w:rPr>
              <w:t>1 429–1 452</w:t>
            </w:r>
          </w:p>
          <w:p w14:paraId="0B37EAAA"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FIXED</w:t>
            </w:r>
          </w:p>
          <w:p w14:paraId="7B3243FC"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MOBILE  343</w:t>
            </w:r>
          </w:p>
          <w:p w14:paraId="52671EA5"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r>
          </w:p>
          <w:p w14:paraId="590F82C5"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338A  341</w:t>
            </w:r>
          </w:p>
        </w:tc>
        <w:tc>
          <w:tcPr>
            <w:tcW w:w="1289" w:type="pct"/>
            <w:tcBorders>
              <w:top w:val="single" w:sz="4" w:space="0" w:color="auto"/>
              <w:left w:val="single" w:sz="4" w:space="0" w:color="auto"/>
              <w:bottom w:val="single" w:sz="4" w:space="0" w:color="auto"/>
              <w:right w:val="single" w:sz="4" w:space="0" w:color="auto"/>
            </w:tcBorders>
            <w:shd w:val="clear" w:color="auto" w:fill="auto"/>
          </w:tcPr>
          <w:p w14:paraId="4318AFCF" w14:textId="65EEBCF5" w:rsidR="009C4BBB" w:rsidRPr="003D598A" w:rsidRDefault="009C4BBB" w:rsidP="009C4BBB">
            <w:pPr>
              <w:keepNext/>
              <w:keepLines/>
              <w:tabs>
                <w:tab w:val="left" w:pos="425"/>
              </w:tabs>
              <w:spacing w:after="0"/>
              <w:ind w:left="227" w:hanging="227"/>
              <w:rPr>
                <w:b/>
                <w:szCs w:val="20"/>
                <w:lang w:val="de-DE" w:eastAsia="en-US"/>
              </w:rPr>
            </w:pPr>
            <w:r w:rsidRPr="003D598A">
              <w:rPr>
                <w:b/>
                <w:szCs w:val="20"/>
                <w:lang w:val="de-DE" w:eastAsia="en-US"/>
              </w:rPr>
              <w:t>1 429–1 452</w:t>
            </w:r>
          </w:p>
          <w:p w14:paraId="251D75C9" w14:textId="77777777" w:rsidR="009C4BBB" w:rsidRPr="003D598A" w:rsidRDefault="009C4BBB" w:rsidP="009C4BBB">
            <w:pPr>
              <w:keepNext/>
              <w:keepLines/>
              <w:tabs>
                <w:tab w:val="left" w:pos="425"/>
              </w:tabs>
              <w:spacing w:after="0"/>
              <w:ind w:left="227" w:hanging="227"/>
              <w:rPr>
                <w:szCs w:val="20"/>
                <w:lang w:val="de-DE" w:eastAsia="en-US"/>
              </w:rPr>
            </w:pPr>
            <w:r w:rsidRPr="003D598A">
              <w:rPr>
                <w:szCs w:val="20"/>
                <w:lang w:val="de-DE" w:eastAsia="en-US"/>
              </w:rPr>
              <w:t>FIXED</w:t>
            </w:r>
          </w:p>
          <w:p w14:paraId="763C74D6" w14:textId="77777777" w:rsidR="009C4BBB" w:rsidRPr="003D598A" w:rsidRDefault="009C4BBB" w:rsidP="009C4BBB">
            <w:pPr>
              <w:keepNext/>
              <w:keepLines/>
              <w:tabs>
                <w:tab w:val="left" w:pos="425"/>
              </w:tabs>
              <w:spacing w:after="0"/>
              <w:ind w:left="227" w:hanging="227"/>
              <w:rPr>
                <w:szCs w:val="20"/>
                <w:lang w:val="de-DE" w:eastAsia="en-US"/>
              </w:rPr>
            </w:pPr>
            <w:r w:rsidRPr="003D598A">
              <w:rPr>
                <w:szCs w:val="20"/>
                <w:lang w:val="de-DE" w:eastAsia="en-US"/>
              </w:rPr>
              <w:t>MOBILE  AUS3</w:t>
            </w:r>
          </w:p>
          <w:p w14:paraId="085B2743" w14:textId="77777777" w:rsidR="009C4BBB" w:rsidRPr="003D598A" w:rsidRDefault="009C4BBB" w:rsidP="009C4BBB">
            <w:pPr>
              <w:keepNext/>
              <w:keepLines/>
              <w:tabs>
                <w:tab w:val="left" w:pos="425"/>
              </w:tabs>
              <w:spacing w:after="0"/>
              <w:ind w:left="227" w:hanging="227"/>
              <w:rPr>
                <w:szCs w:val="20"/>
                <w:lang w:val="de-DE" w:eastAsia="en-US"/>
              </w:rPr>
            </w:pPr>
          </w:p>
          <w:p w14:paraId="2BFDF003" w14:textId="77777777" w:rsidR="009C4BBB" w:rsidRPr="003D598A" w:rsidRDefault="009C4BBB" w:rsidP="009C4BBB">
            <w:pPr>
              <w:keepNext/>
              <w:keepLines/>
              <w:tabs>
                <w:tab w:val="left" w:pos="425"/>
              </w:tabs>
              <w:spacing w:after="0"/>
              <w:ind w:left="227" w:hanging="227"/>
              <w:rPr>
                <w:b/>
                <w:szCs w:val="20"/>
                <w:lang w:val="de-DE" w:eastAsia="en-US"/>
              </w:rPr>
            </w:pPr>
            <w:r w:rsidRPr="003D598A">
              <w:rPr>
                <w:szCs w:val="20"/>
                <w:lang w:val="de-DE" w:eastAsia="en-US"/>
              </w:rPr>
              <w:t>338A  341  AUS87  AUS103</w:t>
            </w:r>
          </w:p>
        </w:tc>
      </w:tr>
      <w:tr w:rsidR="009C4BBB" w:rsidRPr="003D598A" w14:paraId="7AE5BE9E" w14:textId="77777777" w:rsidTr="009C4BBB">
        <w:tblPrEx>
          <w:tblCellMar>
            <w:left w:w="107" w:type="dxa"/>
            <w:right w:w="107" w:type="dxa"/>
          </w:tblCellMar>
        </w:tblPrEx>
        <w:trPr>
          <w:cantSplit/>
          <w:trHeight w:val="1875"/>
        </w:trPr>
        <w:tc>
          <w:tcPr>
            <w:tcW w:w="1296" w:type="pct"/>
            <w:tcBorders>
              <w:top w:val="single" w:sz="4" w:space="0" w:color="auto"/>
              <w:left w:val="single" w:sz="4" w:space="0" w:color="auto"/>
              <w:bottom w:val="single" w:sz="4" w:space="0" w:color="auto"/>
              <w:right w:val="single" w:sz="4" w:space="0" w:color="auto"/>
            </w:tcBorders>
            <w:shd w:val="clear" w:color="auto" w:fill="auto"/>
          </w:tcPr>
          <w:p w14:paraId="78695B79" w14:textId="68ABCF85" w:rsidR="009C4BBB" w:rsidRPr="003D598A" w:rsidRDefault="009C4BBB" w:rsidP="009C4BBB">
            <w:pPr>
              <w:keepNext/>
              <w:keepLines/>
              <w:tabs>
                <w:tab w:val="left" w:pos="425"/>
              </w:tabs>
              <w:spacing w:after="0"/>
              <w:ind w:left="227" w:hanging="227"/>
              <w:rPr>
                <w:szCs w:val="20"/>
                <w:lang w:eastAsia="en-US"/>
              </w:rPr>
            </w:pPr>
            <w:r w:rsidRPr="003D598A">
              <w:rPr>
                <w:b/>
                <w:szCs w:val="20"/>
                <w:lang w:eastAsia="en-US"/>
              </w:rPr>
              <w:t>1 452–1 492</w:t>
            </w:r>
          </w:p>
          <w:p w14:paraId="7CE72325"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4A3C3BC0"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except aeronautical mobile</w:t>
            </w:r>
          </w:p>
          <w:p w14:paraId="03CD1197"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BROADCASTING  345</w:t>
            </w:r>
          </w:p>
          <w:p w14:paraId="6D28835A" w14:textId="77777777" w:rsidR="009C4BBB" w:rsidRPr="003D598A" w:rsidRDefault="009C4BBB" w:rsidP="009C4BBB">
            <w:pPr>
              <w:keepNext/>
              <w:keepLines/>
              <w:tabs>
                <w:tab w:val="left" w:pos="425"/>
              </w:tabs>
              <w:spacing w:after="0"/>
              <w:ind w:left="227" w:right="-164" w:hanging="227"/>
              <w:rPr>
                <w:szCs w:val="20"/>
                <w:lang w:eastAsia="en-US"/>
              </w:rPr>
            </w:pPr>
            <w:r w:rsidRPr="003D598A">
              <w:rPr>
                <w:szCs w:val="20"/>
                <w:lang w:eastAsia="en-US"/>
              </w:rPr>
              <w:t>BROADCASTING–SATELLITE  208B  345</w:t>
            </w:r>
          </w:p>
          <w:p w14:paraId="4644080F"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341  342</w:t>
            </w:r>
          </w:p>
        </w:tc>
        <w:tc>
          <w:tcPr>
            <w:tcW w:w="2415" w:type="pct"/>
            <w:gridSpan w:val="2"/>
            <w:tcBorders>
              <w:top w:val="single" w:sz="4" w:space="0" w:color="auto"/>
              <w:left w:val="single" w:sz="4" w:space="0" w:color="auto"/>
              <w:bottom w:val="single" w:sz="4" w:space="0" w:color="auto"/>
              <w:right w:val="single" w:sz="4" w:space="0" w:color="auto"/>
            </w:tcBorders>
            <w:shd w:val="clear" w:color="auto" w:fill="auto"/>
          </w:tcPr>
          <w:p w14:paraId="3AF604BC" w14:textId="50B961C6" w:rsidR="009C4BBB" w:rsidRPr="003D598A" w:rsidRDefault="009C4BBB" w:rsidP="009C4BBB">
            <w:pPr>
              <w:keepNext/>
              <w:keepLines/>
              <w:tabs>
                <w:tab w:val="left" w:pos="425"/>
              </w:tabs>
              <w:spacing w:after="0"/>
              <w:ind w:left="652" w:hanging="652"/>
              <w:rPr>
                <w:szCs w:val="20"/>
                <w:lang w:eastAsia="en-US"/>
              </w:rPr>
            </w:pPr>
            <w:r w:rsidRPr="003D598A">
              <w:rPr>
                <w:b/>
                <w:szCs w:val="20"/>
                <w:lang w:eastAsia="en-US"/>
              </w:rPr>
              <w:t>1 452–1 492</w:t>
            </w:r>
          </w:p>
          <w:p w14:paraId="0B207F9C"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FIXED</w:t>
            </w:r>
          </w:p>
          <w:p w14:paraId="78CC38F1"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MOBILE  343</w:t>
            </w:r>
          </w:p>
          <w:p w14:paraId="4DB17B5F"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BROADCASTING  345</w:t>
            </w:r>
          </w:p>
          <w:p w14:paraId="2CD6D53D"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BROADCASTING–SATELLITE  208B  345</w:t>
            </w:r>
          </w:p>
          <w:p w14:paraId="48BF43F3"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r>
          </w:p>
          <w:p w14:paraId="6C9EA35B"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r>
          </w:p>
          <w:p w14:paraId="1CEDD159" w14:textId="77777777" w:rsidR="009C4BBB" w:rsidRPr="003D598A" w:rsidRDefault="009C4BBB" w:rsidP="009C4BBB">
            <w:pPr>
              <w:keepNext/>
              <w:keepLines/>
              <w:tabs>
                <w:tab w:val="left" w:pos="425"/>
              </w:tabs>
              <w:spacing w:after="0"/>
              <w:ind w:left="652" w:hanging="652"/>
              <w:rPr>
                <w:szCs w:val="20"/>
                <w:lang w:eastAsia="en-US"/>
              </w:rPr>
            </w:pPr>
            <w:r w:rsidRPr="003D598A">
              <w:rPr>
                <w:szCs w:val="20"/>
                <w:lang w:eastAsia="en-US"/>
              </w:rPr>
              <w:tab/>
              <w:t>341  344</w:t>
            </w:r>
          </w:p>
        </w:tc>
        <w:tc>
          <w:tcPr>
            <w:tcW w:w="1289" w:type="pct"/>
            <w:tcBorders>
              <w:top w:val="single" w:sz="4" w:space="0" w:color="auto"/>
              <w:left w:val="single" w:sz="4" w:space="0" w:color="auto"/>
              <w:bottom w:val="single" w:sz="4" w:space="0" w:color="auto"/>
              <w:right w:val="single" w:sz="4" w:space="0" w:color="auto"/>
            </w:tcBorders>
            <w:shd w:val="clear" w:color="auto" w:fill="auto"/>
          </w:tcPr>
          <w:p w14:paraId="6A84FD66" w14:textId="664E33B2" w:rsidR="009C4BBB" w:rsidRPr="003D598A" w:rsidRDefault="009C4BBB" w:rsidP="009C4BBB">
            <w:pPr>
              <w:keepNext/>
              <w:keepLines/>
              <w:tabs>
                <w:tab w:val="left" w:pos="425"/>
              </w:tabs>
              <w:spacing w:after="0"/>
              <w:ind w:left="227" w:hanging="227"/>
              <w:rPr>
                <w:szCs w:val="20"/>
                <w:lang w:eastAsia="en-US"/>
              </w:rPr>
            </w:pPr>
            <w:r w:rsidRPr="003D598A">
              <w:rPr>
                <w:b/>
                <w:szCs w:val="20"/>
                <w:lang w:eastAsia="en-US"/>
              </w:rPr>
              <w:t>1 452–1 492</w:t>
            </w:r>
          </w:p>
          <w:p w14:paraId="0AFA297E"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BROADCASTING  345</w:t>
            </w:r>
          </w:p>
          <w:p w14:paraId="3A168EC8"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BROADCASTING–SATELLITE  208B  345</w:t>
            </w:r>
          </w:p>
          <w:p w14:paraId="0E70577D"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06D91F2B"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AUS3</w:t>
            </w:r>
          </w:p>
          <w:p w14:paraId="528D7668" w14:textId="77777777" w:rsidR="009C4BBB" w:rsidRPr="003D598A" w:rsidRDefault="009C4BBB" w:rsidP="009C4BBB">
            <w:pPr>
              <w:keepNext/>
              <w:keepLines/>
              <w:tabs>
                <w:tab w:val="left" w:pos="425"/>
              </w:tabs>
              <w:spacing w:after="0"/>
              <w:ind w:left="227" w:hanging="227"/>
              <w:rPr>
                <w:szCs w:val="20"/>
                <w:lang w:eastAsia="en-US"/>
              </w:rPr>
            </w:pPr>
          </w:p>
          <w:p w14:paraId="1804600E" w14:textId="77777777" w:rsidR="009C4BBB" w:rsidRPr="003D598A" w:rsidRDefault="009C4BBB" w:rsidP="009C4BBB">
            <w:pPr>
              <w:keepNext/>
              <w:keepLines/>
              <w:tabs>
                <w:tab w:val="left" w:pos="425"/>
              </w:tabs>
              <w:spacing w:after="0"/>
              <w:ind w:left="227" w:hanging="227"/>
              <w:rPr>
                <w:b/>
                <w:szCs w:val="20"/>
                <w:lang w:eastAsia="en-US"/>
              </w:rPr>
            </w:pPr>
            <w:r w:rsidRPr="003D598A">
              <w:rPr>
                <w:szCs w:val="20"/>
                <w:lang w:eastAsia="en-US"/>
              </w:rPr>
              <w:t>341  AUS87  AUS103</w:t>
            </w:r>
          </w:p>
        </w:tc>
      </w:tr>
      <w:tr w:rsidR="009C4BBB" w:rsidRPr="003D598A" w14:paraId="79A13960" w14:textId="77777777" w:rsidTr="009C4BBB">
        <w:tblPrEx>
          <w:tblCellMar>
            <w:left w:w="107" w:type="dxa"/>
            <w:right w:w="107" w:type="dxa"/>
          </w:tblCellMar>
        </w:tblPrEx>
        <w:trPr>
          <w:cantSplit/>
        </w:trPr>
        <w:tc>
          <w:tcPr>
            <w:tcW w:w="1296" w:type="pct"/>
            <w:tcBorders>
              <w:top w:val="single" w:sz="4" w:space="0" w:color="auto"/>
              <w:left w:val="single" w:sz="4" w:space="0" w:color="auto"/>
              <w:bottom w:val="single" w:sz="4" w:space="0" w:color="auto"/>
              <w:right w:val="single" w:sz="4" w:space="0" w:color="auto"/>
            </w:tcBorders>
            <w:shd w:val="clear" w:color="auto" w:fill="auto"/>
          </w:tcPr>
          <w:p w14:paraId="5ACEA2D1" w14:textId="729ADD77"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1 492–1 518</w:t>
            </w:r>
          </w:p>
          <w:p w14:paraId="444909A9"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41047B26"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except aeronautical mobile</w:t>
            </w:r>
          </w:p>
          <w:p w14:paraId="63F54A14"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341  342</w:t>
            </w:r>
          </w:p>
        </w:tc>
        <w:tc>
          <w:tcPr>
            <w:tcW w:w="1208" w:type="pct"/>
            <w:tcBorders>
              <w:top w:val="single" w:sz="4" w:space="0" w:color="auto"/>
              <w:left w:val="single" w:sz="4" w:space="0" w:color="auto"/>
              <w:bottom w:val="single" w:sz="4" w:space="0" w:color="auto"/>
              <w:right w:val="single" w:sz="4" w:space="0" w:color="auto"/>
            </w:tcBorders>
            <w:shd w:val="clear" w:color="auto" w:fill="auto"/>
          </w:tcPr>
          <w:p w14:paraId="5427C2F9" w14:textId="387C4A71"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1 492–1 518</w:t>
            </w:r>
          </w:p>
          <w:p w14:paraId="146F9EE7"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192FD298"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343</w:t>
            </w:r>
          </w:p>
          <w:p w14:paraId="5AAEE06B" w14:textId="77777777" w:rsidR="009C4BBB" w:rsidRPr="003D598A" w:rsidRDefault="009C4BBB" w:rsidP="009C4BBB">
            <w:pPr>
              <w:keepNext/>
              <w:keepLines/>
              <w:tabs>
                <w:tab w:val="left" w:pos="425"/>
              </w:tabs>
              <w:spacing w:after="0"/>
              <w:ind w:left="227" w:hanging="227"/>
              <w:rPr>
                <w:szCs w:val="20"/>
                <w:lang w:eastAsia="en-US"/>
              </w:rPr>
            </w:pPr>
          </w:p>
          <w:p w14:paraId="01E4427D"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341  344</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CD7722E" w14:textId="2F25C9D3"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1 492–1 518</w:t>
            </w:r>
          </w:p>
          <w:p w14:paraId="60440E1A"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2DDDDF8D"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w:t>
            </w:r>
          </w:p>
          <w:p w14:paraId="33D5F17A" w14:textId="77777777" w:rsidR="009C4BBB" w:rsidRPr="003D598A" w:rsidRDefault="009C4BBB" w:rsidP="009C4BBB">
            <w:pPr>
              <w:keepNext/>
              <w:keepLines/>
              <w:tabs>
                <w:tab w:val="left" w:pos="425"/>
              </w:tabs>
              <w:spacing w:after="0"/>
              <w:ind w:left="227" w:hanging="227"/>
              <w:rPr>
                <w:szCs w:val="20"/>
                <w:lang w:eastAsia="en-US"/>
              </w:rPr>
            </w:pPr>
          </w:p>
          <w:p w14:paraId="319D9336"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341</w:t>
            </w:r>
          </w:p>
        </w:tc>
        <w:tc>
          <w:tcPr>
            <w:tcW w:w="1289" w:type="pct"/>
            <w:tcBorders>
              <w:top w:val="single" w:sz="4" w:space="0" w:color="auto"/>
              <w:left w:val="single" w:sz="4" w:space="0" w:color="auto"/>
              <w:bottom w:val="single" w:sz="4" w:space="0" w:color="auto"/>
              <w:right w:val="single" w:sz="4" w:space="0" w:color="auto"/>
            </w:tcBorders>
            <w:shd w:val="clear" w:color="auto" w:fill="auto"/>
          </w:tcPr>
          <w:p w14:paraId="052559CF" w14:textId="7501BE20" w:rsidR="009C4BBB" w:rsidRPr="003D598A" w:rsidRDefault="009C4BBB" w:rsidP="009C4BBB">
            <w:pPr>
              <w:keepNext/>
              <w:keepLines/>
              <w:tabs>
                <w:tab w:val="left" w:pos="425"/>
              </w:tabs>
              <w:spacing w:after="0"/>
              <w:ind w:left="227" w:hanging="227"/>
              <w:rPr>
                <w:b/>
                <w:szCs w:val="20"/>
                <w:lang w:eastAsia="en-US"/>
              </w:rPr>
            </w:pPr>
            <w:r w:rsidRPr="003D598A">
              <w:rPr>
                <w:b/>
                <w:szCs w:val="20"/>
                <w:lang w:eastAsia="en-US"/>
              </w:rPr>
              <w:t>1 492–1 518</w:t>
            </w:r>
          </w:p>
          <w:p w14:paraId="04F30FDA"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FIXED</w:t>
            </w:r>
          </w:p>
          <w:p w14:paraId="7BB3D3C4" w14:textId="77777777" w:rsidR="009C4BBB" w:rsidRPr="003D598A" w:rsidRDefault="009C4BBB" w:rsidP="009C4BBB">
            <w:pPr>
              <w:keepNext/>
              <w:keepLines/>
              <w:tabs>
                <w:tab w:val="left" w:pos="425"/>
              </w:tabs>
              <w:spacing w:after="0"/>
              <w:ind w:left="227" w:hanging="227"/>
              <w:rPr>
                <w:szCs w:val="20"/>
                <w:lang w:eastAsia="en-US"/>
              </w:rPr>
            </w:pPr>
            <w:r w:rsidRPr="003D598A">
              <w:rPr>
                <w:szCs w:val="20"/>
                <w:lang w:eastAsia="en-US"/>
              </w:rPr>
              <w:t>MOBILE  AUS3</w:t>
            </w:r>
          </w:p>
          <w:p w14:paraId="3CD00189" w14:textId="77777777" w:rsidR="009C4BBB" w:rsidRPr="003D598A" w:rsidRDefault="009C4BBB" w:rsidP="009C4BBB">
            <w:pPr>
              <w:keepNext/>
              <w:keepLines/>
              <w:tabs>
                <w:tab w:val="left" w:pos="425"/>
              </w:tabs>
              <w:spacing w:after="0"/>
              <w:ind w:left="227" w:hanging="227"/>
              <w:rPr>
                <w:szCs w:val="20"/>
                <w:lang w:eastAsia="en-US"/>
              </w:rPr>
            </w:pPr>
          </w:p>
          <w:p w14:paraId="12D7BE03" w14:textId="77777777" w:rsidR="009C4BBB" w:rsidRPr="003D598A" w:rsidRDefault="009C4BBB" w:rsidP="009C4BBB">
            <w:pPr>
              <w:keepNext/>
              <w:keepLines/>
              <w:tabs>
                <w:tab w:val="left" w:pos="425"/>
              </w:tabs>
              <w:spacing w:after="0"/>
              <w:ind w:left="227" w:hanging="227"/>
              <w:rPr>
                <w:b/>
                <w:szCs w:val="20"/>
                <w:lang w:eastAsia="en-US"/>
              </w:rPr>
            </w:pPr>
            <w:r w:rsidRPr="003D598A">
              <w:rPr>
                <w:szCs w:val="20"/>
                <w:lang w:eastAsia="en-US"/>
              </w:rPr>
              <w:t>341  AUS87  AUS103</w:t>
            </w:r>
          </w:p>
        </w:tc>
      </w:tr>
    </w:tbl>
    <w:p w14:paraId="3923123C" w14:textId="77777777" w:rsidR="009C4BBB" w:rsidRPr="006D46E5" w:rsidRDefault="009C4BBB" w:rsidP="009C4BBB">
      <w:pPr>
        <w:rPr>
          <w:rFonts w:cs="Arial"/>
        </w:rPr>
      </w:pPr>
    </w:p>
    <w:p w14:paraId="7B464F17" w14:textId="7AE00C6C" w:rsidR="00BB354E" w:rsidRPr="00CA4A15" w:rsidRDefault="00BB354E" w:rsidP="00CA4A15">
      <w:pPr>
        <w:pStyle w:val="BodySubHeader"/>
      </w:pPr>
      <w:r w:rsidRPr="00CA4A15">
        <w:t>Asia</w:t>
      </w:r>
      <w:r w:rsidR="00102FA5">
        <w:t>–</w:t>
      </w:r>
      <w:r w:rsidRPr="00CA4A15">
        <w:t xml:space="preserve">Pacific </w:t>
      </w:r>
      <w:r w:rsidR="00102FA5">
        <w:t>r</w:t>
      </w:r>
      <w:r w:rsidRPr="00CA4A15">
        <w:t>egion</w:t>
      </w:r>
    </w:p>
    <w:p w14:paraId="53551705" w14:textId="30E174E9" w:rsidR="00BB354E" w:rsidRPr="00E05F0A" w:rsidRDefault="00BB354E" w:rsidP="00CA4A15">
      <w:r>
        <w:t>The 20</w:t>
      </w:r>
      <w:r>
        <w:rPr>
          <w:vertAlign w:val="superscript"/>
        </w:rPr>
        <w:t>th</w:t>
      </w:r>
      <w:r>
        <w:t xml:space="preserve"> meeting of the </w:t>
      </w:r>
      <w:r w:rsidRPr="00825760">
        <w:t>APT</w:t>
      </w:r>
      <w:r>
        <w:t xml:space="preserve"> Wireless Group (AWG) held in September 2016, developed a work plan to study arrangements in the 1427</w:t>
      </w:r>
      <w:r w:rsidR="006D26B4">
        <w:t>–</w:t>
      </w:r>
      <w:r>
        <w:t>1518 MHz band. A working document towards a draft new report was developed</w:t>
      </w:r>
      <w:r w:rsidR="006D26B4">
        <w:t>,</w:t>
      </w:r>
      <w:r>
        <w:t xml:space="preserve"> which included the current arrangements in Japan (</w:t>
      </w:r>
      <w:r w:rsidR="006D26B4">
        <w:t>that is,</w:t>
      </w:r>
      <w:r>
        <w:t xml:space="preserve"> 3GPP bands 11 and 21), a new </w:t>
      </w:r>
      <w:r w:rsidR="00825760">
        <w:t>FDD</w:t>
      </w:r>
      <w:r w:rsidRPr="00825760">
        <w:t xml:space="preserve"> arrangement</w:t>
      </w:r>
      <w:r>
        <w:t xml:space="preserve"> and a </w:t>
      </w:r>
      <w:r w:rsidRPr="006D26B4">
        <w:t>downlink</w:t>
      </w:r>
      <w:r w:rsidR="006D26B4">
        <w:t>-</w:t>
      </w:r>
      <w:r w:rsidRPr="006D26B4">
        <w:t>only</w:t>
      </w:r>
      <w:r>
        <w:t xml:space="preserve"> option. Further </w:t>
      </w:r>
      <w:r w:rsidRPr="00825760">
        <w:t>work will be undertaken at future meetings</w:t>
      </w:r>
      <w:r w:rsidR="006D26B4" w:rsidRPr="00825760">
        <w:t>,</w:t>
      </w:r>
      <w:r w:rsidRPr="00825760">
        <w:t xml:space="preserve"> depending on input contributions.</w:t>
      </w:r>
    </w:p>
    <w:p w14:paraId="3964C77B" w14:textId="77777777" w:rsidR="0088482C" w:rsidRPr="00CA4A15" w:rsidRDefault="0088482C" w:rsidP="00CA4A15">
      <w:pPr>
        <w:pStyle w:val="BodySubHeader"/>
      </w:pPr>
      <w:r w:rsidRPr="00CA4A15">
        <w:t>3GPP</w:t>
      </w:r>
    </w:p>
    <w:p w14:paraId="1A50B36A" w14:textId="654E852E" w:rsidR="009004DD" w:rsidRPr="00CA4A15" w:rsidRDefault="009004DD" w:rsidP="009004DD">
      <w:r>
        <w:t>Part of the 1</w:t>
      </w:r>
      <w:r w:rsidRPr="00E05F0A">
        <w:t xml:space="preserve">.5 GHz band </w:t>
      </w:r>
      <w:r>
        <w:t>ha</w:t>
      </w:r>
      <w:r w:rsidR="0015590C">
        <w:t>s</w:t>
      </w:r>
      <w:r>
        <w:t xml:space="preserve"> been included in standards developed </w:t>
      </w:r>
      <w:r w:rsidRPr="00E05F0A">
        <w:t xml:space="preserve">by the </w:t>
      </w:r>
      <w:hyperlink r:id="rId44" w:history="1">
        <w:r w:rsidRPr="00E05F0A">
          <w:rPr>
            <w:rStyle w:val="Hyperlink"/>
            <w:rFonts w:cs="Arial"/>
          </w:rPr>
          <w:t>Third Generation Partnership Project</w:t>
        </w:r>
      </w:hyperlink>
      <w:r w:rsidRPr="00E05F0A">
        <w:t xml:space="preserve"> (3GPP</w:t>
      </w:r>
      <w:r w:rsidR="00534FC4">
        <w:t xml:space="preserve">) </w:t>
      </w:r>
      <w:r>
        <w:t xml:space="preserve">as shown in </w:t>
      </w:r>
      <w:r w:rsidR="00A24056">
        <w:t>Table 4</w:t>
      </w:r>
      <w:r w:rsidRPr="00E05F0A">
        <w:t xml:space="preserve">. </w:t>
      </w:r>
      <w:r w:rsidR="00534FC4" w:rsidRPr="00E05F0A">
        <w:t xml:space="preserve">The 1427.9–1462.9 MHz and 1475.9–1510.9 MHz </w:t>
      </w:r>
      <w:r w:rsidR="00534FC4">
        <w:t>frequency ranges (</w:t>
      </w:r>
      <w:r w:rsidRPr="00E05F0A">
        <w:t>bands 11 and 21</w:t>
      </w:r>
      <w:r w:rsidR="00534FC4">
        <w:t>)</w:t>
      </w:r>
      <w:r w:rsidRPr="00E05F0A">
        <w:t xml:space="preserve"> are standardised for </w:t>
      </w:r>
      <w:r w:rsidRPr="00825760">
        <w:t>LTE.</w:t>
      </w:r>
      <w:r w:rsidRPr="00E05F0A">
        <w:t xml:space="preserve"> </w:t>
      </w:r>
      <w:r w:rsidR="00534FC4">
        <w:t>The 1452</w:t>
      </w:r>
      <w:r w:rsidR="00534FC4" w:rsidRPr="00E05F0A">
        <w:t>–</w:t>
      </w:r>
      <w:r w:rsidR="00534FC4">
        <w:t>1496</w:t>
      </w:r>
      <w:r w:rsidR="00534FC4" w:rsidRPr="00E05F0A">
        <w:t> MHz</w:t>
      </w:r>
      <w:r w:rsidR="00534FC4">
        <w:t xml:space="preserve"> frequency range (band 32) is also identified as a downlink</w:t>
      </w:r>
      <w:r w:rsidR="006D26B4">
        <w:t>-</w:t>
      </w:r>
      <w:r w:rsidR="00534FC4">
        <w:t xml:space="preserve">only operating band for LTE for use when carrier aggregation is configured. The </w:t>
      </w:r>
      <w:r w:rsidR="00534FC4" w:rsidRPr="00E05F0A">
        <w:t>1447–146</w:t>
      </w:r>
      <w:r w:rsidR="00534FC4">
        <w:t>7</w:t>
      </w:r>
      <w:r w:rsidR="00534FC4" w:rsidRPr="00E05F0A">
        <w:t> MHz</w:t>
      </w:r>
      <w:r w:rsidR="00534FC4">
        <w:t xml:space="preserve"> frequency range (band 45) is identified as a TDD operating band for LTE.</w:t>
      </w:r>
    </w:p>
    <w:p w14:paraId="24FFB197" w14:textId="5A9DABFE" w:rsidR="009004DD" w:rsidRPr="006A2730" w:rsidRDefault="009004DD" w:rsidP="00E03708">
      <w:pPr>
        <w:pStyle w:val="ACMATableHeader"/>
        <w:keepNext/>
        <w:keepLines/>
      </w:pPr>
      <w:r w:rsidRPr="00E05F0A">
        <w:t xml:space="preserve">3GPP frequency bands for </w:t>
      </w:r>
      <w:r w:rsidR="0007457B">
        <w:t>the 1.5 GHz band</w:t>
      </w:r>
    </w:p>
    <w:tbl>
      <w:tblPr>
        <w:tblW w:w="9358" w:type="dxa"/>
        <w:tblLayout w:type="fixed"/>
        <w:tblCellMar>
          <w:left w:w="0" w:type="dxa"/>
          <w:right w:w="0" w:type="dxa"/>
        </w:tblCellMar>
        <w:tblLook w:val="01E0" w:firstRow="1" w:lastRow="1" w:firstColumn="1" w:lastColumn="1" w:noHBand="0" w:noVBand="0"/>
      </w:tblPr>
      <w:tblGrid>
        <w:gridCol w:w="9358"/>
      </w:tblGrid>
      <w:tr w:rsidR="009004DD" w:rsidRPr="00E05F0A" w14:paraId="6349F7EC" w14:textId="77777777" w:rsidTr="00534FC4">
        <w:trPr>
          <w:trHeight w:val="1026"/>
        </w:trPr>
        <w:tc>
          <w:tcPr>
            <w:tcW w:w="9358" w:type="dxa"/>
            <w:shd w:val="clear" w:color="auto" w:fill="auto"/>
            <w:tcMar>
              <w:left w:w="2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1E0" w:firstRow="1" w:lastRow="1" w:firstColumn="1" w:lastColumn="1" w:noHBand="0" w:noVBand="0"/>
            </w:tblPr>
            <w:tblGrid>
              <w:gridCol w:w="1068"/>
              <w:gridCol w:w="3369"/>
              <w:gridCol w:w="3369"/>
              <w:gridCol w:w="1375"/>
            </w:tblGrid>
            <w:tr w:rsidR="00FB3D77" w:rsidRPr="00E05F0A" w14:paraId="03841A7C" w14:textId="77777777" w:rsidTr="00E03708">
              <w:trPr>
                <w:trHeight w:val="697"/>
              </w:trPr>
              <w:tc>
                <w:tcPr>
                  <w:tcW w:w="1068" w:type="dxa"/>
                  <w:shd w:val="clear" w:color="auto" w:fill="404040" w:themeFill="text1" w:themeFillTint="BF"/>
                  <w:tcMar>
                    <w:top w:w="57" w:type="dxa"/>
                    <w:left w:w="57" w:type="dxa"/>
                    <w:bottom w:w="57" w:type="dxa"/>
                    <w:right w:w="57" w:type="dxa"/>
                  </w:tcMar>
                </w:tcPr>
                <w:p w14:paraId="7165469A" w14:textId="77777777" w:rsidR="00FB3D77" w:rsidRPr="006D6661" w:rsidRDefault="00FB3D77" w:rsidP="006D6661">
                  <w:pPr>
                    <w:pStyle w:val="TableHeading"/>
                    <w:keepNext/>
                    <w:keepLines/>
                    <w:rPr>
                      <w:color w:val="FFFFFF" w:themeColor="background1"/>
                    </w:rPr>
                  </w:pPr>
                  <w:r w:rsidRPr="006D6661">
                    <w:rPr>
                      <w:color w:val="FFFFFF" w:themeColor="background1"/>
                    </w:rPr>
                    <w:t>E</w:t>
                  </w:r>
                  <w:r w:rsidRPr="006D6661">
                    <w:rPr>
                      <w:color w:val="FFFFFF" w:themeColor="background1"/>
                    </w:rPr>
                    <w:noBreakHyphen/>
                    <w:t>UTRA operating band</w:t>
                  </w:r>
                </w:p>
              </w:tc>
              <w:tc>
                <w:tcPr>
                  <w:tcW w:w="3369" w:type="dxa"/>
                  <w:shd w:val="clear" w:color="auto" w:fill="404040" w:themeFill="text1" w:themeFillTint="BF"/>
                  <w:tcMar>
                    <w:top w:w="57" w:type="dxa"/>
                    <w:left w:w="57" w:type="dxa"/>
                    <w:bottom w:w="57" w:type="dxa"/>
                    <w:right w:w="57" w:type="dxa"/>
                  </w:tcMar>
                </w:tcPr>
                <w:p w14:paraId="5552685F" w14:textId="105816BF" w:rsidR="00FB3D77" w:rsidRPr="006D6661" w:rsidRDefault="00FB3D77" w:rsidP="006D6661">
                  <w:pPr>
                    <w:pStyle w:val="TableHeading"/>
                    <w:keepNext/>
                    <w:keepLines/>
                    <w:rPr>
                      <w:color w:val="FFFFFF" w:themeColor="background1"/>
                    </w:rPr>
                  </w:pPr>
                  <w:r w:rsidRPr="006D6661">
                    <w:rPr>
                      <w:color w:val="FFFFFF" w:themeColor="background1"/>
                    </w:rPr>
                    <w:t>Uplink (UL) operating band</w:t>
                  </w:r>
                  <w:r w:rsidRPr="006D6661">
                    <w:rPr>
                      <w:color w:val="FFFFFF" w:themeColor="background1"/>
                    </w:rPr>
                    <w:br/>
                    <w:t>BS receive</w:t>
                  </w:r>
                  <w:r w:rsidRPr="006D6661">
                    <w:rPr>
                      <w:color w:val="FFFFFF" w:themeColor="background1"/>
                    </w:rPr>
                    <w:br/>
                    <w:t>UE transmit</w:t>
                  </w:r>
                </w:p>
              </w:tc>
              <w:tc>
                <w:tcPr>
                  <w:tcW w:w="3369" w:type="dxa"/>
                  <w:shd w:val="clear" w:color="auto" w:fill="404040" w:themeFill="text1" w:themeFillTint="BF"/>
                  <w:tcMar>
                    <w:top w:w="57" w:type="dxa"/>
                    <w:left w:w="57" w:type="dxa"/>
                    <w:bottom w:w="57" w:type="dxa"/>
                    <w:right w:w="57" w:type="dxa"/>
                  </w:tcMar>
                </w:tcPr>
                <w:p w14:paraId="557AEA0A" w14:textId="1E6D597B" w:rsidR="00FB3D77" w:rsidRPr="006D6661" w:rsidRDefault="00FB3D77" w:rsidP="006D6661">
                  <w:pPr>
                    <w:pStyle w:val="TableHeading"/>
                    <w:keepNext/>
                    <w:keepLines/>
                    <w:rPr>
                      <w:color w:val="FFFFFF" w:themeColor="background1"/>
                    </w:rPr>
                  </w:pPr>
                  <w:r w:rsidRPr="006D6661">
                    <w:rPr>
                      <w:color w:val="FFFFFF" w:themeColor="background1"/>
                    </w:rPr>
                    <w:t>Downlink (DL) operating band</w:t>
                  </w:r>
                  <w:r w:rsidRPr="006D6661">
                    <w:rPr>
                      <w:color w:val="FFFFFF" w:themeColor="background1"/>
                    </w:rPr>
                    <w:br/>
                    <w:t xml:space="preserve">BS transmit </w:t>
                  </w:r>
                  <w:r w:rsidRPr="006D6661">
                    <w:rPr>
                      <w:color w:val="FFFFFF" w:themeColor="background1"/>
                    </w:rPr>
                    <w:br/>
                    <w:t>UE receive</w:t>
                  </w:r>
                </w:p>
              </w:tc>
              <w:tc>
                <w:tcPr>
                  <w:tcW w:w="1375" w:type="dxa"/>
                  <w:shd w:val="clear" w:color="auto" w:fill="404040" w:themeFill="text1" w:themeFillTint="BF"/>
                  <w:tcMar>
                    <w:top w:w="57" w:type="dxa"/>
                    <w:left w:w="57" w:type="dxa"/>
                    <w:bottom w:w="57" w:type="dxa"/>
                    <w:right w:w="57" w:type="dxa"/>
                  </w:tcMar>
                </w:tcPr>
                <w:p w14:paraId="67716031" w14:textId="77777777" w:rsidR="00FB3D77" w:rsidRPr="006D6661" w:rsidRDefault="00FB3D77" w:rsidP="006D6661">
                  <w:pPr>
                    <w:pStyle w:val="TableHeading"/>
                    <w:keepNext/>
                    <w:keepLines/>
                    <w:rPr>
                      <w:color w:val="FFFFFF" w:themeColor="background1"/>
                    </w:rPr>
                  </w:pPr>
                  <w:r w:rsidRPr="006D6661">
                    <w:rPr>
                      <w:color w:val="FFFFFF" w:themeColor="background1"/>
                    </w:rPr>
                    <w:t>Duplex mode</w:t>
                  </w:r>
                </w:p>
              </w:tc>
            </w:tr>
            <w:tr w:rsidR="009004DD" w:rsidRPr="00E05F0A" w14:paraId="2AEE50A4" w14:textId="77777777" w:rsidTr="00E03708">
              <w:trPr>
                <w:trHeight w:val="185"/>
              </w:trPr>
              <w:tc>
                <w:tcPr>
                  <w:tcW w:w="1068" w:type="dxa"/>
                  <w:shd w:val="clear" w:color="auto" w:fill="auto"/>
                  <w:tcMar>
                    <w:top w:w="57" w:type="dxa"/>
                    <w:left w:w="57" w:type="dxa"/>
                    <w:bottom w:w="57" w:type="dxa"/>
                    <w:right w:w="57" w:type="dxa"/>
                  </w:tcMar>
                </w:tcPr>
                <w:p w14:paraId="6B1EE3B0" w14:textId="77777777" w:rsidR="009004DD" w:rsidRPr="00E05F0A" w:rsidRDefault="009004DD" w:rsidP="00E03708">
                  <w:pPr>
                    <w:keepNext/>
                    <w:keepLines/>
                    <w:spacing w:after="0"/>
                    <w:rPr>
                      <w:rFonts w:cs="Arial"/>
                    </w:rPr>
                  </w:pPr>
                  <w:r w:rsidRPr="00E05F0A">
                    <w:rPr>
                      <w:rFonts w:cs="Arial"/>
                    </w:rPr>
                    <w:t>11</w:t>
                  </w:r>
                </w:p>
              </w:tc>
              <w:tc>
                <w:tcPr>
                  <w:tcW w:w="3369" w:type="dxa"/>
                  <w:shd w:val="clear" w:color="auto" w:fill="auto"/>
                  <w:tcMar>
                    <w:top w:w="57" w:type="dxa"/>
                    <w:left w:w="57" w:type="dxa"/>
                    <w:bottom w:w="57" w:type="dxa"/>
                    <w:right w:w="57" w:type="dxa"/>
                  </w:tcMar>
                </w:tcPr>
                <w:p w14:paraId="1B11C828" w14:textId="640E9115" w:rsidR="009004DD" w:rsidRPr="00E05F0A" w:rsidRDefault="009004DD" w:rsidP="00E03708">
                  <w:pPr>
                    <w:keepNext/>
                    <w:keepLines/>
                    <w:spacing w:after="0"/>
                    <w:rPr>
                      <w:rFonts w:cs="Arial"/>
                    </w:rPr>
                  </w:pPr>
                  <w:r w:rsidRPr="00E05F0A">
                    <w:rPr>
                      <w:rFonts w:cs="Arial"/>
                    </w:rPr>
                    <w:t>1427.9</w:t>
                  </w:r>
                  <w:r w:rsidR="006D26B4">
                    <w:rPr>
                      <w:rFonts w:cs="Arial"/>
                    </w:rPr>
                    <w:t>–</w:t>
                  </w:r>
                  <w:r w:rsidRPr="00E05F0A">
                    <w:rPr>
                      <w:rFonts w:cs="Arial"/>
                    </w:rPr>
                    <w:t>1447.9 MHz</w:t>
                  </w:r>
                </w:p>
              </w:tc>
              <w:tc>
                <w:tcPr>
                  <w:tcW w:w="3369" w:type="dxa"/>
                  <w:shd w:val="clear" w:color="auto" w:fill="auto"/>
                  <w:tcMar>
                    <w:top w:w="57" w:type="dxa"/>
                    <w:left w:w="57" w:type="dxa"/>
                    <w:bottom w:w="57" w:type="dxa"/>
                    <w:right w:w="57" w:type="dxa"/>
                  </w:tcMar>
                </w:tcPr>
                <w:p w14:paraId="14386BB1" w14:textId="1DE0C4D2" w:rsidR="009004DD" w:rsidRPr="00E05F0A" w:rsidRDefault="009004DD" w:rsidP="00E03708">
                  <w:pPr>
                    <w:keepNext/>
                    <w:keepLines/>
                    <w:spacing w:after="0"/>
                    <w:rPr>
                      <w:rFonts w:cs="Arial"/>
                    </w:rPr>
                  </w:pPr>
                  <w:r w:rsidRPr="00E05F0A">
                    <w:rPr>
                      <w:rFonts w:cs="Arial"/>
                    </w:rPr>
                    <w:t>1475.9 MHz</w:t>
                  </w:r>
                  <w:r w:rsidR="006D26B4">
                    <w:rPr>
                      <w:rFonts w:cs="Arial"/>
                    </w:rPr>
                    <w:t>–</w:t>
                  </w:r>
                  <w:r w:rsidRPr="00E05F0A">
                    <w:rPr>
                      <w:rFonts w:cs="Arial"/>
                    </w:rPr>
                    <w:t>1495.9 MHz</w:t>
                  </w:r>
                </w:p>
              </w:tc>
              <w:tc>
                <w:tcPr>
                  <w:tcW w:w="1375" w:type="dxa"/>
                  <w:shd w:val="clear" w:color="auto" w:fill="auto"/>
                  <w:tcMar>
                    <w:top w:w="57" w:type="dxa"/>
                    <w:left w:w="57" w:type="dxa"/>
                    <w:bottom w:w="57" w:type="dxa"/>
                    <w:right w:w="57" w:type="dxa"/>
                  </w:tcMar>
                </w:tcPr>
                <w:p w14:paraId="538831E0" w14:textId="77777777" w:rsidR="009004DD" w:rsidRPr="00E05F0A" w:rsidRDefault="009004DD" w:rsidP="00E03708">
                  <w:pPr>
                    <w:keepNext/>
                    <w:keepLines/>
                    <w:spacing w:after="0"/>
                    <w:rPr>
                      <w:rFonts w:cs="Arial"/>
                    </w:rPr>
                  </w:pPr>
                  <w:r w:rsidRPr="00E05F0A">
                    <w:rPr>
                      <w:rFonts w:cs="Arial"/>
                    </w:rPr>
                    <w:t>FDD</w:t>
                  </w:r>
                </w:p>
              </w:tc>
            </w:tr>
            <w:tr w:rsidR="009004DD" w:rsidRPr="00E05F0A" w14:paraId="6BC9976C" w14:textId="77777777" w:rsidTr="00E03708">
              <w:trPr>
                <w:trHeight w:val="185"/>
              </w:trPr>
              <w:tc>
                <w:tcPr>
                  <w:tcW w:w="1068" w:type="dxa"/>
                  <w:shd w:val="clear" w:color="auto" w:fill="F2F2F2" w:themeFill="background1" w:themeFillShade="F2"/>
                  <w:tcMar>
                    <w:top w:w="57" w:type="dxa"/>
                    <w:left w:w="57" w:type="dxa"/>
                    <w:bottom w:w="57" w:type="dxa"/>
                    <w:right w:w="57" w:type="dxa"/>
                  </w:tcMar>
                </w:tcPr>
                <w:p w14:paraId="13987D7F" w14:textId="77777777" w:rsidR="009004DD" w:rsidRPr="00E05F0A" w:rsidRDefault="009004DD" w:rsidP="00E03708">
                  <w:pPr>
                    <w:keepNext/>
                    <w:keepLines/>
                    <w:spacing w:after="0"/>
                    <w:rPr>
                      <w:rFonts w:cs="Arial"/>
                    </w:rPr>
                  </w:pPr>
                  <w:r w:rsidRPr="00E05F0A">
                    <w:rPr>
                      <w:rFonts w:cs="Arial"/>
                    </w:rPr>
                    <w:t>21</w:t>
                  </w:r>
                </w:p>
              </w:tc>
              <w:tc>
                <w:tcPr>
                  <w:tcW w:w="3369" w:type="dxa"/>
                  <w:shd w:val="clear" w:color="auto" w:fill="F2F2F2" w:themeFill="background1" w:themeFillShade="F2"/>
                  <w:tcMar>
                    <w:top w:w="57" w:type="dxa"/>
                    <w:left w:w="57" w:type="dxa"/>
                    <w:bottom w:w="57" w:type="dxa"/>
                    <w:right w:w="57" w:type="dxa"/>
                  </w:tcMar>
                </w:tcPr>
                <w:p w14:paraId="5C13236A" w14:textId="52EB7F3C" w:rsidR="009004DD" w:rsidRPr="00E05F0A" w:rsidRDefault="009004DD" w:rsidP="00E03708">
                  <w:pPr>
                    <w:keepNext/>
                    <w:keepLines/>
                    <w:spacing w:after="0"/>
                    <w:rPr>
                      <w:rFonts w:cs="Arial"/>
                    </w:rPr>
                  </w:pPr>
                  <w:r w:rsidRPr="00E05F0A">
                    <w:rPr>
                      <w:rFonts w:cs="Arial"/>
                    </w:rPr>
                    <w:t>1447.9</w:t>
                  </w:r>
                  <w:r w:rsidR="006D26B4">
                    <w:rPr>
                      <w:rFonts w:cs="Arial"/>
                    </w:rPr>
                    <w:t>–</w:t>
                  </w:r>
                  <w:r w:rsidRPr="00E05F0A">
                    <w:rPr>
                      <w:rFonts w:cs="Arial"/>
                    </w:rPr>
                    <w:t>1462.9 MHz</w:t>
                  </w:r>
                </w:p>
              </w:tc>
              <w:tc>
                <w:tcPr>
                  <w:tcW w:w="3369" w:type="dxa"/>
                  <w:shd w:val="clear" w:color="auto" w:fill="F2F2F2" w:themeFill="background1" w:themeFillShade="F2"/>
                  <w:tcMar>
                    <w:top w:w="57" w:type="dxa"/>
                    <w:left w:w="57" w:type="dxa"/>
                    <w:bottom w:w="57" w:type="dxa"/>
                    <w:right w:w="57" w:type="dxa"/>
                  </w:tcMar>
                </w:tcPr>
                <w:p w14:paraId="65426EC6" w14:textId="2F7CFD8F" w:rsidR="009004DD" w:rsidRPr="00E05F0A" w:rsidRDefault="009004DD" w:rsidP="00E03708">
                  <w:pPr>
                    <w:keepNext/>
                    <w:keepLines/>
                    <w:spacing w:after="0"/>
                    <w:rPr>
                      <w:rFonts w:cs="Arial"/>
                    </w:rPr>
                  </w:pPr>
                  <w:r w:rsidRPr="00E05F0A">
                    <w:rPr>
                      <w:rFonts w:cs="Arial"/>
                    </w:rPr>
                    <w:t>1495.9</w:t>
                  </w:r>
                  <w:r w:rsidR="006D26B4">
                    <w:rPr>
                      <w:rFonts w:cs="Arial"/>
                    </w:rPr>
                    <w:t>–</w:t>
                  </w:r>
                  <w:r w:rsidRPr="00E05F0A">
                    <w:rPr>
                      <w:rFonts w:cs="Arial"/>
                    </w:rPr>
                    <w:t>1510.9 MHz</w:t>
                  </w:r>
                </w:p>
              </w:tc>
              <w:tc>
                <w:tcPr>
                  <w:tcW w:w="1375" w:type="dxa"/>
                  <w:shd w:val="clear" w:color="auto" w:fill="F2F2F2" w:themeFill="background1" w:themeFillShade="F2"/>
                  <w:tcMar>
                    <w:top w:w="57" w:type="dxa"/>
                    <w:left w:w="57" w:type="dxa"/>
                    <w:bottom w:w="57" w:type="dxa"/>
                    <w:right w:w="57" w:type="dxa"/>
                  </w:tcMar>
                </w:tcPr>
                <w:p w14:paraId="40A096E5" w14:textId="77777777" w:rsidR="009004DD" w:rsidRPr="00E05F0A" w:rsidRDefault="009004DD" w:rsidP="00E03708">
                  <w:pPr>
                    <w:keepNext/>
                    <w:keepLines/>
                    <w:spacing w:after="0"/>
                    <w:rPr>
                      <w:rFonts w:cs="Arial"/>
                    </w:rPr>
                  </w:pPr>
                  <w:r w:rsidRPr="00E05F0A">
                    <w:rPr>
                      <w:rFonts w:cs="Arial"/>
                    </w:rPr>
                    <w:t>FDD</w:t>
                  </w:r>
                </w:p>
              </w:tc>
            </w:tr>
            <w:tr w:rsidR="009004DD" w:rsidRPr="00E05F0A" w14:paraId="472828FE" w14:textId="77777777" w:rsidTr="00E03708">
              <w:trPr>
                <w:trHeight w:val="185"/>
              </w:trPr>
              <w:tc>
                <w:tcPr>
                  <w:tcW w:w="1068" w:type="dxa"/>
                  <w:shd w:val="clear" w:color="auto" w:fill="auto"/>
                  <w:tcMar>
                    <w:top w:w="57" w:type="dxa"/>
                    <w:left w:w="57" w:type="dxa"/>
                    <w:bottom w:w="57" w:type="dxa"/>
                    <w:right w:w="57" w:type="dxa"/>
                  </w:tcMar>
                </w:tcPr>
                <w:p w14:paraId="21041249" w14:textId="39A8C4A5" w:rsidR="009004DD" w:rsidRPr="00E05F0A" w:rsidRDefault="009004DD" w:rsidP="00E03708">
                  <w:pPr>
                    <w:keepNext/>
                    <w:keepLines/>
                    <w:spacing w:after="0"/>
                    <w:rPr>
                      <w:rFonts w:cs="Arial"/>
                    </w:rPr>
                  </w:pPr>
                  <w:r>
                    <w:rPr>
                      <w:rFonts w:cs="Arial"/>
                    </w:rPr>
                    <w:t>32</w:t>
                  </w:r>
                </w:p>
              </w:tc>
              <w:tc>
                <w:tcPr>
                  <w:tcW w:w="3369" w:type="dxa"/>
                  <w:shd w:val="clear" w:color="auto" w:fill="auto"/>
                  <w:tcMar>
                    <w:top w:w="57" w:type="dxa"/>
                    <w:left w:w="57" w:type="dxa"/>
                    <w:bottom w:w="57" w:type="dxa"/>
                    <w:right w:w="57" w:type="dxa"/>
                  </w:tcMar>
                </w:tcPr>
                <w:p w14:paraId="343E33B1" w14:textId="1A8CBFFE" w:rsidR="009004DD" w:rsidRPr="00E05F0A" w:rsidRDefault="009004DD" w:rsidP="00E03708">
                  <w:pPr>
                    <w:keepNext/>
                    <w:keepLines/>
                    <w:spacing w:after="0"/>
                    <w:rPr>
                      <w:rFonts w:cs="Arial"/>
                    </w:rPr>
                  </w:pPr>
                  <w:r>
                    <w:rPr>
                      <w:rFonts w:cs="Arial"/>
                    </w:rPr>
                    <w:t>N/A</w:t>
                  </w:r>
                </w:p>
              </w:tc>
              <w:tc>
                <w:tcPr>
                  <w:tcW w:w="3369" w:type="dxa"/>
                  <w:shd w:val="clear" w:color="auto" w:fill="auto"/>
                  <w:tcMar>
                    <w:top w:w="57" w:type="dxa"/>
                    <w:left w:w="57" w:type="dxa"/>
                    <w:bottom w:w="57" w:type="dxa"/>
                    <w:right w:w="57" w:type="dxa"/>
                  </w:tcMar>
                </w:tcPr>
                <w:p w14:paraId="5151D77B" w14:textId="69182BD7" w:rsidR="009004DD" w:rsidRPr="00E05F0A" w:rsidRDefault="009004DD" w:rsidP="00E03708">
                  <w:pPr>
                    <w:keepNext/>
                    <w:keepLines/>
                    <w:spacing w:after="0"/>
                    <w:rPr>
                      <w:rFonts w:cs="Arial"/>
                    </w:rPr>
                  </w:pPr>
                  <w:r>
                    <w:rPr>
                      <w:rFonts w:cs="Arial"/>
                    </w:rPr>
                    <w:t>1452</w:t>
                  </w:r>
                  <w:r w:rsidR="006D26B4">
                    <w:rPr>
                      <w:rFonts w:cs="Arial"/>
                    </w:rPr>
                    <w:t>–</w:t>
                  </w:r>
                  <w:r>
                    <w:rPr>
                      <w:rFonts w:cs="Arial"/>
                    </w:rPr>
                    <w:t>1496</w:t>
                  </w:r>
                  <w:r w:rsidRPr="00E05F0A">
                    <w:rPr>
                      <w:rFonts w:cs="Arial"/>
                    </w:rPr>
                    <w:t> MHz</w:t>
                  </w:r>
                </w:p>
              </w:tc>
              <w:tc>
                <w:tcPr>
                  <w:tcW w:w="1375" w:type="dxa"/>
                  <w:shd w:val="clear" w:color="auto" w:fill="auto"/>
                  <w:tcMar>
                    <w:top w:w="57" w:type="dxa"/>
                    <w:left w:w="57" w:type="dxa"/>
                    <w:bottom w:w="57" w:type="dxa"/>
                    <w:right w:w="57" w:type="dxa"/>
                  </w:tcMar>
                </w:tcPr>
                <w:p w14:paraId="4BC45CC7" w14:textId="48BC686F" w:rsidR="009004DD" w:rsidRPr="00E05F0A" w:rsidRDefault="009004DD" w:rsidP="00E03708">
                  <w:pPr>
                    <w:keepNext/>
                    <w:keepLines/>
                    <w:spacing w:after="0"/>
                    <w:rPr>
                      <w:rFonts w:cs="Arial"/>
                    </w:rPr>
                  </w:pPr>
                  <w:r>
                    <w:rPr>
                      <w:rFonts w:cs="Arial"/>
                    </w:rPr>
                    <w:t>FDD*</w:t>
                  </w:r>
                </w:p>
              </w:tc>
            </w:tr>
            <w:tr w:rsidR="00534FC4" w:rsidRPr="00E05F0A" w14:paraId="77775FF2" w14:textId="77777777" w:rsidTr="00E03708">
              <w:trPr>
                <w:trHeight w:val="185"/>
              </w:trPr>
              <w:tc>
                <w:tcPr>
                  <w:tcW w:w="1068" w:type="dxa"/>
                  <w:shd w:val="clear" w:color="auto" w:fill="F2F2F2" w:themeFill="background1" w:themeFillShade="F2"/>
                  <w:tcMar>
                    <w:top w:w="57" w:type="dxa"/>
                    <w:left w:w="57" w:type="dxa"/>
                    <w:bottom w:w="57" w:type="dxa"/>
                    <w:right w:w="57" w:type="dxa"/>
                  </w:tcMar>
                </w:tcPr>
                <w:p w14:paraId="5A30126E" w14:textId="4CC9CFA9" w:rsidR="00534FC4" w:rsidRPr="00E05F0A" w:rsidRDefault="00534FC4" w:rsidP="00E03708">
                  <w:pPr>
                    <w:keepNext/>
                    <w:keepLines/>
                    <w:spacing w:after="0"/>
                    <w:rPr>
                      <w:rFonts w:cs="Arial"/>
                    </w:rPr>
                  </w:pPr>
                  <w:r w:rsidRPr="004B2890">
                    <w:rPr>
                      <w:rFonts w:cs="Arial" w:hint="eastAsia"/>
                    </w:rPr>
                    <w:t>45</w:t>
                  </w:r>
                </w:p>
              </w:tc>
              <w:tc>
                <w:tcPr>
                  <w:tcW w:w="3369" w:type="dxa"/>
                  <w:shd w:val="clear" w:color="auto" w:fill="F2F2F2" w:themeFill="background1" w:themeFillShade="F2"/>
                  <w:tcMar>
                    <w:top w:w="57" w:type="dxa"/>
                    <w:left w:w="57" w:type="dxa"/>
                    <w:bottom w:w="57" w:type="dxa"/>
                    <w:right w:w="57" w:type="dxa"/>
                  </w:tcMar>
                </w:tcPr>
                <w:p w14:paraId="013FE666" w14:textId="5F56CF97" w:rsidR="00534FC4" w:rsidRPr="00E05F0A" w:rsidRDefault="00534FC4" w:rsidP="00E03708">
                  <w:pPr>
                    <w:keepNext/>
                    <w:keepLines/>
                    <w:spacing w:after="0"/>
                    <w:rPr>
                      <w:rFonts w:cs="Arial"/>
                    </w:rPr>
                  </w:pPr>
                  <w:r w:rsidRPr="00E05F0A">
                    <w:rPr>
                      <w:rFonts w:cs="Arial"/>
                    </w:rPr>
                    <w:t>1447</w:t>
                  </w:r>
                  <w:r w:rsidR="006D26B4">
                    <w:rPr>
                      <w:rFonts w:cs="Arial"/>
                    </w:rPr>
                    <w:t>–</w:t>
                  </w:r>
                  <w:r w:rsidRPr="00E05F0A">
                    <w:rPr>
                      <w:rFonts w:cs="Arial"/>
                    </w:rPr>
                    <w:t>146</w:t>
                  </w:r>
                  <w:r>
                    <w:rPr>
                      <w:rFonts w:cs="Arial"/>
                    </w:rPr>
                    <w:t>7</w:t>
                  </w:r>
                  <w:r w:rsidRPr="00E05F0A">
                    <w:rPr>
                      <w:rFonts w:cs="Arial"/>
                    </w:rPr>
                    <w:t> MHz</w:t>
                  </w:r>
                </w:p>
              </w:tc>
              <w:tc>
                <w:tcPr>
                  <w:tcW w:w="3369" w:type="dxa"/>
                  <w:shd w:val="clear" w:color="auto" w:fill="F2F2F2" w:themeFill="background1" w:themeFillShade="F2"/>
                  <w:tcMar>
                    <w:top w:w="57" w:type="dxa"/>
                    <w:left w:w="57" w:type="dxa"/>
                    <w:bottom w:w="57" w:type="dxa"/>
                    <w:right w:w="57" w:type="dxa"/>
                  </w:tcMar>
                </w:tcPr>
                <w:p w14:paraId="0B7681C4" w14:textId="2066B0B2" w:rsidR="00534FC4" w:rsidRPr="00E05F0A" w:rsidRDefault="00534FC4" w:rsidP="00E03708">
                  <w:pPr>
                    <w:keepNext/>
                    <w:keepLines/>
                    <w:spacing w:after="0"/>
                    <w:rPr>
                      <w:rFonts w:cs="Arial"/>
                    </w:rPr>
                  </w:pPr>
                  <w:r w:rsidRPr="00E05F0A">
                    <w:rPr>
                      <w:rFonts w:cs="Arial"/>
                    </w:rPr>
                    <w:t>1447</w:t>
                  </w:r>
                  <w:r w:rsidR="006D26B4">
                    <w:rPr>
                      <w:rFonts w:cs="Arial"/>
                    </w:rPr>
                    <w:t>–</w:t>
                  </w:r>
                  <w:r w:rsidRPr="00E05F0A">
                    <w:rPr>
                      <w:rFonts w:cs="Arial"/>
                    </w:rPr>
                    <w:t>146</w:t>
                  </w:r>
                  <w:r>
                    <w:rPr>
                      <w:rFonts w:cs="Arial"/>
                    </w:rPr>
                    <w:t>7</w:t>
                  </w:r>
                  <w:r w:rsidRPr="00E05F0A">
                    <w:rPr>
                      <w:rFonts w:cs="Arial"/>
                    </w:rPr>
                    <w:t> MHz</w:t>
                  </w:r>
                </w:p>
              </w:tc>
              <w:tc>
                <w:tcPr>
                  <w:tcW w:w="1375" w:type="dxa"/>
                  <w:shd w:val="clear" w:color="auto" w:fill="F2F2F2" w:themeFill="background1" w:themeFillShade="F2"/>
                  <w:tcMar>
                    <w:top w:w="57" w:type="dxa"/>
                    <w:left w:w="57" w:type="dxa"/>
                    <w:bottom w:w="57" w:type="dxa"/>
                    <w:right w:w="57" w:type="dxa"/>
                  </w:tcMar>
                </w:tcPr>
                <w:p w14:paraId="5C5D0435" w14:textId="3ED7615D" w:rsidR="00534FC4" w:rsidRPr="00E05F0A" w:rsidRDefault="00534FC4" w:rsidP="00E03708">
                  <w:pPr>
                    <w:keepNext/>
                    <w:keepLines/>
                    <w:spacing w:after="0"/>
                    <w:rPr>
                      <w:rFonts w:cs="Arial"/>
                    </w:rPr>
                  </w:pPr>
                  <w:r>
                    <w:rPr>
                      <w:rFonts w:cs="Arial"/>
                    </w:rPr>
                    <w:t>TDD</w:t>
                  </w:r>
                </w:p>
              </w:tc>
            </w:tr>
          </w:tbl>
          <w:p w14:paraId="2FC2E7F9" w14:textId="77777777" w:rsidR="009004DD" w:rsidRPr="00E05F0A" w:rsidRDefault="009004DD" w:rsidP="00825760">
            <w:pPr>
              <w:keepNext/>
              <w:keepLines/>
              <w:rPr>
                <w:rFonts w:cs="Arial"/>
              </w:rPr>
            </w:pPr>
          </w:p>
        </w:tc>
      </w:tr>
      <w:tr w:rsidR="009004DD" w:rsidRPr="00055BC2" w14:paraId="13DE5D5A" w14:textId="77777777" w:rsidTr="00E90E77">
        <w:trPr>
          <w:trHeight w:val="80"/>
        </w:trPr>
        <w:tc>
          <w:tcPr>
            <w:tcW w:w="9358" w:type="dxa"/>
            <w:shd w:val="clear" w:color="auto" w:fill="auto"/>
            <w:tcMar>
              <w:left w:w="28" w:type="dxa"/>
            </w:tcMar>
          </w:tcPr>
          <w:p w14:paraId="51E585D6" w14:textId="2F39D2EF" w:rsidR="009004DD" w:rsidRPr="00E03708" w:rsidRDefault="009004DD" w:rsidP="00E03708">
            <w:pPr>
              <w:keepNext/>
              <w:keepLines/>
              <w:spacing w:after="0"/>
              <w:rPr>
                <w:rFonts w:cs="Arial"/>
                <w:i/>
                <w:sz w:val="16"/>
                <w:szCs w:val="16"/>
              </w:rPr>
            </w:pPr>
            <w:r w:rsidRPr="00E03708">
              <w:rPr>
                <w:rFonts w:cs="Arial"/>
                <w:i/>
                <w:sz w:val="16"/>
                <w:szCs w:val="16"/>
              </w:rPr>
              <w:t xml:space="preserve">* Restricted to E-UTRA operation when carrier aggregation is configured. </w:t>
            </w:r>
          </w:p>
          <w:p w14:paraId="79CEECB5" w14:textId="77777777" w:rsidR="00A00825" w:rsidRPr="00055BC2" w:rsidRDefault="00A00825" w:rsidP="00E03708">
            <w:pPr>
              <w:pStyle w:val="ACMASpaceaftertable"/>
              <w:keepNext/>
              <w:keepLines/>
            </w:pPr>
          </w:p>
          <w:p w14:paraId="723FC7BC" w14:textId="63F550D2" w:rsidR="00A00825" w:rsidRPr="00055BC2" w:rsidRDefault="00A00825" w:rsidP="00E03708">
            <w:pPr>
              <w:keepNext/>
              <w:keepLines/>
            </w:pPr>
            <w:r w:rsidRPr="00055BC2">
              <w:t xml:space="preserve">As harmonised frequency arrangements are developed within the ITU-R, it is expected that additional </w:t>
            </w:r>
            <w:r w:rsidR="00F81BEB" w:rsidRPr="00055BC2">
              <w:t xml:space="preserve">operating </w:t>
            </w:r>
            <w:r w:rsidRPr="00055BC2">
              <w:t xml:space="preserve">bands </w:t>
            </w:r>
            <w:r w:rsidR="00055BC2">
              <w:t>may</w:t>
            </w:r>
            <w:r w:rsidRPr="00055BC2">
              <w:t xml:space="preserve"> be added </w:t>
            </w:r>
            <w:r w:rsidR="00F81BEB" w:rsidRPr="00055BC2">
              <w:t xml:space="preserve">for LTE. </w:t>
            </w:r>
          </w:p>
        </w:tc>
      </w:tr>
    </w:tbl>
    <w:p w14:paraId="2CB51559" w14:textId="617DE342" w:rsidR="0088482C" w:rsidRDefault="0088482C" w:rsidP="00CA4A15">
      <w:pPr>
        <w:pStyle w:val="Heading3"/>
      </w:pPr>
      <w:bookmarkStart w:id="61" w:name="_Toc459906719"/>
      <w:bookmarkStart w:id="62" w:name="_Toc464480513"/>
      <w:r w:rsidRPr="00055BC2">
        <w:t>Country</w:t>
      </w:r>
      <w:r w:rsidR="006D26B4">
        <w:t>-s</w:t>
      </w:r>
      <w:r w:rsidRPr="00055BC2">
        <w:t>pecific</w:t>
      </w:r>
      <w:r>
        <w:t xml:space="preserve"> </w:t>
      </w:r>
      <w:r w:rsidR="006D26B4">
        <w:t>a</w:t>
      </w:r>
      <w:r w:rsidRPr="00CA4A15">
        <w:t>rrangements</w:t>
      </w:r>
      <w:bookmarkEnd w:id="61"/>
      <w:bookmarkEnd w:id="62"/>
      <w:r>
        <w:t xml:space="preserve"> </w:t>
      </w:r>
    </w:p>
    <w:p w14:paraId="5E1CF9AE" w14:textId="77777777" w:rsidR="0088482C" w:rsidRPr="00CA4A15" w:rsidRDefault="0088482C" w:rsidP="0084017B">
      <w:pPr>
        <w:pStyle w:val="BodySubHeader"/>
        <w:spacing w:before="120"/>
      </w:pPr>
      <w:r w:rsidRPr="00CA4A15">
        <w:t>Europe</w:t>
      </w:r>
    </w:p>
    <w:p w14:paraId="46C124FA" w14:textId="13B2A4CF" w:rsidR="00E50588" w:rsidRDefault="000F36C1" w:rsidP="00CA4A15">
      <w:r w:rsidRPr="000F36C1">
        <w:t>On 8 May 2015</w:t>
      </w:r>
      <w:r w:rsidR="006D26B4">
        <w:t>,</w:t>
      </w:r>
      <w:r w:rsidRPr="000F36C1">
        <w:t xml:space="preserve"> the European Commission adopted a decision to open up the 1452</w:t>
      </w:r>
      <w:r w:rsidR="006D26B4">
        <w:t>–</w:t>
      </w:r>
      <w:r w:rsidRPr="000F36C1">
        <w:t>1492 MHz frequency band for wireless broadband use as downlink only</w:t>
      </w:r>
      <w:r w:rsidR="006D26B4">
        <w:t>.</w:t>
      </w:r>
      <w:r w:rsidRPr="00E50588">
        <w:rPr>
          <w:vertAlign w:val="superscript"/>
        </w:rPr>
        <w:footnoteReference w:id="12"/>
      </w:r>
      <w:r w:rsidRPr="000F36C1">
        <w:t xml:space="preserve"> </w:t>
      </w:r>
      <w:r w:rsidR="00E50588">
        <w:t xml:space="preserve">The decision provides protection for </w:t>
      </w:r>
      <w:r w:rsidR="00E50588" w:rsidRPr="00E50588">
        <w:t>terrestrial broadcasting</w:t>
      </w:r>
      <w:r w:rsidR="00E50588">
        <w:t xml:space="preserve"> systems operating within the 1</w:t>
      </w:r>
      <w:r w:rsidR="00E50588" w:rsidRPr="00E50588">
        <w:t>452</w:t>
      </w:r>
      <w:r w:rsidR="006D26B4">
        <w:t>–</w:t>
      </w:r>
      <w:r w:rsidR="00E50588" w:rsidRPr="00E50588">
        <w:t>1479</w:t>
      </w:r>
      <w:r w:rsidR="00E50588">
        <w:t>.</w:t>
      </w:r>
      <w:r w:rsidR="00E50588" w:rsidRPr="00E50588">
        <w:t>5 MHz frequency band</w:t>
      </w:r>
      <w:r w:rsidR="00E50588">
        <w:t xml:space="preserve">. </w:t>
      </w:r>
      <w:r w:rsidR="00E50588" w:rsidRPr="00807300">
        <w:t>The Maastricht special arrangement of 2002, as revised in 2007</w:t>
      </w:r>
      <w:r w:rsidR="00E50588">
        <w:rPr>
          <w:rStyle w:val="FootnoteReference"/>
          <w:rFonts w:cs="Arial"/>
        </w:rPr>
        <w:footnoteReference w:id="13"/>
      </w:r>
      <w:r w:rsidR="00E50588" w:rsidRPr="00807300">
        <w:t>, provides the technical and regulatory framework for the deployment of terrestrial DAB (T-DAB) in the 1452</w:t>
      </w:r>
      <w:r w:rsidR="006D26B4">
        <w:t>–</w:t>
      </w:r>
      <w:r w:rsidR="00E50588" w:rsidRPr="00807300">
        <w:t>1479</w:t>
      </w:r>
      <w:r w:rsidR="00E50588">
        <w:t>.</w:t>
      </w:r>
      <w:r w:rsidR="00E50588" w:rsidRPr="00807300">
        <w:t>5 MHz band</w:t>
      </w:r>
      <w:r w:rsidR="00E50588">
        <w:t>.</w:t>
      </w:r>
    </w:p>
    <w:p w14:paraId="437A6DC5" w14:textId="30921949" w:rsidR="00EC5E2A" w:rsidRDefault="00EC5E2A" w:rsidP="00CA4A15">
      <w:r>
        <w:t xml:space="preserve">In May 2015, Ofcom </w:t>
      </w:r>
      <w:r w:rsidR="00FB3D77">
        <w:t xml:space="preserve">(UK) </w:t>
      </w:r>
      <w:r>
        <w:t>varied the spectrum access licence for the 1452</w:t>
      </w:r>
      <w:r w:rsidR="006D26B4">
        <w:t>–</w:t>
      </w:r>
      <w:r>
        <w:t>1492 MHz band, held by Qualcomm</w:t>
      </w:r>
      <w:r w:rsidR="00152E6B">
        <w:t xml:space="preserve"> since 2008</w:t>
      </w:r>
      <w:r>
        <w:t>, to enable use for mobile/fixed communication supplemental downlink</w:t>
      </w:r>
      <w:r w:rsidR="006D26B4">
        <w:t>.</w:t>
      </w:r>
      <w:r>
        <w:rPr>
          <w:rStyle w:val="FootnoteReference"/>
          <w:rFonts w:cs="Arial"/>
        </w:rPr>
        <w:footnoteReference w:id="14"/>
      </w:r>
    </w:p>
    <w:p w14:paraId="10C4B291" w14:textId="6FE0C79B" w:rsidR="00E83A94" w:rsidRDefault="000C76E8" w:rsidP="0088482C">
      <w:r w:rsidRPr="000C76E8">
        <w:rPr>
          <w:rFonts w:cs="Arial"/>
        </w:rPr>
        <w:t>In June 201</w:t>
      </w:r>
      <w:r w:rsidR="00E50588">
        <w:rPr>
          <w:rFonts w:cs="Arial"/>
        </w:rPr>
        <w:t>5</w:t>
      </w:r>
      <w:r w:rsidRPr="000C76E8">
        <w:rPr>
          <w:rFonts w:cs="Arial"/>
        </w:rPr>
        <w:t>, the</w:t>
      </w:r>
      <w:r>
        <w:rPr>
          <w:rFonts w:cs="Arial"/>
        </w:rPr>
        <w:t xml:space="preserve"> </w:t>
      </w:r>
      <w:r w:rsidRPr="000C76E8">
        <w:rPr>
          <w:rFonts w:cs="Arial"/>
        </w:rPr>
        <w:t>1452</w:t>
      </w:r>
      <w:r>
        <w:rPr>
          <w:rFonts w:cs="Arial"/>
        </w:rPr>
        <w:t>–</w:t>
      </w:r>
      <w:r w:rsidRPr="000C76E8">
        <w:rPr>
          <w:rFonts w:cs="Arial"/>
        </w:rPr>
        <w:t>1492</w:t>
      </w:r>
      <w:r>
        <w:rPr>
          <w:rFonts w:cs="Arial"/>
        </w:rPr>
        <w:t xml:space="preserve"> </w:t>
      </w:r>
      <w:r w:rsidRPr="000C76E8">
        <w:rPr>
          <w:rFonts w:cs="Arial"/>
        </w:rPr>
        <w:t xml:space="preserve">MHz band </w:t>
      </w:r>
      <w:r>
        <w:rPr>
          <w:rFonts w:cs="Arial"/>
        </w:rPr>
        <w:t>was auctioned in Germany</w:t>
      </w:r>
      <w:r w:rsidR="006D26B4">
        <w:rPr>
          <w:rFonts w:cs="Arial"/>
        </w:rPr>
        <w:t>,</w:t>
      </w:r>
      <w:r>
        <w:rPr>
          <w:rFonts w:cs="Arial"/>
        </w:rPr>
        <w:t xml:space="preserve"> with </w:t>
      </w:r>
      <w:r w:rsidR="00E83A94" w:rsidRPr="000C76E8">
        <w:rPr>
          <w:rFonts w:cs="Arial"/>
        </w:rPr>
        <w:t xml:space="preserve">Telekom </w:t>
      </w:r>
      <w:r>
        <w:t xml:space="preserve">Deutschland </w:t>
      </w:r>
      <w:r w:rsidR="00E83A94" w:rsidRPr="000C76E8">
        <w:rPr>
          <w:rFonts w:cs="Arial"/>
        </w:rPr>
        <w:t xml:space="preserve">and Vodafone each </w:t>
      </w:r>
      <w:r>
        <w:rPr>
          <w:rFonts w:cs="Arial"/>
        </w:rPr>
        <w:t xml:space="preserve">obtaining </w:t>
      </w:r>
      <w:r w:rsidR="00E83A94" w:rsidRPr="000C76E8">
        <w:rPr>
          <w:rFonts w:cs="Arial"/>
        </w:rPr>
        <w:t>20 MHz of spectrum</w:t>
      </w:r>
      <w:r w:rsidR="006D26B4">
        <w:rPr>
          <w:rFonts w:cs="Arial"/>
        </w:rPr>
        <w:t>.</w:t>
      </w:r>
      <w:r w:rsidR="00DF5829">
        <w:rPr>
          <w:rStyle w:val="FootnoteReference"/>
          <w:rFonts w:cs="Arial"/>
        </w:rPr>
        <w:footnoteReference w:id="15"/>
      </w:r>
      <w:r w:rsidR="00E83A94" w:rsidRPr="000C76E8">
        <w:rPr>
          <w:rFonts w:cs="Arial"/>
        </w:rPr>
        <w:t xml:space="preserve"> </w:t>
      </w:r>
    </w:p>
    <w:p w14:paraId="0420EB7A" w14:textId="076907FF" w:rsidR="00BA5897" w:rsidRPr="00BA5897" w:rsidRDefault="00BA5897" w:rsidP="00CA4A15">
      <w:r w:rsidRPr="000C76E8">
        <w:t xml:space="preserve">In </w:t>
      </w:r>
      <w:r>
        <w:t>September</w:t>
      </w:r>
      <w:r w:rsidRPr="000C76E8">
        <w:t xml:space="preserve"> 201</w:t>
      </w:r>
      <w:r>
        <w:t>5</w:t>
      </w:r>
      <w:r w:rsidRPr="000C76E8">
        <w:t xml:space="preserve">, </w:t>
      </w:r>
      <w:r w:rsidRPr="00BA5897">
        <w:t>Italy's ministry for economic development (MiSE) announced that Telecom Italia and Vodafone ha</w:t>
      </w:r>
      <w:r w:rsidRPr="00D62825">
        <w:t>d</w:t>
      </w:r>
      <w:r w:rsidRPr="00BA5897">
        <w:t xml:space="preserve"> been awarded two 20 MHz frequency lots in the 1452</w:t>
      </w:r>
      <w:r w:rsidR="006D26B4">
        <w:t>–</w:t>
      </w:r>
      <w:r w:rsidRPr="00BA5897">
        <w:t>1492 MHz band</w:t>
      </w:r>
      <w:r w:rsidRPr="00D62825">
        <w:t xml:space="preserve"> </w:t>
      </w:r>
      <w:r w:rsidRPr="00BA5897">
        <w:t xml:space="preserve">for </w:t>
      </w:r>
      <w:r w:rsidR="005A21F6">
        <w:t>MBB</w:t>
      </w:r>
      <w:r w:rsidRPr="00BA5897">
        <w:t xml:space="preserve"> use</w:t>
      </w:r>
      <w:r w:rsidR="006D26B4">
        <w:t>.</w:t>
      </w:r>
      <w:r w:rsidR="00D62825">
        <w:rPr>
          <w:rStyle w:val="FootnoteReference"/>
          <w:rFonts w:cs="Arial"/>
        </w:rPr>
        <w:footnoteReference w:id="16"/>
      </w:r>
      <w:r w:rsidRPr="00BA5897">
        <w:t xml:space="preserve"> </w:t>
      </w:r>
    </w:p>
    <w:p w14:paraId="00758077" w14:textId="77777777" w:rsidR="00BB354E" w:rsidRPr="00CA4A15" w:rsidRDefault="00BB354E" w:rsidP="00CA4A15">
      <w:pPr>
        <w:pStyle w:val="BodySubHeader"/>
      </w:pPr>
      <w:r w:rsidRPr="00CA4A15">
        <w:t>Japan</w:t>
      </w:r>
    </w:p>
    <w:p w14:paraId="75548356" w14:textId="1DC5C40A" w:rsidR="00F81BEB" w:rsidRDefault="009C4BBB" w:rsidP="00CA4A15">
      <w:r>
        <w:t xml:space="preserve">In Japan, </w:t>
      </w:r>
      <w:r w:rsidR="005A21F6">
        <w:t>MBB</w:t>
      </w:r>
      <w:r>
        <w:t xml:space="preserve"> services, including LTE, have been deployed in 3GPP bands 11 and 21</w:t>
      </w:r>
      <w:r w:rsidR="006D26B4">
        <w:t>.</w:t>
      </w:r>
      <w:r>
        <w:rPr>
          <w:rStyle w:val="FootnoteReference"/>
        </w:rPr>
        <w:footnoteReference w:id="17"/>
      </w:r>
    </w:p>
    <w:p w14:paraId="2184CC4B" w14:textId="46FE7EA3" w:rsidR="0088482C" w:rsidRPr="00CA4A15" w:rsidRDefault="0088482C" w:rsidP="00CA4A15">
      <w:pPr>
        <w:pStyle w:val="BodySubHeader"/>
      </w:pPr>
      <w:r w:rsidRPr="00CA4A15">
        <w:t>US</w:t>
      </w:r>
    </w:p>
    <w:p w14:paraId="57206F4E" w14:textId="2C4D063D" w:rsidR="008C2323" w:rsidRPr="00E05F0A" w:rsidRDefault="008C2323" w:rsidP="00E03708">
      <w:pPr>
        <w:keepNext/>
        <w:spacing w:after="120"/>
        <w:rPr>
          <w:b/>
        </w:rPr>
      </w:pPr>
      <w:r>
        <w:t>In t</w:t>
      </w:r>
      <w:r w:rsidRPr="00E05F0A">
        <w:t>he US</w:t>
      </w:r>
      <w:r>
        <w:t xml:space="preserve">, </w:t>
      </w:r>
      <w:r w:rsidRPr="00E05F0A">
        <w:t>the 1452–1525 MHz segment is covered by international footnote 344 to the ITU Radio Regulations Table of Allocations:</w:t>
      </w:r>
    </w:p>
    <w:p w14:paraId="125AF588" w14:textId="76289C8F" w:rsidR="008C2323" w:rsidRPr="008C2323" w:rsidRDefault="008C2323" w:rsidP="00825760">
      <w:pPr>
        <w:keepNext/>
        <w:tabs>
          <w:tab w:val="left" w:pos="993"/>
        </w:tabs>
        <w:ind w:left="993" w:hanging="426"/>
        <w:rPr>
          <w:rFonts w:cs="Arial"/>
        </w:rPr>
      </w:pPr>
      <w:r w:rsidRPr="008C2323">
        <w:rPr>
          <w:rFonts w:cs="Arial"/>
          <w:b/>
        </w:rPr>
        <w:t>344</w:t>
      </w:r>
      <w:r w:rsidRPr="008C2323">
        <w:rPr>
          <w:rFonts w:cs="Arial"/>
        </w:rPr>
        <w:t xml:space="preserve"> </w:t>
      </w:r>
      <w:r>
        <w:rPr>
          <w:rFonts w:cs="Arial"/>
        </w:rPr>
        <w:tab/>
      </w:r>
      <w:r w:rsidRPr="008C2323">
        <w:rPr>
          <w:rFonts w:cs="Arial"/>
          <w:i/>
        </w:rPr>
        <w:t>Alternative allocation</w:t>
      </w:r>
      <w:r w:rsidRPr="008C2323">
        <w:rPr>
          <w:rFonts w:cs="Arial"/>
        </w:rPr>
        <w:t>: in the United States of America, the band 1452–1525 MHz is allocated to the fixed and mobile services on a primary basis.</w:t>
      </w:r>
    </w:p>
    <w:p w14:paraId="468A0EFD" w14:textId="21F50F87" w:rsidR="008C2323" w:rsidRDefault="008C2323" w:rsidP="00CA4A15">
      <w:r w:rsidRPr="00E05F0A">
        <w:t>There is no provision in either the federal or non-federal frequency allocation tables of the US for cellular communications systems in this band segment. The segment 1435–1525 MHz is used by defence organisations and NASA for aeronautical telemetry</w:t>
      </w:r>
      <w:r w:rsidR="00925CC2">
        <w:t>.</w:t>
      </w:r>
      <w:r w:rsidR="00453BCD">
        <w:t xml:space="preserve"> While the US ha</w:t>
      </w:r>
      <w:r w:rsidR="00EF7CEE">
        <w:t>s</w:t>
      </w:r>
      <w:r w:rsidR="00453BCD">
        <w:t xml:space="preserve"> no </w:t>
      </w:r>
      <w:r w:rsidR="00CA2A76">
        <w:t xml:space="preserve">current </w:t>
      </w:r>
      <w:r w:rsidR="00453BCD">
        <w:t xml:space="preserve">intention </w:t>
      </w:r>
      <w:r w:rsidR="00EF7CEE">
        <w:t>of</w:t>
      </w:r>
      <w:r w:rsidR="00453BCD">
        <w:t xml:space="preserve"> deploy</w:t>
      </w:r>
      <w:r w:rsidR="00EF7CEE">
        <w:t>ing</w:t>
      </w:r>
      <w:r w:rsidR="00453BCD">
        <w:t xml:space="preserve"> </w:t>
      </w:r>
      <w:r w:rsidR="00453BCD" w:rsidRPr="00825760">
        <w:t>MBB</w:t>
      </w:r>
      <w:r w:rsidR="00453BCD">
        <w:t xml:space="preserve"> services in this band</w:t>
      </w:r>
      <w:r w:rsidR="006D26B4">
        <w:t>,</w:t>
      </w:r>
      <w:r w:rsidR="00453BCD">
        <w:t xml:space="preserve"> </w:t>
      </w:r>
      <w:r w:rsidR="00EF7CEE">
        <w:t xml:space="preserve">it has </w:t>
      </w:r>
      <w:r w:rsidR="00453BCD">
        <w:t>nonetheless allowed the regional identification of the band for IMT</w:t>
      </w:r>
      <w:r w:rsidR="006D26B4">
        <w:t>,</w:t>
      </w:r>
      <w:r w:rsidR="00453BCD">
        <w:t xml:space="preserve"> with the acknowledgment that coexistence with IMT could </w:t>
      </w:r>
      <w:r w:rsidR="00C059B8">
        <w:t xml:space="preserve">be </w:t>
      </w:r>
      <w:r w:rsidR="00453BCD">
        <w:t>achieved by coordination with neighbouring countries.</w:t>
      </w:r>
    </w:p>
    <w:p w14:paraId="676A489D" w14:textId="244AEA6D" w:rsidR="00892691" w:rsidRDefault="00892691" w:rsidP="00CA4A15">
      <w:pPr>
        <w:pStyle w:val="Heading3"/>
      </w:pPr>
      <w:bookmarkStart w:id="63" w:name="_Toc464480514"/>
      <w:r>
        <w:t xml:space="preserve">Summary of </w:t>
      </w:r>
      <w:r w:rsidR="006D26B4">
        <w:t>i</w:t>
      </w:r>
      <w:r w:rsidRPr="00CA4A15">
        <w:t>nternational</w:t>
      </w:r>
      <w:r>
        <w:t xml:space="preserve"> </w:t>
      </w:r>
      <w:r w:rsidR="006D26B4">
        <w:t>c</w:t>
      </w:r>
      <w:r>
        <w:t>onsiderations</w:t>
      </w:r>
      <w:bookmarkEnd w:id="63"/>
    </w:p>
    <w:p w14:paraId="08E5EFB3" w14:textId="3C7A162F" w:rsidR="00892691" w:rsidRPr="00E05F0A" w:rsidRDefault="009F50E2" w:rsidP="00CA4A15">
      <w:r>
        <w:t>Internationally</w:t>
      </w:r>
      <w:r w:rsidR="006D26B4">
        <w:t>,</w:t>
      </w:r>
      <w:r>
        <w:t xml:space="preserve"> there appears to be </w:t>
      </w:r>
      <w:r w:rsidRPr="009F50E2">
        <w:t xml:space="preserve">growing interest in use of the 1.5 GHz </w:t>
      </w:r>
      <w:r>
        <w:t>band</w:t>
      </w:r>
      <w:r w:rsidRPr="009F50E2">
        <w:t xml:space="preserve"> for </w:t>
      </w:r>
      <w:r w:rsidR="005A21F6">
        <w:t>MBB</w:t>
      </w:r>
      <w:r w:rsidRPr="009F50E2">
        <w:t>. This is evident from the recent outcomes of WRC-15</w:t>
      </w:r>
      <w:r w:rsidR="006D26B4">
        <w:t>,</w:t>
      </w:r>
      <w:r w:rsidRPr="009F50E2">
        <w:t xml:space="preserve"> as well as moves to identify</w:t>
      </w:r>
      <w:r w:rsidR="009179D7">
        <w:t xml:space="preserve"> and/or use</w:t>
      </w:r>
      <w:r w:rsidRPr="009F50E2">
        <w:t xml:space="preserve"> </w:t>
      </w:r>
      <w:r w:rsidR="00DE50D5">
        <w:t xml:space="preserve">parts of </w:t>
      </w:r>
      <w:r w:rsidRPr="009F50E2">
        <w:t xml:space="preserve">the band </w:t>
      </w:r>
      <w:r w:rsidR="008C6867">
        <w:t xml:space="preserve">for </w:t>
      </w:r>
      <w:r w:rsidR="005A21F6">
        <w:t>MBB</w:t>
      </w:r>
      <w:r w:rsidR="008C6867">
        <w:t xml:space="preserve"> in Europe</w:t>
      </w:r>
      <w:r w:rsidRPr="009F50E2">
        <w:t>. It is also supported by industry</w:t>
      </w:r>
      <w:r w:rsidR="006D26B4">
        <w:t>-</w:t>
      </w:r>
      <w:r w:rsidRPr="009F50E2">
        <w:t xml:space="preserve">driven technology standardisation </w:t>
      </w:r>
      <w:r>
        <w:t>for LTE in the band</w:t>
      </w:r>
      <w:r w:rsidRPr="009F50E2">
        <w:t xml:space="preserve">. This suggests that economies of scale for </w:t>
      </w:r>
      <w:r w:rsidR="005A21F6">
        <w:t>MBB</w:t>
      </w:r>
      <w:r w:rsidRPr="009F50E2">
        <w:t xml:space="preserve"> equipment in the bands are likely to develop.</w:t>
      </w:r>
      <w:r w:rsidR="000661C1">
        <w:t xml:space="preserve"> </w:t>
      </w:r>
      <w:r w:rsidR="00DE50D5">
        <w:t>Alt</w:t>
      </w:r>
      <w:r w:rsidR="000661C1">
        <w:t xml:space="preserve">hough </w:t>
      </w:r>
      <w:r w:rsidR="00DE50D5">
        <w:t>there is growing interest</w:t>
      </w:r>
      <w:r w:rsidR="00C059B8">
        <w:t>,</w:t>
      </w:r>
      <w:r w:rsidR="00DE50D5">
        <w:t xml:space="preserve"> </w:t>
      </w:r>
      <w:r w:rsidR="000661C1">
        <w:t xml:space="preserve">it is noted that </w:t>
      </w:r>
      <w:r w:rsidR="00DE50D5">
        <w:t xml:space="preserve">studies and development of various </w:t>
      </w:r>
      <w:r w:rsidR="00CB23B7">
        <w:t>channel</w:t>
      </w:r>
      <w:r w:rsidR="00DE50D5">
        <w:t>ling</w:t>
      </w:r>
      <w:r w:rsidR="00CB23B7">
        <w:t xml:space="preserve"> arrangement</w:t>
      </w:r>
      <w:r w:rsidR="00DE50D5">
        <w:t xml:space="preserve"> option</w:t>
      </w:r>
      <w:r w:rsidR="008F2177">
        <w:t>s</w:t>
      </w:r>
      <w:r w:rsidR="00CB23B7">
        <w:t xml:space="preserve"> are </w:t>
      </w:r>
      <w:r w:rsidR="008F2177">
        <w:t>ongoing in</w:t>
      </w:r>
      <w:r w:rsidR="00CB23B7">
        <w:t xml:space="preserve"> </w:t>
      </w:r>
      <w:r w:rsidR="00F659D9">
        <w:t xml:space="preserve">a number of </w:t>
      </w:r>
      <w:r w:rsidR="00CB23B7">
        <w:t>international bodies</w:t>
      </w:r>
      <w:r w:rsidR="008F2177">
        <w:t xml:space="preserve">, which </w:t>
      </w:r>
      <w:r w:rsidR="00BB354E">
        <w:t>may</w:t>
      </w:r>
      <w:r w:rsidR="008F2177">
        <w:t xml:space="preserve"> need to be taken into consideration if re-farming occurs in Australia</w:t>
      </w:r>
      <w:r w:rsidR="00CB23B7">
        <w:t xml:space="preserve">.  </w:t>
      </w:r>
    </w:p>
    <w:p w14:paraId="74CB55F2" w14:textId="170BD9AF" w:rsidR="00F26BE7" w:rsidRPr="000D76E0" w:rsidRDefault="00F26BE7" w:rsidP="00CA4A15">
      <w:pPr>
        <w:pStyle w:val="Heading2"/>
      </w:pPr>
      <w:bookmarkStart w:id="64" w:name="_Toc459906720"/>
      <w:bookmarkStart w:id="65" w:name="_Toc464480515"/>
      <w:r>
        <w:t xml:space="preserve">Australian </w:t>
      </w:r>
      <w:r w:rsidRPr="00CA4A15">
        <w:t>context</w:t>
      </w:r>
      <w:bookmarkEnd w:id="64"/>
      <w:bookmarkEnd w:id="65"/>
    </w:p>
    <w:p w14:paraId="24AF78E4" w14:textId="3F3C6A41" w:rsidR="0040348A" w:rsidRPr="00296388" w:rsidRDefault="0040348A" w:rsidP="00CA4A15">
      <w:r w:rsidRPr="00296388">
        <w:t xml:space="preserve">This </w:t>
      </w:r>
      <w:r>
        <w:t>section</w:t>
      </w:r>
      <w:r w:rsidRPr="00296388">
        <w:t xml:space="preserve"> provides an overview o</w:t>
      </w:r>
      <w:r>
        <w:t>f the current planning arrangements and use of the 1.5 GHz band within Australia.</w:t>
      </w:r>
    </w:p>
    <w:p w14:paraId="1CD7259D" w14:textId="0D767F1B" w:rsidR="00AB4DE5" w:rsidRPr="00AB4DE5" w:rsidRDefault="00AB4DE5" w:rsidP="00CA4A15">
      <w:pPr>
        <w:pStyle w:val="Heading3"/>
      </w:pPr>
      <w:bookmarkStart w:id="66" w:name="_Toc464480516"/>
      <w:r>
        <w:t xml:space="preserve">Current planning arrangements </w:t>
      </w:r>
      <w:r w:rsidRPr="00CA4A15">
        <w:t>and</w:t>
      </w:r>
      <w:r>
        <w:t xml:space="preserve"> use</w:t>
      </w:r>
      <w:bookmarkEnd w:id="66"/>
    </w:p>
    <w:p w14:paraId="15284471" w14:textId="292E805B" w:rsidR="00F76847" w:rsidRPr="001429FC" w:rsidRDefault="0033691D" w:rsidP="00CA4A15">
      <w:pPr>
        <w:rPr>
          <w:rFonts w:cstheme="minorHAnsi"/>
          <w:b/>
          <w:szCs w:val="20"/>
          <w:lang w:val="en-GB"/>
        </w:rPr>
      </w:pPr>
      <w:r>
        <w:t xml:space="preserve">The current </w:t>
      </w:r>
      <w:r w:rsidR="00DF773B">
        <w:t>arrangements</w:t>
      </w:r>
      <w:r>
        <w:t xml:space="preserve"> for the 1.5 GHz band are provided in</w:t>
      </w:r>
      <w:r w:rsidR="00DF773B">
        <w:t xml:space="preserve"> the </w:t>
      </w:r>
      <w:hyperlink r:id="rId45" w:history="1">
        <w:r w:rsidR="00DF773B" w:rsidRPr="00AB4DE5">
          <w:rPr>
            <w:rStyle w:val="Hyperlink"/>
            <w:rFonts w:cs="Arial"/>
            <w:szCs w:val="20"/>
          </w:rPr>
          <w:t>Radiocommunications 1.5 GHz Frequency Band Plan 2015</w:t>
        </w:r>
      </w:hyperlink>
      <w:r>
        <w:t xml:space="preserve"> </w:t>
      </w:r>
      <w:r w:rsidR="00DF773B">
        <w:t>(t</w:t>
      </w:r>
      <w:r w:rsidRPr="0033691D">
        <w:t>he 1.5 GHz Band Plan</w:t>
      </w:r>
      <w:r w:rsidR="00DF773B">
        <w:t>). The 1.5 GHz Band Plan</w:t>
      </w:r>
      <w:r w:rsidRPr="0033691D">
        <w:t xml:space="preserve"> was created in 1996 </w:t>
      </w:r>
      <w:r w:rsidR="00DF773B">
        <w:t xml:space="preserve">and </w:t>
      </w:r>
      <w:r w:rsidRPr="0033691D">
        <w:t>remade in August 2015</w:t>
      </w:r>
      <w:r w:rsidR="006D26B4">
        <w:t>,</w:t>
      </w:r>
      <w:r w:rsidRPr="0033691D">
        <w:t xml:space="preserve"> without any significant changes</w:t>
      </w:r>
      <w:r w:rsidR="006D26B4">
        <w:t>.</w:t>
      </w:r>
      <w:r w:rsidR="009F76C7">
        <w:rPr>
          <w:rStyle w:val="FootnoteReference"/>
          <w:rFonts w:cs="Arial"/>
        </w:rPr>
        <w:footnoteReference w:id="18"/>
      </w:r>
      <w:r w:rsidRPr="0033691D">
        <w:t xml:space="preserve"> </w:t>
      </w:r>
      <w:hyperlink r:id="rId46" w:history="1">
        <w:r w:rsidR="00E57B2A" w:rsidRPr="00E57B2A">
          <w:rPr>
            <w:rStyle w:val="Hyperlink"/>
            <w:rFonts w:cs="Arial"/>
          </w:rPr>
          <w:t>Embargo 70</w:t>
        </w:r>
      </w:hyperlink>
      <w:r w:rsidR="00E57B2A">
        <w:t xml:space="preserve"> was created on 10 April 2016</w:t>
      </w:r>
      <w:r w:rsidR="00F76847">
        <w:t xml:space="preserve"> to</w:t>
      </w:r>
      <w:r w:rsidR="006D0EC1">
        <w:t xml:space="preserve"> restrict</w:t>
      </w:r>
      <w:r w:rsidR="00F76847" w:rsidRPr="003D1119">
        <w:rPr>
          <w:rFonts w:cstheme="minorHAnsi"/>
          <w:szCs w:val="20"/>
          <w:lang w:val="en-GB"/>
        </w:rPr>
        <w:t xml:space="preserve"> all new frequency assignments</w:t>
      </w:r>
      <w:r w:rsidR="00F76847">
        <w:rPr>
          <w:rFonts w:cstheme="minorHAnsi"/>
          <w:szCs w:val="20"/>
          <w:lang w:val="en-GB"/>
        </w:rPr>
        <w:t xml:space="preserve"> in the 1427</w:t>
      </w:r>
      <w:r w:rsidR="006D26B4">
        <w:rPr>
          <w:rFonts w:cstheme="minorHAnsi"/>
          <w:szCs w:val="20"/>
          <w:lang w:val="en-GB"/>
        </w:rPr>
        <w:t>–</w:t>
      </w:r>
      <w:r w:rsidR="00F76847">
        <w:rPr>
          <w:rFonts w:cstheme="minorHAnsi"/>
          <w:szCs w:val="20"/>
          <w:lang w:val="en-GB"/>
        </w:rPr>
        <w:t>1518 MHz frequency range in m</w:t>
      </w:r>
      <w:r w:rsidR="00F76847" w:rsidRPr="004C1792">
        <w:rPr>
          <w:rFonts w:cstheme="minorHAnsi"/>
          <w:szCs w:val="20"/>
          <w:lang w:val="en-GB"/>
        </w:rPr>
        <w:t>etro</w:t>
      </w:r>
      <w:r w:rsidR="00F76847">
        <w:rPr>
          <w:rFonts w:cstheme="minorHAnsi"/>
          <w:szCs w:val="20"/>
          <w:lang w:val="en-GB"/>
        </w:rPr>
        <w:t>politan</w:t>
      </w:r>
      <w:r w:rsidR="00F76847" w:rsidRPr="004C1792">
        <w:rPr>
          <w:rFonts w:cstheme="minorHAnsi"/>
          <w:szCs w:val="20"/>
          <w:lang w:val="en-GB"/>
        </w:rPr>
        <w:t xml:space="preserve"> and </w:t>
      </w:r>
      <w:r w:rsidR="00F76847">
        <w:rPr>
          <w:rFonts w:cstheme="minorHAnsi"/>
          <w:szCs w:val="20"/>
          <w:lang w:val="en-GB"/>
        </w:rPr>
        <w:t>r</w:t>
      </w:r>
      <w:r w:rsidR="00F76847" w:rsidRPr="004C1792">
        <w:rPr>
          <w:rFonts w:cstheme="minorHAnsi"/>
          <w:szCs w:val="20"/>
          <w:lang w:val="en-GB"/>
        </w:rPr>
        <w:t xml:space="preserve">egional </w:t>
      </w:r>
      <w:r w:rsidR="00F76847">
        <w:rPr>
          <w:rFonts w:cstheme="minorHAnsi"/>
          <w:szCs w:val="20"/>
          <w:lang w:val="en-GB"/>
        </w:rPr>
        <w:t>a</w:t>
      </w:r>
      <w:r w:rsidR="00F76847" w:rsidRPr="004C1792">
        <w:rPr>
          <w:rFonts w:cstheme="minorHAnsi"/>
          <w:szCs w:val="20"/>
          <w:lang w:val="en-GB"/>
        </w:rPr>
        <w:t>reas</w:t>
      </w:r>
      <w:r w:rsidR="00F76847">
        <w:rPr>
          <w:rFonts w:cstheme="minorHAnsi"/>
          <w:b/>
          <w:szCs w:val="20"/>
          <w:lang w:val="en-GB"/>
        </w:rPr>
        <w:t xml:space="preserve"> </w:t>
      </w:r>
      <w:r w:rsidR="00F76847" w:rsidRPr="003D1119">
        <w:rPr>
          <w:rFonts w:cstheme="minorHAnsi"/>
          <w:szCs w:val="20"/>
          <w:lang w:val="en-GB"/>
        </w:rPr>
        <w:t xml:space="preserve">to </w:t>
      </w:r>
      <w:r w:rsidR="00F76847">
        <w:rPr>
          <w:rFonts w:cstheme="minorHAnsi"/>
          <w:szCs w:val="20"/>
          <w:lang w:val="en-GB"/>
        </w:rPr>
        <w:t>preserve</w:t>
      </w:r>
      <w:r w:rsidR="00F76847" w:rsidRPr="003D1119">
        <w:rPr>
          <w:rFonts w:cstheme="minorHAnsi"/>
          <w:szCs w:val="20"/>
          <w:lang w:val="en-GB"/>
        </w:rPr>
        <w:t xml:space="preserve"> future planning </w:t>
      </w:r>
      <w:r w:rsidR="00F76847">
        <w:rPr>
          <w:rFonts w:cstheme="minorHAnsi"/>
          <w:szCs w:val="20"/>
          <w:lang w:val="en-GB"/>
        </w:rPr>
        <w:t>options</w:t>
      </w:r>
      <w:r w:rsidR="00F76847" w:rsidRPr="001429FC">
        <w:rPr>
          <w:rFonts w:cstheme="minorHAnsi"/>
          <w:szCs w:val="20"/>
          <w:lang w:val="en-GB"/>
        </w:rPr>
        <w:t>.</w:t>
      </w:r>
    </w:p>
    <w:p w14:paraId="5E16C0AA" w14:textId="71DA02BA" w:rsidR="00E11755" w:rsidRDefault="001B1965" w:rsidP="00CA4A15">
      <w:r>
        <w:t xml:space="preserve">As a result of the 1.5 GHz </w:t>
      </w:r>
      <w:r w:rsidR="00C059B8">
        <w:t>B</w:t>
      </w:r>
      <w:r>
        <w:t xml:space="preserve">and </w:t>
      </w:r>
      <w:r w:rsidR="00C059B8">
        <w:t>P</w:t>
      </w:r>
      <w:r>
        <w:t>lan and the arrangements defined in RALI FX3, u</w:t>
      </w:r>
      <w:r w:rsidR="00E11755">
        <w:t>se of the 1.5 GHz band is currently dominated by fixed point-to-point and point-to-multipoint services</w:t>
      </w:r>
      <w:r w:rsidR="00AB4DE5">
        <w:t>.</w:t>
      </w:r>
      <w:r w:rsidR="00E11755">
        <w:t xml:space="preserve"> The current usage of this band is </w:t>
      </w:r>
      <w:r w:rsidR="00892691">
        <w:t>unusual</w:t>
      </w:r>
      <w:r w:rsidR="006D26B4">
        <w:t>,</w:t>
      </w:r>
      <w:r w:rsidR="00892691">
        <w:t xml:space="preserve"> </w:t>
      </w:r>
      <w:r w:rsidR="00E11755">
        <w:t>in that it is heavy in remote areas</w:t>
      </w:r>
      <w:r w:rsidR="006D26B4">
        <w:t>,</w:t>
      </w:r>
      <w:r w:rsidR="00E11755">
        <w:t xml:space="preserve"> but relatively light in metropolitan and regional areas. </w:t>
      </w:r>
    </w:p>
    <w:p w14:paraId="442BAA40" w14:textId="1BC6A4D4" w:rsidR="00F76847" w:rsidRPr="00F76847" w:rsidRDefault="006D389B" w:rsidP="00F76847">
      <w:pPr>
        <w:spacing w:after="120"/>
        <w:rPr>
          <w:rFonts w:cs="Arial"/>
        </w:rPr>
      </w:pPr>
      <w:r>
        <w:rPr>
          <w:rFonts w:cs="Arial"/>
        </w:rPr>
        <w:fldChar w:fldCharType="begin"/>
      </w:r>
      <w:r>
        <w:rPr>
          <w:rFonts w:cs="Arial"/>
        </w:rPr>
        <w:instrText xml:space="preserve"> REF _Ref459190858 \h  \* MERGEFORMAT </w:instrText>
      </w:r>
      <w:r>
        <w:rPr>
          <w:rFonts w:cs="Arial"/>
        </w:rPr>
        <w:fldChar w:fldCharType="separate"/>
      </w:r>
      <w:r w:rsidR="00FA0A5F">
        <w:rPr>
          <w:rFonts w:cs="Arial"/>
          <w:b/>
          <w:bCs/>
          <w:lang w:val="en-US"/>
        </w:rPr>
        <w:t>Error! Reference source not found.</w:t>
      </w:r>
      <w:r>
        <w:rPr>
          <w:rFonts w:cs="Arial"/>
        </w:rPr>
        <w:fldChar w:fldCharType="end"/>
      </w:r>
      <w:r>
        <w:rPr>
          <w:rFonts w:cs="Arial"/>
        </w:rPr>
        <w:t xml:space="preserve">2 </w:t>
      </w:r>
      <w:r w:rsidR="008C2323">
        <w:rPr>
          <w:rFonts w:cs="Arial"/>
        </w:rPr>
        <w:t xml:space="preserve">provides the current arrangements in the </w:t>
      </w:r>
      <w:r w:rsidR="00F76847">
        <w:rPr>
          <w:rFonts w:cs="Arial"/>
        </w:rPr>
        <w:t>1</w:t>
      </w:r>
      <w:r w:rsidR="008C2323">
        <w:rPr>
          <w:rFonts w:cs="Arial"/>
        </w:rPr>
        <w:t>.</w:t>
      </w:r>
      <w:r w:rsidR="00F76847">
        <w:rPr>
          <w:rFonts w:cs="Arial"/>
        </w:rPr>
        <w:t>5</w:t>
      </w:r>
      <w:r w:rsidR="008C2323">
        <w:rPr>
          <w:rFonts w:cs="Arial"/>
        </w:rPr>
        <w:t xml:space="preserve"> GHz </w:t>
      </w:r>
      <w:r w:rsidR="00F76847">
        <w:rPr>
          <w:rFonts w:cs="Arial"/>
        </w:rPr>
        <w:t xml:space="preserve">band </w:t>
      </w:r>
      <w:r w:rsidR="008C2323">
        <w:rPr>
          <w:rFonts w:cs="Arial"/>
        </w:rPr>
        <w:t xml:space="preserve">and adjacent bands. </w:t>
      </w:r>
      <w:r w:rsidR="008C2323" w:rsidRPr="000E0AA2">
        <w:rPr>
          <w:rFonts w:cs="Arial"/>
        </w:rPr>
        <w:t xml:space="preserve">As at </w:t>
      </w:r>
      <w:r w:rsidR="00AB4DE5" w:rsidRPr="00AB4DE5">
        <w:rPr>
          <w:rFonts w:cs="Arial"/>
        </w:rPr>
        <w:t>1 September</w:t>
      </w:r>
      <w:r w:rsidR="008C2323" w:rsidRPr="00AB4DE5">
        <w:rPr>
          <w:rFonts w:cs="Arial"/>
        </w:rPr>
        <w:t xml:space="preserve"> 2016</w:t>
      </w:r>
      <w:r w:rsidR="006D26B4">
        <w:rPr>
          <w:rFonts w:cs="Arial"/>
        </w:rPr>
        <w:t>,</w:t>
      </w:r>
      <w:r w:rsidR="008C2323" w:rsidRPr="00AB4DE5">
        <w:rPr>
          <w:rFonts w:cs="Arial"/>
        </w:rPr>
        <w:t xml:space="preserve"> there were </w:t>
      </w:r>
      <w:r w:rsidR="008332C7" w:rsidRPr="00AB4DE5">
        <w:rPr>
          <w:rFonts w:cs="Arial"/>
        </w:rPr>
        <w:t>6,264</w:t>
      </w:r>
      <w:r w:rsidR="008C2323" w:rsidRPr="00AB4DE5">
        <w:rPr>
          <w:rFonts w:cs="Arial"/>
        </w:rPr>
        <w:t xml:space="preserve"> apparatus</w:t>
      </w:r>
      <w:r w:rsidR="006D26B4">
        <w:rPr>
          <w:rFonts w:cs="Arial"/>
        </w:rPr>
        <w:t>-</w:t>
      </w:r>
      <w:r w:rsidR="008C2323" w:rsidRPr="00AB4DE5">
        <w:rPr>
          <w:rFonts w:cs="Arial"/>
        </w:rPr>
        <w:t>licen</w:t>
      </w:r>
      <w:r w:rsidR="00A4193F" w:rsidRPr="00AB4DE5">
        <w:rPr>
          <w:rFonts w:cs="Arial"/>
        </w:rPr>
        <w:t>s</w:t>
      </w:r>
      <w:r w:rsidR="008C2323" w:rsidRPr="00AB4DE5">
        <w:rPr>
          <w:rFonts w:cs="Arial"/>
        </w:rPr>
        <w:t>ed services</w:t>
      </w:r>
      <w:r w:rsidR="008C2323">
        <w:rPr>
          <w:rFonts w:cs="Arial"/>
        </w:rPr>
        <w:t xml:space="preserve"> operating in the </w:t>
      </w:r>
      <w:r w:rsidR="00F76847">
        <w:rPr>
          <w:rFonts w:cs="Arial"/>
        </w:rPr>
        <w:t>1.5 </w:t>
      </w:r>
      <w:r w:rsidR="008C2323">
        <w:rPr>
          <w:rFonts w:cs="Arial"/>
        </w:rPr>
        <w:t xml:space="preserve">GHz band. More details on current licences </w:t>
      </w:r>
      <w:r w:rsidR="008C2323" w:rsidRPr="00CA4A15">
        <w:t>i</w:t>
      </w:r>
      <w:r w:rsidR="008C2323">
        <w:rPr>
          <w:rFonts w:cs="Arial"/>
        </w:rPr>
        <w:t xml:space="preserve">n the band are available in </w:t>
      </w:r>
      <w:r w:rsidR="00F76847" w:rsidRPr="00AB4DE5">
        <w:rPr>
          <w:rFonts w:cs="Arial"/>
        </w:rPr>
        <w:t>Appendix </w:t>
      </w:r>
      <w:r w:rsidR="006F7024">
        <w:rPr>
          <w:rFonts w:cs="Arial"/>
        </w:rPr>
        <w:t>A</w:t>
      </w:r>
      <w:r w:rsidR="00987BCD">
        <w:rPr>
          <w:rFonts w:cs="Arial"/>
        </w:rPr>
        <w:t>.</w:t>
      </w:r>
    </w:p>
    <w:p w14:paraId="7C2EF60E" w14:textId="152666D3" w:rsidR="00FD64A2" w:rsidRDefault="00F76847" w:rsidP="00CA1B31">
      <w:pPr>
        <w:pStyle w:val="ACMAFigureHeader"/>
      </w:pPr>
      <w:r>
        <w:t>1</w:t>
      </w:r>
      <w:r w:rsidR="008C2323">
        <w:t>.</w:t>
      </w:r>
      <w:r>
        <w:t>5</w:t>
      </w:r>
      <w:r w:rsidR="008C2323">
        <w:t xml:space="preserve"> GHz band arrangements </w:t>
      </w:r>
    </w:p>
    <w:p w14:paraId="5B116D0F" w14:textId="30A27FE8" w:rsidR="008C2323" w:rsidRDefault="00CA1B31" w:rsidP="00FD64A2">
      <w:pPr>
        <w:spacing w:after="0"/>
        <w:rPr>
          <w:rFonts w:cs="Arial"/>
        </w:rPr>
      </w:pPr>
      <w:r>
        <w:rPr>
          <w:noProof/>
        </w:rPr>
        <w:drawing>
          <wp:inline distT="0" distB="0" distL="0" distR="0" wp14:anchorId="68A1C4E9" wp14:editId="4D3221D6">
            <wp:extent cx="4871085" cy="3896498"/>
            <wp:effectExtent l="0" t="0" r="5715" b="8890"/>
            <wp:docPr id="5" name="Picture 5" descr="Diagram showing the different frequencies in this band and uses." title="1.5 GHz band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837"/>
                    <a:stretch/>
                  </pic:blipFill>
                  <pic:spPr bwMode="auto">
                    <a:xfrm>
                      <a:off x="0" y="0"/>
                      <a:ext cx="4871085" cy="3896498"/>
                    </a:xfrm>
                    <a:prstGeom prst="rect">
                      <a:avLst/>
                    </a:prstGeom>
                    <a:ln>
                      <a:noFill/>
                    </a:ln>
                    <a:extLst>
                      <a:ext uri="{53640926-AAD7-44D8-BBD7-CCE9431645EC}">
                        <a14:shadowObscured xmlns:a14="http://schemas.microsoft.com/office/drawing/2010/main"/>
                      </a:ext>
                    </a:extLst>
                  </pic:spPr>
                </pic:pic>
              </a:graphicData>
            </a:graphic>
          </wp:inline>
        </w:drawing>
      </w:r>
    </w:p>
    <w:p w14:paraId="12BD445E" w14:textId="77777777" w:rsidR="00CA4A15" w:rsidRDefault="00CA4A15" w:rsidP="00CA4A15">
      <w:pPr>
        <w:pStyle w:val="ACMASpaceaftertable"/>
      </w:pPr>
    </w:p>
    <w:p w14:paraId="5BD4EEC1" w14:textId="20F37D7F" w:rsidR="001B1965" w:rsidRPr="00CA4A15" w:rsidRDefault="001B1965" w:rsidP="00CA4A15">
      <w:pPr>
        <w:pStyle w:val="BodySubHeader"/>
      </w:pPr>
      <w:r w:rsidRPr="00CA4A15">
        <w:t xml:space="preserve">Fixed </w:t>
      </w:r>
      <w:r w:rsidR="006D26B4">
        <w:t>s</w:t>
      </w:r>
      <w:r w:rsidRPr="00CA4A15">
        <w:t>ervice</w:t>
      </w:r>
    </w:p>
    <w:p w14:paraId="12D851E9" w14:textId="1C5A9AFB" w:rsidR="001B1965" w:rsidRDefault="001B1965" w:rsidP="00CA4A15">
      <w:r>
        <w:t>In the 1.5 GHz band</w:t>
      </w:r>
      <w:r w:rsidR="006D26B4">
        <w:t>,</w:t>
      </w:r>
      <w:r>
        <w:t xml:space="preserve"> there are </w:t>
      </w:r>
      <w:r w:rsidRPr="00AB4DE5">
        <w:t>4</w:t>
      </w:r>
      <w:r w:rsidR="006D26B4">
        <w:t>,</w:t>
      </w:r>
      <w:r w:rsidRPr="00AB4DE5">
        <w:t>6</w:t>
      </w:r>
      <w:r w:rsidR="008332C7" w:rsidRPr="00AB4DE5">
        <w:t>9</w:t>
      </w:r>
      <w:r w:rsidRPr="00AB4DE5">
        <w:t>8</w:t>
      </w:r>
      <w:r>
        <w:t xml:space="preserve"> </w:t>
      </w:r>
      <w:r w:rsidRPr="00E05F0A">
        <w:t xml:space="preserve">frequency assignments </w:t>
      </w:r>
      <w:r>
        <w:t>to point-to-point and 1</w:t>
      </w:r>
      <w:r w:rsidR="006D26B4">
        <w:t>,</w:t>
      </w:r>
      <w:r>
        <w:t>546</w:t>
      </w:r>
      <w:r w:rsidRPr="00E05F0A">
        <w:t xml:space="preserve"> frequency assignments </w:t>
      </w:r>
      <w:r>
        <w:t xml:space="preserve">to point-to-multipoint services (as detailed in </w:t>
      </w:r>
      <w:r w:rsidRPr="00AB4DE5">
        <w:t xml:space="preserve">Appendix </w:t>
      </w:r>
      <w:r>
        <w:t xml:space="preserve">A). </w:t>
      </w:r>
      <w:r w:rsidRPr="00E05F0A">
        <w:t>The existing arrangements in the 1.5 GHz band provide for low-capacity point-to-point fixed links</w:t>
      </w:r>
      <w:r w:rsidR="002E18F0">
        <w:t>,</w:t>
      </w:r>
      <w:r>
        <w:t xml:space="preserve"> as well as provisions to enable use</w:t>
      </w:r>
      <w:r w:rsidRPr="00E05F0A">
        <w:t xml:space="preserve"> by the Digital Radio Concentrator System (DRCS) and High Capacity Radio Concentrator (HCRC). These provide point-to-point and point-to-multipoint fixed links as part of the public telecommunications network in rural and remote are</w:t>
      </w:r>
      <w:r>
        <w:t xml:space="preserve">as. </w:t>
      </w:r>
    </w:p>
    <w:p w14:paraId="0FCB0B6C" w14:textId="01F3F200" w:rsidR="001B1965" w:rsidRDefault="002E18F0" w:rsidP="00CA4A15">
      <w:r>
        <w:t xml:space="preserve">For </w:t>
      </w:r>
      <w:r w:rsidR="001B1965">
        <w:t xml:space="preserve">point-to-point </w:t>
      </w:r>
      <w:r>
        <w:t xml:space="preserve">services, 3,666 (79 per cent) are licensed to Telstra, as well as </w:t>
      </w:r>
      <w:r w:rsidR="001B1965">
        <w:t>1</w:t>
      </w:r>
      <w:r>
        <w:t>,</w:t>
      </w:r>
      <w:r w:rsidR="001B1965">
        <w:t>436 (93</w:t>
      </w:r>
      <w:r>
        <w:t xml:space="preserve"> per cent</w:t>
      </w:r>
      <w:r w:rsidR="001B1965">
        <w:t xml:space="preserve">) of point-to-multipoint services. These are used to </w:t>
      </w:r>
      <w:r w:rsidR="001B1965" w:rsidRPr="00233A9D">
        <w:t xml:space="preserve">deliver voice telecommunications services to customers in regional and remote areas, as part of its </w:t>
      </w:r>
      <w:r w:rsidR="001B1965">
        <w:t>universal service obligation (</w:t>
      </w:r>
      <w:r w:rsidR="001B1965" w:rsidRPr="00233A9D">
        <w:t>USO</w:t>
      </w:r>
      <w:r w:rsidR="001B1965">
        <w:t>) responsibilities</w:t>
      </w:r>
      <w:r w:rsidR="001B1965" w:rsidRPr="00233A9D">
        <w:t xml:space="preserve">. </w:t>
      </w:r>
    </w:p>
    <w:p w14:paraId="28621529" w14:textId="77777777" w:rsidR="00B32CC5" w:rsidRPr="00CA4A15" w:rsidRDefault="00B32CC5" w:rsidP="00CA4A15">
      <w:pPr>
        <w:pStyle w:val="BodySubHeader"/>
      </w:pPr>
      <w:r w:rsidRPr="00CA4A15">
        <w:t>Broadcasting services</w:t>
      </w:r>
    </w:p>
    <w:p w14:paraId="0810D178" w14:textId="1FB21F5D" w:rsidR="00B32CC5" w:rsidRPr="00E05F0A" w:rsidRDefault="00B32CC5" w:rsidP="00CA4A15">
      <w:r>
        <w:t>A</w:t>
      </w:r>
      <w:r w:rsidRPr="00E05F0A">
        <w:t>llocation</w:t>
      </w:r>
      <w:r>
        <w:t>s</w:t>
      </w:r>
      <w:r w:rsidRPr="00E05F0A">
        <w:t xml:space="preserve"> to </w:t>
      </w:r>
      <w:r>
        <w:t xml:space="preserve">the </w:t>
      </w:r>
      <w:r w:rsidRPr="00E05F0A">
        <w:t>broadcasting and broadcasting</w:t>
      </w:r>
      <w:r>
        <w:t>-</w:t>
      </w:r>
      <w:r w:rsidRPr="00E05F0A">
        <w:t xml:space="preserve">satellite (both intended for digital sound broadcasting—DSB) services </w:t>
      </w:r>
      <w:r>
        <w:t xml:space="preserve">were made in the </w:t>
      </w:r>
      <w:r w:rsidRPr="00E05F0A">
        <w:t>1452–1492 MHz</w:t>
      </w:r>
      <w:r>
        <w:t xml:space="preserve"> frequency range a</w:t>
      </w:r>
      <w:r w:rsidRPr="00E05F0A">
        <w:t>t the 1992 ITU World Administrative Radio Conference (WARC-92).</w:t>
      </w:r>
      <w:r>
        <w:t xml:space="preserve"> </w:t>
      </w:r>
      <w:r w:rsidRPr="00E05F0A">
        <w:t xml:space="preserve">The </w:t>
      </w:r>
      <w:r>
        <w:t>1.5 </w:t>
      </w:r>
      <w:r w:rsidRPr="00E05F0A">
        <w:t>GHz Band Plan prevents new assignments being made for other services in the frequency band 1452–1492 MHz</w:t>
      </w:r>
      <w:r w:rsidR="002E18F0">
        <w:t>,</w:t>
      </w:r>
      <w:r w:rsidRPr="00E05F0A">
        <w:t xml:space="preserve"> in order to preserve the band for future DSB services.</w:t>
      </w:r>
    </w:p>
    <w:p w14:paraId="0840A67D" w14:textId="40C13301" w:rsidR="00B32CC5" w:rsidRDefault="00B32CC5" w:rsidP="00CA4A15">
      <w:r w:rsidRPr="00E05F0A">
        <w:t xml:space="preserve">While there were trials carried out </w:t>
      </w:r>
      <w:r w:rsidR="00892691">
        <w:t>in</w:t>
      </w:r>
      <w:r w:rsidR="00892691" w:rsidRPr="00E05F0A">
        <w:t xml:space="preserve"> </w:t>
      </w:r>
      <w:r w:rsidRPr="00E05F0A">
        <w:t xml:space="preserve">Australia during the 1990s and 2000s, the DSB allocation in the 1.5 GHz Band has remained unused for broadcasting services. </w:t>
      </w:r>
    </w:p>
    <w:p w14:paraId="7A4C41CF" w14:textId="06978F8B" w:rsidR="00B32CC5" w:rsidRDefault="00C23324" w:rsidP="00CA4A15">
      <w:hyperlink r:id="rId48" w:history="1">
        <w:r w:rsidR="00B32CC5" w:rsidRPr="00E760A9">
          <w:rPr>
            <w:rStyle w:val="Hyperlink"/>
          </w:rPr>
          <w:t>Responses</w:t>
        </w:r>
      </w:hyperlink>
      <w:r w:rsidR="00B32CC5">
        <w:t xml:space="preserve"> </w:t>
      </w:r>
      <w:r w:rsidR="00E760A9">
        <w:t>from</w:t>
      </w:r>
      <w:r w:rsidR="00B32CC5">
        <w:t xml:space="preserve"> the broadcasting industry to the ACMA’s </w:t>
      </w:r>
      <w:r w:rsidR="00B32CC5" w:rsidRPr="00577F9D">
        <w:rPr>
          <w:i/>
        </w:rPr>
        <w:t xml:space="preserve">Planning for </w:t>
      </w:r>
      <w:r w:rsidR="00B32CC5">
        <w:rPr>
          <w:i/>
        </w:rPr>
        <w:t>m</w:t>
      </w:r>
      <w:r w:rsidR="00B32CC5" w:rsidRPr="00577F9D">
        <w:rPr>
          <w:i/>
        </w:rPr>
        <w:t xml:space="preserve">obile </w:t>
      </w:r>
      <w:r w:rsidR="00B32CC5">
        <w:rPr>
          <w:i/>
        </w:rPr>
        <w:t>b</w:t>
      </w:r>
      <w:r w:rsidR="00B32CC5" w:rsidRPr="00577F9D">
        <w:rPr>
          <w:i/>
        </w:rPr>
        <w:t>roadband in the 1.5 GHz mobile band</w:t>
      </w:r>
      <w:r w:rsidR="00B32CC5" w:rsidRPr="00577F9D">
        <w:t xml:space="preserve"> in 2012</w:t>
      </w:r>
      <w:r w:rsidR="00B32CC5">
        <w:t xml:space="preserve"> expressed an interest in retaining the 1452</w:t>
      </w:r>
      <w:r w:rsidR="002E18F0">
        <w:t>–</w:t>
      </w:r>
      <w:r w:rsidR="00B32CC5">
        <w:t>1492 MHz allocation for sound broadcasting</w:t>
      </w:r>
      <w:r w:rsidR="002E18F0">
        <w:t>,</w:t>
      </w:r>
      <w:r w:rsidR="00B32CC5">
        <w:t xml:space="preserve"> as digital radio planning in VHF band III had </w:t>
      </w:r>
      <w:r w:rsidR="00B32CC5" w:rsidRPr="00825760">
        <w:t>not yet been completed</w:t>
      </w:r>
      <w:r w:rsidR="00065241" w:rsidRPr="00825760">
        <w:t xml:space="preserve">. This was despite limited use worldwide. While deployments in </w:t>
      </w:r>
      <w:r w:rsidR="00B32CC5" w:rsidRPr="00825760">
        <w:t xml:space="preserve">Vatican City, </w:t>
      </w:r>
      <w:r w:rsidR="00C059B8" w:rsidRPr="00825760">
        <w:t xml:space="preserve">the </w:t>
      </w:r>
      <w:r w:rsidR="00B32CC5" w:rsidRPr="00825760">
        <w:t xml:space="preserve">Czech Republic and Italy </w:t>
      </w:r>
      <w:r w:rsidR="00065241" w:rsidRPr="00825760">
        <w:t xml:space="preserve">were highlighted in submissions, </w:t>
      </w:r>
      <w:r w:rsidR="00B32CC5" w:rsidRPr="00825760">
        <w:t>these deployments have been limited in nature.</w:t>
      </w:r>
      <w:r w:rsidR="00B32CC5">
        <w:t xml:space="preserve"> </w:t>
      </w:r>
    </w:p>
    <w:p w14:paraId="333FBE3C" w14:textId="2A55DE56" w:rsidR="00B32CC5" w:rsidRPr="00CA4A15" w:rsidRDefault="00B32CC5" w:rsidP="00CA4A15">
      <w:pPr>
        <w:pStyle w:val="BodySubHeader"/>
      </w:pPr>
      <w:r w:rsidRPr="00CA4A15">
        <w:t>Broadcasting-</w:t>
      </w:r>
      <w:r w:rsidR="00E760A9" w:rsidRPr="00CA4A15">
        <w:t>s</w:t>
      </w:r>
      <w:r w:rsidRPr="00CA4A15">
        <w:t>atellite services</w:t>
      </w:r>
    </w:p>
    <w:p w14:paraId="0565FF2E" w14:textId="32FF6AFF" w:rsidR="00E760A9" w:rsidRDefault="00E760A9" w:rsidP="00CA4A15">
      <w:r w:rsidRPr="00E760A9">
        <w:t xml:space="preserve">Australia is the notifying administration for the satellite filing of </w:t>
      </w:r>
      <w:r w:rsidR="008C6867">
        <w:t>an</w:t>
      </w:r>
      <w:r w:rsidR="008C6867" w:rsidRPr="00E760A9">
        <w:t xml:space="preserve"> </w:t>
      </w:r>
      <w:r w:rsidRPr="00E760A9">
        <w:t>existing operational satellite network that has provided digital sound and multimedia satellite broadcasting services to Asia</w:t>
      </w:r>
      <w:r>
        <w:t xml:space="preserve"> in the 1467</w:t>
      </w:r>
      <w:r w:rsidR="002E18F0">
        <w:t>–</w:t>
      </w:r>
      <w:r>
        <w:t>1492 MHz band. However, this filing does not service Australia. Filings that covered Australia and included this frequency range have been suppressed.</w:t>
      </w:r>
    </w:p>
    <w:p w14:paraId="34FB2CF4" w14:textId="0BB875B5" w:rsidR="00E760A9" w:rsidRPr="00B32CC5" w:rsidRDefault="00C23324" w:rsidP="00E760A9">
      <w:hyperlink r:id="rId49" w:history="1">
        <w:r w:rsidR="00E760A9" w:rsidRPr="00E760A9">
          <w:rPr>
            <w:rStyle w:val="Hyperlink"/>
          </w:rPr>
          <w:t>Responses</w:t>
        </w:r>
      </w:hyperlink>
      <w:r w:rsidR="00E760A9">
        <w:t xml:space="preserve"> from the satellite industry to the ACMA’s </w:t>
      </w:r>
      <w:r w:rsidR="00E760A9" w:rsidRPr="00577F9D">
        <w:rPr>
          <w:i/>
        </w:rPr>
        <w:t xml:space="preserve">Planning for </w:t>
      </w:r>
      <w:r w:rsidR="00E760A9">
        <w:rPr>
          <w:i/>
        </w:rPr>
        <w:t>m</w:t>
      </w:r>
      <w:r w:rsidR="00E760A9" w:rsidRPr="00577F9D">
        <w:rPr>
          <w:i/>
        </w:rPr>
        <w:t xml:space="preserve">obile </w:t>
      </w:r>
      <w:r w:rsidR="00E760A9">
        <w:rPr>
          <w:i/>
        </w:rPr>
        <w:t>b</w:t>
      </w:r>
      <w:r w:rsidR="00E760A9" w:rsidRPr="00577F9D">
        <w:rPr>
          <w:i/>
        </w:rPr>
        <w:t>roadband in the 1.5 GHz mobile band</w:t>
      </w:r>
      <w:r w:rsidR="00E760A9" w:rsidRPr="00577F9D">
        <w:t xml:space="preserve"> in 2012</w:t>
      </w:r>
      <w:r w:rsidR="00E760A9">
        <w:t xml:space="preserve"> suggested that a 12.5 MHz allocation would be sufficient for BSS(S) in the 1452</w:t>
      </w:r>
      <w:r w:rsidR="002E18F0">
        <w:t>–</w:t>
      </w:r>
      <w:r w:rsidR="00E760A9">
        <w:t xml:space="preserve">1492 MHz range. </w:t>
      </w:r>
    </w:p>
    <w:p w14:paraId="3B46DB08" w14:textId="07265D58" w:rsidR="008C2323" w:rsidRPr="00CA4A15" w:rsidRDefault="00B32CC5" w:rsidP="00CA4A15">
      <w:pPr>
        <w:pStyle w:val="BodySubHeader"/>
      </w:pPr>
      <w:r w:rsidRPr="00CA4A15">
        <w:t>Defence frequency assignments</w:t>
      </w:r>
    </w:p>
    <w:p w14:paraId="605E0A5D" w14:textId="186C4C3B" w:rsidR="00716ED8" w:rsidRPr="007D3BCF" w:rsidRDefault="00B32CC5" w:rsidP="00CA4A15">
      <w:pPr>
        <w:rPr>
          <w:b/>
        </w:rPr>
      </w:pPr>
      <w:r w:rsidRPr="00B32CC5">
        <w:t xml:space="preserve">In the 1.5 GHz mobile band, there are </w:t>
      </w:r>
      <w:r w:rsidRPr="00925CC2">
        <w:t>26</w:t>
      </w:r>
      <w:r w:rsidRPr="00E05F0A">
        <w:t xml:space="preserve"> frequency assignments to the Department of Defence, including both area-wide and location-specific assignments for fixed receive, aeronautical assigned system, aircraft assigned, point-to-point a</w:t>
      </w:r>
      <w:r>
        <w:t>nd radiodetermination services.</w:t>
      </w:r>
    </w:p>
    <w:p w14:paraId="66A4E651" w14:textId="434D1A1F" w:rsidR="006F7024" w:rsidRPr="00825760" w:rsidRDefault="006F7024" w:rsidP="00E03708">
      <w:pPr>
        <w:spacing w:after="120"/>
      </w:pPr>
      <w:r>
        <w:t>The 1435</w:t>
      </w:r>
      <w:r w:rsidR="006B7A60">
        <w:t>–</w:t>
      </w:r>
      <w:r>
        <w:t>1535 MHz</w:t>
      </w:r>
      <w:r w:rsidR="00655B39">
        <w:t xml:space="preserve"> band is subject to Australian Footnote AUS3 in the </w:t>
      </w:r>
      <w:r w:rsidR="00655B39" w:rsidRPr="00825760">
        <w:t>ARSP</w:t>
      </w:r>
      <w:r w:rsidR="006B7A60">
        <w:t>,</w:t>
      </w:r>
      <w:r w:rsidR="00655B39">
        <w:t xml:space="preserve"> which </w:t>
      </w:r>
      <w:r w:rsidR="00655B39" w:rsidRPr="00825760">
        <w:t>states:</w:t>
      </w:r>
    </w:p>
    <w:p w14:paraId="1695AAA0" w14:textId="1A4C3919" w:rsidR="00655B39" w:rsidRPr="00825760" w:rsidRDefault="00655B39" w:rsidP="00655B39">
      <w:pPr>
        <w:tabs>
          <w:tab w:val="left" w:pos="1134"/>
        </w:tabs>
        <w:ind w:left="1134" w:hanging="567"/>
        <w:rPr>
          <w:rFonts w:cs="Arial"/>
          <w:sz w:val="18"/>
          <w:szCs w:val="18"/>
        </w:rPr>
      </w:pPr>
      <w:r w:rsidRPr="00825760">
        <w:rPr>
          <w:rFonts w:cs="Arial"/>
          <w:b/>
          <w:sz w:val="18"/>
          <w:szCs w:val="18"/>
        </w:rPr>
        <w:t>AUS3</w:t>
      </w:r>
      <w:r w:rsidRPr="00825760">
        <w:rPr>
          <w:rFonts w:cs="Arial"/>
          <w:sz w:val="18"/>
          <w:szCs w:val="18"/>
        </w:rPr>
        <w:tab/>
        <w:t>The use of the band 1 435–1 535 MHz by the aeronautical mobile service for telemetry has priority over other uses by the mobile service.</w:t>
      </w:r>
    </w:p>
    <w:p w14:paraId="55278C38" w14:textId="2BDA892A" w:rsidR="00655B39" w:rsidRPr="00655B39" w:rsidRDefault="00D6585F" w:rsidP="00CA4A15">
      <w:r>
        <w:t xml:space="preserve">Should the 1.5 GHz band be re-farmed, sharing arrangements will need to be considered between services providing aeronautical telemetry and new services. </w:t>
      </w:r>
      <w:r w:rsidR="001B1965">
        <w:t>A</w:t>
      </w:r>
      <w:r w:rsidR="00655B39">
        <w:t xml:space="preserve"> potential consequence of the review of the 1.5 GHz band </w:t>
      </w:r>
      <w:r w:rsidR="00201381">
        <w:t xml:space="preserve">could be </w:t>
      </w:r>
      <w:r w:rsidR="00655B39">
        <w:t>the deletion or modification of AUS3</w:t>
      </w:r>
      <w:r w:rsidR="006B7A60">
        <w:t>,</w:t>
      </w:r>
      <w:r w:rsidR="00655B39">
        <w:t xml:space="preserve"> should the band be re</w:t>
      </w:r>
      <w:r>
        <w:t>-</w:t>
      </w:r>
      <w:r w:rsidR="00655B39">
        <w:t xml:space="preserve">farmed. </w:t>
      </w:r>
    </w:p>
    <w:p w14:paraId="3C8066CD" w14:textId="5C369E20" w:rsidR="00655B39" w:rsidRPr="006D6661" w:rsidRDefault="00655B39" w:rsidP="00107352">
      <w:pPr>
        <w:pStyle w:val="ListParagraph"/>
        <w:numPr>
          <w:ilvl w:val="0"/>
          <w:numId w:val="19"/>
        </w:numPr>
        <w:shd w:val="clear" w:color="auto" w:fill="F2F2F2" w:themeFill="background1" w:themeFillShade="F2"/>
        <w:ind w:left="426" w:hanging="426"/>
        <w:rPr>
          <w:b/>
        </w:rPr>
      </w:pPr>
      <w:r w:rsidRPr="006D6661">
        <w:rPr>
          <w:b/>
        </w:rPr>
        <w:t xml:space="preserve">The ACMA seeks comment on expected future use of the 1.5 GHz band by the fixed, broadcasting and broadcasting-satellite </w:t>
      </w:r>
      <w:r w:rsidR="00C059B8" w:rsidRPr="006D6661">
        <w:rPr>
          <w:b/>
        </w:rPr>
        <w:t xml:space="preserve">services </w:t>
      </w:r>
      <w:r w:rsidRPr="006D6661">
        <w:rPr>
          <w:b/>
        </w:rPr>
        <w:t>and by the Department of Defence in Australia.</w:t>
      </w:r>
    </w:p>
    <w:p w14:paraId="57E41959" w14:textId="7FEFEC9A" w:rsidR="006B7A60" w:rsidRDefault="00D6585F" w:rsidP="00107352">
      <w:pPr>
        <w:pStyle w:val="ListParagraph"/>
        <w:numPr>
          <w:ilvl w:val="0"/>
          <w:numId w:val="19"/>
        </w:numPr>
        <w:shd w:val="clear" w:color="auto" w:fill="F2F2F2" w:themeFill="background1" w:themeFillShade="F2"/>
        <w:ind w:left="426" w:hanging="426"/>
      </w:pPr>
      <w:r w:rsidRPr="006D6661">
        <w:rPr>
          <w:b/>
        </w:rPr>
        <w:t xml:space="preserve">Comment is sought on the potential deletion or modification of </w:t>
      </w:r>
      <w:r w:rsidR="005E67BD" w:rsidRPr="006D6661">
        <w:rPr>
          <w:b/>
        </w:rPr>
        <w:t xml:space="preserve">footnote </w:t>
      </w:r>
      <w:r w:rsidRPr="006D6661">
        <w:rPr>
          <w:b/>
        </w:rPr>
        <w:t xml:space="preserve">AUS3 </w:t>
      </w:r>
      <w:r w:rsidR="005E67BD" w:rsidRPr="006D6661">
        <w:rPr>
          <w:b/>
        </w:rPr>
        <w:t>from the ARSP</w:t>
      </w:r>
      <w:r w:rsidR="00C059B8" w:rsidRPr="006D6661">
        <w:rPr>
          <w:b/>
        </w:rPr>
        <w:t>.</w:t>
      </w:r>
    </w:p>
    <w:p w14:paraId="590E93B4" w14:textId="3254CBE1" w:rsidR="00A26389" w:rsidRPr="00CA4A15" w:rsidRDefault="00A26389" w:rsidP="00CA4A15">
      <w:pPr>
        <w:pStyle w:val="BodySubHeader"/>
      </w:pPr>
      <w:r w:rsidRPr="00CA4A15">
        <w:t xml:space="preserve">Adjacent </w:t>
      </w:r>
      <w:r w:rsidR="00A20795" w:rsidRPr="00CA4A15">
        <w:t xml:space="preserve">band </w:t>
      </w:r>
      <w:r w:rsidRPr="00CA4A15">
        <w:t>services</w:t>
      </w:r>
      <w:r w:rsidR="006B7A60">
        <w:t>—</w:t>
      </w:r>
      <w:r w:rsidRPr="00CA4A15">
        <w:t>Science services</w:t>
      </w:r>
    </w:p>
    <w:p w14:paraId="606B13E6" w14:textId="0BDFF3EA" w:rsidR="006F7024" w:rsidRPr="00092625" w:rsidRDefault="006F7024" w:rsidP="00CA4A15">
      <w:r w:rsidRPr="00825760">
        <w:t>Adjacent band users include the science community</w:t>
      </w:r>
      <w:r w:rsidRPr="00D73536">
        <w:t>. 1400</w:t>
      </w:r>
      <w:r w:rsidR="006B7A60">
        <w:t>–</w:t>
      </w:r>
      <w:r w:rsidRPr="00D73536">
        <w:t>1427 MHz is a passive sensing band</w:t>
      </w:r>
      <w:r w:rsidR="0017373B">
        <w:t xml:space="preserve"> with primary allocations to the Earth Exploration-Satellite (passive), Radio Astronomy and Space Research (passive) services</w:t>
      </w:r>
      <w:r w:rsidRPr="00D73536">
        <w:t xml:space="preserve">. This band is one of the most important bands for radio astronomy, since it encompasses a fundamental spectral line of hydrogen, which is by far the most prevalent element in the </w:t>
      </w:r>
      <w:r w:rsidR="00602269">
        <w:t>u</w:t>
      </w:r>
      <w:r w:rsidRPr="00D73536">
        <w:t xml:space="preserve">niverse. </w:t>
      </w:r>
      <w:r w:rsidR="00BA0511">
        <w:t xml:space="preserve">ITU-R Resolution </w:t>
      </w:r>
      <w:r w:rsidR="00BA0511" w:rsidRPr="00925CC2">
        <w:rPr>
          <w:b/>
        </w:rPr>
        <w:t>750 (WRC-15)</w:t>
      </w:r>
      <w:r w:rsidR="00BA0511">
        <w:t xml:space="preserve"> </w:t>
      </w:r>
      <w:r w:rsidR="00074D7B">
        <w:t>defines unwanted emission limits in the 1400</w:t>
      </w:r>
      <w:r w:rsidR="006B7A60">
        <w:t>–</w:t>
      </w:r>
      <w:r w:rsidR="00074D7B">
        <w:t>1427</w:t>
      </w:r>
      <w:r w:rsidR="006B7A60">
        <w:t> </w:t>
      </w:r>
      <w:r w:rsidR="00074D7B">
        <w:t>MHz band for mobile devices operating in the 1.5 GHz band. This limit was defined at WRC-15 to protect passive Earth Exploration Satellite services (EESS) operating in 1400</w:t>
      </w:r>
      <w:r w:rsidR="006B7A60">
        <w:t>–</w:t>
      </w:r>
      <w:r w:rsidR="00074D7B">
        <w:t>1427 MHz band</w:t>
      </w:r>
      <w:r w:rsidR="006B7A60">
        <w:t>,</w:t>
      </w:r>
      <w:r w:rsidR="00074D7B">
        <w:t xml:space="preserve"> from adjacent band IMT systems.  </w:t>
      </w:r>
    </w:p>
    <w:p w14:paraId="7EAC1461" w14:textId="09050344" w:rsidR="00925CC2" w:rsidRPr="00CA4A15" w:rsidRDefault="00A26389" w:rsidP="00CA4A15">
      <w:pPr>
        <w:pStyle w:val="BodySubHeader"/>
      </w:pPr>
      <w:r w:rsidRPr="00CA4A15">
        <w:t xml:space="preserve">Adjacent </w:t>
      </w:r>
      <w:r w:rsidR="00A20795" w:rsidRPr="00CA4A15">
        <w:t xml:space="preserve">band </w:t>
      </w:r>
      <w:r w:rsidRPr="00CA4A15">
        <w:t>services</w:t>
      </w:r>
      <w:r w:rsidR="006B7A60">
        <w:t>—</w:t>
      </w:r>
      <w:r w:rsidRPr="00CA4A15">
        <w:t xml:space="preserve">Mobile-satellite </w:t>
      </w:r>
      <w:r w:rsidR="00925CC2" w:rsidRPr="00CA4A15">
        <w:t>services</w:t>
      </w:r>
    </w:p>
    <w:p w14:paraId="3E8D83E5" w14:textId="099E53CE" w:rsidR="00B569B2" w:rsidRPr="00925CC2" w:rsidRDefault="00602269" w:rsidP="00CA4A15">
      <w:r w:rsidRPr="00925CC2">
        <w:t>T</w:t>
      </w:r>
      <w:r w:rsidR="00B569B2" w:rsidRPr="00925CC2">
        <w:t xml:space="preserve">he </w:t>
      </w:r>
      <w:r w:rsidRPr="00925CC2">
        <w:t xml:space="preserve">upper </w:t>
      </w:r>
      <w:r w:rsidR="00B569B2" w:rsidRPr="00925CC2">
        <w:t xml:space="preserve">side of the </w:t>
      </w:r>
      <w:r w:rsidRPr="00925CC2">
        <w:t xml:space="preserve">1.5 GHz </w:t>
      </w:r>
      <w:r w:rsidR="00B569B2" w:rsidRPr="00925CC2">
        <w:t xml:space="preserve">band </w:t>
      </w:r>
      <w:r w:rsidRPr="00925CC2">
        <w:t>is allocated to the mobile-satellite service. L</w:t>
      </w:r>
      <w:r w:rsidR="00B569B2" w:rsidRPr="00925CC2">
        <w:t>icensees in Australia include Inmarsat, Thuraya and Optus. As noted earlier</w:t>
      </w:r>
      <w:r w:rsidR="00C059B8">
        <w:t>,</w:t>
      </w:r>
      <w:r w:rsidR="00B569B2" w:rsidRPr="00925CC2">
        <w:t xml:space="preserve"> the ITU-R is conducting compatibility studies in order to provide technical measures to ensure coexistence between MSS and IMT. </w:t>
      </w:r>
    </w:p>
    <w:p w14:paraId="689688BB" w14:textId="205AF928" w:rsidR="00AE21FF" w:rsidRPr="000D76E0" w:rsidRDefault="00AE21FF" w:rsidP="00CA4A15">
      <w:pPr>
        <w:pStyle w:val="Heading2"/>
      </w:pPr>
      <w:bookmarkStart w:id="67" w:name="_Toc459906723"/>
      <w:bookmarkStart w:id="68" w:name="_Toc464480517"/>
      <w:bookmarkStart w:id="69" w:name="_Toc298924672"/>
      <w:bookmarkStart w:id="70" w:name="_Toc300909555"/>
      <w:bookmarkStart w:id="71" w:name="_Toc348105636"/>
      <w:r>
        <w:t xml:space="preserve">Initial investigation of the 1.5 GHz </w:t>
      </w:r>
      <w:r w:rsidR="00F23F68">
        <w:t xml:space="preserve">band </w:t>
      </w:r>
      <w:r>
        <w:t xml:space="preserve">for use by </w:t>
      </w:r>
      <w:r w:rsidR="005A21F6">
        <w:t>MBB</w:t>
      </w:r>
      <w:r>
        <w:t xml:space="preserve"> services</w:t>
      </w:r>
      <w:bookmarkEnd w:id="67"/>
      <w:bookmarkEnd w:id="68"/>
    </w:p>
    <w:p w14:paraId="34AE37A4" w14:textId="14998EF2" w:rsidR="00ED0D0F" w:rsidRDefault="00FE4948" w:rsidP="00CA4A15">
      <w:pPr>
        <w:spacing w:after="80"/>
      </w:pPr>
      <w:r>
        <w:t xml:space="preserve">The 1.5 GHz band is currently in the </w:t>
      </w:r>
      <w:r>
        <w:rPr>
          <w:i/>
        </w:rPr>
        <w:t xml:space="preserve">initial investigation </w:t>
      </w:r>
      <w:r>
        <w:t xml:space="preserve">stage of the ACMA’s process for consideration of additional spectrum for </w:t>
      </w:r>
      <w:r w:rsidR="005A21F6">
        <w:t>MBB</w:t>
      </w:r>
      <w:r w:rsidRPr="00337B1E">
        <w:t xml:space="preserve"> </w:t>
      </w:r>
      <w:r>
        <w:t>services</w:t>
      </w:r>
      <w:r w:rsidRPr="00337B1E">
        <w:t>. As part of the work conducted at this</w:t>
      </w:r>
      <w:r w:rsidRPr="00337B1E">
        <w:rPr>
          <w:i/>
        </w:rPr>
        <w:t xml:space="preserve"> </w:t>
      </w:r>
      <w:r w:rsidRPr="00337B1E">
        <w:t>stage, the ACMA</w:t>
      </w:r>
      <w:r>
        <w:t xml:space="preserve"> </w:t>
      </w:r>
      <w:r w:rsidR="00D62BE2">
        <w:t xml:space="preserve">performs </w:t>
      </w:r>
      <w:r>
        <w:t>an i</w:t>
      </w:r>
      <w:r w:rsidRPr="00D60BD6">
        <w:t xml:space="preserve">nitial investigation and scoping of potential </w:t>
      </w:r>
      <w:r w:rsidRPr="00B37092">
        <w:rPr>
          <w:bCs/>
        </w:rPr>
        <w:t>options</w:t>
      </w:r>
      <w:r w:rsidRPr="00D60BD6">
        <w:t xml:space="preserve"> for domestic re-farming of a band</w:t>
      </w:r>
      <w:r>
        <w:t xml:space="preserve">. </w:t>
      </w:r>
      <w:r w:rsidR="00ED0D0F">
        <w:t>This includes considering the following three issues:</w:t>
      </w:r>
    </w:p>
    <w:p w14:paraId="46674F88" w14:textId="3F742A4A" w:rsidR="00ED0D0F" w:rsidRPr="00D94C1D" w:rsidRDefault="006B7A60" w:rsidP="00CA4A15">
      <w:pPr>
        <w:pStyle w:val="ListBullet"/>
      </w:pPr>
      <w:r>
        <w:t>p</w:t>
      </w:r>
      <w:r w:rsidR="00ED0D0F" w:rsidRPr="00D94C1D">
        <w:t>otential spectrum options for re-farming</w:t>
      </w:r>
    </w:p>
    <w:p w14:paraId="4A1F9B9B" w14:textId="1F42BD42" w:rsidR="00ED0D0F" w:rsidRPr="00FC77B8" w:rsidRDefault="006B7A60" w:rsidP="00CA4A15">
      <w:pPr>
        <w:pStyle w:val="ListBullet"/>
      </w:pPr>
      <w:r>
        <w:t>p</w:t>
      </w:r>
      <w:r w:rsidR="00ED0D0F" w:rsidRPr="000E6E09">
        <w:t>otential geographical options for re-farming</w:t>
      </w:r>
    </w:p>
    <w:p w14:paraId="061492EA" w14:textId="5E634FE3" w:rsidR="00ED0D0F" w:rsidRPr="00DE50D5" w:rsidRDefault="006B7A60" w:rsidP="00CA4A15">
      <w:pPr>
        <w:pStyle w:val="ListBulletLast"/>
      </w:pPr>
      <w:r>
        <w:t>c</w:t>
      </w:r>
      <w:r w:rsidR="00ED0D0F" w:rsidRPr="009A5C12">
        <w:t>oexistence and</w:t>
      </w:r>
      <w:r w:rsidR="00ED0D0F" w:rsidRPr="009179D7">
        <w:t xml:space="preserve"> sharing issues with </w:t>
      </w:r>
      <w:r w:rsidR="00FB1053">
        <w:t>incumbent</w:t>
      </w:r>
      <w:r w:rsidR="00ED0D0F" w:rsidRPr="009179D7">
        <w:t xml:space="preserve"> services.</w:t>
      </w:r>
      <w:r w:rsidR="00ED0D0F" w:rsidRPr="00DE50D5">
        <w:t xml:space="preserve"> </w:t>
      </w:r>
    </w:p>
    <w:p w14:paraId="4257FD48" w14:textId="6E299280" w:rsidR="00FE4948" w:rsidRPr="006D46E5" w:rsidRDefault="00FE4948" w:rsidP="00CA4A15">
      <w:r>
        <w:t>The outcomes of this work are presented in this section.</w:t>
      </w:r>
      <w:r w:rsidRPr="00337B1E">
        <w:t xml:space="preserve"> </w:t>
      </w:r>
      <w:r>
        <w:t xml:space="preserve"> </w:t>
      </w:r>
    </w:p>
    <w:p w14:paraId="449C99BC" w14:textId="77777777" w:rsidR="00FE4948" w:rsidRDefault="00FE4948" w:rsidP="00CA4A15">
      <w:pPr>
        <w:pStyle w:val="Heading3"/>
      </w:pPr>
      <w:bookmarkStart w:id="72" w:name="_Potential_spectrum_options"/>
      <w:bookmarkStart w:id="73" w:name="_Ref459386822"/>
      <w:bookmarkStart w:id="74" w:name="_Toc459906724"/>
      <w:bookmarkStart w:id="75" w:name="_Toc464480518"/>
      <w:bookmarkEnd w:id="72"/>
      <w:r>
        <w:t xml:space="preserve">Potential spectrum </w:t>
      </w:r>
      <w:r w:rsidRPr="00CA4A15">
        <w:t>options</w:t>
      </w:r>
      <w:bookmarkEnd w:id="73"/>
      <w:bookmarkEnd w:id="74"/>
      <w:bookmarkEnd w:id="75"/>
    </w:p>
    <w:p w14:paraId="694A57C7" w14:textId="6F7CA7A2" w:rsidR="00076131" w:rsidRDefault="00B92663" w:rsidP="00CA4A15">
      <w:r>
        <w:t>As mentioned previously</w:t>
      </w:r>
      <w:r w:rsidR="006B7A60">
        <w:t>,</w:t>
      </w:r>
      <w:r>
        <w:t xml:space="preserve"> there are some internationally</w:t>
      </w:r>
      <w:r w:rsidR="005A21F6">
        <w:t>-</w:t>
      </w:r>
      <w:r>
        <w:t xml:space="preserve">harmonised arrangements defined for </w:t>
      </w:r>
      <w:r w:rsidRPr="00B92663">
        <w:t>the 1.5 GHz band</w:t>
      </w:r>
      <w:r>
        <w:t>,</w:t>
      </w:r>
      <w:r w:rsidRPr="00B92663">
        <w:t xml:space="preserve"> though they </w:t>
      </w:r>
      <w:r w:rsidR="00372C5F">
        <w:t xml:space="preserve">currently </w:t>
      </w:r>
      <w:r w:rsidRPr="00B92663">
        <w:t xml:space="preserve">only encompass a portion of the band. </w:t>
      </w:r>
      <w:r w:rsidR="00FE4948">
        <w:t xml:space="preserve">Arrangements for </w:t>
      </w:r>
      <w:r w:rsidR="005A21F6">
        <w:t>MBB</w:t>
      </w:r>
      <w:r w:rsidR="00FE4948">
        <w:t xml:space="preserve"> use </w:t>
      </w:r>
      <w:r>
        <w:t xml:space="preserve">that maximise the utility </w:t>
      </w:r>
      <w:r w:rsidR="00FE4948">
        <w:t xml:space="preserve">of the </w:t>
      </w:r>
      <w:r>
        <w:t>entire</w:t>
      </w:r>
      <w:r w:rsidR="00C059B8">
        <w:t xml:space="preserve"> </w:t>
      </w:r>
      <w:r w:rsidR="00FE4948">
        <w:t xml:space="preserve">1.5 GHz band are currently under consideration </w:t>
      </w:r>
      <w:r w:rsidR="000661C1">
        <w:t>by</w:t>
      </w:r>
      <w:r w:rsidR="00FE4948">
        <w:t xml:space="preserve"> international bodies</w:t>
      </w:r>
      <w:r w:rsidR="005A21F6">
        <w:t>,</w:t>
      </w:r>
      <w:r w:rsidR="00FE4948">
        <w:t xml:space="preserve"> including the ITU</w:t>
      </w:r>
      <w:r w:rsidR="00CB23B7">
        <w:t>,</w:t>
      </w:r>
      <w:r w:rsidR="00FE4948">
        <w:t xml:space="preserve"> 3GPP</w:t>
      </w:r>
      <w:r w:rsidR="00CB23B7">
        <w:t xml:space="preserve"> and APT</w:t>
      </w:r>
      <w:r w:rsidR="00FE4948">
        <w:t xml:space="preserve">. </w:t>
      </w:r>
      <w:r w:rsidR="00372C5F">
        <w:t xml:space="preserve">Until this work is finalised, a decision needs to be made as to how </w:t>
      </w:r>
      <w:r w:rsidR="00C059B8">
        <w:t xml:space="preserve">quickly </w:t>
      </w:r>
      <w:r w:rsidR="00372C5F">
        <w:t xml:space="preserve">consideration of the 1.5 GHz band for </w:t>
      </w:r>
      <w:r w:rsidR="005A21F6">
        <w:t>MBB</w:t>
      </w:r>
      <w:r w:rsidR="00372C5F">
        <w:t xml:space="preserve"> domestically should progress. For example</w:t>
      </w:r>
      <w:r w:rsidR="005A21F6">
        <w:t>,</w:t>
      </w:r>
      <w:r w:rsidR="00F328B9">
        <w:t xml:space="preserve"> </w:t>
      </w:r>
      <w:r w:rsidR="00372C5F">
        <w:t xml:space="preserve">should </w:t>
      </w:r>
      <w:r w:rsidR="00F328B9">
        <w:t xml:space="preserve">domestic consideration of the band be paused </w:t>
      </w:r>
      <w:r w:rsidR="00372C5F">
        <w:t xml:space="preserve">until international work is finalised? Or </w:t>
      </w:r>
      <w:r w:rsidR="00F328B9">
        <w:t xml:space="preserve">should the work </w:t>
      </w:r>
      <w:r w:rsidR="00372C5F">
        <w:t>continue in parallel</w:t>
      </w:r>
      <w:r w:rsidR="00F328B9">
        <w:t>?</w:t>
      </w:r>
      <w:r w:rsidR="00372C5F">
        <w:t xml:space="preserve"> </w:t>
      </w:r>
    </w:p>
    <w:p w14:paraId="01B671DC" w14:textId="1C37E76B" w:rsidR="00F328B9" w:rsidRPr="00076131" w:rsidRDefault="00F328B9" w:rsidP="00CA4A15">
      <w:r>
        <w:t>If domestic consideration of the band is paused,</w:t>
      </w:r>
      <w:r w:rsidR="00372C5F" w:rsidRPr="00B92663">
        <w:t xml:space="preserve"> </w:t>
      </w:r>
      <w:r w:rsidR="00372C5F">
        <w:t xml:space="preserve">resources </w:t>
      </w:r>
      <w:r w:rsidR="00372C5F" w:rsidRPr="00B92663">
        <w:t xml:space="preserve">could be focused on optimising arrangements being developed </w:t>
      </w:r>
      <w:r w:rsidR="00372C5F">
        <w:t xml:space="preserve">by international bodies </w:t>
      </w:r>
      <w:r w:rsidR="00372C5F" w:rsidRPr="00B92663">
        <w:t xml:space="preserve">towards Australia’s interests. </w:t>
      </w:r>
      <w:r>
        <w:t>If both domestic and international consideration of the band occurs in parallel</w:t>
      </w:r>
      <w:r w:rsidR="00372C5F" w:rsidRPr="00B92663">
        <w:t xml:space="preserve">, </w:t>
      </w:r>
      <w:r>
        <w:t>domestic work could be progressed to the point where international arrangements could be quickly adopted when they are finalised. Alternatively</w:t>
      </w:r>
      <w:r w:rsidR="00C059B8">
        <w:t>,</w:t>
      </w:r>
      <w:r>
        <w:t xml:space="preserve"> </w:t>
      </w:r>
      <w:r w:rsidR="00372C5F" w:rsidRPr="00B92663">
        <w:t>options for a staged re-farming of spectrum in the band could also be c</w:t>
      </w:r>
      <w:r w:rsidR="00372C5F">
        <w:t>onsidered</w:t>
      </w:r>
      <w:r>
        <w:t xml:space="preserve"> (t</w:t>
      </w:r>
      <w:r w:rsidR="00372C5F">
        <w:t>his option is discussed further below</w:t>
      </w:r>
      <w:r>
        <w:t>)</w:t>
      </w:r>
      <w:r w:rsidR="00372C5F">
        <w:t>.</w:t>
      </w:r>
      <w:r w:rsidR="00372C5F" w:rsidRPr="00B71332">
        <w:t xml:space="preserve"> </w:t>
      </w:r>
      <w:r>
        <w:t xml:space="preserve">This could occur in those parts of the band where arrangements for </w:t>
      </w:r>
      <w:r w:rsidR="005A21F6">
        <w:t>MBB</w:t>
      </w:r>
      <w:r>
        <w:t xml:space="preserve"> already exist.</w:t>
      </w:r>
      <w:r>
        <w:rPr>
          <w:b/>
          <w:i/>
        </w:rPr>
        <w:t xml:space="preserve"> </w:t>
      </w:r>
    </w:p>
    <w:p w14:paraId="3AB3888E" w14:textId="247B9D42" w:rsidR="00FE4948" w:rsidRDefault="00372C5F" w:rsidP="00CA4A15">
      <w:pPr>
        <w:spacing w:after="80"/>
      </w:pPr>
      <w:r>
        <w:t>In general, t</w:t>
      </w:r>
      <w:r w:rsidR="00FE4948">
        <w:t xml:space="preserve">here are </w:t>
      </w:r>
      <w:r>
        <w:t>three</w:t>
      </w:r>
      <w:r w:rsidR="008F2177">
        <w:t xml:space="preserve"> </w:t>
      </w:r>
      <w:r w:rsidR="00FE4948">
        <w:t xml:space="preserve">potential </w:t>
      </w:r>
      <w:r>
        <w:t xml:space="preserve">band arrangement </w:t>
      </w:r>
      <w:r w:rsidR="00FE4948">
        <w:t>options that could be considered</w:t>
      </w:r>
      <w:r>
        <w:t xml:space="preserve"> in the 1.5 GHz band</w:t>
      </w:r>
      <w:r w:rsidR="005A21F6">
        <w:t>,</w:t>
      </w:r>
      <w:r w:rsidR="00070FEE">
        <w:t xml:space="preserve"> as described below and displayed in </w:t>
      </w:r>
      <w:r w:rsidR="006D389B">
        <w:fldChar w:fldCharType="begin"/>
      </w:r>
      <w:r w:rsidR="006D389B">
        <w:instrText xml:space="preserve"> REF _Ref463450863 \h  \* MERGEFORMAT </w:instrText>
      </w:r>
      <w:r w:rsidR="006D389B">
        <w:fldChar w:fldCharType="separate"/>
      </w:r>
      <w:r w:rsidR="00FA0A5F">
        <w:rPr>
          <w:b/>
          <w:bCs/>
          <w:lang w:val="en-US"/>
        </w:rPr>
        <w:t>Error! Reference source not found.</w:t>
      </w:r>
      <w:r w:rsidR="006D389B">
        <w:fldChar w:fldCharType="end"/>
      </w:r>
      <w:r w:rsidR="006D389B">
        <w:t>3</w:t>
      </w:r>
      <w:r w:rsidR="00FE4948">
        <w:t>:</w:t>
      </w:r>
    </w:p>
    <w:p w14:paraId="27028D76" w14:textId="7EDC1342" w:rsidR="00FE4948" w:rsidRDefault="005729B5" w:rsidP="00CA4A15">
      <w:pPr>
        <w:pStyle w:val="ListBullet"/>
      </w:pPr>
      <w:r w:rsidRPr="00D94C1D">
        <w:t>a</w:t>
      </w:r>
      <w:r w:rsidR="00FE4948">
        <w:t xml:space="preserve"> </w:t>
      </w:r>
      <w:r w:rsidR="00FE4948" w:rsidRPr="00825760">
        <w:t>FDD</w:t>
      </w:r>
      <w:r w:rsidR="00825760">
        <w:t xml:space="preserve"> </w:t>
      </w:r>
      <w:r w:rsidR="00FE4948">
        <w:t>arrangement using arrangements compatible with 3GPP bands 11 and/or 21 or a new arrangement</w:t>
      </w:r>
    </w:p>
    <w:p w14:paraId="41821E8E" w14:textId="5BDBD2F8" w:rsidR="00FE4948" w:rsidRDefault="005729B5" w:rsidP="00CA4A15">
      <w:pPr>
        <w:pStyle w:val="ListBullet"/>
      </w:pPr>
      <w:r w:rsidRPr="00D94C1D">
        <w:t>a</w:t>
      </w:r>
      <w:r w:rsidR="00FE4948">
        <w:t xml:space="preserve"> downlink-only arrangement, known as supplemental downlink</w:t>
      </w:r>
      <w:r w:rsidRPr="00D94C1D">
        <w:t xml:space="preserve"> (SDL)</w:t>
      </w:r>
      <w:r w:rsidR="00FE4948" w:rsidRPr="00D94C1D">
        <w:t>,</w:t>
      </w:r>
      <w:r w:rsidR="00FE4948">
        <w:t xml:space="preserve"> using arrangements </w:t>
      </w:r>
      <w:r w:rsidRPr="00D94C1D">
        <w:t>compatible with 3GPP band 32 or a new arrangement</w:t>
      </w:r>
    </w:p>
    <w:p w14:paraId="6E0D07D0" w14:textId="391992B5" w:rsidR="005729B5" w:rsidRPr="00352FCF" w:rsidRDefault="005729B5" w:rsidP="00CA4A15">
      <w:pPr>
        <w:pStyle w:val="ListBulletLast"/>
      </w:pPr>
      <w:r w:rsidRPr="00352FCF">
        <w:t xml:space="preserve">a </w:t>
      </w:r>
      <w:r w:rsidR="00825760" w:rsidRPr="00352FCF">
        <w:t>TDD</w:t>
      </w:r>
      <w:r w:rsidRPr="00352FCF">
        <w:t xml:space="preserve"> arrangement, using arrangements compatible with 3GPP band 45 or a new arrangement</w:t>
      </w:r>
      <w:r w:rsidR="002D0CD0" w:rsidRPr="00352FCF">
        <w:t>.</w:t>
      </w:r>
    </w:p>
    <w:p w14:paraId="452C8A00" w14:textId="41AE3FD1" w:rsidR="00AB4DE5" w:rsidRPr="005A21F6" w:rsidRDefault="00FE222C" w:rsidP="00CA4A15">
      <w:r w:rsidRPr="00352FCF">
        <w:t xml:space="preserve">Once a specific arrangement for </w:t>
      </w:r>
      <w:r w:rsidR="005A21F6" w:rsidRPr="00352FCF">
        <w:t>MBB</w:t>
      </w:r>
      <w:r w:rsidRPr="00352FCF">
        <w:t xml:space="preserve"> is chosen for the band, a further </w:t>
      </w:r>
      <w:r w:rsidR="00AB4DE5" w:rsidRPr="00352FCF">
        <w:t>consideration</w:t>
      </w:r>
      <w:r w:rsidR="00AB4DE5" w:rsidRPr="00352FCF" w:rsidDel="00AB4DE5">
        <w:t xml:space="preserve"> </w:t>
      </w:r>
      <w:r w:rsidR="00981E64" w:rsidRPr="00352FCF">
        <w:t>could be</w:t>
      </w:r>
      <w:r w:rsidR="00AB4DE5" w:rsidRPr="00352FCF">
        <w:t xml:space="preserve"> </w:t>
      </w:r>
      <w:r w:rsidRPr="00352FCF">
        <w:t>whether re-farming of the band should be staged</w:t>
      </w:r>
      <w:r w:rsidR="005A21F6" w:rsidRPr="00352FCF">
        <w:t>—</w:t>
      </w:r>
      <w:r w:rsidR="004141B7" w:rsidRPr="00352FCF">
        <w:t>t</w:t>
      </w:r>
      <w:r w:rsidR="00AB4DE5" w:rsidRPr="00352FCF">
        <w:t xml:space="preserve">hat is, </w:t>
      </w:r>
      <w:r w:rsidR="00C059B8" w:rsidRPr="00352FCF">
        <w:t xml:space="preserve">should there be a </w:t>
      </w:r>
      <w:r w:rsidR="00AB4DE5" w:rsidRPr="00352FCF">
        <w:t xml:space="preserve">release </w:t>
      </w:r>
      <w:r w:rsidR="00C059B8" w:rsidRPr="00352FCF">
        <w:t xml:space="preserve">of </w:t>
      </w:r>
      <w:r w:rsidR="00AB4DE5" w:rsidRPr="00352FCF">
        <w:t>those segments of the 1.5 GHz band that are more lightly utilised by incumbent services ahead of those used more heavily</w:t>
      </w:r>
      <w:r w:rsidR="005A21F6" w:rsidRPr="00352FCF">
        <w:t>?</w:t>
      </w:r>
      <w:r w:rsidRPr="00352FCF">
        <w:t xml:space="preserve"> This</w:t>
      </w:r>
      <w:r>
        <w:t xml:space="preserve"> would provide more time for many incumbent services to re-locate from the band, if required</w:t>
      </w:r>
      <w:r w:rsidR="00AB4DE5" w:rsidRPr="00AB4DE5">
        <w:t xml:space="preserve">. </w:t>
      </w:r>
      <w:r w:rsidR="00C059B8">
        <w:t>If and how</w:t>
      </w:r>
      <w:r w:rsidR="00981E64">
        <w:t xml:space="preserve"> this can be done</w:t>
      </w:r>
      <w:r w:rsidR="003F3754">
        <w:t xml:space="preserve"> </w:t>
      </w:r>
      <w:r w:rsidR="00981E64">
        <w:t>will vary depending on the</w:t>
      </w:r>
      <w:r>
        <w:t xml:space="preserve"> </w:t>
      </w:r>
      <w:r w:rsidR="00AB4DE5" w:rsidRPr="00AB4DE5">
        <w:t>arrangement</w:t>
      </w:r>
      <w:r w:rsidR="00981E64">
        <w:t>s</w:t>
      </w:r>
      <w:r w:rsidR="00AB4DE5" w:rsidRPr="00AB4DE5">
        <w:t xml:space="preserve"> adopted in any future re-farming of the </w:t>
      </w:r>
      <w:r w:rsidR="00AB4DE5" w:rsidRPr="005A21F6">
        <w:t xml:space="preserve">band for </w:t>
      </w:r>
      <w:r w:rsidR="005A21F6" w:rsidRPr="005A21F6">
        <w:t>MBB</w:t>
      </w:r>
      <w:r w:rsidR="00AB4DE5" w:rsidRPr="005A21F6">
        <w:t xml:space="preserve"> services. </w:t>
      </w:r>
    </w:p>
    <w:p w14:paraId="3AA7BA92" w14:textId="54D31D00" w:rsidR="00FE222C" w:rsidRDefault="00FE222C" w:rsidP="00CA4A15">
      <w:r w:rsidRPr="005A21F6">
        <w:t xml:space="preserve">The different arrangements for </w:t>
      </w:r>
      <w:r w:rsidR="005A21F6" w:rsidRPr="005A21F6">
        <w:t>MBB</w:t>
      </w:r>
      <w:r w:rsidRPr="005A21F6">
        <w:t xml:space="preserve"> in the 1.5 GHz band</w:t>
      </w:r>
      <w:r w:rsidR="005A21F6" w:rsidRPr="005A21F6">
        <w:t>,</w:t>
      </w:r>
      <w:r w:rsidRPr="005A21F6">
        <w:t xml:space="preserve"> as well as options for a staged </w:t>
      </w:r>
      <w:r w:rsidR="00981E64" w:rsidRPr="005A21F6">
        <w:t xml:space="preserve">re-farming </w:t>
      </w:r>
      <w:r w:rsidRPr="005A21F6">
        <w:t>of the band</w:t>
      </w:r>
      <w:r w:rsidR="005A21F6" w:rsidRPr="005A21F6">
        <w:t>,</w:t>
      </w:r>
      <w:r w:rsidRPr="005A21F6">
        <w:t xml:space="preserve"> are discussed </w:t>
      </w:r>
      <w:r w:rsidR="00C059B8" w:rsidRPr="005A21F6">
        <w:t xml:space="preserve">further </w:t>
      </w:r>
      <w:r w:rsidRPr="005A21F6">
        <w:t>below.</w:t>
      </w:r>
      <w:r>
        <w:t xml:space="preserve"> </w:t>
      </w:r>
    </w:p>
    <w:p w14:paraId="79AD49A7" w14:textId="71F06FFD" w:rsidR="00D22866" w:rsidRPr="00FE427A" w:rsidRDefault="00D22866" w:rsidP="006D389B">
      <w:pPr>
        <w:pStyle w:val="ACMAFigureHeader"/>
      </w:pPr>
      <w:r>
        <w:t xml:space="preserve">Potential arrangements for </w:t>
      </w:r>
      <w:r w:rsidR="005A21F6" w:rsidRPr="006D389B">
        <w:t>MBB</w:t>
      </w:r>
      <w:r>
        <w:t xml:space="preserve"> in the 1.5 GHz band </w:t>
      </w:r>
    </w:p>
    <w:p w14:paraId="09C50231" w14:textId="1BCC5C6D" w:rsidR="00D22866" w:rsidRDefault="00070FEE" w:rsidP="00576748">
      <w:pPr>
        <w:pStyle w:val="BodySubHeader"/>
        <w:spacing w:before="120"/>
        <w:ind w:left="-567"/>
        <w:rPr>
          <w:b w:val="0"/>
          <w:u w:val="single"/>
        </w:rPr>
      </w:pPr>
      <w:r>
        <w:rPr>
          <w:noProof/>
        </w:rPr>
        <w:drawing>
          <wp:inline distT="0" distB="0" distL="0" distR="0" wp14:anchorId="1F532FA3" wp14:editId="308D5869">
            <wp:extent cx="6765290" cy="2658139"/>
            <wp:effectExtent l="0" t="0" r="0" b="8890"/>
            <wp:docPr id="7" name="Picture 7" descr="Diagram shows frequencies and uses." title="Potential arrangements for MBB in the 1.5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87278" cy="2666778"/>
                    </a:xfrm>
                    <a:prstGeom prst="rect">
                      <a:avLst/>
                    </a:prstGeom>
                  </pic:spPr>
                </pic:pic>
              </a:graphicData>
            </a:graphic>
          </wp:inline>
        </w:drawing>
      </w:r>
    </w:p>
    <w:p w14:paraId="7211CFA0" w14:textId="77777777" w:rsidR="001078F6" w:rsidRDefault="001078F6" w:rsidP="00CA4A15">
      <w:pPr>
        <w:pStyle w:val="ACMASpaceaftertable"/>
      </w:pPr>
    </w:p>
    <w:p w14:paraId="2C186A57" w14:textId="485B4FD1" w:rsidR="003C000F" w:rsidRPr="00D43B35" w:rsidRDefault="003C000F" w:rsidP="00CA4A15">
      <w:pPr>
        <w:pStyle w:val="BodySubHeader"/>
      </w:pPr>
      <w:r w:rsidRPr="00D43B35">
        <w:t>Option 1: FDD arrangement</w:t>
      </w:r>
    </w:p>
    <w:p w14:paraId="2056FCD3" w14:textId="517410F9" w:rsidR="00FE4948" w:rsidRDefault="005729B5" w:rsidP="00CA4A15">
      <w:r>
        <w:t>FDD arrangements using 3GPP bands 11 and 21 have been utilised for LTE services in Japan</w:t>
      </w:r>
      <w:r w:rsidR="007E60A6">
        <w:t>,</w:t>
      </w:r>
      <w:r>
        <w:t xml:space="preserve"> and therefore</w:t>
      </w:r>
      <w:r w:rsidR="007E60A6">
        <w:t>,</w:t>
      </w:r>
      <w:r>
        <w:t xml:space="preserve"> there is device availability. These arrangements use 70 MHz (2 × 35 MHz) of the 91 MHz identified for IMT. In Australia</w:t>
      </w:r>
      <w:r w:rsidR="005A29FF">
        <w:t>;</w:t>
      </w:r>
      <w:r>
        <w:t xml:space="preserve"> there </w:t>
      </w:r>
      <w:r w:rsidR="0081536C">
        <w:t>are</w:t>
      </w:r>
      <w:r>
        <w:t xml:space="preserve"> currently </w:t>
      </w:r>
      <w:r w:rsidR="008332C7">
        <w:t>5</w:t>
      </w:r>
      <w:r w:rsidR="007E60A6">
        <w:t>,</w:t>
      </w:r>
      <w:r w:rsidR="008332C7">
        <w:t>640 fixed</w:t>
      </w:r>
      <w:r>
        <w:t xml:space="preserve"> services deployed in 3GPP bands 11 and 21, with </w:t>
      </w:r>
      <w:r w:rsidR="008332C7">
        <w:t>1</w:t>
      </w:r>
      <w:r w:rsidR="007E60A6">
        <w:t>,</w:t>
      </w:r>
      <w:r w:rsidR="008332C7">
        <w:t xml:space="preserve">829 </w:t>
      </w:r>
      <w:r w:rsidR="007E60A6">
        <w:t>(or 32 per cent) of these services</w:t>
      </w:r>
      <w:r w:rsidR="008332C7">
        <w:t xml:space="preserve"> </w:t>
      </w:r>
      <w:r>
        <w:t xml:space="preserve">in metropolitan and regional areas. Of note, the mid-band gap of this arrangement falls within the frequency range previously identified for </w:t>
      </w:r>
      <w:r w:rsidRPr="00352FCF">
        <w:t>DSB</w:t>
      </w:r>
      <w:r w:rsidR="005A29FF" w:rsidRPr="00352FCF">
        <w:t>,</w:t>
      </w:r>
      <w:r>
        <w:t xml:space="preserve"> which is relatively lightly used by other services compared to the rest of the band. </w:t>
      </w:r>
    </w:p>
    <w:p w14:paraId="7A389D14" w14:textId="2D1ACE3F" w:rsidR="003C000F" w:rsidRPr="00055BC2" w:rsidRDefault="005729B5" w:rsidP="00CA4A15">
      <w:pPr>
        <w:rPr>
          <w:b/>
          <w:i/>
        </w:rPr>
      </w:pPr>
      <w:r>
        <w:t>New FDD arrangements may be developed over the coming years within the ITU and 3GPP</w:t>
      </w:r>
      <w:r w:rsidR="007E60A6">
        <w:t>,</w:t>
      </w:r>
      <w:r>
        <w:t xml:space="preserve"> which may be </w:t>
      </w:r>
      <w:r w:rsidR="005A29FF">
        <w:t xml:space="preserve">more </w:t>
      </w:r>
      <w:r>
        <w:t xml:space="preserve">suitable for use within Australia. </w:t>
      </w:r>
      <w:r w:rsidR="00770FCF">
        <w:t>For example, at the 20</w:t>
      </w:r>
      <w:r w:rsidR="00770FCF" w:rsidRPr="00187079">
        <w:rPr>
          <w:vertAlign w:val="superscript"/>
        </w:rPr>
        <w:t>th</w:t>
      </w:r>
      <w:r w:rsidR="00770FCF">
        <w:t xml:space="preserve"> meeting of the APT Wireless Group, Japan submitted a contribution proposing a new FDD arrangement for the 1.5 GHz band. </w:t>
      </w:r>
      <w:r w:rsidR="003C000F">
        <w:t>However, it is unclear at this stage what these arrangem</w:t>
      </w:r>
      <w:r w:rsidR="00F374DB">
        <w:t xml:space="preserve">ents might look like, noting technical requirements for a sufficient duplex frequency split and mid-band gap. </w:t>
      </w:r>
    </w:p>
    <w:p w14:paraId="7DA66996" w14:textId="32902CFD" w:rsidR="003C000F" w:rsidRPr="00CA4A15" w:rsidRDefault="003C000F" w:rsidP="00CA4A15">
      <w:pPr>
        <w:pStyle w:val="BodySubHeader"/>
      </w:pPr>
      <w:r w:rsidRPr="00CA4A15">
        <w:t>Option 2: SDL arrangement</w:t>
      </w:r>
    </w:p>
    <w:p w14:paraId="52534E4E" w14:textId="739F9D12" w:rsidR="005729B5" w:rsidRDefault="006B2834" w:rsidP="00CA4A15">
      <w:r>
        <w:t>The 1452</w:t>
      </w:r>
      <w:r w:rsidR="007E60A6">
        <w:t>–</w:t>
      </w:r>
      <w:r>
        <w:t xml:space="preserve">1492 MHz band has been </w:t>
      </w:r>
      <w:r w:rsidRPr="000F36C1">
        <w:t>open</w:t>
      </w:r>
      <w:r>
        <w:t>ed</w:t>
      </w:r>
      <w:r w:rsidRPr="000F36C1">
        <w:t xml:space="preserve"> up for wireless broadband use </w:t>
      </w:r>
      <w:r w:rsidR="00B41333">
        <w:t>for</w:t>
      </w:r>
      <w:r w:rsidR="00B41333" w:rsidRPr="000F36C1">
        <w:t xml:space="preserve"> </w:t>
      </w:r>
      <w:r w:rsidRPr="000F36C1">
        <w:t>downlink</w:t>
      </w:r>
      <w:r w:rsidR="007E60A6">
        <w:t>-</w:t>
      </w:r>
      <w:r w:rsidRPr="000F36C1">
        <w:t>only</w:t>
      </w:r>
      <w:r>
        <w:t xml:space="preserve"> </w:t>
      </w:r>
      <w:r w:rsidR="00B41333">
        <w:t xml:space="preserve">services </w:t>
      </w:r>
      <w:r>
        <w:t>in Europe</w:t>
      </w:r>
      <w:r w:rsidR="007E60A6">
        <w:t>,</w:t>
      </w:r>
      <w:r>
        <w:t xml:space="preserve"> and allocated for this purpose in some European countries. This is compatible with </w:t>
      </w:r>
      <w:r w:rsidR="003C000F">
        <w:t xml:space="preserve">SDL arrangements </w:t>
      </w:r>
      <w:r w:rsidR="00D62BE2">
        <w:t xml:space="preserve">defined </w:t>
      </w:r>
      <w:r>
        <w:t xml:space="preserve">in 3GPP band 32. </w:t>
      </w:r>
      <w:r w:rsidR="002C32F9">
        <w:t>In Australia</w:t>
      </w:r>
      <w:r w:rsidR="007E60A6">
        <w:t>,</w:t>
      </w:r>
      <w:r w:rsidR="002C32F9">
        <w:t xml:space="preserve"> there </w:t>
      </w:r>
      <w:r w:rsidR="00635C61">
        <w:t>are</w:t>
      </w:r>
      <w:r w:rsidR="002C32F9">
        <w:t xml:space="preserve"> currently </w:t>
      </w:r>
      <w:r w:rsidR="00AA4141">
        <w:t>1</w:t>
      </w:r>
      <w:r w:rsidR="007E60A6">
        <w:t>,</w:t>
      </w:r>
      <w:r w:rsidR="00AA4141">
        <w:t xml:space="preserve">028 </w:t>
      </w:r>
      <w:r w:rsidR="000A1720">
        <w:t xml:space="preserve">fixed </w:t>
      </w:r>
      <w:r w:rsidR="002C32F9">
        <w:t>services deployed in 1452</w:t>
      </w:r>
      <w:r w:rsidR="007E60A6">
        <w:t>–</w:t>
      </w:r>
      <w:r w:rsidR="002C32F9">
        <w:t xml:space="preserve">1492 MHz. This includes </w:t>
      </w:r>
      <w:r w:rsidR="00AA4141">
        <w:t xml:space="preserve">267 </w:t>
      </w:r>
      <w:r w:rsidR="0030085D">
        <w:t>(or 26</w:t>
      </w:r>
      <w:r w:rsidR="007E60A6">
        <w:t xml:space="preserve"> per cent)</w:t>
      </w:r>
      <w:r w:rsidR="0030085D">
        <w:t xml:space="preserve"> of these </w:t>
      </w:r>
      <w:r w:rsidR="002C32F9">
        <w:t>services in metropolitan and regional areas in the 1452</w:t>
      </w:r>
      <w:r w:rsidR="007E60A6">
        <w:t>–</w:t>
      </w:r>
      <w:r w:rsidR="002C32F9">
        <w:t>1492 MHz band. Of note, these arrangements overlap the least utilised part of the 1.5 GHz band</w:t>
      </w:r>
      <w:r w:rsidR="00635C61">
        <w:t>,</w:t>
      </w:r>
      <w:r w:rsidR="002C32F9">
        <w:t xml:space="preserve"> which was previously identified for DSB.</w:t>
      </w:r>
    </w:p>
    <w:p w14:paraId="319B5A2D" w14:textId="4D59B380" w:rsidR="002C32F9" w:rsidRDefault="002C32F9" w:rsidP="00CA4A15">
      <w:r>
        <w:t>New SDL arrangements may be developed over the coming years within the ITU and 3GPP</w:t>
      </w:r>
      <w:r w:rsidR="007E60A6">
        <w:t>,</w:t>
      </w:r>
      <w:r>
        <w:t xml:space="preserve"> which may </w:t>
      </w:r>
      <w:r w:rsidR="00981E64">
        <w:t xml:space="preserve">also </w:t>
      </w:r>
      <w:r>
        <w:t xml:space="preserve">be suitable for use within Australia. This </w:t>
      </w:r>
      <w:r w:rsidR="00981E64">
        <w:t xml:space="preserve">could </w:t>
      </w:r>
      <w:r>
        <w:t>include arrangements that make use of most of the 1.5 GHz band, pending any requirement for guard bands</w:t>
      </w:r>
      <w:r w:rsidR="007E60A6">
        <w:t>,</w:t>
      </w:r>
      <w:r>
        <w:t xml:space="preserve"> to facilitate adjacent band</w:t>
      </w:r>
      <w:r w:rsidR="007E60A6">
        <w:t>-</w:t>
      </w:r>
      <w:r>
        <w:t xml:space="preserve">sharing with </w:t>
      </w:r>
      <w:r w:rsidR="00AB4DE5">
        <w:t xml:space="preserve">science </w:t>
      </w:r>
      <w:r>
        <w:t xml:space="preserve">and MSS services. </w:t>
      </w:r>
    </w:p>
    <w:p w14:paraId="2FDF3B21" w14:textId="37679AF4" w:rsidR="002C32F9" w:rsidRPr="00055BC2" w:rsidRDefault="002C32F9" w:rsidP="00A81803">
      <w:pPr>
        <w:rPr>
          <w:b/>
          <w:i/>
        </w:rPr>
      </w:pPr>
      <w:r>
        <w:t xml:space="preserve">Another aspect of SDL </w:t>
      </w:r>
      <w:r w:rsidR="00B00AFB">
        <w:t xml:space="preserve">arrangements that needs to be considered is </w:t>
      </w:r>
      <w:r>
        <w:t>that</w:t>
      </w:r>
      <w:r w:rsidR="00B00AFB">
        <w:t xml:space="preserve"> SDL spectrum is utilised </w:t>
      </w:r>
      <w:r w:rsidR="00C100DA">
        <w:t>via</w:t>
      </w:r>
      <w:r w:rsidR="00B00AFB">
        <w:t xml:space="preserve"> carrier aggregation. That is, a licensee requires holdings in another frequency band to be able to utilise this spectrum. Therefore, potential users of this spectrum would be restricted to those who currently hold spectrum in other frequency bands that can be suitably paired with SDL spectrum in the 1.5 GHz band for operation. </w:t>
      </w:r>
      <w:r w:rsidR="004C39C1">
        <w:t xml:space="preserve">This includes </w:t>
      </w:r>
      <w:r w:rsidR="00645523">
        <w:t>spectrum held</w:t>
      </w:r>
      <w:r w:rsidR="004C39C1">
        <w:t xml:space="preserve"> i</w:t>
      </w:r>
      <w:r w:rsidR="00645523">
        <w:t xml:space="preserve">n </w:t>
      </w:r>
      <w:r w:rsidR="004C39C1">
        <w:t>apparatus</w:t>
      </w:r>
      <w:r w:rsidR="007E60A6">
        <w:t>-</w:t>
      </w:r>
      <w:r w:rsidR="004C39C1">
        <w:t xml:space="preserve"> or spectrum</w:t>
      </w:r>
      <w:r w:rsidR="007E60A6">
        <w:t>-</w:t>
      </w:r>
      <w:r w:rsidR="004C39C1">
        <w:t xml:space="preserve">licensed bands currently available </w:t>
      </w:r>
      <w:r w:rsidR="00645523">
        <w:t xml:space="preserve">for </w:t>
      </w:r>
      <w:r w:rsidR="005A21F6">
        <w:t>MBB</w:t>
      </w:r>
      <w:r w:rsidR="00645523">
        <w:t xml:space="preserve"> within Australia</w:t>
      </w:r>
      <w:r w:rsidR="004C39C1">
        <w:t xml:space="preserve">. </w:t>
      </w:r>
    </w:p>
    <w:p w14:paraId="05919AB9" w14:textId="225966E6" w:rsidR="00696C29" w:rsidRPr="00A81803" w:rsidRDefault="00696C29" w:rsidP="00A81803">
      <w:pPr>
        <w:pStyle w:val="BodySubHeader"/>
      </w:pPr>
      <w:r w:rsidRPr="00A81803">
        <w:t>Option 3: TDD arrangement</w:t>
      </w:r>
    </w:p>
    <w:p w14:paraId="2451816D" w14:textId="23226391" w:rsidR="002C32F9" w:rsidRDefault="00C100DA" w:rsidP="00A81803">
      <w:r>
        <w:t xml:space="preserve">3GPP band 45 is a TDD arrangement </w:t>
      </w:r>
      <w:r w:rsidR="007E60A6">
        <w:t xml:space="preserve">that </w:t>
      </w:r>
      <w:r>
        <w:t>was developed for use in China. However</w:t>
      </w:r>
      <w:r w:rsidR="007E60A6">
        <w:t>,</w:t>
      </w:r>
      <w:r>
        <w:t xml:space="preserve"> there are currently no deployments using this frequency arrangement. In Australia, there </w:t>
      </w:r>
      <w:r w:rsidR="004141B7">
        <w:t>are</w:t>
      </w:r>
      <w:r>
        <w:t xml:space="preserve"> currently </w:t>
      </w:r>
      <w:r w:rsidR="000A1720">
        <w:t>1</w:t>
      </w:r>
      <w:r w:rsidR="007E60A6">
        <w:t>,</w:t>
      </w:r>
      <w:r w:rsidR="000A1720">
        <w:t>315 fixed</w:t>
      </w:r>
      <w:r>
        <w:t xml:space="preserve"> services deployed in 3GPP band 45, with </w:t>
      </w:r>
      <w:r w:rsidR="000C7CFB">
        <w:t>390 (or 30</w:t>
      </w:r>
      <w:r w:rsidR="007E60A6">
        <w:t xml:space="preserve"> per cent)</w:t>
      </w:r>
      <w:r w:rsidR="000C7CFB">
        <w:t xml:space="preserve"> of these services</w:t>
      </w:r>
      <w:r>
        <w:t xml:space="preserve"> in metropolitan and regional areas. Of note, these arrangements overlap the least utilised part of the 1.5 GHz band</w:t>
      </w:r>
      <w:r w:rsidR="004141B7">
        <w:t>,</w:t>
      </w:r>
      <w:r>
        <w:t xml:space="preserve"> which was previously identified for DSB.</w:t>
      </w:r>
    </w:p>
    <w:p w14:paraId="367AF8A4" w14:textId="79526FB7" w:rsidR="00A27735" w:rsidRDefault="00EA7BDE" w:rsidP="00A81803">
      <w:r>
        <w:t xml:space="preserve">New </w:t>
      </w:r>
      <w:r w:rsidR="008F3365">
        <w:t xml:space="preserve">TDD </w:t>
      </w:r>
      <w:r>
        <w:t>arrangements may be developed over the coming years within the ITU and 3GPP</w:t>
      </w:r>
      <w:r w:rsidR="007E60A6">
        <w:t>,</w:t>
      </w:r>
      <w:r>
        <w:t xml:space="preserve"> which may be suitable for use within Australia. Th</w:t>
      </w:r>
      <w:r w:rsidR="00E856E4">
        <w:t>ese</w:t>
      </w:r>
      <w:r>
        <w:t xml:space="preserve"> may include arrangements that make use of most of the 1.5 GHz band, pending any requirement for guard bands to facilitate adjacent band</w:t>
      </w:r>
      <w:r w:rsidR="007E60A6">
        <w:t>-</w:t>
      </w:r>
      <w:r>
        <w:t xml:space="preserve">sharing with space and MSS services. </w:t>
      </w:r>
      <w:bookmarkStart w:id="76" w:name="_Ref459384845"/>
      <w:bookmarkStart w:id="77" w:name="_Toc459906725"/>
    </w:p>
    <w:p w14:paraId="2B36F5C4" w14:textId="48889D75" w:rsidR="007E60A6" w:rsidRDefault="00460B53" w:rsidP="00107352">
      <w:pPr>
        <w:pStyle w:val="ListParagraph"/>
        <w:numPr>
          <w:ilvl w:val="0"/>
          <w:numId w:val="19"/>
        </w:numPr>
        <w:shd w:val="clear" w:color="auto" w:fill="F2F2F2" w:themeFill="background1" w:themeFillShade="F2"/>
        <w:tabs>
          <w:tab w:val="left" w:pos="1843"/>
        </w:tabs>
        <w:spacing w:after="240"/>
        <w:ind w:left="426" w:hanging="426"/>
      </w:pPr>
      <w:r w:rsidRPr="006D6661">
        <w:rPr>
          <w:b/>
        </w:rPr>
        <w:t xml:space="preserve">If the 1.5 GHz band is re-farmed for </w:t>
      </w:r>
      <w:r w:rsidR="005A21F6" w:rsidRPr="006D6661">
        <w:rPr>
          <w:b/>
        </w:rPr>
        <w:t>MBB</w:t>
      </w:r>
      <w:r w:rsidRPr="006D6661">
        <w:rPr>
          <w:b/>
        </w:rPr>
        <w:t xml:space="preserve"> services, what frequency arrangement should be adopted? Should a frequency division duplex (FDD), supplemental downlink (SDL) or time division duplex (TDD) arrangement be adopted? Why/why not? What type of arrangement should be adopted (</w:t>
      </w:r>
      <w:r w:rsidR="007E60A6" w:rsidRPr="006D6661">
        <w:rPr>
          <w:b/>
        </w:rPr>
        <w:t>that is,</w:t>
      </w:r>
      <w:r w:rsidRPr="006D6661">
        <w:rPr>
          <w:b/>
        </w:rPr>
        <w:t xml:space="preserve"> 3GPP bands 11 and/or 21, 3GPP band 32, 3GPP band 45 or another arrangement)?</w:t>
      </w:r>
    </w:p>
    <w:p w14:paraId="5C27E7A8" w14:textId="77777777" w:rsidR="00FE4948" w:rsidRDefault="00FE4948" w:rsidP="00A81803">
      <w:pPr>
        <w:pStyle w:val="Heading3"/>
      </w:pPr>
      <w:bookmarkStart w:id="78" w:name="_Toc464480519"/>
      <w:r>
        <w:t xml:space="preserve">Potential geographic </w:t>
      </w:r>
      <w:r w:rsidRPr="00A81803">
        <w:t>options</w:t>
      </w:r>
      <w:bookmarkEnd w:id="76"/>
      <w:bookmarkEnd w:id="77"/>
      <w:bookmarkEnd w:id="78"/>
    </w:p>
    <w:p w14:paraId="6EAA8255" w14:textId="69604633" w:rsidR="006B102B" w:rsidRDefault="006B102B" w:rsidP="00A81803">
      <w:r>
        <w:t xml:space="preserve">The ACMA is considering a number of options regarding the geographical areas that should be considered for </w:t>
      </w:r>
      <w:r w:rsidR="00335B81">
        <w:t>re-planning</w:t>
      </w:r>
      <w:r>
        <w:t xml:space="preserve"> as part of any 1.5 GHz band release. Factors that need to be considered include areas where there is high demand for </w:t>
      </w:r>
      <w:r w:rsidR="005A21F6">
        <w:t>MBB</w:t>
      </w:r>
      <w:r>
        <w:t xml:space="preserve"> services</w:t>
      </w:r>
      <w:r w:rsidR="00FA59B6">
        <w:t>,</w:t>
      </w:r>
      <w:r>
        <w:t xml:space="preserve"> incumbency issues</w:t>
      </w:r>
      <w:r w:rsidR="007E60A6">
        <w:t>,</w:t>
      </w:r>
      <w:r w:rsidR="00FA59B6">
        <w:t xml:space="preserve"> and ensuring areas are large enough to be of practical use.</w:t>
      </w:r>
    </w:p>
    <w:p w14:paraId="45090903" w14:textId="2D7203AC" w:rsidR="006B102B" w:rsidRDefault="007E60A6" w:rsidP="00A81803">
      <w:r>
        <w:t>For</w:t>
      </w:r>
      <w:r w:rsidR="006B102B">
        <w:t xml:space="preserve"> the areas of demand, the ACMA’s starting assumption is that the highest demand will be in metropolitan and regional areas, similar to those areas defined for the 2 GHz spectrum licences</w:t>
      </w:r>
      <w:r>
        <w:t>,</w:t>
      </w:r>
      <w:r w:rsidR="006B102B">
        <w:t xml:space="preserve"> as shown in </w:t>
      </w:r>
      <w:r w:rsidR="00770FCF">
        <w:t>Figure A3 in Appendix A</w:t>
      </w:r>
      <w:r w:rsidR="006B102B">
        <w:t>.</w:t>
      </w:r>
      <w:r w:rsidR="009A6CE4" w:rsidDel="009A6CE4">
        <w:t xml:space="preserve"> </w:t>
      </w:r>
    </w:p>
    <w:p w14:paraId="05BF0F11" w14:textId="5B8D3FA8" w:rsidR="00F01511" w:rsidRDefault="00987BCD" w:rsidP="00FE4948">
      <w:pPr>
        <w:rPr>
          <w:rFonts w:cs="Arial"/>
        </w:rPr>
      </w:pPr>
      <w:r>
        <w:rPr>
          <w:rFonts w:cs="Arial"/>
        </w:rPr>
        <w:t xml:space="preserve">Details of current licences in the 1.5 GHz band are available in </w:t>
      </w:r>
      <w:r w:rsidRPr="009C36C0">
        <w:rPr>
          <w:rFonts w:cs="Arial"/>
        </w:rPr>
        <w:t>Appendix </w:t>
      </w:r>
      <w:r w:rsidR="00C56A16">
        <w:rPr>
          <w:rFonts w:cs="Arial"/>
        </w:rPr>
        <w:t>A</w:t>
      </w:r>
      <w:r>
        <w:rPr>
          <w:rFonts w:cs="Arial"/>
        </w:rPr>
        <w:t xml:space="preserve">. The largest proportion of users are in remote areas. Therefore, if the 1.5 GHz band is re-farmed for </w:t>
      </w:r>
      <w:r w:rsidR="005A21F6">
        <w:rPr>
          <w:rFonts w:cs="Arial"/>
        </w:rPr>
        <w:t>MBB</w:t>
      </w:r>
      <w:r>
        <w:rPr>
          <w:rFonts w:cs="Arial"/>
        </w:rPr>
        <w:t xml:space="preserve"> services</w:t>
      </w:r>
      <w:r w:rsidR="004F0975">
        <w:rPr>
          <w:rFonts w:cs="Arial"/>
        </w:rPr>
        <w:t xml:space="preserve">, options to geographically limit or stage the re-farming of spectrum warrant investigation. </w:t>
      </w:r>
      <w:r w:rsidR="004F0975" w:rsidRPr="009C36C0">
        <w:rPr>
          <w:rFonts w:cs="Arial"/>
        </w:rPr>
        <w:t xml:space="preserve">Table </w:t>
      </w:r>
      <w:r w:rsidR="009C36C0" w:rsidRPr="009C36C0">
        <w:rPr>
          <w:rFonts w:cs="Arial"/>
        </w:rPr>
        <w:t>A2</w:t>
      </w:r>
      <w:r w:rsidR="004F0975" w:rsidRPr="009C36C0">
        <w:rPr>
          <w:rFonts w:cs="Arial"/>
        </w:rPr>
        <w:t xml:space="preserve"> in Appendix </w:t>
      </w:r>
      <w:r w:rsidR="00C56A16" w:rsidRPr="009C36C0">
        <w:rPr>
          <w:rFonts w:cs="Arial"/>
        </w:rPr>
        <w:t>A</w:t>
      </w:r>
      <w:r w:rsidR="004F0975">
        <w:rPr>
          <w:rFonts w:cs="Arial"/>
        </w:rPr>
        <w:t xml:space="preserve"> shows the number of </w:t>
      </w:r>
      <w:r w:rsidR="009C36C0">
        <w:rPr>
          <w:rFonts w:cs="Arial"/>
        </w:rPr>
        <w:t xml:space="preserve">fixed </w:t>
      </w:r>
      <w:r w:rsidR="004F0975">
        <w:rPr>
          <w:rFonts w:cs="Arial"/>
        </w:rPr>
        <w:t xml:space="preserve">services that </w:t>
      </w:r>
      <w:r w:rsidR="008F3365">
        <w:rPr>
          <w:rFonts w:cs="Arial"/>
        </w:rPr>
        <w:t xml:space="preserve">may </w:t>
      </w:r>
      <w:r w:rsidR="004F0975">
        <w:rPr>
          <w:rFonts w:cs="Arial"/>
        </w:rPr>
        <w:t>be affected in each area for different spectrum options for re-farming. It should be noted that this is an estimate bas</w:t>
      </w:r>
      <w:r w:rsidR="004F0975" w:rsidRPr="00A81803">
        <w:t>ed</w:t>
      </w:r>
      <w:r w:rsidR="004F0975">
        <w:rPr>
          <w:rFonts w:cs="Arial"/>
        </w:rPr>
        <w:t xml:space="preserve"> on co-channel services within the areas noted. </w:t>
      </w:r>
      <w:r w:rsidR="008F3365">
        <w:rPr>
          <w:rFonts w:cs="Arial"/>
        </w:rPr>
        <w:t xml:space="preserve">It does not, for example, take account of any sharing arrangements that may be developed (this is discussed in the next section) or additional </w:t>
      </w:r>
      <w:r w:rsidR="004F0975">
        <w:rPr>
          <w:rFonts w:cs="Arial"/>
        </w:rPr>
        <w:t xml:space="preserve">services affected due to requirements for spectral or geographic separation. </w:t>
      </w:r>
    </w:p>
    <w:p w14:paraId="0DB1A219" w14:textId="78B4B9A7" w:rsidR="00F01511" w:rsidRDefault="0062704E" w:rsidP="00A81803">
      <w:r>
        <w:t xml:space="preserve">If re-farming is limited to metropolitan and regional areas, </w:t>
      </w:r>
      <w:r w:rsidRPr="00055BC2">
        <w:t xml:space="preserve">between </w:t>
      </w:r>
      <w:r w:rsidR="0030085D" w:rsidRPr="00055BC2">
        <w:t>26</w:t>
      </w:r>
      <w:r w:rsidR="007E60A6">
        <w:t>–</w:t>
      </w:r>
      <w:r w:rsidR="0030085D" w:rsidRPr="00055BC2">
        <w:t>32</w:t>
      </w:r>
      <w:r w:rsidR="007E60A6">
        <w:t xml:space="preserve"> per cent</w:t>
      </w:r>
      <w:r w:rsidRPr="00055BC2">
        <w:t xml:space="preserve"> of incumbent services will be affected</w:t>
      </w:r>
      <w:r w:rsidR="007E60A6">
        <w:t>,</w:t>
      </w:r>
      <w:r w:rsidRPr="00055BC2">
        <w:t xml:space="preserve"> depending on the spectrum o</w:t>
      </w:r>
      <w:r>
        <w:t xml:space="preserve">ption pursued.   </w:t>
      </w:r>
    </w:p>
    <w:p w14:paraId="06BE240D" w14:textId="56768A85" w:rsidR="00A81803" w:rsidRDefault="0062704E" w:rsidP="00107352">
      <w:pPr>
        <w:pStyle w:val="ListParagraph"/>
        <w:numPr>
          <w:ilvl w:val="0"/>
          <w:numId w:val="19"/>
        </w:numPr>
        <w:shd w:val="clear" w:color="auto" w:fill="F2F2F2" w:themeFill="background1" w:themeFillShade="F2"/>
        <w:ind w:left="426" w:hanging="426"/>
      </w:pPr>
      <w:r w:rsidRPr="006D6661">
        <w:rPr>
          <w:b/>
        </w:rPr>
        <w:t xml:space="preserve">If the 1.5 GHz band is re-farmed for </w:t>
      </w:r>
      <w:r w:rsidR="005A21F6" w:rsidRPr="006D6661">
        <w:rPr>
          <w:b/>
        </w:rPr>
        <w:t>MBB</w:t>
      </w:r>
      <w:r w:rsidRPr="006D6661">
        <w:rPr>
          <w:b/>
        </w:rPr>
        <w:t xml:space="preserve"> services, what geographical areas should be re-farmed?</w:t>
      </w:r>
      <w:r w:rsidR="00FA59B6" w:rsidRPr="006D6661">
        <w:rPr>
          <w:b/>
        </w:rPr>
        <w:t xml:space="preserve"> To what extent are mobile network operators (MNOs) interested in the 1.5 GHz</w:t>
      </w:r>
      <w:r w:rsidR="00E856E4" w:rsidRPr="006D6661">
        <w:rPr>
          <w:b/>
        </w:rPr>
        <w:t xml:space="preserve"> band</w:t>
      </w:r>
      <w:r w:rsidR="00FA59B6" w:rsidRPr="006D6661">
        <w:rPr>
          <w:b/>
        </w:rPr>
        <w:t xml:space="preserve"> outside of metropolitan areas?</w:t>
      </w:r>
      <w:bookmarkStart w:id="79" w:name="_Toc459906726"/>
    </w:p>
    <w:p w14:paraId="38BE8D79" w14:textId="34983D51" w:rsidR="00E36E45" w:rsidRPr="00A81803" w:rsidRDefault="00A26389" w:rsidP="00E03708">
      <w:pPr>
        <w:pStyle w:val="Heading3"/>
        <w:keepLines/>
      </w:pPr>
      <w:bookmarkStart w:id="80" w:name="_Toc464480520"/>
      <w:r w:rsidRPr="00A81803">
        <w:t>Coexistence and s</w:t>
      </w:r>
      <w:r w:rsidR="00DD06FF" w:rsidRPr="00A81803">
        <w:t xml:space="preserve">haring with </w:t>
      </w:r>
      <w:r w:rsidR="00FB1053" w:rsidRPr="00A81803">
        <w:t>incumbent</w:t>
      </w:r>
      <w:r w:rsidR="00DD06FF" w:rsidRPr="00A81803">
        <w:t xml:space="preserve"> services</w:t>
      </w:r>
      <w:bookmarkEnd w:id="79"/>
      <w:bookmarkEnd w:id="80"/>
    </w:p>
    <w:p w14:paraId="67C61388" w14:textId="0DDD5BD5" w:rsidR="00671C30" w:rsidRPr="00A81803" w:rsidRDefault="00671C30" w:rsidP="00E03708">
      <w:pPr>
        <w:pStyle w:val="BodySubHeader"/>
        <w:keepLines/>
        <w:spacing w:before="120"/>
      </w:pPr>
      <w:r w:rsidRPr="00A81803">
        <w:t>Fixed services</w:t>
      </w:r>
    </w:p>
    <w:p w14:paraId="5FC3190A" w14:textId="1D20B1A8" w:rsidR="00E36E45" w:rsidRDefault="00E36E45" w:rsidP="00E03708">
      <w:pPr>
        <w:keepNext/>
        <w:keepLines/>
      </w:pPr>
      <w:r>
        <w:t>Current use of the band is dominated by fixed services</w:t>
      </w:r>
      <w:r w:rsidR="004252DD">
        <w:t>. It is envisaged that there will continue to be some demand for these services in the 1.5 GHz band in the future. Current usage includes</w:t>
      </w:r>
      <w:r>
        <w:t xml:space="preserve"> extensive use by Telstra to </w:t>
      </w:r>
      <w:r w:rsidRPr="00233A9D">
        <w:t>deliver voice telecommunications services to customers in regional and remote areas, as part of its USO</w:t>
      </w:r>
      <w:r>
        <w:t xml:space="preserve"> responsibilities. These services may potentially be able to migrate</w:t>
      </w:r>
      <w:r w:rsidR="007E60A6">
        <w:t xml:space="preserve"> </w:t>
      </w:r>
      <w:r>
        <w:t xml:space="preserve">to new or existing mobile networks in areas where the band is re-farmed for </w:t>
      </w:r>
      <w:r w:rsidR="005A21F6">
        <w:t>MBB</w:t>
      </w:r>
      <w:r>
        <w:t xml:space="preserve"> services.</w:t>
      </w:r>
      <w:r w:rsidR="00770FCF">
        <w:t xml:space="preserve"> It is also noted that the Productivity Commission is currently undertaking an </w:t>
      </w:r>
      <w:r w:rsidR="007E60A6">
        <w:t>i</w:t>
      </w:r>
      <w:r w:rsidR="00770FCF">
        <w:t xml:space="preserve">nquiry into the future direction of a </w:t>
      </w:r>
      <w:r w:rsidR="00352FCF">
        <w:t xml:space="preserve">USO </w:t>
      </w:r>
      <w:r w:rsidR="00770FCF">
        <w:t>in the telecommunications market</w:t>
      </w:r>
      <w:r w:rsidR="007E60A6">
        <w:t>.</w:t>
      </w:r>
      <w:r w:rsidR="00770FCF">
        <w:rPr>
          <w:rStyle w:val="FootnoteReference"/>
        </w:rPr>
        <w:footnoteReference w:id="19"/>
      </w:r>
    </w:p>
    <w:p w14:paraId="37D2E06C" w14:textId="74386C30" w:rsidR="00A812F2" w:rsidRDefault="00E856E4" w:rsidP="00A81803">
      <w:r>
        <w:t>To limit the effect on incumbent fixed services, r</w:t>
      </w:r>
      <w:r w:rsidR="00E36E45">
        <w:t xml:space="preserve">e-farming of the 1.5 GHz band could </w:t>
      </w:r>
      <w:r>
        <w:t xml:space="preserve">also </w:t>
      </w:r>
      <w:r w:rsidR="00E36E45">
        <w:t>be confined to metropolitan</w:t>
      </w:r>
      <w:r w:rsidR="00F72546">
        <w:t xml:space="preserve"> areas (or metropolitan</w:t>
      </w:r>
      <w:r w:rsidR="00E36E45">
        <w:t xml:space="preserve"> and regional areas</w:t>
      </w:r>
      <w:r w:rsidR="00F72546">
        <w:t>)</w:t>
      </w:r>
      <w:r w:rsidR="00512B97">
        <w:t>. Or alternatively</w:t>
      </w:r>
      <w:r w:rsidR="007E60A6">
        <w:t>,</w:t>
      </w:r>
      <w:r w:rsidR="00512B97">
        <w:t xml:space="preserve"> a staged re-farming of the band could occur to provide more time for services to relocate from the band,</w:t>
      </w:r>
      <w:r w:rsidR="00E36E45">
        <w:t xml:space="preserve"> as discussed in the </w:t>
      </w:r>
      <w:r w:rsidR="002C5793" w:rsidRPr="00107352">
        <w:rPr>
          <w:i/>
        </w:rPr>
        <w:t>Potential geographic options</w:t>
      </w:r>
      <w:r w:rsidR="002C5793">
        <w:t xml:space="preserve"> </w:t>
      </w:r>
      <w:r w:rsidR="00E36E45">
        <w:t>section</w:t>
      </w:r>
      <w:r w:rsidR="002C5793">
        <w:t xml:space="preserve"> above</w:t>
      </w:r>
      <w:r w:rsidR="00A812F2">
        <w:t>.</w:t>
      </w:r>
    </w:p>
    <w:p w14:paraId="4561B122" w14:textId="77777777" w:rsidR="00770FCF" w:rsidRPr="00A81803" w:rsidRDefault="00770FCF" w:rsidP="00A81803">
      <w:pPr>
        <w:pStyle w:val="BodySubHeader"/>
      </w:pPr>
      <w:r w:rsidRPr="00A81803">
        <w:t>Defence frequency assignments</w:t>
      </w:r>
    </w:p>
    <w:p w14:paraId="0186BC10" w14:textId="339B645A" w:rsidR="00770FCF" w:rsidRDefault="00770FCF" w:rsidP="00770FCF">
      <w:r>
        <w:t xml:space="preserve">Regardless of the geographical areas pursued in any re-farming process, another option is to allow some existing users to remain on an ongoing basis. This option would be particularly applicable to Defence use of the band. New </w:t>
      </w:r>
      <w:r w:rsidR="005A21F6">
        <w:t>MBB</w:t>
      </w:r>
      <w:r>
        <w:t xml:space="preserve"> services could be required to coordinate with </w:t>
      </w:r>
      <w:r w:rsidR="00FB1053">
        <w:t>incumbent</w:t>
      </w:r>
      <w:r>
        <w:t xml:space="preserve"> services via a pre-determined technical framework</w:t>
      </w:r>
      <w:r w:rsidR="00EC5B0C">
        <w:t>,</w:t>
      </w:r>
      <w:r>
        <w:t xml:space="preserve"> or negotiate sharing arrangements with </w:t>
      </w:r>
      <w:r w:rsidR="00FB1053">
        <w:t>incumbent</w:t>
      </w:r>
      <w:r>
        <w:t xml:space="preserve"> services on a case-by-case basis. </w:t>
      </w:r>
    </w:p>
    <w:p w14:paraId="550C64CB" w14:textId="77777777" w:rsidR="009C36C0" w:rsidRPr="00A81803" w:rsidRDefault="009C36C0" w:rsidP="00A81803">
      <w:pPr>
        <w:pStyle w:val="BodySubHeader"/>
      </w:pPr>
      <w:r w:rsidRPr="00A81803">
        <w:t>Broadcasting services</w:t>
      </w:r>
    </w:p>
    <w:p w14:paraId="3F2A8DD7" w14:textId="4E31BFCB" w:rsidR="009C36C0" w:rsidRDefault="00092625" w:rsidP="009C36C0">
      <w:r>
        <w:t>There is no use of broadcasting services in Australia in the 1.5 GHz band. Given dwindling interest in this band for broadcasting services internationally, there is not expected to be future demand in this band. Therefore, coexistenc</w:t>
      </w:r>
      <w:r w:rsidRPr="00A81803">
        <w:t>e</w:t>
      </w:r>
      <w:r>
        <w:t xml:space="preserve"> or sharing with broadcasting services </w:t>
      </w:r>
      <w:r w:rsidR="00BC679D">
        <w:t>ha</w:t>
      </w:r>
      <w:r>
        <w:t xml:space="preserve">s not </w:t>
      </w:r>
      <w:r w:rsidR="00BC679D">
        <w:t xml:space="preserve">been </w:t>
      </w:r>
      <w:r>
        <w:t>considered</w:t>
      </w:r>
      <w:r w:rsidR="00BC679D">
        <w:t xml:space="preserve"> further</w:t>
      </w:r>
      <w:r>
        <w:t xml:space="preserve">.  </w:t>
      </w:r>
      <w:r w:rsidR="009C36C0">
        <w:t xml:space="preserve"> </w:t>
      </w:r>
    </w:p>
    <w:p w14:paraId="5E904181" w14:textId="77777777" w:rsidR="009C36C0" w:rsidRPr="00A81803" w:rsidRDefault="009C36C0" w:rsidP="00A81803">
      <w:pPr>
        <w:pStyle w:val="BodySubHeader"/>
      </w:pPr>
      <w:r w:rsidRPr="00A81803">
        <w:t>Broadcasting-satellite services</w:t>
      </w:r>
    </w:p>
    <w:p w14:paraId="7A59F0A8" w14:textId="32134C12" w:rsidR="009C36C0" w:rsidRPr="00B32CC5" w:rsidRDefault="00092625" w:rsidP="00A81803">
      <w:r>
        <w:t xml:space="preserve">There is currently no use of broadcasting-satellite services in Australia in the 1.5 GHz band. However, sharing of the 1.5 GHz band between </w:t>
      </w:r>
      <w:r w:rsidR="005A21F6">
        <w:t>MBB</w:t>
      </w:r>
      <w:r>
        <w:t xml:space="preserve"> services and broadcasting-satellite services is being considered in the ITU-R</w:t>
      </w:r>
      <w:r w:rsidR="00EC5B0C">
        <w:t>,</w:t>
      </w:r>
      <w:r w:rsidR="0081536C">
        <w:t xml:space="preserve"> and t</w:t>
      </w:r>
      <w:r>
        <w:t>he results of these studies will be considered in the development of future arrangements for the 1.</w:t>
      </w:r>
      <w:r w:rsidR="00EC5B0C">
        <w:t>5 </w:t>
      </w:r>
      <w:r>
        <w:t>GHz band in Australia.</w:t>
      </w:r>
    </w:p>
    <w:p w14:paraId="458C4F80" w14:textId="295A10B4" w:rsidR="009C36C0" w:rsidRPr="00A81803" w:rsidRDefault="009C36C0" w:rsidP="00A81803">
      <w:pPr>
        <w:pStyle w:val="BodySubHeader"/>
      </w:pPr>
      <w:r w:rsidRPr="00A81803">
        <w:t>Adjacent band services</w:t>
      </w:r>
      <w:r w:rsidR="00EC5B0C">
        <w:t>—</w:t>
      </w:r>
      <w:r w:rsidRPr="00A81803">
        <w:t>Science services</w:t>
      </w:r>
    </w:p>
    <w:p w14:paraId="32D2BC17" w14:textId="7E746642" w:rsidR="009C36C0" w:rsidRPr="00D73536" w:rsidRDefault="00092625" w:rsidP="00A81803">
      <w:r>
        <w:t>In order to protect science services operating in the 1400</w:t>
      </w:r>
      <w:r w:rsidR="00EC5B0C">
        <w:t>–</w:t>
      </w:r>
      <w:r>
        <w:t xml:space="preserve">1427 MHz band from any future </w:t>
      </w:r>
      <w:r w:rsidR="005A21F6">
        <w:t>MBB</w:t>
      </w:r>
      <w:r>
        <w:t xml:space="preserve"> services, the emission limits described in ITU-R Resolution </w:t>
      </w:r>
      <w:r w:rsidRPr="00925CC2">
        <w:rPr>
          <w:b/>
        </w:rPr>
        <w:t>750 (WRC-15)</w:t>
      </w:r>
      <w:r>
        <w:t xml:space="preserve"> will be considered. This will likely result in specific out-of-band emission limits or guard bands in any future technical arrangements for </w:t>
      </w:r>
      <w:r w:rsidR="005A21F6">
        <w:t>MBB</w:t>
      </w:r>
      <w:r>
        <w:t xml:space="preserve"> in </w:t>
      </w:r>
      <w:r w:rsidR="00343B59">
        <w:t>the 1.5 GH</w:t>
      </w:r>
      <w:r>
        <w:t>z band.</w:t>
      </w:r>
    </w:p>
    <w:p w14:paraId="598688FC" w14:textId="5283E91D" w:rsidR="009C36C0" w:rsidRPr="00A81803" w:rsidRDefault="009C36C0" w:rsidP="00A81803">
      <w:pPr>
        <w:pStyle w:val="BodySubHeader"/>
      </w:pPr>
      <w:r w:rsidRPr="00A81803">
        <w:t>Adjacent band services</w:t>
      </w:r>
      <w:r w:rsidR="00EC5B0C">
        <w:t>—</w:t>
      </w:r>
      <w:r w:rsidRPr="00A81803">
        <w:t>Mobile-satellite services</w:t>
      </w:r>
    </w:p>
    <w:p w14:paraId="6E13BEFA" w14:textId="1959D1BF" w:rsidR="00092625" w:rsidRDefault="00092625" w:rsidP="00A81803">
      <w:r>
        <w:t xml:space="preserve">Co-existence between </w:t>
      </w:r>
      <w:r w:rsidR="005A21F6">
        <w:t>MBB</w:t>
      </w:r>
      <w:r>
        <w:t xml:space="preserve"> services in the 1.5 GHz band and adjacent band mobile-satellite services is currently the subject of study within the ITU-R. The results of these studies will be considered in the development of future arrangements for the 1.5 GHz band in Australia.</w:t>
      </w:r>
      <w:r w:rsidR="00343B59" w:rsidRPr="00343B59">
        <w:t xml:space="preserve"> </w:t>
      </w:r>
      <w:r w:rsidR="00343B59">
        <w:t xml:space="preserve">This could potentially result in specific out-of-band emission limits or guard bands in any future technical arrangements for </w:t>
      </w:r>
      <w:r w:rsidR="005A21F6">
        <w:t>MBB</w:t>
      </w:r>
      <w:r w:rsidR="00343B59">
        <w:t xml:space="preserve"> in the 1.5 GHz band.</w:t>
      </w:r>
    </w:p>
    <w:p w14:paraId="428C7F1F" w14:textId="25D05D03" w:rsidR="004252DD" w:rsidRPr="006D6661" w:rsidRDefault="00E36E45" w:rsidP="00107352">
      <w:pPr>
        <w:pStyle w:val="ListParagraph"/>
        <w:numPr>
          <w:ilvl w:val="0"/>
          <w:numId w:val="19"/>
        </w:numPr>
        <w:shd w:val="clear" w:color="auto" w:fill="F2F2F2" w:themeFill="background1" w:themeFillShade="F2"/>
        <w:ind w:left="426" w:hanging="426"/>
        <w:rPr>
          <w:b/>
        </w:rPr>
      </w:pPr>
      <w:r w:rsidRPr="006D6661">
        <w:rPr>
          <w:b/>
        </w:rPr>
        <w:t xml:space="preserve">If the 1.5 GHz band is re-farmed for </w:t>
      </w:r>
      <w:r w:rsidR="005A21F6" w:rsidRPr="006D6661">
        <w:rPr>
          <w:b/>
        </w:rPr>
        <w:t>MBB</w:t>
      </w:r>
      <w:r w:rsidRPr="006D6661">
        <w:rPr>
          <w:b/>
        </w:rPr>
        <w:t xml:space="preserve"> services, should a </w:t>
      </w:r>
      <w:r w:rsidR="004252DD" w:rsidRPr="006D6661">
        <w:rPr>
          <w:b/>
        </w:rPr>
        <w:t xml:space="preserve">geographically and/or spectrally </w:t>
      </w:r>
      <w:r w:rsidRPr="006D6661">
        <w:rPr>
          <w:b/>
        </w:rPr>
        <w:t>staged process be considered</w:t>
      </w:r>
      <w:r w:rsidR="00EC5B0C" w:rsidRPr="006D6661">
        <w:rPr>
          <w:b/>
        </w:rPr>
        <w:t>,</w:t>
      </w:r>
      <w:r w:rsidRPr="006D6661">
        <w:rPr>
          <w:b/>
        </w:rPr>
        <w:t xml:space="preserve"> where </w:t>
      </w:r>
      <w:r w:rsidR="004252DD" w:rsidRPr="006D6661">
        <w:rPr>
          <w:b/>
        </w:rPr>
        <w:t xml:space="preserve">more heavily utilised parts/areas </w:t>
      </w:r>
      <w:r w:rsidRPr="006D6661">
        <w:rPr>
          <w:b/>
        </w:rPr>
        <w:t xml:space="preserve">are re-farmed later than </w:t>
      </w:r>
      <w:r w:rsidR="004252DD" w:rsidRPr="006D6661">
        <w:rPr>
          <w:b/>
        </w:rPr>
        <w:t>those that are more lightly utilised</w:t>
      </w:r>
      <w:r w:rsidRPr="006D6661">
        <w:rPr>
          <w:b/>
        </w:rPr>
        <w:t>?</w:t>
      </w:r>
    </w:p>
    <w:p w14:paraId="23631093" w14:textId="458D0F04" w:rsidR="00A27735" w:rsidRPr="006D6661" w:rsidRDefault="00A27735" w:rsidP="00107352">
      <w:pPr>
        <w:pStyle w:val="ListParagraph"/>
        <w:numPr>
          <w:ilvl w:val="0"/>
          <w:numId w:val="19"/>
        </w:numPr>
        <w:shd w:val="clear" w:color="auto" w:fill="F2F2F2" w:themeFill="background1" w:themeFillShade="F2"/>
        <w:ind w:left="426" w:hanging="426"/>
        <w:rPr>
          <w:b/>
        </w:rPr>
      </w:pPr>
      <w:r w:rsidRPr="006D6661">
        <w:rPr>
          <w:b/>
        </w:rPr>
        <w:t xml:space="preserve">What are the alternative spectrum or delivery options for current users of the 1.5 GHz band if the band is re-farmed for </w:t>
      </w:r>
      <w:r w:rsidR="005A21F6" w:rsidRPr="006D6661">
        <w:rPr>
          <w:b/>
        </w:rPr>
        <w:t>MBB</w:t>
      </w:r>
      <w:r w:rsidRPr="006D6661">
        <w:rPr>
          <w:b/>
        </w:rPr>
        <w:t xml:space="preserve"> services and migration of existing services is required?</w:t>
      </w:r>
    </w:p>
    <w:p w14:paraId="59EA8D35" w14:textId="4F85F115" w:rsidR="004252DD" w:rsidRPr="006D6661" w:rsidRDefault="004252DD" w:rsidP="00107352">
      <w:pPr>
        <w:pStyle w:val="ListParagraph"/>
        <w:numPr>
          <w:ilvl w:val="0"/>
          <w:numId w:val="19"/>
        </w:numPr>
        <w:shd w:val="clear" w:color="auto" w:fill="F2F2F2" w:themeFill="background1" w:themeFillShade="F2"/>
        <w:ind w:left="426" w:hanging="426"/>
        <w:rPr>
          <w:b/>
        </w:rPr>
      </w:pPr>
      <w:r w:rsidRPr="006D6661">
        <w:rPr>
          <w:b/>
        </w:rPr>
        <w:t>Could services</w:t>
      </w:r>
      <w:r w:rsidR="00A27735" w:rsidRPr="006D6661">
        <w:rPr>
          <w:b/>
        </w:rPr>
        <w:t xml:space="preserve">, in particular fixed services, </w:t>
      </w:r>
      <w:r w:rsidRPr="006D6661">
        <w:rPr>
          <w:b/>
        </w:rPr>
        <w:t xml:space="preserve">provided in the 1.5 GHz band be migrated to new or existing mobile networks in areas where the band is re-farmed for </w:t>
      </w:r>
      <w:r w:rsidR="005A21F6" w:rsidRPr="006D6661">
        <w:rPr>
          <w:b/>
        </w:rPr>
        <w:t>MBB</w:t>
      </w:r>
      <w:r w:rsidRPr="006D6661">
        <w:rPr>
          <w:b/>
        </w:rPr>
        <w:t xml:space="preserve"> services?</w:t>
      </w:r>
    </w:p>
    <w:p w14:paraId="129139C8" w14:textId="35B1BB74" w:rsidR="001142DB" w:rsidRPr="006D6661" w:rsidRDefault="001142DB" w:rsidP="00107352">
      <w:pPr>
        <w:pStyle w:val="ListParagraph"/>
        <w:numPr>
          <w:ilvl w:val="0"/>
          <w:numId w:val="19"/>
        </w:numPr>
        <w:shd w:val="clear" w:color="auto" w:fill="F2F2F2" w:themeFill="background1" w:themeFillShade="F2"/>
        <w:ind w:left="426" w:hanging="426"/>
        <w:rPr>
          <w:b/>
        </w:rPr>
      </w:pPr>
      <w:r w:rsidRPr="006D6661">
        <w:rPr>
          <w:b/>
        </w:rPr>
        <w:t>Should existing users (some or all) be allowed to continue operation within the band either temporarily or on an ongoing basis?</w:t>
      </w:r>
    </w:p>
    <w:p w14:paraId="274CCF48" w14:textId="718C4D03" w:rsidR="00464960" w:rsidRDefault="00343B59" w:rsidP="00107352">
      <w:pPr>
        <w:pStyle w:val="ListParagraph"/>
        <w:numPr>
          <w:ilvl w:val="0"/>
          <w:numId w:val="19"/>
        </w:numPr>
        <w:shd w:val="clear" w:color="auto" w:fill="F2F2F2" w:themeFill="background1" w:themeFillShade="F2"/>
        <w:spacing w:after="240"/>
        <w:ind w:left="426" w:hanging="426"/>
      </w:pPr>
      <w:bookmarkStart w:id="81" w:name="_Toc459906727"/>
      <w:r w:rsidRPr="006D6661">
        <w:rPr>
          <w:b/>
        </w:rPr>
        <w:t xml:space="preserve">What types of sharing arrangements </w:t>
      </w:r>
      <w:r w:rsidR="00A27735" w:rsidRPr="006D6661">
        <w:rPr>
          <w:b/>
        </w:rPr>
        <w:t>c</w:t>
      </w:r>
      <w:r w:rsidRPr="006D6661">
        <w:rPr>
          <w:b/>
        </w:rPr>
        <w:t xml:space="preserve">ould be put in place to facilitate coexistence between </w:t>
      </w:r>
      <w:r w:rsidR="005A21F6" w:rsidRPr="006D6661">
        <w:rPr>
          <w:b/>
        </w:rPr>
        <w:t>MBB</w:t>
      </w:r>
      <w:r w:rsidRPr="006D6661">
        <w:rPr>
          <w:b/>
        </w:rPr>
        <w:t xml:space="preserve"> services and existing users of the 1.5 GHz band in both the short and long term?</w:t>
      </w:r>
      <w:bookmarkStart w:id="82" w:name="_Toc459906722"/>
    </w:p>
    <w:p w14:paraId="674FEB19" w14:textId="77777777" w:rsidR="00FA59B6" w:rsidRPr="000D76E0" w:rsidRDefault="00FA59B6" w:rsidP="00A81803">
      <w:pPr>
        <w:pStyle w:val="Heading2"/>
      </w:pPr>
      <w:bookmarkStart w:id="83" w:name="_Toc464480521"/>
      <w:r>
        <w:t xml:space="preserve">Preliminary assessment of the highest value use of the 1.5 GHz </w:t>
      </w:r>
      <w:r w:rsidRPr="00A81803">
        <w:t>band</w:t>
      </w:r>
      <w:bookmarkEnd w:id="82"/>
      <w:bookmarkEnd w:id="83"/>
    </w:p>
    <w:p w14:paraId="7FFAFA77" w14:textId="1DA6A411" w:rsidR="00FA59B6" w:rsidRDefault="00FA59B6" w:rsidP="00A81803">
      <w:r>
        <w:t xml:space="preserve">A preliminary assessment of the highest value use of the 1.5 GHz band is provided at Appendix C for stakeholder feedback. </w:t>
      </w:r>
      <w:r w:rsidR="00E856E4">
        <w:t>In deciding</w:t>
      </w:r>
      <w:r>
        <w:t xml:space="preserve"> whether or not to progress the 1.</w:t>
      </w:r>
      <w:r w:rsidR="00EC5B0C">
        <w:t>5 </w:t>
      </w:r>
      <w:r>
        <w:t xml:space="preserve">GHz band to the </w:t>
      </w:r>
      <w:r w:rsidRPr="0047475B">
        <w:rPr>
          <w:i/>
        </w:rPr>
        <w:t xml:space="preserve">preliminary </w:t>
      </w:r>
      <w:r w:rsidR="00335B81">
        <w:rPr>
          <w:i/>
        </w:rPr>
        <w:t>re-planning</w:t>
      </w:r>
      <w:r>
        <w:t xml:space="preserve"> stage</w:t>
      </w:r>
      <w:r w:rsidR="00E856E4">
        <w:t>,</w:t>
      </w:r>
      <w:r>
        <w:t xml:space="preserve"> </w:t>
      </w:r>
      <w:r w:rsidR="00E856E4">
        <w:t xml:space="preserve">the ACMA will </w:t>
      </w:r>
      <w:r w:rsidR="00EC5B0C">
        <w:t>consider</w:t>
      </w:r>
      <w:r w:rsidR="00E856E4">
        <w:t xml:space="preserve"> </w:t>
      </w:r>
      <w:r>
        <w:t xml:space="preserve">the results </w:t>
      </w:r>
      <w:r w:rsidR="00E856E4">
        <w:t>of</w:t>
      </w:r>
      <w:r>
        <w:t xml:space="preserve"> feedback to the analysis presented. </w:t>
      </w:r>
      <w:r w:rsidR="00E856E4">
        <w:t>At this stage</w:t>
      </w:r>
      <w:r w:rsidR="00EC5B0C">
        <w:t>,</w:t>
      </w:r>
      <w:r w:rsidR="00E856E4">
        <w:t xml:space="preserve"> the </w:t>
      </w:r>
      <w:r w:rsidR="00E856E4" w:rsidRPr="00D43B35">
        <w:t>preliminary assessment</w:t>
      </w:r>
      <w:r w:rsidR="00E856E4">
        <w:rPr>
          <w:i/>
        </w:rPr>
        <w:t xml:space="preserve"> </w:t>
      </w:r>
      <w:r w:rsidR="00E856E4">
        <w:t xml:space="preserve">indicates </w:t>
      </w:r>
      <w:r>
        <w:t xml:space="preserve">that the amount of public benefit provided from use of the band could be increased through </w:t>
      </w:r>
      <w:r w:rsidR="00335B81">
        <w:t>re-planning</w:t>
      </w:r>
      <w:r>
        <w:t xml:space="preserve"> the band. </w:t>
      </w:r>
    </w:p>
    <w:p w14:paraId="7887693F" w14:textId="5FA68BCF" w:rsidR="00D85BBF" w:rsidRDefault="00FA59B6" w:rsidP="00A81803">
      <w:r>
        <w:t xml:space="preserve">It is therefore proposed to progress consideration of the 1.5 GHz band for </w:t>
      </w:r>
      <w:r w:rsidR="005A21F6">
        <w:t>MBB</w:t>
      </w:r>
      <w:r>
        <w:t xml:space="preserve"> to the </w:t>
      </w:r>
      <w:r w:rsidRPr="0081536C">
        <w:rPr>
          <w:i/>
        </w:rPr>
        <w:t>preliminary</w:t>
      </w:r>
      <w:r>
        <w:rPr>
          <w:i/>
        </w:rPr>
        <w:t xml:space="preserve"> </w:t>
      </w:r>
      <w:r w:rsidR="00335B81">
        <w:rPr>
          <w:i/>
        </w:rPr>
        <w:t>re-planning</w:t>
      </w:r>
      <w:r>
        <w:rPr>
          <w:i/>
        </w:rPr>
        <w:t xml:space="preserve"> </w:t>
      </w:r>
      <w:r>
        <w:t xml:space="preserve">stage of the ACMA’s process for consideration of additional spectrum for </w:t>
      </w:r>
      <w:r w:rsidR="005A21F6">
        <w:t>MBB</w:t>
      </w:r>
      <w:r>
        <w:t xml:space="preserve"> services. As discussed </w:t>
      </w:r>
      <w:r w:rsidR="00E856E4">
        <w:t>previously</w:t>
      </w:r>
      <w:r>
        <w:t xml:space="preserve">, </w:t>
      </w:r>
      <w:r w:rsidR="00335B81">
        <w:t>re-planning</w:t>
      </w:r>
      <w:r>
        <w:t xml:space="preserve"> considerations may include geographical and spectrum band limitations on </w:t>
      </w:r>
      <w:r w:rsidR="00335B81">
        <w:t>re-planning</w:t>
      </w:r>
      <w:r w:rsidR="00EC5B0C">
        <w:t>,</w:t>
      </w:r>
      <w:r>
        <w:t xml:space="preserve"> in order to maximise the benefit derived from the use of the band.</w:t>
      </w:r>
    </w:p>
    <w:p w14:paraId="3A03390A" w14:textId="44E4247B" w:rsidR="00EC5B0C" w:rsidRDefault="00FA59B6" w:rsidP="00107352">
      <w:pPr>
        <w:pStyle w:val="ListParagraph"/>
        <w:numPr>
          <w:ilvl w:val="0"/>
          <w:numId w:val="19"/>
        </w:numPr>
        <w:shd w:val="clear" w:color="auto" w:fill="F2F2F2" w:themeFill="background1" w:themeFillShade="F2"/>
        <w:spacing w:after="240"/>
        <w:ind w:left="426" w:hanging="426"/>
      </w:pPr>
      <w:r w:rsidRPr="006D6661">
        <w:rPr>
          <w:b/>
        </w:rPr>
        <w:t xml:space="preserve">Comment is sought on the ACMA’s proposal to progress the 1.5 GHz band to the </w:t>
      </w:r>
      <w:r w:rsidRPr="00107352">
        <w:rPr>
          <w:b/>
          <w:i/>
        </w:rPr>
        <w:t xml:space="preserve">preliminary </w:t>
      </w:r>
      <w:r w:rsidR="00335B81" w:rsidRPr="00107352">
        <w:rPr>
          <w:b/>
          <w:i/>
        </w:rPr>
        <w:t>re-planning</w:t>
      </w:r>
      <w:r w:rsidRPr="006D6661">
        <w:rPr>
          <w:b/>
        </w:rPr>
        <w:t xml:space="preserve"> stage of its process for consideration of additional spectrum for </w:t>
      </w:r>
      <w:r w:rsidR="005A21F6" w:rsidRPr="006D6661">
        <w:rPr>
          <w:b/>
        </w:rPr>
        <w:t>MBB</w:t>
      </w:r>
      <w:r w:rsidRPr="006D6661">
        <w:rPr>
          <w:b/>
        </w:rPr>
        <w:t xml:space="preserve"> services, as detailed in the ACMA’s </w:t>
      </w:r>
      <w:hyperlink r:id="rId51" w:history="1">
        <w:r w:rsidR="00E13D9C" w:rsidRPr="00E13D9C">
          <w:rPr>
            <w:rStyle w:val="Hyperlink"/>
            <w:b/>
          </w:rPr>
          <w:t>mobile broadband strategy</w:t>
        </w:r>
      </w:hyperlink>
      <w:r w:rsidRPr="006D6661">
        <w:t>.</w:t>
      </w:r>
    </w:p>
    <w:p w14:paraId="4DC4DFE2" w14:textId="3E09026A" w:rsidR="00464960" w:rsidRDefault="00FA59B6" w:rsidP="00A81803">
      <w:pPr>
        <w:rPr>
          <w:bCs/>
        </w:rPr>
      </w:pPr>
      <w:r>
        <w:t xml:space="preserve">As part of the work conducted at the </w:t>
      </w:r>
      <w:r w:rsidRPr="007D3BCF">
        <w:rPr>
          <w:i/>
        </w:rPr>
        <w:t>p</w:t>
      </w:r>
      <w:r>
        <w:rPr>
          <w:i/>
        </w:rPr>
        <w:t xml:space="preserve">reliminary </w:t>
      </w:r>
      <w:r w:rsidR="00335B81">
        <w:rPr>
          <w:i/>
        </w:rPr>
        <w:t>re-planning</w:t>
      </w:r>
      <w:r>
        <w:rPr>
          <w:i/>
        </w:rPr>
        <w:t xml:space="preserve"> </w:t>
      </w:r>
      <w:r>
        <w:t xml:space="preserve">stage, the ACMA would conduct </w:t>
      </w:r>
      <w:r w:rsidRPr="00337B1E">
        <w:t xml:space="preserve">a </w:t>
      </w:r>
      <w:r w:rsidRPr="00337B1E">
        <w:rPr>
          <w:bCs/>
        </w:rPr>
        <w:t xml:space="preserve">comprehensive assessment of the highest value use for the </w:t>
      </w:r>
      <w:r>
        <w:rPr>
          <w:bCs/>
        </w:rPr>
        <w:t>1</w:t>
      </w:r>
      <w:r w:rsidRPr="00337B1E">
        <w:rPr>
          <w:bCs/>
        </w:rPr>
        <w:t>.</w:t>
      </w:r>
      <w:r>
        <w:rPr>
          <w:bCs/>
        </w:rPr>
        <w:t>5</w:t>
      </w:r>
      <w:r w:rsidRPr="00337B1E">
        <w:rPr>
          <w:bCs/>
        </w:rPr>
        <w:t xml:space="preserve"> GHz band. </w:t>
      </w:r>
    </w:p>
    <w:p w14:paraId="14CDC775" w14:textId="1613A5EF" w:rsidR="00821BF7" w:rsidRPr="006D6661" w:rsidRDefault="00821BF7" w:rsidP="00107352">
      <w:pPr>
        <w:pStyle w:val="ListParagraph"/>
        <w:numPr>
          <w:ilvl w:val="0"/>
          <w:numId w:val="19"/>
        </w:numPr>
        <w:shd w:val="clear" w:color="auto" w:fill="F2F2F2" w:themeFill="background1" w:themeFillShade="F2"/>
        <w:spacing w:after="0" w:line="240" w:lineRule="atLeast"/>
        <w:ind w:left="426" w:hanging="426"/>
        <w:contextualSpacing w:val="0"/>
        <w:rPr>
          <w:b/>
        </w:rPr>
      </w:pPr>
      <w:r w:rsidRPr="006D6661">
        <w:rPr>
          <w:b/>
        </w:rPr>
        <w:t>To assist the ACMA in conducting a comprehensive assessment of the highest</w:t>
      </w:r>
      <w:r w:rsidR="00F671E5">
        <w:rPr>
          <w:b/>
        </w:rPr>
        <w:t>-</w:t>
      </w:r>
      <w:r w:rsidRPr="006D6661">
        <w:rPr>
          <w:b/>
        </w:rPr>
        <w:t>value use for the 1.5 GHz band, responses to the following questions are requested:</w:t>
      </w:r>
    </w:p>
    <w:p w14:paraId="35698BA0" w14:textId="4A9D108A" w:rsidR="00821BF7" w:rsidRPr="006D6661" w:rsidRDefault="00821BF7" w:rsidP="00107352">
      <w:pPr>
        <w:pStyle w:val="ListParagraph"/>
        <w:numPr>
          <w:ilvl w:val="0"/>
          <w:numId w:val="20"/>
        </w:numPr>
        <w:shd w:val="clear" w:color="auto" w:fill="F2F2F2" w:themeFill="background1" w:themeFillShade="F2"/>
        <w:spacing w:after="80" w:line="240" w:lineRule="atLeast"/>
        <w:contextualSpacing w:val="0"/>
        <w:rPr>
          <w:b/>
        </w:rPr>
      </w:pPr>
      <w:r w:rsidRPr="006D6661">
        <w:rPr>
          <w:b/>
        </w:rPr>
        <w:t>Do you see demand for fixed</w:t>
      </w:r>
      <w:r w:rsidR="002C5793">
        <w:rPr>
          <w:b/>
        </w:rPr>
        <w:t xml:space="preserve"> broadband</w:t>
      </w:r>
      <w:r w:rsidRPr="006D6661">
        <w:rPr>
          <w:b/>
        </w:rPr>
        <w:t>/</w:t>
      </w:r>
      <w:r w:rsidR="005A21F6" w:rsidRPr="006D6661">
        <w:rPr>
          <w:b/>
        </w:rPr>
        <w:t>MBB</w:t>
      </w:r>
      <w:r w:rsidRPr="006D6661">
        <w:rPr>
          <w:b/>
        </w:rPr>
        <w:t xml:space="preserve"> services in the 1.5 GHz band?</w:t>
      </w:r>
    </w:p>
    <w:p w14:paraId="2D1E54D7" w14:textId="06906B4F" w:rsidR="00821BF7" w:rsidRPr="006D6661" w:rsidRDefault="00821BF7" w:rsidP="00107352">
      <w:pPr>
        <w:pStyle w:val="ListParagraph"/>
        <w:numPr>
          <w:ilvl w:val="0"/>
          <w:numId w:val="20"/>
        </w:numPr>
        <w:shd w:val="clear" w:color="auto" w:fill="F2F2F2" w:themeFill="background1" w:themeFillShade="F2"/>
        <w:spacing w:after="80" w:line="240" w:lineRule="atLeast"/>
        <w:contextualSpacing w:val="0"/>
        <w:rPr>
          <w:b/>
        </w:rPr>
      </w:pPr>
      <w:r w:rsidRPr="006D6661">
        <w:rPr>
          <w:b/>
        </w:rPr>
        <w:t>What benefits do you envision from using the band for fixed</w:t>
      </w:r>
      <w:r w:rsidR="002C5793">
        <w:rPr>
          <w:b/>
        </w:rPr>
        <w:t xml:space="preserve"> broadband</w:t>
      </w:r>
      <w:r w:rsidRPr="006D6661">
        <w:rPr>
          <w:b/>
        </w:rPr>
        <w:t>/</w:t>
      </w:r>
      <w:r w:rsidR="005A21F6" w:rsidRPr="006D6661">
        <w:rPr>
          <w:b/>
        </w:rPr>
        <w:t>MBB</w:t>
      </w:r>
      <w:r w:rsidRPr="006D6661">
        <w:rPr>
          <w:b/>
        </w:rPr>
        <w:t xml:space="preserve"> services? </w:t>
      </w:r>
    </w:p>
    <w:p w14:paraId="7FA97C2A" w14:textId="114D3D0F" w:rsidR="00821BF7" w:rsidRPr="006D6661" w:rsidRDefault="00821BF7" w:rsidP="00107352">
      <w:pPr>
        <w:pStyle w:val="ListParagraph"/>
        <w:numPr>
          <w:ilvl w:val="0"/>
          <w:numId w:val="20"/>
        </w:numPr>
        <w:shd w:val="clear" w:color="auto" w:fill="F2F2F2" w:themeFill="background1" w:themeFillShade="F2"/>
        <w:spacing w:after="80" w:line="240" w:lineRule="atLeast"/>
        <w:contextualSpacing w:val="0"/>
        <w:rPr>
          <w:b/>
        </w:rPr>
      </w:pPr>
      <w:r w:rsidRPr="006D6661">
        <w:rPr>
          <w:b/>
        </w:rPr>
        <w:t>What are relevant data points (for example, market</w:t>
      </w:r>
      <w:r w:rsidR="00EC5B0C" w:rsidRPr="006D6661">
        <w:rPr>
          <w:b/>
        </w:rPr>
        <w:t>-</w:t>
      </w:r>
      <w:r w:rsidRPr="006D6661">
        <w:rPr>
          <w:b/>
        </w:rPr>
        <w:t xml:space="preserve">based allocation results) for considering the demand for 1.5 GHz band spectrum for use by </w:t>
      </w:r>
      <w:r w:rsidR="005A21F6" w:rsidRPr="006D6661">
        <w:rPr>
          <w:b/>
        </w:rPr>
        <w:t>MBB</w:t>
      </w:r>
      <w:r w:rsidRPr="006D6661">
        <w:rPr>
          <w:b/>
        </w:rPr>
        <w:t xml:space="preserve"> providers?</w:t>
      </w:r>
    </w:p>
    <w:p w14:paraId="240D6313" w14:textId="78DA595C" w:rsidR="00821BF7" w:rsidRPr="006D6661" w:rsidRDefault="00821BF7" w:rsidP="00107352">
      <w:pPr>
        <w:pStyle w:val="ListParagraph"/>
        <w:numPr>
          <w:ilvl w:val="0"/>
          <w:numId w:val="20"/>
        </w:numPr>
        <w:shd w:val="clear" w:color="auto" w:fill="F2F2F2" w:themeFill="background1" w:themeFillShade="F2"/>
        <w:spacing w:after="80" w:line="240" w:lineRule="atLeast"/>
        <w:contextualSpacing w:val="0"/>
        <w:rPr>
          <w:b/>
        </w:rPr>
      </w:pPr>
      <w:r w:rsidRPr="006D6661">
        <w:rPr>
          <w:b/>
        </w:rPr>
        <w:t>Is demand the same or similar across regions (</w:t>
      </w:r>
      <w:r w:rsidR="00EC5B0C" w:rsidRPr="006D6661">
        <w:rPr>
          <w:b/>
        </w:rPr>
        <w:t>that is,</w:t>
      </w:r>
      <w:r w:rsidRPr="006D6661">
        <w:rPr>
          <w:b/>
        </w:rPr>
        <w:t xml:space="preserve"> across metropolitan, rural and remote areas), or are some regions more likely to be in demand for </w:t>
      </w:r>
      <w:r w:rsidR="005A21F6" w:rsidRPr="006D6661">
        <w:rPr>
          <w:b/>
        </w:rPr>
        <w:t>MBB</w:t>
      </w:r>
      <w:r w:rsidRPr="006D6661">
        <w:rPr>
          <w:b/>
        </w:rPr>
        <w:t xml:space="preserve"> providers? </w:t>
      </w:r>
    </w:p>
    <w:p w14:paraId="309EA7A5" w14:textId="6BA30AC4" w:rsidR="00821BF7" w:rsidRPr="006D6661" w:rsidRDefault="00821BF7" w:rsidP="00107352">
      <w:pPr>
        <w:pStyle w:val="ListParagraph"/>
        <w:numPr>
          <w:ilvl w:val="0"/>
          <w:numId w:val="20"/>
        </w:numPr>
        <w:shd w:val="clear" w:color="auto" w:fill="F2F2F2" w:themeFill="background1" w:themeFillShade="F2"/>
        <w:spacing w:after="80" w:line="240" w:lineRule="atLeast"/>
        <w:contextualSpacing w:val="0"/>
        <w:rPr>
          <w:b/>
        </w:rPr>
      </w:pPr>
      <w:r w:rsidRPr="006D6661">
        <w:rPr>
          <w:b/>
        </w:rPr>
        <w:t>Do incumbent 1.5 GHz band licensees require ongoing access to the band, or are the</w:t>
      </w:r>
      <w:r w:rsidR="00E856E4" w:rsidRPr="006D6661">
        <w:rPr>
          <w:b/>
        </w:rPr>
        <w:t>re</w:t>
      </w:r>
      <w:r w:rsidRPr="006D6661">
        <w:rPr>
          <w:b/>
        </w:rPr>
        <w:t xml:space="preserve"> plans to cease operation at some future point?</w:t>
      </w:r>
    </w:p>
    <w:p w14:paraId="070432CB" w14:textId="10BA82A6" w:rsidR="00FA59B6" w:rsidRPr="00CB287F" w:rsidRDefault="00821BF7" w:rsidP="00107352">
      <w:pPr>
        <w:pStyle w:val="ListParagraph"/>
        <w:numPr>
          <w:ilvl w:val="0"/>
          <w:numId w:val="20"/>
        </w:numPr>
        <w:shd w:val="clear" w:color="auto" w:fill="F2F2F2" w:themeFill="background1" w:themeFillShade="F2"/>
        <w:spacing w:after="240" w:line="240" w:lineRule="atLeast"/>
        <w:contextualSpacing w:val="0"/>
      </w:pPr>
      <w:r w:rsidRPr="006D6661">
        <w:rPr>
          <w:b/>
        </w:rPr>
        <w:t xml:space="preserve">Do other options exist for the delivery of point-to-point, point-to-multipoint, fixed receive, aeronautical and radiodetermination incumbent services? How practical are they? What are the costs involved? Will there be a </w:t>
      </w:r>
      <w:r w:rsidR="00E856E4" w:rsidRPr="006D6661">
        <w:rPr>
          <w:b/>
        </w:rPr>
        <w:t xml:space="preserve">diminution </w:t>
      </w:r>
      <w:r w:rsidRPr="006D6661">
        <w:rPr>
          <w:b/>
        </w:rPr>
        <w:t xml:space="preserve">of the service delivered if </w:t>
      </w:r>
      <w:r w:rsidR="005A21F6" w:rsidRPr="006D6661">
        <w:rPr>
          <w:b/>
        </w:rPr>
        <w:t>MBB</w:t>
      </w:r>
      <w:r w:rsidRPr="006D6661">
        <w:rPr>
          <w:b/>
        </w:rPr>
        <w:t xml:space="preserve"> services are introduced in the band?</w:t>
      </w:r>
    </w:p>
    <w:p w14:paraId="08469CE3" w14:textId="20901040" w:rsidR="00F23F68" w:rsidRDefault="00067BF4" w:rsidP="00F23F68">
      <w:pPr>
        <w:pStyle w:val="Heading1"/>
      </w:pPr>
      <w:bookmarkStart w:id="84" w:name="_Toc464480522"/>
      <w:r>
        <w:t>3.6 GHz band</w:t>
      </w:r>
      <w:bookmarkEnd w:id="81"/>
      <w:bookmarkEnd w:id="84"/>
    </w:p>
    <w:p w14:paraId="72A15B65" w14:textId="3099D828" w:rsidR="00F23F68" w:rsidRPr="000D76E0" w:rsidRDefault="00F23F68" w:rsidP="00F23F68">
      <w:pPr>
        <w:pStyle w:val="Heading2"/>
      </w:pPr>
      <w:bookmarkStart w:id="85" w:name="_Toc459906728"/>
      <w:bookmarkStart w:id="86" w:name="_Toc464480523"/>
      <w:r>
        <w:t>International arrangements</w:t>
      </w:r>
      <w:bookmarkEnd w:id="85"/>
      <w:bookmarkEnd w:id="86"/>
    </w:p>
    <w:p w14:paraId="32FB41ED" w14:textId="2CCE9578" w:rsidR="00E940D3" w:rsidRDefault="00296388" w:rsidP="00A81803">
      <w:r w:rsidRPr="00296388">
        <w:t xml:space="preserve">This </w:t>
      </w:r>
      <w:r w:rsidR="0088482C">
        <w:t>section</w:t>
      </w:r>
      <w:r w:rsidRPr="00296388">
        <w:t xml:space="preserve"> provides an overview o</w:t>
      </w:r>
      <w:r w:rsidR="00AC5064">
        <w:t>f</w:t>
      </w:r>
      <w:r>
        <w:t xml:space="preserve"> </w:t>
      </w:r>
      <w:r w:rsidR="00EC5B0C">
        <w:t xml:space="preserve">international </w:t>
      </w:r>
      <w:r w:rsidR="00E940D3">
        <w:t xml:space="preserve">arrangements and </w:t>
      </w:r>
      <w:r>
        <w:t>developments</w:t>
      </w:r>
      <w:r w:rsidR="00EC5B0C">
        <w:t>—</w:t>
      </w:r>
      <w:r w:rsidR="00854B03">
        <w:t xml:space="preserve">not just </w:t>
      </w:r>
      <w:r w:rsidR="00EC5B0C">
        <w:t xml:space="preserve">for </w:t>
      </w:r>
      <w:r w:rsidR="00854B03">
        <w:t>the 3575</w:t>
      </w:r>
      <w:r w:rsidR="00EC5B0C">
        <w:t>–</w:t>
      </w:r>
      <w:r w:rsidR="00854B03">
        <w:t>3700 MHz (3.6 GHz) band</w:t>
      </w:r>
      <w:r w:rsidR="00EC5B0C">
        <w:t>,</w:t>
      </w:r>
      <w:r w:rsidR="00854B03">
        <w:t xml:space="preserve"> but </w:t>
      </w:r>
      <w:r w:rsidR="00EC5B0C">
        <w:t xml:space="preserve">also for </w:t>
      </w:r>
      <w:r w:rsidR="00854B03">
        <w:t>the broader</w:t>
      </w:r>
      <w:r w:rsidRPr="00296388">
        <w:t xml:space="preserve"> </w:t>
      </w:r>
      <w:r w:rsidR="00BD0918">
        <w:t>3400</w:t>
      </w:r>
      <w:r w:rsidR="00EC5B0C">
        <w:t>–</w:t>
      </w:r>
      <w:r w:rsidR="00BD0918">
        <w:t>3800 MHz</w:t>
      </w:r>
      <w:r w:rsidRPr="00296388">
        <w:t xml:space="preserve"> band</w:t>
      </w:r>
      <w:r w:rsidR="00BD0918">
        <w:t>.</w:t>
      </w:r>
      <w:r w:rsidRPr="00296388">
        <w:t xml:space="preserve"> </w:t>
      </w:r>
      <w:r w:rsidR="00E43EA5">
        <w:t>The reason for this</w:t>
      </w:r>
      <w:r w:rsidR="00BD0918">
        <w:t xml:space="preserve"> is </w:t>
      </w:r>
      <w:r w:rsidR="00E43EA5">
        <w:t xml:space="preserve">that </w:t>
      </w:r>
      <w:r w:rsidR="00BD0918">
        <w:t xml:space="preserve">standards organisations and the resulting equipment ecosystems for </w:t>
      </w:r>
      <w:r w:rsidR="005A21F6">
        <w:t>MBB</w:t>
      </w:r>
      <w:r w:rsidR="00BD0918">
        <w:t xml:space="preserve"> systems are typically defined for operation over </w:t>
      </w:r>
      <w:r w:rsidR="00D91512">
        <w:t>this</w:t>
      </w:r>
      <w:r w:rsidR="00BD0918">
        <w:t xml:space="preserve"> </w:t>
      </w:r>
      <w:r w:rsidR="00854B03">
        <w:t xml:space="preserve">larger </w:t>
      </w:r>
      <w:r w:rsidR="00BD0918">
        <w:t xml:space="preserve">frequency range. </w:t>
      </w:r>
      <w:r w:rsidR="00854B03">
        <w:t>So</w:t>
      </w:r>
      <w:r w:rsidR="00EC5B0C">
        <w:t>,</w:t>
      </w:r>
      <w:r w:rsidR="00854B03">
        <w:t xml:space="preserve"> a country</w:t>
      </w:r>
      <w:r w:rsidR="00BA010D">
        <w:t>’s</w:t>
      </w:r>
      <w:r w:rsidR="00854B03">
        <w:t xml:space="preserve"> or </w:t>
      </w:r>
      <w:r w:rsidR="002C5793">
        <w:t xml:space="preserve">Region’s </w:t>
      </w:r>
      <w:r w:rsidR="00854B03">
        <w:t>decision to use all or part of the 3400</w:t>
      </w:r>
      <w:r w:rsidR="00EC5B0C">
        <w:t>–</w:t>
      </w:r>
      <w:r w:rsidR="00854B03">
        <w:t xml:space="preserve">3800 MHz band for </w:t>
      </w:r>
      <w:r w:rsidR="005A21F6">
        <w:t>MBB</w:t>
      </w:r>
      <w:r w:rsidR="00854B03">
        <w:t xml:space="preserve"> has an effect on the resulting equipment availability and economies of scale </w:t>
      </w:r>
      <w:r w:rsidR="00C31A08">
        <w:t xml:space="preserve">that </w:t>
      </w:r>
      <w:r w:rsidR="00854B03">
        <w:t xml:space="preserve">develop. </w:t>
      </w:r>
      <w:r w:rsidR="00BD0918">
        <w:t>It therefore</w:t>
      </w:r>
      <w:r w:rsidR="00EC5B0C">
        <w:t>,</w:t>
      </w:r>
      <w:r w:rsidR="00BD0918">
        <w:t xml:space="preserve"> makes sense to consider </w:t>
      </w:r>
      <w:r w:rsidR="00075408">
        <w:t xml:space="preserve">all international </w:t>
      </w:r>
      <w:r w:rsidR="00BD0918">
        <w:t xml:space="preserve">factors that </w:t>
      </w:r>
      <w:r w:rsidR="00E940D3">
        <w:t xml:space="preserve">would </w:t>
      </w:r>
      <w:r w:rsidR="00BD0918">
        <w:t xml:space="preserve">affect the viability of </w:t>
      </w:r>
      <w:r w:rsidR="005A21F6">
        <w:t>MBB</w:t>
      </w:r>
      <w:r w:rsidR="00BD0918">
        <w:t xml:space="preserve"> in the 3.6 GHz band </w:t>
      </w:r>
      <w:r w:rsidR="00E940D3">
        <w:t>when considering planning options for the</w:t>
      </w:r>
      <w:r w:rsidR="00E940D3" w:rsidRPr="00296388">
        <w:t xml:space="preserve"> band in Australia.</w:t>
      </w:r>
    </w:p>
    <w:p w14:paraId="55DCC91A" w14:textId="5E7F94A1" w:rsidR="00E329E2" w:rsidRDefault="00E329E2" w:rsidP="00A81803">
      <w:pPr>
        <w:spacing w:after="80"/>
      </w:pPr>
      <w:r>
        <w:t>This section is divided into three parts:</w:t>
      </w:r>
    </w:p>
    <w:p w14:paraId="2D8553F1" w14:textId="6AD9ABBA" w:rsidR="00E329E2" w:rsidRDefault="00E329E2" w:rsidP="00A81803">
      <w:pPr>
        <w:pStyle w:val="ListBullet"/>
      </w:pPr>
      <w:r>
        <w:t>arrangements and development</w:t>
      </w:r>
      <w:r w:rsidR="008F2177">
        <w:t>s</w:t>
      </w:r>
      <w:r>
        <w:t xml:space="preserve"> within international organisations</w:t>
      </w:r>
    </w:p>
    <w:p w14:paraId="6EF202D0" w14:textId="3435E6DB" w:rsidR="00E329E2" w:rsidRDefault="00E329E2" w:rsidP="00A81803">
      <w:pPr>
        <w:pStyle w:val="ListBullet"/>
      </w:pPr>
      <w:r>
        <w:t>country</w:t>
      </w:r>
      <w:r w:rsidR="00EC5B0C">
        <w:t>-</w:t>
      </w:r>
      <w:r>
        <w:t>specific arrangements and developments</w:t>
      </w:r>
    </w:p>
    <w:p w14:paraId="40E1D219" w14:textId="12E621F3" w:rsidR="00E329E2" w:rsidRPr="002B62C8" w:rsidRDefault="00E329E2" w:rsidP="00A81803">
      <w:pPr>
        <w:pStyle w:val="ListBulletLast"/>
      </w:pPr>
      <w:r>
        <w:t>a high</w:t>
      </w:r>
      <w:r w:rsidR="00EC5B0C">
        <w:t>-</w:t>
      </w:r>
      <w:r>
        <w:t>level summary of international arrangements and developments.</w:t>
      </w:r>
    </w:p>
    <w:p w14:paraId="33BBC945" w14:textId="21B11835" w:rsidR="00450C87" w:rsidRDefault="00B14329" w:rsidP="00A81803">
      <w:pPr>
        <w:pStyle w:val="Heading3"/>
      </w:pPr>
      <w:bookmarkStart w:id="87" w:name="_Toc458603031"/>
      <w:bookmarkStart w:id="88" w:name="_Toc459906729"/>
      <w:bookmarkStart w:id="89" w:name="_Toc464480524"/>
      <w:r>
        <w:t>I</w:t>
      </w:r>
      <w:r w:rsidR="00E940D3">
        <w:t xml:space="preserve">nternational </w:t>
      </w:r>
      <w:bookmarkEnd w:id="87"/>
      <w:r w:rsidR="00EC5B0C">
        <w:t>o</w:t>
      </w:r>
      <w:r w:rsidR="00E940D3" w:rsidRPr="00A81803">
        <w:t>rganisation</w:t>
      </w:r>
      <w:r w:rsidR="00302335" w:rsidRPr="00A81803">
        <w:t>s</w:t>
      </w:r>
      <w:bookmarkEnd w:id="88"/>
      <w:bookmarkEnd w:id="89"/>
      <w:r w:rsidR="00E940D3">
        <w:t xml:space="preserve"> </w:t>
      </w:r>
    </w:p>
    <w:p w14:paraId="484D2AB6" w14:textId="7AC4219A" w:rsidR="00B14329" w:rsidRPr="00A81803" w:rsidRDefault="00B14329" w:rsidP="00E03708">
      <w:pPr>
        <w:pStyle w:val="BodySubHeader"/>
        <w:spacing w:before="120"/>
      </w:pPr>
      <w:r w:rsidRPr="00A81803">
        <w:t>ITU</w:t>
      </w:r>
    </w:p>
    <w:p w14:paraId="512DE544" w14:textId="3179E9A5" w:rsidR="00FF437E" w:rsidRDefault="00075408" w:rsidP="00825C27">
      <w:pPr>
        <w:spacing w:after="80"/>
      </w:pPr>
      <w:r>
        <w:t xml:space="preserve">Article 5 of the </w:t>
      </w:r>
      <w:r w:rsidR="0081536C">
        <w:t xml:space="preserve">ITU </w:t>
      </w:r>
      <w:r>
        <w:t>Radio Regulations</w:t>
      </w:r>
      <w:r w:rsidR="00296388">
        <w:t xml:space="preserve"> </w:t>
      </w:r>
      <w:r w:rsidR="001056B9">
        <w:t>defines the current service allocations for the 3</w:t>
      </w:r>
      <w:r w:rsidR="00A641DC">
        <w:t>400</w:t>
      </w:r>
      <w:r w:rsidR="00EC5B0C">
        <w:t>–</w:t>
      </w:r>
      <w:r w:rsidR="001056B9">
        <w:t>3700 MHz frequency range</w:t>
      </w:r>
      <w:r w:rsidR="00A641DC">
        <w:t xml:space="preserve"> for all Regions of the world</w:t>
      </w:r>
      <w:r w:rsidR="003B5B89">
        <w:t xml:space="preserve"> (</w:t>
      </w:r>
      <w:r w:rsidR="003B5B89" w:rsidRPr="006A2730">
        <w:t>refer to</w:t>
      </w:r>
      <w:r w:rsidR="006A2730">
        <w:t xml:space="preserve"> </w:t>
      </w:r>
      <w:r w:rsidR="0084017B" w:rsidRPr="0084017B">
        <w:fldChar w:fldCharType="begin"/>
      </w:r>
      <w:r w:rsidR="0084017B" w:rsidRPr="0084017B">
        <w:instrText xml:space="preserve"> REF _Ref458523261 \h  \* MERGEFORMAT </w:instrText>
      </w:r>
      <w:r w:rsidR="0084017B" w:rsidRPr="0084017B">
        <w:fldChar w:fldCharType="separate"/>
      </w:r>
      <w:r w:rsidR="00FA0A5F">
        <w:rPr>
          <w:b/>
          <w:bCs/>
          <w:lang w:val="en-US"/>
        </w:rPr>
        <w:t>Error! Reference source not found.</w:t>
      </w:r>
      <w:r w:rsidR="0084017B" w:rsidRPr="0084017B">
        <w:fldChar w:fldCharType="end"/>
      </w:r>
      <w:r w:rsidR="0084017B">
        <w:t>5</w:t>
      </w:r>
      <w:r w:rsidR="003B5B89" w:rsidRPr="0084017B">
        <w:t>)</w:t>
      </w:r>
      <w:r w:rsidR="001056B9">
        <w:t xml:space="preserve">. </w:t>
      </w:r>
      <w:r w:rsidR="00041B5C">
        <w:t xml:space="preserve">As a result of </w:t>
      </w:r>
      <w:r w:rsidR="003B5B89">
        <w:t xml:space="preserve">WRC-15 </w:t>
      </w:r>
      <w:r w:rsidR="00041B5C">
        <w:t xml:space="preserve">agenda item 1.1, </w:t>
      </w:r>
      <w:r w:rsidR="0093369D">
        <w:t>numerous changes were made</w:t>
      </w:r>
      <w:r w:rsidR="003B5B89">
        <w:t xml:space="preserve"> that will take effect in 2017</w:t>
      </w:r>
      <w:r w:rsidR="00FF437E">
        <w:t xml:space="preserve">. These changes are defined in the </w:t>
      </w:r>
      <w:hyperlink r:id="rId52" w:history="1">
        <w:r w:rsidR="00FF437E" w:rsidRPr="00FF437E">
          <w:rPr>
            <w:rStyle w:val="Hyperlink"/>
            <w:rFonts w:cs="Arial"/>
            <w:i/>
          </w:rPr>
          <w:t>Final Acts WRC-15</w:t>
        </w:r>
      </w:hyperlink>
      <w:r w:rsidR="00FF437E">
        <w:t>.</w:t>
      </w:r>
      <w:r w:rsidR="00450C87">
        <w:t xml:space="preserve"> </w:t>
      </w:r>
      <w:r w:rsidR="00FF437E">
        <w:t>In summary</w:t>
      </w:r>
      <w:r w:rsidR="00EC5B0C">
        <w:t>,</w:t>
      </w:r>
      <w:r w:rsidR="00FF437E">
        <w:t xml:space="preserve"> the changes to the </w:t>
      </w:r>
      <w:r w:rsidR="003B5B89">
        <w:t>3400</w:t>
      </w:r>
      <w:r w:rsidR="00EC5B0C">
        <w:t>–</w:t>
      </w:r>
      <w:r w:rsidR="00FF437E">
        <w:t>3700 MHz frequency range</w:t>
      </w:r>
      <w:r w:rsidR="00517E32">
        <w:t xml:space="preserve"> </w:t>
      </w:r>
      <w:r w:rsidR="0093369D">
        <w:t>we</w:t>
      </w:r>
      <w:r w:rsidR="00FF437E">
        <w:t>re:</w:t>
      </w:r>
    </w:p>
    <w:p w14:paraId="403F1E42" w14:textId="355EEFD8" w:rsidR="00FF437E" w:rsidRPr="00352FCF" w:rsidRDefault="00EC5B0C" w:rsidP="00825C27">
      <w:pPr>
        <w:pStyle w:val="ListBullet"/>
      </w:pPr>
      <w:r w:rsidRPr="00352FCF">
        <w:t>i</w:t>
      </w:r>
      <w:r w:rsidR="0093369D" w:rsidRPr="00352FCF">
        <w:t>dentification of</w:t>
      </w:r>
      <w:r w:rsidR="00FF437E" w:rsidRPr="00352FCF">
        <w:t xml:space="preserve"> the 3400</w:t>
      </w:r>
      <w:r w:rsidRPr="00352FCF">
        <w:t>–</w:t>
      </w:r>
      <w:r w:rsidR="00FF437E" w:rsidRPr="00352FCF">
        <w:t xml:space="preserve">3600 MHz </w:t>
      </w:r>
      <w:r w:rsidR="00517E32" w:rsidRPr="00352FCF">
        <w:t>frequency range</w:t>
      </w:r>
      <w:r w:rsidR="00FF437E" w:rsidRPr="00352FCF">
        <w:t xml:space="preserve"> for IMT in all of Region 1</w:t>
      </w:r>
      <w:r w:rsidR="0093369D" w:rsidRPr="00352FCF">
        <w:t xml:space="preserve"> and Region 2</w:t>
      </w:r>
    </w:p>
    <w:p w14:paraId="716ED8B4" w14:textId="1C28A776" w:rsidR="00FF437E" w:rsidRPr="00352FCF" w:rsidRDefault="00EC5B0C" w:rsidP="00825C27">
      <w:pPr>
        <w:pStyle w:val="ListBullet"/>
      </w:pPr>
      <w:r w:rsidRPr="00352FCF">
        <w:t>i</w:t>
      </w:r>
      <w:r w:rsidR="0093369D" w:rsidRPr="00352FCF">
        <w:t>nclusion of</w:t>
      </w:r>
      <w:r w:rsidR="00FF437E" w:rsidRPr="00352FCF">
        <w:t xml:space="preserve"> Australia and the </w:t>
      </w:r>
      <w:r w:rsidR="00517E32" w:rsidRPr="00352FCF">
        <w:t>Philippines</w:t>
      </w:r>
      <w:r w:rsidR="00FF437E" w:rsidRPr="00352FCF">
        <w:t xml:space="preserve"> in a list of </w:t>
      </w:r>
      <w:r w:rsidRPr="00352FCF">
        <w:t xml:space="preserve">12 </w:t>
      </w:r>
      <w:r w:rsidR="00FF437E" w:rsidRPr="00352FCF">
        <w:t xml:space="preserve">Region 3 countries that </w:t>
      </w:r>
      <w:r w:rsidR="008550D8" w:rsidRPr="00352FCF">
        <w:t xml:space="preserve">identify </w:t>
      </w:r>
      <w:r w:rsidR="005C3416" w:rsidRPr="00352FCF">
        <w:t xml:space="preserve">all or part of </w:t>
      </w:r>
      <w:r w:rsidR="008550D8" w:rsidRPr="00352FCF">
        <w:t>the 34</w:t>
      </w:r>
      <w:r w:rsidR="00517E32" w:rsidRPr="00352FCF">
        <w:t>00</w:t>
      </w:r>
      <w:r w:rsidRPr="00352FCF">
        <w:t>–</w:t>
      </w:r>
      <w:r w:rsidR="00517E32" w:rsidRPr="00352FCF">
        <w:t>3600 MHz frequency range for IMT</w:t>
      </w:r>
    </w:p>
    <w:p w14:paraId="55E45EDB" w14:textId="166916AD" w:rsidR="001056B9" w:rsidRPr="002D0CD0" w:rsidRDefault="00EC5B0C" w:rsidP="00825C27">
      <w:pPr>
        <w:pStyle w:val="ListBulletLast"/>
      </w:pPr>
      <w:r w:rsidRPr="00352FCF">
        <w:t>i</w:t>
      </w:r>
      <w:r w:rsidR="0093369D" w:rsidRPr="00352FCF">
        <w:t>dentification of the 3600</w:t>
      </w:r>
      <w:r w:rsidRPr="00352FCF">
        <w:t>–</w:t>
      </w:r>
      <w:r w:rsidR="0093369D" w:rsidRPr="00352FCF">
        <w:t xml:space="preserve">3700 MHz frequency range for IMT </w:t>
      </w:r>
      <w:r w:rsidR="00517E32" w:rsidRPr="00352FCF">
        <w:t>in Canada,</w:t>
      </w:r>
      <w:r w:rsidR="00517E32" w:rsidRPr="002D0CD0">
        <w:t xml:space="preserve"> Columbia, Costa Rica and the </w:t>
      </w:r>
      <w:r w:rsidR="00352FCF">
        <w:t>US</w:t>
      </w:r>
      <w:r w:rsidR="00517E32" w:rsidRPr="002D0CD0">
        <w:t>.</w:t>
      </w:r>
      <w:r w:rsidR="00002573" w:rsidRPr="002D0CD0">
        <w:t xml:space="preserve"> </w:t>
      </w:r>
    </w:p>
    <w:p w14:paraId="143B528D" w14:textId="56014190" w:rsidR="00002573" w:rsidRDefault="00002573" w:rsidP="00825C27">
      <w:r>
        <w:t>It is noted that at WRC-15, both Australia and New Zealand tried to identify the 3600</w:t>
      </w:r>
      <w:r w:rsidR="00EC5B0C">
        <w:t>–</w:t>
      </w:r>
      <w:r>
        <w:t>3700 MHz frequency range for IMT</w:t>
      </w:r>
      <w:r w:rsidR="00EC5B0C">
        <w:t>;</w:t>
      </w:r>
      <w:r>
        <w:t xml:space="preserve"> and Europe, Japan and Korea tried to identify the 3600</w:t>
      </w:r>
      <w:r w:rsidR="00EC5B0C">
        <w:t>–</w:t>
      </w:r>
      <w:r>
        <w:t>3800 MHz frequency range for IMT</w:t>
      </w:r>
      <w:r w:rsidR="00BD32D9">
        <w:t>. However, this</w:t>
      </w:r>
      <w:r>
        <w:t xml:space="preserve"> was not supported by other countries</w:t>
      </w:r>
      <w:r w:rsidR="00EC5B0C">
        <w:t>,</w:t>
      </w:r>
      <w:r>
        <w:t xml:space="preserve"> </w:t>
      </w:r>
      <w:r w:rsidR="00BD32D9">
        <w:t>and a ‘no change’ approach was adopted</w:t>
      </w:r>
      <w:r>
        <w:t xml:space="preserve">. </w:t>
      </w:r>
      <w:r w:rsidR="00BD32D9">
        <w:t>Due to the existing mobile allocation in the 3600</w:t>
      </w:r>
      <w:r w:rsidR="00EC5B0C">
        <w:t>–</w:t>
      </w:r>
      <w:r w:rsidR="00BD32D9">
        <w:t xml:space="preserve">3800 MHz band, Europe, Japan, Korea, New Zealand and Australia have indicated they will continue to investigate use of </w:t>
      </w:r>
      <w:r w:rsidR="000E5EBE">
        <w:t xml:space="preserve">all or part of </w:t>
      </w:r>
      <w:r w:rsidR="00BD32D9">
        <w:t xml:space="preserve">the band for </w:t>
      </w:r>
      <w:r w:rsidR="005A21F6">
        <w:t>MBB</w:t>
      </w:r>
      <w:r w:rsidR="00EC5B0C">
        <w:t>,</w:t>
      </w:r>
      <w:r w:rsidR="0074204A">
        <w:t xml:space="preserve"> </w:t>
      </w:r>
      <w:r w:rsidR="00BD32D9">
        <w:t>despite the outcomes of WRC-15.</w:t>
      </w:r>
    </w:p>
    <w:p w14:paraId="45C97B26" w14:textId="5897BB9F" w:rsidR="00296388" w:rsidRPr="005C3416" w:rsidRDefault="00296388" w:rsidP="005C3416">
      <w:pPr>
        <w:rPr>
          <w:rFonts w:cs="Arial"/>
        </w:rPr>
      </w:pPr>
      <w:r>
        <w:rPr>
          <w:rFonts w:cs="Arial"/>
        </w:rPr>
        <w:t xml:space="preserve">The </w:t>
      </w:r>
      <w:r w:rsidR="00075408">
        <w:rPr>
          <w:rFonts w:cs="Arial"/>
        </w:rPr>
        <w:t>Radio Regulations</w:t>
      </w:r>
      <w:r>
        <w:rPr>
          <w:rFonts w:cs="Arial"/>
        </w:rPr>
        <w:t xml:space="preserve"> also</w:t>
      </w:r>
      <w:r w:rsidR="00075408">
        <w:rPr>
          <w:rFonts w:cs="Arial"/>
        </w:rPr>
        <w:t xml:space="preserve"> define</w:t>
      </w:r>
      <w:r>
        <w:rPr>
          <w:rFonts w:cs="Arial"/>
        </w:rPr>
        <w:t xml:space="preserve"> </w:t>
      </w:r>
      <w:r w:rsidR="00E940D3" w:rsidRPr="00825C27">
        <w:t xml:space="preserve">primary </w:t>
      </w:r>
      <w:r w:rsidRPr="00825C27">
        <w:t>allocations to the fixed and fixed</w:t>
      </w:r>
      <w:r w:rsidR="005078ED">
        <w:t>-</w:t>
      </w:r>
      <w:r w:rsidRPr="00825C27">
        <w:t>satellite service</w:t>
      </w:r>
      <w:r w:rsidR="005078ED">
        <w:t>s</w:t>
      </w:r>
      <w:r w:rsidRPr="00825C27">
        <w:t xml:space="preserve"> </w:t>
      </w:r>
      <w:r w:rsidR="00825760" w:rsidRPr="00352FCF">
        <w:t>worldwide</w:t>
      </w:r>
      <w:r w:rsidR="00075408" w:rsidRPr="00825C27">
        <w:t xml:space="preserve"> in the 3400</w:t>
      </w:r>
      <w:r w:rsidR="00EC5B0C">
        <w:t>–</w:t>
      </w:r>
      <w:r w:rsidR="00075408" w:rsidRPr="00825C27">
        <w:t>4200 MHz frequency</w:t>
      </w:r>
      <w:r w:rsidR="00075408">
        <w:rPr>
          <w:rFonts w:cs="Arial"/>
        </w:rPr>
        <w:t xml:space="preserve"> range</w:t>
      </w:r>
      <w:r w:rsidR="00E940D3">
        <w:rPr>
          <w:rFonts w:cs="Arial"/>
        </w:rPr>
        <w:t xml:space="preserve">. </w:t>
      </w:r>
    </w:p>
    <w:p w14:paraId="34E5FC12" w14:textId="4819A28D" w:rsidR="00E41345" w:rsidRPr="00825C27" w:rsidRDefault="00E41345" w:rsidP="00825C27">
      <w:pPr>
        <w:pStyle w:val="BodySubHeader"/>
      </w:pPr>
      <w:r w:rsidRPr="00825C27">
        <w:t>IEEE</w:t>
      </w:r>
    </w:p>
    <w:p w14:paraId="35A97C29" w14:textId="42DE6C28" w:rsidR="00E41345" w:rsidRDefault="00E41345" w:rsidP="00825C27">
      <w:r>
        <w:t>In 2008</w:t>
      </w:r>
      <w:r w:rsidR="00EC5B0C">
        <w:t>,</w:t>
      </w:r>
      <w:r>
        <w:t xml:space="preserve"> the</w:t>
      </w:r>
      <w:r w:rsidR="0081536C">
        <w:t xml:space="preserve"> Institute of Electrical and Electronics Engineers (</w:t>
      </w:r>
      <w:r>
        <w:t>IEEE</w:t>
      </w:r>
      <w:r w:rsidR="0081536C">
        <w:t>)</w:t>
      </w:r>
      <w:r>
        <w:t xml:space="preserve"> made an amendment to the 802.11 standard (commonly known as Wi-Fi), referred to as 802.11y, to support operation in the 3650</w:t>
      </w:r>
      <w:r w:rsidR="00EC5B0C">
        <w:t>–</w:t>
      </w:r>
      <w:r>
        <w:t>3700 MHz band</w:t>
      </w:r>
      <w:r w:rsidR="00075408">
        <w:t xml:space="preserve"> within the </w:t>
      </w:r>
      <w:r w:rsidR="00075408" w:rsidRPr="00352FCF">
        <w:t>US</w:t>
      </w:r>
      <w:r>
        <w:t xml:space="preserve">. </w:t>
      </w:r>
    </w:p>
    <w:p w14:paraId="300555D6" w14:textId="078F33C0" w:rsidR="00B14329" w:rsidRPr="00825C27" w:rsidRDefault="00B14329" w:rsidP="00825C27">
      <w:pPr>
        <w:pStyle w:val="BodySubHeader"/>
      </w:pPr>
      <w:r w:rsidRPr="00825C27">
        <w:t>3GPP</w:t>
      </w:r>
    </w:p>
    <w:p w14:paraId="52AAFE6C" w14:textId="3BD0347C" w:rsidR="00B14329" w:rsidRDefault="00436E0B" w:rsidP="00825C27">
      <w:r>
        <w:t>3GPP has identified the 3400</w:t>
      </w:r>
      <w:r w:rsidR="00EC5B0C">
        <w:t>–</w:t>
      </w:r>
      <w:r>
        <w:t>3600 MHz (band</w:t>
      </w:r>
      <w:r w:rsidR="00E856E4">
        <w:t>s</w:t>
      </w:r>
      <w:r>
        <w:t xml:space="preserve"> </w:t>
      </w:r>
      <w:r w:rsidR="00AA2EF1">
        <w:t xml:space="preserve">22 </w:t>
      </w:r>
      <w:r w:rsidR="00EC5B0C">
        <w:t>and</w:t>
      </w:r>
      <w:r w:rsidR="00AA2EF1">
        <w:t xml:space="preserve"> </w:t>
      </w:r>
      <w:r>
        <w:t>42) and 3600</w:t>
      </w:r>
      <w:r w:rsidR="00EC5B0C">
        <w:t>–</w:t>
      </w:r>
      <w:r>
        <w:t>3800 MHz (band 43) frequency ranges as profile bands for LTE.</w:t>
      </w:r>
      <w:r w:rsidR="00C837E9">
        <w:rPr>
          <w:rStyle w:val="FootnoteReference"/>
          <w:rFonts w:cs="Arial"/>
        </w:rPr>
        <w:footnoteReference w:id="20"/>
      </w:r>
      <w:r>
        <w:t xml:space="preserve"> Both TDD and FDD arrangements are defined for the 3400</w:t>
      </w:r>
      <w:r w:rsidR="00EC5B0C">
        <w:t>–</w:t>
      </w:r>
      <w:r>
        <w:t>3600 MHz band. However, only TDD arrangements are defined for the 3600</w:t>
      </w:r>
      <w:r w:rsidR="00EC5B0C">
        <w:t>–</w:t>
      </w:r>
      <w:r>
        <w:t>3800 MHz band.</w:t>
      </w:r>
    </w:p>
    <w:p w14:paraId="0AB5F6D9" w14:textId="17748F87" w:rsidR="00B421C5" w:rsidRDefault="00845B5D" w:rsidP="00825C27">
      <w:r>
        <w:t>3GPP is also considering whether a new band should be defined for LTE to facilitate use of the 3550</w:t>
      </w:r>
      <w:r w:rsidR="00EC5B0C">
        <w:t>–</w:t>
      </w:r>
      <w:r>
        <w:t xml:space="preserve">3700 MHz frequency range in the US. This is due to </w:t>
      </w:r>
      <w:r w:rsidR="00B421C5">
        <w:t>concern</w:t>
      </w:r>
      <w:r>
        <w:t>s</w:t>
      </w:r>
      <w:r w:rsidR="00B421C5">
        <w:t xml:space="preserve"> that the technical arrangements in </w:t>
      </w:r>
      <w:r>
        <w:t>p</w:t>
      </w:r>
      <w:r w:rsidR="00B421C5">
        <w:t xml:space="preserve">lace for bands 42 and 43 </w:t>
      </w:r>
      <w:r>
        <w:t>may</w:t>
      </w:r>
      <w:r w:rsidR="00B421C5">
        <w:t xml:space="preserve"> not </w:t>
      </w:r>
      <w:r>
        <w:t xml:space="preserve">be </w:t>
      </w:r>
      <w:r w:rsidR="00B421C5">
        <w:t xml:space="preserve">compatible with the </w:t>
      </w:r>
      <w:r>
        <w:t>US</w:t>
      </w:r>
      <w:r w:rsidR="00EC5B0C">
        <w:t>-</w:t>
      </w:r>
      <w:r>
        <w:t>defined arrangements</w:t>
      </w:r>
      <w:r w:rsidR="00B421C5">
        <w:t>.</w:t>
      </w:r>
      <w:r w:rsidR="00B421C5">
        <w:rPr>
          <w:rStyle w:val="FootnoteReference"/>
          <w:rFonts w:cs="Arial"/>
        </w:rPr>
        <w:footnoteReference w:id="21"/>
      </w:r>
    </w:p>
    <w:p w14:paraId="5F4716BB" w14:textId="348383CE" w:rsidR="00436E0B" w:rsidRPr="00825C27" w:rsidRDefault="00791D69" w:rsidP="00825C27">
      <w:pPr>
        <w:pStyle w:val="BodySubHeader"/>
      </w:pPr>
      <w:r w:rsidRPr="00825C27">
        <w:t>Global Mobile Suppliers Association (</w:t>
      </w:r>
      <w:r w:rsidR="00436E0B" w:rsidRPr="00825C27">
        <w:t>GSA</w:t>
      </w:r>
      <w:r w:rsidRPr="00825C27">
        <w:t>)</w:t>
      </w:r>
    </w:p>
    <w:p w14:paraId="453FDF92" w14:textId="6DB2FF1D" w:rsidR="00436E0B" w:rsidRDefault="00791D69" w:rsidP="00825C27">
      <w:r>
        <w:t>GSA report</w:t>
      </w:r>
      <w:r w:rsidR="00C837E9">
        <w:t>ed</w:t>
      </w:r>
      <w:r>
        <w:t xml:space="preserve"> that as </w:t>
      </w:r>
      <w:r w:rsidR="00E856E4">
        <w:t>at</w:t>
      </w:r>
      <w:r>
        <w:t xml:space="preserve"> July 2016</w:t>
      </w:r>
      <w:r w:rsidR="00EC5B0C">
        <w:t>,</w:t>
      </w:r>
      <w:r>
        <w:t xml:space="preserve"> there were 19 networks in operation </w:t>
      </w:r>
      <w:r w:rsidR="00825760" w:rsidRPr="00352FCF">
        <w:t>worldwide</w:t>
      </w:r>
      <w:r w:rsidR="00922231">
        <w:t xml:space="preserve"> </w:t>
      </w:r>
      <w:r>
        <w:t xml:space="preserve">in bands 42 and/or 43. </w:t>
      </w:r>
      <w:r w:rsidR="00E856E4">
        <w:t xml:space="preserve">These </w:t>
      </w:r>
      <w:r>
        <w:t xml:space="preserve">include networks in the following countries: Argentina, Bangladesh, Brazil, Canada, Italy, Nigeria, Peru, Philippines, Slovak </w:t>
      </w:r>
      <w:r w:rsidR="00E856E4">
        <w:t>R</w:t>
      </w:r>
      <w:r>
        <w:t>epublic, Spain and the UK.</w:t>
      </w:r>
      <w:r w:rsidR="00C837E9">
        <w:rPr>
          <w:rStyle w:val="FootnoteReference"/>
          <w:rFonts w:cs="Arial"/>
        </w:rPr>
        <w:footnoteReference w:id="22"/>
      </w:r>
      <w:r>
        <w:t xml:space="preserve"> GSA also reported that the ecosystem for band</w:t>
      </w:r>
      <w:r w:rsidR="00E856E4">
        <w:t>s</w:t>
      </w:r>
      <w:r>
        <w:t xml:space="preserve"> 42 and 43 continues to grow, with 82 devices available </w:t>
      </w:r>
      <w:r w:rsidR="00C837E9">
        <w:t xml:space="preserve">as </w:t>
      </w:r>
      <w:r w:rsidR="00E856E4">
        <w:t>at</w:t>
      </w:r>
      <w:r w:rsidR="00C837E9">
        <w:t xml:space="preserve"> June 2016.</w:t>
      </w:r>
      <w:r w:rsidR="00C837E9">
        <w:rPr>
          <w:rStyle w:val="FootnoteReference"/>
          <w:rFonts w:cs="Arial"/>
        </w:rPr>
        <w:footnoteReference w:id="23"/>
      </w:r>
      <w:r w:rsidR="00C837E9">
        <w:t xml:space="preserve"> This compares to just 32 devices in June 2015.</w:t>
      </w:r>
    </w:p>
    <w:p w14:paraId="4DCADBBB" w14:textId="06F1E9E9" w:rsidR="00075408" w:rsidRPr="00B14329" w:rsidRDefault="00075408" w:rsidP="00825C27">
      <w:r>
        <w:t xml:space="preserve">No mention of networks and equipment in band </w:t>
      </w:r>
      <w:r w:rsidR="0074204A">
        <w:t>22</w:t>
      </w:r>
      <w:r w:rsidR="008F2177">
        <w:t xml:space="preserve"> </w:t>
      </w:r>
      <w:r>
        <w:t>(FDD arrangements for 3400</w:t>
      </w:r>
      <w:r w:rsidR="00EC5B0C">
        <w:t>–</w:t>
      </w:r>
      <w:r>
        <w:t>3600 MHz) w</w:t>
      </w:r>
      <w:r w:rsidR="00E856E4">
        <w:t>as</w:t>
      </w:r>
      <w:r>
        <w:t xml:space="preserve"> made in these GSA reports.</w:t>
      </w:r>
    </w:p>
    <w:p w14:paraId="2947F2AA" w14:textId="6E3D2B29" w:rsidR="00450C87" w:rsidRDefault="00B14329" w:rsidP="00825C27">
      <w:pPr>
        <w:pStyle w:val="Heading3"/>
      </w:pPr>
      <w:bookmarkStart w:id="90" w:name="_Toc458603032"/>
      <w:bookmarkStart w:id="91" w:name="_Toc459906730"/>
      <w:bookmarkStart w:id="92" w:name="_Toc464480525"/>
      <w:r>
        <w:t>Country</w:t>
      </w:r>
      <w:r w:rsidR="00EC5B0C">
        <w:t>-s</w:t>
      </w:r>
      <w:r>
        <w:t xml:space="preserve">pecific </w:t>
      </w:r>
      <w:r w:rsidR="00EC5B0C">
        <w:t>a</w:t>
      </w:r>
      <w:r w:rsidR="00E940D3" w:rsidRPr="00825C27">
        <w:t>rrangements</w:t>
      </w:r>
      <w:bookmarkEnd w:id="90"/>
      <w:bookmarkEnd w:id="91"/>
      <w:bookmarkEnd w:id="92"/>
      <w:r w:rsidR="00450C87">
        <w:t xml:space="preserve"> </w:t>
      </w:r>
    </w:p>
    <w:p w14:paraId="55063B41" w14:textId="6E581352" w:rsidR="00B11769" w:rsidRPr="00825C27" w:rsidRDefault="00B11769" w:rsidP="00E03708">
      <w:pPr>
        <w:pStyle w:val="BodySubHeader"/>
        <w:spacing w:before="120"/>
      </w:pPr>
      <w:r w:rsidRPr="00825C27">
        <w:t>Canada</w:t>
      </w:r>
    </w:p>
    <w:p w14:paraId="537E04EF" w14:textId="7E088797" w:rsidR="00E940D3" w:rsidRPr="00352FCF" w:rsidRDefault="00B11769" w:rsidP="00825C27">
      <w:pPr>
        <w:spacing w:after="80"/>
      </w:pPr>
      <w:r>
        <w:t>In December 2014, Industry Canada (the Canadian radiofrequency spectrum regulator) announced plans to introduce a flexible</w:t>
      </w:r>
      <w:r w:rsidR="00EC5B0C">
        <w:t>-</w:t>
      </w:r>
      <w:r>
        <w:t>use band plan in the 3475</w:t>
      </w:r>
      <w:r w:rsidR="00EC5B0C">
        <w:t>–</w:t>
      </w:r>
      <w:r>
        <w:t>3650</w:t>
      </w:r>
      <w:r w:rsidR="00AC5064">
        <w:t> </w:t>
      </w:r>
      <w:r>
        <w:t xml:space="preserve">MHz band </w:t>
      </w:r>
      <w:r w:rsidR="00E41345">
        <w:t>that would</w:t>
      </w:r>
      <w:r>
        <w:t xml:space="preserve"> </w:t>
      </w:r>
      <w:r w:rsidRPr="00352FCF">
        <w:t xml:space="preserve">allow both fixed </w:t>
      </w:r>
      <w:r w:rsidR="002C5793">
        <w:t xml:space="preserve">broadband </w:t>
      </w:r>
      <w:r w:rsidRPr="00352FCF">
        <w:t xml:space="preserve">and </w:t>
      </w:r>
      <w:r w:rsidR="005A21F6" w:rsidRPr="00352FCF">
        <w:t>MBB</w:t>
      </w:r>
      <w:r w:rsidRPr="00352FCF">
        <w:t xml:space="preserve"> services</w:t>
      </w:r>
      <w:r w:rsidR="003333A9" w:rsidRPr="00352FCF">
        <w:t xml:space="preserve"> to operate</w:t>
      </w:r>
      <w:r w:rsidRPr="00352FCF">
        <w:t>.</w:t>
      </w:r>
      <w:r w:rsidR="003333A9" w:rsidRPr="00352FCF">
        <w:rPr>
          <w:rStyle w:val="FootnoteReference"/>
          <w:rFonts w:cs="Arial"/>
        </w:rPr>
        <w:footnoteReference w:id="24"/>
      </w:r>
      <w:r w:rsidRPr="00352FCF">
        <w:t xml:space="preserve"> </w:t>
      </w:r>
      <w:r w:rsidR="003333A9" w:rsidRPr="00352FCF">
        <w:t>Canada also has arrangements for wireless broadband services in the 3650</w:t>
      </w:r>
      <w:r w:rsidR="002A0304" w:rsidRPr="00352FCF">
        <w:t>–</w:t>
      </w:r>
      <w:r w:rsidR="003333A9" w:rsidRPr="00352FCF">
        <w:t>3700 MHz frequency range.</w:t>
      </w:r>
      <w:r w:rsidR="003333A9" w:rsidRPr="00352FCF">
        <w:rPr>
          <w:rStyle w:val="FootnoteReference"/>
          <w:rFonts w:cs="Arial"/>
        </w:rPr>
        <w:footnoteReference w:id="25"/>
      </w:r>
      <w:r w:rsidR="003333A9" w:rsidRPr="00352FCF">
        <w:t xml:space="preserve"> </w:t>
      </w:r>
      <w:r w:rsidR="00E271A5" w:rsidRPr="00352FCF">
        <w:t>The</w:t>
      </w:r>
      <w:r w:rsidR="00E940D3" w:rsidRPr="00352FCF">
        <w:t xml:space="preserve"> </w:t>
      </w:r>
      <w:r w:rsidR="00E940D3" w:rsidRPr="00352FCF">
        <w:rPr>
          <w:i/>
        </w:rPr>
        <w:t xml:space="preserve">Canadian </w:t>
      </w:r>
      <w:r w:rsidR="002A0304" w:rsidRPr="00352FCF">
        <w:rPr>
          <w:i/>
        </w:rPr>
        <w:t>T</w:t>
      </w:r>
      <w:r w:rsidR="00E940D3" w:rsidRPr="00352FCF">
        <w:rPr>
          <w:i/>
        </w:rPr>
        <w:t>able of Frequency Allocations</w:t>
      </w:r>
      <w:r w:rsidR="00E940D3" w:rsidRPr="00352FCF">
        <w:rPr>
          <w:rStyle w:val="FootnoteReference"/>
          <w:rFonts w:cs="Arial"/>
        </w:rPr>
        <w:footnoteReference w:id="26"/>
      </w:r>
      <w:r w:rsidR="00E940D3" w:rsidRPr="00352FCF">
        <w:rPr>
          <w:i/>
        </w:rPr>
        <w:t xml:space="preserve"> </w:t>
      </w:r>
      <w:r w:rsidR="00E271A5" w:rsidRPr="00352FCF">
        <w:t xml:space="preserve">provides no allocation for the </w:t>
      </w:r>
      <w:r w:rsidR="00AC5064" w:rsidRPr="00352FCF">
        <w:t>f</w:t>
      </w:r>
      <w:r w:rsidR="00E271A5" w:rsidRPr="00352FCF">
        <w:t>ixed</w:t>
      </w:r>
      <w:r w:rsidR="00AC5064" w:rsidRPr="00352FCF">
        <w:t>-s</w:t>
      </w:r>
      <w:r w:rsidR="00E271A5" w:rsidRPr="00352FCF">
        <w:t xml:space="preserve">atellite </w:t>
      </w:r>
      <w:r w:rsidR="00AC5064" w:rsidRPr="00352FCF">
        <w:t>s</w:t>
      </w:r>
      <w:r w:rsidR="00E271A5" w:rsidRPr="00352FCF">
        <w:t>ervice (FSS) in the 3400</w:t>
      </w:r>
      <w:r w:rsidR="002A0304" w:rsidRPr="00352FCF">
        <w:t>–</w:t>
      </w:r>
      <w:r w:rsidR="00E271A5" w:rsidRPr="00352FCF">
        <w:t>3500 MHz frequency range. It also indicates that</w:t>
      </w:r>
      <w:r w:rsidR="00E940D3" w:rsidRPr="00352FCF">
        <w:t>:</w:t>
      </w:r>
    </w:p>
    <w:p w14:paraId="54EE36F2" w14:textId="00138FE0" w:rsidR="00E940D3" w:rsidRPr="000E6E09" w:rsidRDefault="002A0304" w:rsidP="00825C27">
      <w:pPr>
        <w:pStyle w:val="ListBullet"/>
      </w:pPr>
      <w:r w:rsidRPr="00352FCF">
        <w:t>i</w:t>
      </w:r>
      <w:r w:rsidR="00E940D3" w:rsidRPr="00352FCF">
        <w:t>n the 3475</w:t>
      </w:r>
      <w:r w:rsidRPr="00352FCF">
        <w:t>–</w:t>
      </w:r>
      <w:r w:rsidR="00E940D3" w:rsidRPr="00352FCF">
        <w:t>3500 MHz frequency range, in certain</w:t>
      </w:r>
      <w:r w:rsidR="00E940D3" w:rsidRPr="00D94C1D">
        <w:t xml:space="preserve"> locations, radiolocation service has priori</w:t>
      </w:r>
      <w:r w:rsidR="00E940D3" w:rsidRPr="000E6E09">
        <w:t>ty over the mobile service</w:t>
      </w:r>
    </w:p>
    <w:p w14:paraId="6B1C0F5E" w14:textId="1015D41A" w:rsidR="00B11769" w:rsidRPr="000E6E09" w:rsidRDefault="002A0304" w:rsidP="00825C27">
      <w:pPr>
        <w:pStyle w:val="ListBullet"/>
      </w:pPr>
      <w:r>
        <w:t>i</w:t>
      </w:r>
      <w:r w:rsidR="00E940D3" w:rsidRPr="000E6E09">
        <w:t>n the 3500</w:t>
      </w:r>
      <w:r>
        <w:t>–</w:t>
      </w:r>
      <w:r w:rsidR="00E940D3" w:rsidRPr="000E6E09">
        <w:t>3650 MHz frequency range, the FSS must be located in areas</w:t>
      </w:r>
      <w:r>
        <w:t>,</w:t>
      </w:r>
      <w:r w:rsidR="00E940D3" w:rsidRPr="000E6E09">
        <w:t xml:space="preserve"> so as not to constrain the implementation of fixed wireless access and mobile systems</w:t>
      </w:r>
    </w:p>
    <w:p w14:paraId="6C48F309" w14:textId="307691DA" w:rsidR="00E940D3" w:rsidRPr="00361DB2" w:rsidRDefault="00E940D3" w:rsidP="00825C27">
      <w:pPr>
        <w:pStyle w:val="ListBulletLast"/>
      </w:pPr>
      <w:r w:rsidRPr="00361DB2">
        <w:t>In the 3650</w:t>
      </w:r>
      <w:r w:rsidR="002A0304">
        <w:t>–</w:t>
      </w:r>
      <w:r w:rsidRPr="00361DB2">
        <w:t>3700 MHz frequency range, the FSS operates on a secondary basis.</w:t>
      </w:r>
    </w:p>
    <w:p w14:paraId="01DE4049" w14:textId="0D7603DF" w:rsidR="004912A4" w:rsidRPr="00825C27" w:rsidRDefault="004912A4" w:rsidP="00825C27">
      <w:pPr>
        <w:pStyle w:val="BodySubHeader"/>
      </w:pPr>
      <w:r w:rsidRPr="00825C27">
        <w:t>Europe</w:t>
      </w:r>
    </w:p>
    <w:p w14:paraId="34EEBBDF" w14:textId="124EAA49" w:rsidR="00E271A5" w:rsidRDefault="00C23324" w:rsidP="00825C27">
      <w:pPr>
        <w:rPr>
          <w:rFonts w:cs="Arial"/>
        </w:rPr>
      </w:pPr>
      <w:hyperlink r:id="rId53" w:history="1">
        <w:r w:rsidR="00392629" w:rsidRPr="00E271A5">
          <w:rPr>
            <w:rStyle w:val="Hyperlink"/>
            <w:rFonts w:cs="Arial"/>
          </w:rPr>
          <w:t>EC Decision 2008/411/EC</w:t>
        </w:r>
      </w:hyperlink>
      <w:r w:rsidR="0093369D">
        <w:rPr>
          <w:rStyle w:val="FootnoteReference"/>
          <w:rFonts w:cs="Arial"/>
        </w:rPr>
        <w:footnoteReference w:id="27"/>
      </w:r>
      <w:r w:rsidR="00E271A5">
        <w:rPr>
          <w:rFonts w:cs="Arial"/>
        </w:rPr>
        <w:t xml:space="preserve">, </w:t>
      </w:r>
      <w:r w:rsidR="00392629">
        <w:rPr>
          <w:rFonts w:cs="Arial"/>
        </w:rPr>
        <w:t xml:space="preserve">as amended by </w:t>
      </w:r>
      <w:hyperlink r:id="rId54" w:history="1">
        <w:r w:rsidR="00392629" w:rsidRPr="008A7710">
          <w:rPr>
            <w:rStyle w:val="Hyperlink"/>
            <w:rFonts w:cs="Arial"/>
          </w:rPr>
          <w:t>EC Decision 2014/276/EU</w:t>
        </w:r>
      </w:hyperlink>
      <w:r w:rsidR="00392629">
        <w:rPr>
          <w:rFonts w:cs="Arial"/>
        </w:rPr>
        <w:t>,</w:t>
      </w:r>
      <w:r w:rsidR="001D50E2">
        <w:rPr>
          <w:rFonts w:cs="Arial"/>
        </w:rPr>
        <w:t xml:space="preserve"> </w:t>
      </w:r>
      <w:r w:rsidR="0093369D">
        <w:rPr>
          <w:rFonts w:cs="Arial"/>
        </w:rPr>
        <w:t>identifies the 3400</w:t>
      </w:r>
      <w:r w:rsidR="002A0304">
        <w:rPr>
          <w:rFonts w:cs="Arial"/>
        </w:rPr>
        <w:t>–</w:t>
      </w:r>
      <w:r w:rsidR="00392629">
        <w:rPr>
          <w:rFonts w:cs="Arial"/>
        </w:rPr>
        <w:t>3600 MHz and 3600</w:t>
      </w:r>
      <w:r w:rsidR="002A0304">
        <w:rPr>
          <w:rFonts w:cs="Arial"/>
        </w:rPr>
        <w:t>–</w:t>
      </w:r>
      <w:r w:rsidR="0093369D">
        <w:rPr>
          <w:rFonts w:cs="Arial"/>
        </w:rPr>
        <w:t>3800 MHz frequency range</w:t>
      </w:r>
      <w:r w:rsidR="00392629">
        <w:rPr>
          <w:rFonts w:cs="Arial"/>
        </w:rPr>
        <w:t>s</w:t>
      </w:r>
      <w:r w:rsidR="0093369D">
        <w:rPr>
          <w:rFonts w:cs="Arial"/>
        </w:rPr>
        <w:t xml:space="preserve"> for </w:t>
      </w:r>
      <w:r w:rsidR="005A21F6">
        <w:rPr>
          <w:rFonts w:cs="Arial"/>
        </w:rPr>
        <w:t>MBB</w:t>
      </w:r>
      <w:r w:rsidR="0093369D">
        <w:rPr>
          <w:rFonts w:cs="Arial"/>
        </w:rPr>
        <w:t xml:space="preserve"> applications within Europe. </w:t>
      </w:r>
      <w:hyperlink r:id="rId55" w:history="1">
        <w:r w:rsidR="00E271A5" w:rsidRPr="00E271A5">
          <w:rPr>
            <w:rStyle w:val="Hyperlink"/>
            <w:rFonts w:cs="Arial"/>
          </w:rPr>
          <w:t>EC Decision 2008/411/EC</w:t>
        </w:r>
      </w:hyperlink>
      <w:r w:rsidR="00E271A5">
        <w:rPr>
          <w:rFonts w:cs="Arial"/>
        </w:rPr>
        <w:t xml:space="preserve"> states that </w:t>
      </w:r>
      <w:r w:rsidR="00E271A5" w:rsidRPr="00E271A5">
        <w:rPr>
          <w:rFonts w:cs="Arial"/>
        </w:rPr>
        <w:t xml:space="preserve">sharing with </w:t>
      </w:r>
      <w:r w:rsidR="0017295B">
        <w:rPr>
          <w:rFonts w:cs="Arial"/>
        </w:rPr>
        <w:t>FSS earth stations</w:t>
      </w:r>
      <w:r w:rsidR="00E271A5" w:rsidRPr="00E271A5">
        <w:rPr>
          <w:rFonts w:cs="Arial"/>
        </w:rPr>
        <w:t xml:space="preserve"> is </w:t>
      </w:r>
      <w:r w:rsidR="00E271A5">
        <w:rPr>
          <w:rFonts w:cs="Arial"/>
        </w:rPr>
        <w:t xml:space="preserve">considered </w:t>
      </w:r>
      <w:r w:rsidR="00E271A5" w:rsidRPr="00E271A5">
        <w:rPr>
          <w:rFonts w:cs="Arial"/>
        </w:rPr>
        <w:t xml:space="preserve">feasible </w:t>
      </w:r>
      <w:r w:rsidR="0017295B">
        <w:rPr>
          <w:rFonts w:cs="Arial"/>
        </w:rPr>
        <w:t xml:space="preserve">due to </w:t>
      </w:r>
      <w:r w:rsidR="00E271A5" w:rsidRPr="00E271A5">
        <w:rPr>
          <w:rFonts w:cs="Arial"/>
        </w:rPr>
        <w:t>the extent of their deployment in</w:t>
      </w:r>
      <w:r w:rsidR="00E271A5">
        <w:rPr>
          <w:rFonts w:cs="Arial"/>
        </w:rPr>
        <w:t xml:space="preserve"> </w:t>
      </w:r>
      <w:r w:rsidR="00E271A5" w:rsidRPr="00E271A5">
        <w:rPr>
          <w:rFonts w:cs="Arial"/>
        </w:rPr>
        <w:t>Europe, geographical separation requirements and case</w:t>
      </w:r>
      <w:r w:rsidR="00E271A5">
        <w:rPr>
          <w:rFonts w:cs="Arial"/>
        </w:rPr>
        <w:t>-</w:t>
      </w:r>
      <w:r w:rsidR="00E271A5" w:rsidRPr="00E271A5">
        <w:rPr>
          <w:rFonts w:cs="Arial"/>
        </w:rPr>
        <w:t xml:space="preserve">by-case evaluation </w:t>
      </w:r>
      <w:r w:rsidR="009E4748">
        <w:rPr>
          <w:rFonts w:cs="Arial"/>
        </w:rPr>
        <w:t>using</w:t>
      </w:r>
      <w:r w:rsidR="009E4748" w:rsidRPr="00E271A5">
        <w:rPr>
          <w:rFonts w:cs="Arial"/>
        </w:rPr>
        <w:t xml:space="preserve"> </w:t>
      </w:r>
      <w:r w:rsidR="00E271A5" w:rsidRPr="00E271A5">
        <w:rPr>
          <w:rFonts w:cs="Arial"/>
        </w:rPr>
        <w:t>actual terrain topography.</w:t>
      </w:r>
      <w:r w:rsidR="00E271A5">
        <w:rPr>
          <w:rFonts w:cs="Arial"/>
        </w:rPr>
        <w:t xml:space="preserve"> </w:t>
      </w:r>
    </w:p>
    <w:p w14:paraId="02A8A2FA" w14:textId="40FE19C1" w:rsidR="00450C87" w:rsidRPr="00055BC2" w:rsidRDefault="007E189E" w:rsidP="00825C27">
      <w:pPr>
        <w:rPr>
          <w:rFonts w:cs="Arial"/>
          <w:szCs w:val="20"/>
        </w:rPr>
      </w:pPr>
      <w:r>
        <w:rPr>
          <w:rFonts w:cs="Arial"/>
        </w:rPr>
        <w:t>In June 2016, t</w:t>
      </w:r>
      <w:r w:rsidR="004912A4" w:rsidRPr="00791A6F">
        <w:t xml:space="preserve">he Radio Spectrum Group of the European Commission </w:t>
      </w:r>
      <w:r w:rsidR="004912A4">
        <w:t xml:space="preserve">also </w:t>
      </w:r>
      <w:r w:rsidR="004912A4" w:rsidRPr="00791A6F">
        <w:t xml:space="preserve">released a </w:t>
      </w:r>
      <w:hyperlink r:id="rId56" w:history="1">
        <w:r w:rsidR="004912A4" w:rsidRPr="00791A6F">
          <w:rPr>
            <w:rStyle w:val="Hyperlink"/>
          </w:rPr>
          <w:t>consultation on spectrum related aspects for 5G</w:t>
        </w:r>
      </w:hyperlink>
      <w:r w:rsidR="004912A4" w:rsidRPr="00791A6F">
        <w:t>. This paper promote</w:t>
      </w:r>
      <w:r w:rsidR="006F7826">
        <w:t>d</w:t>
      </w:r>
      <w:r w:rsidR="004912A4" w:rsidRPr="00791A6F">
        <w:t xml:space="preserve"> the 3400</w:t>
      </w:r>
      <w:r w:rsidR="002A0304">
        <w:t>–</w:t>
      </w:r>
      <w:r w:rsidR="004912A4" w:rsidRPr="00791A6F">
        <w:t>3800 MHz band as being suitable for the early introduction of 5G, potentially before 2020.</w:t>
      </w:r>
      <w:r w:rsidR="006F7826">
        <w:t xml:space="preserve"> </w:t>
      </w:r>
      <w:r w:rsidR="006F7826" w:rsidRPr="00055BC2">
        <w:rPr>
          <w:rFonts w:cs="Arial"/>
          <w:szCs w:val="20"/>
        </w:rPr>
        <w:t>Submissions to this paper were largely supportive of this proposal. Incumbent operators also re-iterated the need to share with existing FSS.</w:t>
      </w:r>
    </w:p>
    <w:p w14:paraId="6BB5E83F" w14:textId="01C92236" w:rsidR="0072138B" w:rsidRPr="00055BC2" w:rsidRDefault="0072138B" w:rsidP="006D6661">
      <w:pPr>
        <w:spacing w:after="120"/>
        <w:rPr>
          <w:rFonts w:cs="Arial"/>
          <w:szCs w:val="20"/>
        </w:rPr>
      </w:pPr>
      <w:r w:rsidRPr="00055BC2">
        <w:rPr>
          <w:rFonts w:cs="Arial"/>
          <w:szCs w:val="20"/>
        </w:rPr>
        <w:t xml:space="preserve">In September 2016, the European Commission </w:t>
      </w:r>
      <w:r w:rsidR="00CA5701" w:rsidRPr="00055BC2">
        <w:rPr>
          <w:rFonts w:cs="Arial"/>
          <w:szCs w:val="20"/>
        </w:rPr>
        <w:t xml:space="preserve">also </w:t>
      </w:r>
      <w:r w:rsidRPr="00055BC2">
        <w:rPr>
          <w:rFonts w:cs="Arial"/>
          <w:szCs w:val="20"/>
        </w:rPr>
        <w:t xml:space="preserve">released its </w:t>
      </w:r>
      <w:hyperlink r:id="rId57" w:history="1">
        <w:r w:rsidRPr="00055BC2">
          <w:rPr>
            <w:rStyle w:val="Hyperlink"/>
            <w:rFonts w:cs="Arial"/>
            <w:szCs w:val="20"/>
          </w:rPr>
          <w:t>5G Action Plan</w:t>
        </w:r>
      </w:hyperlink>
      <w:r w:rsidRPr="00055BC2">
        <w:rPr>
          <w:rFonts w:cs="Arial"/>
          <w:szCs w:val="20"/>
        </w:rPr>
        <w:t>. In this plan they state:</w:t>
      </w:r>
    </w:p>
    <w:p w14:paraId="344A2202" w14:textId="092414A1" w:rsidR="0072138B" w:rsidRPr="006D6661" w:rsidRDefault="0072138B" w:rsidP="00825C27">
      <w:pPr>
        <w:pStyle w:val="Default"/>
        <w:spacing w:after="240"/>
        <w:ind w:left="284" w:firstLine="1"/>
        <w:rPr>
          <w:rFonts w:ascii="Arial" w:hAnsi="Arial" w:cs="Arial"/>
          <w:sz w:val="18"/>
          <w:szCs w:val="18"/>
        </w:rPr>
      </w:pPr>
      <w:r w:rsidRPr="006D6661">
        <w:rPr>
          <w:rFonts w:ascii="Arial" w:hAnsi="Arial" w:cs="Arial"/>
          <w:sz w:val="18"/>
          <w:szCs w:val="18"/>
        </w:rPr>
        <w:t xml:space="preserve">The </w:t>
      </w:r>
      <w:r w:rsidRPr="006D6661">
        <w:rPr>
          <w:rFonts w:ascii="Arial" w:hAnsi="Arial" w:cs="Arial"/>
          <w:bCs/>
          <w:sz w:val="18"/>
          <w:szCs w:val="18"/>
        </w:rPr>
        <w:t xml:space="preserve">Commission </w:t>
      </w:r>
      <w:r w:rsidRPr="006D6661">
        <w:rPr>
          <w:rFonts w:ascii="Arial" w:hAnsi="Arial" w:cs="Arial"/>
          <w:sz w:val="18"/>
          <w:szCs w:val="18"/>
        </w:rPr>
        <w:t xml:space="preserve">will work with </w:t>
      </w:r>
      <w:r w:rsidRPr="006D6661">
        <w:rPr>
          <w:rFonts w:ascii="Arial" w:hAnsi="Arial" w:cs="Arial"/>
          <w:bCs/>
          <w:sz w:val="18"/>
          <w:szCs w:val="18"/>
        </w:rPr>
        <w:t xml:space="preserve">Member States </w:t>
      </w:r>
      <w:r w:rsidRPr="006D6661">
        <w:rPr>
          <w:rFonts w:ascii="Arial" w:hAnsi="Arial" w:cs="Arial"/>
          <w:sz w:val="18"/>
          <w:szCs w:val="18"/>
        </w:rPr>
        <w:t xml:space="preserve">and </w:t>
      </w:r>
      <w:r w:rsidRPr="006D6661">
        <w:rPr>
          <w:rFonts w:ascii="Arial" w:hAnsi="Arial" w:cs="Arial"/>
          <w:bCs/>
          <w:sz w:val="18"/>
          <w:szCs w:val="18"/>
        </w:rPr>
        <w:t xml:space="preserve">industry stakeholders </w:t>
      </w:r>
      <w:r w:rsidRPr="006D6661">
        <w:rPr>
          <w:rFonts w:ascii="Arial" w:hAnsi="Arial" w:cs="Arial"/>
          <w:sz w:val="18"/>
          <w:szCs w:val="18"/>
        </w:rPr>
        <w:t xml:space="preserve">towards the voluntary establishment of a </w:t>
      </w:r>
      <w:r w:rsidRPr="006D6661">
        <w:rPr>
          <w:rFonts w:ascii="Arial" w:hAnsi="Arial" w:cs="Arial"/>
          <w:bCs/>
          <w:sz w:val="18"/>
          <w:szCs w:val="18"/>
        </w:rPr>
        <w:t xml:space="preserve">common timetable </w:t>
      </w:r>
      <w:r w:rsidRPr="006D6661">
        <w:rPr>
          <w:rFonts w:ascii="Arial" w:hAnsi="Arial" w:cs="Arial"/>
          <w:sz w:val="18"/>
          <w:szCs w:val="18"/>
        </w:rPr>
        <w:t xml:space="preserve">for the </w:t>
      </w:r>
      <w:r w:rsidRPr="006D6661">
        <w:rPr>
          <w:rFonts w:ascii="Arial" w:hAnsi="Arial" w:cs="Arial"/>
          <w:bCs/>
          <w:sz w:val="18"/>
          <w:szCs w:val="18"/>
        </w:rPr>
        <w:t>launch of early 5G networks by the end of 2018, followed by the launch of fully commercial 5G services in Europe by the end of 2020</w:t>
      </w:r>
      <w:r w:rsidRPr="006D6661">
        <w:rPr>
          <w:rFonts w:ascii="Arial" w:hAnsi="Arial" w:cs="Arial"/>
          <w:sz w:val="18"/>
          <w:szCs w:val="18"/>
        </w:rPr>
        <w:t xml:space="preserve">. </w:t>
      </w:r>
    </w:p>
    <w:p w14:paraId="3BC5B5BB" w14:textId="6F2ED28F" w:rsidR="0072138B" w:rsidRPr="00055BC2" w:rsidRDefault="00CA5701" w:rsidP="00825C27">
      <w:r w:rsidRPr="00055BC2">
        <w:t>The 3400</w:t>
      </w:r>
      <w:r w:rsidR="002A0304">
        <w:t>–</w:t>
      </w:r>
      <w:r w:rsidRPr="00055BC2">
        <w:t xml:space="preserve">3800 MHz band is seen as having high potential for the early launch of 5G services in Europe. </w:t>
      </w:r>
    </w:p>
    <w:p w14:paraId="6F397CB1" w14:textId="5CE2B1E2" w:rsidR="005C3416" w:rsidRPr="00825C27" w:rsidRDefault="005C3416" w:rsidP="00825C27">
      <w:pPr>
        <w:pStyle w:val="BodySubHeader"/>
      </w:pPr>
      <w:r w:rsidRPr="00825C27">
        <w:t>Japan</w:t>
      </w:r>
    </w:p>
    <w:p w14:paraId="2737B589" w14:textId="6E5EB639" w:rsidR="005C3416" w:rsidRDefault="005C3416" w:rsidP="00825C27">
      <w:r>
        <w:t>At WRC-07</w:t>
      </w:r>
      <w:r w:rsidR="002A0304">
        <w:t>,</w:t>
      </w:r>
      <w:r>
        <w:t xml:space="preserve"> Japan identified the 3400</w:t>
      </w:r>
      <w:r w:rsidR="002A0304">
        <w:t>–</w:t>
      </w:r>
      <w:r>
        <w:t xml:space="preserve">3600 MHz band for IMT. </w:t>
      </w:r>
      <w:r w:rsidR="00C0344B">
        <w:t>In 201</w:t>
      </w:r>
      <w:r w:rsidR="00B14329">
        <w:t>4</w:t>
      </w:r>
      <w:r w:rsidR="002A0304">
        <w:t>,</w:t>
      </w:r>
      <w:r w:rsidR="00C0344B">
        <w:t xml:space="preserve"> the Japanese regulator allocated </w:t>
      </w:r>
      <w:r w:rsidR="00B14329">
        <w:t xml:space="preserve">three 40 MHz lots in </w:t>
      </w:r>
      <w:r w:rsidR="00C0344B">
        <w:t>the 3480</w:t>
      </w:r>
      <w:r w:rsidR="002A0304">
        <w:t>–</w:t>
      </w:r>
      <w:r w:rsidR="00C0344B">
        <w:t xml:space="preserve">3600 MHz band for </w:t>
      </w:r>
      <w:r w:rsidR="005A21F6">
        <w:t>MBB</w:t>
      </w:r>
      <w:r w:rsidR="00C0344B">
        <w:t xml:space="preserve"> services.</w:t>
      </w:r>
      <w:r w:rsidR="00B14329">
        <w:rPr>
          <w:rStyle w:val="FootnoteReference"/>
          <w:rFonts w:cs="Arial"/>
        </w:rPr>
        <w:footnoteReference w:id="28"/>
      </w:r>
      <w:r w:rsidR="00B14329">
        <w:t xml:space="preserve"> </w:t>
      </w:r>
      <w:r>
        <w:t>At WRC-15, Japan w</w:t>
      </w:r>
      <w:r w:rsidR="00E856E4">
        <w:t>as</w:t>
      </w:r>
      <w:r>
        <w:t xml:space="preserve"> </w:t>
      </w:r>
      <w:r w:rsidR="00C0344B">
        <w:t xml:space="preserve">also </w:t>
      </w:r>
      <w:r w:rsidR="00E856E4">
        <w:t xml:space="preserve">a </w:t>
      </w:r>
      <w:r>
        <w:t>strong supporter of identifying the 3600</w:t>
      </w:r>
      <w:r w:rsidR="002A0304">
        <w:t>–</w:t>
      </w:r>
      <w:r>
        <w:t xml:space="preserve">4200 MHz band for IMT under agenda item 1.1. </w:t>
      </w:r>
    </w:p>
    <w:p w14:paraId="1A21D894" w14:textId="19F3E6E4" w:rsidR="0017295B" w:rsidRDefault="0017295B" w:rsidP="00825C27">
      <w:pPr>
        <w:spacing w:after="80"/>
      </w:pPr>
      <w:r>
        <w:t xml:space="preserve">The Japanese </w:t>
      </w:r>
      <w:r>
        <w:rPr>
          <w:i/>
        </w:rPr>
        <w:t xml:space="preserve">Frequency Assignment Plan </w:t>
      </w:r>
      <w:r>
        <w:t xml:space="preserve">also </w:t>
      </w:r>
      <w:r w:rsidR="00E856E4">
        <w:t>includes</w:t>
      </w:r>
      <w:r>
        <w:t xml:space="preserve">: </w:t>
      </w:r>
    </w:p>
    <w:p w14:paraId="7A58895F" w14:textId="3181A457" w:rsidR="0017295B" w:rsidRDefault="0017295B" w:rsidP="00825C27">
      <w:pPr>
        <w:pStyle w:val="ListBullet"/>
      </w:pPr>
      <w:r>
        <w:t>No allocation for the FSS in the 3400</w:t>
      </w:r>
      <w:r w:rsidR="002A0304">
        <w:t>–</w:t>
      </w:r>
      <w:r>
        <w:t>3456 MHz frequency range</w:t>
      </w:r>
      <w:r w:rsidR="00E856E4">
        <w:t>. I</w:t>
      </w:r>
      <w:r>
        <w:t>nstead</w:t>
      </w:r>
      <w:r w:rsidR="002A0304">
        <w:t>,</w:t>
      </w:r>
      <w:r>
        <w:t xml:space="preserve"> there are primary fixed and mobile service allocations</w:t>
      </w:r>
      <w:r w:rsidR="002A0304">
        <w:t xml:space="preserve">, which </w:t>
      </w:r>
      <w:r>
        <w:t xml:space="preserve">are used for commercial telecommunications and broadcast </w:t>
      </w:r>
      <w:r w:rsidR="00E856E4">
        <w:t>auxiliary</w:t>
      </w:r>
      <w:r>
        <w:t xml:space="preserve"> service applications. </w:t>
      </w:r>
    </w:p>
    <w:p w14:paraId="76462706" w14:textId="6B4C8059" w:rsidR="0017295B" w:rsidRPr="0017295B" w:rsidRDefault="0017295B" w:rsidP="00825C27">
      <w:pPr>
        <w:pStyle w:val="ListBulletLast"/>
      </w:pPr>
      <w:r w:rsidRPr="0017295B">
        <w:t>Primary allocations to the FSS in the</w:t>
      </w:r>
      <w:r>
        <w:t xml:space="preserve"> 3456</w:t>
      </w:r>
      <w:r w:rsidR="002A0304">
        <w:t>–</w:t>
      </w:r>
      <w:r>
        <w:t xml:space="preserve">4200 MHz frequency range for the purpose of </w:t>
      </w:r>
      <w:r w:rsidR="002A0304">
        <w:t>c</w:t>
      </w:r>
      <w:r>
        <w:t xml:space="preserve">ommercial </w:t>
      </w:r>
      <w:r w:rsidR="002A0304">
        <w:t>t</w:t>
      </w:r>
      <w:r>
        <w:t xml:space="preserve">elecommunications and </w:t>
      </w:r>
      <w:r w:rsidR="002A0304">
        <w:t>p</w:t>
      </w:r>
      <w:r>
        <w:t xml:space="preserve">ublic </w:t>
      </w:r>
      <w:r w:rsidR="002A0304">
        <w:t>s</w:t>
      </w:r>
      <w:r>
        <w:t>ervices.</w:t>
      </w:r>
    </w:p>
    <w:p w14:paraId="7F1E52AF" w14:textId="70E4D230" w:rsidR="00B11769" w:rsidRPr="00825C27" w:rsidRDefault="00B11769" w:rsidP="00825C27">
      <w:pPr>
        <w:pStyle w:val="BodySubHeader"/>
      </w:pPr>
      <w:r w:rsidRPr="00352FCF">
        <w:t>US</w:t>
      </w:r>
    </w:p>
    <w:p w14:paraId="4957075F" w14:textId="3D144A1B" w:rsidR="00B11769" w:rsidRDefault="00B11769" w:rsidP="00825C27">
      <w:r>
        <w:t>The US ha</w:t>
      </w:r>
      <w:r w:rsidR="00951AD6">
        <w:t>s</w:t>
      </w:r>
      <w:r>
        <w:t xml:space="preserve"> developed arrangements for </w:t>
      </w:r>
      <w:r w:rsidR="005A21F6">
        <w:t>MBB</w:t>
      </w:r>
      <w:r>
        <w:t xml:space="preserve"> services in the 3550</w:t>
      </w:r>
      <w:r w:rsidR="002A0304">
        <w:t>–</w:t>
      </w:r>
      <w:r>
        <w:t>3700 MHz frequency range.</w:t>
      </w:r>
      <w:r>
        <w:rPr>
          <w:rStyle w:val="FootnoteReference"/>
          <w:rFonts w:cs="Arial"/>
        </w:rPr>
        <w:footnoteReference w:id="29"/>
      </w:r>
      <w:r>
        <w:t xml:space="preserve"> These arrangements define a three</w:t>
      </w:r>
      <w:r w:rsidR="002A0304">
        <w:t>-</w:t>
      </w:r>
      <w:r>
        <w:t>tiered spectrum authorisation framework to support shared access to the 3550</w:t>
      </w:r>
      <w:r w:rsidR="002A0304">
        <w:t>–</w:t>
      </w:r>
      <w:r>
        <w:t xml:space="preserve">3700 MHz frequency range by a variety of services, including radiolocation services, </w:t>
      </w:r>
      <w:r w:rsidR="002C5793">
        <w:t>FSS</w:t>
      </w:r>
      <w:r w:rsidR="00D91512">
        <w:t xml:space="preserve"> and </w:t>
      </w:r>
      <w:r w:rsidR="005A21F6">
        <w:t>MBB</w:t>
      </w:r>
      <w:r>
        <w:t xml:space="preserve"> services.</w:t>
      </w:r>
    </w:p>
    <w:p w14:paraId="33421220" w14:textId="0D11DC19" w:rsidR="008C6867" w:rsidRDefault="008C6867" w:rsidP="00825C27">
      <w:pPr>
        <w:pStyle w:val="Heading3"/>
      </w:pPr>
      <w:bookmarkStart w:id="93" w:name="_Toc464480526"/>
      <w:r>
        <w:t xml:space="preserve">Summary </w:t>
      </w:r>
      <w:r w:rsidRPr="00825C27">
        <w:t>of</w:t>
      </w:r>
      <w:r>
        <w:t xml:space="preserve"> </w:t>
      </w:r>
      <w:r w:rsidR="002A0304">
        <w:t>i</w:t>
      </w:r>
      <w:r>
        <w:t xml:space="preserve">nternational </w:t>
      </w:r>
      <w:r w:rsidR="002A0304">
        <w:t>c</w:t>
      </w:r>
      <w:r>
        <w:t>onsiderations</w:t>
      </w:r>
      <w:bookmarkEnd w:id="93"/>
    </w:p>
    <w:p w14:paraId="6BB37D3D" w14:textId="18A5F3AB" w:rsidR="00C80CF9" w:rsidRPr="00825C27" w:rsidRDefault="008C6867" w:rsidP="00B11769">
      <w:r>
        <w:t>Internationally</w:t>
      </w:r>
      <w:r w:rsidR="002A0304">
        <w:t>,</w:t>
      </w:r>
      <w:r>
        <w:t xml:space="preserve"> there appears to be </w:t>
      </w:r>
      <w:r w:rsidRPr="009F50E2">
        <w:t xml:space="preserve">growing interest in use of the </w:t>
      </w:r>
      <w:r>
        <w:t>3400</w:t>
      </w:r>
      <w:r w:rsidR="002A0304">
        <w:t>–</w:t>
      </w:r>
      <w:r>
        <w:t>3800 MHz</w:t>
      </w:r>
      <w:r w:rsidRPr="009F50E2">
        <w:t xml:space="preserve"> </w:t>
      </w:r>
      <w:r>
        <w:t>band</w:t>
      </w:r>
      <w:r w:rsidRPr="009F50E2">
        <w:t xml:space="preserve"> for </w:t>
      </w:r>
      <w:r w:rsidR="005A21F6">
        <w:t>MBB</w:t>
      </w:r>
      <w:r w:rsidRPr="009F50E2">
        <w:t>. This is evident from the recent outcomes of WRC-15</w:t>
      </w:r>
      <w:r w:rsidR="002A0304">
        <w:t>,</w:t>
      </w:r>
      <w:r w:rsidRPr="009F50E2">
        <w:t xml:space="preserve"> as well as moves to identify the bands for </w:t>
      </w:r>
      <w:r w:rsidR="005A21F6">
        <w:t>MBB</w:t>
      </w:r>
      <w:r w:rsidRPr="009F50E2">
        <w:t xml:space="preserve"> in Europe, </w:t>
      </w:r>
      <w:r w:rsidR="005078ED">
        <w:t>the US</w:t>
      </w:r>
      <w:r>
        <w:t xml:space="preserve"> and Japan</w:t>
      </w:r>
      <w:r w:rsidRPr="009F50E2">
        <w:t>. It is also supported by industry</w:t>
      </w:r>
      <w:r w:rsidR="002A0304">
        <w:t>-</w:t>
      </w:r>
      <w:r w:rsidRPr="009F50E2">
        <w:t xml:space="preserve">driven technology standardisation </w:t>
      </w:r>
      <w:r>
        <w:t>for LTE and Wi-Fi in the band</w:t>
      </w:r>
      <w:r w:rsidRPr="009F50E2">
        <w:t xml:space="preserve">. There </w:t>
      </w:r>
      <w:r w:rsidR="000F5458">
        <w:t>are</w:t>
      </w:r>
      <w:r w:rsidRPr="009F50E2">
        <w:t xml:space="preserve"> also </w:t>
      </w:r>
      <w:r w:rsidR="000F5458">
        <w:t xml:space="preserve">indications that </w:t>
      </w:r>
      <w:r w:rsidRPr="009F50E2">
        <w:t xml:space="preserve">the </w:t>
      </w:r>
      <w:r>
        <w:t>3400</w:t>
      </w:r>
      <w:r w:rsidR="002A0304">
        <w:t>–</w:t>
      </w:r>
      <w:r>
        <w:t>3800 MHz</w:t>
      </w:r>
      <w:r w:rsidRPr="009F50E2">
        <w:t xml:space="preserve"> band </w:t>
      </w:r>
      <w:r w:rsidR="000F5458">
        <w:t>is considered</w:t>
      </w:r>
      <w:r w:rsidRPr="009F50E2">
        <w:t xml:space="preserve"> suitable for </w:t>
      </w:r>
      <w:r w:rsidR="000F5458">
        <w:t xml:space="preserve">the </w:t>
      </w:r>
      <w:r w:rsidRPr="009F50E2">
        <w:t xml:space="preserve">early </w:t>
      </w:r>
      <w:r w:rsidR="000F5458">
        <w:t xml:space="preserve">introduction of </w:t>
      </w:r>
      <w:r w:rsidRPr="009F50E2">
        <w:t>5G.</w:t>
      </w:r>
      <w:r>
        <w:t xml:space="preserve"> </w:t>
      </w:r>
      <w:r w:rsidRPr="009F50E2">
        <w:t xml:space="preserve">This suggests that economies of scale for </w:t>
      </w:r>
      <w:r w:rsidR="005A21F6">
        <w:t>MBB</w:t>
      </w:r>
      <w:r w:rsidRPr="009F50E2">
        <w:t xml:space="preserve"> equipment in the </w:t>
      </w:r>
      <w:r w:rsidR="000F5458">
        <w:t xml:space="preserve">3.6 GHz </w:t>
      </w:r>
      <w:r w:rsidRPr="009F50E2">
        <w:t xml:space="preserve">band </w:t>
      </w:r>
      <w:r w:rsidR="004141B7">
        <w:t>are</w:t>
      </w:r>
      <w:r w:rsidRPr="009F50E2">
        <w:t xml:space="preserve"> likely to develop. </w:t>
      </w:r>
    </w:p>
    <w:p w14:paraId="41FFEF23" w14:textId="38A2A9CA" w:rsidR="006A2730" w:rsidRPr="006A2730" w:rsidRDefault="00687A9B" w:rsidP="006D6661">
      <w:pPr>
        <w:pStyle w:val="ACMATableHeader"/>
        <w:keepNext/>
      </w:pPr>
      <w:r>
        <w:t>2013</w:t>
      </w:r>
      <w:r w:rsidR="006A2730" w:rsidRPr="00296388">
        <w:t xml:space="preserve"> Australian </w:t>
      </w:r>
      <w:r>
        <w:t xml:space="preserve">and </w:t>
      </w:r>
      <w:r w:rsidR="005078ED" w:rsidRPr="003D598A">
        <w:t>ITU Radio Regulations Table of Allocations</w:t>
      </w:r>
      <w:r w:rsidR="005078ED">
        <w:t xml:space="preserve"> </w:t>
      </w:r>
      <w:r w:rsidR="006A2730" w:rsidRPr="00296388">
        <w:t xml:space="preserve">for the </w:t>
      </w:r>
      <w:r w:rsidR="006A2730">
        <w:t>3400</w:t>
      </w:r>
      <w:r w:rsidR="002A0304">
        <w:t>–</w:t>
      </w:r>
      <w:r w:rsidR="006A2730">
        <w:t>3700</w:t>
      </w:r>
      <w:r w:rsidR="006A2730" w:rsidRPr="00296388">
        <w:t xml:space="preserve"> MHz frequency range</w:t>
      </w:r>
    </w:p>
    <w:tbl>
      <w:tblPr>
        <w:tblW w:w="8784" w:type="dxa"/>
        <w:tblLayout w:type="fixed"/>
        <w:tblLook w:val="0000" w:firstRow="0" w:lastRow="0" w:firstColumn="0" w:lastColumn="0" w:noHBand="0" w:noVBand="0"/>
      </w:tblPr>
      <w:tblGrid>
        <w:gridCol w:w="2265"/>
        <w:gridCol w:w="2266"/>
        <w:gridCol w:w="2127"/>
        <w:gridCol w:w="2126"/>
      </w:tblGrid>
      <w:tr w:rsidR="001056B9" w:rsidRPr="003D598A" w14:paraId="0AD85C6F" w14:textId="77777777" w:rsidTr="001056B9">
        <w:trPr>
          <w:cantSplit/>
        </w:trPr>
        <w:tc>
          <w:tcPr>
            <w:tcW w:w="1289" w:type="pct"/>
            <w:tcBorders>
              <w:top w:val="single" w:sz="4" w:space="0" w:color="auto"/>
              <w:left w:val="single" w:sz="4" w:space="0" w:color="auto"/>
              <w:bottom w:val="single" w:sz="4" w:space="0" w:color="auto"/>
            </w:tcBorders>
            <w:shd w:val="clear" w:color="auto" w:fill="auto"/>
          </w:tcPr>
          <w:p w14:paraId="4082139D" w14:textId="77777777" w:rsidR="00F23F68" w:rsidRPr="00147804" w:rsidRDefault="00F23F68" w:rsidP="00055BC2">
            <w:pPr>
              <w:keepNext/>
              <w:keepLines/>
              <w:tabs>
                <w:tab w:val="left" w:pos="425"/>
              </w:tabs>
              <w:spacing w:after="0"/>
              <w:ind w:left="227" w:hanging="227"/>
              <w:rPr>
                <w:b/>
                <w:szCs w:val="20"/>
                <w:lang w:eastAsia="en-US"/>
              </w:rPr>
            </w:pPr>
            <w:r w:rsidRPr="00147804">
              <w:rPr>
                <w:b/>
                <w:szCs w:val="20"/>
                <w:lang w:eastAsia="en-US"/>
              </w:rPr>
              <w:t>Region 1</w:t>
            </w:r>
          </w:p>
        </w:tc>
        <w:tc>
          <w:tcPr>
            <w:tcW w:w="1290" w:type="pct"/>
            <w:tcBorders>
              <w:top w:val="single" w:sz="4" w:space="0" w:color="auto"/>
              <w:left w:val="single" w:sz="4" w:space="0" w:color="auto"/>
              <w:bottom w:val="single" w:sz="4" w:space="0" w:color="auto"/>
              <w:right w:val="single" w:sz="4" w:space="0" w:color="auto"/>
            </w:tcBorders>
            <w:shd w:val="clear" w:color="auto" w:fill="auto"/>
          </w:tcPr>
          <w:p w14:paraId="593733B8" w14:textId="77777777" w:rsidR="00F23F68" w:rsidRPr="00147804" w:rsidRDefault="00F23F68" w:rsidP="00055BC2">
            <w:pPr>
              <w:keepNext/>
              <w:keepLines/>
              <w:tabs>
                <w:tab w:val="left" w:pos="425"/>
              </w:tabs>
              <w:spacing w:after="0"/>
              <w:ind w:left="227" w:hanging="227"/>
              <w:rPr>
                <w:b/>
                <w:szCs w:val="20"/>
                <w:lang w:eastAsia="en-US"/>
              </w:rPr>
            </w:pPr>
            <w:r w:rsidRPr="00147804">
              <w:rPr>
                <w:b/>
                <w:szCs w:val="20"/>
                <w:lang w:eastAsia="en-US"/>
              </w:rPr>
              <w:t>Region 2</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5C7F0D6" w14:textId="77777777" w:rsidR="00F23F68" w:rsidRPr="00147804" w:rsidRDefault="00F23F68" w:rsidP="00055BC2">
            <w:pPr>
              <w:keepNext/>
              <w:keepLines/>
              <w:tabs>
                <w:tab w:val="left" w:pos="425"/>
              </w:tabs>
              <w:spacing w:after="0"/>
              <w:ind w:left="227" w:hanging="227"/>
              <w:rPr>
                <w:b/>
                <w:szCs w:val="20"/>
                <w:lang w:eastAsia="en-US"/>
              </w:rPr>
            </w:pPr>
            <w:r w:rsidRPr="00147804">
              <w:rPr>
                <w:b/>
                <w:szCs w:val="20"/>
                <w:lang w:eastAsia="en-US"/>
              </w:rPr>
              <w:t>Region 3</w:t>
            </w:r>
          </w:p>
        </w:tc>
        <w:tc>
          <w:tcPr>
            <w:tcW w:w="1210" w:type="pct"/>
            <w:tcBorders>
              <w:top w:val="single" w:sz="4" w:space="0" w:color="auto"/>
              <w:left w:val="nil"/>
              <w:right w:val="single" w:sz="4" w:space="0" w:color="auto"/>
            </w:tcBorders>
            <w:shd w:val="clear" w:color="auto" w:fill="auto"/>
          </w:tcPr>
          <w:p w14:paraId="526F1729" w14:textId="77777777" w:rsidR="00F23F68" w:rsidRPr="00147804" w:rsidRDefault="00F23F68" w:rsidP="00055BC2">
            <w:pPr>
              <w:keepNext/>
              <w:keepLines/>
              <w:tabs>
                <w:tab w:val="left" w:pos="425"/>
              </w:tabs>
              <w:spacing w:after="0"/>
              <w:ind w:left="227" w:hanging="227"/>
              <w:rPr>
                <w:b/>
                <w:szCs w:val="20"/>
                <w:lang w:eastAsia="en-US"/>
              </w:rPr>
            </w:pPr>
            <w:r w:rsidRPr="00147804">
              <w:rPr>
                <w:b/>
                <w:szCs w:val="20"/>
                <w:lang w:eastAsia="en-US"/>
              </w:rPr>
              <w:t>Australian Table of Allocations</w:t>
            </w:r>
          </w:p>
        </w:tc>
      </w:tr>
      <w:tr w:rsidR="00F23F68" w:rsidRPr="003D598A" w14:paraId="26D211CE" w14:textId="77777777" w:rsidTr="001056B9">
        <w:trPr>
          <w:cantSplit/>
        </w:trPr>
        <w:tc>
          <w:tcPr>
            <w:tcW w:w="1289" w:type="pct"/>
            <w:vMerge w:val="restart"/>
            <w:tcBorders>
              <w:top w:val="single" w:sz="4" w:space="0" w:color="auto"/>
              <w:left w:val="single" w:sz="4" w:space="0" w:color="auto"/>
              <w:bottom w:val="single" w:sz="4" w:space="0" w:color="auto"/>
            </w:tcBorders>
            <w:shd w:val="clear" w:color="auto" w:fill="auto"/>
          </w:tcPr>
          <w:p w14:paraId="295ECE51" w14:textId="6433662E" w:rsidR="00F23F68" w:rsidRPr="003D598A" w:rsidRDefault="00F23F68" w:rsidP="00055BC2">
            <w:pPr>
              <w:keepNext/>
              <w:keepLines/>
              <w:tabs>
                <w:tab w:val="left" w:pos="425"/>
              </w:tabs>
              <w:spacing w:after="0"/>
              <w:ind w:left="227" w:hanging="227"/>
              <w:rPr>
                <w:szCs w:val="20"/>
                <w:lang w:eastAsia="en-US"/>
              </w:rPr>
            </w:pPr>
            <w:r w:rsidRPr="003D598A">
              <w:rPr>
                <w:b/>
                <w:szCs w:val="20"/>
                <w:lang w:eastAsia="en-US"/>
              </w:rPr>
              <w:t>3 400–3 600</w:t>
            </w:r>
          </w:p>
          <w:p w14:paraId="351DB18C"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4F312392"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2B2E7E78"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430A</w:t>
            </w:r>
          </w:p>
          <w:p w14:paraId="31B680AF" w14:textId="77777777" w:rsidR="00F23F68" w:rsidRPr="003D598A" w:rsidRDefault="00F23F68" w:rsidP="00055BC2">
            <w:pPr>
              <w:keepNext/>
              <w:keepLines/>
              <w:tabs>
                <w:tab w:val="left" w:pos="425"/>
              </w:tabs>
              <w:spacing w:after="0"/>
              <w:ind w:left="227" w:hanging="227"/>
              <w:rPr>
                <w:b/>
                <w:szCs w:val="20"/>
                <w:lang w:eastAsia="en-US"/>
              </w:rPr>
            </w:pPr>
            <w:r w:rsidRPr="003D598A">
              <w:rPr>
                <w:szCs w:val="20"/>
                <w:lang w:eastAsia="en-US"/>
              </w:rPr>
              <w:t>Radiolocation</w:t>
            </w:r>
          </w:p>
          <w:p w14:paraId="4173912A" w14:textId="77777777" w:rsidR="00F23F68" w:rsidRPr="003D598A" w:rsidRDefault="00F23F68" w:rsidP="00055BC2">
            <w:pPr>
              <w:keepNext/>
              <w:keepLines/>
              <w:tabs>
                <w:tab w:val="left" w:pos="425"/>
              </w:tabs>
              <w:spacing w:after="0"/>
              <w:ind w:left="227" w:hanging="227"/>
              <w:rPr>
                <w:szCs w:val="20"/>
                <w:lang w:eastAsia="en-US"/>
              </w:rPr>
            </w:pPr>
          </w:p>
          <w:p w14:paraId="0994DF10" w14:textId="77777777" w:rsidR="00F23F68" w:rsidRPr="003D598A" w:rsidRDefault="00F23F68" w:rsidP="00055BC2">
            <w:pPr>
              <w:keepNext/>
              <w:keepLines/>
              <w:tabs>
                <w:tab w:val="left" w:pos="425"/>
              </w:tabs>
              <w:spacing w:after="0"/>
              <w:ind w:left="227" w:hanging="227"/>
              <w:rPr>
                <w:szCs w:val="20"/>
                <w:lang w:eastAsia="en-US"/>
              </w:rPr>
            </w:pPr>
          </w:p>
          <w:p w14:paraId="2F3E2462" w14:textId="77777777" w:rsidR="00F23F68" w:rsidRPr="003D598A" w:rsidRDefault="00F23F68" w:rsidP="00055BC2">
            <w:pPr>
              <w:keepNext/>
              <w:keepLines/>
              <w:tabs>
                <w:tab w:val="left" w:pos="425"/>
              </w:tabs>
              <w:spacing w:after="0"/>
              <w:ind w:left="227" w:hanging="227"/>
              <w:rPr>
                <w:szCs w:val="20"/>
                <w:lang w:eastAsia="en-US"/>
              </w:rPr>
            </w:pPr>
          </w:p>
          <w:p w14:paraId="7E068696" w14:textId="77777777" w:rsidR="00F23F68" w:rsidRPr="003D598A" w:rsidRDefault="00F23F68" w:rsidP="00055BC2">
            <w:pPr>
              <w:keepNext/>
              <w:keepLines/>
              <w:tabs>
                <w:tab w:val="left" w:pos="425"/>
              </w:tabs>
              <w:spacing w:after="0"/>
              <w:ind w:left="227" w:hanging="227"/>
              <w:rPr>
                <w:szCs w:val="20"/>
                <w:lang w:eastAsia="en-US"/>
              </w:rPr>
            </w:pPr>
          </w:p>
          <w:p w14:paraId="5B66112A" w14:textId="77777777" w:rsidR="00F23F68" w:rsidRPr="003D598A" w:rsidRDefault="00F23F68" w:rsidP="00055BC2">
            <w:pPr>
              <w:keepNext/>
              <w:keepLines/>
              <w:tabs>
                <w:tab w:val="left" w:pos="425"/>
              </w:tabs>
              <w:spacing w:after="0"/>
              <w:ind w:left="227" w:hanging="227"/>
              <w:rPr>
                <w:szCs w:val="20"/>
                <w:lang w:eastAsia="en-US"/>
              </w:rPr>
            </w:pPr>
          </w:p>
          <w:p w14:paraId="75AD6F04" w14:textId="77777777" w:rsidR="00F23F68" w:rsidRPr="003D598A" w:rsidRDefault="00F23F68" w:rsidP="00055BC2">
            <w:pPr>
              <w:keepNext/>
              <w:keepLines/>
              <w:tabs>
                <w:tab w:val="left" w:pos="425"/>
              </w:tabs>
              <w:spacing w:after="0"/>
              <w:ind w:left="227" w:hanging="227"/>
              <w:rPr>
                <w:szCs w:val="20"/>
                <w:lang w:eastAsia="en-US"/>
              </w:rPr>
            </w:pPr>
          </w:p>
          <w:p w14:paraId="1988E8D6" w14:textId="77777777" w:rsidR="00F23F68" w:rsidRPr="003D598A" w:rsidRDefault="00F23F68" w:rsidP="00055BC2">
            <w:pPr>
              <w:keepNext/>
              <w:keepLines/>
              <w:tabs>
                <w:tab w:val="left" w:pos="425"/>
              </w:tabs>
              <w:spacing w:after="0"/>
              <w:ind w:left="227" w:hanging="227"/>
              <w:rPr>
                <w:szCs w:val="20"/>
                <w:lang w:eastAsia="en-US"/>
              </w:rPr>
            </w:pPr>
          </w:p>
          <w:p w14:paraId="3459214D" w14:textId="77777777" w:rsidR="00F23F68" w:rsidRPr="003D598A" w:rsidRDefault="00F23F68" w:rsidP="00055BC2">
            <w:pPr>
              <w:keepNext/>
              <w:keepLines/>
              <w:tabs>
                <w:tab w:val="left" w:pos="425"/>
              </w:tabs>
              <w:spacing w:after="0"/>
              <w:ind w:left="227" w:hanging="227"/>
              <w:rPr>
                <w:szCs w:val="20"/>
                <w:lang w:eastAsia="en-US"/>
              </w:rPr>
            </w:pPr>
          </w:p>
          <w:p w14:paraId="5A5F4C5B" w14:textId="77777777" w:rsidR="00F23F68" w:rsidRPr="003D598A" w:rsidRDefault="00F23F68" w:rsidP="00055BC2">
            <w:pPr>
              <w:keepNext/>
              <w:keepLines/>
              <w:tabs>
                <w:tab w:val="left" w:pos="425"/>
              </w:tabs>
              <w:spacing w:after="0"/>
              <w:ind w:left="227" w:hanging="227"/>
              <w:rPr>
                <w:b/>
                <w:szCs w:val="20"/>
                <w:lang w:eastAsia="en-US"/>
              </w:rPr>
            </w:pPr>
            <w:r w:rsidRPr="003D598A">
              <w:rPr>
                <w:szCs w:val="20"/>
                <w:lang w:eastAsia="en-US"/>
              </w:rPr>
              <w:t>431</w:t>
            </w:r>
          </w:p>
        </w:tc>
        <w:tc>
          <w:tcPr>
            <w:tcW w:w="1290" w:type="pct"/>
            <w:tcBorders>
              <w:top w:val="single" w:sz="4" w:space="0" w:color="auto"/>
              <w:left w:val="single" w:sz="4" w:space="0" w:color="auto"/>
              <w:bottom w:val="single" w:sz="4" w:space="0" w:color="auto"/>
              <w:right w:val="single" w:sz="4" w:space="0" w:color="auto"/>
            </w:tcBorders>
            <w:shd w:val="clear" w:color="auto" w:fill="auto"/>
          </w:tcPr>
          <w:p w14:paraId="1501208B" w14:textId="1A7B3442" w:rsidR="00F23F68" w:rsidRPr="003D598A" w:rsidRDefault="00F23F68" w:rsidP="00055BC2">
            <w:pPr>
              <w:keepNext/>
              <w:keepLines/>
              <w:tabs>
                <w:tab w:val="left" w:pos="425"/>
              </w:tabs>
              <w:spacing w:after="0"/>
              <w:ind w:left="227" w:hanging="227"/>
              <w:rPr>
                <w:szCs w:val="20"/>
                <w:lang w:eastAsia="en-US"/>
              </w:rPr>
            </w:pPr>
            <w:r w:rsidRPr="003D598A">
              <w:rPr>
                <w:b/>
                <w:szCs w:val="20"/>
                <w:lang w:eastAsia="en-US"/>
              </w:rPr>
              <w:t>3 400–3 500</w:t>
            </w:r>
          </w:p>
          <w:p w14:paraId="674A3409"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24BB184F"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38A05CC6"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Amateur</w:t>
            </w:r>
          </w:p>
          <w:p w14:paraId="7B13FC1B"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431A</w:t>
            </w:r>
          </w:p>
          <w:p w14:paraId="48BB9264"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Radiolocation  433</w:t>
            </w:r>
          </w:p>
          <w:p w14:paraId="5EEBE676"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282</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1AF5186F" w14:textId="580DEC1F" w:rsidR="00F23F68" w:rsidRPr="003D598A" w:rsidRDefault="00F23F68" w:rsidP="00055BC2">
            <w:pPr>
              <w:keepNext/>
              <w:keepLines/>
              <w:tabs>
                <w:tab w:val="left" w:pos="425"/>
              </w:tabs>
              <w:spacing w:after="0"/>
              <w:ind w:left="227" w:hanging="227"/>
              <w:rPr>
                <w:szCs w:val="20"/>
                <w:lang w:eastAsia="en-US"/>
              </w:rPr>
            </w:pPr>
            <w:r w:rsidRPr="003D598A">
              <w:rPr>
                <w:b/>
                <w:szCs w:val="20"/>
                <w:lang w:eastAsia="en-US"/>
              </w:rPr>
              <w:t>3 400–3 500</w:t>
            </w:r>
          </w:p>
          <w:p w14:paraId="47B70C73"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54658579"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55BE49CC"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Amateur</w:t>
            </w:r>
          </w:p>
          <w:p w14:paraId="002204F5"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432B</w:t>
            </w:r>
          </w:p>
          <w:p w14:paraId="3424E96C"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Radiolocation  433</w:t>
            </w:r>
          </w:p>
          <w:p w14:paraId="071B937B" w14:textId="77777777" w:rsidR="00F23F68" w:rsidRPr="003D598A" w:rsidRDefault="00F23F68" w:rsidP="00055BC2">
            <w:pPr>
              <w:keepNext/>
              <w:keepLines/>
              <w:tabs>
                <w:tab w:val="left" w:pos="425"/>
              </w:tabs>
              <w:spacing w:after="0"/>
              <w:ind w:left="227" w:hanging="227"/>
              <w:rPr>
                <w:b/>
                <w:szCs w:val="20"/>
                <w:lang w:eastAsia="en-US"/>
              </w:rPr>
            </w:pPr>
            <w:r w:rsidRPr="003D598A">
              <w:rPr>
                <w:szCs w:val="20"/>
                <w:lang w:eastAsia="en-US"/>
              </w:rPr>
              <w:t>282  432  432A</w:t>
            </w:r>
          </w:p>
        </w:tc>
        <w:tc>
          <w:tcPr>
            <w:tcW w:w="1210" w:type="pct"/>
            <w:vMerge w:val="restart"/>
            <w:tcBorders>
              <w:top w:val="single" w:sz="4" w:space="0" w:color="auto"/>
              <w:left w:val="nil"/>
              <w:right w:val="single" w:sz="4" w:space="0" w:color="auto"/>
            </w:tcBorders>
            <w:shd w:val="clear" w:color="auto" w:fill="auto"/>
          </w:tcPr>
          <w:p w14:paraId="47F57CDF" w14:textId="0B97B645" w:rsidR="00F23F68" w:rsidRPr="003D598A" w:rsidRDefault="00F23F68" w:rsidP="00055BC2">
            <w:pPr>
              <w:keepNext/>
              <w:keepLines/>
              <w:tabs>
                <w:tab w:val="left" w:pos="425"/>
              </w:tabs>
              <w:spacing w:after="0"/>
              <w:ind w:left="227" w:hanging="227"/>
              <w:rPr>
                <w:b/>
                <w:szCs w:val="20"/>
                <w:lang w:eastAsia="en-US"/>
              </w:rPr>
            </w:pPr>
            <w:r w:rsidRPr="003D598A">
              <w:rPr>
                <w:b/>
                <w:szCs w:val="20"/>
                <w:lang w:eastAsia="en-US"/>
              </w:rPr>
              <w:t>3 400–3 600</w:t>
            </w:r>
          </w:p>
          <w:p w14:paraId="2FC450C7" w14:textId="77777777" w:rsidR="00F23F68" w:rsidRPr="003D598A" w:rsidRDefault="00F23F68" w:rsidP="00055BC2">
            <w:pPr>
              <w:keepNext/>
              <w:keepLines/>
              <w:tabs>
                <w:tab w:val="left" w:pos="425"/>
              </w:tabs>
              <w:spacing w:after="0"/>
              <w:ind w:left="227" w:right="-108" w:hanging="227"/>
              <w:rPr>
                <w:szCs w:val="20"/>
                <w:lang w:eastAsia="en-US"/>
              </w:rPr>
            </w:pPr>
            <w:r w:rsidRPr="003D598A">
              <w:rPr>
                <w:szCs w:val="20"/>
                <w:lang w:eastAsia="en-US"/>
              </w:rPr>
              <w:t>FIXED</w:t>
            </w:r>
          </w:p>
          <w:p w14:paraId="195BAD00" w14:textId="77777777" w:rsidR="00F23F68" w:rsidRPr="003D598A" w:rsidRDefault="00F23F68" w:rsidP="00055BC2">
            <w:pPr>
              <w:keepNext/>
              <w:keepLines/>
              <w:tabs>
                <w:tab w:val="left" w:pos="425"/>
              </w:tabs>
              <w:spacing w:after="0"/>
              <w:ind w:left="227" w:right="-108" w:hanging="227"/>
              <w:rPr>
                <w:szCs w:val="20"/>
                <w:lang w:eastAsia="en-US"/>
              </w:rPr>
            </w:pPr>
            <w:r w:rsidRPr="003D598A">
              <w:rPr>
                <w:szCs w:val="20"/>
                <w:lang w:eastAsia="en-US"/>
              </w:rPr>
              <w:t>MOBILE</w:t>
            </w:r>
          </w:p>
          <w:p w14:paraId="6D089025" w14:textId="77777777" w:rsidR="00F23F68" w:rsidRPr="003D598A" w:rsidRDefault="00F23F68" w:rsidP="00055BC2">
            <w:pPr>
              <w:keepNext/>
              <w:keepLines/>
              <w:tabs>
                <w:tab w:val="left" w:pos="425"/>
              </w:tabs>
              <w:spacing w:after="0"/>
              <w:ind w:left="227" w:right="-108" w:hanging="227"/>
              <w:rPr>
                <w:szCs w:val="20"/>
                <w:lang w:eastAsia="en-US"/>
              </w:rPr>
            </w:pPr>
            <w:r w:rsidRPr="003D598A">
              <w:rPr>
                <w:szCs w:val="20"/>
                <w:lang w:eastAsia="en-US"/>
              </w:rPr>
              <w:t>RADIOLOCATION  433  AUS101A</w:t>
            </w:r>
          </w:p>
          <w:p w14:paraId="7C8ECFA7" w14:textId="77777777" w:rsidR="00F23F68" w:rsidRPr="003D598A" w:rsidRDefault="00F23F68" w:rsidP="00055BC2">
            <w:pPr>
              <w:keepNext/>
              <w:keepLines/>
              <w:tabs>
                <w:tab w:val="left" w:pos="425"/>
              </w:tabs>
              <w:spacing w:after="0"/>
              <w:ind w:left="227" w:right="-108" w:hanging="227"/>
              <w:rPr>
                <w:szCs w:val="20"/>
                <w:lang w:eastAsia="en-US"/>
              </w:rPr>
            </w:pPr>
            <w:r w:rsidRPr="003D598A">
              <w:rPr>
                <w:szCs w:val="20"/>
                <w:lang w:eastAsia="en-US"/>
              </w:rPr>
              <w:t>Amateur</w:t>
            </w:r>
          </w:p>
          <w:p w14:paraId="0DC12F62" w14:textId="77777777" w:rsidR="00F23F68" w:rsidRPr="003D598A" w:rsidRDefault="00F23F68" w:rsidP="00055BC2">
            <w:pPr>
              <w:keepNext/>
              <w:keepLines/>
              <w:tabs>
                <w:tab w:val="left" w:pos="425"/>
              </w:tabs>
              <w:spacing w:after="0"/>
              <w:ind w:left="227" w:right="-108" w:hanging="227"/>
              <w:rPr>
                <w:szCs w:val="20"/>
                <w:lang w:eastAsia="en-US"/>
              </w:rPr>
            </w:pPr>
            <w:r w:rsidRPr="003D598A">
              <w:rPr>
                <w:szCs w:val="20"/>
                <w:lang w:eastAsia="en-US"/>
              </w:rPr>
              <w:t>Fixed–satellite (space-to-Earth)</w:t>
            </w:r>
          </w:p>
          <w:p w14:paraId="474383DD" w14:textId="77777777" w:rsidR="00F23F68" w:rsidRPr="003D598A" w:rsidRDefault="00F23F68" w:rsidP="00055BC2">
            <w:pPr>
              <w:keepNext/>
              <w:keepLines/>
              <w:tabs>
                <w:tab w:val="left" w:pos="425"/>
              </w:tabs>
              <w:spacing w:after="0"/>
              <w:ind w:left="227" w:hanging="227"/>
              <w:rPr>
                <w:szCs w:val="20"/>
                <w:lang w:eastAsia="en-US"/>
              </w:rPr>
            </w:pPr>
          </w:p>
          <w:p w14:paraId="04269725" w14:textId="77777777" w:rsidR="00F23F68" w:rsidRPr="003D598A" w:rsidRDefault="00F23F68" w:rsidP="00055BC2">
            <w:pPr>
              <w:keepNext/>
              <w:keepLines/>
              <w:tabs>
                <w:tab w:val="left" w:pos="425"/>
              </w:tabs>
              <w:spacing w:after="0"/>
              <w:ind w:left="227" w:hanging="227"/>
              <w:rPr>
                <w:szCs w:val="20"/>
                <w:lang w:eastAsia="en-US"/>
              </w:rPr>
            </w:pPr>
          </w:p>
          <w:p w14:paraId="57812275" w14:textId="77777777" w:rsidR="00F23F68" w:rsidRPr="003D598A" w:rsidRDefault="00F23F68" w:rsidP="00055BC2">
            <w:pPr>
              <w:keepNext/>
              <w:keepLines/>
              <w:tabs>
                <w:tab w:val="left" w:pos="425"/>
              </w:tabs>
              <w:spacing w:after="0"/>
              <w:ind w:left="227" w:hanging="227"/>
              <w:rPr>
                <w:szCs w:val="20"/>
                <w:lang w:eastAsia="en-US"/>
              </w:rPr>
            </w:pPr>
          </w:p>
          <w:p w14:paraId="1013CF4E" w14:textId="77777777" w:rsidR="00F23F68" w:rsidRPr="003D598A" w:rsidRDefault="00F23F68" w:rsidP="00055BC2">
            <w:pPr>
              <w:keepNext/>
              <w:keepLines/>
              <w:tabs>
                <w:tab w:val="left" w:pos="425"/>
              </w:tabs>
              <w:spacing w:after="0"/>
              <w:ind w:left="227" w:hanging="227"/>
              <w:rPr>
                <w:szCs w:val="20"/>
                <w:lang w:eastAsia="en-US"/>
              </w:rPr>
            </w:pPr>
          </w:p>
          <w:p w14:paraId="63048CEB" w14:textId="77777777" w:rsidR="00F23F68" w:rsidRPr="003D598A" w:rsidRDefault="00F23F68" w:rsidP="00055BC2">
            <w:pPr>
              <w:keepNext/>
              <w:keepLines/>
              <w:tabs>
                <w:tab w:val="left" w:pos="425"/>
              </w:tabs>
              <w:spacing w:after="0"/>
              <w:ind w:left="227" w:hanging="227"/>
              <w:rPr>
                <w:szCs w:val="20"/>
                <w:lang w:eastAsia="en-US"/>
              </w:rPr>
            </w:pPr>
          </w:p>
          <w:p w14:paraId="409F0C4E" w14:textId="77777777" w:rsidR="00F23F68" w:rsidRPr="003D598A" w:rsidRDefault="00F23F68" w:rsidP="00055BC2">
            <w:pPr>
              <w:keepNext/>
              <w:keepLines/>
              <w:tabs>
                <w:tab w:val="left" w:pos="425"/>
              </w:tabs>
              <w:spacing w:after="0"/>
              <w:ind w:left="227" w:hanging="227"/>
              <w:rPr>
                <w:szCs w:val="20"/>
                <w:lang w:eastAsia="en-US"/>
              </w:rPr>
            </w:pPr>
          </w:p>
          <w:p w14:paraId="30A7EC9F" w14:textId="77777777" w:rsidR="00F23F68" w:rsidRPr="003D598A" w:rsidRDefault="00F23F68" w:rsidP="00055BC2">
            <w:pPr>
              <w:keepNext/>
              <w:keepLines/>
              <w:tabs>
                <w:tab w:val="left" w:pos="425"/>
              </w:tabs>
              <w:spacing w:after="0"/>
              <w:ind w:left="227" w:hanging="227"/>
              <w:rPr>
                <w:szCs w:val="20"/>
                <w:lang w:eastAsia="en-US"/>
              </w:rPr>
            </w:pPr>
          </w:p>
          <w:p w14:paraId="352D52E6" w14:textId="77777777" w:rsidR="00F23F68" w:rsidRPr="003D598A" w:rsidRDefault="00F23F68" w:rsidP="00055BC2">
            <w:pPr>
              <w:keepNext/>
              <w:keepLines/>
              <w:tabs>
                <w:tab w:val="left" w:pos="425"/>
              </w:tabs>
              <w:spacing w:after="0"/>
              <w:ind w:left="227" w:hanging="227"/>
              <w:rPr>
                <w:b/>
                <w:szCs w:val="20"/>
                <w:lang w:eastAsia="en-US"/>
              </w:rPr>
            </w:pPr>
            <w:r w:rsidRPr="003D598A">
              <w:rPr>
                <w:szCs w:val="20"/>
                <w:lang w:eastAsia="en-US"/>
              </w:rPr>
              <w:t>282</w:t>
            </w:r>
          </w:p>
        </w:tc>
      </w:tr>
      <w:tr w:rsidR="00F23F68" w:rsidRPr="003D598A" w14:paraId="2F8704B8" w14:textId="77777777" w:rsidTr="001056B9">
        <w:trPr>
          <w:cantSplit/>
          <w:trHeight w:val="367"/>
        </w:trPr>
        <w:tc>
          <w:tcPr>
            <w:tcW w:w="1289" w:type="pct"/>
            <w:vMerge/>
            <w:tcBorders>
              <w:top w:val="single" w:sz="4" w:space="0" w:color="auto"/>
              <w:left w:val="single" w:sz="4" w:space="0" w:color="auto"/>
              <w:bottom w:val="single" w:sz="4" w:space="0" w:color="auto"/>
              <w:right w:val="single" w:sz="4" w:space="0" w:color="auto"/>
            </w:tcBorders>
            <w:shd w:val="clear" w:color="auto" w:fill="auto"/>
          </w:tcPr>
          <w:p w14:paraId="6401D3EA" w14:textId="77777777" w:rsidR="00F23F68" w:rsidRPr="003D598A" w:rsidRDefault="00F23F68" w:rsidP="00055BC2">
            <w:pPr>
              <w:keepNext/>
              <w:keepLines/>
              <w:tabs>
                <w:tab w:val="left" w:pos="425"/>
              </w:tabs>
              <w:spacing w:after="0"/>
              <w:ind w:left="227" w:hanging="227"/>
              <w:rPr>
                <w:b/>
                <w:szCs w:val="20"/>
                <w:lang w:eastAsia="en-US"/>
              </w:rPr>
            </w:pPr>
          </w:p>
        </w:tc>
        <w:tc>
          <w:tcPr>
            <w:tcW w:w="1290" w:type="pct"/>
            <w:vMerge w:val="restart"/>
            <w:tcBorders>
              <w:top w:val="single" w:sz="4" w:space="0" w:color="auto"/>
              <w:left w:val="single" w:sz="4" w:space="0" w:color="auto"/>
              <w:bottom w:val="single" w:sz="6" w:space="0" w:color="auto"/>
              <w:right w:val="single" w:sz="4" w:space="0" w:color="auto"/>
            </w:tcBorders>
            <w:shd w:val="clear" w:color="auto" w:fill="auto"/>
          </w:tcPr>
          <w:p w14:paraId="352BAE2C" w14:textId="44DC9E22" w:rsidR="00F23F68" w:rsidRPr="003D598A" w:rsidRDefault="00F23F68" w:rsidP="00055BC2">
            <w:pPr>
              <w:keepNext/>
              <w:keepLines/>
              <w:tabs>
                <w:tab w:val="left" w:pos="425"/>
              </w:tabs>
              <w:spacing w:after="0"/>
              <w:ind w:left="227" w:hanging="227"/>
              <w:rPr>
                <w:b/>
                <w:szCs w:val="20"/>
                <w:lang w:eastAsia="en-US"/>
              </w:rPr>
            </w:pPr>
            <w:r w:rsidRPr="003D598A">
              <w:rPr>
                <w:b/>
                <w:szCs w:val="20"/>
                <w:lang w:eastAsia="en-US"/>
              </w:rPr>
              <w:t>3 500–3 700</w:t>
            </w:r>
          </w:p>
          <w:p w14:paraId="67C5929E"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21969FED"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2A82097C"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except aeronautical mobile</w:t>
            </w:r>
          </w:p>
          <w:p w14:paraId="59B2B156"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Radiolocation  433</w:t>
            </w:r>
          </w:p>
        </w:tc>
        <w:tc>
          <w:tcPr>
            <w:tcW w:w="1211" w:type="pct"/>
            <w:tcBorders>
              <w:top w:val="single" w:sz="4" w:space="0" w:color="auto"/>
              <w:left w:val="nil"/>
              <w:bottom w:val="single" w:sz="4" w:space="0" w:color="auto"/>
              <w:right w:val="single" w:sz="4" w:space="0" w:color="auto"/>
            </w:tcBorders>
            <w:shd w:val="clear" w:color="auto" w:fill="auto"/>
          </w:tcPr>
          <w:p w14:paraId="374A2189" w14:textId="6C7A7775" w:rsidR="00F23F68" w:rsidRPr="003D598A" w:rsidRDefault="00F23F68" w:rsidP="00055BC2">
            <w:pPr>
              <w:keepNext/>
              <w:keepLines/>
              <w:tabs>
                <w:tab w:val="left" w:pos="425"/>
              </w:tabs>
              <w:spacing w:after="0"/>
              <w:ind w:left="227" w:hanging="227"/>
              <w:rPr>
                <w:b/>
                <w:szCs w:val="20"/>
                <w:lang w:eastAsia="en-US"/>
              </w:rPr>
            </w:pPr>
            <w:r w:rsidRPr="003D598A">
              <w:rPr>
                <w:b/>
                <w:szCs w:val="20"/>
                <w:lang w:eastAsia="en-US"/>
              </w:rPr>
              <w:t>3 500–3 600</w:t>
            </w:r>
          </w:p>
          <w:p w14:paraId="31F550D3"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2B2A7024"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161CE57B"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except aeronautical mobile  433A</w:t>
            </w:r>
          </w:p>
          <w:p w14:paraId="6D9C4F56"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Radiolocation  433</w:t>
            </w:r>
          </w:p>
        </w:tc>
        <w:tc>
          <w:tcPr>
            <w:tcW w:w="1210" w:type="pct"/>
            <w:vMerge/>
            <w:tcBorders>
              <w:left w:val="nil"/>
              <w:bottom w:val="single" w:sz="4" w:space="0" w:color="auto"/>
              <w:right w:val="single" w:sz="4" w:space="0" w:color="auto"/>
            </w:tcBorders>
            <w:shd w:val="clear" w:color="auto" w:fill="auto"/>
          </w:tcPr>
          <w:p w14:paraId="209C842A" w14:textId="77777777" w:rsidR="00F23F68" w:rsidRPr="003D598A" w:rsidRDefault="00F23F68" w:rsidP="00055BC2">
            <w:pPr>
              <w:keepNext/>
              <w:keepLines/>
              <w:tabs>
                <w:tab w:val="left" w:pos="425"/>
              </w:tabs>
              <w:spacing w:after="0"/>
              <w:ind w:left="227" w:hanging="227"/>
              <w:rPr>
                <w:szCs w:val="20"/>
                <w:lang w:eastAsia="en-US"/>
              </w:rPr>
            </w:pPr>
          </w:p>
        </w:tc>
      </w:tr>
      <w:tr w:rsidR="00F23F68" w:rsidRPr="003D598A" w14:paraId="09EC88BD" w14:textId="77777777" w:rsidTr="001056B9">
        <w:trPr>
          <w:cantSplit/>
          <w:trHeight w:val="257"/>
        </w:trPr>
        <w:tc>
          <w:tcPr>
            <w:tcW w:w="1289" w:type="pct"/>
            <w:vMerge w:val="restart"/>
            <w:tcBorders>
              <w:top w:val="single" w:sz="4" w:space="0" w:color="auto"/>
              <w:left w:val="single" w:sz="4" w:space="0" w:color="auto"/>
              <w:bottom w:val="single" w:sz="4" w:space="0" w:color="auto"/>
              <w:right w:val="single" w:sz="4" w:space="0" w:color="auto"/>
            </w:tcBorders>
            <w:shd w:val="clear" w:color="auto" w:fill="auto"/>
          </w:tcPr>
          <w:p w14:paraId="69CCC8EE" w14:textId="5821FA29" w:rsidR="00F23F68" w:rsidRPr="003D598A" w:rsidRDefault="00F23F68" w:rsidP="00055BC2">
            <w:pPr>
              <w:keepNext/>
              <w:keepLines/>
              <w:tabs>
                <w:tab w:val="left" w:pos="425"/>
              </w:tabs>
              <w:spacing w:after="0"/>
              <w:ind w:left="227" w:hanging="227"/>
              <w:rPr>
                <w:szCs w:val="20"/>
                <w:lang w:eastAsia="en-US"/>
              </w:rPr>
            </w:pPr>
            <w:r w:rsidRPr="003D598A">
              <w:rPr>
                <w:b/>
                <w:szCs w:val="20"/>
                <w:lang w:eastAsia="en-US"/>
              </w:rPr>
              <w:t>3 600–4 200</w:t>
            </w:r>
          </w:p>
          <w:p w14:paraId="7045343D"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29F209F0"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457406BE" w14:textId="77777777" w:rsidR="00F23F68" w:rsidRPr="003D598A" w:rsidRDefault="00F23F68" w:rsidP="00055BC2">
            <w:pPr>
              <w:keepNext/>
              <w:keepLines/>
              <w:tabs>
                <w:tab w:val="left" w:pos="425"/>
              </w:tabs>
              <w:spacing w:after="0"/>
              <w:ind w:left="227" w:hanging="227"/>
              <w:rPr>
                <w:b/>
                <w:szCs w:val="20"/>
                <w:lang w:eastAsia="en-US"/>
              </w:rPr>
            </w:pPr>
            <w:r w:rsidRPr="003D598A">
              <w:rPr>
                <w:szCs w:val="20"/>
                <w:lang w:eastAsia="en-US"/>
              </w:rPr>
              <w:t>Mobile</w:t>
            </w:r>
          </w:p>
        </w:tc>
        <w:tc>
          <w:tcPr>
            <w:tcW w:w="1290" w:type="pct"/>
            <w:vMerge/>
            <w:tcBorders>
              <w:top w:val="single" w:sz="6" w:space="0" w:color="auto"/>
              <w:left w:val="single" w:sz="4" w:space="0" w:color="auto"/>
              <w:bottom w:val="single" w:sz="4" w:space="0" w:color="auto"/>
              <w:right w:val="single" w:sz="4" w:space="0" w:color="auto"/>
            </w:tcBorders>
            <w:shd w:val="clear" w:color="auto" w:fill="auto"/>
          </w:tcPr>
          <w:p w14:paraId="0F33769A" w14:textId="77777777" w:rsidR="00F23F68" w:rsidRPr="003D598A" w:rsidRDefault="00F23F68" w:rsidP="00055BC2">
            <w:pPr>
              <w:keepNext/>
              <w:keepLines/>
              <w:tabs>
                <w:tab w:val="left" w:pos="425"/>
              </w:tabs>
              <w:spacing w:after="0"/>
              <w:ind w:left="227" w:hanging="227"/>
              <w:rPr>
                <w:szCs w:val="20"/>
                <w:lang w:eastAsia="en-US"/>
              </w:rPr>
            </w:pPr>
          </w:p>
        </w:tc>
        <w:tc>
          <w:tcPr>
            <w:tcW w:w="1211" w:type="pct"/>
            <w:tcBorders>
              <w:top w:val="single" w:sz="4" w:space="0" w:color="auto"/>
              <w:bottom w:val="single" w:sz="4" w:space="0" w:color="auto"/>
              <w:right w:val="single" w:sz="4" w:space="0" w:color="auto"/>
            </w:tcBorders>
            <w:shd w:val="clear" w:color="auto" w:fill="auto"/>
          </w:tcPr>
          <w:p w14:paraId="4459A1AD" w14:textId="136C922B" w:rsidR="00F23F68" w:rsidRPr="003D598A" w:rsidRDefault="00F23F68" w:rsidP="00055BC2">
            <w:pPr>
              <w:keepNext/>
              <w:keepLines/>
              <w:tabs>
                <w:tab w:val="left" w:pos="425"/>
              </w:tabs>
              <w:spacing w:after="0"/>
              <w:ind w:left="227" w:hanging="227"/>
              <w:rPr>
                <w:b/>
                <w:szCs w:val="20"/>
                <w:lang w:eastAsia="en-US"/>
              </w:rPr>
            </w:pPr>
            <w:r w:rsidRPr="003D598A">
              <w:rPr>
                <w:b/>
                <w:szCs w:val="20"/>
                <w:lang w:eastAsia="en-US"/>
              </w:rPr>
              <w:t>3 600–3 700</w:t>
            </w:r>
          </w:p>
          <w:p w14:paraId="3D9C385F"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2D2B7C24"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78462C91"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except aeronautical mobile</w:t>
            </w:r>
          </w:p>
          <w:p w14:paraId="3728BF6C"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Radiolocation</w:t>
            </w:r>
          </w:p>
          <w:p w14:paraId="314458BE" w14:textId="77777777" w:rsidR="00F23F68" w:rsidRPr="003D598A" w:rsidRDefault="00F23F68" w:rsidP="00055BC2">
            <w:pPr>
              <w:keepNext/>
              <w:keepLines/>
              <w:tabs>
                <w:tab w:val="left" w:pos="425"/>
              </w:tabs>
              <w:spacing w:after="0"/>
              <w:ind w:left="227" w:hanging="227"/>
              <w:rPr>
                <w:vanish/>
                <w:szCs w:val="20"/>
                <w:lang w:eastAsia="en-US"/>
              </w:rPr>
            </w:pPr>
            <w:r w:rsidRPr="003D598A">
              <w:rPr>
                <w:szCs w:val="20"/>
                <w:lang w:eastAsia="en-US"/>
              </w:rPr>
              <w:t>435</w:t>
            </w:r>
          </w:p>
        </w:tc>
        <w:tc>
          <w:tcPr>
            <w:tcW w:w="1210" w:type="pct"/>
            <w:vMerge w:val="restart"/>
            <w:tcBorders>
              <w:top w:val="single" w:sz="4" w:space="0" w:color="auto"/>
              <w:left w:val="nil"/>
              <w:right w:val="single" w:sz="4" w:space="0" w:color="auto"/>
            </w:tcBorders>
            <w:shd w:val="clear" w:color="auto" w:fill="auto"/>
          </w:tcPr>
          <w:p w14:paraId="260D47F1" w14:textId="1DED8ADF" w:rsidR="00F23F68" w:rsidRPr="003D598A" w:rsidRDefault="00F23F68" w:rsidP="00055BC2">
            <w:pPr>
              <w:keepNext/>
              <w:keepLines/>
              <w:tabs>
                <w:tab w:val="left" w:pos="425"/>
              </w:tabs>
              <w:spacing w:after="0"/>
              <w:ind w:left="227" w:hanging="227"/>
              <w:rPr>
                <w:szCs w:val="20"/>
                <w:lang w:eastAsia="en-US"/>
              </w:rPr>
            </w:pPr>
            <w:r w:rsidRPr="003D598A">
              <w:rPr>
                <w:b/>
                <w:szCs w:val="20"/>
                <w:lang w:eastAsia="en-US"/>
              </w:rPr>
              <w:t>3 600–4 200</w:t>
            </w:r>
          </w:p>
          <w:p w14:paraId="668DB700"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w:t>
            </w:r>
          </w:p>
          <w:p w14:paraId="65B25BA8"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FIXED–SATELLITE (space-to-Earth)</w:t>
            </w:r>
          </w:p>
          <w:p w14:paraId="06732203" w14:textId="77777777" w:rsidR="00F23F68" w:rsidRPr="003D598A" w:rsidRDefault="00F23F68" w:rsidP="00055BC2">
            <w:pPr>
              <w:keepNext/>
              <w:keepLines/>
              <w:tabs>
                <w:tab w:val="left" w:pos="425"/>
              </w:tabs>
              <w:spacing w:after="0"/>
              <w:ind w:left="227" w:hanging="227"/>
              <w:rPr>
                <w:szCs w:val="20"/>
                <w:lang w:eastAsia="en-US"/>
              </w:rPr>
            </w:pPr>
            <w:r w:rsidRPr="003D598A">
              <w:rPr>
                <w:szCs w:val="20"/>
                <w:lang w:eastAsia="en-US"/>
              </w:rPr>
              <w:t>MOBILE except aeronautical mobile</w:t>
            </w:r>
          </w:p>
        </w:tc>
      </w:tr>
      <w:tr w:rsidR="00F23F68" w:rsidRPr="003D598A" w14:paraId="0EC2D304" w14:textId="77777777" w:rsidTr="001056B9">
        <w:trPr>
          <w:cantSplit/>
          <w:trHeight w:val="1026"/>
        </w:trPr>
        <w:tc>
          <w:tcPr>
            <w:tcW w:w="1289" w:type="pct"/>
            <w:vMerge/>
            <w:tcBorders>
              <w:top w:val="single" w:sz="4" w:space="0" w:color="auto"/>
              <w:left w:val="single" w:sz="4" w:space="0" w:color="auto"/>
              <w:bottom w:val="single" w:sz="4" w:space="0" w:color="auto"/>
              <w:right w:val="single" w:sz="4" w:space="0" w:color="auto"/>
            </w:tcBorders>
            <w:shd w:val="clear" w:color="auto" w:fill="auto"/>
          </w:tcPr>
          <w:p w14:paraId="52465E40" w14:textId="77777777" w:rsidR="00F23F68" w:rsidRPr="003D598A" w:rsidRDefault="00F23F68" w:rsidP="00055BC2">
            <w:pPr>
              <w:keepNext/>
              <w:keepLines/>
              <w:tabs>
                <w:tab w:val="left" w:pos="425"/>
              </w:tabs>
              <w:spacing w:after="0"/>
              <w:ind w:left="227" w:right="-500" w:hanging="227"/>
              <w:rPr>
                <w:szCs w:val="20"/>
                <w:lang w:eastAsia="en-US"/>
              </w:rPr>
            </w:pPr>
          </w:p>
        </w:tc>
        <w:tc>
          <w:tcPr>
            <w:tcW w:w="2501" w:type="pct"/>
            <w:gridSpan w:val="2"/>
            <w:tcBorders>
              <w:top w:val="single" w:sz="4" w:space="0" w:color="auto"/>
              <w:left w:val="single" w:sz="4" w:space="0" w:color="auto"/>
              <w:bottom w:val="single" w:sz="4" w:space="0" w:color="auto"/>
              <w:right w:val="single" w:sz="4" w:space="0" w:color="auto"/>
            </w:tcBorders>
            <w:shd w:val="clear" w:color="auto" w:fill="auto"/>
          </w:tcPr>
          <w:p w14:paraId="709AA1CD" w14:textId="271F73F0" w:rsidR="00F23F68" w:rsidRPr="003D598A" w:rsidRDefault="00F23F68" w:rsidP="00055BC2">
            <w:pPr>
              <w:keepNext/>
              <w:keepLines/>
              <w:tabs>
                <w:tab w:val="left" w:pos="425"/>
              </w:tabs>
              <w:spacing w:after="0"/>
              <w:ind w:left="652" w:hanging="652"/>
              <w:rPr>
                <w:b/>
                <w:szCs w:val="20"/>
                <w:lang w:eastAsia="en-US"/>
              </w:rPr>
            </w:pPr>
            <w:r w:rsidRPr="003D598A">
              <w:rPr>
                <w:b/>
                <w:szCs w:val="20"/>
                <w:lang w:eastAsia="en-US"/>
              </w:rPr>
              <w:t>3 700–4 200</w:t>
            </w:r>
          </w:p>
          <w:p w14:paraId="773E2C88" w14:textId="77777777" w:rsidR="00F23F68" w:rsidRPr="003D598A" w:rsidRDefault="00F23F68" w:rsidP="00055BC2">
            <w:pPr>
              <w:keepNext/>
              <w:keepLines/>
              <w:tabs>
                <w:tab w:val="left" w:pos="425"/>
              </w:tabs>
              <w:spacing w:after="0"/>
              <w:ind w:left="652" w:hanging="652"/>
              <w:rPr>
                <w:szCs w:val="20"/>
                <w:lang w:eastAsia="en-US"/>
              </w:rPr>
            </w:pPr>
            <w:r w:rsidRPr="003D598A">
              <w:rPr>
                <w:szCs w:val="20"/>
                <w:lang w:eastAsia="en-US"/>
              </w:rPr>
              <w:tab/>
              <w:t>FIXED</w:t>
            </w:r>
          </w:p>
          <w:p w14:paraId="273F4F60" w14:textId="77777777" w:rsidR="00F23F68" w:rsidRPr="003D598A" w:rsidRDefault="00F23F68" w:rsidP="00055BC2">
            <w:pPr>
              <w:keepNext/>
              <w:keepLines/>
              <w:tabs>
                <w:tab w:val="left" w:pos="425"/>
              </w:tabs>
              <w:spacing w:after="0"/>
              <w:ind w:left="652" w:hanging="652"/>
              <w:rPr>
                <w:szCs w:val="20"/>
                <w:lang w:eastAsia="en-US"/>
              </w:rPr>
            </w:pPr>
            <w:r w:rsidRPr="003D598A">
              <w:rPr>
                <w:szCs w:val="20"/>
                <w:lang w:eastAsia="en-US"/>
              </w:rPr>
              <w:tab/>
              <w:t>FIXED–SATELLITE (space-to-Earth)</w:t>
            </w:r>
          </w:p>
          <w:p w14:paraId="42D4D3FE" w14:textId="77777777" w:rsidR="00F23F68" w:rsidRPr="003D598A" w:rsidRDefault="00F23F68" w:rsidP="00055BC2">
            <w:pPr>
              <w:keepNext/>
              <w:keepLines/>
              <w:tabs>
                <w:tab w:val="left" w:pos="425"/>
              </w:tabs>
              <w:spacing w:after="0"/>
              <w:ind w:left="652" w:hanging="652"/>
              <w:rPr>
                <w:szCs w:val="20"/>
                <w:lang w:eastAsia="en-US"/>
              </w:rPr>
            </w:pPr>
            <w:r w:rsidRPr="003D598A">
              <w:rPr>
                <w:szCs w:val="20"/>
                <w:lang w:eastAsia="en-US"/>
              </w:rPr>
              <w:tab/>
              <w:t>MOBILE except aeronautical mobile</w:t>
            </w:r>
          </w:p>
        </w:tc>
        <w:tc>
          <w:tcPr>
            <w:tcW w:w="1210" w:type="pct"/>
            <w:vMerge/>
            <w:tcBorders>
              <w:left w:val="nil"/>
              <w:bottom w:val="single" w:sz="4" w:space="0" w:color="auto"/>
              <w:right w:val="single" w:sz="4" w:space="0" w:color="auto"/>
            </w:tcBorders>
            <w:shd w:val="clear" w:color="auto" w:fill="auto"/>
          </w:tcPr>
          <w:p w14:paraId="79D58100" w14:textId="77777777" w:rsidR="00F23F68" w:rsidRPr="003D598A" w:rsidRDefault="00F23F68" w:rsidP="00055BC2">
            <w:pPr>
              <w:keepNext/>
              <w:keepLines/>
              <w:tabs>
                <w:tab w:val="left" w:pos="425"/>
              </w:tabs>
              <w:spacing w:after="0"/>
              <w:ind w:left="227" w:hanging="227"/>
              <w:rPr>
                <w:b/>
                <w:szCs w:val="20"/>
                <w:lang w:eastAsia="en-US"/>
              </w:rPr>
            </w:pPr>
          </w:p>
        </w:tc>
      </w:tr>
    </w:tbl>
    <w:p w14:paraId="31F9103A" w14:textId="7CAF8BCF" w:rsidR="00F23F68" w:rsidRDefault="00F23F68" w:rsidP="00E03708">
      <w:pPr>
        <w:pStyle w:val="ACMASpaceaftertable"/>
      </w:pPr>
    </w:p>
    <w:p w14:paraId="1E6F7C36" w14:textId="5A9B1E5A" w:rsidR="00F23F68" w:rsidRPr="000D76E0" w:rsidRDefault="00F23F68" w:rsidP="00F23F68">
      <w:pPr>
        <w:pStyle w:val="Heading2"/>
      </w:pPr>
      <w:bookmarkStart w:id="94" w:name="_Toc459906731"/>
      <w:bookmarkStart w:id="95" w:name="_Toc464480527"/>
      <w:r>
        <w:t>Australian context</w:t>
      </w:r>
      <w:bookmarkEnd w:id="94"/>
      <w:bookmarkEnd w:id="95"/>
    </w:p>
    <w:p w14:paraId="4D212DF1" w14:textId="75938B4B" w:rsidR="00BD154F" w:rsidRPr="00296388" w:rsidRDefault="00BD154F" w:rsidP="00825C27">
      <w:bookmarkStart w:id="96" w:name="_Toc458603034"/>
      <w:bookmarkStart w:id="97" w:name="_Toc459906732"/>
      <w:r w:rsidRPr="00296388">
        <w:t xml:space="preserve">This </w:t>
      </w:r>
      <w:r>
        <w:t>section</w:t>
      </w:r>
      <w:r w:rsidRPr="00296388">
        <w:t xml:space="preserve"> provides an overview o</w:t>
      </w:r>
      <w:r>
        <w:t xml:space="preserve">f the current planning arrangements </w:t>
      </w:r>
      <w:r w:rsidR="00951AD6">
        <w:t>for</w:t>
      </w:r>
      <w:r w:rsidR="002A0304">
        <w:t>,</w:t>
      </w:r>
      <w:r w:rsidR="00951AD6">
        <w:t xml:space="preserve"> </w:t>
      </w:r>
      <w:r>
        <w:t>and use of</w:t>
      </w:r>
      <w:r w:rsidR="002A0304">
        <w:t>,</w:t>
      </w:r>
      <w:r>
        <w:t xml:space="preserve"> the 3.6 GHz band in Australia.</w:t>
      </w:r>
    </w:p>
    <w:p w14:paraId="449E12E1" w14:textId="6AA95E42" w:rsidR="00F23F68" w:rsidRDefault="00F23F68" w:rsidP="00067BF4">
      <w:pPr>
        <w:pStyle w:val="Heading3"/>
      </w:pPr>
      <w:bookmarkStart w:id="98" w:name="_Toc464480528"/>
      <w:r>
        <w:t xml:space="preserve">Current </w:t>
      </w:r>
      <w:r w:rsidR="00687A9B">
        <w:t xml:space="preserve">planning </w:t>
      </w:r>
      <w:r w:rsidR="008C74BC">
        <w:t xml:space="preserve">arrangements and </w:t>
      </w:r>
      <w:r>
        <w:t>use</w:t>
      </w:r>
      <w:bookmarkEnd w:id="96"/>
      <w:bookmarkEnd w:id="97"/>
      <w:bookmarkEnd w:id="98"/>
    </w:p>
    <w:p w14:paraId="44D1CEF9" w14:textId="7C917AA1" w:rsidR="00F605DE" w:rsidRPr="000F6577" w:rsidRDefault="000F6577" w:rsidP="00825C27">
      <w:pPr>
        <w:rPr>
          <w:rFonts w:cs="Arial"/>
        </w:rPr>
      </w:pPr>
      <w:r w:rsidRPr="000F6577">
        <w:rPr>
          <w:rFonts w:cs="Arial"/>
        </w:rPr>
        <w:t>Historically</w:t>
      </w:r>
      <w:r w:rsidR="002A0304">
        <w:rPr>
          <w:rFonts w:cs="Arial"/>
        </w:rPr>
        <w:t>,</w:t>
      </w:r>
      <w:r w:rsidRPr="000F6577">
        <w:rPr>
          <w:rFonts w:cs="Arial"/>
        </w:rPr>
        <w:t xml:space="preserve"> the </w:t>
      </w:r>
      <w:r>
        <w:rPr>
          <w:rFonts w:cs="Arial"/>
        </w:rPr>
        <w:t>3.6 GHz</w:t>
      </w:r>
      <w:r w:rsidRPr="000F6577">
        <w:rPr>
          <w:rFonts w:cs="Arial"/>
        </w:rPr>
        <w:t xml:space="preserve"> band </w:t>
      </w:r>
      <w:r>
        <w:rPr>
          <w:rFonts w:cs="Arial"/>
        </w:rPr>
        <w:t>h</w:t>
      </w:r>
      <w:r w:rsidRPr="000F6577">
        <w:rPr>
          <w:rFonts w:cs="Arial"/>
        </w:rPr>
        <w:t>as been used by</w:t>
      </w:r>
      <w:r w:rsidR="0054045B" w:rsidRPr="000F6577">
        <w:rPr>
          <w:rFonts w:cs="Arial"/>
        </w:rPr>
        <w:t xml:space="preserve"> </w:t>
      </w:r>
      <w:r w:rsidRPr="000F6577">
        <w:rPr>
          <w:rFonts w:cs="Arial"/>
        </w:rPr>
        <w:t xml:space="preserve">the FSS and point-to-point links. </w:t>
      </w:r>
      <w:r>
        <w:rPr>
          <w:rFonts w:cs="Arial"/>
        </w:rPr>
        <w:t xml:space="preserve">However, in 2005 as part of the </w:t>
      </w:r>
      <w:r>
        <w:t xml:space="preserve">ACMA’s </w:t>
      </w:r>
      <w:hyperlink r:id="rId58" w:history="1">
        <w:r w:rsidRPr="00BE7227">
          <w:rPr>
            <w:rStyle w:val="Hyperlink"/>
            <w:i/>
          </w:rPr>
          <w:t>Strategies for Wireless Access Services</w:t>
        </w:r>
      </w:hyperlink>
      <w:r>
        <w:t xml:space="preserve"> consultation process, the band was embargoed Australia-wide. </w:t>
      </w:r>
      <w:r>
        <w:rPr>
          <w:rFonts w:cs="Arial"/>
        </w:rPr>
        <w:t>In 2009</w:t>
      </w:r>
      <w:r w:rsidR="002A0304">
        <w:rPr>
          <w:rFonts w:cs="Arial"/>
        </w:rPr>
        <w:t>,</w:t>
      </w:r>
      <w:r>
        <w:rPr>
          <w:rFonts w:cs="Arial"/>
        </w:rPr>
        <w:t xml:space="preserve"> the </w:t>
      </w:r>
      <w:r w:rsidRPr="000F6577">
        <w:t xml:space="preserve">ACMA made the band available for </w:t>
      </w:r>
      <w:r w:rsidR="005A21F6">
        <w:t>MBB</w:t>
      </w:r>
      <w:r>
        <w:t xml:space="preserve"> applications</w:t>
      </w:r>
      <w:r w:rsidRPr="000F6577">
        <w:t xml:space="preserve"> </w:t>
      </w:r>
      <w:r>
        <w:t>in</w:t>
      </w:r>
      <w:r w:rsidRPr="000F6577">
        <w:t xml:space="preserve"> regional and remote areas. The band remains embargoed in </w:t>
      </w:r>
      <w:r w:rsidR="00951AD6">
        <w:t>c</w:t>
      </w:r>
      <w:r w:rsidRPr="000F6577">
        <w:t>a</w:t>
      </w:r>
      <w:r>
        <w:t xml:space="preserve">pital cities (excluding Hobart) for </w:t>
      </w:r>
      <w:r w:rsidR="005A21F6">
        <w:t>MBB</w:t>
      </w:r>
      <w:r>
        <w:t xml:space="preserve"> services and Australia-wide for all other services.</w:t>
      </w:r>
    </w:p>
    <w:p w14:paraId="38B6B744" w14:textId="5820AD63" w:rsidR="00CB1072" w:rsidRDefault="00050596" w:rsidP="00825C27">
      <w:r w:rsidRPr="00CB1072">
        <w:fldChar w:fldCharType="begin"/>
      </w:r>
      <w:r w:rsidRPr="00CB1072">
        <w:instrText xml:space="preserve"> REF _Ref458598302 \h  \* MERGEFORMAT </w:instrText>
      </w:r>
      <w:r w:rsidRPr="00CB1072">
        <w:fldChar w:fldCharType="separate"/>
      </w:r>
      <w:r w:rsidR="00FA0A5F">
        <w:rPr>
          <w:b/>
          <w:bCs/>
          <w:lang w:val="en-US"/>
        </w:rPr>
        <w:t>Error! Reference source not found.</w:t>
      </w:r>
      <w:r w:rsidRPr="00CB1072">
        <w:fldChar w:fldCharType="end"/>
      </w:r>
      <w:r>
        <w:t xml:space="preserve">4 </w:t>
      </w:r>
      <w:r w:rsidR="00CB1072">
        <w:t>provides the current arrangements in the 3.6 GHz</w:t>
      </w:r>
      <w:r w:rsidR="00055BC2">
        <w:t xml:space="preserve"> band</w:t>
      </w:r>
      <w:r w:rsidR="00CB1072">
        <w:t xml:space="preserve"> </w:t>
      </w:r>
      <w:r w:rsidR="00B7724F">
        <w:t xml:space="preserve">(shown by the shaded area) </w:t>
      </w:r>
      <w:r w:rsidR="00CB1072">
        <w:t xml:space="preserve">and adjacent bands. </w:t>
      </w:r>
      <w:r w:rsidR="000E0AA2" w:rsidRPr="000E0AA2">
        <w:t xml:space="preserve">As at </w:t>
      </w:r>
      <w:r w:rsidR="000E0AA2">
        <w:t>7 Jul</w:t>
      </w:r>
      <w:r w:rsidR="000E0AA2" w:rsidRPr="000E0AA2">
        <w:t xml:space="preserve">y </w:t>
      </w:r>
      <w:r w:rsidR="000E0AA2">
        <w:t>2016</w:t>
      </w:r>
      <w:r w:rsidR="002A0304">
        <w:t>,</w:t>
      </w:r>
      <w:r w:rsidR="000E0AA2">
        <w:t xml:space="preserve"> there were 465 apparatus</w:t>
      </w:r>
      <w:r w:rsidR="002A0304">
        <w:t>-</w:t>
      </w:r>
      <w:r w:rsidR="000E0AA2">
        <w:t>licen</w:t>
      </w:r>
      <w:r w:rsidR="009E4748">
        <w:t>s</w:t>
      </w:r>
      <w:r w:rsidR="000E0AA2">
        <w:t xml:space="preserve">ed services operating in the 3.6 GHz band. </w:t>
      </w:r>
      <w:r w:rsidR="005D65DF">
        <w:t xml:space="preserve">More details on current licences in the band are </w:t>
      </w:r>
      <w:r w:rsidR="005D65DF" w:rsidRPr="00055BC2">
        <w:t xml:space="preserve">available in </w:t>
      </w:r>
      <w:r w:rsidR="00922231" w:rsidRPr="00055BC2">
        <w:t>Appendix B</w:t>
      </w:r>
      <w:r w:rsidR="00951AD6">
        <w:t>.</w:t>
      </w:r>
    </w:p>
    <w:p w14:paraId="371F79D5" w14:textId="608631AD" w:rsidR="00CB1072" w:rsidRPr="00FE427A" w:rsidRDefault="00CB1072" w:rsidP="00825C27">
      <w:pPr>
        <w:pStyle w:val="ACMAFigureHeader"/>
      </w:pPr>
      <w:bookmarkStart w:id="99" w:name="_Ref458674834"/>
      <w:bookmarkStart w:id="100" w:name="_Ref458609490"/>
      <w:r>
        <w:t>3.6 GHz band arrangements</w:t>
      </w:r>
      <w:bookmarkEnd w:id="99"/>
      <w:bookmarkEnd w:id="100"/>
      <w:r>
        <w:t xml:space="preserve"> </w:t>
      </w:r>
    </w:p>
    <w:p w14:paraId="4D91BE6A" w14:textId="615BF0C8" w:rsidR="00CB1072" w:rsidRDefault="006625F7" w:rsidP="00055BC2">
      <w:pPr>
        <w:keepNext/>
        <w:keepLines/>
        <w:rPr>
          <w:rFonts w:cs="Arial"/>
        </w:rPr>
      </w:pPr>
      <w:r>
        <w:rPr>
          <w:noProof/>
        </w:rPr>
        <mc:AlternateContent>
          <mc:Choice Requires="wps">
            <w:drawing>
              <wp:anchor distT="0" distB="0" distL="114300" distR="114300" simplePos="0" relativeHeight="251658240" behindDoc="0" locked="0" layoutInCell="1" allowOverlap="1" wp14:anchorId="4E32CA86" wp14:editId="613490FE">
                <wp:simplePos x="0" y="0"/>
                <wp:positionH relativeFrom="column">
                  <wp:posOffset>2689860</wp:posOffset>
                </wp:positionH>
                <wp:positionV relativeFrom="paragraph">
                  <wp:posOffset>3575050</wp:posOffset>
                </wp:positionV>
                <wp:extent cx="2519916" cy="1162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19916"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6B216" w14:textId="1B3AD1A2" w:rsidR="00FD64A2" w:rsidRPr="00922231" w:rsidRDefault="00FD64A2" w:rsidP="00922231">
                            <w:pPr>
                              <w:spacing w:after="120"/>
                              <w:rPr>
                                <w:sz w:val="16"/>
                                <w:szCs w:val="16"/>
                                <w:u w:val="single"/>
                              </w:rPr>
                            </w:pPr>
                            <w:r w:rsidRPr="00922231">
                              <w:rPr>
                                <w:sz w:val="16"/>
                                <w:szCs w:val="16"/>
                                <w:u w:val="single"/>
                              </w:rPr>
                              <w:t>KEY</w:t>
                            </w:r>
                          </w:p>
                          <w:p w14:paraId="260CEE1E" w14:textId="53BCE2F6" w:rsidR="00FD64A2" w:rsidRDefault="00FD64A2" w:rsidP="00922231">
                            <w:pPr>
                              <w:spacing w:after="0"/>
                              <w:rPr>
                                <w:sz w:val="16"/>
                                <w:szCs w:val="16"/>
                              </w:rPr>
                            </w:pPr>
                            <w:r w:rsidRPr="00922231">
                              <w:rPr>
                                <w:sz w:val="16"/>
                                <w:szCs w:val="16"/>
                              </w:rPr>
                              <w:t>FSS: Fixed</w:t>
                            </w:r>
                            <w:r>
                              <w:rPr>
                                <w:sz w:val="16"/>
                                <w:szCs w:val="16"/>
                              </w:rPr>
                              <w:t>-s</w:t>
                            </w:r>
                            <w:r w:rsidRPr="00922231">
                              <w:rPr>
                                <w:sz w:val="16"/>
                                <w:szCs w:val="16"/>
                              </w:rPr>
                              <w:t xml:space="preserve">atellite </w:t>
                            </w:r>
                            <w:r w:rsidR="00107352">
                              <w:rPr>
                                <w:sz w:val="16"/>
                                <w:szCs w:val="16"/>
                              </w:rPr>
                              <w:t>s</w:t>
                            </w:r>
                            <w:r w:rsidRPr="00922231">
                              <w:rPr>
                                <w:sz w:val="16"/>
                                <w:szCs w:val="16"/>
                              </w:rPr>
                              <w:t>ervice</w:t>
                            </w:r>
                          </w:p>
                          <w:p w14:paraId="2658AF8E" w14:textId="3F2B9CE3" w:rsidR="00FD64A2" w:rsidRDefault="00FD64A2" w:rsidP="00487408">
                            <w:pPr>
                              <w:spacing w:after="0"/>
                              <w:rPr>
                                <w:sz w:val="16"/>
                                <w:szCs w:val="16"/>
                              </w:rPr>
                            </w:pPr>
                            <w:r>
                              <w:rPr>
                                <w:sz w:val="16"/>
                                <w:szCs w:val="16"/>
                              </w:rPr>
                              <w:t>PTS: Public Telecommunication Service</w:t>
                            </w:r>
                          </w:p>
                          <w:p w14:paraId="2915A351" w14:textId="10CC6A7D" w:rsidR="00FD64A2" w:rsidRPr="00922231" w:rsidRDefault="00107352" w:rsidP="00487408">
                            <w:pPr>
                              <w:spacing w:after="0"/>
                              <w:rPr>
                                <w:sz w:val="16"/>
                                <w:szCs w:val="16"/>
                              </w:rPr>
                            </w:pPr>
                            <w:r>
                              <w:rPr>
                                <w:sz w:val="16"/>
                                <w:szCs w:val="16"/>
                              </w:rPr>
                              <w:t>PMP: Point-to-m</w:t>
                            </w:r>
                            <w:r w:rsidR="00FD64A2" w:rsidRPr="00922231">
                              <w:rPr>
                                <w:sz w:val="16"/>
                                <w:szCs w:val="16"/>
                              </w:rPr>
                              <w:t>ultipoint</w:t>
                            </w:r>
                          </w:p>
                          <w:p w14:paraId="57946810" w14:textId="0FBDF433" w:rsidR="00FD64A2" w:rsidRDefault="00107352" w:rsidP="00487408">
                            <w:pPr>
                              <w:spacing w:after="0"/>
                              <w:rPr>
                                <w:sz w:val="16"/>
                                <w:szCs w:val="16"/>
                              </w:rPr>
                            </w:pPr>
                            <w:r>
                              <w:rPr>
                                <w:sz w:val="16"/>
                                <w:szCs w:val="16"/>
                              </w:rPr>
                              <w:t>SL: Arrangements for spectrum l</w:t>
                            </w:r>
                            <w:r w:rsidR="00FD64A2" w:rsidRPr="00922231">
                              <w:rPr>
                                <w:sz w:val="16"/>
                                <w:szCs w:val="16"/>
                              </w:rPr>
                              <w:t>icensing in place</w:t>
                            </w:r>
                          </w:p>
                          <w:p w14:paraId="4BA92F02" w14:textId="42762164" w:rsidR="00FD64A2" w:rsidRPr="00922231" w:rsidRDefault="00107352" w:rsidP="00487408">
                            <w:pPr>
                              <w:spacing w:after="0"/>
                              <w:rPr>
                                <w:sz w:val="16"/>
                                <w:szCs w:val="16"/>
                              </w:rPr>
                            </w:pPr>
                            <w:r>
                              <w:rPr>
                                <w:sz w:val="16"/>
                                <w:szCs w:val="16"/>
                              </w:rPr>
                              <w:t>*Shaded area indicates the 3575–</w:t>
                            </w:r>
                            <w:r w:rsidR="00FD64A2">
                              <w:rPr>
                                <w:sz w:val="16"/>
                                <w:szCs w:val="16"/>
                              </w:rPr>
                              <w:t>3700 MHz band</w:t>
                            </w:r>
                          </w:p>
                          <w:p w14:paraId="1B21CA9C" w14:textId="77777777" w:rsidR="00FD64A2" w:rsidRPr="00922231" w:rsidRDefault="00FD64A2" w:rsidP="00922231">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E32CA86" id="_x0000_t202" coordsize="21600,21600" o:spt="202" path="m,l,21600r21600,l21600,xe">
                <v:stroke joinstyle="miter"/>
                <v:path gradientshapeok="t" o:connecttype="rect"/>
              </v:shapetype>
              <v:shape id="Text Box 25" o:spid="_x0000_s1026" type="#_x0000_t202" style="position:absolute;margin-left:211.8pt;margin-top:281.5pt;width:198.4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" filled="f" stroked="f" strokeweight=".5pt">
                <v:textbox>
                  <w:txbxContent>
                    <w:p w14:paraId="6796B216" w14:textId="1B3AD1A2" w:rsidR="00FD64A2" w:rsidRPr="00922231" w:rsidRDefault="00FD64A2" w:rsidP="00922231">
                      <w:pPr>
                        <w:spacing w:after="120"/>
                        <w:rPr>
                          <w:sz w:val="16"/>
                          <w:szCs w:val="16"/>
                          <w:u w:val="single"/>
                        </w:rPr>
                      </w:pPr>
                      <w:r w:rsidRPr="00922231">
                        <w:rPr>
                          <w:sz w:val="16"/>
                          <w:szCs w:val="16"/>
                          <w:u w:val="single"/>
                        </w:rPr>
                        <w:t>KEY</w:t>
                      </w:r>
                    </w:p>
                    <w:p w14:paraId="260CEE1E" w14:textId="53BCE2F6" w:rsidR="00FD64A2" w:rsidRDefault="00FD64A2" w:rsidP="00922231">
                      <w:pPr>
                        <w:spacing w:after="0"/>
                        <w:rPr>
                          <w:sz w:val="16"/>
                          <w:szCs w:val="16"/>
                        </w:rPr>
                      </w:pPr>
                      <w:r w:rsidRPr="00922231">
                        <w:rPr>
                          <w:sz w:val="16"/>
                          <w:szCs w:val="16"/>
                        </w:rPr>
                        <w:t xml:space="preserve">FSS: </w:t>
                      </w:r>
                      <w:r w:rsidRPr="00922231">
                        <w:rPr>
                          <w:sz w:val="16"/>
                          <w:szCs w:val="16"/>
                        </w:rPr>
                        <w:t>Fixed</w:t>
                      </w:r>
                      <w:r>
                        <w:rPr>
                          <w:sz w:val="16"/>
                          <w:szCs w:val="16"/>
                        </w:rPr>
                        <w:t>-s</w:t>
                      </w:r>
                      <w:r w:rsidRPr="00922231">
                        <w:rPr>
                          <w:sz w:val="16"/>
                          <w:szCs w:val="16"/>
                        </w:rPr>
                        <w:t xml:space="preserve">atellite </w:t>
                      </w:r>
                      <w:r w:rsidR="00107352">
                        <w:rPr>
                          <w:sz w:val="16"/>
                          <w:szCs w:val="16"/>
                        </w:rPr>
                        <w:t>s</w:t>
                      </w:r>
                      <w:r w:rsidRPr="00922231">
                        <w:rPr>
                          <w:sz w:val="16"/>
                          <w:szCs w:val="16"/>
                        </w:rPr>
                        <w:t>ervice</w:t>
                      </w:r>
                    </w:p>
                    <w:p w14:paraId="2658AF8E" w14:textId="3F2B9CE3" w:rsidR="00FD64A2" w:rsidRDefault="00FD64A2" w:rsidP="00487408">
                      <w:pPr>
                        <w:spacing w:after="0"/>
                        <w:rPr>
                          <w:sz w:val="16"/>
                          <w:szCs w:val="16"/>
                        </w:rPr>
                      </w:pPr>
                      <w:r>
                        <w:rPr>
                          <w:sz w:val="16"/>
                          <w:szCs w:val="16"/>
                        </w:rPr>
                        <w:t>PTS: Public Telecommunication Service</w:t>
                      </w:r>
                    </w:p>
                    <w:p w14:paraId="2915A351" w14:textId="10CC6A7D" w:rsidR="00FD64A2" w:rsidRPr="00922231" w:rsidRDefault="00107352" w:rsidP="00487408">
                      <w:pPr>
                        <w:spacing w:after="0"/>
                        <w:rPr>
                          <w:sz w:val="16"/>
                          <w:szCs w:val="16"/>
                        </w:rPr>
                      </w:pPr>
                      <w:r>
                        <w:rPr>
                          <w:sz w:val="16"/>
                          <w:szCs w:val="16"/>
                        </w:rPr>
                        <w:t>PMP: Point-to-m</w:t>
                      </w:r>
                      <w:r w:rsidR="00FD64A2" w:rsidRPr="00922231">
                        <w:rPr>
                          <w:sz w:val="16"/>
                          <w:szCs w:val="16"/>
                        </w:rPr>
                        <w:t>ultipoint</w:t>
                      </w:r>
                    </w:p>
                    <w:p w14:paraId="57946810" w14:textId="0FBDF433" w:rsidR="00FD64A2" w:rsidRDefault="00107352" w:rsidP="00487408">
                      <w:pPr>
                        <w:spacing w:after="0"/>
                        <w:rPr>
                          <w:sz w:val="16"/>
                          <w:szCs w:val="16"/>
                        </w:rPr>
                      </w:pPr>
                      <w:r>
                        <w:rPr>
                          <w:sz w:val="16"/>
                          <w:szCs w:val="16"/>
                        </w:rPr>
                        <w:t>SL: Arrangements for spectrum l</w:t>
                      </w:r>
                      <w:r w:rsidR="00FD64A2" w:rsidRPr="00922231">
                        <w:rPr>
                          <w:sz w:val="16"/>
                          <w:szCs w:val="16"/>
                        </w:rPr>
                        <w:t>icensing in place</w:t>
                      </w:r>
                    </w:p>
                    <w:p w14:paraId="4BA92F02" w14:textId="42762164" w:rsidR="00FD64A2" w:rsidRPr="00922231" w:rsidRDefault="00107352" w:rsidP="00487408">
                      <w:pPr>
                        <w:spacing w:after="0"/>
                        <w:rPr>
                          <w:sz w:val="16"/>
                          <w:szCs w:val="16"/>
                        </w:rPr>
                      </w:pPr>
                      <w:r>
                        <w:rPr>
                          <w:sz w:val="16"/>
                          <w:szCs w:val="16"/>
                        </w:rPr>
                        <w:t>*Shaded area indicates the 3575–</w:t>
                      </w:r>
                      <w:r w:rsidR="00FD64A2">
                        <w:rPr>
                          <w:sz w:val="16"/>
                          <w:szCs w:val="16"/>
                        </w:rPr>
                        <w:t>3700 MHz band</w:t>
                      </w:r>
                    </w:p>
                    <w:p w14:paraId="1B21CA9C" w14:textId="77777777" w:rsidR="00FD64A2" w:rsidRPr="00922231" w:rsidRDefault="00FD64A2" w:rsidP="00922231">
                      <w:pPr>
                        <w:spacing w:after="0"/>
                        <w:rPr>
                          <w:sz w:val="16"/>
                          <w:szCs w:val="16"/>
                        </w:rPr>
                      </w:pPr>
                    </w:p>
                  </w:txbxContent>
                </v:textbox>
              </v:shape>
            </w:pict>
          </mc:Fallback>
        </mc:AlternateContent>
      </w:r>
      <w:r>
        <w:rPr>
          <w:noProof/>
        </w:rPr>
        <w:drawing>
          <wp:inline distT="0" distB="0" distL="0" distR="0" wp14:anchorId="4F9545A7" wp14:editId="0266F4C5">
            <wp:extent cx="4871085" cy="4597400"/>
            <wp:effectExtent l="0" t="0" r="5715" b="0"/>
            <wp:docPr id="26" name="Picture 26" descr="Diagram shows frequencies and uses." title="3.6 GHz band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71085" cy="4597400"/>
                    </a:xfrm>
                    <a:prstGeom prst="rect">
                      <a:avLst/>
                    </a:prstGeom>
                  </pic:spPr>
                </pic:pic>
              </a:graphicData>
            </a:graphic>
          </wp:inline>
        </w:drawing>
      </w:r>
    </w:p>
    <w:p w14:paraId="73CBB939" w14:textId="1F1E1D6F" w:rsidR="00CB1072" w:rsidRDefault="00CB1072" w:rsidP="00825C27">
      <w:pPr>
        <w:pStyle w:val="ACMASpaceaftertable"/>
      </w:pPr>
      <w:bookmarkStart w:id="101" w:name="_Ref458581852"/>
    </w:p>
    <w:bookmarkEnd w:id="101"/>
    <w:p w14:paraId="580525B7" w14:textId="475D8271" w:rsidR="008728BD" w:rsidRPr="00825C27" w:rsidRDefault="008728BD" w:rsidP="00825C27">
      <w:pPr>
        <w:pStyle w:val="BodySubHeader"/>
      </w:pPr>
      <w:r w:rsidRPr="00825C27">
        <w:t xml:space="preserve">Fixed </w:t>
      </w:r>
      <w:r w:rsidR="002A0304">
        <w:t>s</w:t>
      </w:r>
      <w:r w:rsidRPr="00825C27">
        <w:t>ervice</w:t>
      </w:r>
    </w:p>
    <w:p w14:paraId="7DC499AF" w14:textId="547F5331" w:rsidR="00901AC8" w:rsidRDefault="00901AC8" w:rsidP="00825C27">
      <w:r>
        <w:t xml:space="preserve">There is currently an embargo in the 3.6 GHz band that has been in place since 2005. This embargo restricts any new point-to-point licences being issued in the band on an Australia-wide basis. </w:t>
      </w:r>
      <w:r w:rsidR="008728BD" w:rsidRPr="000E0AA2">
        <w:t xml:space="preserve">Due to the embargo, point-to-point </w:t>
      </w:r>
      <w:r>
        <w:t xml:space="preserve">link </w:t>
      </w:r>
      <w:r w:rsidR="008728BD" w:rsidRPr="000E0AA2">
        <w:t>use has steadily declined since 2005</w:t>
      </w:r>
      <w:r>
        <w:t xml:space="preserve">. </w:t>
      </w:r>
    </w:p>
    <w:p w14:paraId="5884C481" w14:textId="69620523" w:rsidR="008728BD" w:rsidRDefault="00901AC8" w:rsidP="00825C27">
      <w:r>
        <w:t>The embargo does not restrict new point-to-multipoint licences being issue</w:t>
      </w:r>
      <w:r w:rsidR="00E43EA5">
        <w:t>d</w:t>
      </w:r>
      <w:r>
        <w:t xml:space="preserve"> in regional and remote areas. As a result</w:t>
      </w:r>
      <w:r w:rsidR="002A0304">
        <w:t>,</w:t>
      </w:r>
      <w:r w:rsidR="008728BD">
        <w:t xml:space="preserve"> point-to-multipoint </w:t>
      </w:r>
      <w:r>
        <w:t xml:space="preserve">use of the 3.6 GHz band, which can be </w:t>
      </w:r>
      <w:r w:rsidR="00B7724F">
        <w:t>considered to be a form of</w:t>
      </w:r>
      <w:r w:rsidR="008728BD">
        <w:t xml:space="preserve"> </w:t>
      </w:r>
      <w:r w:rsidR="005A21F6">
        <w:t>MBB</w:t>
      </w:r>
      <w:r w:rsidR="008728BD">
        <w:t xml:space="preserve"> service</w:t>
      </w:r>
      <w:r>
        <w:t>, has</w:t>
      </w:r>
      <w:r w:rsidR="008728BD">
        <w:t xml:space="preserve"> steadily increased</w:t>
      </w:r>
      <w:r>
        <w:t xml:space="preserve"> over time</w:t>
      </w:r>
      <w:r w:rsidR="008728BD" w:rsidRPr="000E0AA2">
        <w:t>.</w:t>
      </w:r>
      <w:r w:rsidR="008728BD">
        <w:t xml:space="preserve"> </w:t>
      </w:r>
      <w:r w:rsidR="004F249C">
        <w:t>Currently</w:t>
      </w:r>
      <w:r w:rsidR="002A0304">
        <w:t>,</w:t>
      </w:r>
      <w:r w:rsidR="004F249C">
        <w:t xml:space="preserve"> access to capital cities (except Hobart) is embargoed</w:t>
      </w:r>
      <w:r>
        <w:t xml:space="preserve"> for point-to-multipoint services</w:t>
      </w:r>
      <w:r w:rsidR="004F249C">
        <w:t>.</w:t>
      </w:r>
    </w:p>
    <w:p w14:paraId="78737FB2" w14:textId="78478E9B" w:rsidR="008728BD" w:rsidRDefault="00CF61F0" w:rsidP="00825C27">
      <w:r>
        <w:t xml:space="preserve">Relatively speaking, the arrangements in regional and remote areas of Australia for </w:t>
      </w:r>
      <w:r w:rsidR="005A21F6">
        <w:t>MBB</w:t>
      </w:r>
      <w:r>
        <w:t xml:space="preserve"> services</w:t>
      </w:r>
      <w:r w:rsidR="00901AC8">
        <w:t xml:space="preserve"> (</w:t>
      </w:r>
      <w:r w:rsidR="002A0304">
        <w:t>that is,</w:t>
      </w:r>
      <w:r w:rsidR="00901AC8">
        <w:t xml:space="preserve"> point-to-multipoint services)</w:t>
      </w:r>
      <w:r w:rsidR="00E43EA5">
        <w:t xml:space="preserve"> are reasonably new, since they </w:t>
      </w:r>
      <w:r w:rsidR="00901AC8">
        <w:t>have only been in place since 2009</w:t>
      </w:r>
      <w:r>
        <w:t xml:space="preserve">. </w:t>
      </w:r>
      <w:r w:rsidR="008728BD">
        <w:t xml:space="preserve">Interest in ongoing access to the 3.6 GHz band by new and </w:t>
      </w:r>
      <w:r w:rsidR="00FB1053">
        <w:t>incumbent</w:t>
      </w:r>
      <w:r w:rsidR="008728BD">
        <w:t xml:space="preserve"> </w:t>
      </w:r>
      <w:r w:rsidR="007E30E2">
        <w:t>licensees</w:t>
      </w:r>
      <w:r w:rsidR="008728BD">
        <w:t xml:space="preserve"> is </w:t>
      </w:r>
      <w:r w:rsidR="008C74BC">
        <w:t xml:space="preserve">therefore </w:t>
      </w:r>
      <w:r w:rsidR="00E43EA5">
        <w:t>considered very likely</w:t>
      </w:r>
      <w:r w:rsidR="008728BD">
        <w:t>.</w:t>
      </w:r>
      <w:r>
        <w:t xml:space="preserve"> </w:t>
      </w:r>
    </w:p>
    <w:p w14:paraId="171BB06F" w14:textId="77777777" w:rsidR="002E5C39" w:rsidRDefault="002E5C39" w:rsidP="00825C27">
      <w:pPr>
        <w:spacing w:after="80"/>
      </w:pPr>
      <w:r>
        <w:t>The ACMA has developed the following frequency assignment instructions for fixed services operating in the 3.6 GHz band:</w:t>
      </w:r>
    </w:p>
    <w:p w14:paraId="1AC044F2" w14:textId="3C301BFC" w:rsidR="002E5C39" w:rsidRDefault="00C23324" w:rsidP="00825C27">
      <w:pPr>
        <w:pStyle w:val="ListBullet"/>
        <w:rPr>
          <w:rFonts w:cs="Arial"/>
        </w:rPr>
      </w:pPr>
      <w:hyperlink r:id="rId60" w:history="1">
        <w:r w:rsidR="002E5C39" w:rsidRPr="00C80CF9">
          <w:rPr>
            <w:rStyle w:val="Hyperlink"/>
          </w:rPr>
          <w:t xml:space="preserve">RALI FX3 </w:t>
        </w:r>
        <w:r w:rsidR="00C80CF9" w:rsidRPr="00C80CF9">
          <w:rPr>
            <w:rStyle w:val="Hyperlink"/>
            <w:i/>
          </w:rPr>
          <w:t>Microwave fixed services frequency coordination</w:t>
        </w:r>
      </w:hyperlink>
      <w:r w:rsidR="00951AD6">
        <w:rPr>
          <w:rStyle w:val="Hyperlink"/>
          <w:i/>
        </w:rPr>
        <w:t>;</w:t>
      </w:r>
    </w:p>
    <w:p w14:paraId="38689888" w14:textId="0DDE83DB" w:rsidR="002E5C39" w:rsidRPr="00C80CF9" w:rsidRDefault="00C23324" w:rsidP="00825C27">
      <w:pPr>
        <w:pStyle w:val="ListBulletLast"/>
      </w:pPr>
      <w:hyperlink r:id="rId61" w:history="1">
        <w:r w:rsidR="002E5C39" w:rsidRPr="00C80CF9">
          <w:rPr>
            <w:rStyle w:val="Hyperlink"/>
          </w:rPr>
          <w:t>RALI FX19</w:t>
        </w:r>
        <w:r w:rsidR="00C80CF9" w:rsidRPr="00C80CF9">
          <w:rPr>
            <w:rStyle w:val="Hyperlink"/>
          </w:rPr>
          <w:t xml:space="preserve"> </w:t>
        </w:r>
        <w:r w:rsidR="00C80CF9" w:rsidRPr="00D43B35">
          <w:rPr>
            <w:rStyle w:val="Hyperlink"/>
            <w:i/>
          </w:rPr>
          <w:t>Frequency Coordination and Licensing Procedures for apparatus licensed Broadband Wireless Access Services in the 1900</w:t>
        </w:r>
        <w:r w:rsidR="002A0304">
          <w:rPr>
            <w:rStyle w:val="Hyperlink"/>
            <w:i/>
          </w:rPr>
          <w:t>–</w:t>
        </w:r>
        <w:r w:rsidR="00C80CF9" w:rsidRPr="00D43B35">
          <w:rPr>
            <w:rStyle w:val="Hyperlink"/>
            <w:i/>
          </w:rPr>
          <w:t>1920 and 3575</w:t>
        </w:r>
        <w:r w:rsidR="002A0304">
          <w:rPr>
            <w:rStyle w:val="Hyperlink"/>
            <w:i/>
          </w:rPr>
          <w:t>–</w:t>
        </w:r>
        <w:r w:rsidR="00C80CF9" w:rsidRPr="00D43B35">
          <w:rPr>
            <w:rStyle w:val="Hyperlink"/>
            <w:i/>
          </w:rPr>
          <w:t>3700 MHz bands</w:t>
        </w:r>
      </w:hyperlink>
      <w:r w:rsidR="00951AD6">
        <w:rPr>
          <w:rStyle w:val="Hyperlink"/>
        </w:rPr>
        <w:t>.</w:t>
      </w:r>
    </w:p>
    <w:p w14:paraId="01F6D304" w14:textId="054DFCD5" w:rsidR="008728BD" w:rsidRPr="00825C27" w:rsidRDefault="00635874" w:rsidP="00825C27">
      <w:pPr>
        <w:pStyle w:val="BodySubHeader"/>
      </w:pPr>
      <w:r w:rsidRPr="00825C27">
        <w:t>Fixed</w:t>
      </w:r>
      <w:r w:rsidR="005078ED">
        <w:t>-</w:t>
      </w:r>
      <w:r w:rsidR="002A0304">
        <w:t>s</w:t>
      </w:r>
      <w:r w:rsidRPr="00825C27">
        <w:t xml:space="preserve">atellite </w:t>
      </w:r>
      <w:r w:rsidR="002A0304">
        <w:t>s</w:t>
      </w:r>
      <w:r w:rsidRPr="00825C27">
        <w:t>ervice (</w:t>
      </w:r>
      <w:r w:rsidR="008728BD" w:rsidRPr="00825C27">
        <w:t>FSS</w:t>
      </w:r>
      <w:r w:rsidRPr="00825C27">
        <w:t>)</w:t>
      </w:r>
    </w:p>
    <w:p w14:paraId="750A03F6" w14:textId="78840484" w:rsidR="008728BD" w:rsidRDefault="007E30E2" w:rsidP="00825C27">
      <w:r>
        <w:t>In Australia</w:t>
      </w:r>
      <w:r w:rsidR="002A0304">
        <w:t>,</w:t>
      </w:r>
      <w:r>
        <w:t xml:space="preserve"> </w:t>
      </w:r>
      <w:r w:rsidR="008728BD">
        <w:t>FSS usage of the 3600</w:t>
      </w:r>
      <w:r w:rsidR="002A0304">
        <w:t>–</w:t>
      </w:r>
      <w:r w:rsidR="008728BD">
        <w:t>4200 MHz frequency range is on a primary basis, while use of the 3400</w:t>
      </w:r>
      <w:r w:rsidR="002A0304">
        <w:t>–</w:t>
      </w:r>
      <w:r w:rsidR="008728BD">
        <w:t xml:space="preserve">3600 MHz frequency range is on a secondary basis. </w:t>
      </w:r>
    </w:p>
    <w:p w14:paraId="1C46E776" w14:textId="7BAE44B2" w:rsidR="008728BD" w:rsidRDefault="008728BD" w:rsidP="00825C27">
      <w:r>
        <w:t>Traditionally</w:t>
      </w:r>
      <w:r w:rsidR="00951AD6">
        <w:t>,</w:t>
      </w:r>
      <w:r>
        <w:t xml:space="preserve"> a majority of FSS use has been in the 3700</w:t>
      </w:r>
      <w:r w:rsidR="002A0304">
        <w:t>–</w:t>
      </w:r>
      <w:r>
        <w:t>4200 MHz frequency range (also known as the standard C-band). This</w:t>
      </w:r>
      <w:r w:rsidR="00951AD6">
        <w:t>,</w:t>
      </w:r>
      <w:r>
        <w:t xml:space="preserve"> in combination with the embargo</w:t>
      </w:r>
      <w:r w:rsidR="00E43EA5">
        <w:t xml:space="preserve"> in the band</w:t>
      </w:r>
      <w:r>
        <w:t>, means there are relatively few licen</w:t>
      </w:r>
      <w:r w:rsidR="009E4748">
        <w:t>s</w:t>
      </w:r>
      <w:r>
        <w:t>ed FSS Earth stations in the 3.6 GHz band. Of particular note are the services located in the Belrose/Oxford Falls area in Sydney</w:t>
      </w:r>
      <w:r w:rsidR="002A0304">
        <w:t>,</w:t>
      </w:r>
      <w:r>
        <w:t xml:space="preserve"> as well as Lonsdale and Lockridge in Perth. </w:t>
      </w:r>
    </w:p>
    <w:p w14:paraId="672A646B" w14:textId="46A94A0F" w:rsidR="008728BD" w:rsidRPr="000E0AA2" w:rsidRDefault="008728BD" w:rsidP="00825C27">
      <w:r>
        <w:t>Interest in ongoing access to the 3.6 GHz band by new and existing FSS systems is expected into the future.</w:t>
      </w:r>
      <w:r w:rsidR="002F01B7">
        <w:t xml:space="preserve"> </w:t>
      </w:r>
    </w:p>
    <w:p w14:paraId="605B52CE" w14:textId="77777777" w:rsidR="008728BD" w:rsidRPr="00825C27" w:rsidRDefault="008728BD" w:rsidP="00825C27">
      <w:pPr>
        <w:pStyle w:val="BodySubHeader"/>
      </w:pPr>
      <w:r w:rsidRPr="00825C27">
        <w:t>Amateur</w:t>
      </w:r>
    </w:p>
    <w:p w14:paraId="2A84A54B" w14:textId="77777777" w:rsidR="008728BD" w:rsidRPr="00D51C3B" w:rsidRDefault="008728BD" w:rsidP="00825C27">
      <w:r>
        <w:t xml:space="preserve">Amateur use of the band is comparatively lower than other services. It is currently limited to two locations, one in Adelaide and one in Sydney. Amateur use of the band is on a secondary basis and in accordance with the </w:t>
      </w:r>
      <w:hyperlink r:id="rId62" w:history="1">
        <w:r w:rsidRPr="00D51C3B">
          <w:rPr>
            <w:rStyle w:val="Hyperlink"/>
            <w:rFonts w:cs="Arial"/>
            <w:i/>
          </w:rPr>
          <w:t>Australian Amateur Band Plan</w:t>
        </w:r>
      </w:hyperlink>
      <w:r>
        <w:t>.</w:t>
      </w:r>
    </w:p>
    <w:p w14:paraId="3DC5FCC5" w14:textId="77777777" w:rsidR="008728BD" w:rsidRPr="00825C27" w:rsidRDefault="008728BD" w:rsidP="00825C27">
      <w:pPr>
        <w:pStyle w:val="BodySubHeader"/>
      </w:pPr>
      <w:r w:rsidRPr="00825C27">
        <w:t>Radiolocation</w:t>
      </w:r>
    </w:p>
    <w:p w14:paraId="6F7EF931" w14:textId="594157C3" w:rsidR="008728BD" w:rsidRDefault="00DC2A7D" w:rsidP="008728BD">
      <w:pPr>
        <w:spacing w:after="120"/>
        <w:rPr>
          <w:rFonts w:cs="Arial"/>
        </w:rPr>
      </w:pPr>
      <w:r w:rsidRPr="00DC2A7D">
        <w:rPr>
          <w:rFonts w:cs="Arial"/>
        </w:rPr>
        <w:t>There is a p</w:t>
      </w:r>
      <w:r w:rsidR="008728BD" w:rsidRPr="00DC2A7D">
        <w:rPr>
          <w:rFonts w:cs="Arial"/>
        </w:rPr>
        <w:t>rimary allocation</w:t>
      </w:r>
      <w:r w:rsidRPr="00DC2A7D">
        <w:rPr>
          <w:rFonts w:cs="Arial"/>
        </w:rPr>
        <w:t xml:space="preserve"> to the </w:t>
      </w:r>
      <w:r w:rsidR="002A0304">
        <w:rPr>
          <w:rFonts w:cs="Arial"/>
        </w:rPr>
        <w:t>r</w:t>
      </w:r>
      <w:r w:rsidRPr="00DC2A7D">
        <w:rPr>
          <w:rFonts w:cs="Arial"/>
        </w:rPr>
        <w:t>adiolocation service in Australia</w:t>
      </w:r>
      <w:r w:rsidR="008728BD" w:rsidRPr="00DC2A7D">
        <w:rPr>
          <w:rFonts w:cs="Arial"/>
        </w:rPr>
        <w:t>.</w:t>
      </w:r>
      <w:r w:rsidRPr="00DC2A7D">
        <w:rPr>
          <w:rFonts w:cs="Arial"/>
        </w:rPr>
        <w:t xml:space="preserve"> Currently there are only licences in the </w:t>
      </w:r>
      <w:r w:rsidR="008728BD" w:rsidRPr="00DC2A7D">
        <w:rPr>
          <w:rFonts w:cs="Arial"/>
        </w:rPr>
        <w:t>3400</w:t>
      </w:r>
      <w:r w:rsidR="00273377">
        <w:rPr>
          <w:rFonts w:cs="Arial"/>
        </w:rPr>
        <w:t>–</w:t>
      </w:r>
      <w:r w:rsidR="008728BD" w:rsidRPr="00DC2A7D">
        <w:rPr>
          <w:rFonts w:cs="Arial"/>
        </w:rPr>
        <w:t>3500 MHz</w:t>
      </w:r>
      <w:r w:rsidRPr="00DC2A7D">
        <w:rPr>
          <w:rFonts w:cs="Arial"/>
        </w:rPr>
        <w:t xml:space="preserve"> frequency range</w:t>
      </w:r>
      <w:r w:rsidR="008728BD" w:rsidRPr="00DC2A7D">
        <w:rPr>
          <w:rFonts w:cs="Arial"/>
        </w:rPr>
        <w:t xml:space="preserve">. </w:t>
      </w:r>
    </w:p>
    <w:p w14:paraId="40B2F596" w14:textId="247DF8F2" w:rsidR="00B403E8" w:rsidRPr="00825C27" w:rsidRDefault="00492CF6" w:rsidP="00825C27">
      <w:pPr>
        <w:pStyle w:val="BodySubHeader"/>
      </w:pPr>
      <w:r w:rsidRPr="00825C27">
        <w:t xml:space="preserve">Low </w:t>
      </w:r>
      <w:r w:rsidR="00273377">
        <w:t>i</w:t>
      </w:r>
      <w:r w:rsidRPr="00825C27">
        <w:t xml:space="preserve">nterference </w:t>
      </w:r>
      <w:r w:rsidR="00273377">
        <w:t>p</w:t>
      </w:r>
      <w:r w:rsidRPr="00825C27">
        <w:t xml:space="preserve">otential </w:t>
      </w:r>
      <w:r w:rsidR="00273377">
        <w:t>d</w:t>
      </w:r>
      <w:r w:rsidRPr="00825C27">
        <w:t>evices</w:t>
      </w:r>
    </w:p>
    <w:p w14:paraId="0DD9807F" w14:textId="21043453" w:rsidR="00492CF6" w:rsidRDefault="00492CF6" w:rsidP="00825C27">
      <w:pPr>
        <w:spacing w:after="80"/>
      </w:pPr>
      <w:r w:rsidRPr="004045F8">
        <w:t xml:space="preserve">The </w:t>
      </w:r>
      <w:hyperlink r:id="rId63" w:history="1">
        <w:r w:rsidRPr="005078ED">
          <w:rPr>
            <w:rStyle w:val="Hyperlink"/>
          </w:rPr>
          <w:t>Radiocommunications (Low Interference Potential Devices) Class Licence 2015</w:t>
        </w:r>
      </w:hyperlink>
      <w:r w:rsidRPr="00492CF6">
        <w:t xml:space="preserve"> defines arrangements for the following devices to operate across the 3.6 GHz band:</w:t>
      </w:r>
    </w:p>
    <w:p w14:paraId="33ACCCE1" w14:textId="5D8DCB8D" w:rsidR="00492CF6" w:rsidRDefault="00273377" w:rsidP="00825C27">
      <w:pPr>
        <w:pStyle w:val="ListBullet"/>
      </w:pPr>
      <w:r>
        <w:t>b</w:t>
      </w:r>
      <w:r w:rsidR="00492CF6" w:rsidRPr="004045F8">
        <w:t>uilding material analysis transmitters</w:t>
      </w:r>
      <w:r w:rsidR="00272E21">
        <w:t xml:space="preserve"> operating</w:t>
      </w:r>
      <w:r w:rsidR="00492CF6" w:rsidRPr="004045F8">
        <w:t xml:space="preserve"> </w:t>
      </w:r>
      <w:r w:rsidR="00492CF6">
        <w:t xml:space="preserve">in the </w:t>
      </w:r>
      <w:r w:rsidR="00492CF6" w:rsidRPr="004045F8">
        <w:t>2200</w:t>
      </w:r>
      <w:r>
        <w:t>–</w:t>
      </w:r>
      <w:r w:rsidR="00492CF6" w:rsidRPr="004045F8">
        <w:t>8500 MHz</w:t>
      </w:r>
      <w:r w:rsidR="00492CF6">
        <w:t xml:space="preserve"> frequency range</w:t>
      </w:r>
      <w:r w:rsidR="00492CF6" w:rsidRPr="004045F8">
        <w:t xml:space="preserve"> </w:t>
      </w:r>
    </w:p>
    <w:p w14:paraId="1C7F30D5" w14:textId="1AABC02D" w:rsidR="00492CF6" w:rsidRDefault="00273377" w:rsidP="00825C27">
      <w:pPr>
        <w:pStyle w:val="ListBulletLast"/>
      </w:pPr>
      <w:r>
        <w:t>u</w:t>
      </w:r>
      <w:r w:rsidR="00492CF6" w:rsidRPr="00492CF6">
        <w:t xml:space="preserve">ltra-wideband transmitters </w:t>
      </w:r>
      <w:r w:rsidR="00272E21">
        <w:t xml:space="preserve">operating </w:t>
      </w:r>
      <w:r w:rsidR="00492CF6">
        <w:t xml:space="preserve">in the </w:t>
      </w:r>
      <w:r w:rsidR="00492CF6" w:rsidRPr="00492CF6">
        <w:t>3400</w:t>
      </w:r>
      <w:r>
        <w:t>–</w:t>
      </w:r>
      <w:r w:rsidR="00492CF6" w:rsidRPr="00492CF6">
        <w:t>4800 MHz</w:t>
      </w:r>
      <w:r w:rsidR="00272E21">
        <w:t xml:space="preserve"> frequency range</w:t>
      </w:r>
      <w:r w:rsidR="00492CF6">
        <w:t>.</w:t>
      </w:r>
    </w:p>
    <w:p w14:paraId="3C49957F" w14:textId="298E3F15" w:rsidR="001E16E2" w:rsidRPr="00825C27" w:rsidRDefault="001E16E2" w:rsidP="00825C27">
      <w:pPr>
        <w:pStyle w:val="BodySubHeader"/>
      </w:pPr>
      <w:r w:rsidRPr="00825C27">
        <w:t>C-</w:t>
      </w:r>
      <w:r w:rsidR="00273377">
        <w:t>b</w:t>
      </w:r>
      <w:r w:rsidRPr="00825C27">
        <w:t xml:space="preserve">and </w:t>
      </w:r>
      <w:r w:rsidR="00273377">
        <w:t>t</w:t>
      </w:r>
      <w:r w:rsidR="009B0B42" w:rsidRPr="00825C27">
        <w:t xml:space="preserve">elevision </w:t>
      </w:r>
      <w:r w:rsidR="00273377">
        <w:t>r</w:t>
      </w:r>
      <w:r w:rsidR="009B0B42" w:rsidRPr="00825C27">
        <w:t>eceive-</w:t>
      </w:r>
      <w:r w:rsidR="00273377">
        <w:t>o</w:t>
      </w:r>
      <w:r w:rsidR="009B0B42" w:rsidRPr="00825C27">
        <w:t>nly (</w:t>
      </w:r>
      <w:r w:rsidRPr="00825C27">
        <w:t>TVRO</w:t>
      </w:r>
      <w:r w:rsidR="009B0B42" w:rsidRPr="00825C27">
        <w:t>)</w:t>
      </w:r>
      <w:r w:rsidR="009B0B42" w:rsidRPr="005078ED">
        <w:rPr>
          <w:rStyle w:val="FootnoteReference"/>
        </w:rPr>
        <w:footnoteReference w:id="30"/>
      </w:r>
      <w:r w:rsidR="009B0B42" w:rsidRPr="00825C27">
        <w:t xml:space="preserve"> </w:t>
      </w:r>
      <w:r w:rsidR="00273377">
        <w:t>s</w:t>
      </w:r>
      <w:r w:rsidR="009B0B42" w:rsidRPr="00825C27">
        <w:t>ystems</w:t>
      </w:r>
      <w:r w:rsidRPr="00825C27">
        <w:t xml:space="preserve"> </w:t>
      </w:r>
    </w:p>
    <w:p w14:paraId="0033C655" w14:textId="5CDC77CD" w:rsidR="00055BC2" w:rsidRPr="001E57E7" w:rsidRDefault="009B0B42" w:rsidP="00825C27">
      <w:pPr>
        <w:rPr>
          <w:rFonts w:cs="Arial"/>
          <w:b/>
          <w:i/>
        </w:rPr>
      </w:pPr>
      <w:r>
        <w:t>In</w:t>
      </w:r>
      <w:r w:rsidR="00954022">
        <w:t xml:space="preserve"> previous ACMA consultation</w:t>
      </w:r>
      <w:r>
        <w:t xml:space="preserve"> processes</w:t>
      </w:r>
      <w:r w:rsidR="00954022">
        <w:t xml:space="preserve">, it </w:t>
      </w:r>
      <w:r>
        <w:t>w</w:t>
      </w:r>
      <w:r w:rsidR="00954022">
        <w:t xml:space="preserve">as identified that there are unlicensed </w:t>
      </w:r>
      <w:r>
        <w:t xml:space="preserve">TVROs </w:t>
      </w:r>
      <w:r w:rsidR="00954022">
        <w:t>operating in the 3400</w:t>
      </w:r>
      <w:r w:rsidR="00273377">
        <w:t>–</w:t>
      </w:r>
      <w:r w:rsidR="00954022">
        <w:t>4200 MHz frequency range</w:t>
      </w:r>
      <w:r>
        <w:t xml:space="preserve"> in Australia</w:t>
      </w:r>
      <w:r w:rsidR="00954022">
        <w:t>.</w:t>
      </w:r>
      <w:r>
        <w:t xml:space="preserve"> These are typically used to obtain satellite television services meant for other countries. </w:t>
      </w:r>
      <w:r w:rsidR="00F44D9A">
        <w:t xml:space="preserve">In </w:t>
      </w:r>
      <w:r w:rsidR="00E43720">
        <w:t xml:space="preserve">response to </w:t>
      </w:r>
      <w:r w:rsidR="00F44D9A">
        <w:t>previous consultation</w:t>
      </w:r>
      <w:r w:rsidR="00E43720">
        <w:t>s</w:t>
      </w:r>
      <w:r w:rsidR="00273377">
        <w:t>,</w:t>
      </w:r>
      <w:r w:rsidR="00F44D9A">
        <w:t xml:space="preserve"> satellite industry representatives have suggested that there may be in the order of 200,000 TVROs </w:t>
      </w:r>
      <w:r w:rsidR="00BD154F">
        <w:t xml:space="preserve">operating in Australia. </w:t>
      </w:r>
      <w:r w:rsidR="007867CE">
        <w:t>TVROs operating in the 3400</w:t>
      </w:r>
      <w:r w:rsidR="00273377">
        <w:t>–</w:t>
      </w:r>
      <w:r w:rsidR="007867CE">
        <w:t xml:space="preserve">4200 MHz frequency range are </w:t>
      </w:r>
      <w:r w:rsidR="00E43720">
        <w:t>unlicensed</w:t>
      </w:r>
      <w:r w:rsidR="00273377">
        <w:t>,</w:t>
      </w:r>
      <w:r w:rsidR="00E43720">
        <w:t xml:space="preserve"> and as such</w:t>
      </w:r>
      <w:r w:rsidR="00273377">
        <w:t>,</w:t>
      </w:r>
      <w:r w:rsidR="00E43720">
        <w:t xml:space="preserve"> </w:t>
      </w:r>
      <w:r w:rsidR="00951AD6">
        <w:t xml:space="preserve">are </w:t>
      </w:r>
      <w:r w:rsidR="007867CE">
        <w:t>not afforded protection from interference in Australia.</w:t>
      </w:r>
      <w:r>
        <w:t xml:space="preserve"> </w:t>
      </w:r>
    </w:p>
    <w:p w14:paraId="460EB054" w14:textId="7EAC4A5D" w:rsidR="00352FCF" w:rsidRDefault="001E57E7" w:rsidP="00107352">
      <w:pPr>
        <w:pStyle w:val="ListParagraph"/>
        <w:numPr>
          <w:ilvl w:val="0"/>
          <w:numId w:val="19"/>
        </w:numPr>
        <w:shd w:val="clear" w:color="auto" w:fill="F2F2F2" w:themeFill="background1" w:themeFillShade="F2"/>
        <w:spacing w:after="240" w:line="240" w:lineRule="atLeast"/>
        <w:ind w:left="426" w:hanging="426"/>
        <w:contextualSpacing w:val="0"/>
      </w:pPr>
      <w:r w:rsidRPr="006D6661">
        <w:rPr>
          <w:b/>
        </w:rPr>
        <w:t xml:space="preserve"> The ACMA seeks comment on expected future use of the 3.6 GHz band by </w:t>
      </w:r>
      <w:r w:rsidR="00273377" w:rsidRPr="006D6661">
        <w:rPr>
          <w:b/>
        </w:rPr>
        <w:t>f</w:t>
      </w:r>
      <w:r w:rsidRPr="006D6661">
        <w:rPr>
          <w:b/>
        </w:rPr>
        <w:t xml:space="preserve">ixed, </w:t>
      </w:r>
      <w:r w:rsidR="00273377" w:rsidRPr="006D6661">
        <w:rPr>
          <w:b/>
        </w:rPr>
        <w:t>f</w:t>
      </w:r>
      <w:r w:rsidRPr="006D6661">
        <w:rPr>
          <w:b/>
        </w:rPr>
        <w:t>ixed</w:t>
      </w:r>
      <w:r w:rsidR="00EF776F">
        <w:rPr>
          <w:b/>
        </w:rPr>
        <w:t>-</w:t>
      </w:r>
      <w:r w:rsidR="00273377" w:rsidRPr="006D6661">
        <w:rPr>
          <w:b/>
        </w:rPr>
        <w:t>s</w:t>
      </w:r>
      <w:r w:rsidRPr="006D6661">
        <w:rPr>
          <w:b/>
        </w:rPr>
        <w:t xml:space="preserve">atellite, </w:t>
      </w:r>
      <w:r w:rsidR="00273377" w:rsidRPr="006D6661">
        <w:rPr>
          <w:b/>
        </w:rPr>
        <w:t>a</w:t>
      </w:r>
      <w:r w:rsidRPr="006D6661">
        <w:rPr>
          <w:b/>
        </w:rPr>
        <w:t xml:space="preserve">mateur and </w:t>
      </w:r>
      <w:r w:rsidR="00273377" w:rsidRPr="006D6661">
        <w:rPr>
          <w:b/>
        </w:rPr>
        <w:t>r</w:t>
      </w:r>
      <w:r w:rsidRPr="006D6661">
        <w:rPr>
          <w:b/>
        </w:rPr>
        <w:t>adiolocation services in Australia.</w:t>
      </w:r>
      <w:bookmarkStart w:id="102" w:name="_Toc459906737"/>
      <w:bookmarkStart w:id="103" w:name="_Toc464480529"/>
    </w:p>
    <w:p w14:paraId="55C9570B" w14:textId="0C257457" w:rsidR="00F23F68" w:rsidRPr="000D76E0" w:rsidRDefault="00F23F68" w:rsidP="00352FCF">
      <w:pPr>
        <w:pStyle w:val="Heading2"/>
        <w:keepLines/>
      </w:pPr>
      <w:r>
        <w:t xml:space="preserve">Initial investigation of the 3.6 GHz band for use by </w:t>
      </w:r>
      <w:r w:rsidR="005A21F6">
        <w:t>MBB</w:t>
      </w:r>
      <w:r>
        <w:t xml:space="preserve"> </w:t>
      </w:r>
      <w:r w:rsidRPr="00825C27">
        <w:t>services</w:t>
      </w:r>
      <w:bookmarkEnd w:id="102"/>
      <w:bookmarkEnd w:id="103"/>
    </w:p>
    <w:p w14:paraId="5AA54406" w14:textId="0041C2CA" w:rsidR="00361DB2" w:rsidRDefault="009A4A35" w:rsidP="00352FCF">
      <w:pPr>
        <w:keepNext/>
        <w:keepLines/>
        <w:spacing w:after="80"/>
        <w:rPr>
          <w:rFonts w:cs="Arial"/>
        </w:rPr>
      </w:pPr>
      <w:r>
        <w:rPr>
          <w:rFonts w:cs="Arial"/>
        </w:rPr>
        <w:t xml:space="preserve">The 3.6 GHz band is currently in the </w:t>
      </w:r>
      <w:r w:rsidR="00273377">
        <w:rPr>
          <w:rFonts w:cs="Arial"/>
          <w:i/>
        </w:rPr>
        <w:t>i</w:t>
      </w:r>
      <w:r>
        <w:rPr>
          <w:rFonts w:cs="Arial"/>
          <w:i/>
        </w:rPr>
        <w:t xml:space="preserve">nitial </w:t>
      </w:r>
      <w:r w:rsidR="00273377">
        <w:rPr>
          <w:rFonts w:cs="Arial"/>
          <w:i/>
        </w:rPr>
        <w:t>i</w:t>
      </w:r>
      <w:r>
        <w:rPr>
          <w:rFonts w:cs="Arial"/>
          <w:i/>
        </w:rPr>
        <w:t xml:space="preserve">nvestigation </w:t>
      </w:r>
      <w:r>
        <w:rPr>
          <w:rFonts w:cs="Arial"/>
        </w:rPr>
        <w:t xml:space="preserve">stage of the ACMA’s </w:t>
      </w:r>
      <w:hyperlink r:id="rId64" w:history="1">
        <w:r w:rsidRPr="00CB49DD">
          <w:rPr>
            <w:rStyle w:val="Hyperlink"/>
            <w:rFonts w:cs="Arial"/>
          </w:rPr>
          <w:t>mobile broadband strategy</w:t>
        </w:r>
      </w:hyperlink>
      <w:r w:rsidRPr="00337B1E">
        <w:rPr>
          <w:rFonts w:cs="Arial"/>
        </w:rPr>
        <w:t>. As part of the work conducted at this</w:t>
      </w:r>
      <w:r w:rsidRPr="00337B1E">
        <w:rPr>
          <w:rFonts w:cs="Arial"/>
          <w:i/>
        </w:rPr>
        <w:t xml:space="preserve"> </w:t>
      </w:r>
      <w:r w:rsidRPr="00337B1E">
        <w:rPr>
          <w:rFonts w:cs="Arial"/>
        </w:rPr>
        <w:t>stage, the ACMA</w:t>
      </w:r>
      <w:r w:rsidR="00B37092">
        <w:rPr>
          <w:rFonts w:cs="Arial"/>
        </w:rPr>
        <w:t xml:space="preserve"> conducts an i</w:t>
      </w:r>
      <w:r w:rsidR="00B37092" w:rsidRPr="00D60BD6">
        <w:rPr>
          <w:rFonts w:cs="Arial"/>
        </w:rPr>
        <w:t xml:space="preserve">nitial investigation and scoping of potential </w:t>
      </w:r>
      <w:r w:rsidR="00B37092" w:rsidRPr="00B37092">
        <w:rPr>
          <w:rFonts w:cs="Arial"/>
          <w:bCs/>
        </w:rPr>
        <w:t>options</w:t>
      </w:r>
      <w:r w:rsidR="00B37092" w:rsidRPr="00D60BD6">
        <w:rPr>
          <w:rFonts w:cs="Arial"/>
        </w:rPr>
        <w:t xml:space="preserve"> for</w:t>
      </w:r>
      <w:r w:rsidR="00576A53">
        <w:rPr>
          <w:rFonts w:cs="Arial"/>
        </w:rPr>
        <w:t xml:space="preserve"> domestic</w:t>
      </w:r>
      <w:r w:rsidR="00B37092" w:rsidRPr="00D60BD6">
        <w:rPr>
          <w:rFonts w:cs="Arial"/>
        </w:rPr>
        <w:t xml:space="preserve"> re-farming of a band</w:t>
      </w:r>
      <w:r w:rsidR="00B37092">
        <w:rPr>
          <w:rFonts w:cs="Arial"/>
        </w:rPr>
        <w:t xml:space="preserve">. </w:t>
      </w:r>
      <w:r w:rsidR="00E43720">
        <w:rPr>
          <w:rFonts w:cs="Arial"/>
        </w:rPr>
        <w:t>The outcomes of this work are presented in the following sections:</w:t>
      </w:r>
    </w:p>
    <w:p w14:paraId="5AD8657C" w14:textId="75DA739B" w:rsidR="00361DB2" w:rsidRPr="000E6E09" w:rsidRDefault="00361DB2" w:rsidP="00352FCF">
      <w:pPr>
        <w:pStyle w:val="ListBullet"/>
        <w:keepNext/>
        <w:keepLines/>
      </w:pPr>
      <w:r w:rsidRPr="00D94C1D">
        <w:t>Potential spe</w:t>
      </w:r>
      <w:r w:rsidRPr="000E6E09">
        <w:t>ctrum options</w:t>
      </w:r>
    </w:p>
    <w:p w14:paraId="3ABA3C22" w14:textId="5891F24D" w:rsidR="00361DB2" w:rsidRPr="000E6E09" w:rsidRDefault="00361DB2" w:rsidP="00352FCF">
      <w:pPr>
        <w:pStyle w:val="ListBullet"/>
        <w:keepNext/>
        <w:keepLines/>
      </w:pPr>
      <w:r w:rsidRPr="000E6E09">
        <w:t>Potential geographic options</w:t>
      </w:r>
    </w:p>
    <w:p w14:paraId="15A1C862" w14:textId="720958E6" w:rsidR="00361DB2" w:rsidRPr="00102B5E" w:rsidRDefault="00361DB2" w:rsidP="00352FCF">
      <w:pPr>
        <w:pStyle w:val="ListBullet"/>
        <w:keepNext/>
        <w:keepLines/>
      </w:pPr>
      <w:r w:rsidRPr="000E6E09">
        <w:t>Coexistence and sharing</w:t>
      </w:r>
      <w:r w:rsidR="00255102" w:rsidRPr="000E6E09">
        <w:t xml:space="preserve"> issues with </w:t>
      </w:r>
      <w:r w:rsidR="00FB1053">
        <w:t>incumbent</w:t>
      </w:r>
      <w:r w:rsidR="00255102" w:rsidRPr="000E6E09">
        <w:t xml:space="preserve"> services</w:t>
      </w:r>
    </w:p>
    <w:p w14:paraId="7F55DDA6" w14:textId="6BA46317" w:rsidR="003F3754" w:rsidRDefault="00255102" w:rsidP="00352FCF">
      <w:pPr>
        <w:pStyle w:val="ListBulletLast"/>
        <w:keepNext/>
        <w:keepLines/>
      </w:pPr>
      <w:r w:rsidRPr="00FC77B8">
        <w:t>Optimising use of the 3400</w:t>
      </w:r>
      <w:r w:rsidR="00273377">
        <w:t>–</w:t>
      </w:r>
      <w:r w:rsidRPr="00FC77B8">
        <w:t>3700 MHz band.</w:t>
      </w:r>
      <w:bookmarkStart w:id="104" w:name="_Toc459906738"/>
    </w:p>
    <w:p w14:paraId="18F2B869" w14:textId="3495B62A" w:rsidR="00F23F68" w:rsidRDefault="00F23F68" w:rsidP="00825C27">
      <w:pPr>
        <w:pStyle w:val="Heading3"/>
      </w:pPr>
      <w:bookmarkStart w:id="105" w:name="_Toc464480530"/>
      <w:r>
        <w:t xml:space="preserve">Potential </w:t>
      </w:r>
      <w:r w:rsidRPr="00825C27">
        <w:t>spectrum</w:t>
      </w:r>
      <w:r>
        <w:t xml:space="preserve"> options</w:t>
      </w:r>
      <w:bookmarkEnd w:id="104"/>
      <w:bookmarkEnd w:id="105"/>
    </w:p>
    <w:p w14:paraId="68C67FED" w14:textId="1C7A6D28" w:rsidR="00DA1C29" w:rsidRPr="00DA1C29" w:rsidRDefault="00337860" w:rsidP="00825C27">
      <w:pPr>
        <w:rPr>
          <w:b/>
          <w:i/>
        </w:rPr>
      </w:pPr>
      <w:r>
        <w:t xml:space="preserve">If the 3.6 GHz band is to be </w:t>
      </w:r>
      <w:r w:rsidR="00EF6AAD">
        <w:t xml:space="preserve">re-farmed </w:t>
      </w:r>
      <w:r>
        <w:t xml:space="preserve">for </w:t>
      </w:r>
      <w:r w:rsidR="005A21F6">
        <w:t>MBB</w:t>
      </w:r>
      <w:r>
        <w:t xml:space="preserve"> services, the type of spectrum arrangements to implement need to be considered.</w:t>
      </w:r>
    </w:p>
    <w:p w14:paraId="03D8670E" w14:textId="1120D189" w:rsidR="00DA1C29" w:rsidRDefault="00DA1C29" w:rsidP="00825C27">
      <w:r w:rsidRPr="00DA1C29">
        <w:t>3GPP has identified the 3400</w:t>
      </w:r>
      <w:r w:rsidR="00273377">
        <w:t>–</w:t>
      </w:r>
      <w:r w:rsidRPr="00DA1C29">
        <w:t>3600 MHz (band</w:t>
      </w:r>
      <w:r w:rsidR="00951AD6">
        <w:t>s</w:t>
      </w:r>
      <w:r w:rsidRPr="00DA1C29">
        <w:t xml:space="preserve"> </w:t>
      </w:r>
      <w:r w:rsidR="00AA2EF1">
        <w:t xml:space="preserve">22 </w:t>
      </w:r>
      <w:r w:rsidR="00273377">
        <w:t>and</w:t>
      </w:r>
      <w:r w:rsidR="00AA2EF1">
        <w:t xml:space="preserve"> </w:t>
      </w:r>
      <w:r w:rsidRPr="00DA1C29">
        <w:t>42) and 3600</w:t>
      </w:r>
      <w:r w:rsidR="00273377">
        <w:t>–</w:t>
      </w:r>
      <w:r>
        <w:t>3800 MHz (band 43) frequency ranges as profile bands for LTE.</w:t>
      </w:r>
      <w:r>
        <w:rPr>
          <w:rStyle w:val="FootnoteReference"/>
          <w:rFonts w:cs="Arial"/>
        </w:rPr>
        <w:footnoteReference w:id="31"/>
      </w:r>
      <w:r>
        <w:t xml:space="preserve"> Both TDD and FDD arrangements are defined for the 3400</w:t>
      </w:r>
      <w:r w:rsidR="00273377">
        <w:t>–</w:t>
      </w:r>
      <w:r>
        <w:t>3600 MHz band. However, only TDD arrangements are defined for the 3600</w:t>
      </w:r>
      <w:r w:rsidR="00273377">
        <w:t>–</w:t>
      </w:r>
      <w:r>
        <w:t>3800 MHz band. Discussions are also currently underway on whether a new TDD band in the 3550</w:t>
      </w:r>
      <w:r w:rsidR="00273377">
        <w:t>–</w:t>
      </w:r>
      <w:r>
        <w:t>3700 MHz frequency range will be developed.</w:t>
      </w:r>
    </w:p>
    <w:p w14:paraId="104E3DF6" w14:textId="0ADC2E4D" w:rsidR="00AA2EF1" w:rsidRDefault="00DA1C29" w:rsidP="00825C27">
      <w:r>
        <w:t>The ACMA has already implemented TDD arrangements in spectrum</w:t>
      </w:r>
      <w:r w:rsidR="00273377">
        <w:t>-</w:t>
      </w:r>
      <w:r>
        <w:t xml:space="preserve"> and apparatus</w:t>
      </w:r>
      <w:r w:rsidR="00273377">
        <w:t>-</w:t>
      </w:r>
      <w:r>
        <w:t>licensed segments of the 3400</w:t>
      </w:r>
      <w:r w:rsidR="00273377">
        <w:t>–</w:t>
      </w:r>
      <w:r>
        <w:t>3575 MHz frequency range</w:t>
      </w:r>
      <w:r w:rsidR="00273377">
        <w:t>,</w:t>
      </w:r>
      <w:r w:rsidR="00F51F6B">
        <w:t xml:space="preserve"> and in regional and remote areas of the 3.6 GHz band</w:t>
      </w:r>
      <w:r>
        <w:t>. Although there are FDD arrangements defined for the 3425</w:t>
      </w:r>
      <w:r w:rsidR="00273377">
        <w:t>–</w:t>
      </w:r>
      <w:r>
        <w:t>3442.5/3575</w:t>
      </w:r>
      <w:r w:rsidR="00273377">
        <w:t>–</w:t>
      </w:r>
      <w:r>
        <w:t>3492.5 MHz frequency range</w:t>
      </w:r>
      <w:r w:rsidR="00273377">
        <w:t>s</w:t>
      </w:r>
      <w:r>
        <w:t xml:space="preserve">, </w:t>
      </w:r>
      <w:r w:rsidR="00512B97">
        <w:t xml:space="preserve">these were </w:t>
      </w:r>
      <w:r>
        <w:t xml:space="preserve">developed for legacy </w:t>
      </w:r>
      <w:r w:rsidR="00512B97">
        <w:t>technologies</w:t>
      </w:r>
      <w:r>
        <w:t xml:space="preserve"> and no longer align with international standards. </w:t>
      </w:r>
    </w:p>
    <w:p w14:paraId="14C14ECC" w14:textId="14AD0488" w:rsidR="00DA1C29" w:rsidRDefault="00DA1C29" w:rsidP="00DA1C29">
      <w:r>
        <w:t>Due to existing spectrum and apparatus licence arrangements in the 3400</w:t>
      </w:r>
      <w:r w:rsidR="00273377">
        <w:t>–</w:t>
      </w:r>
      <w:r>
        <w:t xml:space="preserve">3600 MHz band (refer to </w:t>
      </w:r>
      <w:r w:rsidRPr="00337860">
        <w:fldChar w:fldCharType="begin"/>
      </w:r>
      <w:r w:rsidRPr="00337860">
        <w:instrText xml:space="preserve"> REF _Ref458598302 \h  \* MERGEFORMAT </w:instrText>
      </w:r>
      <w:r w:rsidRPr="00337860">
        <w:fldChar w:fldCharType="separate"/>
      </w:r>
      <w:r w:rsidR="00FA0A5F">
        <w:rPr>
          <w:b/>
          <w:bCs/>
          <w:lang w:val="en-US"/>
        </w:rPr>
        <w:t>Error! Reference source not found.</w:t>
      </w:r>
      <w:r w:rsidRPr="00337860">
        <w:fldChar w:fldCharType="end"/>
      </w:r>
      <w:r>
        <w:t xml:space="preserve">), the </w:t>
      </w:r>
      <w:r w:rsidR="00AA2EF1">
        <w:t xml:space="preserve">ACMA believes the </w:t>
      </w:r>
      <w:r w:rsidR="0002192A">
        <w:t>option</w:t>
      </w:r>
      <w:r w:rsidR="00CC6CD9">
        <w:t>s</w:t>
      </w:r>
      <w:r w:rsidR="0002192A">
        <w:t xml:space="preserve"> for the </w:t>
      </w:r>
      <w:r>
        <w:t>3575</w:t>
      </w:r>
      <w:r w:rsidR="00273377">
        <w:t>–</w:t>
      </w:r>
      <w:r>
        <w:t xml:space="preserve">3600 MHz frequency range </w:t>
      </w:r>
      <w:r w:rsidR="00CC6CD9">
        <w:t>are</w:t>
      </w:r>
      <w:r>
        <w:t xml:space="preserve"> limited to TDD arrangements only. The 3600</w:t>
      </w:r>
      <w:r w:rsidR="00273377">
        <w:t>–</w:t>
      </w:r>
      <w:r>
        <w:t>3700 MHz band is also restricted to TDD arrangements</w:t>
      </w:r>
      <w:r w:rsidR="00273377">
        <w:t>,</w:t>
      </w:r>
      <w:r>
        <w:t xml:space="preserve"> as there are no FDD arrangements defined for the frequency range. </w:t>
      </w:r>
    </w:p>
    <w:p w14:paraId="0CD71EEF" w14:textId="3377B8B1" w:rsidR="00AA2EF1" w:rsidRPr="00576A53" w:rsidRDefault="00AA2EF1" w:rsidP="00825C27">
      <w:r>
        <w:t xml:space="preserve">A possible advantage of TDD arrangements </w:t>
      </w:r>
      <w:r w:rsidR="00273377">
        <w:t xml:space="preserve">is </w:t>
      </w:r>
      <w:r>
        <w:t xml:space="preserve">the flexibility they could provide in identifying all or part of the 3.6 GHz band </w:t>
      </w:r>
      <w:r w:rsidR="0090391F">
        <w:t xml:space="preserve">for </w:t>
      </w:r>
      <w:r w:rsidR="005A21F6">
        <w:t>MBB</w:t>
      </w:r>
      <w:r w:rsidR="0090391F">
        <w:t xml:space="preserve"> </w:t>
      </w:r>
      <w:r>
        <w:t>in different locations. For example</w:t>
      </w:r>
      <w:r w:rsidR="00512B97">
        <w:t>,</w:t>
      </w:r>
      <w:r>
        <w:t xml:space="preserve"> only the 3575</w:t>
      </w:r>
      <w:r w:rsidR="00273377">
        <w:t>–</w:t>
      </w:r>
      <w:r>
        <w:t xml:space="preserve">3625 MHz frequency range could be made available for </w:t>
      </w:r>
      <w:r w:rsidR="005A21F6">
        <w:t>MBB</w:t>
      </w:r>
      <w:r>
        <w:t xml:space="preserve"> services in one area, while the entire band is made available in others. This is something that could be considered to provide compatibility with </w:t>
      </w:r>
      <w:r w:rsidR="00FB1053">
        <w:t>incumbent</w:t>
      </w:r>
      <w:r w:rsidRPr="00576A53">
        <w:t xml:space="preserve"> services.</w:t>
      </w:r>
    </w:p>
    <w:p w14:paraId="597E6D96" w14:textId="0703F983" w:rsidR="00821BF7" w:rsidRPr="00D85F2E" w:rsidRDefault="00EF1150" w:rsidP="00821BF7">
      <w:r w:rsidRPr="00576A53">
        <w:t xml:space="preserve">Appendix </w:t>
      </w:r>
      <w:r w:rsidR="00B83F4B" w:rsidRPr="00576A53">
        <w:t>B</w:t>
      </w:r>
      <w:r w:rsidRPr="00576A53">
        <w:t xml:space="preserve"> provides</w:t>
      </w:r>
      <w:r>
        <w:t xml:space="preserve"> details on </w:t>
      </w:r>
      <w:r w:rsidR="005B1B9F">
        <w:t xml:space="preserve">what </w:t>
      </w:r>
      <w:r w:rsidR="00476D83">
        <w:t>spectrum is</w:t>
      </w:r>
      <w:r w:rsidR="005B1B9F">
        <w:t xml:space="preserve"> use</w:t>
      </w:r>
      <w:r w:rsidR="005B1B9F" w:rsidRPr="00825C27">
        <w:t>d</w:t>
      </w:r>
      <w:r w:rsidR="005B1B9F">
        <w:t xml:space="preserve"> in the 3.6 GHz band by different services in different areas. </w:t>
      </w:r>
    </w:p>
    <w:p w14:paraId="623F041C" w14:textId="47C42D01" w:rsidR="00821BF7" w:rsidRPr="006D6661" w:rsidRDefault="00821BF7" w:rsidP="00107352">
      <w:pPr>
        <w:pStyle w:val="ListParagraph"/>
        <w:numPr>
          <w:ilvl w:val="0"/>
          <w:numId w:val="19"/>
        </w:numPr>
        <w:shd w:val="clear" w:color="auto" w:fill="F2F2F2" w:themeFill="background1" w:themeFillShade="F2"/>
        <w:spacing w:after="0" w:line="240" w:lineRule="atLeast"/>
        <w:ind w:left="426" w:hanging="426"/>
        <w:contextualSpacing w:val="0"/>
        <w:rPr>
          <w:b/>
        </w:rPr>
      </w:pPr>
      <w:r w:rsidRPr="006D6661">
        <w:rPr>
          <w:b/>
        </w:rPr>
        <w:t xml:space="preserve">If the 3.6 GHz band is re-farmed for </w:t>
      </w:r>
      <w:r w:rsidR="005A21F6" w:rsidRPr="006D6661">
        <w:rPr>
          <w:b/>
        </w:rPr>
        <w:t>MBB</w:t>
      </w:r>
      <w:r w:rsidRPr="006D6661">
        <w:rPr>
          <w:b/>
        </w:rPr>
        <w:t xml:space="preserve"> services:</w:t>
      </w:r>
    </w:p>
    <w:p w14:paraId="268D803D" w14:textId="4BFF56CE" w:rsidR="00821BF7" w:rsidRPr="006D6661" w:rsidRDefault="00821BF7" w:rsidP="00107352">
      <w:pPr>
        <w:pStyle w:val="ListParagraph"/>
        <w:numPr>
          <w:ilvl w:val="0"/>
          <w:numId w:val="21"/>
        </w:numPr>
        <w:shd w:val="clear" w:color="auto" w:fill="F2F2F2" w:themeFill="background1" w:themeFillShade="F2"/>
        <w:spacing w:after="80" w:line="240" w:lineRule="atLeast"/>
        <w:contextualSpacing w:val="0"/>
        <w:rPr>
          <w:b/>
        </w:rPr>
      </w:pPr>
      <w:r w:rsidRPr="006D6661">
        <w:rPr>
          <w:b/>
        </w:rPr>
        <w:t>Do you agree that a time division duplex (TDD) arrangement should be adopted? Why/Why not?</w:t>
      </w:r>
    </w:p>
    <w:p w14:paraId="1D7D6460" w14:textId="1DB1F5B4" w:rsidR="00821BF7" w:rsidRPr="006D6661" w:rsidRDefault="00821BF7" w:rsidP="00107352">
      <w:pPr>
        <w:pStyle w:val="ListParagraph"/>
        <w:numPr>
          <w:ilvl w:val="0"/>
          <w:numId w:val="21"/>
        </w:numPr>
        <w:shd w:val="clear" w:color="auto" w:fill="F2F2F2" w:themeFill="background1" w:themeFillShade="F2"/>
        <w:spacing w:after="80" w:line="240" w:lineRule="atLeast"/>
        <w:contextualSpacing w:val="0"/>
        <w:rPr>
          <w:b/>
        </w:rPr>
      </w:pPr>
      <w:r w:rsidRPr="006D6661">
        <w:rPr>
          <w:b/>
        </w:rPr>
        <w:t>Should all or only part of the band be considered for re-farming?</w:t>
      </w:r>
    </w:p>
    <w:p w14:paraId="6E8083E6" w14:textId="4F2BBE33" w:rsidR="00821BF7" w:rsidRPr="006D6661" w:rsidRDefault="00821BF7" w:rsidP="00107352">
      <w:pPr>
        <w:pStyle w:val="ListParagraph"/>
        <w:numPr>
          <w:ilvl w:val="0"/>
          <w:numId w:val="21"/>
        </w:numPr>
        <w:shd w:val="clear" w:color="auto" w:fill="F2F2F2" w:themeFill="background1" w:themeFillShade="F2"/>
        <w:spacing w:after="240" w:line="240" w:lineRule="atLeast"/>
        <w:contextualSpacing w:val="0"/>
        <w:rPr>
          <w:b/>
        </w:rPr>
      </w:pPr>
      <w:r w:rsidRPr="006D6661">
        <w:rPr>
          <w:b/>
        </w:rPr>
        <w:t>Should different amounts of spectrum be re-farmed in different areas?</w:t>
      </w:r>
    </w:p>
    <w:p w14:paraId="0D1F10E6" w14:textId="77777777" w:rsidR="00F23F68" w:rsidRDefault="00F23F68" w:rsidP="00825C27">
      <w:pPr>
        <w:pStyle w:val="Heading3"/>
      </w:pPr>
      <w:bookmarkStart w:id="106" w:name="_Toc459906739"/>
      <w:bookmarkStart w:id="107" w:name="_Toc464480531"/>
      <w:r>
        <w:t xml:space="preserve">Potential </w:t>
      </w:r>
      <w:r w:rsidRPr="00825C27">
        <w:t>geographic</w:t>
      </w:r>
      <w:r>
        <w:t xml:space="preserve"> </w:t>
      </w:r>
      <w:r w:rsidRPr="00825C27">
        <w:t>options</w:t>
      </w:r>
      <w:bookmarkEnd w:id="106"/>
      <w:bookmarkEnd w:id="107"/>
    </w:p>
    <w:p w14:paraId="14590630" w14:textId="75F6D78F" w:rsidR="00D41442" w:rsidRDefault="00D41442" w:rsidP="00825C27">
      <w:r>
        <w:t xml:space="preserve">The ACMA is considering a number of options </w:t>
      </w:r>
      <w:r w:rsidR="00CA1B31">
        <w:t>concerning</w:t>
      </w:r>
      <w:r w:rsidR="00273377">
        <w:t xml:space="preserve"> </w:t>
      </w:r>
      <w:r>
        <w:t xml:space="preserve">the geographical areas that </w:t>
      </w:r>
      <w:r w:rsidR="0090391F">
        <w:t>could form part of any</w:t>
      </w:r>
      <w:r>
        <w:t xml:space="preserve"> </w:t>
      </w:r>
      <w:r w:rsidR="00EF6AAD">
        <w:t xml:space="preserve">re-farming </w:t>
      </w:r>
      <w:r w:rsidR="0090391F">
        <w:t xml:space="preserve">activity in the </w:t>
      </w:r>
      <w:r>
        <w:t xml:space="preserve">3.6 GHz band. Factors that need to be considered include </w:t>
      </w:r>
      <w:r w:rsidR="0075116F">
        <w:t xml:space="preserve">identifying </w:t>
      </w:r>
      <w:r>
        <w:t>areas where there is high</w:t>
      </w:r>
      <w:r w:rsidRPr="00825C27">
        <w:t xml:space="preserve"> </w:t>
      </w:r>
      <w:r>
        <w:t xml:space="preserve">demand for </w:t>
      </w:r>
      <w:r w:rsidR="005A21F6">
        <w:t>MBB</w:t>
      </w:r>
      <w:r>
        <w:t xml:space="preserve"> services,</w:t>
      </w:r>
      <w:r w:rsidR="00EC4586">
        <w:t xml:space="preserve"> the effect on incumbent services</w:t>
      </w:r>
      <w:r w:rsidR="00273377">
        <w:t>,</w:t>
      </w:r>
      <w:r>
        <w:t xml:space="preserve"> and ensuring areas are large enough to be of practical use.</w:t>
      </w:r>
    </w:p>
    <w:p w14:paraId="03C0B667" w14:textId="1016F0BD" w:rsidR="00D41442" w:rsidRDefault="00273377" w:rsidP="00D41442">
      <w:pPr>
        <w:rPr>
          <w:rFonts w:cs="Arial"/>
          <w:i/>
          <w:u w:val="single"/>
        </w:rPr>
      </w:pPr>
      <w:r>
        <w:rPr>
          <w:rFonts w:cs="Arial"/>
        </w:rPr>
        <w:t>In</w:t>
      </w:r>
      <w:r w:rsidR="0075116F">
        <w:rPr>
          <w:rFonts w:cs="Arial"/>
        </w:rPr>
        <w:t xml:space="preserve"> identifying</w:t>
      </w:r>
      <w:r w:rsidR="00D41442">
        <w:rPr>
          <w:rFonts w:cs="Arial"/>
        </w:rPr>
        <w:t xml:space="preserve"> areas of demand, the ACMA’s start</w:t>
      </w:r>
      <w:r w:rsidR="0075116F">
        <w:rPr>
          <w:rFonts w:cs="Arial"/>
        </w:rPr>
        <w:t>ing assumption is that this could</w:t>
      </w:r>
      <w:r>
        <w:rPr>
          <w:rFonts w:cs="Arial"/>
        </w:rPr>
        <w:t>,</w:t>
      </w:r>
      <w:r w:rsidR="00D41442">
        <w:rPr>
          <w:rFonts w:cs="Arial"/>
        </w:rPr>
        <w:t xml:space="preserve"> at a minimum</w:t>
      </w:r>
      <w:r>
        <w:rPr>
          <w:rFonts w:cs="Arial"/>
        </w:rPr>
        <w:t>,</w:t>
      </w:r>
      <w:r w:rsidR="00D41442">
        <w:rPr>
          <w:rFonts w:cs="Arial"/>
        </w:rPr>
        <w:t xml:space="preserve"> include t</w:t>
      </w:r>
      <w:r w:rsidR="00D41442" w:rsidRPr="00825C27">
        <w:t>h</w:t>
      </w:r>
      <w:r w:rsidR="00D41442">
        <w:rPr>
          <w:rFonts w:cs="Arial"/>
        </w:rPr>
        <w:t xml:space="preserve">e metropolitan areas covered by </w:t>
      </w:r>
      <w:hyperlink r:id="rId65" w:history="1">
        <w:r w:rsidR="002866F5">
          <w:rPr>
            <w:rStyle w:val="Hyperlink"/>
            <w:rFonts w:cs="Arial"/>
          </w:rPr>
          <w:t>E</w:t>
        </w:r>
        <w:r w:rsidR="00D41442" w:rsidRPr="003E53E5">
          <w:rPr>
            <w:rStyle w:val="Hyperlink"/>
            <w:rFonts w:cs="Arial"/>
          </w:rPr>
          <w:t>mbargo 42</w:t>
        </w:r>
      </w:hyperlink>
      <w:r w:rsidR="00D41442">
        <w:rPr>
          <w:rFonts w:cs="Arial"/>
        </w:rPr>
        <w:t xml:space="preserve"> (refer to </w:t>
      </w:r>
      <w:r w:rsidR="0075116F">
        <w:rPr>
          <w:rFonts w:cs="Arial"/>
        </w:rPr>
        <w:t xml:space="preserve">Area 1 in </w:t>
      </w:r>
      <w:r w:rsidR="003A4425" w:rsidRPr="00BD7844">
        <w:rPr>
          <w:rFonts w:cs="Arial"/>
        </w:rPr>
        <w:fldChar w:fldCharType="begin"/>
      </w:r>
      <w:r w:rsidR="003A4425" w:rsidRPr="00BD7844">
        <w:rPr>
          <w:rFonts w:cs="Arial"/>
        </w:rPr>
        <w:instrText xml:space="preserve"> REF _Ref458685110 \h  \* MERGEFORMAT </w:instrText>
      </w:r>
      <w:r w:rsidR="003A4425" w:rsidRPr="00BD7844">
        <w:rPr>
          <w:rFonts w:cs="Arial"/>
        </w:rPr>
        <w:fldChar w:fldCharType="separate"/>
      </w:r>
      <w:r w:rsidR="00FA0A5F">
        <w:rPr>
          <w:rFonts w:cs="Arial"/>
          <w:b/>
          <w:bCs/>
          <w:lang w:val="en-US"/>
        </w:rPr>
        <w:t>Error! Reference source not found.</w:t>
      </w:r>
      <w:r w:rsidR="003A4425" w:rsidRPr="00BD7844">
        <w:rPr>
          <w:rFonts w:cs="Arial"/>
        </w:rPr>
        <w:fldChar w:fldCharType="end"/>
      </w:r>
      <w:r w:rsidR="003A4425">
        <w:rPr>
          <w:rFonts w:cs="Arial"/>
        </w:rPr>
        <w:t>5</w:t>
      </w:r>
      <w:r w:rsidR="00D41442">
        <w:rPr>
          <w:rFonts w:cs="Arial"/>
        </w:rPr>
        <w:t>).</w:t>
      </w:r>
    </w:p>
    <w:p w14:paraId="513E759F" w14:textId="51A0ABBB" w:rsidR="008602E0" w:rsidRDefault="00935124" w:rsidP="00825C27">
      <w:r>
        <w:t>Defining areas th</w:t>
      </w:r>
      <w:r w:rsidR="0080438A">
        <w:t>at are large enough to deploy a meaningful</w:t>
      </w:r>
      <w:r w:rsidR="00140BE1">
        <w:t xml:space="preserve"> area-wide </w:t>
      </w:r>
      <w:r w:rsidR="005A21F6">
        <w:t>MBB</w:t>
      </w:r>
      <w:r w:rsidR="0080438A">
        <w:t xml:space="preserve"> </w:t>
      </w:r>
      <w:r>
        <w:t xml:space="preserve">service is </w:t>
      </w:r>
      <w:r w:rsidR="0075116F">
        <w:t xml:space="preserve">an </w:t>
      </w:r>
      <w:r>
        <w:t>important</w:t>
      </w:r>
      <w:r w:rsidR="0075116F">
        <w:t xml:space="preserve"> consideration</w:t>
      </w:r>
      <w:r w:rsidR="00140BE1">
        <w:t xml:space="preserve">. </w:t>
      </w:r>
      <w:r w:rsidR="003F1873">
        <w:t>This is because c</w:t>
      </w:r>
      <w:r w:rsidR="00140BE1">
        <w:t>o-channel interference from</w:t>
      </w:r>
      <w:r>
        <w:t xml:space="preserve"> </w:t>
      </w:r>
      <w:r w:rsidR="00140BE1">
        <w:t xml:space="preserve">services operating in </w:t>
      </w:r>
      <w:r w:rsidR="006F398A">
        <w:t>adjacent</w:t>
      </w:r>
      <w:r>
        <w:t xml:space="preserve"> area</w:t>
      </w:r>
      <w:r w:rsidR="0075116F">
        <w:t>s may</w:t>
      </w:r>
      <w:r w:rsidR="00140BE1">
        <w:t xml:space="preserve"> limit an operator’s ability to deploy</w:t>
      </w:r>
      <w:r w:rsidR="0075116F">
        <w:t xml:space="preserve"> services in some locations</w:t>
      </w:r>
      <w:r w:rsidR="00140BE1">
        <w:t xml:space="preserve">. </w:t>
      </w:r>
      <w:r w:rsidR="00273377">
        <w:t xml:space="preserve">This </w:t>
      </w:r>
      <w:r w:rsidR="00140BE1">
        <w:t>can</w:t>
      </w:r>
      <w:r w:rsidR="00CC6CD9">
        <w:t xml:space="preserve"> be a</w:t>
      </w:r>
      <w:r w:rsidR="00140BE1">
        <w:t xml:space="preserve"> particular issue when </w:t>
      </w:r>
      <w:r w:rsidR="0075116F">
        <w:t>trying to manage</w:t>
      </w:r>
      <w:r w:rsidR="00140BE1">
        <w:t xml:space="preserve"> interference between TDD </w:t>
      </w:r>
      <w:r w:rsidR="005A21F6">
        <w:t>MBB</w:t>
      </w:r>
      <w:r w:rsidR="00140BE1">
        <w:t xml:space="preserve"> services. </w:t>
      </w:r>
      <w:r w:rsidR="003F1873">
        <w:t>L</w:t>
      </w:r>
      <w:r w:rsidR="00140BE1">
        <w:t xml:space="preserve">arger areas are </w:t>
      </w:r>
      <w:r w:rsidR="003F1873">
        <w:t xml:space="preserve">therefore </w:t>
      </w:r>
      <w:r w:rsidR="00140BE1">
        <w:t>generally preferred</w:t>
      </w:r>
      <w:r w:rsidR="00273377">
        <w:t>,</w:t>
      </w:r>
      <w:r w:rsidR="00140BE1">
        <w:t xml:space="preserve"> to </w:t>
      </w:r>
      <w:r w:rsidR="003F1873">
        <w:t>assist in managing co-channel</w:t>
      </w:r>
      <w:r w:rsidR="00140BE1">
        <w:t xml:space="preserve"> interference and improv</w:t>
      </w:r>
      <w:r w:rsidR="00512B97">
        <w:t>ing</w:t>
      </w:r>
      <w:r w:rsidR="00140BE1">
        <w:t xml:space="preserve"> the utility of the spectrum space</w:t>
      </w:r>
      <w:r w:rsidR="003F1873">
        <w:t xml:space="preserve"> in areas of high demand</w:t>
      </w:r>
      <w:r w:rsidR="00140BE1">
        <w:t xml:space="preserve">. </w:t>
      </w:r>
      <w:r w:rsidR="008602E0">
        <w:t xml:space="preserve">For example, </w:t>
      </w:r>
      <w:r w:rsidR="003F1873">
        <w:t>anecdotal evidence</w:t>
      </w:r>
      <w:r w:rsidR="00140BE1">
        <w:t xml:space="preserve"> suggest</w:t>
      </w:r>
      <w:r w:rsidR="001642FA">
        <w:t>s</w:t>
      </w:r>
      <w:r w:rsidR="00140BE1">
        <w:t xml:space="preserve"> that the </w:t>
      </w:r>
      <w:r w:rsidR="008602E0">
        <w:t xml:space="preserve">current </w:t>
      </w:r>
      <w:r w:rsidR="00CC6CD9">
        <w:t>sizes</w:t>
      </w:r>
      <w:r w:rsidR="00140BE1">
        <w:t xml:space="preserve"> of metropolitan areas in the 2.3 GHz and 3.4 GHz spectrum licence bands are not ideal for TDD </w:t>
      </w:r>
      <w:r w:rsidR="005A21F6">
        <w:t>MBB</w:t>
      </w:r>
      <w:r w:rsidR="00140BE1">
        <w:t xml:space="preserve"> services.</w:t>
      </w:r>
      <w:r w:rsidR="008602E0">
        <w:t xml:space="preserve"> </w:t>
      </w:r>
      <w:r w:rsidR="002E7174">
        <w:t xml:space="preserve">These areas are comparable in size to those </w:t>
      </w:r>
      <w:r w:rsidR="00512B97">
        <w:t>specified in</w:t>
      </w:r>
      <w:r w:rsidR="002866F5">
        <w:t xml:space="preserve"> E</w:t>
      </w:r>
      <w:r w:rsidR="002E7174">
        <w:t>mbargo 42.</w:t>
      </w:r>
    </w:p>
    <w:p w14:paraId="14B2801A" w14:textId="6B3681D7" w:rsidR="00BD7844" w:rsidRDefault="00BD7844" w:rsidP="00825C27">
      <w:pPr>
        <w:spacing w:after="80"/>
      </w:pPr>
      <w:r>
        <w:t>With this in mind</w:t>
      </w:r>
      <w:r w:rsidR="00273377">
        <w:t>,</w:t>
      </w:r>
      <w:r>
        <w:t xml:space="preserve"> t</w:t>
      </w:r>
      <w:r w:rsidR="008602E0">
        <w:t xml:space="preserve">he ACMA has </w:t>
      </w:r>
      <w:r>
        <w:t xml:space="preserve">defined </w:t>
      </w:r>
      <w:r w:rsidR="008602E0">
        <w:t xml:space="preserve">four </w:t>
      </w:r>
      <w:r>
        <w:t xml:space="preserve">geographical area </w:t>
      </w:r>
      <w:r w:rsidR="008602E0">
        <w:t xml:space="preserve">options </w:t>
      </w:r>
      <w:r>
        <w:t xml:space="preserve">that could be considered for </w:t>
      </w:r>
      <w:r w:rsidR="00EF6AAD">
        <w:t xml:space="preserve">re-farming </w:t>
      </w:r>
      <w:r>
        <w:t xml:space="preserve">in the 3.6 GHz band. These </w:t>
      </w:r>
      <w:r w:rsidR="0075116F">
        <w:t xml:space="preserve">areas </w:t>
      </w:r>
      <w:r>
        <w:t xml:space="preserve">are displayed in </w:t>
      </w:r>
      <w:r w:rsidR="003A4425" w:rsidRPr="00BD7844">
        <w:fldChar w:fldCharType="begin"/>
      </w:r>
      <w:r w:rsidR="003A4425" w:rsidRPr="00BD7844">
        <w:instrText xml:space="preserve"> REF _Ref458685110 \h  \* MERGEFORMAT </w:instrText>
      </w:r>
      <w:r w:rsidR="003A4425" w:rsidRPr="00BD7844">
        <w:fldChar w:fldCharType="separate"/>
      </w:r>
      <w:r w:rsidR="00FA0A5F">
        <w:rPr>
          <w:b/>
          <w:bCs/>
          <w:lang w:val="en-US"/>
        </w:rPr>
        <w:t>Error! Reference source not found.</w:t>
      </w:r>
      <w:r w:rsidR="003A4425" w:rsidRPr="00BD7844">
        <w:fldChar w:fldCharType="end"/>
      </w:r>
      <w:r w:rsidR="003A4425">
        <w:t>5</w:t>
      </w:r>
      <w:r>
        <w:t>. A brief description of each follows:</w:t>
      </w:r>
    </w:p>
    <w:p w14:paraId="63E24625" w14:textId="4BBC15C0" w:rsidR="002E7174" w:rsidRDefault="00BD7844" w:rsidP="00825C27">
      <w:pPr>
        <w:pStyle w:val="ListBullet"/>
      </w:pPr>
      <w:r>
        <w:t>Area 1</w:t>
      </w:r>
      <w:r w:rsidR="00273377">
        <w:t>—t</w:t>
      </w:r>
      <w:r w:rsidR="002E7174">
        <w:t xml:space="preserve">his mirrors the areas specified in </w:t>
      </w:r>
      <w:hyperlink r:id="rId66" w:history="1">
        <w:r w:rsidR="002866F5">
          <w:rPr>
            <w:rStyle w:val="Hyperlink"/>
            <w:rFonts w:cs="Arial"/>
          </w:rPr>
          <w:t>E</w:t>
        </w:r>
        <w:r w:rsidR="00A75A69" w:rsidRPr="003E53E5">
          <w:rPr>
            <w:rStyle w:val="Hyperlink"/>
            <w:rFonts w:cs="Arial"/>
          </w:rPr>
          <w:t>mbargo 42</w:t>
        </w:r>
      </w:hyperlink>
      <w:r w:rsidR="00273377">
        <w:t>.</w:t>
      </w:r>
    </w:p>
    <w:p w14:paraId="3F610DF9" w14:textId="79ACABCE" w:rsidR="00BD7844" w:rsidRDefault="002E7174" w:rsidP="00825C27">
      <w:pPr>
        <w:pStyle w:val="ListBullet"/>
      </w:pPr>
      <w:r>
        <w:t>Area 2</w:t>
      </w:r>
      <w:r w:rsidR="00273377">
        <w:t>—t</w:t>
      </w:r>
      <w:r>
        <w:t xml:space="preserve">his mirrors the areas developed by the ACMA in implementing the </w:t>
      </w:r>
      <w:hyperlink r:id="rId67" w:history="1">
        <w:r w:rsidRPr="002E7174">
          <w:rPr>
            <w:rStyle w:val="Hyperlink"/>
            <w:rFonts w:cs="Arial"/>
          </w:rPr>
          <w:t>October 2014 Ministerial Direction</w:t>
        </w:r>
      </w:hyperlink>
      <w:r>
        <w:t xml:space="preserve">. The areas were defined </w:t>
      </w:r>
      <w:r w:rsidR="00273377">
        <w:t xml:space="preserve">as </w:t>
      </w:r>
      <w:r>
        <w:t>large enough to supp</w:t>
      </w:r>
      <w:r w:rsidR="0075116F">
        <w:t>ort the deployment of service</w:t>
      </w:r>
      <w:r w:rsidR="001642FA">
        <w:t>s</w:t>
      </w:r>
      <w:r w:rsidR="0075116F">
        <w:t xml:space="preserve"> in</w:t>
      </w:r>
      <w:r>
        <w:t xml:space="preserve"> outer</w:t>
      </w:r>
      <w:r w:rsidR="00273377">
        <w:t>-</w:t>
      </w:r>
      <w:r>
        <w:t>metro and fringe areas</w:t>
      </w:r>
      <w:r w:rsidR="00273377">
        <w:t>,</w:t>
      </w:r>
      <w:r>
        <w:t xml:space="preserve"> </w:t>
      </w:r>
      <w:r w:rsidR="00A75A69">
        <w:t xml:space="preserve">while </w:t>
      </w:r>
      <w:r w:rsidR="0075116F">
        <w:t>reducing</w:t>
      </w:r>
      <w:r>
        <w:t xml:space="preserve"> adjacent area interference concerns. Refer to </w:t>
      </w:r>
      <w:hyperlink r:id="rId68" w:history="1">
        <w:r w:rsidRPr="002E7174">
          <w:rPr>
            <w:rStyle w:val="Hyperlink"/>
            <w:rFonts w:cs="Arial"/>
          </w:rPr>
          <w:t>Annex D of RALI MS39</w:t>
        </w:r>
      </w:hyperlink>
      <w:r>
        <w:t xml:space="preserve"> for area descriptions</w:t>
      </w:r>
      <w:r w:rsidR="00273377">
        <w:t>.</w:t>
      </w:r>
    </w:p>
    <w:p w14:paraId="65874825" w14:textId="1484FBD6" w:rsidR="002E7174" w:rsidRDefault="002E7174" w:rsidP="00825C27">
      <w:pPr>
        <w:pStyle w:val="ListBullet"/>
      </w:pPr>
      <w:r>
        <w:t>Area 3</w:t>
      </w:r>
      <w:r w:rsidR="00273377">
        <w:t>—t</w:t>
      </w:r>
      <w:r>
        <w:t>his mirrors the metro and regional areas subject to spectrum licensing in the 3.4 GHz band</w:t>
      </w:r>
      <w:r w:rsidR="00134BDA">
        <w:t xml:space="preserve">. Refer to Schedule 2 of the </w:t>
      </w:r>
      <w:hyperlink r:id="rId69" w:history="1">
        <w:r w:rsidR="00134BDA" w:rsidRPr="00134BDA">
          <w:rPr>
            <w:rStyle w:val="Hyperlink"/>
            <w:szCs w:val="20"/>
          </w:rPr>
          <w:t>Radiocommunications (Spectrum Re-allocation) Declaration 2000</w:t>
        </w:r>
      </w:hyperlink>
      <w:r w:rsidR="00134BDA">
        <w:rPr>
          <w:szCs w:val="20"/>
        </w:rPr>
        <w:t xml:space="preserve"> for a description of the area</w:t>
      </w:r>
      <w:r w:rsidR="00273377">
        <w:t>.</w:t>
      </w:r>
    </w:p>
    <w:p w14:paraId="6315DDAC" w14:textId="47C2FCBA" w:rsidR="000D7159" w:rsidRDefault="00CA1B31" w:rsidP="00825C27">
      <w:pPr>
        <w:pStyle w:val="ListBulletLast"/>
      </w:pPr>
      <w:r>
        <w:t xml:space="preserve">The fourth area option </w:t>
      </w:r>
      <w:r w:rsidR="002E7174">
        <w:t>covers all of Australia</w:t>
      </w:r>
      <w:r w:rsidR="00512B97">
        <w:t>.</w:t>
      </w:r>
    </w:p>
    <w:p w14:paraId="1669840A" w14:textId="6FE17B02" w:rsidR="00BD7844" w:rsidRPr="00FE427A" w:rsidRDefault="00BD7844" w:rsidP="00825C27">
      <w:pPr>
        <w:pStyle w:val="ACMAFigureHeader"/>
      </w:pPr>
      <w:r>
        <w:t xml:space="preserve">3.6 GHz band geographical area </w:t>
      </w:r>
      <w:r w:rsidR="00EF6AAD">
        <w:t xml:space="preserve">re-farming </w:t>
      </w:r>
      <w:r>
        <w:t xml:space="preserve">options </w:t>
      </w:r>
      <w:r w:rsidR="00134BDA">
        <w:t xml:space="preserve">overlaid with </w:t>
      </w:r>
      <w:r w:rsidR="00FB1053">
        <w:t>incumbent</w:t>
      </w:r>
      <w:r w:rsidR="00134BDA">
        <w:t xml:space="preserve"> licences</w:t>
      </w:r>
    </w:p>
    <w:p w14:paraId="2EE4B110" w14:textId="0616CC07" w:rsidR="00BD7844" w:rsidRDefault="00A405A8" w:rsidP="00352FCF">
      <w:pPr>
        <w:keepLines/>
        <w:spacing w:after="0"/>
        <w:rPr>
          <w:rFonts w:cs="Arial"/>
        </w:rPr>
      </w:pPr>
      <w:r>
        <w:rPr>
          <w:noProof/>
        </w:rPr>
        <w:drawing>
          <wp:inline distT="0" distB="0" distL="0" distR="0" wp14:anchorId="339DCCBC" wp14:editId="799D7B17">
            <wp:extent cx="5624423" cy="4757041"/>
            <wp:effectExtent l="0" t="0" r="0" b="5715"/>
            <wp:docPr id="13" name="Picture 13" descr="Map of Australia with geographical area re-farming options overlaid with incumbent licences." title="3.6 GHz band geographical area re-farming options overlaid with incumbent lic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36363" cy="4767140"/>
                    </a:xfrm>
                    <a:prstGeom prst="rect">
                      <a:avLst/>
                    </a:prstGeom>
                  </pic:spPr>
                </pic:pic>
              </a:graphicData>
            </a:graphic>
          </wp:inline>
        </w:drawing>
      </w:r>
    </w:p>
    <w:p w14:paraId="3838F449" w14:textId="77777777" w:rsidR="00825C27" w:rsidRDefault="00825C27" w:rsidP="00825C27">
      <w:pPr>
        <w:pStyle w:val="ACMASpaceaftertable"/>
      </w:pPr>
    </w:p>
    <w:p w14:paraId="09FED907" w14:textId="5719C178" w:rsidR="00C41956" w:rsidRDefault="00C41956" w:rsidP="00825C27">
      <w:r>
        <w:t xml:space="preserve">Details of current licences in the 3.6 GHz band are </w:t>
      </w:r>
      <w:r w:rsidRPr="00576A53">
        <w:t>available in Appendix </w:t>
      </w:r>
      <w:r w:rsidR="0075116F" w:rsidRPr="00576A53">
        <w:t>B</w:t>
      </w:r>
      <w:r w:rsidRPr="00576A53">
        <w:t xml:space="preserve">. </w:t>
      </w:r>
      <w:r w:rsidR="0084017B">
        <w:t>Table 6</w:t>
      </w:r>
      <w:r w:rsidR="00146E70" w:rsidRPr="00576A53">
        <w:t xml:space="preserve"> </w:t>
      </w:r>
      <w:r w:rsidRPr="00576A53">
        <w:t>sho</w:t>
      </w:r>
      <w:r w:rsidR="00146E70" w:rsidRPr="00576A53">
        <w:t xml:space="preserve">ws the number of services that </w:t>
      </w:r>
      <w:r w:rsidR="00CB415C" w:rsidRPr="00576A53">
        <w:t xml:space="preserve">may </w:t>
      </w:r>
      <w:r w:rsidRPr="00576A53">
        <w:t xml:space="preserve">be affected in each area </w:t>
      </w:r>
      <w:r w:rsidR="00146E70" w:rsidRPr="00576A53">
        <w:t xml:space="preserve">in </w:t>
      </w:r>
      <w:r w:rsidR="003A4425" w:rsidRPr="00576A53">
        <w:fldChar w:fldCharType="begin"/>
      </w:r>
      <w:r w:rsidR="003A4425" w:rsidRPr="00576A53">
        <w:instrText xml:space="preserve"> REF _Ref458685110 \h  \* MERGEFORMAT </w:instrText>
      </w:r>
      <w:r w:rsidR="003A4425" w:rsidRPr="00576A53">
        <w:fldChar w:fldCharType="separate"/>
      </w:r>
      <w:r w:rsidR="00FA0A5F">
        <w:rPr>
          <w:b/>
          <w:bCs/>
          <w:lang w:val="en-US"/>
        </w:rPr>
        <w:t>Error! Reference source not found.</w:t>
      </w:r>
      <w:r w:rsidR="003A4425" w:rsidRPr="00576A53">
        <w:fldChar w:fldCharType="end"/>
      </w:r>
      <w:r w:rsidR="003A4425">
        <w:t>5</w:t>
      </w:r>
      <w:r>
        <w:t xml:space="preserve">. It should be noted that this is an estimate based on </w:t>
      </w:r>
      <w:r w:rsidR="005550DF">
        <w:t xml:space="preserve">the number of </w:t>
      </w:r>
      <w:r>
        <w:t>co-cha</w:t>
      </w:r>
      <w:r w:rsidR="005550DF">
        <w:t>nnel services within the areas defined</w:t>
      </w:r>
      <w:r>
        <w:t xml:space="preserve">. </w:t>
      </w:r>
      <w:r w:rsidR="00146E70">
        <w:t>It does not, for example, take into acco</w:t>
      </w:r>
      <w:r w:rsidR="0075116F">
        <w:t>unt</w:t>
      </w:r>
      <w:r w:rsidR="005550DF">
        <w:t xml:space="preserve"> </w:t>
      </w:r>
      <w:r w:rsidR="00146E70">
        <w:t>any sharing arrangements that may be developed (this is discussed in the next section).</w:t>
      </w:r>
      <w:r>
        <w:t xml:space="preserve"> </w:t>
      </w:r>
    </w:p>
    <w:p w14:paraId="6BE1A5DA" w14:textId="3FDBDF4E" w:rsidR="00146E70" w:rsidRPr="006A2730" w:rsidRDefault="00146E70" w:rsidP="00825C27">
      <w:pPr>
        <w:pStyle w:val="ACMATableHeader"/>
      </w:pPr>
      <w:r>
        <w:t>Number of incumbent users in different areas across the 3.6 GHz band</w:t>
      </w:r>
    </w:p>
    <w:tbl>
      <w:tblPr>
        <w:tblW w:w="9358" w:type="dxa"/>
        <w:tblLayout w:type="fixed"/>
        <w:tblCellMar>
          <w:left w:w="0" w:type="dxa"/>
          <w:right w:w="0" w:type="dxa"/>
        </w:tblCellMar>
        <w:tblLook w:val="01E0" w:firstRow="1" w:lastRow="1" w:firstColumn="1" w:lastColumn="1" w:noHBand="0" w:noVBand="0"/>
      </w:tblPr>
      <w:tblGrid>
        <w:gridCol w:w="9358"/>
      </w:tblGrid>
      <w:tr w:rsidR="00146E70" w:rsidRPr="00E05F0A" w14:paraId="702AB8FB" w14:textId="77777777" w:rsidTr="005550DF">
        <w:trPr>
          <w:trHeight w:val="1026"/>
        </w:trPr>
        <w:tc>
          <w:tcPr>
            <w:tcW w:w="9358" w:type="dxa"/>
            <w:shd w:val="clear" w:color="auto" w:fill="auto"/>
            <w:tcMar>
              <w:left w:w="28" w:type="dxa"/>
            </w:tcMar>
          </w:tcPr>
          <w:tbl>
            <w:tblPr>
              <w:tblW w:w="7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1E0" w:firstRow="1" w:lastRow="1" w:firstColumn="1" w:lastColumn="1" w:noHBand="0" w:noVBand="0"/>
            </w:tblPr>
            <w:tblGrid>
              <w:gridCol w:w="2235"/>
              <w:gridCol w:w="1382"/>
              <w:gridCol w:w="1382"/>
              <w:gridCol w:w="1382"/>
              <w:gridCol w:w="1383"/>
            </w:tblGrid>
            <w:tr w:rsidR="00F17297" w:rsidRPr="00E05F0A" w14:paraId="65F24F03" w14:textId="77777777" w:rsidTr="001F57E3">
              <w:trPr>
                <w:trHeight w:val="419"/>
              </w:trPr>
              <w:tc>
                <w:tcPr>
                  <w:tcW w:w="2235" w:type="dxa"/>
                  <w:vMerge w:val="restart"/>
                  <w:shd w:val="clear" w:color="auto" w:fill="404040" w:themeFill="text1" w:themeFillTint="BF"/>
                  <w:tcMar>
                    <w:top w:w="34" w:type="dxa"/>
                    <w:left w:w="113" w:type="dxa"/>
                  </w:tcMar>
                </w:tcPr>
                <w:p w14:paraId="4AA4914F" w14:textId="36212A0F" w:rsidR="00F17297" w:rsidRPr="006D6661" w:rsidRDefault="00F17297" w:rsidP="001F57E3">
                  <w:pPr>
                    <w:pStyle w:val="TableHeading"/>
                    <w:rPr>
                      <w:color w:val="FFFFFF" w:themeColor="background1"/>
                    </w:rPr>
                  </w:pPr>
                  <w:r w:rsidRPr="001F57E3">
                    <w:rPr>
                      <w:color w:val="FFFFFF" w:themeColor="background1"/>
                    </w:rPr>
                    <w:t xml:space="preserve">Licence </w:t>
                  </w:r>
                  <w:r w:rsidR="006F3F78" w:rsidRPr="001F57E3">
                    <w:rPr>
                      <w:color w:val="FFFFFF" w:themeColor="background1"/>
                    </w:rPr>
                    <w:t>t</w:t>
                  </w:r>
                  <w:r w:rsidRPr="001F57E3">
                    <w:rPr>
                      <w:color w:val="FFFFFF" w:themeColor="background1"/>
                    </w:rPr>
                    <w:t>ype</w:t>
                  </w:r>
                </w:p>
              </w:tc>
              <w:tc>
                <w:tcPr>
                  <w:tcW w:w="5529" w:type="dxa"/>
                  <w:gridSpan w:val="4"/>
                  <w:shd w:val="clear" w:color="auto" w:fill="404040" w:themeFill="text1" w:themeFillTint="BF"/>
                </w:tcPr>
                <w:p w14:paraId="65ACE2B1" w14:textId="16DC09D4" w:rsidR="00F17297" w:rsidRPr="006D6661" w:rsidRDefault="00F17297" w:rsidP="001F57E3">
                  <w:pPr>
                    <w:pStyle w:val="TableHeading"/>
                    <w:jc w:val="center"/>
                    <w:rPr>
                      <w:color w:val="FFFFFF" w:themeColor="background1"/>
                    </w:rPr>
                  </w:pPr>
                  <w:r w:rsidRPr="006D6661">
                    <w:rPr>
                      <w:color w:val="FFFFFF" w:themeColor="background1"/>
                    </w:rPr>
                    <w:t xml:space="preserve">Number of incumbent </w:t>
                  </w:r>
                  <w:r w:rsidR="006E370D" w:rsidRPr="006D6661">
                    <w:rPr>
                      <w:color w:val="FFFFFF" w:themeColor="background1"/>
                    </w:rPr>
                    <w:t>licences</w:t>
                  </w:r>
                </w:p>
              </w:tc>
            </w:tr>
            <w:tr w:rsidR="00F17297" w:rsidRPr="00E05F0A" w14:paraId="7B589A3C" w14:textId="77777777" w:rsidTr="001F57E3">
              <w:trPr>
                <w:trHeight w:val="156"/>
              </w:trPr>
              <w:tc>
                <w:tcPr>
                  <w:tcW w:w="2235" w:type="dxa"/>
                  <w:vMerge/>
                  <w:shd w:val="clear" w:color="auto" w:fill="404040" w:themeFill="text1" w:themeFillTint="BF"/>
                  <w:tcMar>
                    <w:top w:w="34" w:type="dxa"/>
                    <w:left w:w="113" w:type="dxa"/>
                  </w:tcMar>
                </w:tcPr>
                <w:p w14:paraId="1BCE057A" w14:textId="7060A480" w:rsidR="00F17297" w:rsidRPr="006D6661" w:rsidRDefault="00F17297" w:rsidP="006D6661">
                  <w:pPr>
                    <w:pStyle w:val="TableHeading"/>
                    <w:rPr>
                      <w:color w:val="FFFFFF" w:themeColor="background1"/>
                    </w:rPr>
                  </w:pPr>
                </w:p>
              </w:tc>
              <w:tc>
                <w:tcPr>
                  <w:tcW w:w="1382" w:type="dxa"/>
                  <w:shd w:val="clear" w:color="auto" w:fill="404040" w:themeFill="text1" w:themeFillTint="BF"/>
                  <w:tcMar>
                    <w:left w:w="113" w:type="dxa"/>
                  </w:tcMar>
                </w:tcPr>
                <w:p w14:paraId="49B4D590" w14:textId="3C507E7F" w:rsidR="00F17297" w:rsidRPr="006D6661" w:rsidRDefault="00F17297" w:rsidP="006D6661">
                  <w:pPr>
                    <w:pStyle w:val="TableHeading"/>
                    <w:rPr>
                      <w:color w:val="FFFFFF" w:themeColor="background1"/>
                    </w:rPr>
                  </w:pPr>
                  <w:r w:rsidRPr="006D6661">
                    <w:rPr>
                      <w:color w:val="FFFFFF" w:themeColor="background1"/>
                    </w:rPr>
                    <w:t>Area 1</w:t>
                  </w:r>
                </w:p>
              </w:tc>
              <w:tc>
                <w:tcPr>
                  <w:tcW w:w="1382" w:type="dxa"/>
                  <w:shd w:val="clear" w:color="auto" w:fill="404040" w:themeFill="text1" w:themeFillTint="BF"/>
                </w:tcPr>
                <w:p w14:paraId="3971D0A7" w14:textId="7711A20E" w:rsidR="00F17297" w:rsidRPr="006D6661" w:rsidRDefault="00F17297" w:rsidP="006D6661">
                  <w:pPr>
                    <w:pStyle w:val="TableHeading"/>
                    <w:rPr>
                      <w:color w:val="FFFFFF" w:themeColor="background1"/>
                    </w:rPr>
                  </w:pPr>
                  <w:r w:rsidRPr="006D6661">
                    <w:rPr>
                      <w:color w:val="FFFFFF" w:themeColor="background1"/>
                    </w:rPr>
                    <w:t>Area 2</w:t>
                  </w:r>
                </w:p>
              </w:tc>
              <w:tc>
                <w:tcPr>
                  <w:tcW w:w="1382" w:type="dxa"/>
                  <w:shd w:val="clear" w:color="auto" w:fill="404040" w:themeFill="text1" w:themeFillTint="BF"/>
                </w:tcPr>
                <w:p w14:paraId="5E5E5A40" w14:textId="7A82DDB5" w:rsidR="00F17297" w:rsidRPr="006D6661" w:rsidRDefault="00F17297" w:rsidP="006D6661">
                  <w:pPr>
                    <w:pStyle w:val="TableHeading"/>
                    <w:rPr>
                      <w:color w:val="FFFFFF" w:themeColor="background1"/>
                    </w:rPr>
                  </w:pPr>
                  <w:r w:rsidRPr="006D6661">
                    <w:rPr>
                      <w:color w:val="FFFFFF" w:themeColor="background1"/>
                    </w:rPr>
                    <w:t>Area 3</w:t>
                  </w:r>
                </w:p>
              </w:tc>
              <w:tc>
                <w:tcPr>
                  <w:tcW w:w="1383" w:type="dxa"/>
                  <w:shd w:val="clear" w:color="auto" w:fill="404040" w:themeFill="text1" w:themeFillTint="BF"/>
                </w:tcPr>
                <w:p w14:paraId="64B9434E" w14:textId="1E664184" w:rsidR="00F17297" w:rsidRPr="006D6661" w:rsidRDefault="00CA1B31" w:rsidP="006D6661">
                  <w:pPr>
                    <w:pStyle w:val="TableHeading"/>
                    <w:rPr>
                      <w:color w:val="FFFFFF" w:themeColor="background1"/>
                    </w:rPr>
                  </w:pPr>
                  <w:r>
                    <w:rPr>
                      <w:color w:val="FFFFFF" w:themeColor="background1"/>
                    </w:rPr>
                    <w:t>Australia-wide</w:t>
                  </w:r>
                </w:p>
              </w:tc>
            </w:tr>
            <w:tr w:rsidR="00F17297" w:rsidRPr="00E05F0A" w14:paraId="4EDEC4CC" w14:textId="77777777" w:rsidTr="001F57E3">
              <w:trPr>
                <w:trHeight w:val="185"/>
              </w:trPr>
              <w:tc>
                <w:tcPr>
                  <w:tcW w:w="2235" w:type="dxa"/>
                  <w:shd w:val="clear" w:color="auto" w:fill="auto"/>
                  <w:tcMar>
                    <w:left w:w="113" w:type="dxa"/>
                  </w:tcMar>
                </w:tcPr>
                <w:p w14:paraId="5EF276E2" w14:textId="31575645" w:rsidR="00F17297" w:rsidRPr="00F17297" w:rsidRDefault="006E370D" w:rsidP="001F57E3">
                  <w:pPr>
                    <w:pStyle w:val="TableHeading"/>
                    <w:keepNext/>
                    <w:keepLines/>
                    <w:spacing w:before="60" w:after="60"/>
                    <w:rPr>
                      <w:rFonts w:cs="Arial"/>
                      <w:b w:val="0"/>
                    </w:rPr>
                  </w:pPr>
                  <w:r>
                    <w:rPr>
                      <w:rFonts w:cs="Arial"/>
                      <w:b w:val="0"/>
                    </w:rPr>
                    <w:t>Point-to-</w:t>
                  </w:r>
                  <w:r w:rsidR="006F3F78">
                    <w:rPr>
                      <w:rFonts w:cs="Arial"/>
                      <w:b w:val="0"/>
                    </w:rPr>
                    <w:t>m</w:t>
                  </w:r>
                  <w:r>
                    <w:rPr>
                      <w:rFonts w:cs="Arial"/>
                      <w:b w:val="0"/>
                    </w:rPr>
                    <w:t>ultipoint</w:t>
                  </w:r>
                </w:p>
              </w:tc>
              <w:tc>
                <w:tcPr>
                  <w:tcW w:w="1382" w:type="dxa"/>
                  <w:shd w:val="clear" w:color="auto" w:fill="auto"/>
                  <w:tcMar>
                    <w:left w:w="113" w:type="dxa"/>
                  </w:tcMar>
                </w:tcPr>
                <w:p w14:paraId="16C79B90" w14:textId="043B9590" w:rsidR="00F17297" w:rsidRPr="00E05F0A" w:rsidRDefault="006E370D" w:rsidP="001F57E3">
                  <w:pPr>
                    <w:keepNext/>
                    <w:keepLines/>
                    <w:spacing w:before="60" w:after="60"/>
                    <w:rPr>
                      <w:rFonts w:cs="Arial"/>
                    </w:rPr>
                  </w:pPr>
                  <w:r>
                    <w:rPr>
                      <w:rFonts w:cs="Arial"/>
                    </w:rPr>
                    <w:t>0</w:t>
                  </w:r>
                </w:p>
              </w:tc>
              <w:tc>
                <w:tcPr>
                  <w:tcW w:w="1382" w:type="dxa"/>
                </w:tcPr>
                <w:p w14:paraId="02A7A687" w14:textId="32C211C2" w:rsidR="00F17297" w:rsidRPr="00E05F0A" w:rsidRDefault="006E370D" w:rsidP="001F57E3">
                  <w:pPr>
                    <w:keepNext/>
                    <w:keepLines/>
                    <w:spacing w:before="60" w:after="60"/>
                    <w:rPr>
                      <w:rFonts w:cs="Arial"/>
                    </w:rPr>
                  </w:pPr>
                  <w:r>
                    <w:rPr>
                      <w:rFonts w:cs="Arial"/>
                    </w:rPr>
                    <w:t>135</w:t>
                  </w:r>
                </w:p>
              </w:tc>
              <w:tc>
                <w:tcPr>
                  <w:tcW w:w="1382" w:type="dxa"/>
                </w:tcPr>
                <w:p w14:paraId="74AC39E5" w14:textId="3FDF5672" w:rsidR="00F17297" w:rsidRPr="00E05F0A" w:rsidRDefault="006E370D" w:rsidP="001F57E3">
                  <w:pPr>
                    <w:keepNext/>
                    <w:keepLines/>
                    <w:spacing w:before="60" w:after="60"/>
                    <w:rPr>
                      <w:rFonts w:cs="Arial"/>
                    </w:rPr>
                  </w:pPr>
                  <w:r>
                    <w:rPr>
                      <w:rFonts w:cs="Arial"/>
                    </w:rPr>
                    <w:t>305</w:t>
                  </w:r>
                </w:p>
              </w:tc>
              <w:tc>
                <w:tcPr>
                  <w:tcW w:w="1383" w:type="dxa"/>
                </w:tcPr>
                <w:p w14:paraId="0E35F085" w14:textId="36232EBA" w:rsidR="00F17297" w:rsidRPr="00E05F0A" w:rsidRDefault="006E370D" w:rsidP="001F57E3">
                  <w:pPr>
                    <w:keepNext/>
                    <w:keepLines/>
                    <w:spacing w:before="60" w:after="60"/>
                    <w:rPr>
                      <w:rFonts w:cs="Arial"/>
                    </w:rPr>
                  </w:pPr>
                  <w:r>
                    <w:rPr>
                      <w:rFonts w:cs="Arial"/>
                    </w:rPr>
                    <w:t>396</w:t>
                  </w:r>
                </w:p>
              </w:tc>
            </w:tr>
            <w:tr w:rsidR="00F17297" w:rsidRPr="00E05F0A" w14:paraId="07FB912B" w14:textId="77777777" w:rsidTr="001F57E3">
              <w:trPr>
                <w:trHeight w:val="185"/>
              </w:trPr>
              <w:tc>
                <w:tcPr>
                  <w:tcW w:w="2235" w:type="dxa"/>
                  <w:shd w:val="clear" w:color="auto" w:fill="F2F2F2" w:themeFill="background1" w:themeFillShade="F2"/>
                  <w:tcMar>
                    <w:left w:w="113" w:type="dxa"/>
                  </w:tcMar>
                </w:tcPr>
                <w:p w14:paraId="0DF6021D" w14:textId="7E956037" w:rsidR="00F17297" w:rsidRPr="006E370D" w:rsidRDefault="006E370D" w:rsidP="001F57E3">
                  <w:pPr>
                    <w:pStyle w:val="TableHeading"/>
                    <w:keepNext/>
                    <w:keepLines/>
                    <w:spacing w:before="60" w:after="60"/>
                    <w:rPr>
                      <w:rFonts w:cs="Arial"/>
                      <w:b w:val="0"/>
                    </w:rPr>
                  </w:pPr>
                  <w:r w:rsidRPr="006E370D">
                    <w:rPr>
                      <w:rFonts w:cs="Arial"/>
                      <w:b w:val="0"/>
                    </w:rPr>
                    <w:t>Point-to-</w:t>
                  </w:r>
                  <w:r w:rsidR="006F3F78">
                    <w:rPr>
                      <w:rFonts w:cs="Arial"/>
                      <w:b w:val="0"/>
                    </w:rPr>
                    <w:t>p</w:t>
                  </w:r>
                  <w:r w:rsidRPr="006E370D">
                    <w:rPr>
                      <w:rFonts w:cs="Arial"/>
                      <w:b w:val="0"/>
                    </w:rPr>
                    <w:t>oint</w:t>
                  </w:r>
                </w:p>
              </w:tc>
              <w:tc>
                <w:tcPr>
                  <w:tcW w:w="1382" w:type="dxa"/>
                  <w:shd w:val="clear" w:color="auto" w:fill="F2F2F2" w:themeFill="background1" w:themeFillShade="F2"/>
                  <w:tcMar>
                    <w:left w:w="113" w:type="dxa"/>
                  </w:tcMar>
                </w:tcPr>
                <w:p w14:paraId="31BBC749" w14:textId="1271CF67" w:rsidR="00F17297" w:rsidRPr="00E05F0A" w:rsidRDefault="006E370D" w:rsidP="001F57E3">
                  <w:pPr>
                    <w:keepNext/>
                    <w:keepLines/>
                    <w:spacing w:before="60" w:after="60"/>
                    <w:rPr>
                      <w:rFonts w:cs="Arial"/>
                    </w:rPr>
                  </w:pPr>
                  <w:r>
                    <w:rPr>
                      <w:rFonts w:cs="Arial"/>
                    </w:rPr>
                    <w:t>2</w:t>
                  </w:r>
                </w:p>
              </w:tc>
              <w:tc>
                <w:tcPr>
                  <w:tcW w:w="1382" w:type="dxa"/>
                  <w:shd w:val="clear" w:color="auto" w:fill="F2F2F2" w:themeFill="background1" w:themeFillShade="F2"/>
                </w:tcPr>
                <w:p w14:paraId="0BD91091" w14:textId="39EFD9AB" w:rsidR="00F17297" w:rsidRPr="00E05F0A" w:rsidRDefault="006E370D" w:rsidP="001F57E3">
                  <w:pPr>
                    <w:keepNext/>
                    <w:keepLines/>
                    <w:spacing w:before="60" w:after="60"/>
                    <w:rPr>
                      <w:rFonts w:cs="Arial"/>
                    </w:rPr>
                  </w:pPr>
                  <w:r>
                    <w:rPr>
                      <w:rFonts w:cs="Arial"/>
                    </w:rPr>
                    <w:t>14</w:t>
                  </w:r>
                </w:p>
              </w:tc>
              <w:tc>
                <w:tcPr>
                  <w:tcW w:w="1382" w:type="dxa"/>
                  <w:shd w:val="clear" w:color="auto" w:fill="F2F2F2" w:themeFill="background1" w:themeFillShade="F2"/>
                </w:tcPr>
                <w:p w14:paraId="215D445F" w14:textId="1A0D8BA9" w:rsidR="00F17297" w:rsidRPr="00E05F0A" w:rsidRDefault="006E370D" w:rsidP="001F57E3">
                  <w:pPr>
                    <w:keepNext/>
                    <w:keepLines/>
                    <w:spacing w:before="60" w:after="60"/>
                    <w:rPr>
                      <w:rFonts w:cs="Arial"/>
                    </w:rPr>
                  </w:pPr>
                  <w:r>
                    <w:rPr>
                      <w:rFonts w:cs="Arial"/>
                    </w:rPr>
                    <w:t>47</w:t>
                  </w:r>
                </w:p>
              </w:tc>
              <w:tc>
                <w:tcPr>
                  <w:tcW w:w="1383" w:type="dxa"/>
                  <w:shd w:val="clear" w:color="auto" w:fill="F2F2F2" w:themeFill="background1" w:themeFillShade="F2"/>
                </w:tcPr>
                <w:p w14:paraId="1214C51C" w14:textId="6DCCD02B" w:rsidR="00F17297" w:rsidRPr="00E05F0A" w:rsidRDefault="006E370D" w:rsidP="001F57E3">
                  <w:pPr>
                    <w:keepNext/>
                    <w:keepLines/>
                    <w:spacing w:before="60" w:after="60"/>
                    <w:rPr>
                      <w:rFonts w:cs="Arial"/>
                    </w:rPr>
                  </w:pPr>
                  <w:r>
                    <w:rPr>
                      <w:rFonts w:cs="Arial"/>
                    </w:rPr>
                    <w:t>47</w:t>
                  </w:r>
                </w:p>
              </w:tc>
            </w:tr>
            <w:tr w:rsidR="00F17297" w:rsidRPr="00E05F0A" w14:paraId="219C753D" w14:textId="77777777" w:rsidTr="001F57E3">
              <w:trPr>
                <w:trHeight w:val="185"/>
              </w:trPr>
              <w:tc>
                <w:tcPr>
                  <w:tcW w:w="2235" w:type="dxa"/>
                  <w:shd w:val="clear" w:color="auto" w:fill="auto"/>
                  <w:tcMar>
                    <w:left w:w="113" w:type="dxa"/>
                  </w:tcMar>
                </w:tcPr>
                <w:p w14:paraId="58FCD47E" w14:textId="4399254D" w:rsidR="00F17297" w:rsidRPr="006E370D" w:rsidRDefault="006E370D" w:rsidP="001F57E3">
                  <w:pPr>
                    <w:pStyle w:val="TableHeading"/>
                    <w:keepNext/>
                    <w:keepLines/>
                    <w:spacing w:before="60" w:after="60"/>
                    <w:rPr>
                      <w:rFonts w:cs="Arial"/>
                      <w:b w:val="0"/>
                    </w:rPr>
                  </w:pPr>
                  <w:r w:rsidRPr="006E370D">
                    <w:rPr>
                      <w:rFonts w:cs="Arial"/>
                      <w:b w:val="0"/>
                    </w:rPr>
                    <w:t xml:space="preserve">Earth </w:t>
                  </w:r>
                  <w:r w:rsidR="006F3F78">
                    <w:rPr>
                      <w:rFonts w:cs="Arial"/>
                      <w:b w:val="0"/>
                    </w:rPr>
                    <w:t>s</w:t>
                  </w:r>
                  <w:r w:rsidRPr="006E370D">
                    <w:rPr>
                      <w:rFonts w:cs="Arial"/>
                      <w:b w:val="0"/>
                    </w:rPr>
                    <w:t>tation</w:t>
                  </w:r>
                </w:p>
              </w:tc>
              <w:tc>
                <w:tcPr>
                  <w:tcW w:w="1382" w:type="dxa"/>
                  <w:shd w:val="clear" w:color="auto" w:fill="auto"/>
                  <w:tcMar>
                    <w:left w:w="113" w:type="dxa"/>
                  </w:tcMar>
                </w:tcPr>
                <w:p w14:paraId="7670D69D" w14:textId="25BA4E78" w:rsidR="00F17297" w:rsidRDefault="006E370D" w:rsidP="001F57E3">
                  <w:pPr>
                    <w:keepNext/>
                    <w:keepLines/>
                    <w:spacing w:before="60" w:after="60"/>
                    <w:rPr>
                      <w:rFonts w:cs="Arial"/>
                    </w:rPr>
                  </w:pPr>
                  <w:r>
                    <w:rPr>
                      <w:rFonts w:cs="Arial"/>
                    </w:rPr>
                    <w:t>17</w:t>
                  </w:r>
                </w:p>
              </w:tc>
              <w:tc>
                <w:tcPr>
                  <w:tcW w:w="1382" w:type="dxa"/>
                </w:tcPr>
                <w:p w14:paraId="61E63401" w14:textId="47E744F3" w:rsidR="00F17297" w:rsidRPr="00E05F0A" w:rsidRDefault="006E370D" w:rsidP="001F57E3">
                  <w:pPr>
                    <w:keepNext/>
                    <w:keepLines/>
                    <w:spacing w:before="60" w:after="60"/>
                    <w:rPr>
                      <w:rFonts w:cs="Arial"/>
                    </w:rPr>
                  </w:pPr>
                  <w:r>
                    <w:rPr>
                      <w:rFonts w:cs="Arial"/>
                    </w:rPr>
                    <w:t>17</w:t>
                  </w:r>
                </w:p>
              </w:tc>
              <w:tc>
                <w:tcPr>
                  <w:tcW w:w="1382" w:type="dxa"/>
                </w:tcPr>
                <w:p w14:paraId="5765E4A7" w14:textId="5F92D53E" w:rsidR="00F17297" w:rsidRPr="00E05F0A" w:rsidRDefault="006E370D" w:rsidP="001F57E3">
                  <w:pPr>
                    <w:keepNext/>
                    <w:keepLines/>
                    <w:spacing w:before="60" w:after="60"/>
                    <w:rPr>
                      <w:rFonts w:cs="Arial"/>
                    </w:rPr>
                  </w:pPr>
                  <w:r>
                    <w:rPr>
                      <w:rFonts w:cs="Arial"/>
                    </w:rPr>
                    <w:t>19</w:t>
                  </w:r>
                </w:p>
              </w:tc>
              <w:tc>
                <w:tcPr>
                  <w:tcW w:w="1383" w:type="dxa"/>
                </w:tcPr>
                <w:p w14:paraId="7B01AFC9" w14:textId="14BC545E" w:rsidR="00F17297" w:rsidRPr="00E05F0A" w:rsidRDefault="006E370D" w:rsidP="001F57E3">
                  <w:pPr>
                    <w:keepNext/>
                    <w:keepLines/>
                    <w:spacing w:before="60" w:after="60"/>
                    <w:rPr>
                      <w:rFonts w:cs="Arial"/>
                    </w:rPr>
                  </w:pPr>
                  <w:r>
                    <w:rPr>
                      <w:rFonts w:cs="Arial"/>
                    </w:rPr>
                    <w:t>20</w:t>
                  </w:r>
                </w:p>
              </w:tc>
            </w:tr>
            <w:tr w:rsidR="00F17297" w:rsidRPr="00E05F0A" w14:paraId="3896DF25" w14:textId="77777777" w:rsidTr="001F57E3">
              <w:trPr>
                <w:trHeight w:val="185"/>
              </w:trPr>
              <w:tc>
                <w:tcPr>
                  <w:tcW w:w="2235" w:type="dxa"/>
                  <w:shd w:val="clear" w:color="auto" w:fill="F2F2F2" w:themeFill="background1" w:themeFillShade="F2"/>
                  <w:tcMar>
                    <w:left w:w="113" w:type="dxa"/>
                  </w:tcMar>
                </w:tcPr>
                <w:p w14:paraId="62FD6274" w14:textId="6538D69C" w:rsidR="00F17297" w:rsidRPr="006E370D" w:rsidRDefault="006E370D" w:rsidP="001F57E3">
                  <w:pPr>
                    <w:keepNext/>
                    <w:keepLines/>
                    <w:spacing w:before="60" w:after="60"/>
                    <w:rPr>
                      <w:rFonts w:cs="Arial"/>
                    </w:rPr>
                  </w:pPr>
                  <w:r w:rsidRPr="006E370D">
                    <w:rPr>
                      <w:rFonts w:cs="Arial"/>
                    </w:rPr>
                    <w:t xml:space="preserve">Amateur </w:t>
                  </w:r>
                  <w:r w:rsidR="006F3F78">
                    <w:rPr>
                      <w:rFonts w:cs="Arial"/>
                    </w:rPr>
                    <w:t>r</w:t>
                  </w:r>
                  <w:r w:rsidRPr="006E370D">
                    <w:rPr>
                      <w:rFonts w:cs="Arial"/>
                    </w:rPr>
                    <w:t>epeater</w:t>
                  </w:r>
                </w:p>
              </w:tc>
              <w:tc>
                <w:tcPr>
                  <w:tcW w:w="1382" w:type="dxa"/>
                  <w:shd w:val="clear" w:color="auto" w:fill="F2F2F2" w:themeFill="background1" w:themeFillShade="F2"/>
                  <w:tcMar>
                    <w:left w:w="113" w:type="dxa"/>
                  </w:tcMar>
                </w:tcPr>
                <w:p w14:paraId="2DB6D695" w14:textId="77610B5C" w:rsidR="00F17297" w:rsidRPr="00E05F0A" w:rsidRDefault="006E370D" w:rsidP="001F57E3">
                  <w:pPr>
                    <w:keepNext/>
                    <w:keepLines/>
                    <w:spacing w:before="60" w:after="60"/>
                    <w:rPr>
                      <w:rFonts w:cs="Arial"/>
                    </w:rPr>
                  </w:pPr>
                  <w:r>
                    <w:rPr>
                      <w:rFonts w:cs="Arial"/>
                    </w:rPr>
                    <w:t>2</w:t>
                  </w:r>
                </w:p>
              </w:tc>
              <w:tc>
                <w:tcPr>
                  <w:tcW w:w="1382" w:type="dxa"/>
                  <w:shd w:val="clear" w:color="auto" w:fill="F2F2F2" w:themeFill="background1" w:themeFillShade="F2"/>
                </w:tcPr>
                <w:p w14:paraId="5A52CED2" w14:textId="0E4CEFA7" w:rsidR="00F17297" w:rsidRPr="00E05F0A" w:rsidRDefault="006E370D" w:rsidP="001F57E3">
                  <w:pPr>
                    <w:keepNext/>
                    <w:keepLines/>
                    <w:spacing w:before="60" w:after="60"/>
                    <w:rPr>
                      <w:rFonts w:cs="Arial"/>
                    </w:rPr>
                  </w:pPr>
                  <w:r>
                    <w:rPr>
                      <w:rFonts w:cs="Arial"/>
                    </w:rPr>
                    <w:t>2</w:t>
                  </w:r>
                </w:p>
              </w:tc>
              <w:tc>
                <w:tcPr>
                  <w:tcW w:w="1382" w:type="dxa"/>
                  <w:shd w:val="clear" w:color="auto" w:fill="F2F2F2" w:themeFill="background1" w:themeFillShade="F2"/>
                </w:tcPr>
                <w:p w14:paraId="35D52D13" w14:textId="0EABD24D" w:rsidR="00F17297" w:rsidRPr="00E05F0A" w:rsidRDefault="006E370D" w:rsidP="001F57E3">
                  <w:pPr>
                    <w:keepNext/>
                    <w:keepLines/>
                    <w:spacing w:before="60" w:after="60"/>
                    <w:rPr>
                      <w:rFonts w:cs="Arial"/>
                    </w:rPr>
                  </w:pPr>
                  <w:r>
                    <w:rPr>
                      <w:rFonts w:cs="Arial"/>
                    </w:rPr>
                    <w:t>2</w:t>
                  </w:r>
                </w:p>
              </w:tc>
              <w:tc>
                <w:tcPr>
                  <w:tcW w:w="1383" w:type="dxa"/>
                  <w:shd w:val="clear" w:color="auto" w:fill="F2F2F2" w:themeFill="background1" w:themeFillShade="F2"/>
                </w:tcPr>
                <w:p w14:paraId="4E2F0320" w14:textId="17FD49F5" w:rsidR="00F17297" w:rsidRPr="00E05F0A" w:rsidRDefault="006E370D" w:rsidP="001F57E3">
                  <w:pPr>
                    <w:keepNext/>
                    <w:keepLines/>
                    <w:spacing w:before="60" w:after="60"/>
                    <w:rPr>
                      <w:rFonts w:cs="Arial"/>
                    </w:rPr>
                  </w:pPr>
                  <w:r>
                    <w:rPr>
                      <w:rFonts w:cs="Arial"/>
                    </w:rPr>
                    <w:t>2</w:t>
                  </w:r>
                </w:p>
              </w:tc>
            </w:tr>
            <w:tr w:rsidR="00F17297" w:rsidRPr="00E05F0A" w14:paraId="29CA5638" w14:textId="77777777" w:rsidTr="001F57E3">
              <w:trPr>
                <w:trHeight w:val="185"/>
              </w:trPr>
              <w:tc>
                <w:tcPr>
                  <w:tcW w:w="2235" w:type="dxa"/>
                  <w:shd w:val="clear" w:color="auto" w:fill="D9D9D9" w:themeFill="background1" w:themeFillShade="D9"/>
                  <w:tcMar>
                    <w:left w:w="113" w:type="dxa"/>
                  </w:tcMar>
                </w:tcPr>
                <w:p w14:paraId="5B4A2171" w14:textId="47088B8E" w:rsidR="00F17297" w:rsidRPr="006F3F78" w:rsidRDefault="002E78FC" w:rsidP="001F57E3">
                  <w:pPr>
                    <w:keepNext/>
                    <w:keepLines/>
                    <w:spacing w:before="60" w:after="60"/>
                    <w:rPr>
                      <w:rFonts w:cs="Arial"/>
                      <w:b/>
                    </w:rPr>
                  </w:pPr>
                  <w:r w:rsidRPr="006F3F78">
                    <w:rPr>
                      <w:rFonts w:cs="Arial"/>
                      <w:b/>
                    </w:rPr>
                    <w:t>Total</w:t>
                  </w:r>
                </w:p>
              </w:tc>
              <w:tc>
                <w:tcPr>
                  <w:tcW w:w="1382" w:type="dxa"/>
                  <w:shd w:val="clear" w:color="auto" w:fill="D9D9D9" w:themeFill="background1" w:themeFillShade="D9"/>
                  <w:tcMar>
                    <w:left w:w="113" w:type="dxa"/>
                  </w:tcMar>
                </w:tcPr>
                <w:p w14:paraId="45F1DC71" w14:textId="16485B04" w:rsidR="00F17297" w:rsidRPr="001F57E3" w:rsidRDefault="006E370D" w:rsidP="001F57E3">
                  <w:pPr>
                    <w:keepNext/>
                    <w:keepLines/>
                    <w:spacing w:before="60" w:after="60"/>
                    <w:rPr>
                      <w:rFonts w:cs="Arial"/>
                      <w:b/>
                    </w:rPr>
                  </w:pPr>
                  <w:r w:rsidRPr="001F57E3">
                    <w:rPr>
                      <w:rFonts w:cs="Arial"/>
                      <w:b/>
                    </w:rPr>
                    <w:t>21</w:t>
                  </w:r>
                </w:p>
              </w:tc>
              <w:tc>
                <w:tcPr>
                  <w:tcW w:w="1382" w:type="dxa"/>
                  <w:shd w:val="clear" w:color="auto" w:fill="D9D9D9" w:themeFill="background1" w:themeFillShade="D9"/>
                </w:tcPr>
                <w:p w14:paraId="6AA2C692" w14:textId="165CD1B9" w:rsidR="00F17297" w:rsidRPr="001F57E3" w:rsidRDefault="006E370D" w:rsidP="001F57E3">
                  <w:pPr>
                    <w:keepNext/>
                    <w:keepLines/>
                    <w:spacing w:before="60" w:after="60"/>
                    <w:rPr>
                      <w:rFonts w:cs="Arial"/>
                      <w:b/>
                    </w:rPr>
                  </w:pPr>
                  <w:r w:rsidRPr="001F57E3">
                    <w:rPr>
                      <w:rFonts w:cs="Arial"/>
                      <w:b/>
                    </w:rPr>
                    <w:t>168</w:t>
                  </w:r>
                </w:p>
              </w:tc>
              <w:tc>
                <w:tcPr>
                  <w:tcW w:w="1382" w:type="dxa"/>
                  <w:shd w:val="clear" w:color="auto" w:fill="D9D9D9" w:themeFill="background1" w:themeFillShade="D9"/>
                </w:tcPr>
                <w:p w14:paraId="01A8C1FC" w14:textId="69CCBBBF" w:rsidR="00F17297" w:rsidRPr="001F57E3" w:rsidRDefault="006E370D" w:rsidP="001F57E3">
                  <w:pPr>
                    <w:keepNext/>
                    <w:keepLines/>
                    <w:spacing w:before="60" w:after="60"/>
                    <w:rPr>
                      <w:rFonts w:cs="Arial"/>
                      <w:b/>
                    </w:rPr>
                  </w:pPr>
                  <w:r w:rsidRPr="001F57E3">
                    <w:rPr>
                      <w:rFonts w:cs="Arial"/>
                      <w:b/>
                    </w:rPr>
                    <w:t>373</w:t>
                  </w:r>
                </w:p>
              </w:tc>
              <w:tc>
                <w:tcPr>
                  <w:tcW w:w="1383" w:type="dxa"/>
                  <w:shd w:val="clear" w:color="auto" w:fill="D9D9D9" w:themeFill="background1" w:themeFillShade="D9"/>
                </w:tcPr>
                <w:p w14:paraId="42268616" w14:textId="61D9FACC" w:rsidR="00F17297" w:rsidRPr="001F57E3" w:rsidRDefault="006E370D" w:rsidP="001F57E3">
                  <w:pPr>
                    <w:keepNext/>
                    <w:keepLines/>
                    <w:spacing w:before="60" w:after="60"/>
                    <w:rPr>
                      <w:rFonts w:cs="Arial"/>
                      <w:b/>
                    </w:rPr>
                  </w:pPr>
                  <w:r w:rsidRPr="001F57E3">
                    <w:rPr>
                      <w:rFonts w:cs="Arial"/>
                      <w:b/>
                    </w:rPr>
                    <w:t>465</w:t>
                  </w:r>
                </w:p>
              </w:tc>
            </w:tr>
          </w:tbl>
          <w:p w14:paraId="525A603C" w14:textId="77777777" w:rsidR="00146E70" w:rsidRPr="00E05F0A" w:rsidRDefault="00146E70" w:rsidP="005550DF">
            <w:pPr>
              <w:keepNext/>
              <w:keepLines/>
              <w:rPr>
                <w:rFonts w:cs="Arial"/>
              </w:rPr>
            </w:pPr>
          </w:p>
        </w:tc>
      </w:tr>
    </w:tbl>
    <w:p w14:paraId="3207778F" w14:textId="77777777" w:rsidR="00146E70" w:rsidRDefault="00146E70" w:rsidP="00146E70">
      <w:pPr>
        <w:rPr>
          <w:rFonts w:cs="Arial"/>
        </w:rPr>
      </w:pPr>
    </w:p>
    <w:p w14:paraId="323E5EAD" w14:textId="508DFE21" w:rsidR="00146E70" w:rsidRDefault="00F17297" w:rsidP="00825C27">
      <w:r>
        <w:t>In summary, t</w:t>
      </w:r>
      <w:r w:rsidR="00146E70">
        <w:t>he number of incumbent services potentially affected decreases as the size of the area to be r</w:t>
      </w:r>
      <w:r w:rsidR="004045F8">
        <w:t>e-farmed</w:t>
      </w:r>
      <w:r w:rsidR="00146E70">
        <w:t xml:space="preserve"> decreases. Conversely</w:t>
      </w:r>
      <w:r w:rsidR="006F3F78">
        <w:t>,</w:t>
      </w:r>
      <w:r w:rsidR="00146E70">
        <w:t xml:space="preserve"> the</w:t>
      </w:r>
      <w:r>
        <w:t xml:space="preserve"> ability of a licensee to deploy wide-area TDD </w:t>
      </w:r>
      <w:r w:rsidR="005A21F6">
        <w:t>MBB</w:t>
      </w:r>
      <w:r>
        <w:t xml:space="preserve"> service</w:t>
      </w:r>
      <w:r w:rsidR="00512B97">
        <w:t>s</w:t>
      </w:r>
      <w:r>
        <w:t xml:space="preserve"> al</w:t>
      </w:r>
      <w:r w:rsidR="00AA676D">
        <w:t>so decrease</w:t>
      </w:r>
      <w:r w:rsidR="006F3F78">
        <w:t>s</w:t>
      </w:r>
      <w:r w:rsidR="00AA676D">
        <w:t xml:space="preserve"> if the area</w:t>
      </w:r>
      <w:r>
        <w:t xml:space="preserve"> defined </w:t>
      </w:r>
      <w:r w:rsidR="00AA676D">
        <w:t xml:space="preserve">is </w:t>
      </w:r>
      <w:r>
        <w:t xml:space="preserve">too small. Both these issues need to be considered when determining the size of any area that may be subject to </w:t>
      </w:r>
      <w:r w:rsidR="00EF6AAD">
        <w:t>re-farming</w:t>
      </w:r>
      <w:r>
        <w:t>.</w:t>
      </w:r>
    </w:p>
    <w:p w14:paraId="71127964" w14:textId="2D236888" w:rsidR="00825C27" w:rsidRDefault="00146E70" w:rsidP="004F7EC4">
      <w:pPr>
        <w:pStyle w:val="ListParagraph"/>
        <w:numPr>
          <w:ilvl w:val="0"/>
          <w:numId w:val="19"/>
        </w:numPr>
        <w:shd w:val="clear" w:color="auto" w:fill="F2F2F2" w:themeFill="background1" w:themeFillShade="F2"/>
        <w:spacing w:after="240" w:line="240" w:lineRule="atLeast"/>
        <w:ind w:left="426" w:hanging="426"/>
        <w:contextualSpacing w:val="0"/>
      </w:pPr>
      <w:r w:rsidRPr="006D6661">
        <w:rPr>
          <w:b/>
        </w:rPr>
        <w:t xml:space="preserve">If the </w:t>
      </w:r>
      <w:r w:rsidR="00F17297" w:rsidRPr="006D6661">
        <w:rPr>
          <w:b/>
        </w:rPr>
        <w:t>3.6</w:t>
      </w:r>
      <w:r w:rsidRPr="006D6661">
        <w:rPr>
          <w:b/>
        </w:rPr>
        <w:t xml:space="preserve"> GHz band is re-farmed for </w:t>
      </w:r>
      <w:r w:rsidR="005A21F6" w:rsidRPr="006D6661">
        <w:rPr>
          <w:b/>
        </w:rPr>
        <w:t>MBB</w:t>
      </w:r>
      <w:r w:rsidRPr="006D6661">
        <w:rPr>
          <w:b/>
        </w:rPr>
        <w:t xml:space="preserve"> services, what geographical areas should be </w:t>
      </w:r>
      <w:r w:rsidR="00A32F91" w:rsidRPr="006D6661">
        <w:rPr>
          <w:b/>
        </w:rPr>
        <w:t>considered</w:t>
      </w:r>
      <w:r w:rsidRPr="006D6661">
        <w:rPr>
          <w:b/>
        </w:rPr>
        <w:t>?</w:t>
      </w:r>
      <w:bookmarkStart w:id="108" w:name="_Toc459906740"/>
    </w:p>
    <w:p w14:paraId="2747B945" w14:textId="2D32D402" w:rsidR="00F23F68" w:rsidRDefault="00B75DCA" w:rsidP="00825C27">
      <w:pPr>
        <w:pStyle w:val="Heading3"/>
      </w:pPr>
      <w:bookmarkStart w:id="109" w:name="_Toc464480532"/>
      <w:r>
        <w:t>Coexistence and s</w:t>
      </w:r>
      <w:r w:rsidR="00F23F68">
        <w:t xml:space="preserve">haring with </w:t>
      </w:r>
      <w:r w:rsidR="00E97269">
        <w:t xml:space="preserve">incumbent </w:t>
      </w:r>
      <w:r w:rsidR="00F23F68">
        <w:t>services</w:t>
      </w:r>
      <w:bookmarkEnd w:id="108"/>
      <w:bookmarkEnd w:id="109"/>
    </w:p>
    <w:p w14:paraId="197C4BF3" w14:textId="426DED5E" w:rsidR="007867CE" w:rsidRPr="00576748" w:rsidRDefault="007867CE" w:rsidP="001F57E3">
      <w:pPr>
        <w:pStyle w:val="BodySubHeader"/>
        <w:spacing w:before="120"/>
      </w:pPr>
      <w:r w:rsidRPr="00576748">
        <w:t xml:space="preserve">Incumbent </w:t>
      </w:r>
      <w:r w:rsidR="006F3F78">
        <w:t>s</w:t>
      </w:r>
      <w:r w:rsidRPr="00576748">
        <w:t>ervices</w:t>
      </w:r>
    </w:p>
    <w:p w14:paraId="6F5E8DFE" w14:textId="154AD445" w:rsidR="00FC1324" w:rsidRDefault="00951A87" w:rsidP="00825C27">
      <w:r>
        <w:t xml:space="preserve">It is envisaged that there will be </w:t>
      </w:r>
      <w:r w:rsidR="00FC1324">
        <w:t>demand for</w:t>
      </w:r>
      <w:r>
        <w:t xml:space="preserve"> </w:t>
      </w:r>
      <w:r w:rsidR="00FC1324">
        <w:t xml:space="preserve">numerous incumbent </w:t>
      </w:r>
      <w:r>
        <w:t xml:space="preserve">services </w:t>
      </w:r>
      <w:r w:rsidR="00FC1324">
        <w:t xml:space="preserve">to continue operating </w:t>
      </w:r>
      <w:r>
        <w:t xml:space="preserve">in the </w:t>
      </w:r>
      <w:r w:rsidR="00FC1324">
        <w:t>3.6</w:t>
      </w:r>
      <w:r>
        <w:t xml:space="preserve"> GHz band in the future.</w:t>
      </w:r>
      <w:r w:rsidR="00FC1324">
        <w:t xml:space="preserve"> </w:t>
      </w:r>
      <w:r w:rsidR="00AA676D">
        <w:t>For example, i</w:t>
      </w:r>
      <w:r w:rsidR="00FC1324">
        <w:t xml:space="preserve">f the band is re-farmed for </w:t>
      </w:r>
      <w:r w:rsidR="005A21F6">
        <w:t>MBB</w:t>
      </w:r>
      <w:r w:rsidR="00FC1324">
        <w:t xml:space="preserve"> services</w:t>
      </w:r>
      <w:r w:rsidR="006F3F78">
        <w:t>,</w:t>
      </w:r>
      <w:r w:rsidR="00FC1324">
        <w:t xml:space="preserve"> it may not be practical for all services to relocate to new bands or alternative means of delivery. One option to enable such services to continue operating is to implement sharing arrangements in the band. </w:t>
      </w:r>
    </w:p>
    <w:p w14:paraId="512EDEBE" w14:textId="69A8477A" w:rsidR="009738A0" w:rsidRDefault="00FC1324" w:rsidP="00825C27">
      <w:pPr>
        <w:spacing w:after="80"/>
      </w:pPr>
      <w:r>
        <w:t>Sharing could take many different forms.</w:t>
      </w:r>
      <w:r w:rsidR="009738A0">
        <w:t xml:space="preserve"> At its most basic level, it could allow certain services or licences to continue operating in the 3.6 GHz band</w:t>
      </w:r>
      <w:r w:rsidR="00AA676D">
        <w:t xml:space="preserve"> after any re-farming has occurred</w:t>
      </w:r>
      <w:r w:rsidR="00775791">
        <w:t>. Such operation may be</w:t>
      </w:r>
      <w:r w:rsidR="009738A0">
        <w:t xml:space="preserve"> </w:t>
      </w:r>
      <w:r w:rsidR="00775791">
        <w:t xml:space="preserve">on a primary or secondary basis, or alternatively a multi-tiered access sharing arrangement could be </w:t>
      </w:r>
      <w:r w:rsidR="00EF76DF">
        <w:t>developed:</w:t>
      </w:r>
    </w:p>
    <w:p w14:paraId="70267081" w14:textId="52B07D56" w:rsidR="00775791" w:rsidRPr="00C121D0" w:rsidRDefault="009738A0" w:rsidP="00825C27">
      <w:pPr>
        <w:pStyle w:val="ListBullet"/>
      </w:pPr>
      <w:r w:rsidRPr="00C121D0">
        <w:t xml:space="preserve">If a service type or </w:t>
      </w:r>
      <w:r w:rsidR="00775791" w:rsidRPr="00C121D0">
        <w:t xml:space="preserve">specified </w:t>
      </w:r>
      <w:r w:rsidRPr="00C121D0">
        <w:t>licence</w:t>
      </w:r>
      <w:r w:rsidR="00775791" w:rsidRPr="00C121D0">
        <w:t>(s)</w:t>
      </w:r>
      <w:r w:rsidRPr="00C121D0">
        <w:t xml:space="preserve"> continue to operate on a primary basis, any new services would need </w:t>
      </w:r>
      <w:r w:rsidR="00AA676D">
        <w:t xml:space="preserve">to </w:t>
      </w:r>
      <w:r w:rsidRPr="00C121D0">
        <w:t xml:space="preserve">ensure they </w:t>
      </w:r>
      <w:r w:rsidR="00775791" w:rsidRPr="00C121D0">
        <w:t xml:space="preserve">do </w:t>
      </w:r>
      <w:r w:rsidRPr="00C121D0">
        <w:t>not cause unacceptable interference to them.</w:t>
      </w:r>
      <w:r w:rsidR="00AA676D">
        <w:t xml:space="preserve"> This w</w:t>
      </w:r>
      <w:r w:rsidRPr="00C121D0">
        <w:t xml:space="preserve">ould allow incumbent </w:t>
      </w:r>
      <w:r w:rsidR="00775791" w:rsidRPr="00C121D0">
        <w:t xml:space="preserve">licensees </w:t>
      </w:r>
      <w:r w:rsidRPr="00C121D0">
        <w:t xml:space="preserve">to continue operating </w:t>
      </w:r>
      <w:r w:rsidR="00AA676D">
        <w:t xml:space="preserve">in the 3.6 GHz band </w:t>
      </w:r>
      <w:r w:rsidRPr="00C121D0">
        <w:t xml:space="preserve">unaffected by any re-farming activities. </w:t>
      </w:r>
    </w:p>
    <w:p w14:paraId="70D63F1B" w14:textId="6B6DD8C5" w:rsidR="00FC1324" w:rsidRPr="00C121D0" w:rsidRDefault="00775791" w:rsidP="00825C27">
      <w:pPr>
        <w:pStyle w:val="ListBullet"/>
      </w:pPr>
      <w:r w:rsidRPr="00C121D0">
        <w:t>If a service type or specified licence(s) continue to operate on a secondary basis, they must not cause unacceptable interfer</w:t>
      </w:r>
      <w:r w:rsidR="00AA676D">
        <w:t>ence to primary services. This w</w:t>
      </w:r>
      <w:r w:rsidRPr="00C121D0">
        <w:t>ould allow incumbent licensees to continue operating in the band</w:t>
      </w:r>
      <w:r w:rsidR="006F3F78">
        <w:t>,</w:t>
      </w:r>
      <w:r w:rsidRPr="00C121D0">
        <w:t xml:space="preserve"> until </w:t>
      </w:r>
      <w:r w:rsidR="00AA676D">
        <w:t>a primary user</w:t>
      </w:r>
      <w:r w:rsidRPr="00C121D0">
        <w:t xml:space="preserve"> </w:t>
      </w:r>
      <w:r w:rsidR="00AA676D">
        <w:t xml:space="preserve">deployed </w:t>
      </w:r>
      <w:r w:rsidRPr="00C121D0">
        <w:t xml:space="preserve">services in the same (or potentially nearby) area. </w:t>
      </w:r>
    </w:p>
    <w:p w14:paraId="32DFC60F" w14:textId="3A95D92E" w:rsidR="00775791" w:rsidRPr="00C121D0" w:rsidRDefault="00775791" w:rsidP="00825C27">
      <w:pPr>
        <w:pStyle w:val="ListBulletLast"/>
      </w:pPr>
      <w:r w:rsidRPr="00C121D0">
        <w:t>In a multi-tiered approach</w:t>
      </w:r>
      <w:r w:rsidR="00AA676D">
        <w:t>,</w:t>
      </w:r>
      <w:r w:rsidRPr="00C121D0">
        <w:t xml:space="preserve"> </w:t>
      </w:r>
      <w:r w:rsidR="00EF76DF" w:rsidRPr="00C121D0">
        <w:t xml:space="preserve">primary, secondary, tertiary and potentially more levels are defined for different services types or specified licences. </w:t>
      </w:r>
    </w:p>
    <w:p w14:paraId="6F80A640" w14:textId="1D0FD47C" w:rsidR="00C121D0" w:rsidRDefault="00C121D0" w:rsidP="00825C27">
      <w:r>
        <w:t xml:space="preserve">Other alternatives for sharing include providing adequate geographical separation between services. This could allow an </w:t>
      </w:r>
      <w:r w:rsidR="00FB1053">
        <w:t>incumbent</w:t>
      </w:r>
      <w:r>
        <w:t xml:space="preserve"> service to continue operating in the band by ensuring sufficient </w:t>
      </w:r>
      <w:r w:rsidR="00AA676D">
        <w:t xml:space="preserve">geographical </w:t>
      </w:r>
      <w:r>
        <w:t>separation with new services</w:t>
      </w:r>
      <w:r w:rsidR="006F3F78">
        <w:t>,</w:t>
      </w:r>
      <w:r>
        <w:t xml:space="preserve"> or by moving it to a different location. The latter may not be a practical solution </w:t>
      </w:r>
      <w:r w:rsidR="00804527">
        <w:t>in many cases</w:t>
      </w:r>
      <w:r w:rsidR="00512B97">
        <w:t>,</w:t>
      </w:r>
      <w:r w:rsidR="00804527">
        <w:t xml:space="preserve"> </w:t>
      </w:r>
      <w:r w:rsidR="00512B97">
        <w:t>p</w:t>
      </w:r>
      <w:r w:rsidR="00804527">
        <w:t xml:space="preserve">articularly </w:t>
      </w:r>
      <w:r>
        <w:t xml:space="preserve">for </w:t>
      </w:r>
      <w:r w:rsidR="00804527">
        <w:t xml:space="preserve">those </w:t>
      </w:r>
      <w:r>
        <w:t xml:space="preserve">services that are </w:t>
      </w:r>
      <w:r w:rsidR="00804527">
        <w:t>area/location</w:t>
      </w:r>
      <w:r>
        <w:t xml:space="preserve"> specific. </w:t>
      </w:r>
    </w:p>
    <w:p w14:paraId="2B508EEC" w14:textId="10A18BF8" w:rsidR="00951A87" w:rsidRDefault="00EF76DF" w:rsidP="00825C27">
      <w:r>
        <w:t xml:space="preserve">When considering if and how to implement sharing arrangements, </w:t>
      </w:r>
      <w:r w:rsidR="00C121D0">
        <w:t xml:space="preserve">the best solution may be different for different service types and/or licences. </w:t>
      </w:r>
      <w:r w:rsidR="00804527">
        <w:t xml:space="preserve">The ACMA is open to considering </w:t>
      </w:r>
      <w:r w:rsidR="00AA676D">
        <w:t>alternative</w:t>
      </w:r>
      <w:r w:rsidR="00804527">
        <w:t xml:space="preserve"> options</w:t>
      </w:r>
      <w:r w:rsidR="00512B97">
        <w:t>.</w:t>
      </w:r>
      <w:r w:rsidR="00804527">
        <w:t xml:space="preserve"> </w:t>
      </w:r>
      <w:r w:rsidR="00951A87">
        <w:t xml:space="preserve"> </w:t>
      </w:r>
    </w:p>
    <w:p w14:paraId="7B056786" w14:textId="7F5DA662" w:rsidR="00576A53" w:rsidRPr="006D6661" w:rsidRDefault="003772DE" w:rsidP="004F7EC4">
      <w:pPr>
        <w:pStyle w:val="ListParagraph"/>
        <w:numPr>
          <w:ilvl w:val="0"/>
          <w:numId w:val="19"/>
        </w:numPr>
        <w:shd w:val="clear" w:color="auto" w:fill="F2F2F2" w:themeFill="background1" w:themeFillShade="F2"/>
        <w:spacing w:after="240" w:line="240" w:lineRule="atLeast"/>
        <w:ind w:left="426" w:hanging="426"/>
        <w:contextualSpacing w:val="0"/>
        <w:rPr>
          <w:b/>
        </w:rPr>
      </w:pPr>
      <w:r w:rsidRPr="006D6661">
        <w:rPr>
          <w:b/>
        </w:rPr>
        <w:t xml:space="preserve">If the 3.6 GHz band is re-farmed for </w:t>
      </w:r>
      <w:r w:rsidR="005A21F6" w:rsidRPr="006D6661">
        <w:rPr>
          <w:b/>
        </w:rPr>
        <w:t>MBB</w:t>
      </w:r>
      <w:r w:rsidRPr="006D6661">
        <w:rPr>
          <w:b/>
        </w:rPr>
        <w:t xml:space="preserve"> services, should existing users (some or all) be allowed to continue operation within the band either temporarily or on an ongoing basis? S</w:t>
      </w:r>
      <w:r w:rsidR="00576A53" w:rsidRPr="006D6661">
        <w:rPr>
          <w:b/>
        </w:rPr>
        <w:t>hould</w:t>
      </w:r>
      <w:r w:rsidR="00B42F3F" w:rsidRPr="006D6661">
        <w:rPr>
          <w:b/>
        </w:rPr>
        <w:t>/could</w:t>
      </w:r>
      <w:r w:rsidR="00576A53" w:rsidRPr="006D6661">
        <w:rPr>
          <w:b/>
        </w:rPr>
        <w:t xml:space="preserve"> sharing arrangements be developed? Should sharing only be considered for some services or specific licences? If yes, what kind of arrangements would be suitable to support the ongoing operation of incumbent services or specific licences? If no, why?</w:t>
      </w:r>
    </w:p>
    <w:p w14:paraId="5835BEA9" w14:textId="0B473C3F" w:rsidR="00825C27" w:rsidRDefault="003772DE" w:rsidP="004F7EC4">
      <w:pPr>
        <w:pStyle w:val="ListParagraph"/>
        <w:numPr>
          <w:ilvl w:val="0"/>
          <w:numId w:val="19"/>
        </w:numPr>
        <w:shd w:val="clear" w:color="auto" w:fill="F2F2F2" w:themeFill="background1" w:themeFillShade="F2"/>
        <w:spacing w:after="240" w:line="240" w:lineRule="atLeast"/>
        <w:ind w:left="426" w:hanging="426"/>
        <w:contextualSpacing w:val="0"/>
      </w:pPr>
      <w:r w:rsidRPr="006D6661">
        <w:rPr>
          <w:b/>
        </w:rPr>
        <w:t xml:space="preserve">If the 3.6 GHz band is re-farmed for </w:t>
      </w:r>
      <w:r w:rsidR="005A21F6" w:rsidRPr="006D6661">
        <w:rPr>
          <w:b/>
        </w:rPr>
        <w:t>MBB</w:t>
      </w:r>
      <w:r w:rsidRPr="006D6661">
        <w:rPr>
          <w:b/>
        </w:rPr>
        <w:t xml:space="preserve"> services, and migration of </w:t>
      </w:r>
      <w:r w:rsidR="00FB1053" w:rsidRPr="006D6661">
        <w:rPr>
          <w:b/>
        </w:rPr>
        <w:t>incumbent</w:t>
      </w:r>
      <w:r w:rsidRPr="006D6661">
        <w:rPr>
          <w:b/>
        </w:rPr>
        <w:t xml:space="preserve"> services is required, are the</w:t>
      </w:r>
      <w:r w:rsidR="00512B97" w:rsidRPr="006D6661">
        <w:rPr>
          <w:b/>
        </w:rPr>
        <w:t>re</w:t>
      </w:r>
      <w:r w:rsidRPr="006D6661">
        <w:rPr>
          <w:b/>
        </w:rPr>
        <w:t xml:space="preserve"> alternative spectrum or delivery options?</w:t>
      </w:r>
    </w:p>
    <w:p w14:paraId="32D45DBA" w14:textId="019E549C" w:rsidR="007867CE" w:rsidRPr="00576748" w:rsidRDefault="007867CE" w:rsidP="00825C27">
      <w:pPr>
        <w:pStyle w:val="BodySubHeader"/>
      </w:pPr>
      <w:r w:rsidRPr="00576748">
        <w:t xml:space="preserve">Compatibility issues </w:t>
      </w:r>
      <w:r w:rsidRPr="00825C27">
        <w:t>with</w:t>
      </w:r>
      <w:r w:rsidRPr="00576748">
        <w:t xml:space="preserve"> adjacent band services below 3575 MHz </w:t>
      </w:r>
    </w:p>
    <w:p w14:paraId="181C7EF7" w14:textId="46DEEECA" w:rsidR="007867CE" w:rsidRPr="00825C27" w:rsidRDefault="007867CE" w:rsidP="001F57E3">
      <w:pPr>
        <w:pStyle w:val="BodySubHeader"/>
        <w:spacing w:before="120"/>
        <w:rPr>
          <w:b w:val="0"/>
        </w:rPr>
      </w:pPr>
      <w:r w:rsidRPr="00825C27">
        <w:rPr>
          <w:b w:val="0"/>
        </w:rPr>
        <w:t xml:space="preserve">Primary </w:t>
      </w:r>
      <w:r w:rsidR="006F3F78">
        <w:rPr>
          <w:b w:val="0"/>
        </w:rPr>
        <w:t>s</w:t>
      </w:r>
      <w:r w:rsidRPr="00825C27">
        <w:rPr>
          <w:b w:val="0"/>
        </w:rPr>
        <w:t>ervices</w:t>
      </w:r>
    </w:p>
    <w:p w14:paraId="183F8DC5" w14:textId="15FA4AE1" w:rsidR="007867CE" w:rsidRDefault="007867CE" w:rsidP="00825C27">
      <w:r>
        <w:t>3.4 GHz band spectrum licences are issued in the 3442.5</w:t>
      </w:r>
      <w:r w:rsidR="006F3F78">
        <w:t>–</w:t>
      </w:r>
      <w:r>
        <w:t xml:space="preserve">3575 MHz frequency range in metropolitan and regional areas </w:t>
      </w:r>
      <w:r w:rsidRPr="009B0B42">
        <w:t xml:space="preserve">across Australia. The technical framework for the 3.4 GHz spectrum licence band has been optimised for TDD </w:t>
      </w:r>
      <w:r w:rsidR="005A21F6">
        <w:t>MBB</w:t>
      </w:r>
      <w:r w:rsidRPr="009B0B42">
        <w:t xml:space="preserve"> services. </w:t>
      </w:r>
      <w:r w:rsidRPr="00F75814">
        <w:t xml:space="preserve">In order to manage interference and optimise use of the 3.4 GHz and 3.6 GHz bands for </w:t>
      </w:r>
      <w:r w:rsidR="005A21F6">
        <w:t>MBB</w:t>
      </w:r>
      <w:r w:rsidRPr="00F75814">
        <w:t>, there is potential for the 3.4 GHz band technical framework to be modified and extended to incorporate the 3.6 GHz band.</w:t>
      </w:r>
      <w:r>
        <w:t xml:space="preserve"> </w:t>
      </w:r>
    </w:p>
    <w:p w14:paraId="592E6F58" w14:textId="1E814E16" w:rsidR="007867CE" w:rsidRDefault="007867CE" w:rsidP="00825C27">
      <w:r w:rsidRPr="007867CE">
        <w:t>Radiolocation services are currently licensed to operate in the 3400</w:t>
      </w:r>
      <w:r w:rsidR="006F3F78">
        <w:t>–</w:t>
      </w:r>
      <w:r w:rsidRPr="007867CE">
        <w:t xml:space="preserve">3500 MHz frequency range. </w:t>
      </w:r>
      <w:r w:rsidR="003650F6" w:rsidRPr="003650F6">
        <w:t xml:space="preserve">The ACMA will liaise with the Department of Defence </w:t>
      </w:r>
      <w:r w:rsidRPr="003650F6">
        <w:t>to develop options for co-existence</w:t>
      </w:r>
      <w:r w:rsidR="003650F6">
        <w:t xml:space="preserve"> between </w:t>
      </w:r>
      <w:r w:rsidR="00512B97">
        <w:t>r</w:t>
      </w:r>
      <w:r w:rsidR="003650F6">
        <w:t xml:space="preserve">adiolocation and </w:t>
      </w:r>
      <w:r w:rsidR="005A21F6">
        <w:t>MBB</w:t>
      </w:r>
      <w:r w:rsidR="003650F6">
        <w:t xml:space="preserve"> services</w:t>
      </w:r>
      <w:r w:rsidRPr="003650F6">
        <w:t>.</w:t>
      </w:r>
      <w:r w:rsidRPr="007867CE">
        <w:t xml:space="preserve"> </w:t>
      </w:r>
    </w:p>
    <w:p w14:paraId="65726652" w14:textId="619D68A6" w:rsidR="007867CE" w:rsidRPr="00825C27" w:rsidRDefault="007867CE" w:rsidP="00825C27">
      <w:pPr>
        <w:pStyle w:val="BodySubHeader"/>
        <w:rPr>
          <w:b w:val="0"/>
        </w:rPr>
      </w:pPr>
      <w:r w:rsidRPr="00825C27">
        <w:rPr>
          <w:b w:val="0"/>
        </w:rPr>
        <w:t xml:space="preserve">Secondary </w:t>
      </w:r>
      <w:r w:rsidR="006F3F78">
        <w:rPr>
          <w:b w:val="0"/>
        </w:rPr>
        <w:t>s</w:t>
      </w:r>
      <w:r w:rsidRPr="00825C27">
        <w:rPr>
          <w:b w:val="0"/>
        </w:rPr>
        <w:t>ervices</w:t>
      </w:r>
    </w:p>
    <w:p w14:paraId="70CC5272" w14:textId="073DDAEE" w:rsidR="007867CE" w:rsidRPr="009B0B42" w:rsidRDefault="007867CE" w:rsidP="00825C27">
      <w:r>
        <w:t>Secondary services are authorised to operate on the basis that they do no</w:t>
      </w:r>
      <w:r w:rsidR="00512B97">
        <w:t>t</w:t>
      </w:r>
      <w:r>
        <w:t xml:space="preserve"> cause interference to</w:t>
      </w:r>
      <w:r w:rsidR="006F3F78">
        <w:t>,</w:t>
      </w:r>
      <w:r>
        <w:t xml:space="preserve"> and do not claim protection from</w:t>
      </w:r>
      <w:r w:rsidR="006F3F78">
        <w:t>,</w:t>
      </w:r>
      <w:r>
        <w:t xml:space="preserve"> licensed primary services. Both </w:t>
      </w:r>
      <w:r w:rsidR="006F3F78">
        <w:t>a</w:t>
      </w:r>
      <w:r>
        <w:t>mateur and FSS services operate on a secondary basis in the 3400</w:t>
      </w:r>
      <w:r w:rsidR="006F3F78">
        <w:t>–</w:t>
      </w:r>
      <w:r>
        <w:t>3600 MHz frequency range. Primary services operating under 3.4 GHz spectrum licences</w:t>
      </w:r>
      <w:r w:rsidR="006F3F78">
        <w:t>,</w:t>
      </w:r>
      <w:r>
        <w:t xml:space="preserve"> as well as PTS and PMP licences in the 3400</w:t>
      </w:r>
      <w:r w:rsidR="006F3F78">
        <w:t>–</w:t>
      </w:r>
      <w:r>
        <w:t xml:space="preserve">3575 MHz, are required to coordinate with these secondary services on a ‘best efforts’ basis. However, in the event a practical </w:t>
      </w:r>
      <w:r w:rsidRPr="009B0B42">
        <w:t>solution for coexistence cannot be found, the primary service has right of way.</w:t>
      </w:r>
    </w:p>
    <w:p w14:paraId="6983C683" w14:textId="6B049BFF" w:rsidR="007867CE" w:rsidRDefault="007867CE" w:rsidP="00825C27">
      <w:r w:rsidRPr="00F75814">
        <w:t xml:space="preserve">If the 3.6 GHz band is re-farmed for </w:t>
      </w:r>
      <w:r w:rsidR="005A21F6">
        <w:t>MBB</w:t>
      </w:r>
      <w:r w:rsidRPr="00F75814">
        <w:t>, it is likely that similar ‘best efforts’ arrangements would be adopted for coordination with adjacent band secondary services.</w:t>
      </w:r>
      <w:r>
        <w:t xml:space="preserve"> </w:t>
      </w:r>
    </w:p>
    <w:p w14:paraId="7F638D64" w14:textId="77777777" w:rsidR="007867CE" w:rsidRPr="00825C27" w:rsidRDefault="007867CE" w:rsidP="00825C27">
      <w:pPr>
        <w:pStyle w:val="BodySubHeader"/>
      </w:pPr>
      <w:r w:rsidRPr="00825C27">
        <w:t>Compatibility issues with adjacent band services above 3700 MHz</w:t>
      </w:r>
    </w:p>
    <w:p w14:paraId="2934348F" w14:textId="2AE1870A" w:rsidR="007867CE" w:rsidRPr="00825C27" w:rsidRDefault="007867CE" w:rsidP="001F57E3">
      <w:pPr>
        <w:pStyle w:val="BodySubHeader"/>
        <w:spacing w:before="120"/>
        <w:rPr>
          <w:b w:val="0"/>
        </w:rPr>
      </w:pPr>
      <w:r w:rsidRPr="00825C27">
        <w:rPr>
          <w:b w:val="0"/>
        </w:rPr>
        <w:t xml:space="preserve">Primary </w:t>
      </w:r>
      <w:r w:rsidR="006F3F78">
        <w:rPr>
          <w:b w:val="0"/>
        </w:rPr>
        <w:t>s</w:t>
      </w:r>
      <w:r w:rsidRPr="00825C27">
        <w:rPr>
          <w:b w:val="0"/>
        </w:rPr>
        <w:t>ervices</w:t>
      </w:r>
    </w:p>
    <w:p w14:paraId="52D115E9" w14:textId="290658C9" w:rsidR="007867CE" w:rsidRDefault="007867CE" w:rsidP="00825C27">
      <w:r>
        <w:t>There are 296 FSS Earth stations licensed in the 3700</w:t>
      </w:r>
      <w:r w:rsidR="006F3F78">
        <w:t>–</w:t>
      </w:r>
      <w:r>
        <w:t xml:space="preserve">4200 MHz frequency range. They are typically located in major cities or remote locations. </w:t>
      </w:r>
      <w:r w:rsidR="0081536C">
        <w:t>L</w:t>
      </w:r>
      <w:r>
        <w:t xml:space="preserve">icensees in the band include Telstra, Optus, Intelsat, Foxtel, Inmarsat and Speedcast Australia. </w:t>
      </w:r>
    </w:p>
    <w:p w14:paraId="3A425BD2" w14:textId="1B05DA69" w:rsidR="007867CE" w:rsidRDefault="007867CE" w:rsidP="00825C27">
      <w:r>
        <w:t>Since this band is used for the Earth</w:t>
      </w:r>
      <w:r w:rsidR="006F3F78">
        <w:t>-</w:t>
      </w:r>
      <w:r>
        <w:t xml:space="preserve">receive segment of the satellite link, there is no concern </w:t>
      </w:r>
      <w:r w:rsidR="00512B97">
        <w:t>about</w:t>
      </w:r>
      <w:r>
        <w:t xml:space="preserve"> interference from FSS Earth stations to </w:t>
      </w:r>
      <w:r w:rsidR="005A21F6">
        <w:t>MBB</w:t>
      </w:r>
      <w:r>
        <w:t xml:space="preserve"> services. The main interference issues </w:t>
      </w:r>
      <w:r w:rsidR="00BD154F">
        <w:t>are</w:t>
      </w:r>
      <w:r>
        <w:t xml:space="preserve"> from </w:t>
      </w:r>
      <w:r w:rsidR="005A21F6">
        <w:t>MBB</w:t>
      </w:r>
      <w:r>
        <w:t xml:space="preserve"> transmitters into FSS Earth station receivers</w:t>
      </w:r>
      <w:r w:rsidR="00CC6CD9">
        <w:t>;</w:t>
      </w:r>
      <w:r>
        <w:t xml:space="preserve"> this includes adjacent band interference and blocking. </w:t>
      </w:r>
    </w:p>
    <w:p w14:paraId="1EC94867" w14:textId="434F8D62" w:rsidR="007867CE" w:rsidRDefault="007867CE" w:rsidP="00825C27">
      <w:pPr>
        <w:spacing w:after="80"/>
      </w:pPr>
      <w:r>
        <w:t xml:space="preserve">If the 3.6 GHz band is re-farmed for </w:t>
      </w:r>
      <w:r w:rsidR="005A21F6">
        <w:t>MBB</w:t>
      </w:r>
      <w:r>
        <w:t xml:space="preserve">, further consideration would be required to develop suitable co-existence arrangements between FSS Earth stations and </w:t>
      </w:r>
      <w:r w:rsidR="005A21F6">
        <w:t>MBB</w:t>
      </w:r>
      <w:r>
        <w:t xml:space="preserve"> systems. There are numerous international studies that can be drawn on to assist with this work. The ACMA has also previously defined sharing criteria between fixed</w:t>
      </w:r>
      <w:r w:rsidR="00F81B16">
        <w:t xml:space="preserve"> broadband</w:t>
      </w:r>
      <w:r>
        <w:t>/</w:t>
      </w:r>
      <w:r w:rsidR="005A21F6">
        <w:t>MBB</w:t>
      </w:r>
      <w:r>
        <w:t xml:space="preserve"> services and C-band FSS Earth station receivers that can be considered. These are defined in the following frequency assignment documents:</w:t>
      </w:r>
    </w:p>
    <w:p w14:paraId="2AEB6B57" w14:textId="3FFC6D40" w:rsidR="007867CE" w:rsidRPr="004045F8" w:rsidRDefault="007867CE" w:rsidP="00825C27">
      <w:pPr>
        <w:pStyle w:val="ListBullet"/>
        <w:rPr>
          <w:rFonts w:cs="Arial"/>
        </w:rPr>
      </w:pPr>
      <w:r>
        <w:rPr>
          <w:rFonts w:cs="Arial"/>
        </w:rPr>
        <w:t xml:space="preserve">RALI FX19 </w:t>
      </w:r>
      <w:r w:rsidR="006F3F78">
        <w:rPr>
          <w:rFonts w:cs="Arial"/>
        </w:rPr>
        <w:t xml:space="preserve">— </w:t>
      </w:r>
      <w:hyperlink r:id="rId71" w:history="1">
        <w:r w:rsidRPr="004045F8">
          <w:t>Frequency Coordination and Licensing Procedures for apparatus licensed Broadband Wireless Access Services in the 1900</w:t>
        </w:r>
        <w:r w:rsidR="006F3F78">
          <w:t>–</w:t>
        </w:r>
        <w:r w:rsidRPr="004045F8">
          <w:t>1920 and 3575</w:t>
        </w:r>
        <w:r w:rsidR="006F3F78">
          <w:t>–</w:t>
        </w:r>
        <w:r w:rsidRPr="004045F8">
          <w:t>3700 MHz bands</w:t>
        </w:r>
      </w:hyperlink>
    </w:p>
    <w:p w14:paraId="2481ACDE" w14:textId="51F80794" w:rsidR="007867CE" w:rsidRDefault="007867CE" w:rsidP="00825C27">
      <w:pPr>
        <w:pStyle w:val="ListBullet"/>
        <w:rPr>
          <w:rFonts w:cs="Arial"/>
        </w:rPr>
      </w:pPr>
      <w:r>
        <w:rPr>
          <w:rFonts w:cs="Arial"/>
        </w:rPr>
        <w:t xml:space="preserve">RALI MS39 </w:t>
      </w:r>
      <w:r w:rsidR="006F3F78">
        <w:rPr>
          <w:rFonts w:cs="Arial"/>
        </w:rPr>
        <w:t>—</w:t>
      </w:r>
      <w:r>
        <w:rPr>
          <w:rFonts w:cs="Arial"/>
        </w:rPr>
        <w:t xml:space="preserve"> </w:t>
      </w:r>
      <w:hyperlink r:id="rId72" w:history="1">
        <w:r w:rsidRPr="004045F8">
          <w:t>Frequency Coordination and Licensing Procedures for Apparatus Licensed Public Telecommunications Services in the 3.5 GHz Band</w:t>
        </w:r>
      </w:hyperlink>
      <w:r w:rsidRPr="004045F8">
        <w:rPr>
          <w:rFonts w:cs="Arial" w:hint="eastAsia"/>
        </w:rPr>
        <w:t> </w:t>
      </w:r>
    </w:p>
    <w:p w14:paraId="1DD18656" w14:textId="7762C7B6" w:rsidR="007867CE" w:rsidRPr="004045F8" w:rsidRDefault="00C23324" w:rsidP="00825C27">
      <w:pPr>
        <w:pStyle w:val="ListBulletLast"/>
      </w:pPr>
      <w:hyperlink r:id="rId73" w:tgtFrame="_self" w:history="1">
        <w:r w:rsidR="007867CE" w:rsidRPr="004045F8">
          <w:t xml:space="preserve">Radiocommunications Advisory Guidelines (Managing Interference from Spectrum Licensed Transmitters </w:t>
        </w:r>
        <w:r w:rsidR="007867CE" w:rsidRPr="004045F8">
          <w:rPr>
            <w:rFonts w:hint="eastAsia"/>
          </w:rPr>
          <w:t>—</w:t>
        </w:r>
        <w:r w:rsidR="007867CE" w:rsidRPr="004045F8">
          <w:t xml:space="preserve"> 3.4 GHz Band) 2015</w:t>
        </w:r>
      </w:hyperlink>
      <w:r w:rsidR="00512B97">
        <w:t>.</w:t>
      </w:r>
    </w:p>
    <w:p w14:paraId="0A1B41E0" w14:textId="2E917584" w:rsidR="007867CE" w:rsidRDefault="007867CE" w:rsidP="00825C27">
      <w:r>
        <w:t>There are 138 point-to-point licences in the 3700</w:t>
      </w:r>
      <w:r w:rsidR="006F3F78">
        <w:t>–</w:t>
      </w:r>
      <w:r>
        <w:t xml:space="preserve">4200 MHz band. Digital Distribution and Telstra hold </w:t>
      </w:r>
      <w:r w:rsidR="006F3F78">
        <w:t>around</w:t>
      </w:r>
      <w:r>
        <w:t xml:space="preserve"> 97</w:t>
      </w:r>
      <w:r w:rsidR="006F3F78">
        <w:t xml:space="preserve"> per cent</w:t>
      </w:r>
      <w:r>
        <w:t xml:space="preserve"> of the licences between them. Most links are located in regional areas of Australia and used for long</w:t>
      </w:r>
      <w:r w:rsidR="006F3F78">
        <w:t>-</w:t>
      </w:r>
      <w:r>
        <w:t xml:space="preserve">range back haul. </w:t>
      </w:r>
    </w:p>
    <w:p w14:paraId="52BADD6E" w14:textId="07C76DDE" w:rsidR="007867CE" w:rsidRDefault="007867CE" w:rsidP="00825C27">
      <w:r>
        <w:t xml:space="preserve">If the 3.6 GHz band was re-farmed for </w:t>
      </w:r>
      <w:r w:rsidR="005A21F6">
        <w:t>MBB</w:t>
      </w:r>
      <w:r w:rsidR="006F3F78">
        <w:t>,</w:t>
      </w:r>
      <w:r>
        <w:t xml:space="preserve"> there would be potential for interference both to</w:t>
      </w:r>
      <w:r w:rsidR="007649ED">
        <w:t>,</w:t>
      </w:r>
      <w:r>
        <w:t xml:space="preserve"> and from</w:t>
      </w:r>
      <w:r w:rsidR="007649ED">
        <w:t>,</w:t>
      </w:r>
      <w:r>
        <w:t xml:space="preserve"> fixed services operating in the 3700</w:t>
      </w:r>
      <w:r w:rsidR="006F3F78">
        <w:t>–</w:t>
      </w:r>
      <w:r>
        <w:t xml:space="preserve">4200 MHz band. Channel arrangements and protection criteria for point-to-point links are defined in </w:t>
      </w:r>
      <w:hyperlink r:id="rId74" w:history="1">
        <w:r w:rsidRPr="00B403E8">
          <w:rPr>
            <w:rStyle w:val="Hyperlink"/>
            <w:rFonts w:cs="Arial"/>
          </w:rPr>
          <w:t>RALI FX3</w:t>
        </w:r>
      </w:hyperlink>
      <w:r w:rsidR="00512B97">
        <w:rPr>
          <w:rStyle w:val="Hyperlink"/>
          <w:rFonts w:cs="Arial"/>
        </w:rPr>
        <w:t>.</w:t>
      </w:r>
    </w:p>
    <w:p w14:paraId="65CDA17F" w14:textId="08CE994C" w:rsidR="007867CE" w:rsidRPr="00825C27" w:rsidRDefault="007867CE" w:rsidP="00825C27">
      <w:pPr>
        <w:pStyle w:val="BodySubHeader"/>
        <w:rPr>
          <w:b w:val="0"/>
        </w:rPr>
      </w:pPr>
      <w:r w:rsidRPr="00825C27">
        <w:rPr>
          <w:b w:val="0"/>
        </w:rPr>
        <w:t xml:space="preserve">Secondary </w:t>
      </w:r>
      <w:r w:rsidR="006F3F78">
        <w:rPr>
          <w:b w:val="0"/>
        </w:rPr>
        <w:t>s</w:t>
      </w:r>
      <w:r w:rsidRPr="00825C27">
        <w:rPr>
          <w:b w:val="0"/>
        </w:rPr>
        <w:t>ervices</w:t>
      </w:r>
    </w:p>
    <w:p w14:paraId="2AFAE3EE" w14:textId="049C2443" w:rsidR="00251841" w:rsidRDefault="007867CE" w:rsidP="00825C27">
      <w:r>
        <w:t>The ARSP defines no secondary service allocations in the 3700</w:t>
      </w:r>
      <w:r w:rsidR="007649ED">
        <w:t>–</w:t>
      </w:r>
      <w:r>
        <w:t xml:space="preserve">4200 MHz for Australia. However, it does indicate there is a secondary </w:t>
      </w:r>
      <w:r w:rsidR="007649ED">
        <w:t>r</w:t>
      </w:r>
      <w:r>
        <w:t>adiolocation service allocation in Region 3 (the Asia</w:t>
      </w:r>
      <w:r w:rsidR="007649ED">
        <w:t>–</w:t>
      </w:r>
      <w:r>
        <w:t xml:space="preserve">Pacific </w:t>
      </w:r>
      <w:r w:rsidR="007649ED">
        <w:t>r</w:t>
      </w:r>
      <w:r>
        <w:t xml:space="preserve">egion). There is one </w:t>
      </w:r>
      <w:r w:rsidR="007649ED">
        <w:t>r</w:t>
      </w:r>
      <w:r>
        <w:t>adiolocation licence (authorised to operate over three channels) issued in remote Australia</w:t>
      </w:r>
      <w:r w:rsidR="007649ED">
        <w:t>,</w:t>
      </w:r>
      <w:r>
        <w:t xml:space="preserve"> covering various portions of the 3835</w:t>
      </w:r>
      <w:r w:rsidR="007649ED">
        <w:t>–</w:t>
      </w:r>
      <w:r>
        <w:t xml:space="preserve">4040 MHz frequency </w:t>
      </w:r>
      <w:r w:rsidRPr="009B0B42">
        <w:t xml:space="preserve">range. </w:t>
      </w:r>
      <w:r w:rsidRPr="00F75814">
        <w:t xml:space="preserve">If the 3.6 GHz band is re-farmed for </w:t>
      </w:r>
      <w:r w:rsidR="005A21F6">
        <w:t>MBB</w:t>
      </w:r>
      <w:r w:rsidRPr="00F75814">
        <w:t>, a ‘best efforts’ arrangement would be adopted for coordination with adjacent band secondary services</w:t>
      </w:r>
      <w:r w:rsidR="00512B97">
        <w:t>,</w:t>
      </w:r>
      <w:r w:rsidRPr="00F75814">
        <w:t xml:space="preserve"> </w:t>
      </w:r>
      <w:r w:rsidR="00512B97">
        <w:t>t</w:t>
      </w:r>
      <w:r w:rsidRPr="00F75814">
        <w:t>hough it is noted these services operate on a ‘no interference and no protection’ basis.</w:t>
      </w:r>
    </w:p>
    <w:p w14:paraId="4D261DE1" w14:textId="50721A57" w:rsidR="00251841" w:rsidRPr="006D6661" w:rsidRDefault="00251841" w:rsidP="004F7EC4">
      <w:pPr>
        <w:pStyle w:val="ListParagraph"/>
        <w:numPr>
          <w:ilvl w:val="0"/>
          <w:numId w:val="19"/>
        </w:numPr>
        <w:shd w:val="clear" w:color="auto" w:fill="F2F2F2" w:themeFill="background1" w:themeFillShade="F2"/>
        <w:spacing w:after="0" w:line="240" w:lineRule="atLeast"/>
        <w:ind w:left="426" w:hanging="426"/>
        <w:contextualSpacing w:val="0"/>
        <w:rPr>
          <w:b/>
        </w:rPr>
      </w:pPr>
      <w:r w:rsidRPr="006D6661">
        <w:rPr>
          <w:b/>
        </w:rPr>
        <w:t xml:space="preserve">In determining whether to re-farm the 3.6 GHz band for </w:t>
      </w:r>
      <w:r w:rsidR="005A21F6" w:rsidRPr="006D6661">
        <w:rPr>
          <w:b/>
        </w:rPr>
        <w:t>MBB</w:t>
      </w:r>
      <w:r w:rsidRPr="006D6661">
        <w:rPr>
          <w:b/>
        </w:rPr>
        <w:t>, are there any adjacent band issues that should be considered? This include</w:t>
      </w:r>
      <w:r w:rsidR="00F671E5">
        <w:rPr>
          <w:b/>
        </w:rPr>
        <w:t>s</w:t>
      </w:r>
      <w:r w:rsidR="00512B97" w:rsidRPr="006D6661">
        <w:rPr>
          <w:b/>
        </w:rPr>
        <w:t>:</w:t>
      </w:r>
    </w:p>
    <w:p w14:paraId="4A551EEC" w14:textId="59C300FB" w:rsidR="00251841" w:rsidRPr="006D6661" w:rsidRDefault="00821BF7" w:rsidP="004F7EC4">
      <w:pPr>
        <w:pStyle w:val="ListParagraph"/>
        <w:numPr>
          <w:ilvl w:val="0"/>
          <w:numId w:val="22"/>
        </w:numPr>
        <w:shd w:val="clear" w:color="auto" w:fill="F2F2F2" w:themeFill="background1" w:themeFillShade="F2"/>
        <w:spacing w:after="80" w:line="240" w:lineRule="atLeast"/>
        <w:contextualSpacing w:val="0"/>
        <w:rPr>
          <w:b/>
        </w:rPr>
      </w:pPr>
      <w:r w:rsidRPr="006D6661">
        <w:rPr>
          <w:b/>
        </w:rPr>
        <w:t>the effect such use may have on adjacent band services</w:t>
      </w:r>
    </w:p>
    <w:p w14:paraId="4D769287" w14:textId="66C9BC8A" w:rsidR="00825C27" w:rsidRDefault="00821BF7" w:rsidP="004F7EC4">
      <w:pPr>
        <w:pStyle w:val="ListParagraph"/>
        <w:numPr>
          <w:ilvl w:val="0"/>
          <w:numId w:val="22"/>
        </w:numPr>
        <w:shd w:val="clear" w:color="auto" w:fill="F2F2F2" w:themeFill="background1" w:themeFillShade="F2"/>
        <w:spacing w:after="240" w:line="240" w:lineRule="atLeast"/>
        <w:contextualSpacing w:val="0"/>
      </w:pPr>
      <w:r w:rsidRPr="006D6661">
        <w:rPr>
          <w:b/>
        </w:rPr>
        <w:t xml:space="preserve">the effect adjacent band services may have on the utility of the 3.6 GHz band for </w:t>
      </w:r>
      <w:r w:rsidR="005A21F6" w:rsidRPr="006D6661">
        <w:rPr>
          <w:b/>
        </w:rPr>
        <w:t>MBB</w:t>
      </w:r>
      <w:r w:rsidRPr="006D6661">
        <w:rPr>
          <w:b/>
        </w:rPr>
        <w:t xml:space="preserve"> services</w:t>
      </w:r>
      <w:r w:rsidR="00512B97" w:rsidRPr="006D6661">
        <w:rPr>
          <w:b/>
        </w:rPr>
        <w:t>.</w:t>
      </w:r>
    </w:p>
    <w:p w14:paraId="48E672C8" w14:textId="6452D65E" w:rsidR="00255102" w:rsidRDefault="00255102" w:rsidP="00825C27">
      <w:pPr>
        <w:pStyle w:val="Heading3"/>
      </w:pPr>
      <w:bookmarkStart w:id="110" w:name="_Toc464480533"/>
      <w:r w:rsidRPr="00825C27">
        <w:t>Optimising</w:t>
      </w:r>
      <w:r>
        <w:t xml:space="preserve"> use of the 3400</w:t>
      </w:r>
      <w:r w:rsidR="007649ED">
        <w:t>–</w:t>
      </w:r>
      <w:r>
        <w:t>3700 MHz band</w:t>
      </w:r>
      <w:bookmarkEnd w:id="110"/>
    </w:p>
    <w:p w14:paraId="2E4FFE9B" w14:textId="5DEFCDFA" w:rsidR="00C919BB" w:rsidRDefault="00C919BB" w:rsidP="00825C27">
      <w:r>
        <w:t xml:space="preserve">Representatives of fixed </w:t>
      </w:r>
      <w:r w:rsidR="00F81B16">
        <w:t xml:space="preserve">broadband </w:t>
      </w:r>
      <w:r>
        <w:t xml:space="preserve">and </w:t>
      </w:r>
      <w:r w:rsidR="005A21F6">
        <w:t>MBB</w:t>
      </w:r>
      <w:r>
        <w:t xml:space="preserve"> interests have indicated their support for progressing the 3.6 GHz band to the </w:t>
      </w:r>
      <w:r w:rsidR="00576A53" w:rsidRPr="00576A53">
        <w:rPr>
          <w:i/>
        </w:rPr>
        <w:t>preliminary</w:t>
      </w:r>
      <w:r w:rsidR="00576A53">
        <w:t xml:space="preserve"> </w:t>
      </w:r>
      <w:r>
        <w:rPr>
          <w:i/>
        </w:rPr>
        <w:t>re</w:t>
      </w:r>
      <w:r w:rsidRPr="00C54195">
        <w:rPr>
          <w:i/>
        </w:rPr>
        <w:t>planning</w:t>
      </w:r>
      <w:r>
        <w:rPr>
          <w:i/>
        </w:rPr>
        <w:t xml:space="preserve"> </w:t>
      </w:r>
      <w:r w:rsidRPr="00FC2E2B">
        <w:t>stage</w:t>
      </w:r>
      <w:r>
        <w:t>. They</w:t>
      </w:r>
      <w:r w:rsidR="00513442">
        <w:t xml:space="preserve"> have</w:t>
      </w:r>
      <w:r>
        <w:t xml:space="preserve"> also indicated that since the 3400–3575 MHz band is already available for </w:t>
      </w:r>
      <w:r w:rsidR="005A21F6">
        <w:t>MBB</w:t>
      </w:r>
      <w:r>
        <w:t xml:space="preserve">, utility of the band for </w:t>
      </w:r>
      <w:r w:rsidR="005A21F6">
        <w:t>MBB</w:t>
      </w:r>
      <w:r>
        <w:t xml:space="preserve"> would be further increased if the 3575–3700 MHz band was </w:t>
      </w:r>
      <w:r w:rsidR="00513442">
        <w:t xml:space="preserve">also </w:t>
      </w:r>
      <w:r>
        <w:t xml:space="preserve">made available and licences across the entire range were subsequently </w:t>
      </w:r>
      <w:r w:rsidR="00152386">
        <w:t>rearranged to yield larger contiguous segments (</w:t>
      </w:r>
      <w:r w:rsidR="007649ED">
        <w:t xml:space="preserve">that is, </w:t>
      </w:r>
      <w:r>
        <w:t>defragmented</w:t>
      </w:r>
      <w:r w:rsidR="00152386">
        <w:t>)</w:t>
      </w:r>
      <w:r>
        <w:t xml:space="preserve">. This would require a broader review of the entire 3400–3700 MHz band, taking into account the rights of existing spectrum licence holders. </w:t>
      </w:r>
    </w:p>
    <w:p w14:paraId="0EECFA67" w14:textId="33191082" w:rsidR="00B12A28" w:rsidRDefault="00251841" w:rsidP="00825C27">
      <w:r>
        <w:t>It should be noted that the progression of the 3.6 GHz band is not contingent on a review of the broader 3400</w:t>
      </w:r>
      <w:r w:rsidR="007649ED">
        <w:t>–</w:t>
      </w:r>
      <w:r>
        <w:t xml:space="preserve">3700 MHz band occurring. However, depending on </w:t>
      </w:r>
      <w:r w:rsidR="00C919BB">
        <w:t xml:space="preserve">progress in the 3.6 GHz band, </w:t>
      </w:r>
      <w:r w:rsidR="008621E1">
        <w:t xml:space="preserve">the ACMA </w:t>
      </w:r>
      <w:r w:rsidR="00B12A28">
        <w:t xml:space="preserve">considers there may be </w:t>
      </w:r>
      <w:r w:rsidR="008621E1">
        <w:t xml:space="preserve">benefit in </w:t>
      </w:r>
      <w:r w:rsidR="00B12A28">
        <w:t xml:space="preserve">running a separate </w:t>
      </w:r>
      <w:r>
        <w:t xml:space="preserve">future </w:t>
      </w:r>
      <w:r w:rsidR="00B12A28">
        <w:t>process to</w:t>
      </w:r>
      <w:r w:rsidR="008621E1">
        <w:t xml:space="preserve"> reconfigur</w:t>
      </w:r>
      <w:r w:rsidR="00B12A28">
        <w:t>e</w:t>
      </w:r>
      <w:r w:rsidR="008621E1">
        <w:t xml:space="preserve"> </w:t>
      </w:r>
      <w:r w:rsidR="00B12A28">
        <w:t xml:space="preserve">spectrum arrangements and </w:t>
      </w:r>
      <w:r w:rsidR="008621E1">
        <w:t>consolidat</w:t>
      </w:r>
      <w:r w:rsidR="00B12A28">
        <w:t>e</w:t>
      </w:r>
      <w:r w:rsidR="008621E1">
        <w:t xml:space="preserve"> spectrum holdings in the broader 3400</w:t>
      </w:r>
      <w:r w:rsidR="007649ED">
        <w:t>–</w:t>
      </w:r>
      <w:r w:rsidR="008621E1">
        <w:t xml:space="preserve">3700 MHz band. However, any such undertaking would require support and involvement </w:t>
      </w:r>
      <w:r w:rsidR="00B12A28">
        <w:t xml:space="preserve">from existing spectrum and apparatus licensees </w:t>
      </w:r>
      <w:r w:rsidR="008621E1">
        <w:t xml:space="preserve">to implement. </w:t>
      </w:r>
    </w:p>
    <w:p w14:paraId="5520E6CC" w14:textId="376D7099" w:rsidR="00D85BBF" w:rsidRDefault="00B12A28" w:rsidP="00825C27">
      <w:r>
        <w:t xml:space="preserve">Although this would be a separate process, </w:t>
      </w:r>
      <w:r w:rsidRPr="00B12A28">
        <w:t>such a review</w:t>
      </w:r>
      <w:r>
        <w:t xml:space="preserve"> may</w:t>
      </w:r>
      <w:r w:rsidRPr="00B12A28">
        <w:t xml:space="preserve"> be facilitated </w:t>
      </w:r>
      <w:r>
        <w:t>by aligning, as far as possible,</w:t>
      </w:r>
      <w:r w:rsidRPr="00B12A28">
        <w:t xml:space="preserve"> </w:t>
      </w:r>
      <w:r>
        <w:t xml:space="preserve">the definition of any </w:t>
      </w:r>
      <w:r w:rsidRPr="00B12A28">
        <w:t>geographical boundaries in the 3.</w:t>
      </w:r>
      <w:r w:rsidR="007649ED" w:rsidRPr="00B12A28">
        <w:t>6</w:t>
      </w:r>
      <w:r w:rsidR="007649ED">
        <w:t> </w:t>
      </w:r>
      <w:r w:rsidRPr="00B12A28">
        <w:t xml:space="preserve">GHz band with existing </w:t>
      </w:r>
      <w:r w:rsidR="00152386">
        <w:t>boundaries</w:t>
      </w:r>
      <w:r w:rsidRPr="00B12A28">
        <w:t xml:space="preserve"> defined for spectrum and apparatus</w:t>
      </w:r>
      <w:r w:rsidR="007649ED">
        <w:t>-</w:t>
      </w:r>
      <w:r w:rsidRPr="00B12A28">
        <w:t>licensing in the 3400</w:t>
      </w:r>
      <w:r w:rsidR="007649ED">
        <w:t>–</w:t>
      </w:r>
      <w:r w:rsidRPr="00B12A28">
        <w:t>3575 MHz band</w:t>
      </w:r>
      <w:r w:rsidR="007649ED">
        <w:t>—</w:t>
      </w:r>
      <w:r w:rsidR="00512B97">
        <w:t>t</w:t>
      </w:r>
      <w:r>
        <w:t>he idea being that trading and the re-arranging of spectrum holdings in the broader 3400</w:t>
      </w:r>
      <w:r w:rsidR="007649ED">
        <w:t>–</w:t>
      </w:r>
      <w:r>
        <w:t>3700 MHz frequency range</w:t>
      </w:r>
      <w:r w:rsidR="002B34BC">
        <w:t xml:space="preserve"> could be better facilitated</w:t>
      </w:r>
      <w:r>
        <w:t>.</w:t>
      </w:r>
    </w:p>
    <w:p w14:paraId="0794EE93" w14:textId="24801BB9" w:rsidR="00A812F2" w:rsidRPr="006D6661" w:rsidRDefault="00A812F2" w:rsidP="004F7EC4">
      <w:pPr>
        <w:pStyle w:val="ListParagraph"/>
        <w:numPr>
          <w:ilvl w:val="0"/>
          <w:numId w:val="19"/>
        </w:numPr>
        <w:shd w:val="clear" w:color="auto" w:fill="F2F2F2" w:themeFill="background1" w:themeFillShade="F2"/>
        <w:spacing w:after="80" w:line="240" w:lineRule="atLeast"/>
        <w:ind w:left="426" w:hanging="426"/>
        <w:contextualSpacing w:val="0"/>
        <w:rPr>
          <w:b/>
        </w:rPr>
      </w:pPr>
      <w:r w:rsidRPr="006D6661">
        <w:rPr>
          <w:b/>
        </w:rPr>
        <w:t xml:space="preserve">If the 3.6 GHz band is re-farmed for </w:t>
      </w:r>
      <w:r w:rsidR="005A21F6" w:rsidRPr="006D6661">
        <w:rPr>
          <w:b/>
        </w:rPr>
        <w:t>MBB</w:t>
      </w:r>
      <w:r w:rsidRPr="006D6661">
        <w:rPr>
          <w:b/>
        </w:rPr>
        <w:t xml:space="preserve"> services, should the ACMA review arrangements in the broader 3400</w:t>
      </w:r>
      <w:r w:rsidR="0058646B" w:rsidRPr="006D6661">
        <w:rPr>
          <w:b/>
        </w:rPr>
        <w:t>–</w:t>
      </w:r>
      <w:r w:rsidRPr="006D6661">
        <w:rPr>
          <w:b/>
        </w:rPr>
        <w:t>3700 MHz band? Why/Why not?</w:t>
      </w:r>
    </w:p>
    <w:p w14:paraId="6FE8B6EB" w14:textId="5CC3DED4" w:rsidR="002B34BC" w:rsidRPr="006D6661" w:rsidRDefault="00046D03" w:rsidP="004F7EC4">
      <w:pPr>
        <w:pStyle w:val="ListParagraph"/>
        <w:numPr>
          <w:ilvl w:val="0"/>
          <w:numId w:val="19"/>
        </w:numPr>
        <w:shd w:val="clear" w:color="auto" w:fill="F2F2F2" w:themeFill="background1" w:themeFillShade="F2"/>
        <w:spacing w:after="80" w:line="240" w:lineRule="atLeast"/>
        <w:ind w:left="426" w:hanging="426"/>
        <w:contextualSpacing w:val="0"/>
        <w:rPr>
          <w:b/>
        </w:rPr>
      </w:pPr>
      <w:r w:rsidRPr="006D6661">
        <w:rPr>
          <w:b/>
        </w:rPr>
        <w:t xml:space="preserve">Would such a review be facilitated through the alignment of geographical boundaries in the 3.6 GHz band with existing </w:t>
      </w:r>
      <w:r w:rsidR="00152386" w:rsidRPr="006D6661">
        <w:rPr>
          <w:b/>
        </w:rPr>
        <w:t>boundaries</w:t>
      </w:r>
      <w:r w:rsidRPr="006D6661">
        <w:rPr>
          <w:b/>
        </w:rPr>
        <w:t xml:space="preserve"> defined for spectrum and apparatus licensing in the 3400</w:t>
      </w:r>
      <w:r w:rsidR="0058646B" w:rsidRPr="006D6661">
        <w:rPr>
          <w:b/>
        </w:rPr>
        <w:t>–</w:t>
      </w:r>
      <w:r w:rsidRPr="006D6661">
        <w:rPr>
          <w:b/>
        </w:rPr>
        <w:t>3575 MHz band (</w:t>
      </w:r>
      <w:r w:rsidR="0058646B" w:rsidRPr="006D6661">
        <w:rPr>
          <w:b/>
        </w:rPr>
        <w:t xml:space="preserve">that is, </w:t>
      </w:r>
      <w:r w:rsidRPr="006D6661">
        <w:rPr>
          <w:b/>
        </w:rPr>
        <w:t>to facilitate trading)?</w:t>
      </w:r>
    </w:p>
    <w:p w14:paraId="58E019A3" w14:textId="2DC28902" w:rsidR="00825C27" w:rsidRPr="0058646B" w:rsidRDefault="002B34BC" w:rsidP="004F7EC4">
      <w:pPr>
        <w:pStyle w:val="ListParagraph"/>
        <w:numPr>
          <w:ilvl w:val="0"/>
          <w:numId w:val="19"/>
        </w:numPr>
        <w:shd w:val="clear" w:color="auto" w:fill="F2F2F2" w:themeFill="background1" w:themeFillShade="F2"/>
        <w:spacing w:after="240" w:line="240" w:lineRule="atLeast"/>
        <w:ind w:left="426" w:hanging="426"/>
        <w:contextualSpacing w:val="0"/>
      </w:pPr>
      <w:r w:rsidRPr="006D6661">
        <w:rPr>
          <w:b/>
        </w:rPr>
        <w:t>Is there anything else that could be considered as part of the 3.6 GHz band process that may facilitate a future review of the broader 3400</w:t>
      </w:r>
      <w:r w:rsidR="0058646B" w:rsidRPr="006D6661">
        <w:rPr>
          <w:b/>
        </w:rPr>
        <w:t>–</w:t>
      </w:r>
      <w:r w:rsidRPr="006D6661">
        <w:rPr>
          <w:b/>
        </w:rPr>
        <w:t>3700 MHz frequency range?</w:t>
      </w:r>
      <w:bookmarkStart w:id="111" w:name="_Toc459906734"/>
    </w:p>
    <w:p w14:paraId="2D2120D8" w14:textId="77777777" w:rsidR="00FA59B6" w:rsidRPr="000D76E0" w:rsidRDefault="00FA59B6" w:rsidP="00825C27">
      <w:pPr>
        <w:pStyle w:val="Heading2"/>
      </w:pPr>
      <w:bookmarkStart w:id="112" w:name="_Toc464480534"/>
      <w:r>
        <w:t xml:space="preserve">Preliminary </w:t>
      </w:r>
      <w:r w:rsidRPr="00825C27">
        <w:t>assessment</w:t>
      </w:r>
      <w:r>
        <w:t xml:space="preserve"> of the highest value use of the 3.6 GHz band</w:t>
      </w:r>
      <w:bookmarkEnd w:id="111"/>
      <w:bookmarkEnd w:id="112"/>
    </w:p>
    <w:p w14:paraId="6AF5CCFE" w14:textId="03A497EB" w:rsidR="00FA59B6" w:rsidRDefault="00FA59B6" w:rsidP="00905E37">
      <w:r>
        <w:t xml:space="preserve">It is acknowledged that arrangements for </w:t>
      </w:r>
      <w:r w:rsidR="005A21F6">
        <w:t>MBB</w:t>
      </w:r>
      <w:r>
        <w:t xml:space="preserve"> already exist in regional and remote areas of Australia in the 3.6 GHz band, these being the arrangements in place for point-to-multipoint licences</w:t>
      </w:r>
      <w:r w:rsidR="009F1926">
        <w:t xml:space="preserve">. These </w:t>
      </w:r>
      <w:r w:rsidR="00360EE4">
        <w:t>are</w:t>
      </w:r>
      <w:r w:rsidR="008D19A2">
        <w:t xml:space="preserve"> </w:t>
      </w:r>
      <w:r w:rsidR="00360EE4">
        <w:t>site</w:t>
      </w:r>
      <w:r w:rsidR="0058646B">
        <w:t>-</w:t>
      </w:r>
      <w:r w:rsidR="00360EE4">
        <w:t xml:space="preserve">based licences with low density deployments, typically </w:t>
      </w:r>
      <w:r w:rsidR="008D19A2">
        <w:t>providing services</w:t>
      </w:r>
      <w:r w:rsidR="00360EE4">
        <w:t xml:space="preserve"> over a small area or multiple small areas</w:t>
      </w:r>
      <w:r>
        <w:t>. Highest</w:t>
      </w:r>
      <w:r w:rsidR="0058646B">
        <w:t>-</w:t>
      </w:r>
      <w:r>
        <w:t xml:space="preserve">value use in this case </w:t>
      </w:r>
      <w:r w:rsidR="009F1926">
        <w:t xml:space="preserve">relates to </w:t>
      </w:r>
      <w:r>
        <w:t xml:space="preserve">whether areas should be re-farmed </w:t>
      </w:r>
      <w:r w:rsidR="00152386">
        <w:t xml:space="preserve">to allow </w:t>
      </w:r>
      <w:r>
        <w:t xml:space="preserve">for </w:t>
      </w:r>
      <w:r w:rsidR="00152386">
        <w:t>the rollout of high</w:t>
      </w:r>
      <w:r w:rsidR="0058646B">
        <w:t>-</w:t>
      </w:r>
      <w:r w:rsidR="00152386">
        <w:t xml:space="preserve">density </w:t>
      </w:r>
      <w:r w:rsidR="005A21F6">
        <w:t>MBB</w:t>
      </w:r>
      <w:r>
        <w:t xml:space="preserve"> </w:t>
      </w:r>
      <w:r w:rsidR="00152386">
        <w:t>services</w:t>
      </w:r>
      <w:r w:rsidR="009F1793">
        <w:t xml:space="preserve">. The answer may differ between areas in that </w:t>
      </w:r>
      <w:r w:rsidR="009F1926">
        <w:t>any change in highest</w:t>
      </w:r>
      <w:r w:rsidR="0058646B">
        <w:t>-</w:t>
      </w:r>
      <w:r w:rsidR="009F1926">
        <w:t xml:space="preserve">value use </w:t>
      </w:r>
      <w:r w:rsidR="009F1793">
        <w:t>might be</w:t>
      </w:r>
      <w:r w:rsidR="009F1926">
        <w:t xml:space="preserve"> confined to</w:t>
      </w:r>
      <w:r w:rsidR="00152386">
        <w:t xml:space="preserve"> metropolitan areas</w:t>
      </w:r>
      <w:r w:rsidR="009F1793">
        <w:t>,</w:t>
      </w:r>
      <w:r w:rsidR="00152386">
        <w:t xml:space="preserve"> </w:t>
      </w:r>
      <w:r w:rsidR="009F1793">
        <w:t>or</w:t>
      </w:r>
      <w:r>
        <w:t xml:space="preserve"> </w:t>
      </w:r>
      <w:r w:rsidR="009F1793">
        <w:t>might</w:t>
      </w:r>
      <w:r>
        <w:t xml:space="preserve"> extend into regional and remote areas. Any re-farming in this sense has the potential to affect all incumbent licensees, including point-to-multipoint licensees.</w:t>
      </w:r>
    </w:p>
    <w:p w14:paraId="72C613E6" w14:textId="573EE3DC" w:rsidR="00FA59B6" w:rsidRDefault="00FA59B6" w:rsidP="00905E37">
      <w:r>
        <w:t>Based on this, a preliminary assessment of the highest</w:t>
      </w:r>
      <w:r w:rsidR="0058646B">
        <w:t>-</w:t>
      </w:r>
      <w:r>
        <w:t>value use of the 3.6 GHz band is provided in Appendix C. After consideration of the</w:t>
      </w:r>
      <w:r w:rsidRPr="00825C27">
        <w:t xml:space="preserve"> </w:t>
      </w:r>
      <w:r>
        <w:t>preliminary assessment, the ACMA believes that the highest</w:t>
      </w:r>
      <w:r w:rsidR="0058646B">
        <w:t>-</w:t>
      </w:r>
      <w:r>
        <w:t xml:space="preserve">value use of the band may be changing in some areas. Further consideration is proposed to assess this in detail. This includes determining whether to re-farm some or all of the 3.6 GHz band for </w:t>
      </w:r>
      <w:r w:rsidR="005A21F6">
        <w:t>MBB</w:t>
      </w:r>
      <w:r w:rsidR="0058646B">
        <w:t>,</w:t>
      </w:r>
      <w:r>
        <w:t xml:space="preserve"> and exactly </w:t>
      </w:r>
      <w:r w:rsidR="00512B97">
        <w:t xml:space="preserve">which </w:t>
      </w:r>
      <w:r>
        <w:t xml:space="preserve">areas this should encompass. It is therefore proposed to progress consideration of the 3.6 GHz band for </w:t>
      </w:r>
      <w:r w:rsidR="005A21F6">
        <w:t>MBB</w:t>
      </w:r>
      <w:r>
        <w:t xml:space="preserve"> to the </w:t>
      </w:r>
      <w:r w:rsidR="00335B81">
        <w:rPr>
          <w:i/>
        </w:rPr>
        <w:t>p</w:t>
      </w:r>
      <w:r>
        <w:rPr>
          <w:i/>
        </w:rPr>
        <w:t xml:space="preserve">reliminary </w:t>
      </w:r>
      <w:r w:rsidR="00512B97">
        <w:rPr>
          <w:i/>
        </w:rPr>
        <w:t>r</w:t>
      </w:r>
      <w:r>
        <w:rPr>
          <w:i/>
        </w:rPr>
        <w:t xml:space="preserve">eplanning </w:t>
      </w:r>
      <w:r>
        <w:t xml:space="preserve">stage of the ACMA’s process for consideration of additional spectrum for </w:t>
      </w:r>
      <w:r w:rsidR="005A21F6">
        <w:t>MBB</w:t>
      </w:r>
      <w:r>
        <w:t xml:space="preserve"> services. </w:t>
      </w:r>
    </w:p>
    <w:p w14:paraId="27056F7E" w14:textId="14F6F98E" w:rsidR="00905E37" w:rsidRDefault="00FA59B6" w:rsidP="004F7EC4">
      <w:pPr>
        <w:pStyle w:val="ListParagraph"/>
        <w:numPr>
          <w:ilvl w:val="0"/>
          <w:numId w:val="19"/>
        </w:numPr>
        <w:shd w:val="clear" w:color="auto" w:fill="F2F2F2" w:themeFill="background1" w:themeFillShade="F2"/>
        <w:spacing w:after="240" w:line="240" w:lineRule="atLeast"/>
        <w:ind w:left="426" w:hanging="426"/>
        <w:contextualSpacing w:val="0"/>
      </w:pPr>
      <w:r w:rsidRPr="006D6661">
        <w:rPr>
          <w:b/>
        </w:rPr>
        <w:t>Comment is sought on the ACMA’s proposal to progress the 3.</w:t>
      </w:r>
      <w:r w:rsidR="00CB49DD" w:rsidRPr="006D6661">
        <w:rPr>
          <w:b/>
        </w:rPr>
        <w:t>6</w:t>
      </w:r>
      <w:r w:rsidRPr="006D6661">
        <w:rPr>
          <w:b/>
        </w:rPr>
        <w:t xml:space="preserve"> GHz band to the </w:t>
      </w:r>
      <w:r w:rsidRPr="004F7EC4">
        <w:rPr>
          <w:b/>
          <w:i/>
        </w:rPr>
        <w:t xml:space="preserve">preliminary </w:t>
      </w:r>
      <w:r w:rsidR="00335B81" w:rsidRPr="004F7EC4">
        <w:rPr>
          <w:b/>
          <w:i/>
        </w:rPr>
        <w:t>re-planning</w:t>
      </w:r>
      <w:r w:rsidRPr="006D6661">
        <w:rPr>
          <w:b/>
        </w:rPr>
        <w:t xml:space="preserve"> stage of its process for consideration of additional spectrum for </w:t>
      </w:r>
      <w:r w:rsidR="005A21F6" w:rsidRPr="006D6661">
        <w:rPr>
          <w:b/>
        </w:rPr>
        <w:t>MBB</w:t>
      </w:r>
      <w:r w:rsidRPr="006D6661">
        <w:rPr>
          <w:b/>
        </w:rPr>
        <w:t xml:space="preserve"> services, as detailed in the ACMA’s </w:t>
      </w:r>
      <w:hyperlink r:id="rId75" w:history="1">
        <w:r w:rsidR="00461726" w:rsidRPr="00461726">
          <w:rPr>
            <w:rStyle w:val="Hyperlink"/>
            <w:b/>
          </w:rPr>
          <w:t>mobile broadband strategy</w:t>
        </w:r>
      </w:hyperlink>
      <w:r w:rsidRPr="006D6661">
        <w:rPr>
          <w:b/>
        </w:rPr>
        <w:t>.</w:t>
      </w:r>
    </w:p>
    <w:p w14:paraId="5F9CED37" w14:textId="61D079E0" w:rsidR="00CB287F" w:rsidRDefault="00FA59B6" w:rsidP="00905E37">
      <w:pPr>
        <w:rPr>
          <w:bCs/>
        </w:rPr>
      </w:pPr>
      <w:r>
        <w:t xml:space="preserve">As part of the work conducted at the </w:t>
      </w:r>
      <w:r w:rsidR="00335B81">
        <w:rPr>
          <w:i/>
        </w:rPr>
        <w:t>p</w:t>
      </w:r>
      <w:r>
        <w:rPr>
          <w:i/>
        </w:rPr>
        <w:t xml:space="preserve">reliminary </w:t>
      </w:r>
      <w:r w:rsidR="00335B81">
        <w:rPr>
          <w:i/>
        </w:rPr>
        <w:t>r</w:t>
      </w:r>
      <w:r>
        <w:rPr>
          <w:i/>
        </w:rPr>
        <w:t xml:space="preserve">eplanning </w:t>
      </w:r>
      <w:r>
        <w:t xml:space="preserve">stage, the ACMA would conduct </w:t>
      </w:r>
      <w:r w:rsidRPr="00337B1E">
        <w:t xml:space="preserve">a </w:t>
      </w:r>
      <w:r w:rsidRPr="00337B1E">
        <w:rPr>
          <w:bCs/>
        </w:rPr>
        <w:t>comprehensive assessment of the highest</w:t>
      </w:r>
      <w:r w:rsidR="0058646B">
        <w:rPr>
          <w:bCs/>
        </w:rPr>
        <w:t>-</w:t>
      </w:r>
      <w:r w:rsidRPr="00337B1E">
        <w:rPr>
          <w:bCs/>
        </w:rPr>
        <w:t xml:space="preserve">value use for the 3.6 GHz band. </w:t>
      </w:r>
    </w:p>
    <w:p w14:paraId="4BB1BFD7" w14:textId="46E47119" w:rsidR="00CB287F" w:rsidRPr="006D6661" w:rsidRDefault="00FA59B6" w:rsidP="004F7EC4">
      <w:pPr>
        <w:pStyle w:val="ListParagraph"/>
        <w:numPr>
          <w:ilvl w:val="0"/>
          <w:numId w:val="19"/>
        </w:numPr>
        <w:shd w:val="clear" w:color="auto" w:fill="F2F2F2" w:themeFill="background1" w:themeFillShade="F2"/>
        <w:spacing w:after="0" w:line="240" w:lineRule="atLeast"/>
        <w:ind w:left="426" w:hanging="426"/>
        <w:contextualSpacing w:val="0"/>
        <w:rPr>
          <w:b/>
        </w:rPr>
      </w:pPr>
      <w:r w:rsidRPr="006D6661">
        <w:rPr>
          <w:b/>
        </w:rPr>
        <w:t xml:space="preserve">To assist the ACMA in conducting </w:t>
      </w:r>
      <w:r w:rsidR="00CB287F" w:rsidRPr="006D6661">
        <w:rPr>
          <w:b/>
        </w:rPr>
        <w:t>a comprehensive assessment of the highest</w:t>
      </w:r>
      <w:r w:rsidR="0058646B" w:rsidRPr="006D6661">
        <w:rPr>
          <w:b/>
        </w:rPr>
        <w:t>-</w:t>
      </w:r>
      <w:r w:rsidR="00CB287F" w:rsidRPr="006D6661">
        <w:rPr>
          <w:b/>
        </w:rPr>
        <w:t>value use for the 3.6 GHz band</w:t>
      </w:r>
      <w:r w:rsidRPr="006D6661">
        <w:rPr>
          <w:b/>
        </w:rPr>
        <w:t>, responses to the following questions are requested:</w:t>
      </w:r>
    </w:p>
    <w:p w14:paraId="44A9C972" w14:textId="646C9239" w:rsidR="00FA59B6" w:rsidRPr="006D6661" w:rsidRDefault="00FA59B6" w:rsidP="004F7EC4">
      <w:pPr>
        <w:pStyle w:val="ListParagraph"/>
        <w:numPr>
          <w:ilvl w:val="0"/>
          <w:numId w:val="23"/>
        </w:numPr>
        <w:shd w:val="clear" w:color="auto" w:fill="F2F2F2" w:themeFill="background1" w:themeFillShade="F2"/>
        <w:spacing w:after="80" w:line="240" w:lineRule="atLeast"/>
        <w:contextualSpacing w:val="0"/>
        <w:rPr>
          <w:b/>
        </w:rPr>
      </w:pPr>
      <w:r w:rsidRPr="006D6661">
        <w:rPr>
          <w:b/>
        </w:rPr>
        <w:t>Do you see increasing demand for fixed</w:t>
      </w:r>
      <w:r w:rsidR="00EF776F">
        <w:rPr>
          <w:b/>
        </w:rPr>
        <w:t xml:space="preserve"> broadband</w:t>
      </w:r>
      <w:r w:rsidRPr="006D6661">
        <w:rPr>
          <w:b/>
        </w:rPr>
        <w:t>/</w:t>
      </w:r>
      <w:r w:rsidR="005A21F6" w:rsidRPr="006D6661">
        <w:rPr>
          <w:b/>
        </w:rPr>
        <w:t>MBB</w:t>
      </w:r>
      <w:r w:rsidRPr="006D6661">
        <w:rPr>
          <w:b/>
        </w:rPr>
        <w:t xml:space="preserve"> services in the 3.6 GHz band? What benefits do you envision from using the band for fixed</w:t>
      </w:r>
      <w:r w:rsidR="00EF776F">
        <w:rPr>
          <w:b/>
        </w:rPr>
        <w:t xml:space="preserve"> broadband</w:t>
      </w:r>
      <w:r w:rsidRPr="006D6661">
        <w:rPr>
          <w:b/>
        </w:rPr>
        <w:t>/</w:t>
      </w:r>
      <w:r w:rsidR="005A21F6" w:rsidRPr="006D6661">
        <w:rPr>
          <w:b/>
        </w:rPr>
        <w:t>MBB</w:t>
      </w:r>
      <w:r w:rsidRPr="006D6661">
        <w:rPr>
          <w:b/>
        </w:rPr>
        <w:t xml:space="preserve"> services?</w:t>
      </w:r>
    </w:p>
    <w:p w14:paraId="40A1FF0B" w14:textId="56022D96" w:rsidR="00FA59B6" w:rsidRPr="006D6661" w:rsidRDefault="00512B97" w:rsidP="004F7EC4">
      <w:pPr>
        <w:pStyle w:val="ListParagraph"/>
        <w:numPr>
          <w:ilvl w:val="0"/>
          <w:numId w:val="23"/>
        </w:numPr>
        <w:shd w:val="clear" w:color="auto" w:fill="F2F2F2" w:themeFill="background1" w:themeFillShade="F2"/>
        <w:spacing w:after="80" w:line="240" w:lineRule="atLeast"/>
        <w:contextualSpacing w:val="0"/>
        <w:rPr>
          <w:b/>
        </w:rPr>
      </w:pPr>
      <w:r w:rsidRPr="006D6661">
        <w:rPr>
          <w:b/>
        </w:rPr>
        <w:t xml:space="preserve">Which </w:t>
      </w:r>
      <w:r w:rsidR="00FA59B6" w:rsidRPr="006D6661">
        <w:rPr>
          <w:b/>
        </w:rPr>
        <w:t>regions of Australia will be in demand for fixed</w:t>
      </w:r>
      <w:r w:rsidR="00EF776F">
        <w:rPr>
          <w:b/>
        </w:rPr>
        <w:t xml:space="preserve"> broadband</w:t>
      </w:r>
      <w:r w:rsidR="00FA59B6" w:rsidRPr="006D6661">
        <w:rPr>
          <w:b/>
        </w:rPr>
        <w:t>/</w:t>
      </w:r>
      <w:r w:rsidR="005A21F6" w:rsidRPr="006D6661">
        <w:rPr>
          <w:b/>
        </w:rPr>
        <w:t>MBB</w:t>
      </w:r>
      <w:r w:rsidR="00FA59B6" w:rsidRPr="006D6661">
        <w:rPr>
          <w:b/>
        </w:rPr>
        <w:t xml:space="preserve"> services in the 3.6 GHz band? </w:t>
      </w:r>
    </w:p>
    <w:p w14:paraId="2F6BE12A" w14:textId="6ACCC40C" w:rsidR="00FA59B6" w:rsidRPr="006D6661" w:rsidRDefault="00FA59B6" w:rsidP="004F7EC4">
      <w:pPr>
        <w:pStyle w:val="ListParagraph"/>
        <w:numPr>
          <w:ilvl w:val="0"/>
          <w:numId w:val="23"/>
        </w:numPr>
        <w:shd w:val="clear" w:color="auto" w:fill="F2F2F2" w:themeFill="background1" w:themeFillShade="F2"/>
        <w:spacing w:after="80" w:line="240" w:lineRule="atLeast"/>
        <w:contextualSpacing w:val="0"/>
        <w:rPr>
          <w:b/>
        </w:rPr>
      </w:pPr>
      <w:r w:rsidRPr="006D6661">
        <w:rPr>
          <w:b/>
        </w:rPr>
        <w:t xml:space="preserve">Is demand the same or similar across regions, or are some regions/areas more likely to be in demand for </w:t>
      </w:r>
      <w:r w:rsidR="005A21F6" w:rsidRPr="006D6661">
        <w:rPr>
          <w:b/>
        </w:rPr>
        <w:t>MBB</w:t>
      </w:r>
      <w:r w:rsidRPr="006D6661">
        <w:rPr>
          <w:b/>
        </w:rPr>
        <w:t xml:space="preserve"> providers?</w:t>
      </w:r>
    </w:p>
    <w:p w14:paraId="7BDBF13C" w14:textId="6CA503ED" w:rsidR="00FA59B6" w:rsidRPr="006D6661" w:rsidRDefault="00FA59B6" w:rsidP="004F7EC4">
      <w:pPr>
        <w:pStyle w:val="ListParagraph"/>
        <w:numPr>
          <w:ilvl w:val="0"/>
          <w:numId w:val="23"/>
        </w:numPr>
        <w:shd w:val="clear" w:color="auto" w:fill="F2F2F2" w:themeFill="background1" w:themeFillShade="F2"/>
        <w:spacing w:after="80" w:line="240" w:lineRule="atLeast"/>
        <w:contextualSpacing w:val="0"/>
        <w:rPr>
          <w:b/>
        </w:rPr>
      </w:pPr>
      <w:r w:rsidRPr="006D6661">
        <w:rPr>
          <w:b/>
        </w:rPr>
        <w:t>Do incumbent 3.6 GHz band licensees require ongoing access to the band, or are the</w:t>
      </w:r>
      <w:r w:rsidR="00512B97" w:rsidRPr="006D6661">
        <w:rPr>
          <w:b/>
        </w:rPr>
        <w:t>re</w:t>
      </w:r>
      <w:r w:rsidRPr="006D6661">
        <w:rPr>
          <w:b/>
        </w:rPr>
        <w:t xml:space="preserve"> plans to cease operation at some future point? </w:t>
      </w:r>
    </w:p>
    <w:p w14:paraId="3FC27D5D" w14:textId="2261E5E2" w:rsidR="00FA59B6" w:rsidRPr="006D6661" w:rsidRDefault="00FA59B6" w:rsidP="004F7EC4">
      <w:pPr>
        <w:pStyle w:val="ListParagraph"/>
        <w:numPr>
          <w:ilvl w:val="0"/>
          <w:numId w:val="23"/>
        </w:numPr>
        <w:shd w:val="clear" w:color="auto" w:fill="F2F2F2" w:themeFill="background1" w:themeFillShade="F2"/>
        <w:spacing w:after="80" w:line="240" w:lineRule="atLeast"/>
        <w:contextualSpacing w:val="0"/>
        <w:rPr>
          <w:b/>
        </w:rPr>
      </w:pPr>
      <w:r w:rsidRPr="006D6661">
        <w:rPr>
          <w:b/>
        </w:rPr>
        <w:t>Do other options exist for the delivery of fixed, fixed</w:t>
      </w:r>
      <w:r w:rsidR="002C5793">
        <w:rPr>
          <w:b/>
        </w:rPr>
        <w:t>-</w:t>
      </w:r>
      <w:r w:rsidRPr="006D6661">
        <w:rPr>
          <w:b/>
        </w:rPr>
        <w:t>satellite and amateur incumbent service</w:t>
      </w:r>
      <w:r w:rsidR="00512B97" w:rsidRPr="006D6661">
        <w:rPr>
          <w:b/>
        </w:rPr>
        <w:t>s,</w:t>
      </w:r>
      <w:r w:rsidRPr="006D6661">
        <w:rPr>
          <w:b/>
        </w:rPr>
        <w:t xml:space="preserve"> </w:t>
      </w:r>
      <w:r w:rsidR="00512B97" w:rsidRPr="006D6661">
        <w:rPr>
          <w:b/>
        </w:rPr>
        <w:t>h</w:t>
      </w:r>
      <w:r w:rsidRPr="006D6661">
        <w:rPr>
          <w:b/>
        </w:rPr>
        <w:t xml:space="preserve">ow practical are they? What are the costs involved? Will there be a </w:t>
      </w:r>
      <w:r w:rsidR="00512B97" w:rsidRPr="006D6661">
        <w:rPr>
          <w:b/>
        </w:rPr>
        <w:t xml:space="preserve">diminution </w:t>
      </w:r>
      <w:r w:rsidRPr="006D6661">
        <w:rPr>
          <w:b/>
        </w:rPr>
        <w:t>of the service delivered</w:t>
      </w:r>
      <w:r w:rsidR="00463910" w:rsidRPr="006D6661">
        <w:rPr>
          <w:b/>
        </w:rPr>
        <w:t xml:space="preserve"> if </w:t>
      </w:r>
      <w:r w:rsidR="005A21F6" w:rsidRPr="006D6661">
        <w:rPr>
          <w:b/>
        </w:rPr>
        <w:t>MBB</w:t>
      </w:r>
      <w:r w:rsidR="00463910" w:rsidRPr="006D6661">
        <w:rPr>
          <w:b/>
        </w:rPr>
        <w:t xml:space="preserve"> services are introduced in the band</w:t>
      </w:r>
      <w:r w:rsidRPr="006D6661">
        <w:rPr>
          <w:b/>
        </w:rPr>
        <w:t>?</w:t>
      </w:r>
    </w:p>
    <w:p w14:paraId="23502849" w14:textId="20BCDE9A" w:rsidR="00FA59B6" w:rsidRPr="006D6661" w:rsidRDefault="00821BF7" w:rsidP="004F7EC4">
      <w:pPr>
        <w:pStyle w:val="ListParagraph"/>
        <w:numPr>
          <w:ilvl w:val="0"/>
          <w:numId w:val="23"/>
        </w:numPr>
        <w:shd w:val="clear" w:color="auto" w:fill="F2F2F2" w:themeFill="background1" w:themeFillShade="F2"/>
        <w:spacing w:after="240" w:line="240" w:lineRule="atLeast"/>
        <w:contextualSpacing w:val="0"/>
        <w:rPr>
          <w:b/>
        </w:rPr>
      </w:pPr>
      <w:r w:rsidRPr="006D6661">
        <w:rPr>
          <w:b/>
        </w:rPr>
        <w:t xml:space="preserve">Should further consideration be given to the migration of </w:t>
      </w:r>
      <w:r w:rsidR="00512B97" w:rsidRPr="006D6661">
        <w:rPr>
          <w:b/>
        </w:rPr>
        <w:t xml:space="preserve">incumbent </w:t>
      </w:r>
      <w:r w:rsidRPr="006D6661">
        <w:rPr>
          <w:b/>
        </w:rPr>
        <w:t>3.6 GHz band FSS earth stations to low density population areas?</w:t>
      </w:r>
    </w:p>
    <w:p w14:paraId="32CF05F2" w14:textId="3121324E" w:rsidR="00FF3C69" w:rsidRPr="006D46E5" w:rsidRDefault="00FF3C69" w:rsidP="00FF3C69">
      <w:pPr>
        <w:pStyle w:val="Heading1"/>
      </w:pPr>
      <w:bookmarkStart w:id="113" w:name="_Toc459906743"/>
      <w:bookmarkStart w:id="114" w:name="_Invitation_to_comment"/>
      <w:bookmarkStart w:id="115" w:name="_Toc459906745"/>
      <w:bookmarkStart w:id="116" w:name="_Toc464480535"/>
      <w:bookmarkEnd w:id="113"/>
      <w:bookmarkEnd w:id="114"/>
      <w:r w:rsidRPr="006D46E5">
        <w:t>Invitation to comment</w:t>
      </w:r>
      <w:bookmarkEnd w:id="69"/>
      <w:bookmarkEnd w:id="70"/>
      <w:bookmarkEnd w:id="71"/>
      <w:bookmarkEnd w:id="115"/>
      <w:bookmarkEnd w:id="116"/>
    </w:p>
    <w:p w14:paraId="4B23E1F1" w14:textId="77777777" w:rsidR="00715722" w:rsidRPr="006D46E5" w:rsidRDefault="00715722" w:rsidP="00715722">
      <w:pPr>
        <w:pStyle w:val="Heading2"/>
      </w:pPr>
      <w:bookmarkStart w:id="117" w:name="_Toc298924673"/>
      <w:bookmarkStart w:id="118" w:name="_Toc300909556"/>
      <w:bookmarkStart w:id="119" w:name="_Toc348105637"/>
      <w:bookmarkStart w:id="120" w:name="_Toc433122131"/>
      <w:bookmarkStart w:id="121" w:name="_Toc459906746"/>
      <w:bookmarkStart w:id="122" w:name="_Toc464480536"/>
      <w:bookmarkStart w:id="123" w:name="_Toc300909557"/>
      <w:bookmarkStart w:id="124" w:name="_Toc348105638"/>
      <w:bookmarkStart w:id="125" w:name="_Toc274296357"/>
      <w:bookmarkStart w:id="126" w:name="_Toc298924674"/>
      <w:r w:rsidRPr="006D46E5">
        <w:t>Making a submission</w:t>
      </w:r>
      <w:bookmarkEnd w:id="117"/>
      <w:bookmarkEnd w:id="118"/>
      <w:bookmarkEnd w:id="119"/>
      <w:bookmarkEnd w:id="120"/>
      <w:bookmarkEnd w:id="121"/>
      <w:bookmarkEnd w:id="122"/>
    </w:p>
    <w:p w14:paraId="3A9FA9E7" w14:textId="16C1BE80" w:rsidR="00715722" w:rsidRPr="005E7226" w:rsidRDefault="00715722" w:rsidP="00715722">
      <w:pPr>
        <w:spacing w:after="80"/>
      </w:pPr>
      <w:r w:rsidRPr="005E7226">
        <w:t xml:space="preserve">The ACMA invites comments on the issues set out in this discussion paper or any other issues relevant to </w:t>
      </w:r>
      <w:r w:rsidR="00FF19A6">
        <w:t>the future use of the 1.5 GHz and 3.6 GHz bands</w:t>
      </w:r>
      <w:r w:rsidRPr="005E7226">
        <w:t xml:space="preserve">. </w:t>
      </w:r>
    </w:p>
    <w:p w14:paraId="1A45C41C" w14:textId="22E0B6AB" w:rsidR="00715722" w:rsidRPr="000E6E09" w:rsidRDefault="00C23324" w:rsidP="004F7EC4">
      <w:pPr>
        <w:numPr>
          <w:ilvl w:val="1"/>
          <w:numId w:val="7"/>
        </w:numPr>
        <w:tabs>
          <w:tab w:val="clear" w:pos="360"/>
          <w:tab w:val="num" w:pos="426"/>
        </w:tabs>
        <w:spacing w:after="80"/>
        <w:ind w:left="426" w:hanging="426"/>
        <w:rPr>
          <w:rFonts w:cs="Arial"/>
        </w:rPr>
      </w:pPr>
      <w:hyperlink r:id="rId76" w:history="1">
        <w:r w:rsidR="008C0232" w:rsidRPr="00153FD5">
          <w:rPr>
            <w:rStyle w:val="Hyperlink"/>
            <w:b/>
            <w:bCs/>
          </w:rPr>
          <w:t>Online submissions</w:t>
        </w:r>
      </w:hyperlink>
      <w:r w:rsidR="00715722" w:rsidRPr="00D94C1D">
        <w:rPr>
          <w:rFonts w:cs="Arial"/>
        </w:rPr>
        <w:t xml:space="preserve">—submissions can be made via the comment function or by uploading a document. The online consultation page </w:t>
      </w:r>
      <w:r w:rsidR="00715722" w:rsidRPr="000E6E09">
        <w:rPr>
          <w:rFonts w:cs="Arial"/>
        </w:rPr>
        <w:t>provides details.</w:t>
      </w:r>
    </w:p>
    <w:p w14:paraId="01811AB3" w14:textId="77777777" w:rsidR="00715722" w:rsidRPr="000E6E09" w:rsidRDefault="00715722" w:rsidP="004F7EC4">
      <w:pPr>
        <w:numPr>
          <w:ilvl w:val="1"/>
          <w:numId w:val="7"/>
        </w:numPr>
        <w:tabs>
          <w:tab w:val="clear" w:pos="360"/>
          <w:tab w:val="num" w:pos="426"/>
        </w:tabs>
        <w:spacing w:after="80"/>
        <w:ind w:left="426" w:hanging="426"/>
        <w:rPr>
          <w:rFonts w:cs="Arial"/>
        </w:rPr>
      </w:pPr>
      <w:r w:rsidRPr="000E6E09">
        <w:rPr>
          <w:rFonts w:cs="Arial"/>
          <w:b/>
        </w:rPr>
        <w:t>Submissions by post</w:t>
      </w:r>
      <w:r w:rsidRPr="000E6E09">
        <w:rPr>
          <w:rFonts w:cs="Arial"/>
        </w:rPr>
        <w:t xml:space="preserve">—can be sent to: </w:t>
      </w:r>
    </w:p>
    <w:p w14:paraId="50EA052A" w14:textId="77777777" w:rsidR="009B2601" w:rsidRPr="00FA7745" w:rsidRDefault="009B2601" w:rsidP="001F57E3">
      <w:pPr>
        <w:pStyle w:val="ACMANormalTabbed"/>
        <w:tabs>
          <w:tab w:val="num" w:pos="295"/>
        </w:tabs>
        <w:spacing w:after="0"/>
        <w:ind w:left="426"/>
      </w:pPr>
      <w:r w:rsidRPr="00FA7745">
        <w:t>The Manager</w:t>
      </w:r>
    </w:p>
    <w:p w14:paraId="3CD508AE" w14:textId="1EE5F985" w:rsidR="009B2601" w:rsidRPr="00FA7745" w:rsidRDefault="007858C6" w:rsidP="0058646B">
      <w:pPr>
        <w:pStyle w:val="ACMANormalTabbed"/>
        <w:spacing w:after="0"/>
        <w:ind w:left="426"/>
      </w:pPr>
      <w:r w:rsidRPr="00FA7745">
        <w:t xml:space="preserve">Spectrum Planning </w:t>
      </w:r>
      <w:r w:rsidR="009B2601" w:rsidRPr="00FA7745">
        <w:t>Section</w:t>
      </w:r>
    </w:p>
    <w:p w14:paraId="53BADA25" w14:textId="77777777" w:rsidR="009B2601" w:rsidRPr="00FA7745" w:rsidRDefault="00715722" w:rsidP="0058646B">
      <w:pPr>
        <w:pStyle w:val="ACMANormalTabbed"/>
        <w:spacing w:after="0"/>
        <w:ind w:left="426"/>
      </w:pPr>
      <w:r w:rsidRPr="00FA7745">
        <w:t>Spectrum Infr</w:t>
      </w:r>
      <w:r w:rsidR="009B2601" w:rsidRPr="00FA7745">
        <w:t>astructure Branch</w:t>
      </w:r>
    </w:p>
    <w:p w14:paraId="424F9C9A" w14:textId="77777777" w:rsidR="009B2601" w:rsidRPr="00FA7745" w:rsidRDefault="00715722" w:rsidP="0058646B">
      <w:pPr>
        <w:pStyle w:val="ACMANormalTabbed"/>
        <w:spacing w:after="0"/>
        <w:ind w:left="426"/>
      </w:pPr>
      <w:r w:rsidRPr="00FA7745">
        <w:t>Australian Comm</w:t>
      </w:r>
      <w:r w:rsidR="009B2601" w:rsidRPr="00FA7745">
        <w:t>unications and Media Authority</w:t>
      </w:r>
    </w:p>
    <w:p w14:paraId="03378DA6" w14:textId="77777777" w:rsidR="009B2601" w:rsidRPr="00FA7745" w:rsidRDefault="009B2601" w:rsidP="0058646B">
      <w:pPr>
        <w:pStyle w:val="ACMANormalTabbed"/>
        <w:spacing w:after="0"/>
        <w:ind w:left="426"/>
      </w:pPr>
      <w:r w:rsidRPr="00FA7745">
        <w:t>PO Box 78</w:t>
      </w:r>
    </w:p>
    <w:p w14:paraId="0541DAA5" w14:textId="77777777" w:rsidR="00715722" w:rsidRPr="00FA7745" w:rsidRDefault="00715722" w:rsidP="0058646B">
      <w:pPr>
        <w:pStyle w:val="ACMANormalTabbed"/>
        <w:ind w:left="426"/>
      </w:pPr>
      <w:r w:rsidRPr="00FA7745">
        <w:t>Belconnen ACT 2616</w:t>
      </w:r>
    </w:p>
    <w:p w14:paraId="4A6DAE68" w14:textId="3B64A40E" w:rsidR="00715722" w:rsidRPr="00FA7745" w:rsidRDefault="00715722" w:rsidP="00715722">
      <w:pPr>
        <w:rPr>
          <w:rStyle w:val="Strong"/>
        </w:rPr>
      </w:pPr>
      <w:r w:rsidRPr="00FA7745">
        <w:rPr>
          <w:rStyle w:val="Strong"/>
        </w:rPr>
        <w:t xml:space="preserve">The closing date for submissions is COB, </w:t>
      </w:r>
      <w:r w:rsidR="00FA7745" w:rsidRPr="00FA7745">
        <w:rPr>
          <w:rStyle w:val="Strong"/>
        </w:rPr>
        <w:t>Friday</w:t>
      </w:r>
      <w:r w:rsidRPr="00FA7745">
        <w:rPr>
          <w:rStyle w:val="Strong"/>
        </w:rPr>
        <w:t xml:space="preserve"> </w:t>
      </w:r>
      <w:r w:rsidR="008E4F28">
        <w:rPr>
          <w:rStyle w:val="Strong"/>
        </w:rPr>
        <w:t>25 November</w:t>
      </w:r>
      <w:r w:rsidR="00910E2A" w:rsidRPr="00FA7745">
        <w:rPr>
          <w:rStyle w:val="Strong"/>
        </w:rPr>
        <w:t xml:space="preserve"> </w:t>
      </w:r>
      <w:r w:rsidRPr="00FA7745">
        <w:rPr>
          <w:rStyle w:val="Strong"/>
        </w:rPr>
        <w:t>2016.</w:t>
      </w:r>
    </w:p>
    <w:p w14:paraId="6CC89AAB" w14:textId="77777777" w:rsidR="00715722" w:rsidRPr="005E7226" w:rsidRDefault="00715722" w:rsidP="00715722">
      <w:r w:rsidRPr="00FA7745">
        <w:t>Electronic</w:t>
      </w:r>
      <w:r w:rsidRPr="005E7226">
        <w:t xml:space="preserve"> submissions in Microsoft Word or Rich Text Format are preferred. </w:t>
      </w:r>
    </w:p>
    <w:p w14:paraId="66E28D4D" w14:textId="77777777" w:rsidR="00765DF8" w:rsidRDefault="00765DF8" w:rsidP="00765DF8">
      <w:pPr>
        <w:pStyle w:val="BodySubHeader"/>
      </w:pPr>
      <w:r>
        <w:t>Enquiries</w:t>
      </w:r>
    </w:p>
    <w:p w14:paraId="1C53B47E" w14:textId="3F6D5B5E" w:rsidR="00765DF8" w:rsidRPr="000E6E09" w:rsidRDefault="00765DF8" w:rsidP="004F7EC4">
      <w:pPr>
        <w:numPr>
          <w:ilvl w:val="1"/>
          <w:numId w:val="7"/>
        </w:numPr>
        <w:tabs>
          <w:tab w:val="clear" w:pos="360"/>
          <w:tab w:val="num" w:pos="426"/>
        </w:tabs>
        <w:spacing w:after="80"/>
        <w:ind w:left="426" w:hanging="426"/>
        <w:rPr>
          <w:rFonts w:cs="Arial"/>
        </w:rPr>
      </w:pPr>
      <w:r w:rsidRPr="00D94C1D">
        <w:rPr>
          <w:rFonts w:cs="Arial"/>
        </w:rPr>
        <w:t xml:space="preserve">Consultation enquiries </w:t>
      </w:r>
      <w:r w:rsidR="00B01B60" w:rsidRPr="000E6E09">
        <w:rPr>
          <w:rFonts w:cs="Arial"/>
        </w:rPr>
        <w:t>can be emailed to</w:t>
      </w:r>
      <w:r w:rsidR="008C0232">
        <w:rPr>
          <w:rFonts w:cs="Arial"/>
        </w:rPr>
        <w:t xml:space="preserve"> </w:t>
      </w:r>
      <w:hyperlink r:id="rId77" w:history="1">
        <w:r w:rsidR="008C0232" w:rsidRPr="00A12552">
          <w:rPr>
            <w:rStyle w:val="Hyperlink"/>
          </w:rPr>
          <w:t>freqplan@acma.gov.au</w:t>
        </w:r>
      </w:hyperlink>
      <w:r w:rsidR="00FA7745" w:rsidRPr="00D94C1D">
        <w:rPr>
          <w:rFonts w:cs="Arial"/>
        </w:rPr>
        <w:t xml:space="preserve">. </w:t>
      </w:r>
    </w:p>
    <w:p w14:paraId="5240005E" w14:textId="61570DAC" w:rsidR="00765DF8" w:rsidRPr="008C0232" w:rsidRDefault="00765DF8" w:rsidP="004F7EC4">
      <w:pPr>
        <w:numPr>
          <w:ilvl w:val="1"/>
          <w:numId w:val="7"/>
        </w:numPr>
        <w:tabs>
          <w:tab w:val="clear" w:pos="360"/>
          <w:tab w:val="num" w:pos="426"/>
        </w:tabs>
        <w:spacing w:after="30"/>
        <w:ind w:left="426" w:hanging="426"/>
      </w:pPr>
      <w:r w:rsidRPr="008C0232">
        <w:rPr>
          <w:rFonts w:cs="Arial"/>
        </w:rPr>
        <w:t xml:space="preserve">Media enquiries </w:t>
      </w:r>
      <w:r w:rsidR="00B01B60" w:rsidRPr="008C0232">
        <w:rPr>
          <w:rFonts w:cs="Arial"/>
        </w:rPr>
        <w:t>can</w:t>
      </w:r>
      <w:r w:rsidRPr="008C0232">
        <w:rPr>
          <w:rFonts w:cs="Arial"/>
        </w:rPr>
        <w:t xml:space="preserve"> be directed to Emma Rossi on 02 9334 7719 or by email to </w:t>
      </w:r>
      <w:hyperlink r:id="rId78" w:history="1">
        <w:r w:rsidR="008C0232" w:rsidRPr="00250B07">
          <w:rPr>
            <w:rStyle w:val="Hyperlink"/>
          </w:rPr>
          <w:t>media@acma.gov.au</w:t>
        </w:r>
      </w:hyperlink>
      <w:r w:rsidRPr="008C0232">
        <w:rPr>
          <w:rFonts w:cs="Arial"/>
        </w:rPr>
        <w:t xml:space="preserve">. </w:t>
      </w:r>
    </w:p>
    <w:p w14:paraId="7C5AF1A2" w14:textId="77777777" w:rsidR="00FF3C69" w:rsidRPr="005E7226" w:rsidRDefault="00FF3C69" w:rsidP="006D576C">
      <w:pPr>
        <w:pStyle w:val="BodySubHeader"/>
      </w:pPr>
      <w:r w:rsidRPr="005E7226">
        <w:t>Effective consultation</w:t>
      </w:r>
      <w:bookmarkEnd w:id="123"/>
      <w:bookmarkEnd w:id="124"/>
      <w:r w:rsidRPr="005E7226">
        <w:t xml:space="preserve"> </w:t>
      </w:r>
    </w:p>
    <w:p w14:paraId="47F4CBBD" w14:textId="77777777" w:rsidR="00FF3C69" w:rsidRPr="005E7226" w:rsidRDefault="00FF3C69" w:rsidP="005E7226">
      <w:r w:rsidRPr="005E7226">
        <w:t xml:space="preserve">The ACMA is working to enhance the effectiveness of its stakeholder consultation processes, which are an important source of evidence for its regulatory development activities. To assist stakeholders in formulating submissions to its formal, written consultation processes, it has developed </w:t>
      </w:r>
      <w:hyperlink r:id="rId79" w:history="1">
        <w:r w:rsidR="00F60F00" w:rsidRPr="00250B07">
          <w:rPr>
            <w:rStyle w:val="Hyperlink"/>
            <w:i/>
          </w:rPr>
          <w:t>Effective consultation—a guide to making a submission</w:t>
        </w:r>
      </w:hyperlink>
      <w:r w:rsidRPr="005E7226">
        <w:t>. This guide provides information about the ACMA’s formal written public consultation processes and practical guidance on how to make a submission.</w:t>
      </w:r>
    </w:p>
    <w:p w14:paraId="1538DD1E" w14:textId="77777777" w:rsidR="00FF3C69" w:rsidRPr="005E7226" w:rsidRDefault="00FF3C69" w:rsidP="006D576C">
      <w:pPr>
        <w:pStyle w:val="BodySubHeader"/>
      </w:pPr>
      <w:bookmarkStart w:id="127" w:name="_Toc300909558"/>
      <w:bookmarkStart w:id="128" w:name="_Toc348105639"/>
      <w:r w:rsidRPr="005E7226">
        <w:t>Publication of submissions</w:t>
      </w:r>
      <w:bookmarkEnd w:id="125"/>
      <w:bookmarkEnd w:id="126"/>
      <w:bookmarkEnd w:id="127"/>
      <w:bookmarkEnd w:id="128"/>
    </w:p>
    <w:p w14:paraId="41877801" w14:textId="77777777" w:rsidR="00FF3C69" w:rsidRPr="005E7226" w:rsidRDefault="00FF3C69" w:rsidP="005E7226">
      <w:r w:rsidRPr="005E7226">
        <w:t>In general, the ACMA publishes all submissions it receives. The ACMA prefers to receive submissions that are not claimed to be confidential. However, the ACMA accepts that a submitter may sometimes wish to provide information in confidence. In these circumstances, submitters are asked to identify the material over which confidentiality is claimed and provide a written explanation for the claim.</w:t>
      </w:r>
    </w:p>
    <w:p w14:paraId="0513895F" w14:textId="77777777" w:rsidR="00FF3C69" w:rsidRPr="005E7226" w:rsidRDefault="00FF3C69" w:rsidP="005E7226">
      <w:r w:rsidRPr="005E7226">
        <w:t xml:space="preserve">The ACMA will consider each confidentiality claim on a case-by-case basis. If the ACMA accepts a claim, it will not publish the confidential information unless authorised or required by law to do so. </w:t>
      </w:r>
    </w:p>
    <w:p w14:paraId="5989AE2B" w14:textId="77777777" w:rsidR="00FF3C69" w:rsidRPr="005E7226" w:rsidRDefault="00FF3C69" w:rsidP="006D576C">
      <w:pPr>
        <w:pStyle w:val="BodySubHeader"/>
      </w:pPr>
      <w:bookmarkStart w:id="129" w:name="_Toc265246234"/>
      <w:bookmarkStart w:id="130" w:name="_Toc300909559"/>
      <w:bookmarkStart w:id="131" w:name="_Toc348105640"/>
      <w:r w:rsidRPr="005E7226">
        <w:t>Release of submissions where authorised or required by law</w:t>
      </w:r>
      <w:bookmarkEnd w:id="129"/>
      <w:bookmarkEnd w:id="130"/>
      <w:bookmarkEnd w:id="131"/>
    </w:p>
    <w:p w14:paraId="11EB8B5B" w14:textId="77777777" w:rsidR="00FF3C69" w:rsidRPr="005E7226" w:rsidRDefault="00FF3C69" w:rsidP="005E7226">
      <w:r w:rsidRPr="005E7226">
        <w:t xml:space="preserve">Any submissions provided to the ACMA may be released under the </w:t>
      </w:r>
      <w:hyperlink r:id="rId80" w:history="1">
        <w:r w:rsidRPr="00DF56AF">
          <w:rPr>
            <w:rStyle w:val="Hyperlink"/>
            <w:i/>
          </w:rPr>
          <w:t>Freedom of Information Act 1982</w:t>
        </w:r>
      </w:hyperlink>
      <w:r w:rsidRPr="005E7226">
        <w:t xml:space="preserve"> (unless an exemption applies) or shared with </w:t>
      </w:r>
      <w:r w:rsidR="00B6003C">
        <w:t xml:space="preserve">various </w:t>
      </w:r>
      <w:r w:rsidRPr="005E7226">
        <w:t xml:space="preserve">other </w:t>
      </w:r>
      <w:r w:rsidR="00AF6E17">
        <w:t>g</w:t>
      </w:r>
      <w:r w:rsidRPr="005E7226">
        <w:t xml:space="preserve">overnment agencies </w:t>
      </w:r>
      <w:r w:rsidR="00B6003C">
        <w:t xml:space="preserve">and certain other parties </w:t>
      </w:r>
      <w:r w:rsidRPr="005E7226">
        <w:t xml:space="preserve">under Part 7A of the </w:t>
      </w:r>
      <w:hyperlink r:id="rId81" w:history="1">
        <w:r w:rsidRPr="00DF56AF">
          <w:rPr>
            <w:rStyle w:val="Hyperlink"/>
            <w:i/>
          </w:rPr>
          <w:t>Australian Communications and Media Authority Act 2005</w:t>
        </w:r>
      </w:hyperlink>
      <w:r w:rsidRPr="005E7226">
        <w:t xml:space="preserve">. The ACMA may also be required to release submissions for other reasons including for the purpose of parliamentary processes or where otherwise required by law (for example, under a court subpoena). While the ACMA seeks to consult submitters of confidential information before that information is provided to another party, the ACMA cannot guarantee that confidential information will not be released through these or other legal means. </w:t>
      </w:r>
    </w:p>
    <w:p w14:paraId="144DCC79" w14:textId="77777777" w:rsidR="00A4193E" w:rsidRPr="0041233F" w:rsidRDefault="00A4193E" w:rsidP="00FD0107">
      <w:pPr>
        <w:pStyle w:val="BodySubHeader"/>
      </w:pPr>
      <w:r w:rsidRPr="0041233F">
        <w:t>Privacy</w:t>
      </w:r>
    </w:p>
    <w:p w14:paraId="07A9EA18" w14:textId="77777777" w:rsidR="00A4193E" w:rsidRDefault="00A4193E" w:rsidP="00FD0107">
      <w:pPr>
        <w:keepLines/>
      </w:pPr>
      <w:r w:rsidRPr="0041233F">
        <w:t xml:space="preserve">The </w:t>
      </w:r>
      <w:hyperlink r:id="rId82" w:history="1">
        <w:r w:rsidRPr="00E7431C">
          <w:rPr>
            <w:rStyle w:val="Hyperlink"/>
            <w:rFonts w:cs="Arial"/>
            <w:i/>
            <w:szCs w:val="20"/>
          </w:rPr>
          <w:t>Privacy Act 1988</w:t>
        </w:r>
      </w:hyperlink>
      <w:r w:rsidRPr="0041233F">
        <w:t xml:space="preserve"> imposes obligations on the ACMA in relation to the collection, security, quality, access, use and disclosure of personal information. These obligations are detailed in the </w:t>
      </w:r>
      <w:hyperlink r:id="rId83" w:history="1">
        <w:r w:rsidRPr="004B31A4">
          <w:rPr>
            <w:rStyle w:val="Hyperlink"/>
            <w:rFonts w:cs="Arial"/>
            <w:i/>
            <w:szCs w:val="20"/>
          </w:rPr>
          <w:t>Australian Privacy Principles</w:t>
        </w:r>
      </w:hyperlink>
      <w:r w:rsidRPr="0041233F">
        <w:t>.</w:t>
      </w:r>
    </w:p>
    <w:p w14:paraId="1C864DAC" w14:textId="77777777" w:rsidR="00A4193E" w:rsidRPr="001A44EC" w:rsidRDefault="00A4193E" w:rsidP="001A44EC">
      <w:r w:rsidRPr="001A44EC">
        <w:t xml:space="preserve">The ACMA may only collect personal information if it is reasonably necessary for, or directly related to, one or more of its functions or activities. </w:t>
      </w:r>
    </w:p>
    <w:p w14:paraId="675E86BD" w14:textId="77777777" w:rsidR="00A4193E" w:rsidRPr="001A44EC" w:rsidRDefault="00A4193E" w:rsidP="00E302D0">
      <w:pPr>
        <w:spacing w:after="80"/>
      </w:pPr>
      <w:r w:rsidRPr="001A44EC">
        <w:t>The purposes for which personal information is being collected (such as the names and contact details of submitters) are to:</w:t>
      </w:r>
    </w:p>
    <w:p w14:paraId="3063F6E6" w14:textId="77777777" w:rsidR="00A4193E" w:rsidRPr="000E6E09" w:rsidRDefault="00A4193E" w:rsidP="001F57E3">
      <w:pPr>
        <w:pStyle w:val="ListBullet"/>
      </w:pPr>
      <w:r w:rsidRPr="00D94C1D">
        <w:t xml:space="preserve">contribute to the transparency of the consultation process by clarifying, where appropriate, whose views are represented by a submission </w:t>
      </w:r>
    </w:p>
    <w:p w14:paraId="0603A129" w14:textId="77777777" w:rsidR="00A4193E" w:rsidRPr="008C0232" w:rsidRDefault="00A4193E" w:rsidP="001F57E3">
      <w:pPr>
        <w:pStyle w:val="ListBulletLast"/>
      </w:pPr>
      <w:r w:rsidRPr="008C0232">
        <w:t>enable the ACMA to contact submitters where follow-up is required or to notify them of related matters (except where submitters indicate they do not wish to be notified of such matters).</w:t>
      </w:r>
    </w:p>
    <w:p w14:paraId="544A5FEF" w14:textId="77777777" w:rsidR="00A4193E" w:rsidRDefault="00A4193E" w:rsidP="00861473">
      <w:pPr>
        <w:spacing w:before="240"/>
      </w:pPr>
      <w:r w:rsidRPr="005808C5">
        <w:t>The ACMA will not use the personal information collected for any other purpose, unless the submitter has provided their consent or the ACMA is otherwise permitted to do so under the Privacy Act.</w:t>
      </w:r>
      <w:r w:rsidRPr="00977564">
        <w:t xml:space="preserve"> </w:t>
      </w:r>
    </w:p>
    <w:p w14:paraId="444F3CF3" w14:textId="77777777" w:rsidR="00A4193E" w:rsidRPr="005808C5" w:rsidRDefault="00A4193E" w:rsidP="001A44EC">
      <w:r w:rsidRPr="0041233F">
        <w:t xml:space="preserve">Submissions in response to this paper are voluntary. </w:t>
      </w:r>
      <w:r>
        <w:t xml:space="preserve">As mentioned above, </w:t>
      </w:r>
      <w:r w:rsidRPr="0041233F">
        <w:t xml:space="preserve">the ACMA generally publishes </w:t>
      </w:r>
      <w:r>
        <w:t xml:space="preserve">all </w:t>
      </w:r>
      <w:r w:rsidRPr="0041233F">
        <w:t>submissions</w:t>
      </w:r>
      <w:r>
        <w:t xml:space="preserve"> </w:t>
      </w:r>
      <w:r w:rsidRPr="005808C5">
        <w:t>it</w:t>
      </w:r>
      <w:r w:rsidRPr="0041233F">
        <w:t xml:space="preserve"> receive</w:t>
      </w:r>
      <w:r w:rsidRPr="005808C5">
        <w:t>s</w:t>
      </w:r>
      <w:r>
        <w:t xml:space="preserve">, </w:t>
      </w:r>
      <w:r w:rsidRPr="00FB2D58">
        <w:t>including any personal information in the submissions. If a submitter has made a con</w:t>
      </w:r>
      <w:r w:rsidRPr="005808C5">
        <w:t xml:space="preserve">fidentiality claim over personal </w:t>
      </w:r>
      <w:r w:rsidRPr="001A44EC">
        <w:t>information</w:t>
      </w:r>
      <w:r w:rsidRPr="005808C5">
        <w:t xml:space="preserve"> </w:t>
      </w:r>
      <w:r w:rsidR="00AF6E17">
        <w:t>that</w:t>
      </w:r>
      <w:r w:rsidRPr="005808C5">
        <w:t xml:space="preserve"> the ACMA has accepted, the submission will be published without</w:t>
      </w:r>
      <w:r>
        <w:t xml:space="preserve"> that information</w:t>
      </w:r>
      <w:r w:rsidRPr="005808C5">
        <w:t>.</w:t>
      </w:r>
      <w:r>
        <w:t xml:space="preserve"> </w:t>
      </w:r>
      <w:r w:rsidRPr="005808C5">
        <w:t>The ACMA will not release th</w:t>
      </w:r>
      <w:r>
        <w:t>e</w:t>
      </w:r>
      <w:r w:rsidRPr="005808C5">
        <w:t xml:space="preserve"> </w:t>
      </w:r>
      <w:r>
        <w:t xml:space="preserve">personal </w:t>
      </w:r>
      <w:r w:rsidRPr="005808C5">
        <w:t xml:space="preserve">information unless authorised or required by law to do so. </w:t>
      </w:r>
    </w:p>
    <w:p w14:paraId="2EE20A0C" w14:textId="77777777" w:rsidR="00A4193E" w:rsidRPr="00F97DD3" w:rsidRDefault="00A4193E" w:rsidP="001A44EC">
      <w:r>
        <w:t>I</w:t>
      </w:r>
      <w:r w:rsidRPr="005808C5">
        <w:t xml:space="preserve">f a submitter wishes to make a submission anonymously or use a pseudonym, they </w:t>
      </w:r>
      <w:r>
        <w:t>are asked</w:t>
      </w:r>
      <w:r w:rsidRPr="005808C5">
        <w:t xml:space="preserve"> to contact the ACMA to see whether it is practicable to do so in light of the subject matter of the </w:t>
      </w:r>
      <w:r w:rsidRPr="001A44EC">
        <w:t>consultation</w:t>
      </w:r>
      <w:r>
        <w:t>. If it is practicable, the ACMA will notify the submitter of any procedures that need to be followed and whether there are any other consequences of making a submission in that way</w:t>
      </w:r>
      <w:r w:rsidRPr="005808C5">
        <w:t>.</w:t>
      </w:r>
      <w:r w:rsidR="00537604" w:rsidRPr="00537604">
        <w:t xml:space="preserve"> </w:t>
      </w:r>
    </w:p>
    <w:p w14:paraId="30A84B0C" w14:textId="77777777" w:rsidR="00A4193E" w:rsidRPr="0041233F" w:rsidRDefault="00A4193E" w:rsidP="001A44EC">
      <w:r w:rsidRPr="005F7354">
        <w:t xml:space="preserve">Further information on the Privacy Act and the ACMA’s privacy policy is available at </w:t>
      </w:r>
      <w:hyperlink r:id="rId84" w:tooltip="ACMA Privacy Policy" w:history="1">
        <w:r w:rsidR="00AF6E17">
          <w:rPr>
            <w:rStyle w:val="Hyperlink"/>
          </w:rPr>
          <w:t>www.acma.gov.au/privacypolicy</w:t>
        </w:r>
      </w:hyperlink>
      <w:r w:rsidRPr="005F7354">
        <w:t xml:space="preserve">. The privacy policy contains details about how an individual may access personal information about them that is held by the ACMA, and seek the correction of such information. It also </w:t>
      </w:r>
      <w:r w:rsidRPr="001A44EC">
        <w:t>explains</w:t>
      </w:r>
      <w:r w:rsidRPr="005F7354">
        <w:t xml:space="preserve"> how an individual may complain about a breach of the Privacy Act and how the ACMA will deal with such a complaint.</w:t>
      </w:r>
      <w:r>
        <w:t xml:space="preserve"> </w:t>
      </w:r>
    </w:p>
    <w:p w14:paraId="4353D949" w14:textId="08B48913" w:rsidR="00240CE9" w:rsidRDefault="00FF3C69" w:rsidP="00FF3C69">
      <w:pPr>
        <w:pStyle w:val="Heading1"/>
      </w:pPr>
      <w:bookmarkStart w:id="132" w:name="_Toc348105641"/>
      <w:bookmarkStart w:id="133" w:name="_Toc459906747"/>
      <w:bookmarkStart w:id="134" w:name="_Toc464480537"/>
      <w:r w:rsidRPr="006D46E5">
        <w:t>Appendix A</w:t>
      </w:r>
      <w:bookmarkEnd w:id="132"/>
      <w:r w:rsidR="0058646B">
        <w:t>—</w:t>
      </w:r>
      <w:r w:rsidR="005D65DF">
        <w:t xml:space="preserve">Current use of the </w:t>
      </w:r>
      <w:r w:rsidR="005B7442">
        <w:t>1.5</w:t>
      </w:r>
      <w:r w:rsidR="005D65DF">
        <w:t xml:space="preserve"> GHz band</w:t>
      </w:r>
      <w:bookmarkEnd w:id="133"/>
      <w:bookmarkEnd w:id="134"/>
    </w:p>
    <w:p w14:paraId="1152BE3F" w14:textId="10FB4A30" w:rsidR="00692EF7" w:rsidRDefault="00692EF7" w:rsidP="00905E37">
      <w:r>
        <w:t>Table A1 shows the total number of licences by service type in the 1427</w:t>
      </w:r>
      <w:r w:rsidR="0058646B">
        <w:t>–</w:t>
      </w:r>
      <w:r>
        <w:t>1518 MHz band</w:t>
      </w:r>
      <w:r w:rsidR="00E528E1">
        <w:t xml:space="preserve"> from the 1 September 2016 </w:t>
      </w:r>
      <w:r w:rsidR="00E41354">
        <w:t>R</w:t>
      </w:r>
      <w:r w:rsidR="00E528E1">
        <w:t xml:space="preserve">egister of </w:t>
      </w:r>
      <w:r w:rsidR="00E41354">
        <w:t>R</w:t>
      </w:r>
      <w:r w:rsidR="00E528E1">
        <w:t xml:space="preserve">adiocommunications </w:t>
      </w:r>
      <w:r w:rsidR="00E41354">
        <w:t>L</w:t>
      </w:r>
      <w:r w:rsidR="00E528E1">
        <w:t>icences</w:t>
      </w:r>
      <w:r>
        <w:t xml:space="preserve">. </w:t>
      </w:r>
    </w:p>
    <w:p w14:paraId="315E598E" w14:textId="08529CD6" w:rsidR="00692EF7" w:rsidRDefault="00692EF7" w:rsidP="001F57E3">
      <w:pPr>
        <w:pStyle w:val="TableHeading"/>
        <w:tabs>
          <w:tab w:val="left" w:pos="993"/>
        </w:tabs>
        <w:spacing w:after="160"/>
        <w:ind w:left="993" w:hanging="993"/>
      </w:pPr>
      <w:r>
        <w:t xml:space="preserve">Table A1: </w:t>
      </w:r>
      <w:r w:rsidR="0058646B">
        <w:tab/>
      </w:r>
      <w:r>
        <w:t>Number of licences by service type in the 1.5 GHz band</w:t>
      </w:r>
      <w:r w:rsidR="00935153">
        <w:t xml:space="preserve"> </w:t>
      </w:r>
      <w:r w:rsidR="00412368">
        <w:t>(RRL Extract 1 </w:t>
      </w:r>
      <w:r w:rsidR="00935153">
        <w:t>September 2016)</w:t>
      </w:r>
    </w:p>
    <w:tbl>
      <w:tblPr>
        <w:tblW w:w="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20" w:firstRow="1" w:lastRow="0" w:firstColumn="0" w:lastColumn="0" w:noHBand="0" w:noVBand="1"/>
      </w:tblPr>
      <w:tblGrid>
        <w:gridCol w:w="4691"/>
        <w:gridCol w:w="1842"/>
      </w:tblGrid>
      <w:tr w:rsidR="00692EF7" w:rsidRPr="00692EF7" w14:paraId="2FB35594" w14:textId="77777777" w:rsidTr="006D6661">
        <w:trPr>
          <w:trHeight w:val="211"/>
        </w:trPr>
        <w:tc>
          <w:tcPr>
            <w:tcW w:w="4691" w:type="dxa"/>
            <w:shd w:val="clear" w:color="auto" w:fill="404040" w:themeFill="text1" w:themeFillTint="BF"/>
            <w:tcMar>
              <w:top w:w="72" w:type="dxa"/>
              <w:left w:w="144" w:type="dxa"/>
              <w:bottom w:w="72" w:type="dxa"/>
              <w:right w:w="144" w:type="dxa"/>
            </w:tcMar>
            <w:hideMark/>
          </w:tcPr>
          <w:p w14:paraId="167076D0" w14:textId="77777777" w:rsidR="00692EF7" w:rsidRPr="001F57E3" w:rsidRDefault="00692EF7" w:rsidP="001F57E3">
            <w:pPr>
              <w:pStyle w:val="TableHeading"/>
              <w:rPr>
                <w:color w:val="FFFFFF" w:themeColor="background1"/>
              </w:rPr>
            </w:pPr>
            <w:r w:rsidRPr="001F57E3">
              <w:rPr>
                <w:color w:val="FFFFFF" w:themeColor="background1"/>
              </w:rPr>
              <w:t>Service</w:t>
            </w:r>
          </w:p>
        </w:tc>
        <w:tc>
          <w:tcPr>
            <w:tcW w:w="1842" w:type="dxa"/>
            <w:shd w:val="clear" w:color="auto" w:fill="404040" w:themeFill="text1" w:themeFillTint="BF"/>
            <w:tcMar>
              <w:top w:w="72" w:type="dxa"/>
              <w:left w:w="144" w:type="dxa"/>
              <w:bottom w:w="72" w:type="dxa"/>
              <w:right w:w="144" w:type="dxa"/>
            </w:tcMar>
            <w:hideMark/>
          </w:tcPr>
          <w:p w14:paraId="738AD251" w14:textId="77777777" w:rsidR="00692EF7" w:rsidRPr="001F57E3" w:rsidRDefault="00692EF7" w:rsidP="001F57E3">
            <w:pPr>
              <w:pStyle w:val="TableHeading"/>
              <w:rPr>
                <w:color w:val="FFFFFF" w:themeColor="background1"/>
              </w:rPr>
            </w:pPr>
            <w:r w:rsidRPr="001F57E3">
              <w:rPr>
                <w:color w:val="FFFFFF" w:themeColor="background1"/>
              </w:rPr>
              <w:t># Licences</w:t>
            </w:r>
          </w:p>
        </w:tc>
      </w:tr>
      <w:tr w:rsidR="00692EF7" w:rsidRPr="00692EF7" w14:paraId="13E36A71" w14:textId="77777777" w:rsidTr="006D6661">
        <w:trPr>
          <w:trHeight w:val="65"/>
        </w:trPr>
        <w:tc>
          <w:tcPr>
            <w:tcW w:w="4691" w:type="dxa"/>
            <w:shd w:val="clear" w:color="auto" w:fill="auto"/>
            <w:tcMar>
              <w:top w:w="72" w:type="dxa"/>
              <w:left w:w="144" w:type="dxa"/>
              <w:bottom w:w="72" w:type="dxa"/>
              <w:right w:w="144" w:type="dxa"/>
            </w:tcMar>
            <w:hideMark/>
          </w:tcPr>
          <w:p w14:paraId="0DE6D4D4" w14:textId="5A1F2AA6" w:rsidR="00692EF7" w:rsidRPr="00692EF7" w:rsidRDefault="00692EF7" w:rsidP="001F57E3">
            <w:pPr>
              <w:spacing w:after="0"/>
            </w:pPr>
            <w:r w:rsidRPr="00692EF7">
              <w:t>P</w:t>
            </w:r>
            <w:r>
              <w:t>oint-to-multipoint</w:t>
            </w:r>
          </w:p>
        </w:tc>
        <w:tc>
          <w:tcPr>
            <w:tcW w:w="1842" w:type="dxa"/>
            <w:shd w:val="clear" w:color="auto" w:fill="auto"/>
            <w:tcMar>
              <w:top w:w="15" w:type="dxa"/>
              <w:left w:w="15" w:type="dxa"/>
              <w:bottom w:w="0" w:type="dxa"/>
              <w:right w:w="15" w:type="dxa"/>
            </w:tcMar>
            <w:hideMark/>
          </w:tcPr>
          <w:p w14:paraId="6B7F761F" w14:textId="5E43025E" w:rsidR="00692EF7" w:rsidRPr="00692EF7" w:rsidRDefault="00692EF7" w:rsidP="001F57E3">
            <w:pPr>
              <w:spacing w:after="0"/>
            </w:pPr>
            <w:r w:rsidRPr="00692EF7">
              <w:t>1</w:t>
            </w:r>
            <w:r w:rsidR="0058646B">
              <w:t>,</w:t>
            </w:r>
            <w:r w:rsidRPr="00692EF7">
              <w:t>546</w:t>
            </w:r>
          </w:p>
        </w:tc>
      </w:tr>
      <w:tr w:rsidR="00692EF7" w:rsidRPr="00692EF7" w14:paraId="081E8B18" w14:textId="77777777" w:rsidTr="006D6661">
        <w:trPr>
          <w:trHeight w:val="117"/>
        </w:trPr>
        <w:tc>
          <w:tcPr>
            <w:tcW w:w="4691" w:type="dxa"/>
            <w:shd w:val="clear" w:color="auto" w:fill="F2F2F2" w:themeFill="background1" w:themeFillShade="F2"/>
            <w:tcMar>
              <w:top w:w="72" w:type="dxa"/>
              <w:left w:w="144" w:type="dxa"/>
              <w:bottom w:w="72" w:type="dxa"/>
              <w:right w:w="144" w:type="dxa"/>
            </w:tcMar>
            <w:hideMark/>
          </w:tcPr>
          <w:p w14:paraId="1677292D" w14:textId="4B3B1ED6" w:rsidR="00692EF7" w:rsidRPr="00692EF7" w:rsidRDefault="00692EF7" w:rsidP="001F57E3">
            <w:pPr>
              <w:spacing w:after="0"/>
            </w:pPr>
            <w:r>
              <w:t>Point-to-point</w:t>
            </w:r>
          </w:p>
        </w:tc>
        <w:tc>
          <w:tcPr>
            <w:tcW w:w="1842" w:type="dxa"/>
            <w:shd w:val="clear" w:color="auto" w:fill="F2F2F2" w:themeFill="background1" w:themeFillShade="F2"/>
            <w:tcMar>
              <w:top w:w="15" w:type="dxa"/>
              <w:left w:w="15" w:type="dxa"/>
              <w:bottom w:w="0" w:type="dxa"/>
              <w:right w:w="15" w:type="dxa"/>
            </w:tcMar>
            <w:hideMark/>
          </w:tcPr>
          <w:p w14:paraId="747358B2" w14:textId="5312C784" w:rsidR="00692EF7" w:rsidRPr="00692EF7" w:rsidRDefault="00692EF7" w:rsidP="001F57E3">
            <w:pPr>
              <w:spacing w:after="0"/>
            </w:pPr>
            <w:r w:rsidRPr="00692EF7">
              <w:t>4</w:t>
            </w:r>
            <w:r w:rsidR="0058646B">
              <w:t>,</w:t>
            </w:r>
            <w:r w:rsidRPr="00692EF7">
              <w:t>698</w:t>
            </w:r>
          </w:p>
        </w:tc>
      </w:tr>
      <w:tr w:rsidR="00692EF7" w:rsidRPr="00692EF7" w14:paraId="3A488813" w14:textId="77777777" w:rsidTr="006D6661">
        <w:trPr>
          <w:trHeight w:val="156"/>
        </w:trPr>
        <w:tc>
          <w:tcPr>
            <w:tcW w:w="4691" w:type="dxa"/>
            <w:shd w:val="clear" w:color="auto" w:fill="auto"/>
            <w:tcMar>
              <w:top w:w="72" w:type="dxa"/>
              <w:left w:w="144" w:type="dxa"/>
              <w:bottom w:w="72" w:type="dxa"/>
              <w:right w:w="144" w:type="dxa"/>
            </w:tcMar>
            <w:hideMark/>
          </w:tcPr>
          <w:p w14:paraId="16CAD6E3" w14:textId="1359D454" w:rsidR="00692EF7" w:rsidRPr="00692EF7" w:rsidRDefault="00692EF7" w:rsidP="001F57E3">
            <w:pPr>
              <w:spacing w:after="0"/>
            </w:pPr>
            <w:r w:rsidRPr="00692EF7">
              <w:t xml:space="preserve">Fixed </w:t>
            </w:r>
            <w:r w:rsidR="0058646B">
              <w:t>r</w:t>
            </w:r>
            <w:r w:rsidRPr="00692EF7">
              <w:t>eceive</w:t>
            </w:r>
          </w:p>
        </w:tc>
        <w:tc>
          <w:tcPr>
            <w:tcW w:w="1842" w:type="dxa"/>
            <w:shd w:val="clear" w:color="auto" w:fill="auto"/>
            <w:tcMar>
              <w:top w:w="15" w:type="dxa"/>
              <w:left w:w="15" w:type="dxa"/>
              <w:bottom w:w="0" w:type="dxa"/>
              <w:right w:w="15" w:type="dxa"/>
            </w:tcMar>
            <w:hideMark/>
          </w:tcPr>
          <w:p w14:paraId="7EA27AA8" w14:textId="77777777" w:rsidR="00692EF7" w:rsidRPr="00692EF7" w:rsidRDefault="00692EF7" w:rsidP="001F57E3">
            <w:pPr>
              <w:spacing w:after="0"/>
            </w:pPr>
            <w:r w:rsidRPr="00692EF7">
              <w:t>12</w:t>
            </w:r>
          </w:p>
        </w:tc>
      </w:tr>
      <w:tr w:rsidR="00692EF7" w:rsidRPr="00692EF7" w14:paraId="3EE5F997" w14:textId="77777777" w:rsidTr="006D6661">
        <w:trPr>
          <w:trHeight w:val="21"/>
        </w:trPr>
        <w:tc>
          <w:tcPr>
            <w:tcW w:w="4691" w:type="dxa"/>
            <w:shd w:val="clear" w:color="auto" w:fill="EAEAEA"/>
            <w:tcMar>
              <w:top w:w="72" w:type="dxa"/>
              <w:left w:w="144" w:type="dxa"/>
              <w:bottom w:w="72" w:type="dxa"/>
              <w:right w:w="144" w:type="dxa"/>
            </w:tcMar>
            <w:hideMark/>
          </w:tcPr>
          <w:p w14:paraId="0B992349" w14:textId="78335987" w:rsidR="00692EF7" w:rsidRPr="00692EF7" w:rsidRDefault="00692EF7" w:rsidP="001F57E3">
            <w:pPr>
              <w:spacing w:after="0"/>
            </w:pPr>
            <w:r w:rsidRPr="00692EF7">
              <w:t xml:space="preserve">Aircraft </w:t>
            </w:r>
            <w:r w:rsidR="0058646B">
              <w:t>a</w:t>
            </w:r>
            <w:r w:rsidRPr="00692EF7">
              <w:t>ssigned</w:t>
            </w:r>
          </w:p>
        </w:tc>
        <w:tc>
          <w:tcPr>
            <w:tcW w:w="1842" w:type="dxa"/>
            <w:shd w:val="clear" w:color="auto" w:fill="EAEAEA"/>
            <w:tcMar>
              <w:top w:w="15" w:type="dxa"/>
              <w:left w:w="15" w:type="dxa"/>
              <w:bottom w:w="0" w:type="dxa"/>
              <w:right w:w="15" w:type="dxa"/>
            </w:tcMar>
            <w:hideMark/>
          </w:tcPr>
          <w:p w14:paraId="0CEB6DF5" w14:textId="77777777" w:rsidR="00692EF7" w:rsidRPr="00692EF7" w:rsidRDefault="00692EF7" w:rsidP="001F57E3">
            <w:pPr>
              <w:spacing w:after="0"/>
            </w:pPr>
            <w:r w:rsidRPr="00692EF7">
              <w:t>5</w:t>
            </w:r>
          </w:p>
        </w:tc>
      </w:tr>
      <w:tr w:rsidR="00692EF7" w:rsidRPr="00692EF7" w14:paraId="326B0A3D" w14:textId="77777777" w:rsidTr="006D6661">
        <w:trPr>
          <w:trHeight w:val="21"/>
        </w:trPr>
        <w:tc>
          <w:tcPr>
            <w:tcW w:w="4691" w:type="dxa"/>
            <w:shd w:val="clear" w:color="auto" w:fill="auto"/>
            <w:tcMar>
              <w:top w:w="72" w:type="dxa"/>
              <w:left w:w="144" w:type="dxa"/>
              <w:bottom w:w="72" w:type="dxa"/>
              <w:right w:w="144" w:type="dxa"/>
            </w:tcMar>
            <w:hideMark/>
          </w:tcPr>
          <w:p w14:paraId="17A4E86E" w14:textId="138F0278" w:rsidR="00692EF7" w:rsidRPr="00692EF7" w:rsidRDefault="00692EF7" w:rsidP="001F57E3">
            <w:pPr>
              <w:spacing w:after="0"/>
            </w:pPr>
            <w:r w:rsidRPr="00692EF7">
              <w:t xml:space="preserve">Aeronautical </w:t>
            </w:r>
            <w:r w:rsidR="0058646B">
              <w:t>a</w:t>
            </w:r>
            <w:r w:rsidRPr="00692EF7">
              <w:t xml:space="preserve">ssigned </w:t>
            </w:r>
            <w:r w:rsidR="0058646B">
              <w:t>s</w:t>
            </w:r>
            <w:r w:rsidRPr="00692EF7">
              <w:t>ystem</w:t>
            </w:r>
          </w:p>
        </w:tc>
        <w:tc>
          <w:tcPr>
            <w:tcW w:w="1842" w:type="dxa"/>
            <w:shd w:val="clear" w:color="auto" w:fill="auto"/>
            <w:tcMar>
              <w:top w:w="15" w:type="dxa"/>
              <w:left w:w="15" w:type="dxa"/>
              <w:bottom w:w="0" w:type="dxa"/>
              <w:right w:w="15" w:type="dxa"/>
            </w:tcMar>
            <w:hideMark/>
          </w:tcPr>
          <w:p w14:paraId="2C757DE2" w14:textId="77777777" w:rsidR="00692EF7" w:rsidRPr="00692EF7" w:rsidRDefault="00692EF7" w:rsidP="001F57E3">
            <w:pPr>
              <w:spacing w:after="0"/>
            </w:pPr>
            <w:r w:rsidRPr="00692EF7">
              <w:t>2</w:t>
            </w:r>
          </w:p>
        </w:tc>
      </w:tr>
      <w:tr w:rsidR="00692EF7" w:rsidRPr="00692EF7" w14:paraId="0F513ADF" w14:textId="77777777" w:rsidTr="006D6661">
        <w:trPr>
          <w:trHeight w:val="88"/>
        </w:trPr>
        <w:tc>
          <w:tcPr>
            <w:tcW w:w="4691" w:type="dxa"/>
            <w:shd w:val="clear" w:color="auto" w:fill="F2F2F2" w:themeFill="background1" w:themeFillShade="F2"/>
            <w:tcMar>
              <w:top w:w="72" w:type="dxa"/>
              <w:left w:w="144" w:type="dxa"/>
              <w:bottom w:w="72" w:type="dxa"/>
              <w:right w:w="144" w:type="dxa"/>
            </w:tcMar>
            <w:hideMark/>
          </w:tcPr>
          <w:p w14:paraId="4F749668" w14:textId="77777777" w:rsidR="00692EF7" w:rsidRPr="00692EF7" w:rsidRDefault="00692EF7" w:rsidP="001F57E3">
            <w:pPr>
              <w:spacing w:after="0"/>
            </w:pPr>
            <w:r w:rsidRPr="00692EF7">
              <w:t>Radiodetermination</w:t>
            </w:r>
          </w:p>
        </w:tc>
        <w:tc>
          <w:tcPr>
            <w:tcW w:w="1842" w:type="dxa"/>
            <w:shd w:val="clear" w:color="auto" w:fill="F2F2F2" w:themeFill="background1" w:themeFillShade="F2"/>
            <w:tcMar>
              <w:top w:w="15" w:type="dxa"/>
              <w:left w:w="15" w:type="dxa"/>
              <w:bottom w:w="0" w:type="dxa"/>
              <w:right w:w="15" w:type="dxa"/>
            </w:tcMar>
            <w:hideMark/>
          </w:tcPr>
          <w:p w14:paraId="46BB023A" w14:textId="77777777" w:rsidR="00692EF7" w:rsidRPr="00692EF7" w:rsidRDefault="00692EF7" w:rsidP="001F57E3">
            <w:pPr>
              <w:spacing w:after="0"/>
            </w:pPr>
            <w:r w:rsidRPr="00692EF7">
              <w:t>1</w:t>
            </w:r>
          </w:p>
        </w:tc>
      </w:tr>
    </w:tbl>
    <w:p w14:paraId="0B9E7D79" w14:textId="77777777" w:rsidR="00692EF7" w:rsidRDefault="00692EF7" w:rsidP="00905E37">
      <w:pPr>
        <w:pStyle w:val="ACMASpaceaftertable"/>
      </w:pPr>
    </w:p>
    <w:p w14:paraId="08293C63" w14:textId="41E19A90" w:rsidR="003E18C6" w:rsidRDefault="003E18C6" w:rsidP="00905E37">
      <w:r>
        <w:t xml:space="preserve">More detail on these services </w:t>
      </w:r>
      <w:r w:rsidR="00E41354">
        <w:t xml:space="preserve">is </w:t>
      </w:r>
      <w:r>
        <w:t xml:space="preserve">provided in this Appendix. Fixed receive, aircraft assigned, aeronautical assigned system and radiodetermination licences are discussed in the section </w:t>
      </w:r>
      <w:r w:rsidRPr="003E18C6">
        <w:rPr>
          <w:i/>
        </w:rPr>
        <w:t>Defence aeronautical usage</w:t>
      </w:r>
      <w:r>
        <w:t xml:space="preserve">. Fixed point-to-point and point-to-multipoint usage is discussed in the section </w:t>
      </w:r>
      <w:r w:rsidRPr="003E18C6">
        <w:rPr>
          <w:i/>
        </w:rPr>
        <w:t>Fixed services</w:t>
      </w:r>
      <w:r>
        <w:t xml:space="preserve">. </w:t>
      </w:r>
    </w:p>
    <w:p w14:paraId="7B60F6A1" w14:textId="786286A2" w:rsidR="003E18C6" w:rsidRDefault="003E18C6" w:rsidP="00905E37">
      <w:pPr>
        <w:pStyle w:val="Heading2"/>
      </w:pPr>
      <w:bookmarkStart w:id="135" w:name="_Toc459906748"/>
      <w:bookmarkStart w:id="136" w:name="_Toc464480538"/>
      <w:r>
        <w:t xml:space="preserve">Defence </w:t>
      </w:r>
      <w:r w:rsidRPr="00905E37">
        <w:t>aeronautical</w:t>
      </w:r>
      <w:r>
        <w:t xml:space="preserve"> usage</w:t>
      </w:r>
      <w:bookmarkEnd w:id="135"/>
      <w:bookmarkEnd w:id="136"/>
    </w:p>
    <w:p w14:paraId="51E279AB" w14:textId="664503C0" w:rsidR="003E18C6" w:rsidRDefault="003E18C6" w:rsidP="003C000F">
      <w:r>
        <w:t xml:space="preserve">Figure A1 below shows a map of the 12 fixed receive and </w:t>
      </w:r>
      <w:r w:rsidR="005F30C0">
        <w:t>one</w:t>
      </w:r>
      <w:r>
        <w:t xml:space="preserve"> radiodetermination licences in the 1.5 GHz band</w:t>
      </w:r>
      <w:r w:rsidR="00AA4141">
        <w:t xml:space="preserve"> and Figure A2 shows the frequency </w:t>
      </w:r>
      <w:r w:rsidR="006D4F3F">
        <w:t>assignments</w:t>
      </w:r>
      <w:r w:rsidR="00AA4141">
        <w:t xml:space="preserve"> for these services</w:t>
      </w:r>
      <w:r>
        <w:t>. These l</w:t>
      </w:r>
      <w:r w:rsidRPr="00905E37">
        <w:t>i</w:t>
      </w:r>
      <w:r>
        <w:t xml:space="preserve">cences are all held by the Department of Defence. </w:t>
      </w:r>
      <w:r w:rsidR="00663896">
        <w:t xml:space="preserve">There are also </w:t>
      </w:r>
      <w:r w:rsidR="005F30C0">
        <w:t xml:space="preserve">two </w:t>
      </w:r>
      <w:r w:rsidR="00663896">
        <w:t>aeronautical assigned system</w:t>
      </w:r>
      <w:r w:rsidR="00E41354">
        <w:t>s</w:t>
      </w:r>
      <w:r w:rsidR="005F30C0">
        <w:t>,</w:t>
      </w:r>
      <w:r w:rsidR="00302287">
        <w:t xml:space="preserve"> which are licensed for the Australian Aero licence area and </w:t>
      </w:r>
      <w:r w:rsidR="005F30C0">
        <w:t xml:space="preserve">five </w:t>
      </w:r>
      <w:r w:rsidR="00302287">
        <w:t>aircraft assigned</w:t>
      </w:r>
      <w:r w:rsidR="00E41354">
        <w:t xml:space="preserve"> licences</w:t>
      </w:r>
      <w:r w:rsidR="006D4F3F">
        <w:t xml:space="preserve">, one of which is an </w:t>
      </w:r>
      <w:r w:rsidR="00302287">
        <w:t>Australia-wide</w:t>
      </w:r>
      <w:r w:rsidR="006D4F3F">
        <w:t xml:space="preserve"> licence</w:t>
      </w:r>
      <w:r w:rsidR="005F30C0">
        <w:t>,</w:t>
      </w:r>
      <w:r w:rsidR="006D4F3F">
        <w:t xml:space="preserve"> </w:t>
      </w:r>
      <w:r w:rsidR="00E41354">
        <w:t xml:space="preserve">while </w:t>
      </w:r>
      <w:r w:rsidR="006D4F3F">
        <w:t xml:space="preserve">the remainder cover the states of NSW, NT, WA and SA respectively. </w:t>
      </w:r>
    </w:p>
    <w:p w14:paraId="32C6A05C" w14:textId="7AEDD4F3" w:rsidR="00663896" w:rsidRPr="006D4F3F" w:rsidRDefault="00663896" w:rsidP="001F57E3">
      <w:pPr>
        <w:pStyle w:val="TableHeading"/>
        <w:keepNext/>
        <w:tabs>
          <w:tab w:val="left" w:pos="993"/>
        </w:tabs>
        <w:spacing w:after="160"/>
        <w:ind w:left="992" w:hanging="992"/>
      </w:pPr>
      <w:r w:rsidRPr="006D4F3F">
        <w:t xml:space="preserve">Figure A1: </w:t>
      </w:r>
      <w:r w:rsidR="006D4F3F">
        <w:t xml:space="preserve">Defence </w:t>
      </w:r>
      <w:r w:rsidR="005F30C0">
        <w:t>f</w:t>
      </w:r>
      <w:r w:rsidR="006D4F3F">
        <w:t xml:space="preserve">ixed </w:t>
      </w:r>
      <w:r w:rsidR="005F30C0">
        <w:t>r</w:t>
      </w:r>
      <w:r w:rsidR="006D4F3F">
        <w:t xml:space="preserve">eceive and </w:t>
      </w:r>
      <w:r w:rsidR="005F30C0">
        <w:t>r</w:t>
      </w:r>
      <w:r w:rsidR="006D4F3F">
        <w:t xml:space="preserve">adiodetermination </w:t>
      </w:r>
      <w:r w:rsidR="005F30C0">
        <w:t>l</w:t>
      </w:r>
      <w:r w:rsidR="006D4F3F">
        <w:t>icences in the 1.5 GHz band</w:t>
      </w:r>
    </w:p>
    <w:p w14:paraId="21AB367F" w14:textId="558132B5" w:rsidR="006D4F3F" w:rsidRPr="006D4F3F" w:rsidRDefault="006D4F3F" w:rsidP="003C000F">
      <w:r w:rsidRPr="006D4F3F">
        <w:rPr>
          <w:noProof/>
        </w:rPr>
        <w:drawing>
          <wp:inline distT="0" distB="0" distL="0" distR="0" wp14:anchorId="63AA12BF" wp14:editId="617A8B34">
            <wp:extent cx="4867275" cy="4391025"/>
            <wp:effectExtent l="0" t="0" r="9525" b="9525"/>
            <wp:docPr id="6" name="Picture 6" descr="Map of Australia wshowing Defence fixed receive and radiodetermination licences in the 1.5 GHz band." title="Defence fixed receive and radiodetermination licences in the 1.5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7275" cy="4391025"/>
                    </a:xfrm>
                    <a:prstGeom prst="rect">
                      <a:avLst/>
                    </a:prstGeom>
                    <a:noFill/>
                    <a:ln>
                      <a:noFill/>
                    </a:ln>
                  </pic:spPr>
                </pic:pic>
              </a:graphicData>
            </a:graphic>
          </wp:inline>
        </w:drawing>
      </w:r>
    </w:p>
    <w:p w14:paraId="05B009AE" w14:textId="110F7A49" w:rsidR="00302287" w:rsidRPr="005F30C0" w:rsidRDefault="00302287" w:rsidP="001F57E3">
      <w:pPr>
        <w:pStyle w:val="TableHeading"/>
        <w:keepNext/>
        <w:tabs>
          <w:tab w:val="left" w:pos="1134"/>
        </w:tabs>
        <w:spacing w:after="160"/>
        <w:ind w:left="1134" w:hanging="992"/>
      </w:pPr>
      <w:r>
        <w:t xml:space="preserve">Figure </w:t>
      </w:r>
      <w:r w:rsidRPr="005F30C0">
        <w:t xml:space="preserve">A2: </w:t>
      </w:r>
      <w:r w:rsidR="00007CC0" w:rsidRPr="005F30C0">
        <w:t xml:space="preserve">Defence aeronautical usages (frequency assignments) </w:t>
      </w:r>
      <w:r w:rsidR="006D4F3F" w:rsidRPr="005F30C0">
        <w:t>in the 1.</w:t>
      </w:r>
      <w:r w:rsidR="005F30C0" w:rsidRPr="005F30C0">
        <w:t>5</w:t>
      </w:r>
      <w:r w:rsidR="005F30C0">
        <w:t> </w:t>
      </w:r>
      <w:r w:rsidR="006D4F3F" w:rsidRPr="005F30C0">
        <w:t>GHz band</w:t>
      </w:r>
    </w:p>
    <w:p w14:paraId="28D4B661" w14:textId="34864E34" w:rsidR="001A7711" w:rsidRDefault="006D4F3F" w:rsidP="003C000F">
      <w:r>
        <w:rPr>
          <w:noProof/>
        </w:rPr>
        <w:drawing>
          <wp:inline distT="0" distB="0" distL="0" distR="0" wp14:anchorId="2E85E48B" wp14:editId="5BA99A75">
            <wp:extent cx="4867275" cy="2619375"/>
            <wp:effectExtent l="0" t="0" r="9525" b="9525"/>
            <wp:docPr id="8" name="Picture 8" descr="Shows frequencies and uses." title="Defence aeronautical usages (frequency assignments) in the 1.5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67275" cy="2619375"/>
                    </a:xfrm>
                    <a:prstGeom prst="rect">
                      <a:avLst/>
                    </a:prstGeom>
                    <a:noFill/>
                    <a:ln>
                      <a:noFill/>
                    </a:ln>
                  </pic:spPr>
                </pic:pic>
              </a:graphicData>
            </a:graphic>
          </wp:inline>
        </w:drawing>
      </w:r>
    </w:p>
    <w:p w14:paraId="5DFF2304" w14:textId="3A0A04EE" w:rsidR="00FD5442" w:rsidRDefault="00FD5442" w:rsidP="00FD5442">
      <w:pPr>
        <w:pStyle w:val="Heading2"/>
      </w:pPr>
      <w:bookmarkStart w:id="137" w:name="_Toc459906749"/>
      <w:bookmarkStart w:id="138" w:name="_Toc464480539"/>
      <w:r>
        <w:t>Fixed services</w:t>
      </w:r>
      <w:bookmarkEnd w:id="137"/>
      <w:bookmarkEnd w:id="138"/>
    </w:p>
    <w:p w14:paraId="1FEF2653" w14:textId="2978EC66" w:rsidR="00FD5442" w:rsidRDefault="00FD5442" w:rsidP="00905E37">
      <w:r>
        <w:t xml:space="preserve">This analysis uses data taken from the 1 </w:t>
      </w:r>
      <w:r w:rsidR="00E528E1">
        <w:t>September</w:t>
      </w:r>
      <w:r>
        <w:t xml:space="preserve"> 2016 </w:t>
      </w:r>
      <w:r w:rsidR="00E41354">
        <w:t>R</w:t>
      </w:r>
      <w:r>
        <w:t xml:space="preserve">egister of </w:t>
      </w:r>
      <w:r w:rsidR="00E41354">
        <w:t>R</w:t>
      </w:r>
      <w:r>
        <w:t xml:space="preserve">adiocommunications </w:t>
      </w:r>
      <w:r w:rsidR="00E41354">
        <w:t>L</w:t>
      </w:r>
      <w:r>
        <w:t xml:space="preserve">icences. Only </w:t>
      </w:r>
      <w:r w:rsidR="00AA4141">
        <w:t>f</w:t>
      </w:r>
      <w:r>
        <w:t xml:space="preserve">ixed services are considered in this section. The areas used in this exercise are modelled on those used for the 2 GHz spectrum licences. The </w:t>
      </w:r>
      <w:r w:rsidR="005F30C0">
        <w:t xml:space="preserve">10 </w:t>
      </w:r>
      <w:r>
        <w:t xml:space="preserve">defined areas comprise eight metropolitan areas covering the </w:t>
      </w:r>
      <w:r w:rsidR="005F30C0">
        <w:t>s</w:t>
      </w:r>
      <w:r>
        <w:t xml:space="preserve">tate and </w:t>
      </w:r>
      <w:r w:rsidR="005F30C0">
        <w:t>t</w:t>
      </w:r>
      <w:r>
        <w:t>erritory capitals, one regional area surrounding Perth</w:t>
      </w:r>
      <w:r w:rsidR="005F30C0">
        <w:t>,</w:t>
      </w:r>
      <w:r>
        <w:t xml:space="preserve"> denoted as ‘West Australia’ and a second regional area,</w:t>
      </w:r>
      <w:r w:rsidRPr="00C03A1C">
        <w:t xml:space="preserve"> </w:t>
      </w:r>
      <w:r>
        <w:t>denoted as ‘East Australia’, which follows the coast from north of Cairns to half way through the Great Australian Bight. The remainder of Australia is not in an explicitly</w:t>
      </w:r>
      <w:r w:rsidR="005F30C0">
        <w:t>-</w:t>
      </w:r>
      <w:r>
        <w:t>defined area</w:t>
      </w:r>
      <w:r w:rsidR="005F30C0">
        <w:t>,</w:t>
      </w:r>
      <w:r>
        <w:t xml:space="preserve"> however it will be referred to as ‘Remote Australia’. </w:t>
      </w:r>
      <w:r w:rsidR="004D3702">
        <w:t>Figure A3</w:t>
      </w:r>
      <w:r>
        <w:t xml:space="preserve"> shows the metropolitan and regional 2 GHz spectrum licence areas.</w:t>
      </w:r>
    </w:p>
    <w:p w14:paraId="68DCCD4E" w14:textId="64D9D7AF" w:rsidR="00AA4141" w:rsidRPr="001F57E3" w:rsidRDefault="00AA4141" w:rsidP="005F30C0">
      <w:pPr>
        <w:pStyle w:val="Captionfigure"/>
        <w:numPr>
          <w:ilvl w:val="0"/>
          <w:numId w:val="0"/>
        </w:numPr>
        <w:tabs>
          <w:tab w:val="left" w:pos="1134"/>
        </w:tabs>
        <w:ind w:left="1134" w:hanging="1134"/>
        <w:rPr>
          <w:rFonts w:cs="Times New Roman"/>
          <w:bCs w:val="0"/>
          <w:color w:val="auto"/>
          <w:szCs w:val="24"/>
        </w:rPr>
      </w:pPr>
      <w:r w:rsidRPr="001F57E3">
        <w:rPr>
          <w:rFonts w:cs="Times New Roman"/>
          <w:bCs w:val="0"/>
          <w:color w:val="auto"/>
          <w:szCs w:val="24"/>
        </w:rPr>
        <w:t>Figure A</w:t>
      </w:r>
      <w:r w:rsidR="00AB4DE5" w:rsidRPr="001F57E3">
        <w:rPr>
          <w:rFonts w:cs="Times New Roman"/>
          <w:bCs w:val="0"/>
          <w:color w:val="auto"/>
          <w:szCs w:val="24"/>
        </w:rPr>
        <w:t>3</w:t>
      </w:r>
      <w:r w:rsidRPr="001F57E3">
        <w:rPr>
          <w:rFonts w:cs="Times New Roman"/>
          <w:bCs w:val="0"/>
          <w:color w:val="auto"/>
          <w:szCs w:val="24"/>
        </w:rPr>
        <w:t xml:space="preserve">: </w:t>
      </w:r>
      <w:r w:rsidR="005F30C0">
        <w:rPr>
          <w:rFonts w:cs="Times New Roman"/>
          <w:bCs w:val="0"/>
          <w:color w:val="auto"/>
          <w:szCs w:val="24"/>
        </w:rPr>
        <w:tab/>
      </w:r>
      <w:r w:rsidRPr="001F57E3">
        <w:rPr>
          <w:rFonts w:cs="Times New Roman"/>
          <w:bCs w:val="0"/>
          <w:color w:val="auto"/>
          <w:szCs w:val="24"/>
        </w:rPr>
        <w:t>2 GHz spectrum licence areas used in analysis of 1.5 GHz band fixed service usage</w:t>
      </w:r>
    </w:p>
    <w:p w14:paraId="349DF7C6" w14:textId="4D85C2A6" w:rsidR="00FD5442" w:rsidRDefault="00F90B68" w:rsidP="001F57E3">
      <w:pPr>
        <w:keepNext/>
        <w:spacing w:after="0"/>
      </w:pPr>
      <w:r>
        <w:rPr>
          <w:noProof/>
        </w:rPr>
        <w:drawing>
          <wp:inline distT="0" distB="0" distL="0" distR="0" wp14:anchorId="4229CC13" wp14:editId="04AD9C68">
            <wp:extent cx="5060950" cy="4056149"/>
            <wp:effectExtent l="0" t="0" r="6350" b="1905"/>
            <wp:docPr id="19" name="Picture 19" descr="Map of Australia showing 2 GHz spectrum licence areas used in analysis of 1.5 GHz band fixed service usage." title="2 GHz spectrum licence areas used in analysis of 1.5 GHz band fixed service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63711" cy="4058362"/>
                    </a:xfrm>
                    <a:prstGeom prst="rect">
                      <a:avLst/>
                    </a:prstGeom>
                  </pic:spPr>
                </pic:pic>
              </a:graphicData>
            </a:graphic>
          </wp:inline>
        </w:drawing>
      </w:r>
    </w:p>
    <w:p w14:paraId="69EF88BC" w14:textId="77777777" w:rsidR="00FD5442" w:rsidRDefault="00FD5442" w:rsidP="00905E37">
      <w:pPr>
        <w:pStyle w:val="ACMASpaceaftertable"/>
      </w:pPr>
    </w:p>
    <w:p w14:paraId="69CE924E" w14:textId="0A05BB5C" w:rsidR="003A5EE1" w:rsidRDefault="00E41354" w:rsidP="003A5EE1">
      <w:r>
        <w:t xml:space="preserve">Figure </w:t>
      </w:r>
      <w:r w:rsidR="003A5EE1" w:rsidRPr="003F3754">
        <w:t>A</w:t>
      </w:r>
      <w:r>
        <w:t>4</w:t>
      </w:r>
      <w:r w:rsidR="003A5EE1" w:rsidRPr="003F3754">
        <w:t xml:space="preserve"> below illustrates the geographical location of point-to-point services in the 1.5 GHz band </w:t>
      </w:r>
      <w:r w:rsidR="005F30C0">
        <w:t>for</w:t>
      </w:r>
      <w:r w:rsidR="003A5EE1" w:rsidRPr="003F3754">
        <w:t xml:space="preserve"> the areas described above. </w:t>
      </w:r>
      <w:r>
        <w:t xml:space="preserve">Figure </w:t>
      </w:r>
      <w:r w:rsidR="003A5EE1" w:rsidRPr="003F3754">
        <w:t>A</w:t>
      </w:r>
      <w:r>
        <w:t>5</w:t>
      </w:r>
      <w:r w:rsidR="003A5EE1" w:rsidRPr="003F3754">
        <w:t xml:space="preserve"> below illustrates the geographical location of point-to-multipoint services in t</w:t>
      </w:r>
      <w:r w:rsidR="003A5EE1">
        <w:t xml:space="preserve">he 1.5 GHz band </w:t>
      </w:r>
      <w:r w:rsidR="005F30C0">
        <w:t>for</w:t>
      </w:r>
      <w:r w:rsidR="003A5EE1">
        <w:t xml:space="preserve"> the areas described above.</w:t>
      </w:r>
    </w:p>
    <w:p w14:paraId="34CFACE7" w14:textId="60F8DC18" w:rsidR="003A5EE1" w:rsidRPr="001F57E3" w:rsidRDefault="003A5EE1" w:rsidP="001F57E3">
      <w:pPr>
        <w:pStyle w:val="Captionfigure"/>
        <w:numPr>
          <w:ilvl w:val="0"/>
          <w:numId w:val="0"/>
        </w:numPr>
        <w:tabs>
          <w:tab w:val="left" w:pos="1134"/>
        </w:tabs>
        <w:spacing w:after="160"/>
        <w:ind w:left="1134" w:hanging="1134"/>
        <w:rPr>
          <w:rFonts w:cs="Times New Roman"/>
          <w:bCs w:val="0"/>
          <w:color w:val="auto"/>
          <w:szCs w:val="24"/>
        </w:rPr>
      </w:pPr>
      <w:r w:rsidRPr="001F57E3">
        <w:rPr>
          <w:rFonts w:cs="Times New Roman"/>
          <w:bCs w:val="0"/>
          <w:color w:val="auto"/>
          <w:szCs w:val="24"/>
        </w:rPr>
        <w:t>Figure A</w:t>
      </w:r>
      <w:r w:rsidR="00E41354" w:rsidRPr="001F57E3">
        <w:rPr>
          <w:rFonts w:cs="Times New Roman"/>
          <w:bCs w:val="0"/>
          <w:color w:val="auto"/>
          <w:szCs w:val="24"/>
        </w:rPr>
        <w:t>4</w:t>
      </w:r>
      <w:r w:rsidRPr="001F57E3">
        <w:rPr>
          <w:rFonts w:cs="Times New Roman"/>
          <w:bCs w:val="0"/>
          <w:color w:val="auto"/>
          <w:szCs w:val="24"/>
        </w:rPr>
        <w:t xml:space="preserve">: </w:t>
      </w:r>
      <w:r w:rsidR="005F30C0">
        <w:rPr>
          <w:rFonts w:cs="Times New Roman"/>
          <w:bCs w:val="0"/>
          <w:color w:val="auto"/>
          <w:szCs w:val="24"/>
        </w:rPr>
        <w:tab/>
      </w:r>
      <w:r w:rsidRPr="001F57E3">
        <w:rPr>
          <w:rFonts w:cs="Times New Roman"/>
          <w:bCs w:val="0"/>
          <w:color w:val="auto"/>
          <w:szCs w:val="24"/>
        </w:rPr>
        <w:t>Fixed point-to-points links in the 1.5 GHz band</w:t>
      </w:r>
    </w:p>
    <w:p w14:paraId="182A016C" w14:textId="06FD4934" w:rsidR="003A5EE1" w:rsidRDefault="00CF2B3C" w:rsidP="00CF2B3C">
      <w:pPr>
        <w:keepNext/>
        <w:spacing w:before="120"/>
      </w:pPr>
      <w:r>
        <w:rPr>
          <w:noProof/>
        </w:rPr>
        <w:drawing>
          <wp:inline distT="0" distB="0" distL="0" distR="0" wp14:anchorId="3DEDF654" wp14:editId="76DBE4D7">
            <wp:extent cx="4871085" cy="3999865"/>
            <wp:effectExtent l="0" t="0" r="5715" b="635"/>
            <wp:docPr id="3" name="Picture 3" descr="map of Australia showing fixed point-to-points links in the 1.5 GHz band" title="Fixed point-to-points links in the 1.5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71085" cy="3999865"/>
                    </a:xfrm>
                    <a:prstGeom prst="rect">
                      <a:avLst/>
                    </a:prstGeom>
                  </pic:spPr>
                </pic:pic>
              </a:graphicData>
            </a:graphic>
          </wp:inline>
        </w:drawing>
      </w:r>
    </w:p>
    <w:p w14:paraId="27E50143" w14:textId="18F17950" w:rsidR="003A5EE1" w:rsidRDefault="003A5EE1" w:rsidP="001F57E3">
      <w:pPr>
        <w:pStyle w:val="Captionfigure"/>
        <w:numPr>
          <w:ilvl w:val="0"/>
          <w:numId w:val="0"/>
        </w:numPr>
        <w:tabs>
          <w:tab w:val="left" w:pos="1134"/>
        </w:tabs>
        <w:spacing w:after="160"/>
      </w:pPr>
      <w:r w:rsidRPr="001F57E3">
        <w:rPr>
          <w:rFonts w:cs="Times New Roman"/>
          <w:bCs w:val="0"/>
          <w:color w:val="auto"/>
          <w:szCs w:val="24"/>
        </w:rPr>
        <w:t>Figure A</w:t>
      </w:r>
      <w:r w:rsidR="00E41354" w:rsidRPr="001F57E3">
        <w:rPr>
          <w:rFonts w:cs="Times New Roman"/>
          <w:bCs w:val="0"/>
          <w:color w:val="auto"/>
          <w:szCs w:val="24"/>
        </w:rPr>
        <w:t>5</w:t>
      </w:r>
      <w:r w:rsidRPr="001F57E3">
        <w:rPr>
          <w:rFonts w:cs="Times New Roman"/>
          <w:bCs w:val="0"/>
          <w:color w:val="auto"/>
          <w:szCs w:val="24"/>
        </w:rPr>
        <w:t xml:space="preserve">: </w:t>
      </w:r>
      <w:r w:rsidR="005F30C0">
        <w:rPr>
          <w:rFonts w:cs="Times New Roman"/>
          <w:bCs w:val="0"/>
          <w:color w:val="auto"/>
          <w:szCs w:val="24"/>
        </w:rPr>
        <w:tab/>
      </w:r>
      <w:r w:rsidRPr="001F57E3">
        <w:rPr>
          <w:rFonts w:cs="Times New Roman"/>
          <w:bCs w:val="0"/>
          <w:color w:val="auto"/>
          <w:szCs w:val="24"/>
        </w:rPr>
        <w:t>Point-to-multipoint services in the 1.5 GHz band</w:t>
      </w:r>
    </w:p>
    <w:p w14:paraId="2A27602E" w14:textId="7DCC9757" w:rsidR="0072192E" w:rsidRDefault="00C40B98" w:rsidP="0072192E">
      <w:pPr>
        <w:keepNext/>
      </w:pPr>
      <w:bookmarkStart w:id="139" w:name="_Ref442344838"/>
      <w:r>
        <w:rPr>
          <w:noProof/>
        </w:rPr>
        <w:drawing>
          <wp:inline distT="0" distB="0" distL="0" distR="0" wp14:anchorId="2CD6E290" wp14:editId="7BDC3407">
            <wp:extent cx="4871085" cy="3997022"/>
            <wp:effectExtent l="0" t="0" r="5715" b="3810"/>
            <wp:docPr id="21" name="Picture 21" descr="map of Australia showing point-to-multipoint services in the 1.5 GHz band" title="Point-to-multipoint services in the 1.5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014"/>
                    <a:stretch/>
                  </pic:blipFill>
                  <pic:spPr bwMode="auto">
                    <a:xfrm>
                      <a:off x="0" y="0"/>
                      <a:ext cx="4871085" cy="3997022"/>
                    </a:xfrm>
                    <a:prstGeom prst="rect">
                      <a:avLst/>
                    </a:prstGeom>
                    <a:ln>
                      <a:noFill/>
                    </a:ln>
                    <a:extLst>
                      <a:ext uri="{53640926-AAD7-44D8-BBD7-CCE9431645EC}">
                        <a14:shadowObscured xmlns:a14="http://schemas.microsoft.com/office/drawing/2010/main"/>
                      </a:ext>
                    </a:extLst>
                  </pic:spPr>
                </pic:pic>
              </a:graphicData>
            </a:graphic>
          </wp:inline>
        </w:drawing>
      </w:r>
    </w:p>
    <w:p w14:paraId="081CD184" w14:textId="02C7B115" w:rsidR="00ED1E3F" w:rsidRPr="00ED1E3F" w:rsidRDefault="00FD5442" w:rsidP="001F57E3">
      <w:pPr>
        <w:pStyle w:val="Caption"/>
        <w:keepNext/>
        <w:keepLines/>
        <w:numPr>
          <w:ilvl w:val="0"/>
          <w:numId w:val="0"/>
        </w:numPr>
        <w:tabs>
          <w:tab w:val="left" w:pos="1134"/>
        </w:tabs>
        <w:spacing w:after="160"/>
      </w:pPr>
      <w:r>
        <w:t xml:space="preserve">Table </w:t>
      </w:r>
      <w:bookmarkEnd w:id="139"/>
      <w:r w:rsidR="00ED1E3F">
        <w:t>A</w:t>
      </w:r>
      <w:r w:rsidR="00AA4141">
        <w:t>2</w:t>
      </w:r>
      <w:r>
        <w:t xml:space="preserve">: </w:t>
      </w:r>
      <w:r w:rsidR="00CD7B11">
        <w:tab/>
      </w:r>
      <w:r>
        <w:t xml:space="preserve">Fixed services in </w:t>
      </w:r>
      <w:r w:rsidR="00ED1E3F">
        <w:t>the 1.5 GHz band</w:t>
      </w:r>
      <w:r>
        <w:t xml:space="preserve">, as </w:t>
      </w:r>
      <w:r w:rsidR="00E41354">
        <w:t>at</w:t>
      </w:r>
      <w:r>
        <w:t xml:space="preserve"> 1 </w:t>
      </w:r>
      <w:r w:rsidR="00E528E1">
        <w:t>September</w:t>
      </w:r>
      <w:r>
        <w:t xml:space="preserve"> 201</w:t>
      </w:r>
      <w:r w:rsidR="00ED1E3F">
        <w:t>6</w:t>
      </w:r>
      <w:r w:rsidR="00EE0542">
        <w:t>*</w:t>
      </w:r>
    </w:p>
    <w:tbl>
      <w:tblPr>
        <w:tblStyle w:val="TableGrid"/>
        <w:tblW w:w="10099" w:type="dxa"/>
        <w:tblInd w:w="-284" w:type="dxa"/>
        <w:tblLayout w:type="fixed"/>
        <w:tblLook w:val="04A0" w:firstRow="1" w:lastRow="0" w:firstColumn="1" w:lastColumn="0" w:noHBand="0" w:noVBand="1"/>
        <w:tblCaption w:val="Fixed services in the 1.5 GHz band, as at 1 September 2016"/>
        <w:tblDescription w:val="Includes metropolitan and regional locations."/>
      </w:tblPr>
      <w:tblGrid>
        <w:gridCol w:w="2350"/>
        <w:gridCol w:w="408"/>
        <w:gridCol w:w="425"/>
        <w:gridCol w:w="425"/>
        <w:gridCol w:w="425"/>
        <w:gridCol w:w="440"/>
        <w:gridCol w:w="461"/>
        <w:gridCol w:w="447"/>
        <w:gridCol w:w="495"/>
        <w:gridCol w:w="751"/>
        <w:gridCol w:w="510"/>
        <w:gridCol w:w="567"/>
        <w:gridCol w:w="835"/>
        <w:gridCol w:w="993"/>
        <w:gridCol w:w="567"/>
      </w:tblGrid>
      <w:tr w:rsidR="004C468A" w14:paraId="7AB9E245" w14:textId="77777777" w:rsidTr="000D4CEC">
        <w:trPr>
          <w:gridAfter w:val="1"/>
          <w:wAfter w:w="567" w:type="dxa"/>
          <w:tblHeader/>
        </w:trPr>
        <w:tc>
          <w:tcPr>
            <w:tcW w:w="2350" w:type="dxa"/>
            <w:tcBorders>
              <w:top w:val="nil"/>
              <w:left w:val="nil"/>
              <w:bottom w:val="nil"/>
              <w:right w:val="single" w:sz="12" w:space="0" w:color="auto"/>
            </w:tcBorders>
          </w:tcPr>
          <w:p w14:paraId="4F61DBE3" w14:textId="77777777" w:rsidR="004C468A" w:rsidRDefault="004C468A" w:rsidP="00ED1E3F">
            <w:pPr>
              <w:keepNext/>
              <w:keepLines/>
              <w:spacing w:after="0" w:line="240" w:lineRule="auto"/>
            </w:pPr>
          </w:p>
        </w:tc>
        <w:tc>
          <w:tcPr>
            <w:tcW w:w="4277" w:type="dxa"/>
            <w:gridSpan w:val="9"/>
            <w:tcBorders>
              <w:top w:val="single" w:sz="12" w:space="0" w:color="auto"/>
              <w:left w:val="single" w:sz="12" w:space="0" w:color="auto"/>
              <w:bottom w:val="single" w:sz="12" w:space="0" w:color="auto"/>
              <w:right w:val="single" w:sz="12" w:space="0" w:color="auto"/>
            </w:tcBorders>
            <w:shd w:val="clear" w:color="auto" w:fill="404040" w:themeFill="text1" w:themeFillTint="BF"/>
            <w:vAlign w:val="center"/>
          </w:tcPr>
          <w:p w14:paraId="2C37A268" w14:textId="59A1BE74" w:rsidR="004C468A" w:rsidRPr="006D6661" w:rsidRDefault="004C468A" w:rsidP="001F57E3">
            <w:pPr>
              <w:pStyle w:val="TableHeading"/>
              <w:rPr>
                <w:color w:val="FFFFFF" w:themeColor="background1"/>
              </w:rPr>
            </w:pPr>
            <w:r w:rsidRPr="006D6661">
              <w:rPr>
                <w:color w:val="FFFFFF" w:themeColor="background1"/>
              </w:rPr>
              <w:t>Metropolitan</w:t>
            </w:r>
          </w:p>
        </w:tc>
        <w:tc>
          <w:tcPr>
            <w:tcW w:w="1912" w:type="dxa"/>
            <w:gridSpan w:val="3"/>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0B09153B" w14:textId="2D144DBF" w:rsidR="004C468A" w:rsidRPr="006D6661" w:rsidRDefault="004C468A" w:rsidP="001F57E3">
            <w:pPr>
              <w:pStyle w:val="TableHeading"/>
              <w:rPr>
                <w:color w:val="FFFFFF" w:themeColor="background1"/>
              </w:rPr>
            </w:pPr>
            <w:r w:rsidRPr="006D6661">
              <w:rPr>
                <w:color w:val="FFFFFF" w:themeColor="background1"/>
              </w:rPr>
              <w:t>Regional</w:t>
            </w:r>
          </w:p>
        </w:tc>
        <w:tc>
          <w:tcPr>
            <w:tcW w:w="993"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6BE76725" w14:textId="77777777" w:rsidR="004C468A" w:rsidRPr="006D6661" w:rsidRDefault="004C468A" w:rsidP="001F57E3">
            <w:pPr>
              <w:pStyle w:val="TableHeading"/>
              <w:rPr>
                <w:color w:val="FFFFFF" w:themeColor="background1"/>
              </w:rPr>
            </w:pPr>
            <w:r w:rsidRPr="006D6661">
              <w:rPr>
                <w:color w:val="FFFFFF" w:themeColor="background1"/>
              </w:rPr>
              <w:t>Remote</w:t>
            </w:r>
          </w:p>
        </w:tc>
      </w:tr>
      <w:tr w:rsidR="007B2116" w14:paraId="28756B4B" w14:textId="77777777" w:rsidTr="00861473">
        <w:trPr>
          <w:cantSplit/>
          <w:trHeight w:val="1810"/>
        </w:trPr>
        <w:tc>
          <w:tcPr>
            <w:tcW w:w="2350" w:type="dxa"/>
            <w:tcBorders>
              <w:top w:val="nil"/>
              <w:left w:val="nil"/>
              <w:bottom w:val="single" w:sz="12" w:space="0" w:color="auto"/>
              <w:right w:val="single" w:sz="12" w:space="0" w:color="auto"/>
            </w:tcBorders>
            <w:vAlign w:val="bottom"/>
          </w:tcPr>
          <w:p w14:paraId="482A6B6D" w14:textId="0CA6A5F3" w:rsidR="00ED1E3F" w:rsidRDefault="00ED1E3F" w:rsidP="00ED1E3F">
            <w:pPr>
              <w:keepNext/>
              <w:keepLines/>
              <w:spacing w:after="0" w:line="240" w:lineRule="auto"/>
            </w:pPr>
          </w:p>
        </w:tc>
        <w:tc>
          <w:tcPr>
            <w:tcW w:w="408" w:type="dxa"/>
            <w:tcBorders>
              <w:top w:val="single" w:sz="12" w:space="0" w:color="auto"/>
              <w:left w:val="single" w:sz="12" w:space="0" w:color="auto"/>
              <w:bottom w:val="single" w:sz="12" w:space="0" w:color="auto"/>
            </w:tcBorders>
            <w:tcMar>
              <w:left w:w="0" w:type="dxa"/>
              <w:right w:w="0" w:type="dxa"/>
            </w:tcMar>
            <w:textDirection w:val="btLr"/>
            <w:vAlign w:val="center"/>
          </w:tcPr>
          <w:p w14:paraId="1E67FFE7" w14:textId="77777777" w:rsidR="00ED1E3F" w:rsidRDefault="00ED1E3F" w:rsidP="00ED1E3F">
            <w:pPr>
              <w:keepNext/>
              <w:keepLines/>
              <w:spacing w:after="0" w:line="240" w:lineRule="auto"/>
              <w:ind w:left="113" w:right="113"/>
            </w:pPr>
            <w:r>
              <w:t>Adelaide</w:t>
            </w:r>
          </w:p>
        </w:tc>
        <w:tc>
          <w:tcPr>
            <w:tcW w:w="425" w:type="dxa"/>
            <w:tcBorders>
              <w:top w:val="single" w:sz="12" w:space="0" w:color="auto"/>
              <w:bottom w:val="single" w:sz="12" w:space="0" w:color="auto"/>
            </w:tcBorders>
            <w:tcMar>
              <w:left w:w="0" w:type="dxa"/>
              <w:right w:w="0" w:type="dxa"/>
            </w:tcMar>
            <w:textDirection w:val="btLr"/>
            <w:vAlign w:val="center"/>
          </w:tcPr>
          <w:p w14:paraId="16D10974" w14:textId="77777777" w:rsidR="00ED1E3F" w:rsidRDefault="00ED1E3F" w:rsidP="00ED1E3F">
            <w:pPr>
              <w:keepNext/>
              <w:keepLines/>
              <w:spacing w:after="0" w:line="240" w:lineRule="auto"/>
              <w:ind w:left="113" w:right="113"/>
            </w:pPr>
            <w:r>
              <w:t>Brisbane</w:t>
            </w:r>
          </w:p>
        </w:tc>
        <w:tc>
          <w:tcPr>
            <w:tcW w:w="425" w:type="dxa"/>
            <w:tcBorders>
              <w:top w:val="single" w:sz="12" w:space="0" w:color="auto"/>
              <w:bottom w:val="single" w:sz="12" w:space="0" w:color="auto"/>
            </w:tcBorders>
            <w:tcMar>
              <w:left w:w="0" w:type="dxa"/>
              <w:right w:w="0" w:type="dxa"/>
            </w:tcMar>
            <w:textDirection w:val="btLr"/>
            <w:vAlign w:val="center"/>
          </w:tcPr>
          <w:p w14:paraId="6C645405" w14:textId="77777777" w:rsidR="00ED1E3F" w:rsidRDefault="00ED1E3F" w:rsidP="00ED1E3F">
            <w:pPr>
              <w:keepNext/>
              <w:keepLines/>
              <w:spacing w:after="0" w:line="240" w:lineRule="auto"/>
              <w:ind w:left="113" w:right="113"/>
            </w:pPr>
            <w:r>
              <w:t>Canberra</w:t>
            </w:r>
          </w:p>
        </w:tc>
        <w:tc>
          <w:tcPr>
            <w:tcW w:w="425" w:type="dxa"/>
            <w:tcBorders>
              <w:top w:val="single" w:sz="12" w:space="0" w:color="auto"/>
              <w:bottom w:val="single" w:sz="12" w:space="0" w:color="auto"/>
            </w:tcBorders>
            <w:tcMar>
              <w:left w:w="0" w:type="dxa"/>
              <w:right w:w="0" w:type="dxa"/>
            </w:tcMar>
            <w:textDirection w:val="btLr"/>
            <w:vAlign w:val="center"/>
          </w:tcPr>
          <w:p w14:paraId="5FF83C73" w14:textId="77777777" w:rsidR="00ED1E3F" w:rsidRDefault="00ED1E3F" w:rsidP="00ED1E3F">
            <w:pPr>
              <w:keepNext/>
              <w:keepLines/>
              <w:spacing w:after="0" w:line="240" w:lineRule="auto"/>
              <w:ind w:left="113" w:right="113"/>
            </w:pPr>
            <w:r>
              <w:t>Darwin</w:t>
            </w:r>
          </w:p>
        </w:tc>
        <w:tc>
          <w:tcPr>
            <w:tcW w:w="440" w:type="dxa"/>
            <w:tcBorders>
              <w:top w:val="single" w:sz="12" w:space="0" w:color="auto"/>
              <w:bottom w:val="single" w:sz="12" w:space="0" w:color="auto"/>
            </w:tcBorders>
            <w:tcMar>
              <w:left w:w="0" w:type="dxa"/>
              <w:right w:w="0" w:type="dxa"/>
            </w:tcMar>
            <w:textDirection w:val="btLr"/>
            <w:vAlign w:val="center"/>
          </w:tcPr>
          <w:p w14:paraId="5133F2B3" w14:textId="77777777" w:rsidR="00ED1E3F" w:rsidRDefault="00ED1E3F" w:rsidP="00ED1E3F">
            <w:pPr>
              <w:keepNext/>
              <w:keepLines/>
              <w:spacing w:after="0" w:line="240" w:lineRule="auto"/>
              <w:ind w:left="113" w:right="113"/>
            </w:pPr>
            <w:r>
              <w:t>Hobart</w:t>
            </w:r>
          </w:p>
        </w:tc>
        <w:tc>
          <w:tcPr>
            <w:tcW w:w="461" w:type="dxa"/>
            <w:tcBorders>
              <w:top w:val="single" w:sz="12" w:space="0" w:color="auto"/>
              <w:bottom w:val="single" w:sz="12" w:space="0" w:color="auto"/>
            </w:tcBorders>
            <w:tcMar>
              <w:left w:w="0" w:type="dxa"/>
              <w:right w:w="0" w:type="dxa"/>
            </w:tcMar>
            <w:textDirection w:val="btLr"/>
            <w:vAlign w:val="center"/>
          </w:tcPr>
          <w:p w14:paraId="50F29E95" w14:textId="77777777" w:rsidR="00ED1E3F" w:rsidRDefault="00ED1E3F" w:rsidP="00ED1E3F">
            <w:pPr>
              <w:keepNext/>
              <w:keepLines/>
              <w:spacing w:after="0" w:line="240" w:lineRule="auto"/>
              <w:ind w:left="113" w:right="113"/>
            </w:pPr>
            <w:r>
              <w:t>Melbourne</w:t>
            </w:r>
          </w:p>
        </w:tc>
        <w:tc>
          <w:tcPr>
            <w:tcW w:w="447" w:type="dxa"/>
            <w:tcBorders>
              <w:top w:val="single" w:sz="12" w:space="0" w:color="auto"/>
              <w:bottom w:val="single" w:sz="12" w:space="0" w:color="auto"/>
            </w:tcBorders>
            <w:tcMar>
              <w:left w:w="0" w:type="dxa"/>
              <w:right w:w="0" w:type="dxa"/>
            </w:tcMar>
            <w:textDirection w:val="btLr"/>
            <w:vAlign w:val="center"/>
          </w:tcPr>
          <w:p w14:paraId="06BAA701" w14:textId="77777777" w:rsidR="00ED1E3F" w:rsidRDefault="00ED1E3F" w:rsidP="00ED1E3F">
            <w:pPr>
              <w:keepNext/>
              <w:keepLines/>
              <w:spacing w:after="0" w:line="240" w:lineRule="auto"/>
              <w:ind w:left="113" w:right="113"/>
            </w:pPr>
            <w:r>
              <w:t>Perth</w:t>
            </w:r>
          </w:p>
        </w:tc>
        <w:tc>
          <w:tcPr>
            <w:tcW w:w="495" w:type="dxa"/>
            <w:tcBorders>
              <w:top w:val="single" w:sz="12" w:space="0" w:color="auto"/>
              <w:bottom w:val="single" w:sz="12" w:space="0" w:color="auto"/>
              <w:right w:val="single" w:sz="12" w:space="0" w:color="auto"/>
            </w:tcBorders>
            <w:tcMar>
              <w:left w:w="0" w:type="dxa"/>
              <w:right w:w="0" w:type="dxa"/>
            </w:tcMar>
            <w:textDirection w:val="btLr"/>
            <w:vAlign w:val="center"/>
          </w:tcPr>
          <w:p w14:paraId="41A581EB" w14:textId="77777777" w:rsidR="00ED1E3F" w:rsidRDefault="00ED1E3F" w:rsidP="00ED1E3F">
            <w:pPr>
              <w:keepNext/>
              <w:keepLines/>
              <w:spacing w:after="0" w:line="240" w:lineRule="auto"/>
              <w:ind w:left="113" w:right="113"/>
            </w:pPr>
            <w:r>
              <w:t>Sydney</w:t>
            </w:r>
          </w:p>
        </w:tc>
        <w:tc>
          <w:tcPr>
            <w:tcW w:w="751" w:type="dxa"/>
            <w:tcBorders>
              <w:top w:val="single" w:sz="12" w:space="0" w:color="auto"/>
              <w:bottom w:val="single" w:sz="12" w:space="0" w:color="auto"/>
              <w:right w:val="single" w:sz="12" w:space="0" w:color="auto"/>
            </w:tcBorders>
            <w:tcMar>
              <w:left w:w="0" w:type="dxa"/>
              <w:right w:w="0" w:type="dxa"/>
            </w:tcMar>
            <w:textDirection w:val="btLr"/>
            <w:vAlign w:val="center"/>
          </w:tcPr>
          <w:p w14:paraId="1B24596C" w14:textId="41E11CE4" w:rsidR="008D1B77" w:rsidRDefault="008D1B77" w:rsidP="008D1B77">
            <w:pPr>
              <w:keepNext/>
              <w:keepLines/>
              <w:spacing w:after="0" w:line="240" w:lineRule="auto"/>
              <w:ind w:left="113" w:right="113"/>
            </w:pPr>
            <w:r>
              <w:t xml:space="preserve">Total </w:t>
            </w:r>
            <w:r w:rsidR="00CD7B11">
              <w:t>m</w:t>
            </w:r>
            <w:r>
              <w:t>etropolitan</w:t>
            </w:r>
          </w:p>
        </w:tc>
        <w:tc>
          <w:tcPr>
            <w:tcW w:w="510" w:type="dxa"/>
            <w:tcBorders>
              <w:top w:val="single" w:sz="12" w:space="0" w:color="auto"/>
              <w:left w:val="single" w:sz="12" w:space="0" w:color="auto"/>
              <w:bottom w:val="single" w:sz="12" w:space="0" w:color="auto"/>
            </w:tcBorders>
            <w:tcMar>
              <w:left w:w="0" w:type="dxa"/>
              <w:right w:w="0" w:type="dxa"/>
            </w:tcMar>
            <w:textDirection w:val="btLr"/>
            <w:vAlign w:val="center"/>
          </w:tcPr>
          <w:p w14:paraId="0575E2D3" w14:textId="77777777" w:rsidR="00ED1E3F" w:rsidRDefault="00ED1E3F" w:rsidP="00ED1E3F">
            <w:pPr>
              <w:keepNext/>
              <w:keepLines/>
              <w:spacing w:after="0" w:line="240" w:lineRule="auto"/>
              <w:ind w:left="113" w:right="113"/>
            </w:pPr>
            <w:r>
              <w:t>West Australia</w:t>
            </w:r>
          </w:p>
        </w:tc>
        <w:tc>
          <w:tcPr>
            <w:tcW w:w="567" w:type="dxa"/>
            <w:tcBorders>
              <w:top w:val="single" w:sz="12" w:space="0" w:color="auto"/>
              <w:bottom w:val="single" w:sz="12" w:space="0" w:color="auto"/>
              <w:right w:val="single" w:sz="12" w:space="0" w:color="auto"/>
            </w:tcBorders>
            <w:tcMar>
              <w:left w:w="0" w:type="dxa"/>
              <w:right w:w="0" w:type="dxa"/>
            </w:tcMar>
            <w:textDirection w:val="btLr"/>
            <w:vAlign w:val="center"/>
          </w:tcPr>
          <w:p w14:paraId="168B72F3" w14:textId="77777777" w:rsidR="00ED1E3F" w:rsidRDefault="00ED1E3F" w:rsidP="00ED1E3F">
            <w:pPr>
              <w:keepNext/>
              <w:keepLines/>
              <w:spacing w:after="0" w:line="240" w:lineRule="auto"/>
              <w:ind w:left="113" w:right="113"/>
            </w:pPr>
            <w:r>
              <w:t>East Australia</w:t>
            </w:r>
          </w:p>
        </w:tc>
        <w:tc>
          <w:tcPr>
            <w:tcW w:w="835" w:type="dxa"/>
            <w:tcBorders>
              <w:top w:val="single" w:sz="12" w:space="0" w:color="auto"/>
              <w:bottom w:val="single" w:sz="12" w:space="0" w:color="auto"/>
              <w:right w:val="single" w:sz="12" w:space="0" w:color="auto"/>
            </w:tcBorders>
            <w:tcMar>
              <w:left w:w="0" w:type="dxa"/>
              <w:right w:w="0" w:type="dxa"/>
            </w:tcMar>
            <w:textDirection w:val="btLr"/>
            <w:vAlign w:val="center"/>
          </w:tcPr>
          <w:p w14:paraId="4F96E561" w14:textId="280676CC" w:rsidR="008D1B77" w:rsidRDefault="008D1B77" w:rsidP="003A5EE1">
            <w:pPr>
              <w:keepNext/>
              <w:keepLines/>
              <w:spacing w:after="0" w:line="240" w:lineRule="auto"/>
              <w:ind w:left="113" w:right="113"/>
            </w:pPr>
            <w:r>
              <w:t xml:space="preserve">Total Regional </w:t>
            </w:r>
          </w:p>
        </w:tc>
        <w:tc>
          <w:tcPr>
            <w:tcW w:w="993" w:type="dxa"/>
            <w:tcBorders>
              <w:top w:val="single" w:sz="12" w:space="0" w:color="auto"/>
              <w:left w:val="single" w:sz="12" w:space="0" w:color="auto"/>
              <w:bottom w:val="single" w:sz="12" w:space="0" w:color="auto"/>
              <w:right w:val="single" w:sz="12" w:space="0" w:color="auto"/>
            </w:tcBorders>
            <w:tcMar>
              <w:left w:w="0" w:type="dxa"/>
              <w:right w:w="0" w:type="dxa"/>
            </w:tcMar>
            <w:textDirection w:val="btLr"/>
            <w:vAlign w:val="center"/>
          </w:tcPr>
          <w:p w14:paraId="7EC593E3" w14:textId="77777777" w:rsidR="00ED1E3F" w:rsidRDefault="00ED1E3F" w:rsidP="00ED1E3F">
            <w:pPr>
              <w:keepNext/>
              <w:keepLines/>
              <w:spacing w:after="0" w:line="240" w:lineRule="auto"/>
              <w:ind w:left="113" w:right="113"/>
            </w:pPr>
            <w:r>
              <w:t>Remote Australia</w:t>
            </w:r>
          </w:p>
        </w:tc>
        <w:tc>
          <w:tcPr>
            <w:tcW w:w="567" w:type="dxa"/>
            <w:tcBorders>
              <w:top w:val="single" w:sz="12" w:space="0" w:color="auto"/>
              <w:left w:val="single" w:sz="12" w:space="0" w:color="auto"/>
              <w:bottom w:val="single" w:sz="12" w:space="0" w:color="auto"/>
              <w:right w:val="single" w:sz="12" w:space="0" w:color="auto"/>
            </w:tcBorders>
            <w:tcMar>
              <w:left w:w="0" w:type="dxa"/>
              <w:right w:w="0" w:type="dxa"/>
            </w:tcMar>
            <w:vAlign w:val="bottom"/>
          </w:tcPr>
          <w:p w14:paraId="7CC773D5" w14:textId="741E1B63" w:rsidR="00ED1E3F" w:rsidRDefault="00ED1E3F" w:rsidP="00ED1E3F">
            <w:pPr>
              <w:keepNext/>
              <w:keepLines/>
              <w:spacing w:after="0" w:line="240" w:lineRule="auto"/>
            </w:pPr>
            <w:r>
              <w:t>Total</w:t>
            </w:r>
          </w:p>
        </w:tc>
      </w:tr>
      <w:tr w:rsidR="007B2116" w14:paraId="7FCE4E54" w14:textId="77777777" w:rsidTr="00861473">
        <w:tc>
          <w:tcPr>
            <w:tcW w:w="2350" w:type="dxa"/>
            <w:tcBorders>
              <w:top w:val="single" w:sz="12" w:space="0" w:color="auto"/>
              <w:left w:val="single" w:sz="12" w:space="0" w:color="auto"/>
              <w:right w:val="single" w:sz="12" w:space="0" w:color="auto"/>
            </w:tcBorders>
            <w:vAlign w:val="center"/>
          </w:tcPr>
          <w:p w14:paraId="15B5827C" w14:textId="77777777" w:rsidR="00ED1E3F" w:rsidRDefault="00ED1E3F" w:rsidP="00ED1E3F">
            <w:pPr>
              <w:keepNext/>
              <w:keepLines/>
              <w:spacing w:before="120" w:after="120" w:line="480" w:lineRule="auto"/>
              <w:contextualSpacing/>
              <w:jc w:val="center"/>
              <w:rPr>
                <w:rFonts w:cs="Arial"/>
              </w:rPr>
            </w:pPr>
            <w:r>
              <w:rPr>
                <w:rFonts w:cs="Arial"/>
              </w:rPr>
              <w:t>Whole band</w:t>
            </w:r>
          </w:p>
          <w:p w14:paraId="3BA1F3EA" w14:textId="420D9D86" w:rsidR="00ED1E3F" w:rsidRDefault="00ED1E3F" w:rsidP="00ED1E3F">
            <w:pPr>
              <w:keepNext/>
              <w:keepLines/>
              <w:spacing w:before="120" w:after="120" w:line="480" w:lineRule="auto"/>
              <w:contextualSpacing/>
              <w:jc w:val="center"/>
            </w:pPr>
            <w:r>
              <w:rPr>
                <w:rFonts w:cs="Arial"/>
              </w:rPr>
              <w:t>1427</w:t>
            </w:r>
            <w:r w:rsidR="00CD7B11">
              <w:rPr>
                <w:rFonts w:cs="Arial"/>
              </w:rPr>
              <w:t>–</w:t>
            </w:r>
            <w:r>
              <w:rPr>
                <w:rFonts w:cs="Arial"/>
              </w:rPr>
              <w:t>1518 MHz</w:t>
            </w:r>
          </w:p>
        </w:tc>
        <w:tc>
          <w:tcPr>
            <w:tcW w:w="408" w:type="dxa"/>
            <w:tcBorders>
              <w:top w:val="single" w:sz="12" w:space="0" w:color="auto"/>
              <w:left w:val="single" w:sz="12" w:space="0" w:color="auto"/>
            </w:tcBorders>
            <w:tcMar>
              <w:left w:w="0" w:type="dxa"/>
              <w:right w:w="0" w:type="dxa"/>
            </w:tcMar>
            <w:vAlign w:val="center"/>
          </w:tcPr>
          <w:p w14:paraId="4F171F6A" w14:textId="590FAB6B" w:rsidR="00ED1E3F" w:rsidRPr="00E43D18" w:rsidRDefault="00265F63" w:rsidP="00ED1E3F">
            <w:pPr>
              <w:keepNext/>
              <w:keepLines/>
              <w:spacing w:after="0" w:line="240" w:lineRule="auto"/>
              <w:jc w:val="center"/>
            </w:pPr>
            <w:r>
              <w:t>10</w:t>
            </w:r>
          </w:p>
        </w:tc>
        <w:tc>
          <w:tcPr>
            <w:tcW w:w="425" w:type="dxa"/>
            <w:tcBorders>
              <w:top w:val="single" w:sz="12" w:space="0" w:color="auto"/>
            </w:tcBorders>
            <w:tcMar>
              <w:left w:w="0" w:type="dxa"/>
              <w:right w:w="0" w:type="dxa"/>
            </w:tcMar>
            <w:vAlign w:val="center"/>
          </w:tcPr>
          <w:p w14:paraId="451D0351" w14:textId="5FBEA5A6" w:rsidR="00ED1E3F" w:rsidRPr="00E43D18" w:rsidRDefault="00265F63" w:rsidP="00ED1E3F">
            <w:pPr>
              <w:keepNext/>
              <w:keepLines/>
              <w:spacing w:after="0" w:line="240" w:lineRule="auto"/>
              <w:jc w:val="center"/>
            </w:pPr>
            <w:r>
              <w:t>65</w:t>
            </w:r>
          </w:p>
        </w:tc>
        <w:tc>
          <w:tcPr>
            <w:tcW w:w="425" w:type="dxa"/>
            <w:tcBorders>
              <w:top w:val="single" w:sz="12" w:space="0" w:color="auto"/>
            </w:tcBorders>
            <w:tcMar>
              <w:left w:w="0" w:type="dxa"/>
              <w:right w:w="0" w:type="dxa"/>
            </w:tcMar>
            <w:vAlign w:val="center"/>
          </w:tcPr>
          <w:p w14:paraId="05152427" w14:textId="612EA97F" w:rsidR="00ED1E3F" w:rsidRPr="00E43D18" w:rsidRDefault="00265F63" w:rsidP="00ED1E3F">
            <w:pPr>
              <w:keepNext/>
              <w:keepLines/>
              <w:spacing w:after="0" w:line="240" w:lineRule="auto"/>
              <w:jc w:val="center"/>
            </w:pPr>
            <w:r>
              <w:t>13</w:t>
            </w:r>
          </w:p>
        </w:tc>
        <w:tc>
          <w:tcPr>
            <w:tcW w:w="425" w:type="dxa"/>
            <w:tcBorders>
              <w:top w:val="single" w:sz="12" w:space="0" w:color="auto"/>
            </w:tcBorders>
            <w:tcMar>
              <w:left w:w="0" w:type="dxa"/>
              <w:right w:w="0" w:type="dxa"/>
            </w:tcMar>
            <w:vAlign w:val="center"/>
          </w:tcPr>
          <w:p w14:paraId="1718AAF6" w14:textId="0860DC55" w:rsidR="00ED1E3F" w:rsidRPr="00E43D18" w:rsidRDefault="00280B38" w:rsidP="00ED1E3F">
            <w:pPr>
              <w:keepNext/>
              <w:keepLines/>
              <w:spacing w:after="0" w:line="240" w:lineRule="auto"/>
              <w:jc w:val="center"/>
            </w:pPr>
            <w:r>
              <w:t>15</w:t>
            </w:r>
          </w:p>
        </w:tc>
        <w:tc>
          <w:tcPr>
            <w:tcW w:w="440" w:type="dxa"/>
            <w:tcBorders>
              <w:top w:val="single" w:sz="12" w:space="0" w:color="auto"/>
            </w:tcBorders>
            <w:tcMar>
              <w:left w:w="0" w:type="dxa"/>
              <w:right w:w="0" w:type="dxa"/>
            </w:tcMar>
            <w:vAlign w:val="center"/>
          </w:tcPr>
          <w:p w14:paraId="28635B16" w14:textId="3E7FF699" w:rsidR="00ED1E3F" w:rsidRPr="00E43D18" w:rsidRDefault="00280B38" w:rsidP="00ED1E3F">
            <w:pPr>
              <w:keepNext/>
              <w:keepLines/>
              <w:spacing w:after="0" w:line="240" w:lineRule="auto"/>
              <w:jc w:val="center"/>
            </w:pPr>
            <w:r>
              <w:t>28</w:t>
            </w:r>
          </w:p>
        </w:tc>
        <w:tc>
          <w:tcPr>
            <w:tcW w:w="461" w:type="dxa"/>
            <w:tcBorders>
              <w:top w:val="single" w:sz="12" w:space="0" w:color="auto"/>
            </w:tcBorders>
            <w:tcMar>
              <w:left w:w="0" w:type="dxa"/>
              <w:right w:w="0" w:type="dxa"/>
            </w:tcMar>
            <w:vAlign w:val="center"/>
          </w:tcPr>
          <w:p w14:paraId="06AA2BEB" w14:textId="0CD2B7E4" w:rsidR="00ED1E3F" w:rsidRPr="00E43D18" w:rsidRDefault="00280B38" w:rsidP="00ED1E3F">
            <w:pPr>
              <w:keepNext/>
              <w:keepLines/>
              <w:spacing w:after="0" w:line="240" w:lineRule="auto"/>
              <w:jc w:val="center"/>
            </w:pPr>
            <w:r>
              <w:t>31</w:t>
            </w:r>
          </w:p>
        </w:tc>
        <w:tc>
          <w:tcPr>
            <w:tcW w:w="447" w:type="dxa"/>
            <w:tcBorders>
              <w:top w:val="single" w:sz="12" w:space="0" w:color="auto"/>
            </w:tcBorders>
            <w:tcMar>
              <w:left w:w="0" w:type="dxa"/>
              <w:right w:w="0" w:type="dxa"/>
            </w:tcMar>
            <w:vAlign w:val="center"/>
          </w:tcPr>
          <w:p w14:paraId="49639071" w14:textId="5B24E6F4" w:rsidR="00ED1E3F" w:rsidRPr="00E43D18" w:rsidRDefault="00280B38" w:rsidP="00ED1E3F">
            <w:pPr>
              <w:keepNext/>
              <w:keepLines/>
              <w:spacing w:after="0" w:line="240" w:lineRule="auto"/>
              <w:jc w:val="center"/>
            </w:pPr>
            <w:r>
              <w:t>44</w:t>
            </w:r>
          </w:p>
        </w:tc>
        <w:tc>
          <w:tcPr>
            <w:tcW w:w="495" w:type="dxa"/>
            <w:tcBorders>
              <w:top w:val="single" w:sz="12" w:space="0" w:color="auto"/>
              <w:right w:val="single" w:sz="12" w:space="0" w:color="auto"/>
            </w:tcBorders>
            <w:tcMar>
              <w:left w:w="0" w:type="dxa"/>
              <w:right w:w="0" w:type="dxa"/>
            </w:tcMar>
            <w:vAlign w:val="center"/>
          </w:tcPr>
          <w:p w14:paraId="0BA91020" w14:textId="20AE37BD" w:rsidR="00ED1E3F" w:rsidRPr="00E43D18" w:rsidRDefault="00280B38" w:rsidP="00ED1E3F">
            <w:pPr>
              <w:keepNext/>
              <w:keepLines/>
              <w:spacing w:after="0" w:line="240" w:lineRule="auto"/>
              <w:jc w:val="center"/>
            </w:pPr>
            <w:r>
              <w:t>113</w:t>
            </w:r>
          </w:p>
        </w:tc>
        <w:tc>
          <w:tcPr>
            <w:tcW w:w="751" w:type="dxa"/>
            <w:tcBorders>
              <w:top w:val="single" w:sz="12" w:space="0" w:color="auto"/>
              <w:right w:val="single" w:sz="12" w:space="0" w:color="auto"/>
            </w:tcBorders>
            <w:tcMar>
              <w:left w:w="0" w:type="dxa"/>
              <w:right w:w="0" w:type="dxa"/>
            </w:tcMar>
            <w:vAlign w:val="center"/>
          </w:tcPr>
          <w:p w14:paraId="27646847" w14:textId="51ED9505" w:rsidR="008D1B77" w:rsidRPr="004D3702" w:rsidRDefault="005F192F" w:rsidP="003A5EE1">
            <w:pPr>
              <w:keepNext/>
              <w:keepLines/>
              <w:spacing w:after="0" w:line="240" w:lineRule="auto"/>
              <w:jc w:val="center"/>
            </w:pPr>
            <w:r w:rsidRPr="004D3702">
              <w:t>319 (5.1</w:t>
            </w:r>
            <w:r w:rsidR="008D1B77" w:rsidRPr="004D3702">
              <w:t>%)</w:t>
            </w:r>
          </w:p>
        </w:tc>
        <w:tc>
          <w:tcPr>
            <w:tcW w:w="510" w:type="dxa"/>
            <w:tcBorders>
              <w:top w:val="single" w:sz="12" w:space="0" w:color="auto"/>
              <w:left w:val="single" w:sz="12" w:space="0" w:color="auto"/>
            </w:tcBorders>
            <w:tcMar>
              <w:left w:w="0" w:type="dxa"/>
              <w:right w:w="0" w:type="dxa"/>
            </w:tcMar>
            <w:vAlign w:val="center"/>
          </w:tcPr>
          <w:p w14:paraId="6FDC63A1" w14:textId="4ABE7748" w:rsidR="00ED1E3F" w:rsidRPr="00E43D18" w:rsidRDefault="00280B38" w:rsidP="00ED1E3F">
            <w:pPr>
              <w:keepNext/>
              <w:keepLines/>
              <w:spacing w:after="0" w:line="240" w:lineRule="auto"/>
              <w:jc w:val="center"/>
            </w:pPr>
            <w:r>
              <w:t>161</w:t>
            </w:r>
          </w:p>
        </w:tc>
        <w:tc>
          <w:tcPr>
            <w:tcW w:w="567" w:type="dxa"/>
            <w:tcBorders>
              <w:top w:val="single" w:sz="12" w:space="0" w:color="auto"/>
              <w:right w:val="single" w:sz="12" w:space="0" w:color="auto"/>
            </w:tcBorders>
            <w:tcMar>
              <w:left w:w="0" w:type="dxa"/>
              <w:right w:w="0" w:type="dxa"/>
            </w:tcMar>
            <w:vAlign w:val="center"/>
          </w:tcPr>
          <w:p w14:paraId="74E706AE" w14:textId="3FC70FA4" w:rsidR="00ED1E3F" w:rsidRPr="00E43D18" w:rsidRDefault="00280B38" w:rsidP="00ED1E3F">
            <w:pPr>
              <w:keepNext/>
              <w:keepLines/>
              <w:spacing w:after="0" w:line="240" w:lineRule="auto"/>
              <w:jc w:val="center"/>
            </w:pPr>
            <w:r>
              <w:t>1</w:t>
            </w:r>
            <w:r w:rsidR="00CD7B11">
              <w:t>,</w:t>
            </w:r>
            <w:r>
              <w:t>483</w:t>
            </w:r>
          </w:p>
        </w:tc>
        <w:tc>
          <w:tcPr>
            <w:tcW w:w="835" w:type="dxa"/>
            <w:tcBorders>
              <w:top w:val="single" w:sz="12" w:space="0" w:color="auto"/>
              <w:right w:val="single" w:sz="12" w:space="0" w:color="auto"/>
            </w:tcBorders>
            <w:tcMar>
              <w:left w:w="0" w:type="dxa"/>
              <w:right w:w="0" w:type="dxa"/>
            </w:tcMar>
            <w:vAlign w:val="center"/>
          </w:tcPr>
          <w:p w14:paraId="5842D1DF" w14:textId="5AEADF29" w:rsidR="008D1B77" w:rsidRPr="004D3702" w:rsidRDefault="005F192F" w:rsidP="008D1B77">
            <w:pPr>
              <w:keepNext/>
              <w:keepLines/>
              <w:spacing w:after="0" w:line="240" w:lineRule="auto"/>
              <w:jc w:val="center"/>
            </w:pPr>
            <w:r w:rsidRPr="004D3702">
              <w:t>1</w:t>
            </w:r>
            <w:r w:rsidR="00CD7B11">
              <w:t>,</w:t>
            </w:r>
            <w:r w:rsidRPr="004D3702">
              <w:t>644 (26.5</w:t>
            </w:r>
            <w:r w:rsidR="008D1B77" w:rsidRPr="004D3702">
              <w:t>%)</w:t>
            </w:r>
          </w:p>
        </w:tc>
        <w:tc>
          <w:tcPr>
            <w:tcW w:w="993" w:type="dxa"/>
            <w:tcBorders>
              <w:top w:val="single" w:sz="12" w:space="0" w:color="auto"/>
              <w:left w:val="single" w:sz="12" w:space="0" w:color="auto"/>
              <w:right w:val="single" w:sz="12" w:space="0" w:color="auto"/>
            </w:tcBorders>
            <w:tcMar>
              <w:left w:w="0" w:type="dxa"/>
              <w:right w:w="0" w:type="dxa"/>
            </w:tcMar>
            <w:vAlign w:val="center"/>
          </w:tcPr>
          <w:p w14:paraId="5DF83054" w14:textId="5A7E148E" w:rsidR="00ED1E3F" w:rsidRPr="00E43D18" w:rsidRDefault="00280B38" w:rsidP="00ED1E3F">
            <w:pPr>
              <w:keepNext/>
              <w:keepLines/>
              <w:spacing w:after="0" w:line="240" w:lineRule="auto"/>
              <w:jc w:val="center"/>
            </w:pPr>
            <w:r>
              <w:t>4</w:t>
            </w:r>
            <w:r w:rsidR="00CD7B11">
              <w:t>,</w:t>
            </w:r>
            <w:r>
              <w:t>252</w:t>
            </w:r>
            <w:r w:rsidR="008D1B77">
              <w:t xml:space="preserve"> </w:t>
            </w:r>
            <w:r w:rsidR="008D1B77" w:rsidRPr="004D3702">
              <w:t>(</w:t>
            </w:r>
            <w:r w:rsidR="005F192F" w:rsidRPr="004D3702">
              <w:t>68.4</w:t>
            </w:r>
            <w:r w:rsidR="008D1B77" w:rsidRPr="004D3702">
              <w:t>%)</w:t>
            </w:r>
          </w:p>
        </w:tc>
        <w:tc>
          <w:tcPr>
            <w:tcW w:w="567" w:type="dxa"/>
            <w:tcBorders>
              <w:top w:val="single" w:sz="12" w:space="0" w:color="auto"/>
              <w:left w:val="single" w:sz="12" w:space="0" w:color="auto"/>
              <w:right w:val="single" w:sz="12" w:space="0" w:color="auto"/>
            </w:tcBorders>
            <w:tcMar>
              <w:left w:w="0" w:type="dxa"/>
              <w:right w:w="0" w:type="dxa"/>
            </w:tcMar>
            <w:vAlign w:val="center"/>
          </w:tcPr>
          <w:p w14:paraId="1562EEBE" w14:textId="0D09FA4A" w:rsidR="00ED1E3F" w:rsidRPr="00E43D18" w:rsidRDefault="00280B38" w:rsidP="00ED1E3F">
            <w:pPr>
              <w:keepNext/>
              <w:keepLines/>
              <w:spacing w:after="0" w:line="240" w:lineRule="auto"/>
              <w:jc w:val="center"/>
            </w:pPr>
            <w:r>
              <w:t>6</w:t>
            </w:r>
            <w:r w:rsidR="00CD7B11">
              <w:t>,</w:t>
            </w:r>
            <w:r>
              <w:t>215</w:t>
            </w:r>
          </w:p>
        </w:tc>
      </w:tr>
      <w:tr w:rsidR="007B2116" w14:paraId="60D89ACA" w14:textId="77777777" w:rsidTr="001F57E3">
        <w:tc>
          <w:tcPr>
            <w:tcW w:w="2350" w:type="dxa"/>
            <w:tcBorders>
              <w:left w:val="single" w:sz="12" w:space="0" w:color="auto"/>
              <w:right w:val="single" w:sz="12" w:space="0" w:color="auto"/>
            </w:tcBorders>
            <w:shd w:val="clear" w:color="auto" w:fill="F2F2F2" w:themeFill="background1" w:themeFillShade="F2"/>
            <w:vAlign w:val="center"/>
          </w:tcPr>
          <w:p w14:paraId="3E01237F" w14:textId="77777777" w:rsidR="00ED1E3F" w:rsidRDefault="00ED1E3F" w:rsidP="00ED1E3F">
            <w:pPr>
              <w:keepNext/>
              <w:keepLines/>
              <w:spacing w:before="120" w:after="120" w:line="480" w:lineRule="auto"/>
              <w:contextualSpacing/>
              <w:jc w:val="center"/>
              <w:rPr>
                <w:rFonts w:cs="Arial"/>
              </w:rPr>
            </w:pPr>
            <w:r>
              <w:rPr>
                <w:rFonts w:cs="Arial"/>
              </w:rPr>
              <w:t>3GPP bands 11 and 21</w:t>
            </w:r>
          </w:p>
          <w:p w14:paraId="289FDC4F" w14:textId="0DCA82A7" w:rsidR="00ED1E3F" w:rsidRDefault="00ED1E3F" w:rsidP="00ED1E3F">
            <w:pPr>
              <w:keepNext/>
              <w:keepLines/>
              <w:spacing w:before="120" w:after="120" w:line="480" w:lineRule="auto"/>
              <w:contextualSpacing/>
              <w:jc w:val="center"/>
            </w:pPr>
            <w:r>
              <w:rPr>
                <w:rFonts w:cs="Arial"/>
              </w:rPr>
              <w:t>1427.9</w:t>
            </w:r>
            <w:r w:rsidR="00CD7B11">
              <w:rPr>
                <w:rFonts w:cs="Arial"/>
              </w:rPr>
              <w:t>–</w:t>
            </w:r>
            <w:r>
              <w:rPr>
                <w:rFonts w:cs="Arial"/>
              </w:rPr>
              <w:t>1462.9MHz/</w:t>
            </w:r>
            <w:r w:rsidR="00CD7B11">
              <w:rPr>
                <w:rFonts w:cs="Arial"/>
              </w:rPr>
              <w:br/>
            </w:r>
            <w:r>
              <w:rPr>
                <w:rFonts w:cs="Arial"/>
              </w:rPr>
              <w:t>1475.9</w:t>
            </w:r>
            <w:r w:rsidR="00CD7B11">
              <w:rPr>
                <w:rFonts w:cs="Arial"/>
              </w:rPr>
              <w:t>–</w:t>
            </w:r>
            <w:r>
              <w:rPr>
                <w:rFonts w:cs="Arial"/>
              </w:rPr>
              <w:t>1510.9 MHz</w:t>
            </w:r>
          </w:p>
        </w:tc>
        <w:tc>
          <w:tcPr>
            <w:tcW w:w="408" w:type="dxa"/>
            <w:tcBorders>
              <w:left w:val="single" w:sz="12" w:space="0" w:color="auto"/>
            </w:tcBorders>
            <w:shd w:val="clear" w:color="auto" w:fill="F2F2F2" w:themeFill="background1" w:themeFillShade="F2"/>
            <w:tcMar>
              <w:left w:w="0" w:type="dxa"/>
              <w:right w:w="0" w:type="dxa"/>
            </w:tcMar>
            <w:vAlign w:val="center"/>
          </w:tcPr>
          <w:p w14:paraId="17D39CD7" w14:textId="48C7D4F0" w:rsidR="00ED1E3F" w:rsidRPr="00E43D18" w:rsidRDefault="00D52533" w:rsidP="00ED1E3F">
            <w:pPr>
              <w:keepNext/>
              <w:keepLines/>
              <w:spacing w:after="0" w:line="240" w:lineRule="auto"/>
              <w:jc w:val="center"/>
            </w:pPr>
            <w:r>
              <w:t>10</w:t>
            </w:r>
          </w:p>
        </w:tc>
        <w:tc>
          <w:tcPr>
            <w:tcW w:w="425" w:type="dxa"/>
            <w:shd w:val="clear" w:color="auto" w:fill="F2F2F2" w:themeFill="background1" w:themeFillShade="F2"/>
            <w:tcMar>
              <w:left w:w="0" w:type="dxa"/>
              <w:right w:w="0" w:type="dxa"/>
            </w:tcMar>
            <w:vAlign w:val="center"/>
          </w:tcPr>
          <w:p w14:paraId="2C34AB4A" w14:textId="319A20CB" w:rsidR="00ED1E3F" w:rsidRPr="00E43D18" w:rsidRDefault="00D52533" w:rsidP="00ED1E3F">
            <w:pPr>
              <w:keepNext/>
              <w:keepLines/>
              <w:spacing w:after="0" w:line="240" w:lineRule="auto"/>
              <w:jc w:val="center"/>
            </w:pPr>
            <w:r>
              <w:t>57</w:t>
            </w:r>
          </w:p>
        </w:tc>
        <w:tc>
          <w:tcPr>
            <w:tcW w:w="425" w:type="dxa"/>
            <w:shd w:val="clear" w:color="auto" w:fill="F2F2F2" w:themeFill="background1" w:themeFillShade="F2"/>
            <w:tcMar>
              <w:left w:w="0" w:type="dxa"/>
              <w:right w:w="0" w:type="dxa"/>
            </w:tcMar>
            <w:vAlign w:val="center"/>
          </w:tcPr>
          <w:p w14:paraId="7B9BFEC9" w14:textId="39B85DF1" w:rsidR="00ED1E3F" w:rsidRPr="00E43D18" w:rsidRDefault="00D52533" w:rsidP="00ED1E3F">
            <w:pPr>
              <w:keepNext/>
              <w:keepLines/>
              <w:spacing w:after="0" w:line="240" w:lineRule="auto"/>
              <w:jc w:val="center"/>
            </w:pPr>
            <w:r>
              <w:t>13</w:t>
            </w:r>
          </w:p>
        </w:tc>
        <w:tc>
          <w:tcPr>
            <w:tcW w:w="425" w:type="dxa"/>
            <w:shd w:val="clear" w:color="auto" w:fill="F2F2F2" w:themeFill="background1" w:themeFillShade="F2"/>
            <w:tcMar>
              <w:left w:w="0" w:type="dxa"/>
              <w:right w:w="0" w:type="dxa"/>
            </w:tcMar>
            <w:vAlign w:val="center"/>
          </w:tcPr>
          <w:p w14:paraId="2A8A5B1C" w14:textId="651C0992" w:rsidR="00ED1E3F" w:rsidRPr="00E43D18" w:rsidRDefault="00D52533" w:rsidP="00ED1E3F">
            <w:pPr>
              <w:keepNext/>
              <w:keepLines/>
              <w:spacing w:after="0" w:line="240" w:lineRule="auto"/>
              <w:jc w:val="center"/>
            </w:pPr>
            <w:r>
              <w:t>14</w:t>
            </w:r>
          </w:p>
        </w:tc>
        <w:tc>
          <w:tcPr>
            <w:tcW w:w="440" w:type="dxa"/>
            <w:shd w:val="clear" w:color="auto" w:fill="F2F2F2" w:themeFill="background1" w:themeFillShade="F2"/>
            <w:tcMar>
              <w:left w:w="0" w:type="dxa"/>
              <w:right w:w="0" w:type="dxa"/>
            </w:tcMar>
            <w:vAlign w:val="center"/>
          </w:tcPr>
          <w:p w14:paraId="18D5FED7" w14:textId="54919F33" w:rsidR="00ED1E3F" w:rsidRPr="00E43D18" w:rsidRDefault="00D52533" w:rsidP="00ED1E3F">
            <w:pPr>
              <w:keepNext/>
              <w:keepLines/>
              <w:spacing w:after="0" w:line="240" w:lineRule="auto"/>
              <w:jc w:val="center"/>
            </w:pPr>
            <w:r>
              <w:t>28</w:t>
            </w:r>
          </w:p>
        </w:tc>
        <w:tc>
          <w:tcPr>
            <w:tcW w:w="461" w:type="dxa"/>
            <w:shd w:val="clear" w:color="auto" w:fill="F2F2F2" w:themeFill="background1" w:themeFillShade="F2"/>
            <w:tcMar>
              <w:left w:w="0" w:type="dxa"/>
              <w:right w:w="0" w:type="dxa"/>
            </w:tcMar>
            <w:vAlign w:val="center"/>
          </w:tcPr>
          <w:p w14:paraId="649E4463" w14:textId="48316826" w:rsidR="00ED1E3F" w:rsidRPr="00E43D18" w:rsidRDefault="00D52533" w:rsidP="00ED1E3F">
            <w:pPr>
              <w:keepNext/>
              <w:keepLines/>
              <w:spacing w:after="0" w:line="240" w:lineRule="auto"/>
              <w:jc w:val="center"/>
            </w:pPr>
            <w:r>
              <w:t>23</w:t>
            </w:r>
          </w:p>
        </w:tc>
        <w:tc>
          <w:tcPr>
            <w:tcW w:w="447" w:type="dxa"/>
            <w:shd w:val="clear" w:color="auto" w:fill="F2F2F2" w:themeFill="background1" w:themeFillShade="F2"/>
            <w:tcMar>
              <w:left w:w="0" w:type="dxa"/>
              <w:right w:w="0" w:type="dxa"/>
            </w:tcMar>
            <w:vAlign w:val="center"/>
          </w:tcPr>
          <w:p w14:paraId="26B27258" w14:textId="6CDAAC04" w:rsidR="00ED1E3F" w:rsidRPr="00E43D18" w:rsidRDefault="00D52533" w:rsidP="00ED1E3F">
            <w:pPr>
              <w:keepNext/>
              <w:keepLines/>
              <w:spacing w:after="0" w:line="240" w:lineRule="auto"/>
              <w:jc w:val="center"/>
            </w:pPr>
            <w:r>
              <w:t>40</w:t>
            </w:r>
          </w:p>
        </w:tc>
        <w:tc>
          <w:tcPr>
            <w:tcW w:w="495" w:type="dxa"/>
            <w:tcBorders>
              <w:right w:val="single" w:sz="12" w:space="0" w:color="auto"/>
            </w:tcBorders>
            <w:shd w:val="clear" w:color="auto" w:fill="F2F2F2" w:themeFill="background1" w:themeFillShade="F2"/>
            <w:tcMar>
              <w:left w:w="0" w:type="dxa"/>
              <w:right w:w="0" w:type="dxa"/>
            </w:tcMar>
            <w:vAlign w:val="center"/>
          </w:tcPr>
          <w:p w14:paraId="26D94E6C" w14:textId="7003C9DA" w:rsidR="00ED1E3F" w:rsidRPr="00E43D18" w:rsidRDefault="00D52533" w:rsidP="00ED1E3F">
            <w:pPr>
              <w:keepNext/>
              <w:keepLines/>
              <w:spacing w:after="0" w:line="240" w:lineRule="auto"/>
              <w:jc w:val="center"/>
            </w:pPr>
            <w:r>
              <w:t>102</w:t>
            </w:r>
          </w:p>
        </w:tc>
        <w:tc>
          <w:tcPr>
            <w:tcW w:w="751" w:type="dxa"/>
            <w:tcBorders>
              <w:right w:val="single" w:sz="12" w:space="0" w:color="auto"/>
            </w:tcBorders>
            <w:shd w:val="clear" w:color="auto" w:fill="F2F2F2" w:themeFill="background1" w:themeFillShade="F2"/>
            <w:tcMar>
              <w:left w:w="0" w:type="dxa"/>
              <w:right w:w="0" w:type="dxa"/>
            </w:tcMar>
            <w:vAlign w:val="center"/>
          </w:tcPr>
          <w:p w14:paraId="4BBBE6E1" w14:textId="2CB3DEA1" w:rsidR="008D1B77" w:rsidRPr="004D3702" w:rsidRDefault="00FD58EE" w:rsidP="003A5EE1">
            <w:pPr>
              <w:keepNext/>
              <w:keepLines/>
              <w:spacing w:after="0" w:line="240" w:lineRule="auto"/>
              <w:jc w:val="center"/>
            </w:pPr>
            <w:r w:rsidRPr="004D3702">
              <w:t>287</w:t>
            </w:r>
            <w:r w:rsidR="009014A2" w:rsidRPr="004D3702">
              <w:t xml:space="preserve"> (5.1</w:t>
            </w:r>
            <w:r w:rsidR="008D1B77" w:rsidRPr="004D3702">
              <w:t>%)</w:t>
            </w:r>
          </w:p>
        </w:tc>
        <w:tc>
          <w:tcPr>
            <w:tcW w:w="510" w:type="dxa"/>
            <w:tcBorders>
              <w:left w:val="single" w:sz="12" w:space="0" w:color="auto"/>
            </w:tcBorders>
            <w:shd w:val="clear" w:color="auto" w:fill="F2F2F2" w:themeFill="background1" w:themeFillShade="F2"/>
            <w:tcMar>
              <w:left w:w="0" w:type="dxa"/>
              <w:right w:w="0" w:type="dxa"/>
            </w:tcMar>
            <w:vAlign w:val="center"/>
          </w:tcPr>
          <w:p w14:paraId="79A23E67" w14:textId="114B7211" w:rsidR="00ED1E3F" w:rsidRPr="00E43D18" w:rsidRDefault="00D52533" w:rsidP="00ED1E3F">
            <w:pPr>
              <w:keepNext/>
              <w:keepLines/>
              <w:spacing w:after="0" w:line="240" w:lineRule="auto"/>
              <w:jc w:val="center"/>
            </w:pPr>
            <w:r>
              <w:t>155</w:t>
            </w:r>
          </w:p>
        </w:tc>
        <w:tc>
          <w:tcPr>
            <w:tcW w:w="567" w:type="dxa"/>
            <w:tcBorders>
              <w:right w:val="single" w:sz="12" w:space="0" w:color="auto"/>
            </w:tcBorders>
            <w:shd w:val="clear" w:color="auto" w:fill="F2F2F2" w:themeFill="background1" w:themeFillShade="F2"/>
            <w:tcMar>
              <w:left w:w="0" w:type="dxa"/>
              <w:right w:w="0" w:type="dxa"/>
            </w:tcMar>
            <w:vAlign w:val="center"/>
          </w:tcPr>
          <w:p w14:paraId="6040E5F5" w14:textId="082ECB7E" w:rsidR="00ED1E3F" w:rsidRPr="00E43D18" w:rsidRDefault="00D52533" w:rsidP="00ED1E3F">
            <w:pPr>
              <w:keepNext/>
              <w:keepLines/>
              <w:spacing w:after="0" w:line="240" w:lineRule="auto"/>
              <w:jc w:val="center"/>
            </w:pPr>
            <w:r>
              <w:t>1</w:t>
            </w:r>
            <w:r w:rsidR="00CD7B11">
              <w:t>,</w:t>
            </w:r>
            <w:r>
              <w:t>387</w:t>
            </w:r>
          </w:p>
        </w:tc>
        <w:tc>
          <w:tcPr>
            <w:tcW w:w="835" w:type="dxa"/>
            <w:tcBorders>
              <w:right w:val="single" w:sz="12" w:space="0" w:color="auto"/>
            </w:tcBorders>
            <w:shd w:val="clear" w:color="auto" w:fill="F2F2F2" w:themeFill="background1" w:themeFillShade="F2"/>
            <w:tcMar>
              <w:left w:w="0" w:type="dxa"/>
              <w:right w:w="0" w:type="dxa"/>
            </w:tcMar>
            <w:vAlign w:val="center"/>
          </w:tcPr>
          <w:p w14:paraId="61F0AA21" w14:textId="358DFD7F" w:rsidR="008D1B77" w:rsidRPr="004D3702" w:rsidRDefault="00FD58EE" w:rsidP="008D1B77">
            <w:pPr>
              <w:keepNext/>
              <w:keepLines/>
              <w:spacing w:after="0" w:line="240" w:lineRule="auto"/>
              <w:jc w:val="center"/>
            </w:pPr>
            <w:r w:rsidRPr="004D3702">
              <w:t>1</w:t>
            </w:r>
            <w:r w:rsidR="00CD7B11">
              <w:t>,</w:t>
            </w:r>
            <w:r w:rsidRPr="004D3702">
              <w:t>542</w:t>
            </w:r>
            <w:r w:rsidR="009014A2" w:rsidRPr="004D3702">
              <w:t xml:space="preserve"> (27.3</w:t>
            </w:r>
            <w:r w:rsidR="008D1B77" w:rsidRPr="004D3702">
              <w:t>%)</w:t>
            </w:r>
          </w:p>
        </w:tc>
        <w:tc>
          <w:tcPr>
            <w:tcW w:w="993" w:type="dxa"/>
            <w:tcBorders>
              <w:left w:val="single" w:sz="12" w:space="0" w:color="auto"/>
              <w:right w:val="single" w:sz="12" w:space="0" w:color="auto"/>
            </w:tcBorders>
            <w:shd w:val="clear" w:color="auto" w:fill="F2F2F2" w:themeFill="background1" w:themeFillShade="F2"/>
            <w:tcMar>
              <w:left w:w="0" w:type="dxa"/>
              <w:right w:w="0" w:type="dxa"/>
            </w:tcMar>
            <w:vAlign w:val="center"/>
          </w:tcPr>
          <w:p w14:paraId="34C2E19D" w14:textId="13C81D06" w:rsidR="00ED1E3F" w:rsidRPr="00E43D18" w:rsidRDefault="00D52533" w:rsidP="00ED1E3F">
            <w:pPr>
              <w:keepNext/>
              <w:keepLines/>
              <w:spacing w:after="0" w:line="240" w:lineRule="auto"/>
              <w:jc w:val="center"/>
            </w:pPr>
            <w:r>
              <w:t>3</w:t>
            </w:r>
            <w:r w:rsidR="00CD7B11">
              <w:t>,</w:t>
            </w:r>
            <w:r>
              <w:t>811</w:t>
            </w:r>
            <w:r w:rsidR="008D1B77">
              <w:t xml:space="preserve"> </w:t>
            </w:r>
            <w:r w:rsidR="008D1B77" w:rsidRPr="004D3702">
              <w:t>(</w:t>
            </w:r>
            <w:r w:rsidR="00E12204" w:rsidRPr="004D3702">
              <w:t>67.6</w:t>
            </w:r>
            <w:r w:rsidR="008D1B77" w:rsidRPr="004D3702">
              <w:t>%)</w:t>
            </w:r>
          </w:p>
        </w:tc>
        <w:tc>
          <w:tcPr>
            <w:tcW w:w="567" w:type="dxa"/>
            <w:tcBorders>
              <w:left w:val="single" w:sz="12" w:space="0" w:color="auto"/>
              <w:right w:val="single" w:sz="12" w:space="0" w:color="auto"/>
            </w:tcBorders>
            <w:shd w:val="clear" w:color="auto" w:fill="F2F2F2" w:themeFill="background1" w:themeFillShade="F2"/>
            <w:tcMar>
              <w:left w:w="0" w:type="dxa"/>
              <w:right w:w="0" w:type="dxa"/>
            </w:tcMar>
            <w:vAlign w:val="center"/>
          </w:tcPr>
          <w:p w14:paraId="3356164F" w14:textId="72A54FEC" w:rsidR="00ED1E3F" w:rsidRPr="00E43D18" w:rsidRDefault="00D52533" w:rsidP="00ED1E3F">
            <w:pPr>
              <w:keepNext/>
              <w:keepLines/>
              <w:spacing w:after="0" w:line="240" w:lineRule="auto"/>
              <w:jc w:val="center"/>
            </w:pPr>
            <w:r>
              <w:t>5</w:t>
            </w:r>
            <w:r w:rsidR="00CD7B11">
              <w:t>,</w:t>
            </w:r>
            <w:r>
              <w:t>640</w:t>
            </w:r>
          </w:p>
        </w:tc>
      </w:tr>
      <w:tr w:rsidR="007B2116" w14:paraId="2894EC97" w14:textId="77777777" w:rsidTr="00861473">
        <w:tc>
          <w:tcPr>
            <w:tcW w:w="2350" w:type="dxa"/>
            <w:tcBorders>
              <w:left w:val="single" w:sz="12" w:space="0" w:color="auto"/>
              <w:right w:val="single" w:sz="12" w:space="0" w:color="auto"/>
            </w:tcBorders>
            <w:vAlign w:val="center"/>
          </w:tcPr>
          <w:p w14:paraId="70B72C7E" w14:textId="2D02F45F" w:rsidR="00ED1E3F" w:rsidRDefault="00ED1E3F" w:rsidP="00ED1E3F">
            <w:pPr>
              <w:keepNext/>
              <w:keepLines/>
              <w:spacing w:before="120" w:after="120" w:line="480" w:lineRule="auto"/>
              <w:contextualSpacing/>
              <w:jc w:val="center"/>
            </w:pPr>
            <w:r>
              <w:rPr>
                <w:rFonts w:cs="Arial"/>
              </w:rPr>
              <w:t>1452</w:t>
            </w:r>
            <w:r w:rsidRPr="00E05F0A">
              <w:rPr>
                <w:rFonts w:cs="Arial"/>
              </w:rPr>
              <w:t>–</w:t>
            </w:r>
            <w:r>
              <w:rPr>
                <w:rFonts w:cs="Arial"/>
              </w:rPr>
              <w:t>1492</w:t>
            </w:r>
            <w:r w:rsidRPr="00E05F0A">
              <w:rPr>
                <w:rFonts w:cs="Arial"/>
              </w:rPr>
              <w:t> MHz</w:t>
            </w:r>
          </w:p>
        </w:tc>
        <w:tc>
          <w:tcPr>
            <w:tcW w:w="408" w:type="dxa"/>
            <w:tcBorders>
              <w:left w:val="single" w:sz="12" w:space="0" w:color="auto"/>
            </w:tcBorders>
            <w:tcMar>
              <w:left w:w="0" w:type="dxa"/>
              <w:right w:w="0" w:type="dxa"/>
            </w:tcMar>
            <w:vAlign w:val="center"/>
          </w:tcPr>
          <w:p w14:paraId="3E32DA4E" w14:textId="6B433808" w:rsidR="00ED1E3F" w:rsidRPr="00E43D18" w:rsidRDefault="00D52533" w:rsidP="00ED1E3F">
            <w:pPr>
              <w:keepNext/>
              <w:keepLines/>
              <w:spacing w:after="0" w:line="240" w:lineRule="auto"/>
              <w:jc w:val="center"/>
            </w:pPr>
            <w:r>
              <w:t>0</w:t>
            </w:r>
          </w:p>
        </w:tc>
        <w:tc>
          <w:tcPr>
            <w:tcW w:w="425" w:type="dxa"/>
            <w:tcMar>
              <w:left w:w="0" w:type="dxa"/>
              <w:right w:w="0" w:type="dxa"/>
            </w:tcMar>
            <w:vAlign w:val="center"/>
          </w:tcPr>
          <w:p w14:paraId="3FEDB7FB" w14:textId="6DF7D4D8" w:rsidR="00ED1E3F" w:rsidRPr="00E43D18" w:rsidRDefault="00D52533" w:rsidP="00ED1E3F">
            <w:pPr>
              <w:keepNext/>
              <w:keepLines/>
              <w:spacing w:after="0" w:line="240" w:lineRule="auto"/>
              <w:jc w:val="center"/>
            </w:pPr>
            <w:r>
              <w:t>21</w:t>
            </w:r>
          </w:p>
        </w:tc>
        <w:tc>
          <w:tcPr>
            <w:tcW w:w="425" w:type="dxa"/>
            <w:tcMar>
              <w:left w:w="0" w:type="dxa"/>
              <w:right w:w="0" w:type="dxa"/>
            </w:tcMar>
            <w:vAlign w:val="center"/>
          </w:tcPr>
          <w:p w14:paraId="1DB7E344" w14:textId="68173285" w:rsidR="00ED1E3F" w:rsidRPr="00E43D18" w:rsidRDefault="00D52533" w:rsidP="00ED1E3F">
            <w:pPr>
              <w:keepNext/>
              <w:keepLines/>
              <w:spacing w:after="0" w:line="240" w:lineRule="auto"/>
              <w:jc w:val="center"/>
            </w:pPr>
            <w:r>
              <w:t>4</w:t>
            </w:r>
          </w:p>
        </w:tc>
        <w:tc>
          <w:tcPr>
            <w:tcW w:w="425" w:type="dxa"/>
            <w:tcMar>
              <w:left w:w="0" w:type="dxa"/>
              <w:right w:w="0" w:type="dxa"/>
            </w:tcMar>
            <w:vAlign w:val="center"/>
          </w:tcPr>
          <w:p w14:paraId="32965B54" w14:textId="72469594" w:rsidR="00ED1E3F" w:rsidRPr="00E43D18" w:rsidRDefault="00D52533" w:rsidP="00ED1E3F">
            <w:pPr>
              <w:keepNext/>
              <w:keepLines/>
              <w:spacing w:after="0" w:line="240" w:lineRule="auto"/>
              <w:jc w:val="center"/>
            </w:pPr>
            <w:r>
              <w:t>3</w:t>
            </w:r>
          </w:p>
        </w:tc>
        <w:tc>
          <w:tcPr>
            <w:tcW w:w="440" w:type="dxa"/>
            <w:tcMar>
              <w:left w:w="0" w:type="dxa"/>
              <w:right w:w="0" w:type="dxa"/>
            </w:tcMar>
            <w:vAlign w:val="center"/>
          </w:tcPr>
          <w:p w14:paraId="4D3A8520" w14:textId="100B2907" w:rsidR="00ED1E3F" w:rsidRPr="00E43D18" w:rsidRDefault="00D52533" w:rsidP="00ED1E3F">
            <w:pPr>
              <w:keepNext/>
              <w:keepLines/>
              <w:spacing w:after="0" w:line="240" w:lineRule="auto"/>
              <w:jc w:val="center"/>
            </w:pPr>
            <w:r>
              <w:t>0</w:t>
            </w:r>
          </w:p>
        </w:tc>
        <w:tc>
          <w:tcPr>
            <w:tcW w:w="461" w:type="dxa"/>
            <w:tcMar>
              <w:left w:w="0" w:type="dxa"/>
              <w:right w:w="0" w:type="dxa"/>
            </w:tcMar>
            <w:vAlign w:val="center"/>
          </w:tcPr>
          <w:p w14:paraId="5911EDC5" w14:textId="2F2008F6" w:rsidR="00ED1E3F" w:rsidRPr="00E43D18" w:rsidRDefault="00D52533" w:rsidP="00ED1E3F">
            <w:pPr>
              <w:keepNext/>
              <w:keepLines/>
              <w:spacing w:after="0" w:line="240" w:lineRule="auto"/>
              <w:jc w:val="center"/>
            </w:pPr>
            <w:r>
              <w:t>9</w:t>
            </w:r>
          </w:p>
        </w:tc>
        <w:tc>
          <w:tcPr>
            <w:tcW w:w="447" w:type="dxa"/>
            <w:tcMar>
              <w:left w:w="0" w:type="dxa"/>
              <w:right w:w="0" w:type="dxa"/>
            </w:tcMar>
            <w:vAlign w:val="center"/>
          </w:tcPr>
          <w:p w14:paraId="1FDB93E8" w14:textId="63784877" w:rsidR="00ED1E3F" w:rsidRPr="00E43D18" w:rsidRDefault="00D52533" w:rsidP="00ED1E3F">
            <w:pPr>
              <w:keepNext/>
              <w:keepLines/>
              <w:spacing w:after="0" w:line="240" w:lineRule="auto"/>
              <w:jc w:val="center"/>
            </w:pPr>
            <w:r>
              <w:t>15</w:t>
            </w:r>
          </w:p>
        </w:tc>
        <w:tc>
          <w:tcPr>
            <w:tcW w:w="495" w:type="dxa"/>
            <w:tcBorders>
              <w:right w:val="single" w:sz="12" w:space="0" w:color="auto"/>
            </w:tcBorders>
            <w:tcMar>
              <w:left w:w="0" w:type="dxa"/>
              <w:right w:w="0" w:type="dxa"/>
            </w:tcMar>
            <w:vAlign w:val="center"/>
          </w:tcPr>
          <w:p w14:paraId="45C5EFFE" w14:textId="6AC2A377" w:rsidR="00ED1E3F" w:rsidRPr="00E43D18" w:rsidRDefault="00D52533" w:rsidP="00ED1E3F">
            <w:pPr>
              <w:keepNext/>
              <w:keepLines/>
              <w:spacing w:after="0" w:line="240" w:lineRule="auto"/>
              <w:jc w:val="center"/>
            </w:pPr>
            <w:r>
              <w:t>16</w:t>
            </w:r>
          </w:p>
        </w:tc>
        <w:tc>
          <w:tcPr>
            <w:tcW w:w="751" w:type="dxa"/>
            <w:tcBorders>
              <w:right w:val="single" w:sz="12" w:space="0" w:color="auto"/>
            </w:tcBorders>
            <w:tcMar>
              <w:left w:w="0" w:type="dxa"/>
              <w:right w:w="0" w:type="dxa"/>
            </w:tcMar>
            <w:vAlign w:val="center"/>
          </w:tcPr>
          <w:p w14:paraId="67EFD14D" w14:textId="382ABB5A" w:rsidR="008D1B77" w:rsidRPr="004D3702" w:rsidRDefault="00FD58EE" w:rsidP="003A5EE1">
            <w:pPr>
              <w:keepNext/>
              <w:keepLines/>
              <w:spacing w:after="0" w:line="240" w:lineRule="auto"/>
              <w:jc w:val="center"/>
            </w:pPr>
            <w:r w:rsidRPr="004D3702">
              <w:t>68</w:t>
            </w:r>
            <w:r w:rsidR="00E12204" w:rsidRPr="004D3702">
              <w:t xml:space="preserve"> (6.6</w:t>
            </w:r>
            <w:r w:rsidR="008D1B77" w:rsidRPr="004D3702">
              <w:t>%)</w:t>
            </w:r>
          </w:p>
        </w:tc>
        <w:tc>
          <w:tcPr>
            <w:tcW w:w="510" w:type="dxa"/>
            <w:tcBorders>
              <w:left w:val="single" w:sz="12" w:space="0" w:color="auto"/>
            </w:tcBorders>
            <w:tcMar>
              <w:left w:w="0" w:type="dxa"/>
              <w:right w:w="0" w:type="dxa"/>
            </w:tcMar>
            <w:vAlign w:val="center"/>
          </w:tcPr>
          <w:p w14:paraId="5594AC67" w14:textId="7ABC52F7" w:rsidR="00ED1E3F" w:rsidRPr="00E43D18" w:rsidRDefault="00D52533" w:rsidP="00ED1E3F">
            <w:pPr>
              <w:keepNext/>
              <w:keepLines/>
              <w:spacing w:after="0" w:line="240" w:lineRule="auto"/>
              <w:jc w:val="center"/>
            </w:pPr>
            <w:r>
              <w:t>21</w:t>
            </w:r>
          </w:p>
        </w:tc>
        <w:tc>
          <w:tcPr>
            <w:tcW w:w="567" w:type="dxa"/>
            <w:tcBorders>
              <w:right w:val="single" w:sz="12" w:space="0" w:color="auto"/>
            </w:tcBorders>
            <w:tcMar>
              <w:left w:w="0" w:type="dxa"/>
              <w:right w:w="0" w:type="dxa"/>
            </w:tcMar>
            <w:vAlign w:val="center"/>
          </w:tcPr>
          <w:p w14:paraId="43A6D00C" w14:textId="13D9F80F" w:rsidR="00ED1E3F" w:rsidRPr="00E43D18" w:rsidRDefault="00D52533" w:rsidP="00ED1E3F">
            <w:pPr>
              <w:keepNext/>
              <w:keepLines/>
              <w:spacing w:after="0" w:line="240" w:lineRule="auto"/>
              <w:jc w:val="center"/>
            </w:pPr>
            <w:r>
              <w:t>178</w:t>
            </w:r>
          </w:p>
        </w:tc>
        <w:tc>
          <w:tcPr>
            <w:tcW w:w="835" w:type="dxa"/>
            <w:tcBorders>
              <w:right w:val="single" w:sz="12" w:space="0" w:color="auto"/>
            </w:tcBorders>
            <w:tcMar>
              <w:left w:w="0" w:type="dxa"/>
              <w:right w:w="0" w:type="dxa"/>
            </w:tcMar>
            <w:vAlign w:val="center"/>
          </w:tcPr>
          <w:p w14:paraId="5DF01A5D" w14:textId="374C74D6" w:rsidR="008D1B77" w:rsidRPr="004D3702" w:rsidRDefault="00FD58EE" w:rsidP="008D1B77">
            <w:pPr>
              <w:keepNext/>
              <w:keepLines/>
              <w:spacing w:after="0" w:line="240" w:lineRule="auto"/>
              <w:jc w:val="center"/>
            </w:pPr>
            <w:r w:rsidRPr="004D3702">
              <w:t>199</w:t>
            </w:r>
            <w:r w:rsidR="00E12204" w:rsidRPr="004D3702">
              <w:t xml:space="preserve"> (19.4</w:t>
            </w:r>
            <w:r w:rsidR="008D1B77" w:rsidRPr="004D3702">
              <w:t>%)</w:t>
            </w:r>
          </w:p>
        </w:tc>
        <w:tc>
          <w:tcPr>
            <w:tcW w:w="993" w:type="dxa"/>
            <w:tcBorders>
              <w:left w:val="single" w:sz="12" w:space="0" w:color="auto"/>
              <w:right w:val="single" w:sz="12" w:space="0" w:color="auto"/>
            </w:tcBorders>
            <w:tcMar>
              <w:left w:w="0" w:type="dxa"/>
              <w:right w:w="0" w:type="dxa"/>
            </w:tcMar>
            <w:vAlign w:val="center"/>
          </w:tcPr>
          <w:p w14:paraId="71883406" w14:textId="66E57734" w:rsidR="00ED1E3F" w:rsidRPr="00E43D18" w:rsidRDefault="00AB5A14" w:rsidP="00ED1E3F">
            <w:pPr>
              <w:keepNext/>
              <w:keepLines/>
              <w:spacing w:after="0" w:line="240" w:lineRule="auto"/>
              <w:jc w:val="center"/>
            </w:pPr>
            <w:r>
              <w:t>761</w:t>
            </w:r>
            <w:r w:rsidR="008D1B77">
              <w:rPr>
                <w:highlight w:val="yellow"/>
              </w:rPr>
              <w:t xml:space="preserve"> </w:t>
            </w:r>
            <w:r w:rsidR="008D1B77" w:rsidRPr="004D3702">
              <w:t>(</w:t>
            </w:r>
            <w:r w:rsidR="00E12204" w:rsidRPr="004D3702">
              <w:t>74.0</w:t>
            </w:r>
            <w:r w:rsidR="008D1B77" w:rsidRPr="004D3702">
              <w:t>%)</w:t>
            </w:r>
          </w:p>
        </w:tc>
        <w:tc>
          <w:tcPr>
            <w:tcW w:w="567" w:type="dxa"/>
            <w:tcBorders>
              <w:left w:val="single" w:sz="12" w:space="0" w:color="auto"/>
              <w:right w:val="single" w:sz="12" w:space="0" w:color="auto"/>
            </w:tcBorders>
            <w:tcMar>
              <w:left w:w="0" w:type="dxa"/>
              <w:right w:w="0" w:type="dxa"/>
            </w:tcMar>
            <w:vAlign w:val="center"/>
          </w:tcPr>
          <w:p w14:paraId="1140B7F4" w14:textId="70F202B4" w:rsidR="00ED1E3F" w:rsidRPr="00E43D18" w:rsidRDefault="00D52533" w:rsidP="00ED1E3F">
            <w:pPr>
              <w:keepNext/>
              <w:keepLines/>
              <w:spacing w:after="0" w:line="240" w:lineRule="auto"/>
              <w:jc w:val="center"/>
            </w:pPr>
            <w:r>
              <w:t>1</w:t>
            </w:r>
            <w:r w:rsidR="00CD7B11">
              <w:t>,</w:t>
            </w:r>
            <w:r>
              <w:t>028</w:t>
            </w:r>
          </w:p>
        </w:tc>
      </w:tr>
      <w:tr w:rsidR="007B2116" w14:paraId="462DDA4E" w14:textId="77777777" w:rsidTr="001F57E3">
        <w:tc>
          <w:tcPr>
            <w:tcW w:w="2350" w:type="dxa"/>
            <w:tcBorders>
              <w:left w:val="single" w:sz="12" w:space="0" w:color="auto"/>
              <w:right w:val="single" w:sz="12" w:space="0" w:color="auto"/>
            </w:tcBorders>
            <w:shd w:val="clear" w:color="auto" w:fill="F2F2F2" w:themeFill="background1" w:themeFillShade="F2"/>
            <w:vAlign w:val="center"/>
          </w:tcPr>
          <w:p w14:paraId="5D71B025" w14:textId="6565A0B9" w:rsidR="008D1B77" w:rsidRDefault="008D1B77" w:rsidP="003A5EE1">
            <w:pPr>
              <w:keepNext/>
              <w:keepLines/>
              <w:spacing w:before="120" w:after="120" w:line="480" w:lineRule="auto"/>
              <w:contextualSpacing/>
              <w:jc w:val="center"/>
            </w:pPr>
            <w:r>
              <w:t xml:space="preserve">3GPP </w:t>
            </w:r>
            <w:r w:rsidR="00CD7B11">
              <w:t>b</w:t>
            </w:r>
            <w:r>
              <w:t>and 45</w:t>
            </w:r>
          </w:p>
          <w:p w14:paraId="3631D0E4" w14:textId="065CD8EF" w:rsidR="008D1B77" w:rsidRDefault="008D1B77" w:rsidP="003A5EE1">
            <w:pPr>
              <w:keepNext/>
              <w:keepLines/>
              <w:spacing w:before="120" w:after="120" w:line="480" w:lineRule="auto"/>
              <w:contextualSpacing/>
              <w:jc w:val="center"/>
              <w:rPr>
                <w:rFonts w:cs="Arial"/>
              </w:rPr>
            </w:pPr>
            <w:r w:rsidRPr="00E05F0A">
              <w:rPr>
                <w:rFonts w:cs="Arial"/>
              </w:rPr>
              <w:t>1447</w:t>
            </w:r>
            <w:r w:rsidR="00CD7B11">
              <w:rPr>
                <w:rFonts w:cs="Arial"/>
              </w:rPr>
              <w:t>–</w:t>
            </w:r>
            <w:r w:rsidRPr="00E05F0A">
              <w:rPr>
                <w:rFonts w:cs="Arial"/>
              </w:rPr>
              <w:t>146</w:t>
            </w:r>
            <w:r>
              <w:rPr>
                <w:rFonts w:cs="Arial"/>
              </w:rPr>
              <w:t>7</w:t>
            </w:r>
            <w:r w:rsidRPr="00E05F0A">
              <w:rPr>
                <w:rFonts w:cs="Arial"/>
              </w:rPr>
              <w:t> MHz</w:t>
            </w:r>
          </w:p>
        </w:tc>
        <w:tc>
          <w:tcPr>
            <w:tcW w:w="408" w:type="dxa"/>
            <w:tcBorders>
              <w:left w:val="single" w:sz="12" w:space="0" w:color="auto"/>
            </w:tcBorders>
            <w:shd w:val="clear" w:color="auto" w:fill="F2F2F2" w:themeFill="background1" w:themeFillShade="F2"/>
            <w:tcMar>
              <w:left w:w="0" w:type="dxa"/>
              <w:right w:w="0" w:type="dxa"/>
            </w:tcMar>
            <w:vAlign w:val="center"/>
          </w:tcPr>
          <w:p w14:paraId="302786BB" w14:textId="1721AA8C" w:rsidR="008D1B77" w:rsidRPr="004D3702" w:rsidRDefault="009014A2" w:rsidP="003A5EE1">
            <w:pPr>
              <w:keepNext/>
              <w:keepLines/>
              <w:spacing w:after="0" w:line="240" w:lineRule="auto"/>
              <w:jc w:val="center"/>
            </w:pPr>
            <w:r w:rsidRPr="004D3702">
              <w:t>1</w:t>
            </w:r>
          </w:p>
        </w:tc>
        <w:tc>
          <w:tcPr>
            <w:tcW w:w="425" w:type="dxa"/>
            <w:shd w:val="clear" w:color="auto" w:fill="F2F2F2" w:themeFill="background1" w:themeFillShade="F2"/>
            <w:tcMar>
              <w:left w:w="0" w:type="dxa"/>
              <w:right w:w="0" w:type="dxa"/>
            </w:tcMar>
            <w:vAlign w:val="center"/>
          </w:tcPr>
          <w:p w14:paraId="77688DD8" w14:textId="27EA24E7" w:rsidR="008D1B77" w:rsidRPr="004D3702" w:rsidRDefault="009014A2" w:rsidP="003A5EE1">
            <w:pPr>
              <w:keepNext/>
              <w:keepLines/>
              <w:spacing w:after="0" w:line="240" w:lineRule="auto"/>
              <w:jc w:val="center"/>
            </w:pPr>
            <w:r w:rsidRPr="004D3702">
              <w:t>20</w:t>
            </w:r>
          </w:p>
        </w:tc>
        <w:tc>
          <w:tcPr>
            <w:tcW w:w="425" w:type="dxa"/>
            <w:shd w:val="clear" w:color="auto" w:fill="F2F2F2" w:themeFill="background1" w:themeFillShade="F2"/>
            <w:tcMar>
              <w:left w:w="0" w:type="dxa"/>
              <w:right w:w="0" w:type="dxa"/>
            </w:tcMar>
            <w:vAlign w:val="center"/>
          </w:tcPr>
          <w:p w14:paraId="0116967A" w14:textId="5C96896F" w:rsidR="008D1B77" w:rsidRPr="004D3702" w:rsidRDefault="009014A2" w:rsidP="003A5EE1">
            <w:pPr>
              <w:keepNext/>
              <w:keepLines/>
              <w:spacing w:after="0" w:line="240" w:lineRule="auto"/>
              <w:jc w:val="center"/>
            </w:pPr>
            <w:r w:rsidRPr="004D3702">
              <w:t>5</w:t>
            </w:r>
          </w:p>
        </w:tc>
        <w:tc>
          <w:tcPr>
            <w:tcW w:w="425" w:type="dxa"/>
            <w:shd w:val="clear" w:color="auto" w:fill="F2F2F2" w:themeFill="background1" w:themeFillShade="F2"/>
            <w:tcMar>
              <w:left w:w="0" w:type="dxa"/>
              <w:right w:w="0" w:type="dxa"/>
            </w:tcMar>
            <w:vAlign w:val="center"/>
          </w:tcPr>
          <w:p w14:paraId="5A97754D" w14:textId="24F5D01B" w:rsidR="008D1B77" w:rsidRPr="004D3702" w:rsidRDefault="009014A2" w:rsidP="003A5EE1">
            <w:pPr>
              <w:keepNext/>
              <w:keepLines/>
              <w:spacing w:after="0" w:line="240" w:lineRule="auto"/>
              <w:jc w:val="center"/>
            </w:pPr>
            <w:r w:rsidRPr="004D3702">
              <w:t>3</w:t>
            </w:r>
          </w:p>
        </w:tc>
        <w:tc>
          <w:tcPr>
            <w:tcW w:w="440" w:type="dxa"/>
            <w:shd w:val="clear" w:color="auto" w:fill="F2F2F2" w:themeFill="background1" w:themeFillShade="F2"/>
            <w:tcMar>
              <w:left w:w="0" w:type="dxa"/>
              <w:right w:w="0" w:type="dxa"/>
            </w:tcMar>
            <w:vAlign w:val="center"/>
          </w:tcPr>
          <w:p w14:paraId="7F7BE08A" w14:textId="4FD685B3" w:rsidR="008D1B77" w:rsidRPr="004D3702" w:rsidRDefault="009014A2" w:rsidP="003A5EE1">
            <w:pPr>
              <w:keepNext/>
              <w:keepLines/>
              <w:spacing w:after="0" w:line="240" w:lineRule="auto"/>
              <w:jc w:val="center"/>
            </w:pPr>
            <w:r w:rsidRPr="004D3702">
              <w:t>1</w:t>
            </w:r>
          </w:p>
        </w:tc>
        <w:tc>
          <w:tcPr>
            <w:tcW w:w="461" w:type="dxa"/>
            <w:shd w:val="clear" w:color="auto" w:fill="F2F2F2" w:themeFill="background1" w:themeFillShade="F2"/>
            <w:tcMar>
              <w:left w:w="0" w:type="dxa"/>
              <w:right w:w="0" w:type="dxa"/>
            </w:tcMar>
            <w:vAlign w:val="center"/>
          </w:tcPr>
          <w:p w14:paraId="4E620412" w14:textId="021FE9B1" w:rsidR="008D1B77" w:rsidRPr="004D3702" w:rsidRDefault="009014A2" w:rsidP="003A5EE1">
            <w:pPr>
              <w:keepNext/>
              <w:keepLines/>
              <w:spacing w:after="0" w:line="240" w:lineRule="auto"/>
              <w:jc w:val="center"/>
            </w:pPr>
            <w:r w:rsidRPr="004D3702">
              <w:t>11</w:t>
            </w:r>
          </w:p>
        </w:tc>
        <w:tc>
          <w:tcPr>
            <w:tcW w:w="447" w:type="dxa"/>
            <w:shd w:val="clear" w:color="auto" w:fill="F2F2F2" w:themeFill="background1" w:themeFillShade="F2"/>
            <w:tcMar>
              <w:left w:w="0" w:type="dxa"/>
              <w:right w:w="0" w:type="dxa"/>
            </w:tcMar>
            <w:vAlign w:val="center"/>
          </w:tcPr>
          <w:p w14:paraId="2142FCC9" w14:textId="079DDF81" w:rsidR="008D1B77" w:rsidRPr="004D3702" w:rsidRDefault="009014A2" w:rsidP="003A5EE1">
            <w:pPr>
              <w:keepNext/>
              <w:keepLines/>
              <w:spacing w:after="0" w:line="240" w:lineRule="auto"/>
              <w:jc w:val="center"/>
            </w:pPr>
            <w:r w:rsidRPr="004D3702">
              <w:t>9</w:t>
            </w:r>
          </w:p>
        </w:tc>
        <w:tc>
          <w:tcPr>
            <w:tcW w:w="495" w:type="dxa"/>
            <w:tcBorders>
              <w:right w:val="single" w:sz="12" w:space="0" w:color="auto"/>
            </w:tcBorders>
            <w:shd w:val="clear" w:color="auto" w:fill="F2F2F2" w:themeFill="background1" w:themeFillShade="F2"/>
            <w:tcMar>
              <w:left w:w="0" w:type="dxa"/>
              <w:right w:w="0" w:type="dxa"/>
            </w:tcMar>
            <w:vAlign w:val="center"/>
          </w:tcPr>
          <w:p w14:paraId="21E8611F" w14:textId="58799BFC" w:rsidR="008D1B77" w:rsidRPr="004D3702" w:rsidRDefault="009014A2" w:rsidP="003A5EE1">
            <w:pPr>
              <w:keepNext/>
              <w:keepLines/>
              <w:spacing w:after="0" w:line="240" w:lineRule="auto"/>
              <w:jc w:val="center"/>
            </w:pPr>
            <w:r w:rsidRPr="004D3702">
              <w:t>22</w:t>
            </w:r>
          </w:p>
        </w:tc>
        <w:tc>
          <w:tcPr>
            <w:tcW w:w="751" w:type="dxa"/>
            <w:tcBorders>
              <w:right w:val="single" w:sz="12" w:space="0" w:color="auto"/>
            </w:tcBorders>
            <w:shd w:val="clear" w:color="auto" w:fill="F2F2F2" w:themeFill="background1" w:themeFillShade="F2"/>
            <w:tcMar>
              <w:left w:w="0" w:type="dxa"/>
              <w:right w:w="0" w:type="dxa"/>
            </w:tcMar>
            <w:vAlign w:val="center"/>
          </w:tcPr>
          <w:p w14:paraId="7E933BD9" w14:textId="74F4FDBC" w:rsidR="008D1B77" w:rsidRPr="004D3702" w:rsidRDefault="009014A2" w:rsidP="003A5EE1">
            <w:pPr>
              <w:keepNext/>
              <w:keepLines/>
              <w:spacing w:after="0" w:line="240" w:lineRule="auto"/>
              <w:jc w:val="center"/>
            </w:pPr>
            <w:r w:rsidRPr="004D3702">
              <w:t>72 (5.4</w:t>
            </w:r>
            <w:r w:rsidR="008D1B77" w:rsidRPr="004D3702">
              <w:t>%)</w:t>
            </w:r>
          </w:p>
        </w:tc>
        <w:tc>
          <w:tcPr>
            <w:tcW w:w="510" w:type="dxa"/>
            <w:tcBorders>
              <w:left w:val="single" w:sz="12" w:space="0" w:color="auto"/>
            </w:tcBorders>
            <w:shd w:val="clear" w:color="auto" w:fill="F2F2F2" w:themeFill="background1" w:themeFillShade="F2"/>
            <w:tcMar>
              <w:left w:w="0" w:type="dxa"/>
              <w:right w:w="0" w:type="dxa"/>
            </w:tcMar>
            <w:vAlign w:val="center"/>
          </w:tcPr>
          <w:p w14:paraId="6AE29B48" w14:textId="575A848C" w:rsidR="008D1B77" w:rsidRDefault="009014A2" w:rsidP="003A5EE1">
            <w:pPr>
              <w:keepNext/>
              <w:keepLines/>
              <w:spacing w:after="0" w:line="240" w:lineRule="auto"/>
              <w:jc w:val="center"/>
            </w:pPr>
            <w:r>
              <w:t>282</w:t>
            </w:r>
          </w:p>
        </w:tc>
        <w:tc>
          <w:tcPr>
            <w:tcW w:w="567" w:type="dxa"/>
            <w:tcBorders>
              <w:right w:val="single" w:sz="12" w:space="0" w:color="auto"/>
            </w:tcBorders>
            <w:shd w:val="clear" w:color="auto" w:fill="F2F2F2" w:themeFill="background1" w:themeFillShade="F2"/>
            <w:tcMar>
              <w:left w:w="0" w:type="dxa"/>
              <w:right w:w="0" w:type="dxa"/>
            </w:tcMar>
            <w:vAlign w:val="center"/>
          </w:tcPr>
          <w:p w14:paraId="126BFBC4" w14:textId="4F006EFC" w:rsidR="008D1B77" w:rsidRDefault="009014A2" w:rsidP="003A5EE1">
            <w:pPr>
              <w:keepNext/>
              <w:keepLines/>
              <w:spacing w:after="0" w:line="240" w:lineRule="auto"/>
              <w:jc w:val="center"/>
            </w:pPr>
            <w:r>
              <w:t>36</w:t>
            </w:r>
          </w:p>
        </w:tc>
        <w:tc>
          <w:tcPr>
            <w:tcW w:w="835" w:type="dxa"/>
            <w:tcBorders>
              <w:right w:val="single" w:sz="12" w:space="0" w:color="auto"/>
            </w:tcBorders>
            <w:shd w:val="clear" w:color="auto" w:fill="F2F2F2" w:themeFill="background1" w:themeFillShade="F2"/>
            <w:tcMar>
              <w:left w:w="0" w:type="dxa"/>
              <w:right w:w="0" w:type="dxa"/>
            </w:tcMar>
            <w:vAlign w:val="center"/>
          </w:tcPr>
          <w:p w14:paraId="1E218305" w14:textId="046DC348" w:rsidR="008D1B77" w:rsidRDefault="009014A2" w:rsidP="008D1B77">
            <w:pPr>
              <w:keepNext/>
              <w:keepLines/>
              <w:spacing w:after="0" w:line="240" w:lineRule="auto"/>
              <w:jc w:val="center"/>
            </w:pPr>
            <w:r w:rsidRPr="004D3702">
              <w:t>318 (24.2</w:t>
            </w:r>
            <w:r w:rsidR="008D1B77" w:rsidRPr="004D3702">
              <w:t>%)</w:t>
            </w:r>
          </w:p>
        </w:tc>
        <w:tc>
          <w:tcPr>
            <w:tcW w:w="993" w:type="dxa"/>
            <w:tcBorders>
              <w:left w:val="single" w:sz="12" w:space="0" w:color="auto"/>
              <w:right w:val="single" w:sz="12" w:space="0" w:color="auto"/>
            </w:tcBorders>
            <w:shd w:val="clear" w:color="auto" w:fill="F2F2F2" w:themeFill="background1" w:themeFillShade="F2"/>
            <w:tcMar>
              <w:left w:w="0" w:type="dxa"/>
              <w:right w:w="0" w:type="dxa"/>
            </w:tcMar>
            <w:vAlign w:val="center"/>
          </w:tcPr>
          <w:p w14:paraId="53A6432D" w14:textId="5F0FF247" w:rsidR="008D1B77" w:rsidRDefault="009014A2" w:rsidP="003A5EE1">
            <w:pPr>
              <w:keepNext/>
              <w:keepLines/>
              <w:spacing w:after="0" w:line="240" w:lineRule="auto"/>
              <w:jc w:val="center"/>
            </w:pPr>
            <w:r>
              <w:t>925 (70.3%)</w:t>
            </w:r>
          </w:p>
        </w:tc>
        <w:tc>
          <w:tcPr>
            <w:tcW w:w="567" w:type="dxa"/>
            <w:tcBorders>
              <w:left w:val="single" w:sz="12" w:space="0" w:color="auto"/>
              <w:right w:val="single" w:sz="12" w:space="0" w:color="auto"/>
            </w:tcBorders>
            <w:shd w:val="clear" w:color="auto" w:fill="F2F2F2" w:themeFill="background1" w:themeFillShade="F2"/>
            <w:tcMar>
              <w:left w:w="0" w:type="dxa"/>
              <w:right w:w="0" w:type="dxa"/>
            </w:tcMar>
            <w:vAlign w:val="center"/>
          </w:tcPr>
          <w:p w14:paraId="2C6BFF4C" w14:textId="0F5EB2EC" w:rsidR="008D1B77" w:rsidRDefault="009014A2" w:rsidP="003A5EE1">
            <w:pPr>
              <w:keepNext/>
              <w:keepLines/>
              <w:spacing w:after="0" w:line="240" w:lineRule="auto"/>
              <w:jc w:val="center"/>
            </w:pPr>
            <w:r>
              <w:t>1</w:t>
            </w:r>
            <w:r w:rsidR="00CD7B11">
              <w:t>,</w:t>
            </w:r>
            <w:r>
              <w:t>315</w:t>
            </w:r>
          </w:p>
        </w:tc>
      </w:tr>
    </w:tbl>
    <w:p w14:paraId="64BB0F60" w14:textId="55FF1B55" w:rsidR="00EE0542" w:rsidRPr="006D6661" w:rsidRDefault="00EE0542" w:rsidP="001F57E3">
      <w:pPr>
        <w:spacing w:before="120" w:after="0"/>
        <w:ind w:left="284" w:firstLine="1"/>
        <w:rPr>
          <w:i/>
          <w:sz w:val="16"/>
          <w:szCs w:val="16"/>
        </w:rPr>
      </w:pPr>
      <w:r w:rsidRPr="001F57E3">
        <w:rPr>
          <w:i/>
          <w:sz w:val="16"/>
          <w:szCs w:val="16"/>
        </w:rPr>
        <w:t xml:space="preserve">* It should be noted that an FDD point-to-point link is considered to be </w:t>
      </w:r>
      <w:r w:rsidRPr="006D6661">
        <w:rPr>
          <w:b/>
          <w:i/>
          <w:sz w:val="16"/>
          <w:szCs w:val="16"/>
        </w:rPr>
        <w:t>two</w:t>
      </w:r>
      <w:r w:rsidRPr="006D6661">
        <w:rPr>
          <w:i/>
          <w:sz w:val="16"/>
          <w:szCs w:val="16"/>
        </w:rPr>
        <w:t xml:space="preserve"> services as it consists of two transmit frequencies.</w:t>
      </w:r>
    </w:p>
    <w:p w14:paraId="48156D31" w14:textId="5D144417" w:rsidR="00EE0542" w:rsidRDefault="00EE0542" w:rsidP="008A649D">
      <w:pPr>
        <w:pStyle w:val="ACMASpaceaftertable"/>
      </w:pPr>
    </w:p>
    <w:p w14:paraId="0D8311B2" w14:textId="63BBEFFA" w:rsidR="00EE0542" w:rsidRPr="00EE0542" w:rsidRDefault="00EE0542" w:rsidP="008A649D">
      <w:r>
        <w:t>Table A2 shows the number of point-to-point and point-to-multipoint fixed services in the 1427</w:t>
      </w:r>
      <w:r w:rsidR="00CD7B11">
        <w:t>–</w:t>
      </w:r>
      <w:r>
        <w:t>1518 MHz band</w:t>
      </w:r>
      <w:r w:rsidR="00CD7B11">
        <w:t>,</w:t>
      </w:r>
      <w:r>
        <w:t xml:space="preserve"> as well as various segments discussed in the section </w:t>
      </w:r>
      <w:r>
        <w:rPr>
          <w:i/>
        </w:rPr>
        <w:t>Potential spectrum options</w:t>
      </w:r>
      <w:r>
        <w:t>. It also shows that from an area perspective</w:t>
      </w:r>
      <w:r w:rsidR="00CD7B11">
        <w:t>,</w:t>
      </w:r>
      <w:r>
        <w:t xml:space="preserve"> the majority of services are found in regional and remote Australia</w:t>
      </w:r>
      <w:r w:rsidR="00CD7B11">
        <w:t>,</w:t>
      </w:r>
      <w:r>
        <w:t xml:space="preserve"> with </w:t>
      </w:r>
      <w:r w:rsidRPr="006D4F3F">
        <w:t>only 5.1</w:t>
      </w:r>
      <w:r w:rsidR="00CD7B11">
        <w:t xml:space="preserve"> per cent</w:t>
      </w:r>
      <w:r w:rsidRPr="006D4F3F">
        <w:t xml:space="preserve"> of services</w:t>
      </w:r>
      <w:r>
        <w:t xml:space="preserve"> located within metropolitan areas. </w:t>
      </w:r>
    </w:p>
    <w:p w14:paraId="08883C13" w14:textId="14C153A7" w:rsidR="00F72546" w:rsidRDefault="00F72546" w:rsidP="00FD5442">
      <w:r>
        <w:t>To show the distribution of licences across the 1.5 GHz band, an analysis was conducted to determine the number of licences in each 5 MHz segment of the band. The results are shown in Table A</w:t>
      </w:r>
      <w:r w:rsidR="008D1B77">
        <w:t>3</w:t>
      </w:r>
      <w:r>
        <w:t xml:space="preserve">. </w:t>
      </w:r>
    </w:p>
    <w:p w14:paraId="79A46B71" w14:textId="5534A636" w:rsidR="00F72546" w:rsidRPr="00ED1E3F" w:rsidRDefault="00F72546" w:rsidP="001F57E3">
      <w:pPr>
        <w:pStyle w:val="Caption"/>
        <w:keepNext/>
        <w:keepLines/>
        <w:numPr>
          <w:ilvl w:val="0"/>
          <w:numId w:val="0"/>
        </w:numPr>
        <w:tabs>
          <w:tab w:val="left" w:pos="1134"/>
        </w:tabs>
        <w:spacing w:after="160"/>
        <w:ind w:left="1134" w:hanging="1134"/>
      </w:pPr>
      <w:r>
        <w:t>Table A</w:t>
      </w:r>
      <w:r w:rsidR="008D1B77">
        <w:t>3</w:t>
      </w:r>
      <w:r>
        <w:t xml:space="preserve">: </w:t>
      </w:r>
      <w:r w:rsidR="00913F0E">
        <w:tab/>
      </w:r>
      <w:r>
        <w:t xml:space="preserve">Fixed services </w:t>
      </w:r>
      <w:r w:rsidR="00E41354">
        <w:t xml:space="preserve">in each 5 MHz segment of </w:t>
      </w:r>
      <w:r>
        <w:t xml:space="preserve">the 1.5 GHz band, as of </w:t>
      </w:r>
      <w:r w:rsidR="00913F0E">
        <w:t>1 </w:t>
      </w:r>
      <w:r w:rsidR="00E528E1">
        <w:t>September</w:t>
      </w:r>
      <w:r>
        <w:t xml:space="preserve"> 2016</w:t>
      </w:r>
    </w:p>
    <w:tbl>
      <w:tblPr>
        <w:tblStyle w:val="TableGrid"/>
        <w:tblW w:w="10192" w:type="dxa"/>
        <w:tblInd w:w="-381" w:type="dxa"/>
        <w:tblLayout w:type="fixed"/>
        <w:tblLook w:val="04A0" w:firstRow="1" w:lastRow="0" w:firstColumn="1" w:lastColumn="0" w:noHBand="0" w:noVBand="1"/>
        <w:tblCaption w:val="Fixed services in each 5 MHz segment of the 1.5 GHz band, as of 1 September 2016"/>
        <w:tblDescription w:val="Includes metroploitan and regional services."/>
      </w:tblPr>
      <w:tblGrid>
        <w:gridCol w:w="1764"/>
        <w:gridCol w:w="540"/>
        <w:gridCol w:w="551"/>
        <w:gridCol w:w="471"/>
        <w:gridCol w:w="522"/>
        <w:gridCol w:w="507"/>
        <w:gridCol w:w="440"/>
        <w:gridCol w:w="507"/>
        <w:gridCol w:w="552"/>
        <w:gridCol w:w="664"/>
        <w:gridCol w:w="552"/>
        <w:gridCol w:w="694"/>
        <w:gridCol w:w="693"/>
        <w:gridCol w:w="694"/>
        <w:gridCol w:w="1041"/>
      </w:tblGrid>
      <w:tr w:rsidR="0072192E" w14:paraId="6D5E9B74" w14:textId="77777777" w:rsidTr="000D4CEC">
        <w:trPr>
          <w:gridAfter w:val="1"/>
          <w:wAfter w:w="1041" w:type="dxa"/>
          <w:tblHeader/>
        </w:trPr>
        <w:tc>
          <w:tcPr>
            <w:tcW w:w="1764" w:type="dxa"/>
            <w:tcBorders>
              <w:top w:val="nil"/>
              <w:left w:val="nil"/>
              <w:bottom w:val="nil"/>
              <w:right w:val="single" w:sz="12" w:space="0" w:color="auto"/>
            </w:tcBorders>
            <w:tcMar>
              <w:top w:w="28" w:type="dxa"/>
              <w:left w:w="28" w:type="dxa"/>
              <w:bottom w:w="28" w:type="dxa"/>
              <w:right w:w="28" w:type="dxa"/>
            </w:tcMar>
          </w:tcPr>
          <w:p w14:paraId="33BAB767" w14:textId="77777777" w:rsidR="0072192E" w:rsidRDefault="0072192E" w:rsidP="00500519">
            <w:pPr>
              <w:keepNext/>
              <w:keepLines/>
              <w:spacing w:after="0" w:line="240" w:lineRule="auto"/>
            </w:pPr>
          </w:p>
        </w:tc>
        <w:tc>
          <w:tcPr>
            <w:tcW w:w="4754" w:type="dxa"/>
            <w:gridSpan w:val="9"/>
            <w:tcBorders>
              <w:top w:val="single" w:sz="12" w:space="0" w:color="auto"/>
              <w:left w:val="single" w:sz="12" w:space="0" w:color="auto"/>
              <w:bottom w:val="single" w:sz="12" w:space="0" w:color="auto"/>
              <w:right w:val="single" w:sz="12" w:space="0" w:color="auto"/>
            </w:tcBorders>
            <w:shd w:val="clear" w:color="auto" w:fill="404040" w:themeFill="text1" w:themeFillTint="BF"/>
            <w:tcMar>
              <w:top w:w="28" w:type="dxa"/>
              <w:left w:w="28" w:type="dxa"/>
              <w:bottom w:w="28" w:type="dxa"/>
              <w:right w:w="28" w:type="dxa"/>
            </w:tcMar>
            <w:vAlign w:val="center"/>
          </w:tcPr>
          <w:p w14:paraId="73890FDE" w14:textId="5FD93916" w:rsidR="0072192E" w:rsidRPr="006D6661" w:rsidRDefault="0072192E" w:rsidP="001F57E3">
            <w:pPr>
              <w:pStyle w:val="TableHeading"/>
              <w:rPr>
                <w:color w:val="FFFFFF" w:themeColor="background1"/>
              </w:rPr>
            </w:pPr>
            <w:r w:rsidRPr="006D6661">
              <w:rPr>
                <w:color w:val="FFFFFF" w:themeColor="background1"/>
              </w:rPr>
              <w:t>Metropolitan</w:t>
            </w:r>
          </w:p>
        </w:tc>
        <w:tc>
          <w:tcPr>
            <w:tcW w:w="1939" w:type="dxa"/>
            <w:gridSpan w:val="3"/>
            <w:tcBorders>
              <w:top w:val="single" w:sz="12" w:space="0" w:color="auto"/>
              <w:left w:val="single" w:sz="12" w:space="0" w:color="auto"/>
              <w:bottom w:val="single" w:sz="12" w:space="0" w:color="auto"/>
              <w:right w:val="single" w:sz="12" w:space="0" w:color="auto"/>
            </w:tcBorders>
            <w:shd w:val="clear" w:color="auto" w:fill="404040" w:themeFill="text1" w:themeFillTint="BF"/>
            <w:tcMar>
              <w:top w:w="28" w:type="dxa"/>
              <w:left w:w="28" w:type="dxa"/>
              <w:bottom w:w="28" w:type="dxa"/>
              <w:right w:w="28" w:type="dxa"/>
            </w:tcMar>
            <w:vAlign w:val="center"/>
          </w:tcPr>
          <w:p w14:paraId="612E761F" w14:textId="2B6FE82C" w:rsidR="0072192E" w:rsidRPr="006D6661" w:rsidRDefault="0072192E" w:rsidP="001F57E3">
            <w:pPr>
              <w:pStyle w:val="TableHeading"/>
              <w:rPr>
                <w:color w:val="FFFFFF" w:themeColor="background1"/>
              </w:rPr>
            </w:pPr>
            <w:r w:rsidRPr="006D6661">
              <w:rPr>
                <w:color w:val="FFFFFF" w:themeColor="background1"/>
              </w:rPr>
              <w:t>Regional</w:t>
            </w:r>
          </w:p>
        </w:tc>
        <w:tc>
          <w:tcPr>
            <w:tcW w:w="694" w:type="dxa"/>
            <w:vMerge w:val="restart"/>
            <w:tcBorders>
              <w:top w:val="single" w:sz="12" w:space="0" w:color="auto"/>
              <w:left w:val="single" w:sz="12" w:space="0" w:color="auto"/>
              <w:right w:val="single" w:sz="12" w:space="0" w:color="auto"/>
            </w:tcBorders>
            <w:tcMar>
              <w:top w:w="28" w:type="dxa"/>
              <w:left w:w="28" w:type="dxa"/>
              <w:bottom w:w="28" w:type="dxa"/>
              <w:right w:w="28" w:type="dxa"/>
            </w:tcMar>
            <w:textDirection w:val="btLr"/>
            <w:vAlign w:val="center"/>
          </w:tcPr>
          <w:p w14:paraId="442A50CF" w14:textId="7A0C9E8A" w:rsidR="0072192E" w:rsidRPr="0072192E" w:rsidRDefault="0072192E" w:rsidP="0072192E">
            <w:pPr>
              <w:keepNext/>
              <w:keepLines/>
              <w:spacing w:after="0" w:line="240" w:lineRule="auto"/>
              <w:ind w:left="113" w:right="113"/>
              <w:jc w:val="center"/>
              <w:rPr>
                <w:i/>
              </w:rPr>
            </w:pPr>
            <w:r w:rsidRPr="0072192E">
              <w:rPr>
                <w:i/>
              </w:rPr>
              <w:t>Remote Australia</w:t>
            </w:r>
          </w:p>
        </w:tc>
      </w:tr>
      <w:tr w:rsidR="0072192E" w14:paraId="5E52A91A" w14:textId="77777777" w:rsidTr="006D6661">
        <w:trPr>
          <w:cantSplit/>
          <w:trHeight w:val="1871"/>
        </w:trPr>
        <w:tc>
          <w:tcPr>
            <w:tcW w:w="1764" w:type="dxa"/>
            <w:tcBorders>
              <w:top w:val="nil"/>
              <w:left w:val="nil"/>
              <w:bottom w:val="single" w:sz="12" w:space="0" w:color="auto"/>
              <w:right w:val="single" w:sz="12" w:space="0" w:color="auto"/>
            </w:tcBorders>
            <w:tcMar>
              <w:top w:w="28" w:type="dxa"/>
              <w:left w:w="28" w:type="dxa"/>
              <w:bottom w:w="28" w:type="dxa"/>
              <w:right w:w="28" w:type="dxa"/>
            </w:tcMar>
            <w:vAlign w:val="bottom"/>
          </w:tcPr>
          <w:p w14:paraId="617E934C" w14:textId="77777777" w:rsidR="0072192E" w:rsidRDefault="0072192E" w:rsidP="00500519">
            <w:pPr>
              <w:keepNext/>
              <w:keepLines/>
              <w:spacing w:after="0" w:line="240" w:lineRule="auto"/>
            </w:pPr>
          </w:p>
        </w:tc>
        <w:tc>
          <w:tcPr>
            <w:tcW w:w="540" w:type="dxa"/>
            <w:tcBorders>
              <w:top w:val="single" w:sz="12" w:space="0" w:color="auto"/>
              <w:left w:val="single" w:sz="12" w:space="0" w:color="auto"/>
              <w:bottom w:val="single" w:sz="12" w:space="0" w:color="auto"/>
            </w:tcBorders>
            <w:tcMar>
              <w:top w:w="28" w:type="dxa"/>
              <w:left w:w="28" w:type="dxa"/>
              <w:bottom w:w="28" w:type="dxa"/>
              <w:right w:w="28" w:type="dxa"/>
            </w:tcMar>
            <w:textDirection w:val="btLr"/>
            <w:vAlign w:val="center"/>
          </w:tcPr>
          <w:p w14:paraId="4FE5A2A6" w14:textId="77777777" w:rsidR="0072192E" w:rsidRDefault="0072192E" w:rsidP="0072192E">
            <w:pPr>
              <w:keepNext/>
              <w:keepLines/>
              <w:spacing w:after="0" w:line="240" w:lineRule="auto"/>
              <w:ind w:right="113"/>
              <w:jc w:val="center"/>
            </w:pPr>
            <w:r>
              <w:t>Adelaide</w:t>
            </w:r>
          </w:p>
        </w:tc>
        <w:tc>
          <w:tcPr>
            <w:tcW w:w="551" w:type="dxa"/>
            <w:tcBorders>
              <w:top w:val="single" w:sz="12" w:space="0" w:color="auto"/>
              <w:bottom w:val="single" w:sz="12" w:space="0" w:color="auto"/>
            </w:tcBorders>
            <w:tcMar>
              <w:top w:w="28" w:type="dxa"/>
              <w:left w:w="28" w:type="dxa"/>
              <w:bottom w:w="28" w:type="dxa"/>
              <w:right w:w="28" w:type="dxa"/>
            </w:tcMar>
            <w:textDirection w:val="btLr"/>
            <w:vAlign w:val="center"/>
          </w:tcPr>
          <w:p w14:paraId="379DA48E" w14:textId="77777777" w:rsidR="0072192E" w:rsidRDefault="0072192E" w:rsidP="0072192E">
            <w:pPr>
              <w:keepNext/>
              <w:keepLines/>
              <w:spacing w:after="0" w:line="240" w:lineRule="auto"/>
              <w:ind w:right="113"/>
              <w:jc w:val="center"/>
            </w:pPr>
            <w:r>
              <w:t>Brisbane</w:t>
            </w:r>
          </w:p>
        </w:tc>
        <w:tc>
          <w:tcPr>
            <w:tcW w:w="471" w:type="dxa"/>
            <w:tcBorders>
              <w:top w:val="single" w:sz="12" w:space="0" w:color="auto"/>
              <w:bottom w:val="single" w:sz="12" w:space="0" w:color="auto"/>
            </w:tcBorders>
            <w:tcMar>
              <w:top w:w="28" w:type="dxa"/>
              <w:left w:w="28" w:type="dxa"/>
              <w:bottom w:w="28" w:type="dxa"/>
              <w:right w:w="28" w:type="dxa"/>
            </w:tcMar>
            <w:textDirection w:val="btLr"/>
            <w:vAlign w:val="center"/>
          </w:tcPr>
          <w:p w14:paraId="35BEA4CB" w14:textId="77777777" w:rsidR="0072192E" w:rsidRDefault="0072192E" w:rsidP="0072192E">
            <w:pPr>
              <w:keepNext/>
              <w:keepLines/>
              <w:spacing w:after="0" w:line="240" w:lineRule="auto"/>
              <w:ind w:right="113"/>
              <w:jc w:val="center"/>
            </w:pPr>
            <w:r>
              <w:t>Canberra</w:t>
            </w:r>
          </w:p>
        </w:tc>
        <w:tc>
          <w:tcPr>
            <w:tcW w:w="522" w:type="dxa"/>
            <w:tcBorders>
              <w:top w:val="single" w:sz="12" w:space="0" w:color="auto"/>
              <w:bottom w:val="single" w:sz="12" w:space="0" w:color="auto"/>
            </w:tcBorders>
            <w:tcMar>
              <w:top w:w="28" w:type="dxa"/>
              <w:left w:w="28" w:type="dxa"/>
              <w:bottom w:w="28" w:type="dxa"/>
              <w:right w:w="28" w:type="dxa"/>
            </w:tcMar>
            <w:textDirection w:val="btLr"/>
            <w:vAlign w:val="center"/>
          </w:tcPr>
          <w:p w14:paraId="6DC4C4FA" w14:textId="77777777" w:rsidR="0072192E" w:rsidRDefault="0072192E" w:rsidP="0072192E">
            <w:pPr>
              <w:keepNext/>
              <w:keepLines/>
              <w:spacing w:after="0" w:line="240" w:lineRule="auto"/>
              <w:ind w:right="113"/>
              <w:jc w:val="center"/>
            </w:pPr>
            <w:r>
              <w:t>Darwin</w:t>
            </w:r>
          </w:p>
        </w:tc>
        <w:tc>
          <w:tcPr>
            <w:tcW w:w="507" w:type="dxa"/>
            <w:tcBorders>
              <w:top w:val="single" w:sz="12" w:space="0" w:color="auto"/>
              <w:bottom w:val="single" w:sz="12" w:space="0" w:color="auto"/>
            </w:tcBorders>
            <w:tcMar>
              <w:top w:w="28" w:type="dxa"/>
              <w:left w:w="28" w:type="dxa"/>
              <w:bottom w:w="28" w:type="dxa"/>
              <w:right w:w="28" w:type="dxa"/>
            </w:tcMar>
            <w:textDirection w:val="btLr"/>
            <w:vAlign w:val="center"/>
          </w:tcPr>
          <w:p w14:paraId="30C5A4BB" w14:textId="77777777" w:rsidR="0072192E" w:rsidRDefault="0072192E" w:rsidP="0072192E">
            <w:pPr>
              <w:keepNext/>
              <w:keepLines/>
              <w:spacing w:after="0" w:line="240" w:lineRule="auto"/>
              <w:ind w:right="113"/>
              <w:jc w:val="center"/>
            </w:pPr>
            <w:r>
              <w:t>Hobart</w:t>
            </w:r>
          </w:p>
        </w:tc>
        <w:tc>
          <w:tcPr>
            <w:tcW w:w="440" w:type="dxa"/>
            <w:tcBorders>
              <w:top w:val="single" w:sz="12" w:space="0" w:color="auto"/>
              <w:bottom w:val="single" w:sz="12" w:space="0" w:color="auto"/>
            </w:tcBorders>
            <w:tcMar>
              <w:top w:w="28" w:type="dxa"/>
              <w:left w:w="28" w:type="dxa"/>
              <w:bottom w:w="28" w:type="dxa"/>
              <w:right w:w="28" w:type="dxa"/>
            </w:tcMar>
            <w:textDirection w:val="btLr"/>
            <w:vAlign w:val="center"/>
          </w:tcPr>
          <w:p w14:paraId="294D61CB" w14:textId="77777777" w:rsidR="0072192E" w:rsidRDefault="0072192E" w:rsidP="0072192E">
            <w:pPr>
              <w:keepNext/>
              <w:keepLines/>
              <w:spacing w:after="0" w:line="240" w:lineRule="auto"/>
              <w:ind w:right="113"/>
              <w:jc w:val="center"/>
            </w:pPr>
            <w:r>
              <w:t>Melbourne</w:t>
            </w:r>
          </w:p>
        </w:tc>
        <w:tc>
          <w:tcPr>
            <w:tcW w:w="507" w:type="dxa"/>
            <w:tcBorders>
              <w:top w:val="single" w:sz="12" w:space="0" w:color="auto"/>
              <w:bottom w:val="single" w:sz="12" w:space="0" w:color="auto"/>
            </w:tcBorders>
            <w:tcMar>
              <w:top w:w="28" w:type="dxa"/>
              <w:left w:w="28" w:type="dxa"/>
              <w:bottom w:w="28" w:type="dxa"/>
              <w:right w:w="28" w:type="dxa"/>
            </w:tcMar>
            <w:textDirection w:val="btLr"/>
            <w:vAlign w:val="center"/>
          </w:tcPr>
          <w:p w14:paraId="18AD63A4" w14:textId="77777777" w:rsidR="0072192E" w:rsidRDefault="0072192E" w:rsidP="0072192E">
            <w:pPr>
              <w:keepNext/>
              <w:keepLines/>
              <w:spacing w:after="0" w:line="240" w:lineRule="auto"/>
              <w:ind w:right="113"/>
              <w:jc w:val="center"/>
            </w:pPr>
            <w:r>
              <w:t>Perth</w:t>
            </w:r>
          </w:p>
        </w:tc>
        <w:tc>
          <w:tcPr>
            <w:tcW w:w="552" w:type="dxa"/>
            <w:tcBorders>
              <w:top w:val="single" w:sz="12" w:space="0" w:color="auto"/>
              <w:bottom w:val="single" w:sz="12" w:space="0" w:color="auto"/>
              <w:right w:val="single" w:sz="12" w:space="0" w:color="auto"/>
            </w:tcBorders>
            <w:tcMar>
              <w:top w:w="28" w:type="dxa"/>
              <w:left w:w="28" w:type="dxa"/>
              <w:bottom w:w="28" w:type="dxa"/>
              <w:right w:w="28" w:type="dxa"/>
            </w:tcMar>
            <w:textDirection w:val="btLr"/>
            <w:vAlign w:val="center"/>
          </w:tcPr>
          <w:p w14:paraId="4ED45B93" w14:textId="77777777" w:rsidR="0072192E" w:rsidRDefault="0072192E" w:rsidP="0072192E">
            <w:pPr>
              <w:keepNext/>
              <w:keepLines/>
              <w:spacing w:after="0" w:line="240" w:lineRule="auto"/>
              <w:ind w:right="113"/>
              <w:jc w:val="center"/>
            </w:pPr>
            <w:r>
              <w:t>Sydney</w:t>
            </w:r>
          </w:p>
        </w:tc>
        <w:tc>
          <w:tcPr>
            <w:tcW w:w="664" w:type="dxa"/>
            <w:tcBorders>
              <w:top w:val="single" w:sz="12" w:space="0" w:color="auto"/>
              <w:bottom w:val="single" w:sz="12" w:space="0" w:color="auto"/>
              <w:right w:val="single" w:sz="12" w:space="0" w:color="auto"/>
            </w:tcBorders>
            <w:tcMar>
              <w:top w:w="28" w:type="dxa"/>
              <w:left w:w="28" w:type="dxa"/>
              <w:bottom w:w="28" w:type="dxa"/>
              <w:right w:w="28" w:type="dxa"/>
            </w:tcMar>
            <w:textDirection w:val="btLr"/>
            <w:vAlign w:val="center"/>
          </w:tcPr>
          <w:p w14:paraId="2F916C9F" w14:textId="7F2A9807" w:rsidR="0072192E" w:rsidRPr="0072192E" w:rsidRDefault="0072192E" w:rsidP="0072192E">
            <w:pPr>
              <w:keepNext/>
              <w:keepLines/>
              <w:spacing w:after="0" w:line="240" w:lineRule="auto"/>
              <w:ind w:right="113"/>
              <w:jc w:val="center"/>
              <w:rPr>
                <w:i/>
              </w:rPr>
            </w:pPr>
            <w:r w:rsidRPr="0072192E">
              <w:rPr>
                <w:i/>
              </w:rPr>
              <w:t xml:space="preserve">Total </w:t>
            </w:r>
            <w:r w:rsidR="0034617B">
              <w:rPr>
                <w:i/>
              </w:rPr>
              <w:t>m</w:t>
            </w:r>
            <w:r w:rsidRPr="0072192E">
              <w:rPr>
                <w:i/>
              </w:rPr>
              <w:t>etropolitan</w:t>
            </w:r>
          </w:p>
        </w:tc>
        <w:tc>
          <w:tcPr>
            <w:tcW w:w="552" w:type="dxa"/>
            <w:tcBorders>
              <w:top w:val="single" w:sz="12" w:space="0" w:color="auto"/>
              <w:left w:val="single" w:sz="12" w:space="0" w:color="auto"/>
              <w:bottom w:val="single" w:sz="12" w:space="0" w:color="auto"/>
            </w:tcBorders>
            <w:tcMar>
              <w:top w:w="28" w:type="dxa"/>
              <w:left w:w="28" w:type="dxa"/>
              <w:bottom w:w="28" w:type="dxa"/>
              <w:right w:w="28" w:type="dxa"/>
            </w:tcMar>
            <w:textDirection w:val="btLr"/>
            <w:vAlign w:val="center"/>
          </w:tcPr>
          <w:p w14:paraId="43C9FDCE" w14:textId="77777777" w:rsidR="0072192E" w:rsidRDefault="0072192E" w:rsidP="0072192E">
            <w:pPr>
              <w:keepNext/>
              <w:keepLines/>
              <w:spacing w:after="0" w:line="240" w:lineRule="auto"/>
              <w:ind w:right="113"/>
              <w:jc w:val="center"/>
            </w:pPr>
            <w:r>
              <w:t>West Australia</w:t>
            </w:r>
          </w:p>
        </w:tc>
        <w:tc>
          <w:tcPr>
            <w:tcW w:w="694" w:type="dxa"/>
            <w:tcBorders>
              <w:top w:val="single" w:sz="12" w:space="0" w:color="auto"/>
              <w:bottom w:val="single" w:sz="12" w:space="0" w:color="auto"/>
              <w:right w:val="single" w:sz="12" w:space="0" w:color="auto"/>
            </w:tcBorders>
            <w:tcMar>
              <w:top w:w="28" w:type="dxa"/>
              <w:left w:w="28" w:type="dxa"/>
              <w:bottom w:w="28" w:type="dxa"/>
              <w:right w:w="28" w:type="dxa"/>
            </w:tcMar>
            <w:textDirection w:val="btLr"/>
            <w:vAlign w:val="center"/>
          </w:tcPr>
          <w:p w14:paraId="371A94CA" w14:textId="77777777" w:rsidR="0072192E" w:rsidRDefault="0072192E" w:rsidP="0072192E">
            <w:pPr>
              <w:keepNext/>
              <w:keepLines/>
              <w:spacing w:after="0" w:line="240" w:lineRule="auto"/>
              <w:ind w:right="113"/>
              <w:jc w:val="center"/>
            </w:pPr>
            <w:r>
              <w:t>East Australia</w:t>
            </w:r>
          </w:p>
        </w:tc>
        <w:tc>
          <w:tcPr>
            <w:tcW w:w="693" w:type="dxa"/>
            <w:tcBorders>
              <w:top w:val="single" w:sz="12" w:space="0" w:color="auto"/>
              <w:bottom w:val="single" w:sz="12" w:space="0" w:color="auto"/>
              <w:right w:val="single" w:sz="12" w:space="0" w:color="auto"/>
            </w:tcBorders>
            <w:tcMar>
              <w:top w:w="28" w:type="dxa"/>
              <w:left w:w="28" w:type="dxa"/>
              <w:bottom w:w="28" w:type="dxa"/>
              <w:right w:w="28" w:type="dxa"/>
            </w:tcMar>
            <w:textDirection w:val="btLr"/>
            <w:vAlign w:val="center"/>
          </w:tcPr>
          <w:p w14:paraId="7F00B7DF" w14:textId="20173FA7" w:rsidR="0072192E" w:rsidRPr="0072192E" w:rsidRDefault="0072192E" w:rsidP="0072192E">
            <w:pPr>
              <w:keepNext/>
              <w:keepLines/>
              <w:spacing w:after="0" w:line="240" w:lineRule="auto"/>
              <w:ind w:right="113"/>
              <w:jc w:val="center"/>
              <w:rPr>
                <w:i/>
              </w:rPr>
            </w:pPr>
            <w:r w:rsidRPr="0072192E">
              <w:rPr>
                <w:i/>
              </w:rPr>
              <w:t xml:space="preserve">Total </w:t>
            </w:r>
            <w:r w:rsidR="0034617B">
              <w:rPr>
                <w:i/>
              </w:rPr>
              <w:t>r</w:t>
            </w:r>
            <w:r w:rsidRPr="0072192E">
              <w:rPr>
                <w:i/>
              </w:rPr>
              <w:t>egional</w:t>
            </w:r>
          </w:p>
        </w:tc>
        <w:tc>
          <w:tcPr>
            <w:tcW w:w="694" w:type="dxa"/>
            <w:vMerge/>
            <w:tcBorders>
              <w:left w:val="single" w:sz="12" w:space="0" w:color="auto"/>
              <w:bottom w:val="single" w:sz="12" w:space="0" w:color="auto"/>
              <w:right w:val="single" w:sz="12" w:space="0" w:color="auto"/>
            </w:tcBorders>
            <w:tcMar>
              <w:top w:w="28" w:type="dxa"/>
              <w:left w:w="28" w:type="dxa"/>
              <w:bottom w:w="28" w:type="dxa"/>
              <w:right w:w="28" w:type="dxa"/>
            </w:tcMar>
            <w:textDirection w:val="btLr"/>
            <w:vAlign w:val="center"/>
          </w:tcPr>
          <w:p w14:paraId="11CAD1C4" w14:textId="2F0C8C71" w:rsidR="0072192E" w:rsidRPr="0072192E" w:rsidRDefault="0072192E" w:rsidP="0072192E">
            <w:pPr>
              <w:keepNext/>
              <w:keepLines/>
              <w:spacing w:after="0" w:line="240" w:lineRule="auto"/>
              <w:ind w:right="113"/>
              <w:jc w:val="center"/>
              <w:rPr>
                <w:i/>
              </w:rPr>
            </w:pPr>
          </w:p>
        </w:tc>
        <w:tc>
          <w:tcPr>
            <w:tcW w:w="104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2CDE1183" w14:textId="36F1ADEE" w:rsidR="0072192E" w:rsidRDefault="0072192E" w:rsidP="0072192E">
            <w:pPr>
              <w:keepNext/>
              <w:keepLines/>
              <w:spacing w:after="0" w:line="240" w:lineRule="auto"/>
              <w:jc w:val="center"/>
            </w:pPr>
            <w:r>
              <w:t>Total</w:t>
            </w:r>
          </w:p>
        </w:tc>
      </w:tr>
      <w:tr w:rsidR="0072192E" w14:paraId="034F1FC7" w14:textId="77777777" w:rsidTr="006D6661">
        <w:tc>
          <w:tcPr>
            <w:tcW w:w="1764" w:type="dxa"/>
            <w:tcBorders>
              <w:top w:val="single" w:sz="12" w:space="0" w:color="auto"/>
              <w:left w:val="single" w:sz="12" w:space="0" w:color="auto"/>
              <w:right w:val="single" w:sz="12" w:space="0" w:color="auto"/>
            </w:tcBorders>
            <w:tcMar>
              <w:top w:w="28" w:type="dxa"/>
              <w:left w:w="28" w:type="dxa"/>
              <w:bottom w:w="28" w:type="dxa"/>
              <w:right w:w="28" w:type="dxa"/>
            </w:tcMar>
          </w:tcPr>
          <w:p w14:paraId="1B9FBA42" w14:textId="70AA4924" w:rsidR="00F72546" w:rsidRDefault="00F72546" w:rsidP="001F57E3">
            <w:pPr>
              <w:keepNext/>
              <w:keepLines/>
              <w:spacing w:after="0" w:line="480" w:lineRule="auto"/>
              <w:contextualSpacing/>
              <w:jc w:val="center"/>
            </w:pPr>
            <w:r>
              <w:rPr>
                <w:rFonts w:cs="Arial"/>
              </w:rPr>
              <w:t>1427</w:t>
            </w:r>
            <w:r w:rsidR="00913F0E">
              <w:rPr>
                <w:rFonts w:cs="Arial"/>
              </w:rPr>
              <w:t>–</w:t>
            </w:r>
            <w:r>
              <w:rPr>
                <w:rFonts w:cs="Arial"/>
              </w:rPr>
              <w:t>1432 MHz</w:t>
            </w:r>
          </w:p>
        </w:tc>
        <w:tc>
          <w:tcPr>
            <w:tcW w:w="540" w:type="dxa"/>
            <w:tcBorders>
              <w:top w:val="single" w:sz="12" w:space="0" w:color="auto"/>
              <w:left w:val="single" w:sz="12" w:space="0" w:color="auto"/>
            </w:tcBorders>
            <w:tcMar>
              <w:top w:w="28" w:type="dxa"/>
              <w:left w:w="28" w:type="dxa"/>
              <w:bottom w:w="28" w:type="dxa"/>
              <w:right w:w="28" w:type="dxa"/>
            </w:tcMar>
          </w:tcPr>
          <w:p w14:paraId="59B94792" w14:textId="5834F490" w:rsidR="00F72546" w:rsidRPr="00E43D18" w:rsidRDefault="005D7881" w:rsidP="001836A3">
            <w:pPr>
              <w:keepNext/>
              <w:keepLines/>
              <w:spacing w:after="0" w:line="240" w:lineRule="auto"/>
              <w:jc w:val="center"/>
            </w:pPr>
            <w:r>
              <w:t>0</w:t>
            </w:r>
          </w:p>
        </w:tc>
        <w:tc>
          <w:tcPr>
            <w:tcW w:w="551" w:type="dxa"/>
            <w:tcBorders>
              <w:top w:val="single" w:sz="12" w:space="0" w:color="auto"/>
            </w:tcBorders>
            <w:tcMar>
              <w:top w:w="28" w:type="dxa"/>
              <w:left w:w="28" w:type="dxa"/>
              <w:bottom w:w="28" w:type="dxa"/>
              <w:right w:w="28" w:type="dxa"/>
            </w:tcMar>
          </w:tcPr>
          <w:p w14:paraId="33FBA4D3" w14:textId="0F594E01" w:rsidR="00F72546" w:rsidRPr="00E43D18" w:rsidRDefault="005D7881" w:rsidP="001836A3">
            <w:pPr>
              <w:keepNext/>
              <w:keepLines/>
              <w:spacing w:after="0" w:line="240" w:lineRule="auto"/>
              <w:jc w:val="center"/>
            </w:pPr>
            <w:r>
              <w:t>4</w:t>
            </w:r>
          </w:p>
        </w:tc>
        <w:tc>
          <w:tcPr>
            <w:tcW w:w="471" w:type="dxa"/>
            <w:tcBorders>
              <w:top w:val="single" w:sz="12" w:space="0" w:color="auto"/>
            </w:tcBorders>
            <w:tcMar>
              <w:top w:w="28" w:type="dxa"/>
              <w:left w:w="28" w:type="dxa"/>
              <w:bottom w:w="28" w:type="dxa"/>
              <w:right w:w="28" w:type="dxa"/>
            </w:tcMar>
          </w:tcPr>
          <w:p w14:paraId="57EF04FF" w14:textId="56D87AB6" w:rsidR="00F72546" w:rsidRPr="00E43D18" w:rsidRDefault="005D7881" w:rsidP="001836A3">
            <w:pPr>
              <w:keepNext/>
              <w:keepLines/>
              <w:spacing w:after="0" w:line="240" w:lineRule="auto"/>
              <w:jc w:val="center"/>
            </w:pPr>
            <w:r>
              <w:t>0</w:t>
            </w:r>
          </w:p>
        </w:tc>
        <w:tc>
          <w:tcPr>
            <w:tcW w:w="522" w:type="dxa"/>
            <w:tcBorders>
              <w:top w:val="single" w:sz="12" w:space="0" w:color="auto"/>
            </w:tcBorders>
            <w:tcMar>
              <w:top w:w="28" w:type="dxa"/>
              <w:left w:w="28" w:type="dxa"/>
              <w:bottom w:w="28" w:type="dxa"/>
              <w:right w:w="28" w:type="dxa"/>
            </w:tcMar>
          </w:tcPr>
          <w:p w14:paraId="079F9C62" w14:textId="0AFE203B" w:rsidR="00F72546" w:rsidRPr="00E43D18" w:rsidRDefault="005D7881" w:rsidP="001836A3">
            <w:pPr>
              <w:keepNext/>
              <w:keepLines/>
              <w:spacing w:after="0" w:line="240" w:lineRule="auto"/>
              <w:jc w:val="center"/>
            </w:pPr>
            <w:r>
              <w:t>2</w:t>
            </w:r>
          </w:p>
        </w:tc>
        <w:tc>
          <w:tcPr>
            <w:tcW w:w="507" w:type="dxa"/>
            <w:tcBorders>
              <w:top w:val="single" w:sz="12" w:space="0" w:color="auto"/>
            </w:tcBorders>
            <w:tcMar>
              <w:top w:w="28" w:type="dxa"/>
              <w:left w:w="28" w:type="dxa"/>
              <w:bottom w:w="28" w:type="dxa"/>
              <w:right w:w="28" w:type="dxa"/>
            </w:tcMar>
          </w:tcPr>
          <w:p w14:paraId="113F04BE" w14:textId="4E4C7AB0" w:rsidR="00F72546" w:rsidRPr="00E43D18" w:rsidRDefault="005D7881" w:rsidP="001836A3">
            <w:pPr>
              <w:keepNext/>
              <w:keepLines/>
              <w:spacing w:after="0" w:line="240" w:lineRule="auto"/>
              <w:jc w:val="center"/>
            </w:pPr>
            <w:r>
              <w:t>0</w:t>
            </w:r>
          </w:p>
        </w:tc>
        <w:tc>
          <w:tcPr>
            <w:tcW w:w="440" w:type="dxa"/>
            <w:tcBorders>
              <w:top w:val="single" w:sz="12" w:space="0" w:color="auto"/>
            </w:tcBorders>
            <w:tcMar>
              <w:top w:w="28" w:type="dxa"/>
              <w:left w:w="28" w:type="dxa"/>
              <w:bottom w:w="28" w:type="dxa"/>
              <w:right w:w="28" w:type="dxa"/>
            </w:tcMar>
          </w:tcPr>
          <w:p w14:paraId="39A595C9" w14:textId="25BCF973" w:rsidR="00F72546" w:rsidRPr="00E43D18" w:rsidRDefault="005D7881" w:rsidP="001836A3">
            <w:pPr>
              <w:keepNext/>
              <w:keepLines/>
              <w:spacing w:after="0" w:line="240" w:lineRule="auto"/>
              <w:jc w:val="center"/>
            </w:pPr>
            <w:r>
              <w:t>0</w:t>
            </w:r>
          </w:p>
        </w:tc>
        <w:tc>
          <w:tcPr>
            <w:tcW w:w="507" w:type="dxa"/>
            <w:tcBorders>
              <w:top w:val="single" w:sz="12" w:space="0" w:color="auto"/>
            </w:tcBorders>
            <w:tcMar>
              <w:top w:w="28" w:type="dxa"/>
              <w:left w:w="28" w:type="dxa"/>
              <w:bottom w:w="28" w:type="dxa"/>
              <w:right w:w="28" w:type="dxa"/>
            </w:tcMar>
          </w:tcPr>
          <w:p w14:paraId="207012AB" w14:textId="0EA290D2" w:rsidR="00F72546" w:rsidRPr="00E43D18" w:rsidRDefault="005D7881" w:rsidP="001836A3">
            <w:pPr>
              <w:keepNext/>
              <w:keepLines/>
              <w:spacing w:after="0" w:line="240" w:lineRule="auto"/>
              <w:jc w:val="center"/>
            </w:pPr>
            <w:r>
              <w:t>5</w:t>
            </w:r>
          </w:p>
        </w:tc>
        <w:tc>
          <w:tcPr>
            <w:tcW w:w="552" w:type="dxa"/>
            <w:tcBorders>
              <w:top w:val="single" w:sz="12" w:space="0" w:color="auto"/>
              <w:right w:val="single" w:sz="12" w:space="0" w:color="auto"/>
            </w:tcBorders>
            <w:tcMar>
              <w:top w:w="28" w:type="dxa"/>
              <w:left w:w="28" w:type="dxa"/>
              <w:bottom w:w="28" w:type="dxa"/>
              <w:right w:w="28" w:type="dxa"/>
            </w:tcMar>
          </w:tcPr>
          <w:p w14:paraId="0688EB03" w14:textId="26D6B835" w:rsidR="00F72546" w:rsidRPr="00E43D18" w:rsidRDefault="005D7881" w:rsidP="001836A3">
            <w:pPr>
              <w:keepNext/>
              <w:keepLines/>
              <w:spacing w:after="0" w:line="240" w:lineRule="auto"/>
              <w:jc w:val="center"/>
            </w:pPr>
            <w:r>
              <w:t>3</w:t>
            </w:r>
          </w:p>
        </w:tc>
        <w:tc>
          <w:tcPr>
            <w:tcW w:w="664" w:type="dxa"/>
            <w:tcBorders>
              <w:top w:val="single" w:sz="12" w:space="0" w:color="auto"/>
              <w:right w:val="single" w:sz="12" w:space="0" w:color="auto"/>
            </w:tcBorders>
            <w:tcMar>
              <w:top w:w="28" w:type="dxa"/>
              <w:left w:w="28" w:type="dxa"/>
              <w:bottom w:w="28" w:type="dxa"/>
              <w:right w:w="28" w:type="dxa"/>
            </w:tcMar>
          </w:tcPr>
          <w:p w14:paraId="5A9ACEE3" w14:textId="469F0CA0" w:rsidR="008D1B77" w:rsidRPr="0072192E" w:rsidRDefault="00FD58EE" w:rsidP="001836A3">
            <w:pPr>
              <w:keepNext/>
              <w:keepLines/>
              <w:spacing w:after="0" w:line="240" w:lineRule="auto"/>
              <w:jc w:val="center"/>
              <w:rPr>
                <w:i/>
              </w:rPr>
            </w:pPr>
            <w:r w:rsidRPr="0072192E">
              <w:rPr>
                <w:i/>
              </w:rPr>
              <w:t>14</w:t>
            </w:r>
          </w:p>
        </w:tc>
        <w:tc>
          <w:tcPr>
            <w:tcW w:w="552" w:type="dxa"/>
            <w:tcBorders>
              <w:top w:val="single" w:sz="12" w:space="0" w:color="auto"/>
              <w:left w:val="single" w:sz="12" w:space="0" w:color="auto"/>
            </w:tcBorders>
            <w:tcMar>
              <w:top w:w="28" w:type="dxa"/>
              <w:left w:w="28" w:type="dxa"/>
              <w:bottom w:w="28" w:type="dxa"/>
              <w:right w:w="28" w:type="dxa"/>
            </w:tcMar>
          </w:tcPr>
          <w:p w14:paraId="4DAC911B" w14:textId="4B4B4BBF" w:rsidR="00F72546" w:rsidRPr="00E43D18" w:rsidRDefault="005D7881" w:rsidP="001836A3">
            <w:pPr>
              <w:keepNext/>
              <w:keepLines/>
              <w:spacing w:after="0" w:line="240" w:lineRule="auto"/>
              <w:jc w:val="center"/>
            </w:pPr>
            <w:r>
              <w:t>8</w:t>
            </w:r>
          </w:p>
        </w:tc>
        <w:tc>
          <w:tcPr>
            <w:tcW w:w="694" w:type="dxa"/>
            <w:tcBorders>
              <w:top w:val="single" w:sz="12" w:space="0" w:color="auto"/>
              <w:right w:val="single" w:sz="12" w:space="0" w:color="auto"/>
            </w:tcBorders>
            <w:tcMar>
              <w:top w:w="28" w:type="dxa"/>
              <w:left w:w="28" w:type="dxa"/>
              <w:bottom w:w="28" w:type="dxa"/>
              <w:right w:w="28" w:type="dxa"/>
            </w:tcMar>
          </w:tcPr>
          <w:p w14:paraId="7047896E" w14:textId="00394BD2" w:rsidR="00F72546" w:rsidRPr="00E43D18" w:rsidRDefault="005D7881" w:rsidP="001836A3">
            <w:pPr>
              <w:keepNext/>
              <w:keepLines/>
              <w:spacing w:after="0" w:line="240" w:lineRule="auto"/>
              <w:jc w:val="center"/>
            </w:pPr>
            <w:r>
              <w:t>64</w:t>
            </w:r>
          </w:p>
        </w:tc>
        <w:tc>
          <w:tcPr>
            <w:tcW w:w="693" w:type="dxa"/>
            <w:tcBorders>
              <w:top w:val="single" w:sz="12" w:space="0" w:color="auto"/>
              <w:right w:val="single" w:sz="12" w:space="0" w:color="auto"/>
            </w:tcBorders>
            <w:tcMar>
              <w:top w:w="28" w:type="dxa"/>
              <w:left w:w="28" w:type="dxa"/>
              <w:bottom w:w="28" w:type="dxa"/>
              <w:right w:w="28" w:type="dxa"/>
            </w:tcMar>
          </w:tcPr>
          <w:p w14:paraId="29BC6A48" w14:textId="5EB42B04" w:rsidR="008D1B77" w:rsidRPr="0072192E" w:rsidRDefault="00FD58EE" w:rsidP="001836A3">
            <w:pPr>
              <w:keepNext/>
              <w:keepLines/>
              <w:spacing w:after="0" w:line="240" w:lineRule="auto"/>
              <w:jc w:val="center"/>
              <w:rPr>
                <w:i/>
              </w:rPr>
            </w:pPr>
            <w:r w:rsidRPr="0072192E">
              <w:rPr>
                <w:i/>
              </w:rPr>
              <w:t>72</w:t>
            </w:r>
          </w:p>
        </w:tc>
        <w:tc>
          <w:tcPr>
            <w:tcW w:w="694" w:type="dxa"/>
            <w:tcBorders>
              <w:top w:val="single" w:sz="12" w:space="0" w:color="auto"/>
              <w:left w:val="single" w:sz="12" w:space="0" w:color="auto"/>
              <w:right w:val="single" w:sz="12" w:space="0" w:color="auto"/>
            </w:tcBorders>
            <w:tcMar>
              <w:top w:w="28" w:type="dxa"/>
              <w:left w:w="28" w:type="dxa"/>
              <w:bottom w:w="28" w:type="dxa"/>
              <w:right w:w="28" w:type="dxa"/>
            </w:tcMar>
          </w:tcPr>
          <w:p w14:paraId="03702BE3" w14:textId="40E330F0" w:rsidR="00F72546" w:rsidRPr="0072192E" w:rsidRDefault="008D4616" w:rsidP="001836A3">
            <w:pPr>
              <w:keepNext/>
              <w:keepLines/>
              <w:spacing w:after="0" w:line="240" w:lineRule="auto"/>
              <w:jc w:val="center"/>
              <w:rPr>
                <w:i/>
              </w:rPr>
            </w:pPr>
            <w:r w:rsidRPr="0072192E">
              <w:rPr>
                <w:i/>
              </w:rPr>
              <w:t>122</w:t>
            </w:r>
          </w:p>
        </w:tc>
        <w:tc>
          <w:tcPr>
            <w:tcW w:w="1041" w:type="dxa"/>
            <w:tcBorders>
              <w:top w:val="single" w:sz="12" w:space="0" w:color="auto"/>
              <w:left w:val="single" w:sz="12" w:space="0" w:color="auto"/>
              <w:right w:val="single" w:sz="12" w:space="0" w:color="auto"/>
            </w:tcBorders>
            <w:tcMar>
              <w:top w:w="28" w:type="dxa"/>
              <w:left w:w="28" w:type="dxa"/>
              <w:bottom w:w="28" w:type="dxa"/>
              <w:right w:w="28" w:type="dxa"/>
            </w:tcMar>
          </w:tcPr>
          <w:p w14:paraId="7488084C" w14:textId="77777777" w:rsidR="008D1B77" w:rsidRDefault="005D7881" w:rsidP="001836A3">
            <w:pPr>
              <w:keepNext/>
              <w:keepLines/>
              <w:spacing w:after="0" w:line="240" w:lineRule="auto"/>
              <w:jc w:val="center"/>
            </w:pPr>
            <w:r>
              <w:t>208</w:t>
            </w:r>
          </w:p>
          <w:p w14:paraId="01505EBD" w14:textId="1A37D60D" w:rsidR="00F72546" w:rsidRPr="00E43D18" w:rsidRDefault="000A1720" w:rsidP="001836A3">
            <w:pPr>
              <w:keepNext/>
              <w:keepLines/>
              <w:spacing w:after="0" w:line="240" w:lineRule="auto"/>
              <w:jc w:val="center"/>
            </w:pPr>
            <w:r>
              <w:t>(3.3%)</w:t>
            </w:r>
          </w:p>
        </w:tc>
      </w:tr>
      <w:tr w:rsidR="0072192E" w14:paraId="646FF9C6"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C4ED6E4" w14:textId="4FC4E76F" w:rsidR="00F72546" w:rsidRDefault="00C74BE5" w:rsidP="001F57E3">
            <w:pPr>
              <w:keepNext/>
              <w:keepLines/>
              <w:spacing w:after="0" w:line="480" w:lineRule="auto"/>
              <w:contextualSpacing/>
              <w:jc w:val="center"/>
            </w:pPr>
            <w:r>
              <w:t>1432</w:t>
            </w:r>
            <w:r w:rsidR="00913F0E">
              <w:rPr>
                <w:rFonts w:cs="Arial"/>
              </w:rPr>
              <w:t>–</w:t>
            </w:r>
            <w:r>
              <w:t>1437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2796E3F9" w14:textId="3E9CABB0" w:rsidR="00F72546" w:rsidRPr="00E43D18" w:rsidRDefault="00E44D0D" w:rsidP="001836A3">
            <w:pPr>
              <w:keepNext/>
              <w:keepLines/>
              <w:spacing w:after="0" w:line="240" w:lineRule="auto"/>
              <w:jc w:val="center"/>
            </w:pPr>
            <w:r>
              <w:t>4</w:t>
            </w:r>
          </w:p>
        </w:tc>
        <w:tc>
          <w:tcPr>
            <w:tcW w:w="551" w:type="dxa"/>
            <w:shd w:val="clear" w:color="auto" w:fill="F2F2F2" w:themeFill="background1" w:themeFillShade="F2"/>
            <w:tcMar>
              <w:top w:w="28" w:type="dxa"/>
              <w:left w:w="28" w:type="dxa"/>
              <w:bottom w:w="28" w:type="dxa"/>
              <w:right w:w="28" w:type="dxa"/>
            </w:tcMar>
          </w:tcPr>
          <w:p w14:paraId="62B4A258" w14:textId="096ED222" w:rsidR="00F72546" w:rsidRPr="00E43D18" w:rsidRDefault="00E44D0D" w:rsidP="001836A3">
            <w:pPr>
              <w:keepNext/>
              <w:keepLines/>
              <w:spacing w:after="0" w:line="240" w:lineRule="auto"/>
              <w:jc w:val="center"/>
            </w:pPr>
            <w:r>
              <w:t>14</w:t>
            </w:r>
          </w:p>
        </w:tc>
        <w:tc>
          <w:tcPr>
            <w:tcW w:w="471" w:type="dxa"/>
            <w:shd w:val="clear" w:color="auto" w:fill="F2F2F2" w:themeFill="background1" w:themeFillShade="F2"/>
            <w:tcMar>
              <w:top w:w="28" w:type="dxa"/>
              <w:left w:w="28" w:type="dxa"/>
              <w:bottom w:w="28" w:type="dxa"/>
              <w:right w:w="28" w:type="dxa"/>
            </w:tcMar>
          </w:tcPr>
          <w:p w14:paraId="46C4F078" w14:textId="7B801A05" w:rsidR="00F72546" w:rsidRPr="00E43D18" w:rsidRDefault="00E44D0D" w:rsidP="001836A3">
            <w:pPr>
              <w:keepNext/>
              <w:keepLines/>
              <w:spacing w:after="0" w:line="240" w:lineRule="auto"/>
              <w:jc w:val="center"/>
            </w:pPr>
            <w:r>
              <w:t>1</w:t>
            </w:r>
          </w:p>
        </w:tc>
        <w:tc>
          <w:tcPr>
            <w:tcW w:w="522" w:type="dxa"/>
            <w:shd w:val="clear" w:color="auto" w:fill="F2F2F2" w:themeFill="background1" w:themeFillShade="F2"/>
            <w:tcMar>
              <w:top w:w="28" w:type="dxa"/>
              <w:left w:w="28" w:type="dxa"/>
              <w:bottom w:w="28" w:type="dxa"/>
              <w:right w:w="28" w:type="dxa"/>
            </w:tcMar>
          </w:tcPr>
          <w:p w14:paraId="0C4A1805" w14:textId="772E93E9" w:rsidR="00F72546" w:rsidRPr="00E43D18" w:rsidRDefault="00E44D0D" w:rsidP="001836A3">
            <w:pPr>
              <w:keepNext/>
              <w:keepLines/>
              <w:spacing w:after="0" w:line="240" w:lineRule="auto"/>
              <w:jc w:val="center"/>
            </w:pPr>
            <w:r>
              <w:t>5</w:t>
            </w:r>
          </w:p>
        </w:tc>
        <w:tc>
          <w:tcPr>
            <w:tcW w:w="507" w:type="dxa"/>
            <w:shd w:val="clear" w:color="auto" w:fill="F2F2F2" w:themeFill="background1" w:themeFillShade="F2"/>
            <w:tcMar>
              <w:top w:w="28" w:type="dxa"/>
              <w:left w:w="28" w:type="dxa"/>
              <w:bottom w:w="28" w:type="dxa"/>
              <w:right w:w="28" w:type="dxa"/>
            </w:tcMar>
          </w:tcPr>
          <w:p w14:paraId="118824ED" w14:textId="11533149" w:rsidR="00F72546" w:rsidRPr="00E43D18" w:rsidRDefault="00E44D0D" w:rsidP="001836A3">
            <w:pPr>
              <w:keepNext/>
              <w:keepLines/>
              <w:spacing w:after="0" w:line="240" w:lineRule="auto"/>
              <w:jc w:val="center"/>
            </w:pPr>
            <w:r>
              <w:t>8</w:t>
            </w:r>
          </w:p>
        </w:tc>
        <w:tc>
          <w:tcPr>
            <w:tcW w:w="440" w:type="dxa"/>
            <w:shd w:val="clear" w:color="auto" w:fill="F2F2F2" w:themeFill="background1" w:themeFillShade="F2"/>
            <w:tcMar>
              <w:top w:w="28" w:type="dxa"/>
              <w:left w:w="28" w:type="dxa"/>
              <w:bottom w:w="28" w:type="dxa"/>
              <w:right w:w="28" w:type="dxa"/>
            </w:tcMar>
          </w:tcPr>
          <w:p w14:paraId="2EFD58E9" w14:textId="0245608F" w:rsidR="00F72546" w:rsidRPr="00E43D18" w:rsidRDefault="00E44D0D" w:rsidP="001836A3">
            <w:pPr>
              <w:keepNext/>
              <w:keepLines/>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4848C10E" w14:textId="1FCBD618" w:rsidR="00F72546" w:rsidRPr="00E43D18" w:rsidRDefault="00E44D0D" w:rsidP="001836A3">
            <w:pPr>
              <w:keepNext/>
              <w:keepLines/>
              <w:spacing w:after="0" w:line="240" w:lineRule="auto"/>
              <w:jc w:val="center"/>
            </w:pPr>
            <w:r>
              <w:t>12</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2A230AD5" w14:textId="6E8FFD1A" w:rsidR="00F72546" w:rsidRPr="00E43D18" w:rsidRDefault="00E44D0D" w:rsidP="001836A3">
            <w:pPr>
              <w:keepNext/>
              <w:keepLines/>
              <w:spacing w:after="0" w:line="240" w:lineRule="auto"/>
              <w:jc w:val="center"/>
            </w:pPr>
            <w:r>
              <w:t>13</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76E3A187" w14:textId="66D94406" w:rsidR="008D1B77" w:rsidRPr="0072192E" w:rsidRDefault="004A4370" w:rsidP="001836A3">
            <w:pPr>
              <w:keepNext/>
              <w:keepLines/>
              <w:spacing w:after="0" w:line="240" w:lineRule="auto"/>
              <w:jc w:val="center"/>
              <w:rPr>
                <w:i/>
              </w:rPr>
            </w:pPr>
            <w:r w:rsidRPr="0072192E">
              <w:rPr>
                <w:i/>
              </w:rPr>
              <w:t>57</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1D635191" w14:textId="6C085531" w:rsidR="00F72546" w:rsidRPr="00E43D18" w:rsidRDefault="00E44D0D" w:rsidP="001836A3">
            <w:pPr>
              <w:keepNext/>
              <w:keepLines/>
              <w:spacing w:after="0" w:line="240" w:lineRule="auto"/>
              <w:jc w:val="center"/>
            </w:pPr>
            <w:r>
              <w:t>34</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063CE665" w14:textId="45D39E18" w:rsidR="00F72546" w:rsidRPr="00E43D18" w:rsidRDefault="00E44D0D" w:rsidP="001836A3">
            <w:pPr>
              <w:keepNext/>
              <w:keepLines/>
              <w:spacing w:after="0" w:line="240" w:lineRule="auto"/>
              <w:jc w:val="center"/>
            </w:pPr>
            <w:r>
              <w:t>288</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2F154425" w14:textId="28CEB55B" w:rsidR="008D1B77" w:rsidRPr="0072192E" w:rsidRDefault="004A4370" w:rsidP="001836A3">
            <w:pPr>
              <w:keepNext/>
              <w:keepLines/>
              <w:spacing w:after="0" w:line="240" w:lineRule="auto"/>
              <w:jc w:val="center"/>
              <w:rPr>
                <w:i/>
              </w:rPr>
            </w:pPr>
            <w:r w:rsidRPr="0072192E">
              <w:rPr>
                <w:i/>
              </w:rPr>
              <w:t>322</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95F6570" w14:textId="69448B9A" w:rsidR="00F72546" w:rsidRPr="0072192E" w:rsidRDefault="00E44D0D" w:rsidP="001836A3">
            <w:pPr>
              <w:keepNext/>
              <w:keepLines/>
              <w:spacing w:after="0" w:line="240" w:lineRule="auto"/>
              <w:jc w:val="center"/>
              <w:rPr>
                <w:i/>
              </w:rPr>
            </w:pPr>
            <w:r w:rsidRPr="0072192E">
              <w:rPr>
                <w:i/>
              </w:rPr>
              <w:t>644</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BC37519" w14:textId="50B6F129" w:rsidR="00F72546" w:rsidRPr="00E43D18" w:rsidRDefault="00E44D0D" w:rsidP="001836A3">
            <w:pPr>
              <w:keepNext/>
              <w:keepLines/>
              <w:spacing w:after="0" w:line="240" w:lineRule="auto"/>
              <w:jc w:val="center"/>
            </w:pPr>
            <w:r>
              <w:t>1</w:t>
            </w:r>
            <w:r w:rsidR="001836A3">
              <w:t>,</w:t>
            </w:r>
            <w:r>
              <w:t>023</w:t>
            </w:r>
            <w:r w:rsidR="00890F97">
              <w:t xml:space="preserve"> (16.5%)</w:t>
            </w:r>
          </w:p>
        </w:tc>
      </w:tr>
      <w:tr w:rsidR="0072192E" w14:paraId="0BF18564"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453AC797" w14:textId="4FEF62D1" w:rsidR="00F72546" w:rsidRDefault="00C74BE5" w:rsidP="001F57E3">
            <w:pPr>
              <w:spacing w:after="0" w:line="480" w:lineRule="auto"/>
              <w:contextualSpacing/>
              <w:jc w:val="center"/>
            </w:pPr>
            <w:r>
              <w:t>1437</w:t>
            </w:r>
            <w:r w:rsidR="00913F0E">
              <w:rPr>
                <w:rFonts w:cs="Arial"/>
              </w:rPr>
              <w:t>–</w:t>
            </w:r>
            <w:r>
              <w:t>1442 MHz</w:t>
            </w:r>
          </w:p>
        </w:tc>
        <w:tc>
          <w:tcPr>
            <w:tcW w:w="540" w:type="dxa"/>
            <w:tcBorders>
              <w:left w:val="single" w:sz="12" w:space="0" w:color="auto"/>
            </w:tcBorders>
            <w:tcMar>
              <w:top w:w="28" w:type="dxa"/>
              <w:left w:w="28" w:type="dxa"/>
              <w:bottom w:w="28" w:type="dxa"/>
              <w:right w:w="28" w:type="dxa"/>
            </w:tcMar>
          </w:tcPr>
          <w:p w14:paraId="7B07C6BD" w14:textId="4D61FC77" w:rsidR="00F72546" w:rsidRPr="00E43D18" w:rsidRDefault="00E44D0D" w:rsidP="001F57E3">
            <w:pPr>
              <w:spacing w:after="0" w:line="240" w:lineRule="auto"/>
              <w:jc w:val="center"/>
            </w:pPr>
            <w:r>
              <w:t>2</w:t>
            </w:r>
          </w:p>
        </w:tc>
        <w:tc>
          <w:tcPr>
            <w:tcW w:w="551" w:type="dxa"/>
            <w:tcMar>
              <w:top w:w="28" w:type="dxa"/>
              <w:left w:w="28" w:type="dxa"/>
              <w:bottom w:w="28" w:type="dxa"/>
              <w:right w:w="28" w:type="dxa"/>
            </w:tcMar>
          </w:tcPr>
          <w:p w14:paraId="74604D86" w14:textId="1FFD99C2" w:rsidR="00F72546" w:rsidRPr="00E43D18" w:rsidRDefault="00E44D0D" w:rsidP="001F57E3">
            <w:pPr>
              <w:spacing w:after="0" w:line="240" w:lineRule="auto"/>
              <w:jc w:val="center"/>
            </w:pPr>
            <w:r>
              <w:t>8</w:t>
            </w:r>
          </w:p>
        </w:tc>
        <w:tc>
          <w:tcPr>
            <w:tcW w:w="471" w:type="dxa"/>
            <w:tcMar>
              <w:top w:w="28" w:type="dxa"/>
              <w:left w:w="28" w:type="dxa"/>
              <w:bottom w:w="28" w:type="dxa"/>
              <w:right w:w="28" w:type="dxa"/>
            </w:tcMar>
          </w:tcPr>
          <w:p w14:paraId="2D8AFA1A" w14:textId="079BDD82" w:rsidR="00F72546" w:rsidRPr="00E43D18" w:rsidRDefault="00E44D0D" w:rsidP="001F57E3">
            <w:pPr>
              <w:spacing w:after="0" w:line="240" w:lineRule="auto"/>
              <w:jc w:val="center"/>
            </w:pPr>
            <w:r>
              <w:t>1</w:t>
            </w:r>
          </w:p>
        </w:tc>
        <w:tc>
          <w:tcPr>
            <w:tcW w:w="522" w:type="dxa"/>
            <w:tcMar>
              <w:top w:w="28" w:type="dxa"/>
              <w:left w:w="28" w:type="dxa"/>
              <w:bottom w:w="28" w:type="dxa"/>
              <w:right w:w="28" w:type="dxa"/>
            </w:tcMar>
          </w:tcPr>
          <w:p w14:paraId="47A98AFD" w14:textId="2FF9BDFB" w:rsidR="00F72546" w:rsidRPr="00E43D18" w:rsidRDefault="00E44D0D" w:rsidP="001F57E3">
            <w:pPr>
              <w:spacing w:after="0" w:line="240" w:lineRule="auto"/>
              <w:jc w:val="center"/>
            </w:pPr>
            <w:r>
              <w:t>3</w:t>
            </w:r>
          </w:p>
        </w:tc>
        <w:tc>
          <w:tcPr>
            <w:tcW w:w="507" w:type="dxa"/>
            <w:tcMar>
              <w:top w:w="28" w:type="dxa"/>
              <w:left w:w="28" w:type="dxa"/>
              <w:bottom w:w="28" w:type="dxa"/>
              <w:right w:w="28" w:type="dxa"/>
            </w:tcMar>
          </w:tcPr>
          <w:p w14:paraId="4E45FA0E" w14:textId="018D839F" w:rsidR="00F72546" w:rsidRPr="00E43D18" w:rsidRDefault="00E44D0D" w:rsidP="001F57E3">
            <w:pPr>
              <w:spacing w:after="0" w:line="240" w:lineRule="auto"/>
              <w:jc w:val="center"/>
            </w:pPr>
            <w:r>
              <w:t>9</w:t>
            </w:r>
          </w:p>
        </w:tc>
        <w:tc>
          <w:tcPr>
            <w:tcW w:w="440" w:type="dxa"/>
            <w:tcMar>
              <w:top w:w="28" w:type="dxa"/>
              <w:left w:w="28" w:type="dxa"/>
              <w:bottom w:w="28" w:type="dxa"/>
              <w:right w:w="28" w:type="dxa"/>
            </w:tcMar>
          </w:tcPr>
          <w:p w14:paraId="6D96C55F" w14:textId="286F8C13" w:rsidR="00F72546" w:rsidRPr="00E43D18" w:rsidRDefault="00E44D0D" w:rsidP="001F57E3">
            <w:pPr>
              <w:spacing w:after="0" w:line="240" w:lineRule="auto"/>
              <w:jc w:val="center"/>
            </w:pPr>
            <w:r>
              <w:t>4</w:t>
            </w:r>
          </w:p>
        </w:tc>
        <w:tc>
          <w:tcPr>
            <w:tcW w:w="507" w:type="dxa"/>
            <w:tcMar>
              <w:top w:w="28" w:type="dxa"/>
              <w:left w:w="28" w:type="dxa"/>
              <w:bottom w:w="28" w:type="dxa"/>
              <w:right w:w="28" w:type="dxa"/>
            </w:tcMar>
          </w:tcPr>
          <w:p w14:paraId="4C1EC8FE" w14:textId="16CE3B55" w:rsidR="00F72546" w:rsidRPr="00E43D18" w:rsidRDefault="00E44D0D" w:rsidP="001F57E3">
            <w:pPr>
              <w:spacing w:after="0" w:line="240" w:lineRule="auto"/>
              <w:jc w:val="center"/>
            </w:pPr>
            <w:r>
              <w:t>7</w:t>
            </w:r>
          </w:p>
        </w:tc>
        <w:tc>
          <w:tcPr>
            <w:tcW w:w="552" w:type="dxa"/>
            <w:tcBorders>
              <w:right w:val="single" w:sz="12" w:space="0" w:color="auto"/>
            </w:tcBorders>
            <w:tcMar>
              <w:top w:w="28" w:type="dxa"/>
              <w:left w:w="28" w:type="dxa"/>
              <w:bottom w:w="28" w:type="dxa"/>
              <w:right w:w="28" w:type="dxa"/>
            </w:tcMar>
          </w:tcPr>
          <w:p w14:paraId="54119F4D" w14:textId="25305EDB" w:rsidR="00F72546" w:rsidRPr="00E43D18" w:rsidRDefault="00E44D0D" w:rsidP="001F57E3">
            <w:pPr>
              <w:spacing w:after="0" w:line="240" w:lineRule="auto"/>
              <w:jc w:val="center"/>
            </w:pPr>
            <w:r>
              <w:t>22</w:t>
            </w:r>
          </w:p>
        </w:tc>
        <w:tc>
          <w:tcPr>
            <w:tcW w:w="664" w:type="dxa"/>
            <w:tcBorders>
              <w:right w:val="single" w:sz="12" w:space="0" w:color="auto"/>
            </w:tcBorders>
            <w:tcMar>
              <w:top w:w="28" w:type="dxa"/>
              <w:left w:w="28" w:type="dxa"/>
              <w:bottom w:w="28" w:type="dxa"/>
              <w:right w:w="28" w:type="dxa"/>
            </w:tcMar>
          </w:tcPr>
          <w:p w14:paraId="4553170D" w14:textId="3813760B" w:rsidR="008D1B77" w:rsidRPr="0072192E" w:rsidRDefault="004A4370" w:rsidP="001F57E3">
            <w:pPr>
              <w:spacing w:after="0" w:line="240" w:lineRule="auto"/>
              <w:jc w:val="center"/>
              <w:rPr>
                <w:i/>
              </w:rPr>
            </w:pPr>
            <w:r w:rsidRPr="0072192E">
              <w:rPr>
                <w:i/>
              </w:rPr>
              <w:t>56</w:t>
            </w:r>
          </w:p>
        </w:tc>
        <w:tc>
          <w:tcPr>
            <w:tcW w:w="552" w:type="dxa"/>
            <w:tcBorders>
              <w:left w:val="single" w:sz="12" w:space="0" w:color="auto"/>
            </w:tcBorders>
            <w:tcMar>
              <w:top w:w="28" w:type="dxa"/>
              <w:left w:w="28" w:type="dxa"/>
              <w:bottom w:w="28" w:type="dxa"/>
              <w:right w:w="28" w:type="dxa"/>
            </w:tcMar>
          </w:tcPr>
          <w:p w14:paraId="43191D72" w14:textId="02B10903" w:rsidR="00F72546" w:rsidRPr="00E43D18" w:rsidRDefault="00E44D0D" w:rsidP="001F57E3">
            <w:pPr>
              <w:spacing w:after="0" w:line="240" w:lineRule="auto"/>
              <w:jc w:val="center"/>
            </w:pPr>
            <w:r>
              <w:t>29</w:t>
            </w:r>
          </w:p>
        </w:tc>
        <w:tc>
          <w:tcPr>
            <w:tcW w:w="694" w:type="dxa"/>
            <w:tcBorders>
              <w:right w:val="single" w:sz="12" w:space="0" w:color="auto"/>
            </w:tcBorders>
            <w:tcMar>
              <w:top w:w="28" w:type="dxa"/>
              <w:left w:w="28" w:type="dxa"/>
              <w:bottom w:w="28" w:type="dxa"/>
              <w:right w:w="28" w:type="dxa"/>
            </w:tcMar>
          </w:tcPr>
          <w:p w14:paraId="358B7B67" w14:textId="545D76E8" w:rsidR="00F72546" w:rsidRPr="00E43D18" w:rsidRDefault="00E44D0D" w:rsidP="001F57E3">
            <w:pPr>
              <w:spacing w:after="0" w:line="240" w:lineRule="auto"/>
              <w:jc w:val="center"/>
            </w:pPr>
            <w:r>
              <w:t>225</w:t>
            </w:r>
          </w:p>
        </w:tc>
        <w:tc>
          <w:tcPr>
            <w:tcW w:w="693" w:type="dxa"/>
            <w:tcBorders>
              <w:right w:val="single" w:sz="12" w:space="0" w:color="auto"/>
            </w:tcBorders>
            <w:tcMar>
              <w:top w:w="28" w:type="dxa"/>
              <w:left w:w="28" w:type="dxa"/>
              <w:bottom w:w="28" w:type="dxa"/>
              <w:right w:w="28" w:type="dxa"/>
            </w:tcMar>
          </w:tcPr>
          <w:p w14:paraId="705D509F" w14:textId="59CCC36B" w:rsidR="008D1B77" w:rsidRPr="0072192E" w:rsidRDefault="004A4370" w:rsidP="001F57E3">
            <w:pPr>
              <w:spacing w:after="0" w:line="240" w:lineRule="auto"/>
              <w:jc w:val="center"/>
              <w:rPr>
                <w:i/>
              </w:rPr>
            </w:pPr>
            <w:r w:rsidRPr="0072192E">
              <w:rPr>
                <w:i/>
              </w:rPr>
              <w:t>254</w:t>
            </w:r>
          </w:p>
        </w:tc>
        <w:tc>
          <w:tcPr>
            <w:tcW w:w="694" w:type="dxa"/>
            <w:tcBorders>
              <w:left w:val="single" w:sz="12" w:space="0" w:color="auto"/>
              <w:right w:val="single" w:sz="12" w:space="0" w:color="auto"/>
            </w:tcBorders>
            <w:tcMar>
              <w:top w:w="28" w:type="dxa"/>
              <w:left w:w="28" w:type="dxa"/>
              <w:bottom w:w="28" w:type="dxa"/>
              <w:right w:w="28" w:type="dxa"/>
            </w:tcMar>
          </w:tcPr>
          <w:p w14:paraId="4309E1DB" w14:textId="5E96CED9" w:rsidR="00F72546" w:rsidRPr="0072192E" w:rsidRDefault="00E44D0D" w:rsidP="001F57E3">
            <w:pPr>
              <w:spacing w:after="0" w:line="240" w:lineRule="auto"/>
              <w:jc w:val="center"/>
              <w:rPr>
                <w:i/>
              </w:rPr>
            </w:pPr>
            <w:r w:rsidRPr="0072192E">
              <w:rPr>
                <w:i/>
              </w:rPr>
              <w:t>489</w:t>
            </w:r>
          </w:p>
        </w:tc>
        <w:tc>
          <w:tcPr>
            <w:tcW w:w="1041" w:type="dxa"/>
            <w:tcBorders>
              <w:left w:val="single" w:sz="12" w:space="0" w:color="auto"/>
              <w:right w:val="single" w:sz="12" w:space="0" w:color="auto"/>
            </w:tcBorders>
            <w:tcMar>
              <w:top w:w="28" w:type="dxa"/>
              <w:left w:w="28" w:type="dxa"/>
              <w:bottom w:w="28" w:type="dxa"/>
              <w:right w:w="28" w:type="dxa"/>
            </w:tcMar>
          </w:tcPr>
          <w:p w14:paraId="6D2A5450" w14:textId="0822DA86" w:rsidR="00F72546" w:rsidRPr="00E43D18" w:rsidRDefault="008D1B77" w:rsidP="001F57E3">
            <w:pPr>
              <w:spacing w:after="0" w:line="240" w:lineRule="auto"/>
              <w:jc w:val="center"/>
            </w:pPr>
            <w:r>
              <w:t>799</w:t>
            </w:r>
            <w:r w:rsidR="00890F97">
              <w:t xml:space="preserve"> (12.9%)</w:t>
            </w:r>
          </w:p>
        </w:tc>
      </w:tr>
      <w:tr w:rsidR="0072192E" w14:paraId="4A6530D8"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3A905424" w14:textId="2DAECF6F" w:rsidR="00F72546" w:rsidRDefault="00C74BE5" w:rsidP="001F57E3">
            <w:pPr>
              <w:spacing w:after="0" w:line="480" w:lineRule="auto"/>
              <w:contextualSpacing/>
              <w:jc w:val="center"/>
            </w:pPr>
            <w:r>
              <w:t>1442</w:t>
            </w:r>
            <w:r w:rsidR="00913F0E">
              <w:rPr>
                <w:rFonts w:cs="Arial"/>
              </w:rPr>
              <w:t>–</w:t>
            </w:r>
            <w:r>
              <w:t>1447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4DF8B548" w14:textId="057BD8D6" w:rsidR="00F72546" w:rsidRPr="00E43D18" w:rsidRDefault="00F64893" w:rsidP="001F57E3">
            <w:pPr>
              <w:spacing w:after="0" w:line="240" w:lineRule="auto"/>
              <w:jc w:val="center"/>
            </w:pPr>
            <w:r>
              <w:t>1</w:t>
            </w:r>
          </w:p>
        </w:tc>
        <w:tc>
          <w:tcPr>
            <w:tcW w:w="551" w:type="dxa"/>
            <w:shd w:val="clear" w:color="auto" w:fill="F2F2F2" w:themeFill="background1" w:themeFillShade="F2"/>
            <w:tcMar>
              <w:top w:w="28" w:type="dxa"/>
              <w:left w:w="28" w:type="dxa"/>
              <w:bottom w:w="28" w:type="dxa"/>
              <w:right w:w="28" w:type="dxa"/>
            </w:tcMar>
          </w:tcPr>
          <w:p w14:paraId="594F5A94" w14:textId="3AE391C1" w:rsidR="00F72546" w:rsidRPr="00E43D18" w:rsidRDefault="00F64893" w:rsidP="001F57E3">
            <w:pPr>
              <w:spacing w:after="0" w:line="240" w:lineRule="auto"/>
              <w:jc w:val="center"/>
            </w:pPr>
            <w:r>
              <w:t>7</w:t>
            </w:r>
          </w:p>
        </w:tc>
        <w:tc>
          <w:tcPr>
            <w:tcW w:w="471" w:type="dxa"/>
            <w:shd w:val="clear" w:color="auto" w:fill="F2F2F2" w:themeFill="background1" w:themeFillShade="F2"/>
            <w:tcMar>
              <w:top w:w="28" w:type="dxa"/>
              <w:left w:w="28" w:type="dxa"/>
              <w:bottom w:w="28" w:type="dxa"/>
              <w:right w:w="28" w:type="dxa"/>
            </w:tcMar>
          </w:tcPr>
          <w:p w14:paraId="5452CE49" w14:textId="78DB18EC" w:rsidR="00F72546" w:rsidRPr="00E43D18" w:rsidRDefault="00F64893" w:rsidP="001F57E3">
            <w:pPr>
              <w:spacing w:after="0" w:line="240" w:lineRule="auto"/>
              <w:jc w:val="center"/>
            </w:pPr>
            <w:r>
              <w:t>3</w:t>
            </w:r>
          </w:p>
        </w:tc>
        <w:tc>
          <w:tcPr>
            <w:tcW w:w="522" w:type="dxa"/>
            <w:shd w:val="clear" w:color="auto" w:fill="F2F2F2" w:themeFill="background1" w:themeFillShade="F2"/>
            <w:tcMar>
              <w:top w:w="28" w:type="dxa"/>
              <w:left w:w="28" w:type="dxa"/>
              <w:bottom w:w="28" w:type="dxa"/>
              <w:right w:w="28" w:type="dxa"/>
            </w:tcMar>
          </w:tcPr>
          <w:p w14:paraId="07C09D4A" w14:textId="2CA7D18E" w:rsidR="00F72546" w:rsidRPr="00E43D18" w:rsidRDefault="00F64893" w:rsidP="001F57E3">
            <w:pPr>
              <w:spacing w:after="0" w:line="240" w:lineRule="auto"/>
              <w:jc w:val="center"/>
            </w:pPr>
            <w:r>
              <w:t>2</w:t>
            </w:r>
          </w:p>
        </w:tc>
        <w:tc>
          <w:tcPr>
            <w:tcW w:w="507" w:type="dxa"/>
            <w:shd w:val="clear" w:color="auto" w:fill="F2F2F2" w:themeFill="background1" w:themeFillShade="F2"/>
            <w:tcMar>
              <w:top w:w="28" w:type="dxa"/>
              <w:left w:w="28" w:type="dxa"/>
              <w:bottom w:w="28" w:type="dxa"/>
              <w:right w:w="28" w:type="dxa"/>
            </w:tcMar>
          </w:tcPr>
          <w:p w14:paraId="035EE066" w14:textId="3D3A2D4B" w:rsidR="00F72546" w:rsidRPr="00E43D18" w:rsidRDefault="00F64893" w:rsidP="001F57E3">
            <w:pPr>
              <w:spacing w:after="0" w:line="240" w:lineRule="auto"/>
              <w:jc w:val="center"/>
            </w:pPr>
            <w:r>
              <w:t>6</w:t>
            </w:r>
          </w:p>
        </w:tc>
        <w:tc>
          <w:tcPr>
            <w:tcW w:w="440" w:type="dxa"/>
            <w:shd w:val="clear" w:color="auto" w:fill="F2F2F2" w:themeFill="background1" w:themeFillShade="F2"/>
            <w:tcMar>
              <w:top w:w="28" w:type="dxa"/>
              <w:left w:w="28" w:type="dxa"/>
              <w:bottom w:w="28" w:type="dxa"/>
              <w:right w:w="28" w:type="dxa"/>
            </w:tcMar>
          </w:tcPr>
          <w:p w14:paraId="69D36B97" w14:textId="15B56263" w:rsidR="00F72546" w:rsidRPr="00E43D18" w:rsidRDefault="00F64893" w:rsidP="001F57E3">
            <w:pPr>
              <w:spacing w:after="0" w:line="240" w:lineRule="auto"/>
              <w:jc w:val="center"/>
            </w:pPr>
            <w:r>
              <w:t>6</w:t>
            </w:r>
          </w:p>
        </w:tc>
        <w:tc>
          <w:tcPr>
            <w:tcW w:w="507" w:type="dxa"/>
            <w:shd w:val="clear" w:color="auto" w:fill="F2F2F2" w:themeFill="background1" w:themeFillShade="F2"/>
            <w:tcMar>
              <w:top w:w="28" w:type="dxa"/>
              <w:left w:w="28" w:type="dxa"/>
              <w:bottom w:w="28" w:type="dxa"/>
              <w:right w:w="28" w:type="dxa"/>
            </w:tcMar>
          </w:tcPr>
          <w:p w14:paraId="6ED36515" w14:textId="0DD46F41" w:rsidR="00F72546" w:rsidRPr="00E43D18" w:rsidRDefault="00F64893" w:rsidP="001F57E3">
            <w:pPr>
              <w:spacing w:after="0" w:line="240" w:lineRule="auto"/>
              <w:jc w:val="center"/>
            </w:pPr>
            <w:r>
              <w:t>3</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3ED9BFAE" w14:textId="4D44A1E4" w:rsidR="00F72546" w:rsidRPr="00E43D18" w:rsidRDefault="00F64893" w:rsidP="001F57E3">
            <w:pPr>
              <w:spacing w:after="0" w:line="240" w:lineRule="auto"/>
              <w:jc w:val="center"/>
            </w:pPr>
            <w:r>
              <w:t>26</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434D61E0" w14:textId="6A4124A1" w:rsidR="008D1B77" w:rsidRPr="0072192E" w:rsidRDefault="004A4370" w:rsidP="001F57E3">
            <w:pPr>
              <w:spacing w:after="0" w:line="240" w:lineRule="auto"/>
              <w:jc w:val="center"/>
              <w:rPr>
                <w:i/>
              </w:rPr>
            </w:pPr>
            <w:r w:rsidRPr="0072192E">
              <w:rPr>
                <w:i/>
              </w:rPr>
              <w:t>54</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429B432A" w14:textId="532DBD1E" w:rsidR="00F72546" w:rsidRPr="00E43D18" w:rsidRDefault="00F64893" w:rsidP="001F57E3">
            <w:pPr>
              <w:spacing w:after="0" w:line="240" w:lineRule="auto"/>
              <w:jc w:val="center"/>
            </w:pPr>
            <w:r>
              <w:t>38</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596C6AA3" w14:textId="376EE91F" w:rsidR="00F72546" w:rsidRPr="00E43D18" w:rsidRDefault="00F64893" w:rsidP="001F57E3">
            <w:pPr>
              <w:spacing w:after="0" w:line="240" w:lineRule="auto"/>
              <w:jc w:val="center"/>
            </w:pPr>
            <w:r>
              <w:t>255</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231F4F13" w14:textId="6BE5C564" w:rsidR="008D1B77" w:rsidRPr="0072192E" w:rsidRDefault="004A4370" w:rsidP="001F57E3">
            <w:pPr>
              <w:spacing w:after="0" w:line="240" w:lineRule="auto"/>
              <w:jc w:val="center"/>
              <w:rPr>
                <w:i/>
              </w:rPr>
            </w:pPr>
            <w:r w:rsidRPr="0072192E">
              <w:rPr>
                <w:i/>
              </w:rPr>
              <w:t>293</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2F43DAE3" w14:textId="4C441398" w:rsidR="00F72546" w:rsidRPr="0072192E" w:rsidRDefault="00F64893" w:rsidP="001F57E3">
            <w:pPr>
              <w:spacing w:after="0" w:line="240" w:lineRule="auto"/>
              <w:jc w:val="center"/>
              <w:rPr>
                <w:i/>
              </w:rPr>
            </w:pPr>
            <w:r w:rsidRPr="0072192E">
              <w:rPr>
                <w:i/>
              </w:rPr>
              <w:t>674</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593110FA" w14:textId="47F53BE3" w:rsidR="00F72546" w:rsidRPr="00E43D18" w:rsidRDefault="00E44D0D" w:rsidP="001F57E3">
            <w:pPr>
              <w:spacing w:after="0" w:line="240" w:lineRule="auto"/>
              <w:jc w:val="center"/>
            </w:pPr>
            <w:r>
              <w:t>1</w:t>
            </w:r>
            <w:r w:rsidR="001836A3">
              <w:t>,</w:t>
            </w:r>
            <w:r>
              <w:t>021</w:t>
            </w:r>
            <w:r w:rsidR="00890F97">
              <w:t xml:space="preserve"> (16.4%)</w:t>
            </w:r>
          </w:p>
        </w:tc>
      </w:tr>
      <w:tr w:rsidR="0072192E" w14:paraId="613AEAE5"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4A72B8E7" w14:textId="26589132" w:rsidR="00F72546" w:rsidRDefault="00C74BE5" w:rsidP="001F57E3">
            <w:pPr>
              <w:spacing w:after="0" w:line="480" w:lineRule="auto"/>
              <w:contextualSpacing/>
              <w:jc w:val="center"/>
            </w:pPr>
            <w:r>
              <w:t>1447</w:t>
            </w:r>
            <w:r w:rsidR="001836A3">
              <w:t>–</w:t>
            </w:r>
            <w:r>
              <w:t>1452 MHz</w:t>
            </w:r>
          </w:p>
        </w:tc>
        <w:tc>
          <w:tcPr>
            <w:tcW w:w="540" w:type="dxa"/>
            <w:tcBorders>
              <w:left w:val="single" w:sz="12" w:space="0" w:color="auto"/>
            </w:tcBorders>
            <w:tcMar>
              <w:top w:w="28" w:type="dxa"/>
              <w:left w:w="28" w:type="dxa"/>
              <w:bottom w:w="28" w:type="dxa"/>
              <w:right w:w="28" w:type="dxa"/>
            </w:tcMar>
          </w:tcPr>
          <w:p w14:paraId="2E2C5408" w14:textId="4D415EF1" w:rsidR="00F72546" w:rsidRPr="00E43D18" w:rsidRDefault="00F64893" w:rsidP="001F57E3">
            <w:pPr>
              <w:spacing w:after="0" w:line="240" w:lineRule="auto"/>
              <w:jc w:val="center"/>
            </w:pPr>
            <w:r>
              <w:t>1</w:t>
            </w:r>
          </w:p>
        </w:tc>
        <w:tc>
          <w:tcPr>
            <w:tcW w:w="551" w:type="dxa"/>
            <w:tcMar>
              <w:top w:w="28" w:type="dxa"/>
              <w:left w:w="28" w:type="dxa"/>
              <w:bottom w:w="28" w:type="dxa"/>
              <w:right w:w="28" w:type="dxa"/>
            </w:tcMar>
          </w:tcPr>
          <w:p w14:paraId="75A06FC6" w14:textId="63266FB4" w:rsidR="00F72546" w:rsidRPr="00E43D18" w:rsidRDefault="00F64893" w:rsidP="001F57E3">
            <w:pPr>
              <w:spacing w:after="0" w:line="240" w:lineRule="auto"/>
              <w:jc w:val="center"/>
            </w:pPr>
            <w:r>
              <w:t>7</w:t>
            </w:r>
          </w:p>
        </w:tc>
        <w:tc>
          <w:tcPr>
            <w:tcW w:w="471" w:type="dxa"/>
            <w:tcMar>
              <w:top w:w="28" w:type="dxa"/>
              <w:left w:w="28" w:type="dxa"/>
              <w:bottom w:w="28" w:type="dxa"/>
              <w:right w:w="28" w:type="dxa"/>
            </w:tcMar>
          </w:tcPr>
          <w:p w14:paraId="26ECF9F7" w14:textId="556EEBBB" w:rsidR="00F72546" w:rsidRPr="00E43D18" w:rsidRDefault="00F64893" w:rsidP="001F57E3">
            <w:pPr>
              <w:spacing w:after="0" w:line="240" w:lineRule="auto"/>
              <w:jc w:val="center"/>
            </w:pPr>
            <w:r>
              <w:t>3</w:t>
            </w:r>
          </w:p>
        </w:tc>
        <w:tc>
          <w:tcPr>
            <w:tcW w:w="522" w:type="dxa"/>
            <w:tcMar>
              <w:top w:w="28" w:type="dxa"/>
              <w:left w:w="28" w:type="dxa"/>
              <w:bottom w:w="28" w:type="dxa"/>
              <w:right w:w="28" w:type="dxa"/>
            </w:tcMar>
          </w:tcPr>
          <w:p w14:paraId="6C3E3618" w14:textId="6FB694A4" w:rsidR="00F72546" w:rsidRPr="00E43D18" w:rsidRDefault="00F64893" w:rsidP="001F57E3">
            <w:pPr>
              <w:spacing w:after="0" w:line="240" w:lineRule="auto"/>
              <w:jc w:val="center"/>
            </w:pPr>
            <w:r>
              <w:t>2</w:t>
            </w:r>
          </w:p>
        </w:tc>
        <w:tc>
          <w:tcPr>
            <w:tcW w:w="507" w:type="dxa"/>
            <w:tcMar>
              <w:top w:w="28" w:type="dxa"/>
              <w:left w:w="28" w:type="dxa"/>
              <w:bottom w:w="28" w:type="dxa"/>
              <w:right w:w="28" w:type="dxa"/>
            </w:tcMar>
          </w:tcPr>
          <w:p w14:paraId="29AE2DDB" w14:textId="74859D6B" w:rsidR="00F72546" w:rsidRPr="00E43D18" w:rsidRDefault="00F64893" w:rsidP="001F57E3">
            <w:pPr>
              <w:spacing w:after="0" w:line="240" w:lineRule="auto"/>
              <w:jc w:val="center"/>
            </w:pPr>
            <w:r>
              <w:t>1</w:t>
            </w:r>
          </w:p>
        </w:tc>
        <w:tc>
          <w:tcPr>
            <w:tcW w:w="440" w:type="dxa"/>
            <w:tcMar>
              <w:top w:w="28" w:type="dxa"/>
              <w:left w:w="28" w:type="dxa"/>
              <w:bottom w:w="28" w:type="dxa"/>
              <w:right w:w="28" w:type="dxa"/>
            </w:tcMar>
          </w:tcPr>
          <w:p w14:paraId="1A21FD35" w14:textId="5210C9F7" w:rsidR="00F72546" w:rsidRPr="00E43D18" w:rsidRDefault="00F64893" w:rsidP="001F57E3">
            <w:pPr>
              <w:spacing w:after="0" w:line="240" w:lineRule="auto"/>
              <w:jc w:val="center"/>
            </w:pPr>
            <w:r>
              <w:t>4</w:t>
            </w:r>
          </w:p>
        </w:tc>
        <w:tc>
          <w:tcPr>
            <w:tcW w:w="507" w:type="dxa"/>
            <w:tcMar>
              <w:top w:w="28" w:type="dxa"/>
              <w:left w:w="28" w:type="dxa"/>
              <w:bottom w:w="28" w:type="dxa"/>
              <w:right w:w="28" w:type="dxa"/>
            </w:tcMar>
          </w:tcPr>
          <w:p w14:paraId="24FB9B25" w14:textId="0500710B" w:rsidR="00F72546" w:rsidRPr="00E43D18" w:rsidRDefault="00F64893" w:rsidP="001F57E3">
            <w:pPr>
              <w:spacing w:after="0" w:line="240" w:lineRule="auto"/>
              <w:jc w:val="center"/>
            </w:pPr>
            <w:r>
              <w:t>3</w:t>
            </w:r>
          </w:p>
        </w:tc>
        <w:tc>
          <w:tcPr>
            <w:tcW w:w="552" w:type="dxa"/>
            <w:tcBorders>
              <w:right w:val="single" w:sz="12" w:space="0" w:color="auto"/>
            </w:tcBorders>
            <w:tcMar>
              <w:top w:w="28" w:type="dxa"/>
              <w:left w:w="28" w:type="dxa"/>
              <w:bottom w:w="28" w:type="dxa"/>
              <w:right w:w="28" w:type="dxa"/>
            </w:tcMar>
          </w:tcPr>
          <w:p w14:paraId="637B9974" w14:textId="6BDE315A" w:rsidR="00F72546" w:rsidRPr="00E43D18" w:rsidRDefault="00F64893" w:rsidP="001F57E3">
            <w:pPr>
              <w:spacing w:after="0" w:line="240" w:lineRule="auto"/>
              <w:jc w:val="center"/>
            </w:pPr>
            <w:r>
              <w:t>15</w:t>
            </w:r>
          </w:p>
        </w:tc>
        <w:tc>
          <w:tcPr>
            <w:tcW w:w="664" w:type="dxa"/>
            <w:tcBorders>
              <w:right w:val="single" w:sz="12" w:space="0" w:color="auto"/>
            </w:tcBorders>
            <w:tcMar>
              <w:top w:w="28" w:type="dxa"/>
              <w:left w:w="28" w:type="dxa"/>
              <w:bottom w:w="28" w:type="dxa"/>
              <w:right w:w="28" w:type="dxa"/>
            </w:tcMar>
          </w:tcPr>
          <w:p w14:paraId="42934CD7" w14:textId="06DBE007" w:rsidR="008D1B77" w:rsidRPr="0072192E" w:rsidRDefault="004A4370" w:rsidP="001F57E3">
            <w:pPr>
              <w:spacing w:after="0" w:line="240" w:lineRule="auto"/>
              <w:jc w:val="center"/>
              <w:rPr>
                <w:i/>
              </w:rPr>
            </w:pPr>
            <w:r w:rsidRPr="0072192E">
              <w:rPr>
                <w:i/>
              </w:rPr>
              <w:t>36</w:t>
            </w:r>
          </w:p>
        </w:tc>
        <w:tc>
          <w:tcPr>
            <w:tcW w:w="552" w:type="dxa"/>
            <w:tcBorders>
              <w:left w:val="single" w:sz="12" w:space="0" w:color="auto"/>
            </w:tcBorders>
            <w:tcMar>
              <w:top w:w="28" w:type="dxa"/>
              <w:left w:w="28" w:type="dxa"/>
              <w:bottom w:w="28" w:type="dxa"/>
              <w:right w:w="28" w:type="dxa"/>
            </w:tcMar>
          </w:tcPr>
          <w:p w14:paraId="17BAEE21" w14:textId="07B2D6DE" w:rsidR="00F72546" w:rsidRPr="00E43D18" w:rsidRDefault="00F64893" w:rsidP="001F57E3">
            <w:pPr>
              <w:spacing w:after="0" w:line="240" w:lineRule="auto"/>
              <w:jc w:val="center"/>
            </w:pPr>
            <w:r>
              <w:t>25</w:t>
            </w:r>
          </w:p>
        </w:tc>
        <w:tc>
          <w:tcPr>
            <w:tcW w:w="694" w:type="dxa"/>
            <w:tcBorders>
              <w:right w:val="single" w:sz="12" w:space="0" w:color="auto"/>
            </w:tcBorders>
            <w:tcMar>
              <w:top w:w="28" w:type="dxa"/>
              <w:left w:w="28" w:type="dxa"/>
              <w:bottom w:w="28" w:type="dxa"/>
              <w:right w:w="28" w:type="dxa"/>
            </w:tcMar>
          </w:tcPr>
          <w:p w14:paraId="794E2C8B" w14:textId="528F0A85" w:rsidR="00F72546" w:rsidRPr="00E43D18" w:rsidRDefault="00F64893" w:rsidP="001F57E3">
            <w:pPr>
              <w:spacing w:after="0" w:line="240" w:lineRule="auto"/>
              <w:jc w:val="center"/>
            </w:pPr>
            <w:r>
              <w:t>185</w:t>
            </w:r>
          </w:p>
        </w:tc>
        <w:tc>
          <w:tcPr>
            <w:tcW w:w="693" w:type="dxa"/>
            <w:tcBorders>
              <w:right w:val="single" w:sz="12" w:space="0" w:color="auto"/>
            </w:tcBorders>
            <w:tcMar>
              <w:top w:w="28" w:type="dxa"/>
              <w:left w:w="28" w:type="dxa"/>
              <w:bottom w:w="28" w:type="dxa"/>
              <w:right w:w="28" w:type="dxa"/>
            </w:tcMar>
          </w:tcPr>
          <w:p w14:paraId="58DEC4F9" w14:textId="35777F38" w:rsidR="008D1B77" w:rsidRPr="0072192E" w:rsidRDefault="004A4370" w:rsidP="001F57E3">
            <w:pPr>
              <w:spacing w:after="0" w:line="240" w:lineRule="auto"/>
              <w:jc w:val="center"/>
              <w:rPr>
                <w:i/>
              </w:rPr>
            </w:pPr>
            <w:r w:rsidRPr="0072192E">
              <w:rPr>
                <w:i/>
              </w:rPr>
              <w:t>210</w:t>
            </w:r>
          </w:p>
        </w:tc>
        <w:tc>
          <w:tcPr>
            <w:tcW w:w="694" w:type="dxa"/>
            <w:tcBorders>
              <w:left w:val="single" w:sz="12" w:space="0" w:color="auto"/>
              <w:right w:val="single" w:sz="12" w:space="0" w:color="auto"/>
            </w:tcBorders>
            <w:tcMar>
              <w:top w:w="28" w:type="dxa"/>
              <w:left w:w="28" w:type="dxa"/>
              <w:bottom w:w="28" w:type="dxa"/>
              <w:right w:w="28" w:type="dxa"/>
            </w:tcMar>
          </w:tcPr>
          <w:p w14:paraId="470FD86A" w14:textId="58E875CC" w:rsidR="00F72546" w:rsidRPr="0072192E" w:rsidRDefault="00F64893" w:rsidP="001F57E3">
            <w:pPr>
              <w:spacing w:after="0" w:line="240" w:lineRule="auto"/>
              <w:jc w:val="center"/>
              <w:rPr>
                <w:i/>
              </w:rPr>
            </w:pPr>
            <w:r w:rsidRPr="0072192E">
              <w:rPr>
                <w:i/>
              </w:rPr>
              <w:t>462</w:t>
            </w:r>
          </w:p>
        </w:tc>
        <w:tc>
          <w:tcPr>
            <w:tcW w:w="1041" w:type="dxa"/>
            <w:tcBorders>
              <w:left w:val="single" w:sz="12" w:space="0" w:color="auto"/>
              <w:right w:val="single" w:sz="12" w:space="0" w:color="auto"/>
            </w:tcBorders>
            <w:tcMar>
              <w:top w:w="28" w:type="dxa"/>
              <w:left w:w="28" w:type="dxa"/>
              <w:bottom w:w="28" w:type="dxa"/>
              <w:right w:w="28" w:type="dxa"/>
            </w:tcMar>
          </w:tcPr>
          <w:p w14:paraId="45EE4787" w14:textId="56D95827" w:rsidR="00F72546" w:rsidRPr="00E43D18" w:rsidRDefault="008D1B77" w:rsidP="001F57E3">
            <w:pPr>
              <w:spacing w:after="0" w:line="240" w:lineRule="auto"/>
              <w:jc w:val="center"/>
            </w:pPr>
            <w:r>
              <w:t>708</w:t>
            </w:r>
            <w:r w:rsidR="00890F97">
              <w:t xml:space="preserve"> (11.4%)</w:t>
            </w:r>
          </w:p>
        </w:tc>
      </w:tr>
      <w:tr w:rsidR="0072192E" w14:paraId="773AF910"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810EC53" w14:textId="2EC6E3A9" w:rsidR="00F72546" w:rsidRDefault="00C74BE5" w:rsidP="001F57E3">
            <w:pPr>
              <w:spacing w:after="0" w:line="480" w:lineRule="auto"/>
              <w:contextualSpacing/>
              <w:jc w:val="center"/>
            </w:pPr>
            <w:r>
              <w:t>1452</w:t>
            </w:r>
            <w:r w:rsidR="001836A3">
              <w:t>–</w:t>
            </w:r>
            <w:r>
              <w:t>1457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6C471D4B" w14:textId="7D49EB83" w:rsidR="00F72546" w:rsidRPr="00E43D18" w:rsidRDefault="00F64893" w:rsidP="001F57E3">
            <w:pPr>
              <w:spacing w:after="0" w:line="240" w:lineRule="auto"/>
              <w:jc w:val="center"/>
            </w:pPr>
            <w:r>
              <w:t>0</w:t>
            </w:r>
          </w:p>
        </w:tc>
        <w:tc>
          <w:tcPr>
            <w:tcW w:w="551" w:type="dxa"/>
            <w:shd w:val="clear" w:color="auto" w:fill="F2F2F2" w:themeFill="background1" w:themeFillShade="F2"/>
            <w:tcMar>
              <w:top w:w="28" w:type="dxa"/>
              <w:left w:w="28" w:type="dxa"/>
              <w:bottom w:w="28" w:type="dxa"/>
              <w:right w:w="28" w:type="dxa"/>
            </w:tcMar>
          </w:tcPr>
          <w:p w14:paraId="7F3BAAB9" w14:textId="505AD189" w:rsidR="00F72546" w:rsidRPr="00E43D18" w:rsidRDefault="00F64893" w:rsidP="001F57E3">
            <w:pPr>
              <w:spacing w:after="0" w:line="240" w:lineRule="auto"/>
              <w:jc w:val="center"/>
            </w:pPr>
            <w:r>
              <w:t>6</w:t>
            </w:r>
          </w:p>
        </w:tc>
        <w:tc>
          <w:tcPr>
            <w:tcW w:w="471" w:type="dxa"/>
            <w:shd w:val="clear" w:color="auto" w:fill="F2F2F2" w:themeFill="background1" w:themeFillShade="F2"/>
            <w:tcMar>
              <w:top w:w="28" w:type="dxa"/>
              <w:left w:w="28" w:type="dxa"/>
              <w:bottom w:w="28" w:type="dxa"/>
              <w:right w:w="28" w:type="dxa"/>
            </w:tcMar>
          </w:tcPr>
          <w:p w14:paraId="2F116B60" w14:textId="245BDC5E" w:rsidR="00F72546" w:rsidRPr="00E43D18" w:rsidRDefault="00F64893" w:rsidP="001F57E3">
            <w:pPr>
              <w:spacing w:after="0" w:line="240" w:lineRule="auto"/>
              <w:jc w:val="center"/>
            </w:pPr>
            <w:r>
              <w:t>2</w:t>
            </w:r>
          </w:p>
        </w:tc>
        <w:tc>
          <w:tcPr>
            <w:tcW w:w="522" w:type="dxa"/>
            <w:shd w:val="clear" w:color="auto" w:fill="F2F2F2" w:themeFill="background1" w:themeFillShade="F2"/>
            <w:tcMar>
              <w:top w:w="28" w:type="dxa"/>
              <w:left w:w="28" w:type="dxa"/>
              <w:bottom w:w="28" w:type="dxa"/>
              <w:right w:w="28" w:type="dxa"/>
            </w:tcMar>
          </w:tcPr>
          <w:p w14:paraId="4A511891" w14:textId="65A0E35A" w:rsidR="00F72546" w:rsidRPr="00E43D18" w:rsidRDefault="00F64893"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24285296" w14:textId="5B69DA83" w:rsidR="00F72546" w:rsidRPr="00E43D18" w:rsidRDefault="00F64893" w:rsidP="001F57E3">
            <w:pPr>
              <w:spacing w:after="0" w:line="240" w:lineRule="auto"/>
              <w:jc w:val="center"/>
            </w:pPr>
            <w:r>
              <w:t>0</w:t>
            </w:r>
          </w:p>
        </w:tc>
        <w:tc>
          <w:tcPr>
            <w:tcW w:w="440" w:type="dxa"/>
            <w:shd w:val="clear" w:color="auto" w:fill="F2F2F2" w:themeFill="background1" w:themeFillShade="F2"/>
            <w:tcMar>
              <w:top w:w="28" w:type="dxa"/>
              <w:left w:w="28" w:type="dxa"/>
              <w:bottom w:w="28" w:type="dxa"/>
              <w:right w:w="28" w:type="dxa"/>
            </w:tcMar>
          </w:tcPr>
          <w:p w14:paraId="39F50B26" w14:textId="0F332985" w:rsidR="00F72546" w:rsidRPr="00E43D18" w:rsidRDefault="00F64893" w:rsidP="001F57E3">
            <w:pPr>
              <w:spacing w:after="0" w:line="240" w:lineRule="auto"/>
              <w:jc w:val="center"/>
            </w:pPr>
            <w:r>
              <w:t>4</w:t>
            </w:r>
          </w:p>
        </w:tc>
        <w:tc>
          <w:tcPr>
            <w:tcW w:w="507" w:type="dxa"/>
            <w:shd w:val="clear" w:color="auto" w:fill="F2F2F2" w:themeFill="background1" w:themeFillShade="F2"/>
            <w:tcMar>
              <w:top w:w="28" w:type="dxa"/>
              <w:left w:w="28" w:type="dxa"/>
              <w:bottom w:w="28" w:type="dxa"/>
              <w:right w:w="28" w:type="dxa"/>
            </w:tcMar>
          </w:tcPr>
          <w:p w14:paraId="08B995A9" w14:textId="508CBC8D" w:rsidR="00F72546" w:rsidRPr="00E43D18" w:rsidRDefault="00F64893" w:rsidP="001F57E3">
            <w:pPr>
              <w:spacing w:after="0" w:line="240" w:lineRule="auto"/>
              <w:jc w:val="center"/>
            </w:pPr>
            <w:r>
              <w:t>4</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52AF3A9A" w14:textId="2BFCB067" w:rsidR="00F72546" w:rsidRPr="00E43D18" w:rsidRDefault="00F64893" w:rsidP="001F57E3">
            <w:pPr>
              <w:spacing w:after="0" w:line="240" w:lineRule="auto"/>
              <w:jc w:val="center"/>
            </w:pPr>
            <w:r>
              <w:t>10</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2039E5FE" w14:textId="34795433" w:rsidR="008D1B77" w:rsidRPr="0072192E" w:rsidRDefault="004A4370" w:rsidP="001F57E3">
            <w:pPr>
              <w:spacing w:after="0" w:line="240" w:lineRule="auto"/>
              <w:jc w:val="center"/>
              <w:rPr>
                <w:i/>
              </w:rPr>
            </w:pPr>
            <w:r w:rsidRPr="0072192E">
              <w:rPr>
                <w:i/>
              </w:rPr>
              <w:t>26</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2768075B" w14:textId="1808313E" w:rsidR="00F72546" w:rsidRPr="00E43D18" w:rsidRDefault="00F64893" w:rsidP="001F57E3">
            <w:pPr>
              <w:spacing w:after="0" w:line="240" w:lineRule="auto"/>
              <w:jc w:val="center"/>
            </w:pPr>
            <w:r>
              <w:t>4</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5CEEE6A1" w14:textId="18C3EF2B" w:rsidR="00F72546" w:rsidRPr="00E43D18" w:rsidRDefault="00F64893" w:rsidP="001F57E3">
            <w:pPr>
              <w:spacing w:after="0" w:line="240" w:lineRule="auto"/>
              <w:jc w:val="center"/>
            </w:pPr>
            <w:r>
              <w:t>94</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2E83BAF0" w14:textId="362092F4" w:rsidR="008D1B77" w:rsidRPr="0072192E" w:rsidRDefault="004A4370" w:rsidP="001F57E3">
            <w:pPr>
              <w:spacing w:after="0" w:line="240" w:lineRule="auto"/>
              <w:jc w:val="center"/>
              <w:rPr>
                <w:i/>
              </w:rPr>
            </w:pPr>
            <w:r w:rsidRPr="0072192E">
              <w:rPr>
                <w:i/>
              </w:rPr>
              <w:t>98</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54128DA5" w14:textId="0F6B0CD9" w:rsidR="00F72546" w:rsidRPr="0072192E" w:rsidRDefault="00F64893" w:rsidP="001F57E3">
            <w:pPr>
              <w:spacing w:after="0" w:line="240" w:lineRule="auto"/>
              <w:jc w:val="center"/>
              <w:rPr>
                <w:i/>
              </w:rPr>
            </w:pPr>
            <w:r w:rsidRPr="0072192E">
              <w:rPr>
                <w:i/>
              </w:rPr>
              <w:t>421</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6D0E701" w14:textId="32D240D4" w:rsidR="00F72546" w:rsidRPr="00E43D18" w:rsidRDefault="008D1B77" w:rsidP="001F57E3">
            <w:pPr>
              <w:spacing w:after="0" w:line="240" w:lineRule="auto"/>
              <w:jc w:val="center"/>
            </w:pPr>
            <w:r>
              <w:t>545</w:t>
            </w:r>
            <w:r w:rsidR="00CE4872">
              <w:t xml:space="preserve"> (8.8%)</w:t>
            </w:r>
          </w:p>
        </w:tc>
      </w:tr>
      <w:tr w:rsidR="0072192E" w14:paraId="05E66593"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297A9E3D" w14:textId="1F18A296" w:rsidR="00F72546" w:rsidRDefault="00C74BE5" w:rsidP="001F57E3">
            <w:pPr>
              <w:spacing w:after="0" w:line="480" w:lineRule="auto"/>
              <w:contextualSpacing/>
              <w:jc w:val="center"/>
            </w:pPr>
            <w:r>
              <w:t>1457</w:t>
            </w:r>
            <w:r w:rsidR="001836A3">
              <w:t>–</w:t>
            </w:r>
            <w:r>
              <w:t>1462 MHz</w:t>
            </w:r>
          </w:p>
        </w:tc>
        <w:tc>
          <w:tcPr>
            <w:tcW w:w="540" w:type="dxa"/>
            <w:tcBorders>
              <w:left w:val="single" w:sz="12" w:space="0" w:color="auto"/>
            </w:tcBorders>
            <w:tcMar>
              <w:top w:w="28" w:type="dxa"/>
              <w:left w:w="28" w:type="dxa"/>
              <w:bottom w:w="28" w:type="dxa"/>
              <w:right w:w="28" w:type="dxa"/>
            </w:tcMar>
          </w:tcPr>
          <w:p w14:paraId="6015437B" w14:textId="6CA7985C" w:rsidR="00F72546" w:rsidRPr="00E43D18" w:rsidRDefault="000528C1" w:rsidP="001F57E3">
            <w:pPr>
              <w:spacing w:after="0" w:line="240" w:lineRule="auto"/>
              <w:jc w:val="center"/>
            </w:pPr>
            <w:r>
              <w:t>0</w:t>
            </w:r>
          </w:p>
        </w:tc>
        <w:tc>
          <w:tcPr>
            <w:tcW w:w="551" w:type="dxa"/>
            <w:tcMar>
              <w:top w:w="28" w:type="dxa"/>
              <w:left w:w="28" w:type="dxa"/>
              <w:bottom w:w="28" w:type="dxa"/>
              <w:right w:w="28" w:type="dxa"/>
            </w:tcMar>
          </w:tcPr>
          <w:p w14:paraId="2ACA9DCD" w14:textId="4FCE687E" w:rsidR="00F72546" w:rsidRPr="00E43D18" w:rsidRDefault="000528C1" w:rsidP="001F57E3">
            <w:pPr>
              <w:spacing w:after="0" w:line="240" w:lineRule="auto"/>
              <w:jc w:val="center"/>
            </w:pPr>
            <w:r>
              <w:t>9</w:t>
            </w:r>
          </w:p>
        </w:tc>
        <w:tc>
          <w:tcPr>
            <w:tcW w:w="471" w:type="dxa"/>
            <w:tcMar>
              <w:top w:w="28" w:type="dxa"/>
              <w:left w:w="28" w:type="dxa"/>
              <w:bottom w:w="28" w:type="dxa"/>
              <w:right w:w="28" w:type="dxa"/>
            </w:tcMar>
          </w:tcPr>
          <w:p w14:paraId="3A148C54" w14:textId="11317040" w:rsidR="00F72546" w:rsidRPr="00E43D18" w:rsidRDefault="000528C1" w:rsidP="001F57E3">
            <w:pPr>
              <w:spacing w:after="0" w:line="240" w:lineRule="auto"/>
              <w:jc w:val="center"/>
            </w:pPr>
            <w:r>
              <w:t>0</w:t>
            </w:r>
          </w:p>
        </w:tc>
        <w:tc>
          <w:tcPr>
            <w:tcW w:w="522" w:type="dxa"/>
            <w:tcMar>
              <w:top w:w="28" w:type="dxa"/>
              <w:left w:w="28" w:type="dxa"/>
              <w:bottom w:w="28" w:type="dxa"/>
              <w:right w:w="28" w:type="dxa"/>
            </w:tcMar>
          </w:tcPr>
          <w:p w14:paraId="4158379A" w14:textId="355A626C" w:rsidR="00F72546" w:rsidRPr="00E43D18" w:rsidRDefault="000528C1" w:rsidP="001F57E3">
            <w:pPr>
              <w:spacing w:after="0" w:line="240" w:lineRule="auto"/>
              <w:jc w:val="center"/>
            </w:pPr>
            <w:r>
              <w:t>0</w:t>
            </w:r>
          </w:p>
        </w:tc>
        <w:tc>
          <w:tcPr>
            <w:tcW w:w="507" w:type="dxa"/>
            <w:tcMar>
              <w:top w:w="28" w:type="dxa"/>
              <w:left w:w="28" w:type="dxa"/>
              <w:bottom w:w="28" w:type="dxa"/>
              <w:right w:w="28" w:type="dxa"/>
            </w:tcMar>
          </w:tcPr>
          <w:p w14:paraId="7059D48D" w14:textId="369A363E" w:rsidR="00F72546" w:rsidRPr="00E43D18" w:rsidRDefault="000528C1" w:rsidP="001F57E3">
            <w:pPr>
              <w:spacing w:after="0" w:line="240" w:lineRule="auto"/>
              <w:jc w:val="center"/>
            </w:pPr>
            <w:r>
              <w:t>0</w:t>
            </w:r>
          </w:p>
        </w:tc>
        <w:tc>
          <w:tcPr>
            <w:tcW w:w="440" w:type="dxa"/>
            <w:tcMar>
              <w:top w:w="28" w:type="dxa"/>
              <w:left w:w="28" w:type="dxa"/>
              <w:bottom w:w="28" w:type="dxa"/>
              <w:right w:w="28" w:type="dxa"/>
            </w:tcMar>
          </w:tcPr>
          <w:p w14:paraId="413C1B9C" w14:textId="044049E6" w:rsidR="00F72546" w:rsidRPr="00E43D18" w:rsidRDefault="000528C1" w:rsidP="001F57E3">
            <w:pPr>
              <w:spacing w:after="0" w:line="240" w:lineRule="auto"/>
              <w:jc w:val="center"/>
            </w:pPr>
            <w:r>
              <w:t>5</w:t>
            </w:r>
          </w:p>
        </w:tc>
        <w:tc>
          <w:tcPr>
            <w:tcW w:w="507" w:type="dxa"/>
            <w:tcMar>
              <w:top w:w="28" w:type="dxa"/>
              <w:left w:w="28" w:type="dxa"/>
              <w:bottom w:w="28" w:type="dxa"/>
              <w:right w:w="28" w:type="dxa"/>
            </w:tcMar>
          </w:tcPr>
          <w:p w14:paraId="39FC0936" w14:textId="5045EB1D" w:rsidR="00F72546" w:rsidRPr="00E43D18" w:rsidRDefault="000528C1" w:rsidP="001F57E3">
            <w:pPr>
              <w:spacing w:after="0" w:line="240" w:lineRule="auto"/>
              <w:jc w:val="center"/>
            </w:pPr>
            <w:r>
              <w:t>4</w:t>
            </w:r>
          </w:p>
        </w:tc>
        <w:tc>
          <w:tcPr>
            <w:tcW w:w="552" w:type="dxa"/>
            <w:tcBorders>
              <w:right w:val="single" w:sz="12" w:space="0" w:color="auto"/>
            </w:tcBorders>
            <w:tcMar>
              <w:top w:w="28" w:type="dxa"/>
              <w:left w:w="28" w:type="dxa"/>
              <w:bottom w:w="28" w:type="dxa"/>
              <w:right w:w="28" w:type="dxa"/>
            </w:tcMar>
          </w:tcPr>
          <w:p w14:paraId="14FA38C8" w14:textId="2F90EBFA" w:rsidR="00F72546" w:rsidRPr="00E43D18" w:rsidRDefault="000528C1" w:rsidP="001F57E3">
            <w:pPr>
              <w:spacing w:after="0" w:line="240" w:lineRule="auto"/>
              <w:jc w:val="center"/>
            </w:pPr>
            <w:r>
              <w:t>5</w:t>
            </w:r>
          </w:p>
        </w:tc>
        <w:tc>
          <w:tcPr>
            <w:tcW w:w="664" w:type="dxa"/>
            <w:tcBorders>
              <w:right w:val="single" w:sz="12" w:space="0" w:color="auto"/>
            </w:tcBorders>
            <w:tcMar>
              <w:top w:w="28" w:type="dxa"/>
              <w:left w:w="28" w:type="dxa"/>
              <w:bottom w:w="28" w:type="dxa"/>
              <w:right w:w="28" w:type="dxa"/>
            </w:tcMar>
          </w:tcPr>
          <w:p w14:paraId="0CA3F9C5" w14:textId="0482C953" w:rsidR="008D1B77" w:rsidRPr="0072192E" w:rsidRDefault="004A4370" w:rsidP="001F57E3">
            <w:pPr>
              <w:spacing w:after="0" w:line="240" w:lineRule="auto"/>
              <w:jc w:val="center"/>
              <w:rPr>
                <w:i/>
              </w:rPr>
            </w:pPr>
            <w:r w:rsidRPr="0072192E">
              <w:rPr>
                <w:i/>
              </w:rPr>
              <w:t>23</w:t>
            </w:r>
          </w:p>
        </w:tc>
        <w:tc>
          <w:tcPr>
            <w:tcW w:w="552" w:type="dxa"/>
            <w:tcBorders>
              <w:left w:val="single" w:sz="12" w:space="0" w:color="auto"/>
            </w:tcBorders>
            <w:tcMar>
              <w:top w:w="28" w:type="dxa"/>
              <w:left w:w="28" w:type="dxa"/>
              <w:bottom w:w="28" w:type="dxa"/>
              <w:right w:w="28" w:type="dxa"/>
            </w:tcMar>
          </w:tcPr>
          <w:p w14:paraId="5E61142A" w14:textId="04ADBFFE" w:rsidR="00F72546" w:rsidRPr="00E43D18" w:rsidRDefault="000528C1" w:rsidP="001F57E3">
            <w:pPr>
              <w:spacing w:after="0" w:line="240" w:lineRule="auto"/>
              <w:jc w:val="center"/>
            </w:pPr>
            <w:r>
              <w:t>5</w:t>
            </w:r>
          </w:p>
        </w:tc>
        <w:tc>
          <w:tcPr>
            <w:tcW w:w="694" w:type="dxa"/>
            <w:tcBorders>
              <w:right w:val="single" w:sz="12" w:space="0" w:color="auto"/>
            </w:tcBorders>
            <w:tcMar>
              <w:top w:w="28" w:type="dxa"/>
              <w:left w:w="28" w:type="dxa"/>
              <w:bottom w:w="28" w:type="dxa"/>
              <w:right w:w="28" w:type="dxa"/>
            </w:tcMar>
          </w:tcPr>
          <w:p w14:paraId="4D4F8259" w14:textId="0C8D3FCF" w:rsidR="00F72546" w:rsidRPr="00E43D18" w:rsidRDefault="000528C1" w:rsidP="001F57E3">
            <w:pPr>
              <w:spacing w:after="0" w:line="240" w:lineRule="auto"/>
              <w:jc w:val="center"/>
            </w:pPr>
            <w:r>
              <w:t>57</w:t>
            </w:r>
          </w:p>
        </w:tc>
        <w:tc>
          <w:tcPr>
            <w:tcW w:w="693" w:type="dxa"/>
            <w:tcBorders>
              <w:right w:val="single" w:sz="12" w:space="0" w:color="auto"/>
            </w:tcBorders>
            <w:tcMar>
              <w:top w:w="28" w:type="dxa"/>
              <w:left w:w="28" w:type="dxa"/>
              <w:bottom w:w="28" w:type="dxa"/>
              <w:right w:w="28" w:type="dxa"/>
            </w:tcMar>
          </w:tcPr>
          <w:p w14:paraId="2AD3E861" w14:textId="007874E6" w:rsidR="008D1B77" w:rsidRPr="0072192E" w:rsidRDefault="004A4370" w:rsidP="001F57E3">
            <w:pPr>
              <w:spacing w:after="0" w:line="240" w:lineRule="auto"/>
              <w:jc w:val="center"/>
              <w:rPr>
                <w:i/>
              </w:rPr>
            </w:pPr>
            <w:r w:rsidRPr="0072192E">
              <w:rPr>
                <w:i/>
              </w:rPr>
              <w:t>62</w:t>
            </w:r>
          </w:p>
        </w:tc>
        <w:tc>
          <w:tcPr>
            <w:tcW w:w="694" w:type="dxa"/>
            <w:tcBorders>
              <w:left w:val="single" w:sz="12" w:space="0" w:color="auto"/>
              <w:right w:val="single" w:sz="12" w:space="0" w:color="auto"/>
            </w:tcBorders>
            <w:tcMar>
              <w:top w:w="28" w:type="dxa"/>
              <w:left w:w="28" w:type="dxa"/>
              <w:bottom w:w="28" w:type="dxa"/>
              <w:right w:w="28" w:type="dxa"/>
            </w:tcMar>
          </w:tcPr>
          <w:p w14:paraId="7E486A2B" w14:textId="01686F28" w:rsidR="00F72546" w:rsidRPr="0072192E" w:rsidRDefault="000528C1" w:rsidP="001F57E3">
            <w:pPr>
              <w:spacing w:after="0" w:line="240" w:lineRule="auto"/>
              <w:jc w:val="center"/>
              <w:rPr>
                <w:i/>
              </w:rPr>
            </w:pPr>
            <w:r w:rsidRPr="0072192E">
              <w:rPr>
                <w:i/>
              </w:rPr>
              <w:t>157</w:t>
            </w:r>
          </w:p>
        </w:tc>
        <w:tc>
          <w:tcPr>
            <w:tcW w:w="1041" w:type="dxa"/>
            <w:tcBorders>
              <w:left w:val="single" w:sz="12" w:space="0" w:color="auto"/>
              <w:right w:val="single" w:sz="12" w:space="0" w:color="auto"/>
            </w:tcBorders>
            <w:tcMar>
              <w:top w:w="28" w:type="dxa"/>
              <w:left w:w="28" w:type="dxa"/>
              <w:bottom w:w="28" w:type="dxa"/>
              <w:right w:w="28" w:type="dxa"/>
            </w:tcMar>
          </w:tcPr>
          <w:p w14:paraId="3B1DEBA8" w14:textId="470DE4EC" w:rsidR="00F72546" w:rsidRPr="00E43D18" w:rsidRDefault="008D1B77" w:rsidP="001F57E3">
            <w:pPr>
              <w:spacing w:after="0" w:line="240" w:lineRule="auto"/>
              <w:jc w:val="center"/>
            </w:pPr>
            <w:r>
              <w:t>242</w:t>
            </w:r>
            <w:r w:rsidR="00CE4872">
              <w:t xml:space="preserve"> (3.9%)</w:t>
            </w:r>
          </w:p>
        </w:tc>
      </w:tr>
      <w:tr w:rsidR="0072192E" w14:paraId="2E9835D6"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12C1AEB0" w14:textId="0F222651" w:rsidR="00F72546" w:rsidRDefault="00C74BE5" w:rsidP="001F57E3">
            <w:pPr>
              <w:spacing w:after="0" w:line="480" w:lineRule="auto"/>
              <w:contextualSpacing/>
              <w:jc w:val="center"/>
            </w:pPr>
            <w:r>
              <w:t>1462</w:t>
            </w:r>
            <w:r w:rsidR="001836A3">
              <w:t>–</w:t>
            </w:r>
            <w:r>
              <w:t>1467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2B5757A7" w14:textId="5129650C" w:rsidR="00F72546" w:rsidRPr="00E43D18" w:rsidRDefault="000528C1" w:rsidP="001F57E3">
            <w:pPr>
              <w:spacing w:after="0" w:line="240" w:lineRule="auto"/>
              <w:jc w:val="center"/>
            </w:pPr>
            <w:r>
              <w:t>0</w:t>
            </w:r>
          </w:p>
        </w:tc>
        <w:tc>
          <w:tcPr>
            <w:tcW w:w="551" w:type="dxa"/>
            <w:shd w:val="clear" w:color="auto" w:fill="F2F2F2" w:themeFill="background1" w:themeFillShade="F2"/>
            <w:tcMar>
              <w:top w:w="28" w:type="dxa"/>
              <w:left w:w="28" w:type="dxa"/>
              <w:bottom w:w="28" w:type="dxa"/>
              <w:right w:w="28" w:type="dxa"/>
            </w:tcMar>
          </w:tcPr>
          <w:p w14:paraId="50CA609B" w14:textId="0B443427" w:rsidR="00F72546" w:rsidRPr="00E43D18" w:rsidRDefault="000528C1" w:rsidP="001F57E3">
            <w:pPr>
              <w:spacing w:after="0" w:line="240" w:lineRule="auto"/>
              <w:jc w:val="center"/>
            </w:pPr>
            <w:r>
              <w:t>9</w:t>
            </w:r>
          </w:p>
        </w:tc>
        <w:tc>
          <w:tcPr>
            <w:tcW w:w="471" w:type="dxa"/>
            <w:shd w:val="clear" w:color="auto" w:fill="F2F2F2" w:themeFill="background1" w:themeFillShade="F2"/>
            <w:tcMar>
              <w:top w:w="28" w:type="dxa"/>
              <w:left w:w="28" w:type="dxa"/>
              <w:bottom w:w="28" w:type="dxa"/>
              <w:right w:w="28" w:type="dxa"/>
            </w:tcMar>
          </w:tcPr>
          <w:p w14:paraId="7EE90A53" w14:textId="0CC53F79" w:rsidR="00F72546" w:rsidRPr="00E43D18" w:rsidRDefault="000528C1" w:rsidP="001F57E3">
            <w:pPr>
              <w:spacing w:after="0" w:line="240" w:lineRule="auto"/>
              <w:jc w:val="center"/>
            </w:pPr>
            <w:r>
              <w:t>2</w:t>
            </w:r>
          </w:p>
        </w:tc>
        <w:tc>
          <w:tcPr>
            <w:tcW w:w="522" w:type="dxa"/>
            <w:shd w:val="clear" w:color="auto" w:fill="F2F2F2" w:themeFill="background1" w:themeFillShade="F2"/>
            <w:tcMar>
              <w:top w:w="28" w:type="dxa"/>
              <w:left w:w="28" w:type="dxa"/>
              <w:bottom w:w="28" w:type="dxa"/>
              <w:right w:w="28" w:type="dxa"/>
            </w:tcMar>
          </w:tcPr>
          <w:p w14:paraId="4D3E0132" w14:textId="52CB1735" w:rsidR="00F72546" w:rsidRPr="00E43D18" w:rsidRDefault="000528C1" w:rsidP="001F57E3">
            <w:pPr>
              <w:spacing w:after="0" w:line="240" w:lineRule="auto"/>
              <w:jc w:val="center"/>
            </w:pPr>
            <w:r>
              <w:t>1</w:t>
            </w:r>
          </w:p>
        </w:tc>
        <w:tc>
          <w:tcPr>
            <w:tcW w:w="507" w:type="dxa"/>
            <w:shd w:val="clear" w:color="auto" w:fill="F2F2F2" w:themeFill="background1" w:themeFillShade="F2"/>
            <w:tcMar>
              <w:top w:w="28" w:type="dxa"/>
              <w:left w:w="28" w:type="dxa"/>
              <w:bottom w:w="28" w:type="dxa"/>
              <w:right w:w="28" w:type="dxa"/>
            </w:tcMar>
          </w:tcPr>
          <w:p w14:paraId="5EC0BC7F" w14:textId="406B899D" w:rsidR="00F72546" w:rsidRPr="00E43D18" w:rsidRDefault="000528C1" w:rsidP="001F57E3">
            <w:pPr>
              <w:spacing w:after="0" w:line="240" w:lineRule="auto"/>
              <w:jc w:val="center"/>
            </w:pPr>
            <w:r>
              <w:t>0</w:t>
            </w:r>
          </w:p>
        </w:tc>
        <w:tc>
          <w:tcPr>
            <w:tcW w:w="440" w:type="dxa"/>
            <w:shd w:val="clear" w:color="auto" w:fill="F2F2F2" w:themeFill="background1" w:themeFillShade="F2"/>
            <w:tcMar>
              <w:top w:w="28" w:type="dxa"/>
              <w:left w:w="28" w:type="dxa"/>
              <w:bottom w:w="28" w:type="dxa"/>
              <w:right w:w="28" w:type="dxa"/>
            </w:tcMar>
          </w:tcPr>
          <w:p w14:paraId="230C2C1B" w14:textId="5E1E9027" w:rsidR="00F72546" w:rsidRPr="00E43D18" w:rsidRDefault="000528C1" w:rsidP="001F57E3">
            <w:pPr>
              <w:spacing w:after="0" w:line="240" w:lineRule="auto"/>
              <w:jc w:val="center"/>
            </w:pPr>
            <w:r>
              <w:t>5</w:t>
            </w:r>
          </w:p>
        </w:tc>
        <w:tc>
          <w:tcPr>
            <w:tcW w:w="507" w:type="dxa"/>
            <w:shd w:val="clear" w:color="auto" w:fill="F2F2F2" w:themeFill="background1" w:themeFillShade="F2"/>
            <w:tcMar>
              <w:top w:w="28" w:type="dxa"/>
              <w:left w:w="28" w:type="dxa"/>
              <w:bottom w:w="28" w:type="dxa"/>
              <w:right w:w="28" w:type="dxa"/>
            </w:tcMar>
          </w:tcPr>
          <w:p w14:paraId="2504C4BA" w14:textId="0B74C571" w:rsidR="00F72546" w:rsidRPr="00E43D18" w:rsidRDefault="000528C1" w:rsidP="001F57E3">
            <w:pPr>
              <w:spacing w:after="0" w:line="240" w:lineRule="auto"/>
              <w:jc w:val="center"/>
            </w:pPr>
            <w:r>
              <w:t>4</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42FBE0E5" w14:textId="5866D6BF" w:rsidR="00F72546" w:rsidRPr="00E43D18" w:rsidRDefault="000528C1" w:rsidP="001F57E3">
            <w:pPr>
              <w:spacing w:after="0" w:line="240" w:lineRule="auto"/>
              <w:jc w:val="center"/>
            </w:pPr>
            <w:r>
              <w:t>4</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352D5FEB" w14:textId="00CFCCB3" w:rsidR="008D1B77" w:rsidRPr="0072192E" w:rsidRDefault="004A4370" w:rsidP="001F57E3">
            <w:pPr>
              <w:spacing w:after="0" w:line="240" w:lineRule="auto"/>
              <w:jc w:val="center"/>
              <w:rPr>
                <w:i/>
              </w:rPr>
            </w:pPr>
            <w:r w:rsidRPr="0072192E">
              <w:rPr>
                <w:i/>
              </w:rPr>
              <w:t>25</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53EF9C6A" w14:textId="27BE6FD3" w:rsidR="00F72546" w:rsidRPr="00E43D18" w:rsidRDefault="000528C1" w:rsidP="001F57E3">
            <w:pPr>
              <w:spacing w:after="0" w:line="240" w:lineRule="auto"/>
              <w:jc w:val="center"/>
            </w:pPr>
            <w:r>
              <w:t>9</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2A506593" w14:textId="784A64C8" w:rsidR="00F72546" w:rsidRPr="00E43D18" w:rsidRDefault="000528C1" w:rsidP="001F57E3">
            <w:pPr>
              <w:spacing w:after="0" w:line="240" w:lineRule="auto"/>
              <w:jc w:val="center"/>
            </w:pPr>
            <w:r>
              <w:t>37</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405D4662" w14:textId="47009DF9" w:rsidR="008D1B77" w:rsidRPr="0072192E" w:rsidRDefault="004A4370" w:rsidP="001F57E3">
            <w:pPr>
              <w:spacing w:after="0" w:line="240" w:lineRule="auto"/>
              <w:jc w:val="center"/>
              <w:rPr>
                <w:i/>
              </w:rPr>
            </w:pPr>
            <w:r w:rsidRPr="0072192E">
              <w:rPr>
                <w:i/>
              </w:rPr>
              <w:t>46</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95594C9" w14:textId="36CD617C" w:rsidR="00F72546" w:rsidRPr="0072192E" w:rsidRDefault="000528C1" w:rsidP="001F57E3">
            <w:pPr>
              <w:spacing w:after="0" w:line="240" w:lineRule="auto"/>
              <w:jc w:val="center"/>
              <w:rPr>
                <w:i/>
              </w:rPr>
            </w:pPr>
            <w:r w:rsidRPr="0072192E">
              <w:rPr>
                <w:i/>
              </w:rPr>
              <w:t>130</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1339E1CD" w14:textId="7B141EC0" w:rsidR="00F72546" w:rsidRPr="00E43D18" w:rsidRDefault="008D1B77" w:rsidP="001F57E3">
            <w:pPr>
              <w:spacing w:after="0" w:line="240" w:lineRule="auto"/>
              <w:jc w:val="center"/>
            </w:pPr>
            <w:r>
              <w:t>201</w:t>
            </w:r>
            <w:r w:rsidR="00CE4872">
              <w:t xml:space="preserve"> (3.2%)</w:t>
            </w:r>
          </w:p>
        </w:tc>
      </w:tr>
      <w:tr w:rsidR="0072192E" w14:paraId="3448B950"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6ED57D74" w14:textId="2C24B264" w:rsidR="00F72546" w:rsidRDefault="00C74BE5" w:rsidP="001F57E3">
            <w:pPr>
              <w:spacing w:after="0" w:line="480" w:lineRule="auto"/>
              <w:contextualSpacing/>
              <w:jc w:val="center"/>
            </w:pPr>
            <w:r>
              <w:t>1467</w:t>
            </w:r>
            <w:r w:rsidR="001836A3">
              <w:t>–</w:t>
            </w:r>
            <w:r>
              <w:t>1472 MHz</w:t>
            </w:r>
          </w:p>
        </w:tc>
        <w:tc>
          <w:tcPr>
            <w:tcW w:w="540" w:type="dxa"/>
            <w:tcBorders>
              <w:left w:val="single" w:sz="12" w:space="0" w:color="auto"/>
            </w:tcBorders>
            <w:tcMar>
              <w:top w:w="28" w:type="dxa"/>
              <w:left w:w="28" w:type="dxa"/>
              <w:bottom w:w="28" w:type="dxa"/>
              <w:right w:w="28" w:type="dxa"/>
            </w:tcMar>
          </w:tcPr>
          <w:p w14:paraId="0F3AC427" w14:textId="0F52CF29" w:rsidR="00F72546" w:rsidRPr="00E43D18" w:rsidRDefault="000528C1" w:rsidP="001F57E3">
            <w:pPr>
              <w:spacing w:after="0" w:line="240" w:lineRule="auto"/>
              <w:jc w:val="center"/>
            </w:pPr>
            <w:r>
              <w:t>0</w:t>
            </w:r>
          </w:p>
        </w:tc>
        <w:tc>
          <w:tcPr>
            <w:tcW w:w="551" w:type="dxa"/>
            <w:tcMar>
              <w:top w:w="28" w:type="dxa"/>
              <w:left w:w="28" w:type="dxa"/>
              <w:bottom w:w="28" w:type="dxa"/>
              <w:right w:w="28" w:type="dxa"/>
            </w:tcMar>
          </w:tcPr>
          <w:p w14:paraId="5C83CD21" w14:textId="38E54E6F" w:rsidR="00F72546" w:rsidRPr="00E43D18" w:rsidRDefault="000528C1" w:rsidP="001F57E3">
            <w:pPr>
              <w:spacing w:after="0" w:line="240" w:lineRule="auto"/>
              <w:jc w:val="center"/>
            </w:pPr>
            <w:r>
              <w:t>4</w:t>
            </w:r>
          </w:p>
        </w:tc>
        <w:tc>
          <w:tcPr>
            <w:tcW w:w="471" w:type="dxa"/>
            <w:tcMar>
              <w:top w:w="28" w:type="dxa"/>
              <w:left w:w="28" w:type="dxa"/>
              <w:bottom w:w="28" w:type="dxa"/>
              <w:right w:w="28" w:type="dxa"/>
            </w:tcMar>
          </w:tcPr>
          <w:p w14:paraId="47615756" w14:textId="41D44886" w:rsidR="00F72546" w:rsidRPr="00E43D18" w:rsidRDefault="000528C1" w:rsidP="001F57E3">
            <w:pPr>
              <w:spacing w:after="0" w:line="240" w:lineRule="auto"/>
              <w:jc w:val="center"/>
            </w:pPr>
            <w:r>
              <w:t>0</w:t>
            </w:r>
          </w:p>
        </w:tc>
        <w:tc>
          <w:tcPr>
            <w:tcW w:w="522" w:type="dxa"/>
            <w:tcMar>
              <w:top w:w="28" w:type="dxa"/>
              <w:left w:w="28" w:type="dxa"/>
              <w:bottom w:w="28" w:type="dxa"/>
              <w:right w:w="28" w:type="dxa"/>
            </w:tcMar>
          </w:tcPr>
          <w:p w14:paraId="7C604ABE" w14:textId="03EAE09F" w:rsidR="00F72546" w:rsidRPr="00E43D18" w:rsidRDefault="000528C1" w:rsidP="001F57E3">
            <w:pPr>
              <w:spacing w:after="0" w:line="240" w:lineRule="auto"/>
              <w:jc w:val="center"/>
            </w:pPr>
            <w:r>
              <w:t>1</w:t>
            </w:r>
          </w:p>
        </w:tc>
        <w:tc>
          <w:tcPr>
            <w:tcW w:w="507" w:type="dxa"/>
            <w:tcMar>
              <w:top w:w="28" w:type="dxa"/>
              <w:left w:w="28" w:type="dxa"/>
              <w:bottom w:w="28" w:type="dxa"/>
              <w:right w:w="28" w:type="dxa"/>
            </w:tcMar>
          </w:tcPr>
          <w:p w14:paraId="15204653" w14:textId="33D0EF2F" w:rsidR="00F72546" w:rsidRPr="00E43D18" w:rsidRDefault="000528C1" w:rsidP="001F57E3">
            <w:pPr>
              <w:spacing w:after="0" w:line="240" w:lineRule="auto"/>
              <w:jc w:val="center"/>
            </w:pPr>
            <w:r>
              <w:t>0</w:t>
            </w:r>
          </w:p>
        </w:tc>
        <w:tc>
          <w:tcPr>
            <w:tcW w:w="440" w:type="dxa"/>
            <w:tcMar>
              <w:top w:w="28" w:type="dxa"/>
              <w:left w:w="28" w:type="dxa"/>
              <w:bottom w:w="28" w:type="dxa"/>
              <w:right w:w="28" w:type="dxa"/>
            </w:tcMar>
          </w:tcPr>
          <w:p w14:paraId="123695D4" w14:textId="011638D9" w:rsidR="00F72546" w:rsidRPr="00E43D18" w:rsidRDefault="000528C1" w:rsidP="001F57E3">
            <w:pPr>
              <w:spacing w:after="0" w:line="240" w:lineRule="auto"/>
              <w:jc w:val="center"/>
            </w:pPr>
            <w:r>
              <w:t>0</w:t>
            </w:r>
          </w:p>
        </w:tc>
        <w:tc>
          <w:tcPr>
            <w:tcW w:w="507" w:type="dxa"/>
            <w:tcMar>
              <w:top w:w="28" w:type="dxa"/>
              <w:left w:w="28" w:type="dxa"/>
              <w:bottom w:w="28" w:type="dxa"/>
              <w:right w:w="28" w:type="dxa"/>
            </w:tcMar>
          </w:tcPr>
          <w:p w14:paraId="531E97EB" w14:textId="3B515D64" w:rsidR="00F72546" w:rsidRPr="00E43D18" w:rsidRDefault="000528C1" w:rsidP="001F57E3">
            <w:pPr>
              <w:spacing w:after="0" w:line="240" w:lineRule="auto"/>
              <w:jc w:val="center"/>
            </w:pPr>
            <w:r>
              <w:t>2</w:t>
            </w:r>
          </w:p>
        </w:tc>
        <w:tc>
          <w:tcPr>
            <w:tcW w:w="552" w:type="dxa"/>
            <w:tcBorders>
              <w:right w:val="single" w:sz="12" w:space="0" w:color="auto"/>
            </w:tcBorders>
            <w:tcMar>
              <w:top w:w="28" w:type="dxa"/>
              <w:left w:w="28" w:type="dxa"/>
              <w:bottom w:w="28" w:type="dxa"/>
              <w:right w:w="28" w:type="dxa"/>
            </w:tcMar>
          </w:tcPr>
          <w:p w14:paraId="57B6EB29" w14:textId="21D7095D" w:rsidR="00F72546" w:rsidRPr="00E43D18" w:rsidRDefault="000528C1" w:rsidP="001F57E3">
            <w:pPr>
              <w:spacing w:after="0" w:line="240" w:lineRule="auto"/>
              <w:jc w:val="center"/>
            </w:pPr>
            <w:r>
              <w:t>2</w:t>
            </w:r>
          </w:p>
        </w:tc>
        <w:tc>
          <w:tcPr>
            <w:tcW w:w="664" w:type="dxa"/>
            <w:tcBorders>
              <w:right w:val="single" w:sz="12" w:space="0" w:color="auto"/>
            </w:tcBorders>
            <w:tcMar>
              <w:top w:w="28" w:type="dxa"/>
              <w:left w:w="28" w:type="dxa"/>
              <w:bottom w:w="28" w:type="dxa"/>
              <w:right w:w="28" w:type="dxa"/>
            </w:tcMar>
          </w:tcPr>
          <w:p w14:paraId="72A79103" w14:textId="46519EE8" w:rsidR="008D1B77" w:rsidRPr="0072192E" w:rsidRDefault="00EB4F88" w:rsidP="001F57E3">
            <w:pPr>
              <w:spacing w:after="0" w:line="240" w:lineRule="auto"/>
              <w:jc w:val="center"/>
              <w:rPr>
                <w:i/>
              </w:rPr>
            </w:pPr>
            <w:r w:rsidRPr="0072192E">
              <w:rPr>
                <w:i/>
              </w:rPr>
              <w:t>9</w:t>
            </w:r>
          </w:p>
        </w:tc>
        <w:tc>
          <w:tcPr>
            <w:tcW w:w="552" w:type="dxa"/>
            <w:tcBorders>
              <w:left w:val="single" w:sz="12" w:space="0" w:color="auto"/>
            </w:tcBorders>
            <w:tcMar>
              <w:top w:w="28" w:type="dxa"/>
              <w:left w:w="28" w:type="dxa"/>
              <w:bottom w:w="28" w:type="dxa"/>
              <w:right w:w="28" w:type="dxa"/>
            </w:tcMar>
          </w:tcPr>
          <w:p w14:paraId="1F68671A" w14:textId="22E5731B" w:rsidR="00F72546" w:rsidRPr="00E43D18" w:rsidRDefault="000528C1" w:rsidP="001F57E3">
            <w:pPr>
              <w:spacing w:after="0" w:line="240" w:lineRule="auto"/>
              <w:jc w:val="center"/>
            </w:pPr>
            <w:r>
              <w:t>4</w:t>
            </w:r>
          </w:p>
        </w:tc>
        <w:tc>
          <w:tcPr>
            <w:tcW w:w="694" w:type="dxa"/>
            <w:tcBorders>
              <w:right w:val="single" w:sz="12" w:space="0" w:color="auto"/>
            </w:tcBorders>
            <w:tcMar>
              <w:top w:w="28" w:type="dxa"/>
              <w:left w:w="28" w:type="dxa"/>
              <w:bottom w:w="28" w:type="dxa"/>
              <w:right w:w="28" w:type="dxa"/>
            </w:tcMar>
          </w:tcPr>
          <w:p w14:paraId="034816CF" w14:textId="28DF1652" w:rsidR="00F72546" w:rsidRPr="00E43D18" w:rsidRDefault="000528C1" w:rsidP="001F57E3">
            <w:pPr>
              <w:spacing w:after="0" w:line="240" w:lineRule="auto"/>
              <w:jc w:val="center"/>
            </w:pPr>
            <w:r>
              <w:t>10</w:t>
            </w:r>
          </w:p>
        </w:tc>
        <w:tc>
          <w:tcPr>
            <w:tcW w:w="693" w:type="dxa"/>
            <w:tcBorders>
              <w:right w:val="single" w:sz="12" w:space="0" w:color="auto"/>
            </w:tcBorders>
            <w:tcMar>
              <w:top w:w="28" w:type="dxa"/>
              <w:left w:w="28" w:type="dxa"/>
              <w:bottom w:w="28" w:type="dxa"/>
              <w:right w:w="28" w:type="dxa"/>
            </w:tcMar>
          </w:tcPr>
          <w:p w14:paraId="264EC6F7" w14:textId="77AD9787" w:rsidR="008D1B77" w:rsidRPr="0072192E" w:rsidRDefault="00EB4F88" w:rsidP="001F57E3">
            <w:pPr>
              <w:spacing w:after="0" w:line="240" w:lineRule="auto"/>
              <w:jc w:val="center"/>
              <w:rPr>
                <w:i/>
              </w:rPr>
            </w:pPr>
            <w:r w:rsidRPr="0072192E">
              <w:rPr>
                <w:i/>
              </w:rPr>
              <w:t>14</w:t>
            </w:r>
          </w:p>
        </w:tc>
        <w:tc>
          <w:tcPr>
            <w:tcW w:w="694" w:type="dxa"/>
            <w:tcBorders>
              <w:left w:val="single" w:sz="12" w:space="0" w:color="auto"/>
              <w:right w:val="single" w:sz="12" w:space="0" w:color="auto"/>
            </w:tcBorders>
            <w:tcMar>
              <w:top w:w="28" w:type="dxa"/>
              <w:left w:w="28" w:type="dxa"/>
              <w:bottom w:w="28" w:type="dxa"/>
              <w:right w:w="28" w:type="dxa"/>
            </w:tcMar>
          </w:tcPr>
          <w:p w14:paraId="7F9FA5D0" w14:textId="64607632" w:rsidR="00F72546" w:rsidRPr="0072192E" w:rsidRDefault="000528C1" w:rsidP="001F57E3">
            <w:pPr>
              <w:spacing w:after="0" w:line="240" w:lineRule="auto"/>
              <w:jc w:val="center"/>
              <w:rPr>
                <w:i/>
              </w:rPr>
            </w:pPr>
            <w:r w:rsidRPr="0072192E">
              <w:rPr>
                <w:i/>
              </w:rPr>
              <w:t>35</w:t>
            </w:r>
          </w:p>
        </w:tc>
        <w:tc>
          <w:tcPr>
            <w:tcW w:w="1041" w:type="dxa"/>
            <w:tcBorders>
              <w:left w:val="single" w:sz="12" w:space="0" w:color="auto"/>
              <w:right w:val="single" w:sz="12" w:space="0" w:color="auto"/>
            </w:tcBorders>
            <w:tcMar>
              <w:top w:w="28" w:type="dxa"/>
              <w:left w:w="28" w:type="dxa"/>
              <w:bottom w:w="28" w:type="dxa"/>
              <w:right w:w="28" w:type="dxa"/>
            </w:tcMar>
          </w:tcPr>
          <w:p w14:paraId="2AA9199F" w14:textId="4DECB6F7" w:rsidR="00F72546" w:rsidRPr="00E43D18" w:rsidRDefault="008D1B77" w:rsidP="001F57E3">
            <w:pPr>
              <w:spacing w:after="0" w:line="240" w:lineRule="auto"/>
              <w:jc w:val="center"/>
            </w:pPr>
            <w:r>
              <w:t>58</w:t>
            </w:r>
            <w:r w:rsidR="00CE4872">
              <w:t xml:space="preserve"> (0.9%)</w:t>
            </w:r>
          </w:p>
        </w:tc>
      </w:tr>
      <w:tr w:rsidR="0072192E" w14:paraId="4F5EEBDD"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44E5C582" w14:textId="16DC6C50" w:rsidR="00F72546" w:rsidRDefault="00C74BE5" w:rsidP="001F57E3">
            <w:pPr>
              <w:spacing w:after="0" w:line="480" w:lineRule="auto"/>
              <w:contextualSpacing/>
              <w:jc w:val="center"/>
            </w:pPr>
            <w:r>
              <w:t>1472</w:t>
            </w:r>
            <w:r w:rsidR="001836A3">
              <w:t>–</w:t>
            </w:r>
            <w:r>
              <w:t>1477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3DD6EE15" w14:textId="73538B4A" w:rsidR="00F72546" w:rsidRPr="00E43D18" w:rsidRDefault="00383043" w:rsidP="001F57E3">
            <w:pPr>
              <w:spacing w:after="0" w:line="240" w:lineRule="auto"/>
              <w:jc w:val="center"/>
            </w:pPr>
            <w:r>
              <w:t>0</w:t>
            </w:r>
          </w:p>
        </w:tc>
        <w:tc>
          <w:tcPr>
            <w:tcW w:w="551" w:type="dxa"/>
            <w:shd w:val="clear" w:color="auto" w:fill="F2F2F2" w:themeFill="background1" w:themeFillShade="F2"/>
            <w:tcMar>
              <w:top w:w="28" w:type="dxa"/>
              <w:left w:w="28" w:type="dxa"/>
              <w:bottom w:w="28" w:type="dxa"/>
              <w:right w:w="28" w:type="dxa"/>
            </w:tcMar>
          </w:tcPr>
          <w:p w14:paraId="79787E02" w14:textId="26DCF01F" w:rsidR="00F72546" w:rsidRPr="00E43D18" w:rsidRDefault="00383043" w:rsidP="001F57E3">
            <w:pPr>
              <w:spacing w:after="0" w:line="240" w:lineRule="auto"/>
              <w:jc w:val="center"/>
            </w:pPr>
            <w:r>
              <w:t>0</w:t>
            </w:r>
          </w:p>
        </w:tc>
        <w:tc>
          <w:tcPr>
            <w:tcW w:w="471" w:type="dxa"/>
            <w:shd w:val="clear" w:color="auto" w:fill="F2F2F2" w:themeFill="background1" w:themeFillShade="F2"/>
            <w:tcMar>
              <w:top w:w="28" w:type="dxa"/>
              <w:left w:w="28" w:type="dxa"/>
              <w:bottom w:w="28" w:type="dxa"/>
              <w:right w:w="28" w:type="dxa"/>
            </w:tcMar>
          </w:tcPr>
          <w:p w14:paraId="1E86FF86" w14:textId="533227C5" w:rsidR="00F72546" w:rsidRPr="00E43D18" w:rsidRDefault="00383043" w:rsidP="001F57E3">
            <w:pPr>
              <w:spacing w:after="0" w:line="240" w:lineRule="auto"/>
              <w:jc w:val="center"/>
            </w:pPr>
            <w:r>
              <w:t>0</w:t>
            </w:r>
          </w:p>
        </w:tc>
        <w:tc>
          <w:tcPr>
            <w:tcW w:w="522" w:type="dxa"/>
            <w:shd w:val="clear" w:color="auto" w:fill="F2F2F2" w:themeFill="background1" w:themeFillShade="F2"/>
            <w:tcMar>
              <w:top w:w="28" w:type="dxa"/>
              <w:left w:w="28" w:type="dxa"/>
              <w:bottom w:w="28" w:type="dxa"/>
              <w:right w:w="28" w:type="dxa"/>
            </w:tcMar>
          </w:tcPr>
          <w:p w14:paraId="3C0587A1" w14:textId="1BF86F00" w:rsidR="00F72546" w:rsidRPr="00E43D18" w:rsidRDefault="00383043"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3B30FE0F" w14:textId="6EBF67E0" w:rsidR="00F72546" w:rsidRPr="00E43D18" w:rsidRDefault="00383043" w:rsidP="001F57E3">
            <w:pPr>
              <w:spacing w:after="0" w:line="240" w:lineRule="auto"/>
              <w:jc w:val="center"/>
            </w:pPr>
            <w:r>
              <w:t>0</w:t>
            </w:r>
          </w:p>
        </w:tc>
        <w:tc>
          <w:tcPr>
            <w:tcW w:w="440" w:type="dxa"/>
            <w:shd w:val="clear" w:color="auto" w:fill="F2F2F2" w:themeFill="background1" w:themeFillShade="F2"/>
            <w:tcMar>
              <w:top w:w="28" w:type="dxa"/>
              <w:left w:w="28" w:type="dxa"/>
              <w:bottom w:w="28" w:type="dxa"/>
              <w:right w:w="28" w:type="dxa"/>
            </w:tcMar>
          </w:tcPr>
          <w:p w14:paraId="618F65BB" w14:textId="4AA7F835" w:rsidR="00F72546" w:rsidRPr="00E43D18" w:rsidRDefault="00383043"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553EA06F" w14:textId="7D92E629" w:rsidR="00F72546" w:rsidRPr="00E43D18" w:rsidRDefault="00383043" w:rsidP="001F57E3">
            <w:pPr>
              <w:spacing w:after="0" w:line="240" w:lineRule="auto"/>
              <w:jc w:val="center"/>
            </w:pPr>
            <w:r>
              <w:t>2</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5E9D9292" w14:textId="6008B6FE" w:rsidR="00F72546" w:rsidRPr="00E43D18" w:rsidRDefault="00383043" w:rsidP="001F57E3">
            <w:pPr>
              <w:spacing w:after="0" w:line="240" w:lineRule="auto"/>
              <w:jc w:val="center"/>
            </w:pPr>
            <w:r>
              <w:t>2</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180C296E" w14:textId="03DDEFF5" w:rsidR="008D1B77" w:rsidRPr="0072192E" w:rsidRDefault="00EB4F88" w:rsidP="001F57E3">
            <w:pPr>
              <w:spacing w:after="0" w:line="240" w:lineRule="auto"/>
              <w:jc w:val="center"/>
              <w:rPr>
                <w:i/>
              </w:rPr>
            </w:pPr>
            <w:r w:rsidRPr="0072192E">
              <w:rPr>
                <w:i/>
              </w:rPr>
              <w:t>4</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5E0CD97B" w14:textId="399CE389" w:rsidR="00F72546" w:rsidRPr="00E43D18" w:rsidRDefault="00383043" w:rsidP="001F57E3">
            <w:pPr>
              <w:spacing w:after="0" w:line="240" w:lineRule="auto"/>
              <w:jc w:val="center"/>
            </w:pPr>
            <w:r>
              <w:t>0</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2E0039D9" w14:textId="6E9577A8" w:rsidR="00F72546" w:rsidRPr="00E43D18" w:rsidRDefault="00383043" w:rsidP="001F57E3">
            <w:pPr>
              <w:spacing w:after="0" w:line="240" w:lineRule="auto"/>
              <w:jc w:val="center"/>
            </w:pPr>
            <w:r>
              <w:t>0</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1A71E772" w14:textId="0E439B7A" w:rsidR="008D1B77" w:rsidRPr="0072192E" w:rsidRDefault="00EB4F88" w:rsidP="001F57E3">
            <w:pPr>
              <w:spacing w:after="0" w:line="240" w:lineRule="auto"/>
              <w:jc w:val="center"/>
              <w:rPr>
                <w:i/>
              </w:rPr>
            </w:pPr>
            <w:r w:rsidRPr="0072192E">
              <w:rPr>
                <w:i/>
              </w:rPr>
              <w:t>0</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59B7FE77" w14:textId="3F2BE9B3" w:rsidR="00F72546" w:rsidRPr="0072192E" w:rsidRDefault="008D1B77" w:rsidP="001F57E3">
            <w:pPr>
              <w:spacing w:after="0" w:line="240" w:lineRule="auto"/>
              <w:jc w:val="center"/>
              <w:rPr>
                <w:i/>
              </w:rPr>
            </w:pPr>
            <w:r w:rsidRPr="0072192E">
              <w:rPr>
                <w:i/>
              </w:rPr>
              <w:t>6</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2AA03C2" w14:textId="2D9E18F5" w:rsidR="00F72546" w:rsidRPr="00E43D18" w:rsidRDefault="008D1B77" w:rsidP="001F57E3">
            <w:pPr>
              <w:spacing w:after="0" w:line="240" w:lineRule="auto"/>
              <w:jc w:val="center"/>
            </w:pPr>
            <w:r>
              <w:t>10</w:t>
            </w:r>
            <w:r w:rsidR="00CE4872">
              <w:t xml:space="preserve"> (0.2%)</w:t>
            </w:r>
          </w:p>
        </w:tc>
      </w:tr>
      <w:tr w:rsidR="0072192E" w14:paraId="576EB248"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689E2AAB" w14:textId="21340591" w:rsidR="00F72546" w:rsidRDefault="00C74BE5" w:rsidP="001F57E3">
            <w:pPr>
              <w:spacing w:after="0" w:line="480" w:lineRule="auto"/>
              <w:contextualSpacing/>
              <w:jc w:val="center"/>
            </w:pPr>
            <w:r>
              <w:t>1477</w:t>
            </w:r>
            <w:r w:rsidR="001836A3">
              <w:t>–</w:t>
            </w:r>
            <w:r>
              <w:t>1482 MHz</w:t>
            </w:r>
          </w:p>
        </w:tc>
        <w:tc>
          <w:tcPr>
            <w:tcW w:w="540" w:type="dxa"/>
            <w:tcBorders>
              <w:left w:val="single" w:sz="12" w:space="0" w:color="auto"/>
            </w:tcBorders>
            <w:tcMar>
              <w:top w:w="28" w:type="dxa"/>
              <w:left w:w="28" w:type="dxa"/>
              <w:bottom w:w="28" w:type="dxa"/>
              <w:right w:w="28" w:type="dxa"/>
            </w:tcMar>
          </w:tcPr>
          <w:p w14:paraId="16D7CD92" w14:textId="79459E1C" w:rsidR="00F72546" w:rsidRPr="00E43D18" w:rsidRDefault="004524DF" w:rsidP="001F57E3">
            <w:pPr>
              <w:spacing w:after="0" w:line="240" w:lineRule="auto"/>
              <w:jc w:val="center"/>
            </w:pPr>
            <w:r>
              <w:t>0</w:t>
            </w:r>
          </w:p>
        </w:tc>
        <w:tc>
          <w:tcPr>
            <w:tcW w:w="551" w:type="dxa"/>
            <w:tcMar>
              <w:top w:w="28" w:type="dxa"/>
              <w:left w:w="28" w:type="dxa"/>
              <w:bottom w:w="28" w:type="dxa"/>
              <w:right w:w="28" w:type="dxa"/>
            </w:tcMar>
          </w:tcPr>
          <w:p w14:paraId="6FF61FA5" w14:textId="615221C6" w:rsidR="00F72546" w:rsidRPr="00E43D18" w:rsidRDefault="004524DF" w:rsidP="001F57E3">
            <w:pPr>
              <w:spacing w:after="0" w:line="240" w:lineRule="auto"/>
              <w:jc w:val="center"/>
            </w:pPr>
            <w:r>
              <w:t>0</w:t>
            </w:r>
          </w:p>
        </w:tc>
        <w:tc>
          <w:tcPr>
            <w:tcW w:w="471" w:type="dxa"/>
            <w:tcMar>
              <w:top w:w="28" w:type="dxa"/>
              <w:left w:w="28" w:type="dxa"/>
              <w:bottom w:w="28" w:type="dxa"/>
              <w:right w:w="28" w:type="dxa"/>
            </w:tcMar>
          </w:tcPr>
          <w:p w14:paraId="5028F354" w14:textId="04448E82" w:rsidR="00F72546" w:rsidRPr="00E43D18" w:rsidRDefault="004524DF" w:rsidP="001F57E3">
            <w:pPr>
              <w:spacing w:after="0" w:line="240" w:lineRule="auto"/>
              <w:jc w:val="center"/>
            </w:pPr>
            <w:r>
              <w:t>0</w:t>
            </w:r>
          </w:p>
        </w:tc>
        <w:tc>
          <w:tcPr>
            <w:tcW w:w="522" w:type="dxa"/>
            <w:tcMar>
              <w:top w:w="28" w:type="dxa"/>
              <w:left w:w="28" w:type="dxa"/>
              <w:bottom w:w="28" w:type="dxa"/>
              <w:right w:w="28" w:type="dxa"/>
            </w:tcMar>
          </w:tcPr>
          <w:p w14:paraId="4E0BB70E" w14:textId="1C1C82BE" w:rsidR="00F72546" w:rsidRPr="00E43D18" w:rsidRDefault="004524DF" w:rsidP="001F57E3">
            <w:pPr>
              <w:spacing w:after="0" w:line="240" w:lineRule="auto"/>
              <w:jc w:val="center"/>
            </w:pPr>
            <w:r>
              <w:t>0</w:t>
            </w:r>
          </w:p>
        </w:tc>
        <w:tc>
          <w:tcPr>
            <w:tcW w:w="507" w:type="dxa"/>
            <w:tcMar>
              <w:top w:w="28" w:type="dxa"/>
              <w:left w:w="28" w:type="dxa"/>
              <w:bottom w:w="28" w:type="dxa"/>
              <w:right w:w="28" w:type="dxa"/>
            </w:tcMar>
          </w:tcPr>
          <w:p w14:paraId="327A7040" w14:textId="49F7C4FE" w:rsidR="00F72546" w:rsidRPr="00E43D18" w:rsidRDefault="004524DF" w:rsidP="001F57E3">
            <w:pPr>
              <w:spacing w:after="0" w:line="240" w:lineRule="auto"/>
              <w:jc w:val="center"/>
            </w:pPr>
            <w:r>
              <w:t>0</w:t>
            </w:r>
          </w:p>
        </w:tc>
        <w:tc>
          <w:tcPr>
            <w:tcW w:w="440" w:type="dxa"/>
            <w:tcMar>
              <w:top w:w="28" w:type="dxa"/>
              <w:left w:w="28" w:type="dxa"/>
              <w:bottom w:w="28" w:type="dxa"/>
              <w:right w:w="28" w:type="dxa"/>
            </w:tcMar>
          </w:tcPr>
          <w:p w14:paraId="1E310AC3" w14:textId="01A521A5" w:rsidR="00F72546" w:rsidRPr="00E43D18" w:rsidRDefault="004524DF" w:rsidP="001F57E3">
            <w:pPr>
              <w:spacing w:after="0" w:line="240" w:lineRule="auto"/>
              <w:jc w:val="center"/>
            </w:pPr>
            <w:r>
              <w:t>0</w:t>
            </w:r>
          </w:p>
        </w:tc>
        <w:tc>
          <w:tcPr>
            <w:tcW w:w="507" w:type="dxa"/>
            <w:tcMar>
              <w:top w:w="28" w:type="dxa"/>
              <w:left w:w="28" w:type="dxa"/>
              <w:bottom w:w="28" w:type="dxa"/>
              <w:right w:w="28" w:type="dxa"/>
            </w:tcMar>
          </w:tcPr>
          <w:p w14:paraId="5A76A791" w14:textId="2F03734E" w:rsidR="00F72546" w:rsidRPr="00E43D18" w:rsidRDefault="004524DF" w:rsidP="001F57E3">
            <w:pPr>
              <w:spacing w:after="0" w:line="240" w:lineRule="auto"/>
              <w:jc w:val="center"/>
            </w:pPr>
            <w:r>
              <w:t>0</w:t>
            </w:r>
          </w:p>
        </w:tc>
        <w:tc>
          <w:tcPr>
            <w:tcW w:w="552" w:type="dxa"/>
            <w:tcBorders>
              <w:right w:val="single" w:sz="12" w:space="0" w:color="auto"/>
            </w:tcBorders>
            <w:tcMar>
              <w:top w:w="28" w:type="dxa"/>
              <w:left w:w="28" w:type="dxa"/>
              <w:bottom w:w="28" w:type="dxa"/>
              <w:right w:w="28" w:type="dxa"/>
            </w:tcMar>
          </w:tcPr>
          <w:p w14:paraId="15073F85" w14:textId="6D6AA89F" w:rsidR="00F72546" w:rsidRPr="00E43D18" w:rsidRDefault="004524DF" w:rsidP="001F57E3">
            <w:pPr>
              <w:spacing w:after="0" w:line="240" w:lineRule="auto"/>
              <w:jc w:val="center"/>
            </w:pPr>
            <w:r>
              <w:t>0</w:t>
            </w:r>
          </w:p>
        </w:tc>
        <w:tc>
          <w:tcPr>
            <w:tcW w:w="664" w:type="dxa"/>
            <w:tcBorders>
              <w:right w:val="single" w:sz="12" w:space="0" w:color="auto"/>
            </w:tcBorders>
            <w:tcMar>
              <w:top w:w="28" w:type="dxa"/>
              <w:left w:w="28" w:type="dxa"/>
              <w:bottom w:w="28" w:type="dxa"/>
              <w:right w:w="28" w:type="dxa"/>
            </w:tcMar>
          </w:tcPr>
          <w:p w14:paraId="5E0FB537" w14:textId="52A89E44" w:rsidR="008D1B77" w:rsidRPr="0072192E" w:rsidRDefault="00EB4F88" w:rsidP="001F57E3">
            <w:pPr>
              <w:spacing w:after="0" w:line="240" w:lineRule="auto"/>
              <w:jc w:val="center"/>
              <w:rPr>
                <w:i/>
              </w:rPr>
            </w:pPr>
            <w:r w:rsidRPr="0072192E">
              <w:rPr>
                <w:i/>
              </w:rPr>
              <w:t>0</w:t>
            </w:r>
          </w:p>
        </w:tc>
        <w:tc>
          <w:tcPr>
            <w:tcW w:w="552" w:type="dxa"/>
            <w:tcBorders>
              <w:left w:val="single" w:sz="12" w:space="0" w:color="auto"/>
            </w:tcBorders>
            <w:tcMar>
              <w:top w:w="28" w:type="dxa"/>
              <w:left w:w="28" w:type="dxa"/>
              <w:bottom w:w="28" w:type="dxa"/>
              <w:right w:w="28" w:type="dxa"/>
            </w:tcMar>
          </w:tcPr>
          <w:p w14:paraId="521C7CA0" w14:textId="2D29E7BE" w:rsidR="00F72546" w:rsidRPr="00E43D18" w:rsidRDefault="004524DF" w:rsidP="001F57E3">
            <w:pPr>
              <w:spacing w:after="0" w:line="240" w:lineRule="auto"/>
              <w:jc w:val="center"/>
            </w:pPr>
            <w:r>
              <w:t>0</w:t>
            </w:r>
          </w:p>
        </w:tc>
        <w:tc>
          <w:tcPr>
            <w:tcW w:w="694" w:type="dxa"/>
            <w:tcBorders>
              <w:right w:val="single" w:sz="12" w:space="0" w:color="auto"/>
            </w:tcBorders>
            <w:tcMar>
              <w:top w:w="28" w:type="dxa"/>
              <w:left w:w="28" w:type="dxa"/>
              <w:bottom w:w="28" w:type="dxa"/>
              <w:right w:w="28" w:type="dxa"/>
            </w:tcMar>
          </w:tcPr>
          <w:p w14:paraId="29E5DF84" w14:textId="6AE85671" w:rsidR="00F72546" w:rsidRPr="00E43D18" w:rsidRDefault="004524DF" w:rsidP="001F57E3">
            <w:pPr>
              <w:spacing w:after="0" w:line="240" w:lineRule="auto"/>
              <w:jc w:val="center"/>
            </w:pPr>
            <w:r>
              <w:t>0</w:t>
            </w:r>
          </w:p>
        </w:tc>
        <w:tc>
          <w:tcPr>
            <w:tcW w:w="693" w:type="dxa"/>
            <w:tcBorders>
              <w:right w:val="single" w:sz="12" w:space="0" w:color="auto"/>
            </w:tcBorders>
            <w:tcMar>
              <w:top w:w="28" w:type="dxa"/>
              <w:left w:w="28" w:type="dxa"/>
              <w:bottom w:w="28" w:type="dxa"/>
              <w:right w:w="28" w:type="dxa"/>
            </w:tcMar>
          </w:tcPr>
          <w:p w14:paraId="22F1F5C4" w14:textId="2EE36BC3" w:rsidR="008D1B77" w:rsidRPr="0072192E" w:rsidRDefault="00EB4F88" w:rsidP="001F57E3">
            <w:pPr>
              <w:spacing w:after="0" w:line="240" w:lineRule="auto"/>
              <w:jc w:val="center"/>
              <w:rPr>
                <w:i/>
              </w:rPr>
            </w:pPr>
            <w:r w:rsidRPr="0072192E">
              <w:rPr>
                <w:i/>
              </w:rPr>
              <w:t>0</w:t>
            </w:r>
          </w:p>
        </w:tc>
        <w:tc>
          <w:tcPr>
            <w:tcW w:w="694" w:type="dxa"/>
            <w:tcBorders>
              <w:left w:val="single" w:sz="12" w:space="0" w:color="auto"/>
              <w:right w:val="single" w:sz="12" w:space="0" w:color="auto"/>
            </w:tcBorders>
            <w:tcMar>
              <w:top w:w="28" w:type="dxa"/>
              <w:left w:w="28" w:type="dxa"/>
              <w:bottom w:w="28" w:type="dxa"/>
              <w:right w:w="28" w:type="dxa"/>
            </w:tcMar>
          </w:tcPr>
          <w:p w14:paraId="72BC992D" w14:textId="7FCA0C55" w:rsidR="00F72546" w:rsidRPr="0072192E" w:rsidRDefault="008D1B77" w:rsidP="001F57E3">
            <w:pPr>
              <w:spacing w:after="0" w:line="240" w:lineRule="auto"/>
              <w:jc w:val="center"/>
              <w:rPr>
                <w:i/>
              </w:rPr>
            </w:pPr>
            <w:r w:rsidRPr="0072192E">
              <w:rPr>
                <w:i/>
              </w:rPr>
              <w:t>12</w:t>
            </w:r>
          </w:p>
        </w:tc>
        <w:tc>
          <w:tcPr>
            <w:tcW w:w="1041" w:type="dxa"/>
            <w:tcBorders>
              <w:left w:val="single" w:sz="12" w:space="0" w:color="auto"/>
              <w:right w:val="single" w:sz="12" w:space="0" w:color="auto"/>
            </w:tcBorders>
            <w:tcMar>
              <w:top w:w="28" w:type="dxa"/>
              <w:left w:w="28" w:type="dxa"/>
              <w:bottom w:w="28" w:type="dxa"/>
              <w:right w:w="28" w:type="dxa"/>
            </w:tcMar>
          </w:tcPr>
          <w:p w14:paraId="484D4577" w14:textId="2530288D" w:rsidR="00F72546" w:rsidRPr="00E43D18" w:rsidRDefault="008D1B77" w:rsidP="001F57E3">
            <w:pPr>
              <w:spacing w:after="0" w:line="240" w:lineRule="auto"/>
              <w:jc w:val="center"/>
            </w:pPr>
            <w:r>
              <w:t>12</w:t>
            </w:r>
            <w:r w:rsidR="00CE4872">
              <w:t xml:space="preserve"> (0.2%)</w:t>
            </w:r>
          </w:p>
        </w:tc>
      </w:tr>
      <w:tr w:rsidR="0072192E" w14:paraId="50160F1A"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36CE1BE3" w14:textId="63C6509C" w:rsidR="00F72546" w:rsidRDefault="00C74BE5" w:rsidP="001F57E3">
            <w:pPr>
              <w:spacing w:after="0" w:line="480" w:lineRule="auto"/>
              <w:contextualSpacing/>
              <w:jc w:val="center"/>
            </w:pPr>
            <w:r>
              <w:t>1482</w:t>
            </w:r>
            <w:r w:rsidR="001836A3">
              <w:t>–</w:t>
            </w:r>
            <w:r>
              <w:t>1487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1C10B014" w14:textId="06DAF25F" w:rsidR="00F72546" w:rsidRPr="00E43D18" w:rsidRDefault="004524DF" w:rsidP="001F57E3">
            <w:pPr>
              <w:spacing w:after="0" w:line="240" w:lineRule="auto"/>
              <w:jc w:val="center"/>
            </w:pPr>
            <w:r>
              <w:t>0</w:t>
            </w:r>
          </w:p>
        </w:tc>
        <w:tc>
          <w:tcPr>
            <w:tcW w:w="551" w:type="dxa"/>
            <w:shd w:val="clear" w:color="auto" w:fill="F2F2F2" w:themeFill="background1" w:themeFillShade="F2"/>
            <w:tcMar>
              <w:top w:w="28" w:type="dxa"/>
              <w:left w:w="28" w:type="dxa"/>
              <w:bottom w:w="28" w:type="dxa"/>
              <w:right w:w="28" w:type="dxa"/>
            </w:tcMar>
          </w:tcPr>
          <w:p w14:paraId="473FB639" w14:textId="31092D39" w:rsidR="00F72546" w:rsidRPr="00E43D18" w:rsidRDefault="004524DF" w:rsidP="001F57E3">
            <w:pPr>
              <w:spacing w:after="0" w:line="240" w:lineRule="auto"/>
              <w:jc w:val="center"/>
            </w:pPr>
            <w:r>
              <w:t>0</w:t>
            </w:r>
          </w:p>
        </w:tc>
        <w:tc>
          <w:tcPr>
            <w:tcW w:w="471" w:type="dxa"/>
            <w:shd w:val="clear" w:color="auto" w:fill="F2F2F2" w:themeFill="background1" w:themeFillShade="F2"/>
            <w:tcMar>
              <w:top w:w="28" w:type="dxa"/>
              <w:left w:w="28" w:type="dxa"/>
              <w:bottom w:w="28" w:type="dxa"/>
              <w:right w:w="28" w:type="dxa"/>
            </w:tcMar>
          </w:tcPr>
          <w:p w14:paraId="723E8311" w14:textId="52E50D43" w:rsidR="00F72546" w:rsidRPr="00E43D18" w:rsidRDefault="004524DF" w:rsidP="001F57E3">
            <w:pPr>
              <w:spacing w:after="0" w:line="240" w:lineRule="auto"/>
              <w:jc w:val="center"/>
            </w:pPr>
            <w:r>
              <w:t>0</w:t>
            </w:r>
          </w:p>
        </w:tc>
        <w:tc>
          <w:tcPr>
            <w:tcW w:w="522" w:type="dxa"/>
            <w:shd w:val="clear" w:color="auto" w:fill="F2F2F2" w:themeFill="background1" w:themeFillShade="F2"/>
            <w:tcMar>
              <w:top w:w="28" w:type="dxa"/>
              <w:left w:w="28" w:type="dxa"/>
              <w:bottom w:w="28" w:type="dxa"/>
              <w:right w:w="28" w:type="dxa"/>
            </w:tcMar>
          </w:tcPr>
          <w:p w14:paraId="633725A0" w14:textId="72EB982E" w:rsidR="00F72546" w:rsidRPr="00E43D18" w:rsidRDefault="004524DF"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55AB4E1B" w14:textId="05757A7D" w:rsidR="00F72546" w:rsidRPr="00E43D18" w:rsidRDefault="004524DF" w:rsidP="001F57E3">
            <w:pPr>
              <w:spacing w:after="0" w:line="240" w:lineRule="auto"/>
              <w:jc w:val="center"/>
            </w:pPr>
            <w:r>
              <w:t>0</w:t>
            </w:r>
          </w:p>
        </w:tc>
        <w:tc>
          <w:tcPr>
            <w:tcW w:w="440" w:type="dxa"/>
            <w:shd w:val="clear" w:color="auto" w:fill="F2F2F2" w:themeFill="background1" w:themeFillShade="F2"/>
            <w:tcMar>
              <w:top w:w="28" w:type="dxa"/>
              <w:left w:w="28" w:type="dxa"/>
              <w:bottom w:w="28" w:type="dxa"/>
              <w:right w:w="28" w:type="dxa"/>
            </w:tcMar>
          </w:tcPr>
          <w:p w14:paraId="27E039A0" w14:textId="1A42344E" w:rsidR="00F72546" w:rsidRPr="00E43D18" w:rsidRDefault="004524DF"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600F8477" w14:textId="2C0CE927" w:rsidR="00F72546" w:rsidRPr="00E43D18" w:rsidRDefault="004524DF" w:rsidP="001F57E3">
            <w:pPr>
              <w:spacing w:after="0" w:line="240" w:lineRule="auto"/>
              <w:jc w:val="center"/>
            </w:pPr>
            <w:r>
              <w:t>0</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4E59C529" w14:textId="2E06C3AE" w:rsidR="00F72546" w:rsidRPr="00E43D18" w:rsidRDefault="004524DF" w:rsidP="001F57E3">
            <w:pPr>
              <w:spacing w:after="0" w:line="240" w:lineRule="auto"/>
              <w:jc w:val="center"/>
            </w:pPr>
            <w:r>
              <w:t>0</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326A895D" w14:textId="5F828660" w:rsidR="008D1B77" w:rsidRPr="0072192E" w:rsidRDefault="00EB4F88" w:rsidP="001F57E3">
            <w:pPr>
              <w:spacing w:after="0" w:line="240" w:lineRule="auto"/>
              <w:jc w:val="center"/>
              <w:rPr>
                <w:i/>
              </w:rPr>
            </w:pPr>
            <w:r w:rsidRPr="0072192E">
              <w:rPr>
                <w:i/>
              </w:rPr>
              <w:t>0</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64EDA05E" w14:textId="608E1430" w:rsidR="00F72546" w:rsidRPr="00E43D18" w:rsidRDefault="004524DF" w:rsidP="001F57E3">
            <w:pPr>
              <w:spacing w:after="0" w:line="240" w:lineRule="auto"/>
              <w:jc w:val="center"/>
            </w:pPr>
            <w:r>
              <w:t>0</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0B2E1443" w14:textId="5EA70234" w:rsidR="00F72546" w:rsidRPr="00E43D18" w:rsidRDefault="004524DF" w:rsidP="001F57E3">
            <w:pPr>
              <w:spacing w:after="0" w:line="240" w:lineRule="auto"/>
              <w:jc w:val="center"/>
            </w:pPr>
            <w:r>
              <w:t>0</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1CC5F280" w14:textId="60944452" w:rsidR="008D1B77" w:rsidRPr="0072192E" w:rsidRDefault="00EB4F88" w:rsidP="001F57E3">
            <w:pPr>
              <w:spacing w:after="0" w:line="240" w:lineRule="auto"/>
              <w:jc w:val="center"/>
              <w:rPr>
                <w:i/>
              </w:rPr>
            </w:pPr>
            <w:r w:rsidRPr="0072192E">
              <w:rPr>
                <w:i/>
              </w:rPr>
              <w:t>0</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1CC0737" w14:textId="322E2F01" w:rsidR="00F72546" w:rsidRPr="0072192E" w:rsidRDefault="008D1B77" w:rsidP="001F57E3">
            <w:pPr>
              <w:spacing w:after="0" w:line="240" w:lineRule="auto"/>
              <w:jc w:val="center"/>
              <w:rPr>
                <w:i/>
              </w:rPr>
            </w:pPr>
            <w:r w:rsidRPr="0072192E">
              <w:rPr>
                <w:i/>
              </w:rPr>
              <w:t>18</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B3D774A" w14:textId="43906FE1" w:rsidR="00F72546" w:rsidRPr="00E43D18" w:rsidRDefault="008D1B77" w:rsidP="001F57E3">
            <w:pPr>
              <w:spacing w:after="0" w:line="240" w:lineRule="auto"/>
              <w:jc w:val="center"/>
            </w:pPr>
            <w:r>
              <w:t>18</w:t>
            </w:r>
            <w:r w:rsidR="00CE4872">
              <w:t xml:space="preserve"> (0.3%)</w:t>
            </w:r>
          </w:p>
        </w:tc>
      </w:tr>
      <w:tr w:rsidR="0072192E" w14:paraId="5E2398F0"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47EB902E" w14:textId="4A0F4EB5" w:rsidR="00F72546" w:rsidRDefault="00C74BE5" w:rsidP="001F57E3">
            <w:pPr>
              <w:spacing w:after="0" w:line="480" w:lineRule="auto"/>
              <w:contextualSpacing/>
              <w:jc w:val="center"/>
            </w:pPr>
            <w:r>
              <w:t>1487</w:t>
            </w:r>
            <w:r w:rsidR="001836A3">
              <w:t>–</w:t>
            </w:r>
            <w:r>
              <w:t>1492 MHz</w:t>
            </w:r>
          </w:p>
        </w:tc>
        <w:tc>
          <w:tcPr>
            <w:tcW w:w="540" w:type="dxa"/>
            <w:tcBorders>
              <w:left w:val="single" w:sz="12" w:space="0" w:color="auto"/>
            </w:tcBorders>
            <w:tcMar>
              <w:top w:w="28" w:type="dxa"/>
              <w:left w:w="28" w:type="dxa"/>
              <w:bottom w:w="28" w:type="dxa"/>
              <w:right w:w="28" w:type="dxa"/>
            </w:tcMar>
          </w:tcPr>
          <w:p w14:paraId="33070C27" w14:textId="53AC7BA7" w:rsidR="00F72546" w:rsidRPr="00E43D18" w:rsidRDefault="004524DF" w:rsidP="001F57E3">
            <w:pPr>
              <w:spacing w:after="0" w:line="240" w:lineRule="auto"/>
              <w:jc w:val="center"/>
            </w:pPr>
            <w:r>
              <w:t>0</w:t>
            </w:r>
          </w:p>
        </w:tc>
        <w:tc>
          <w:tcPr>
            <w:tcW w:w="551" w:type="dxa"/>
            <w:tcMar>
              <w:top w:w="28" w:type="dxa"/>
              <w:left w:w="28" w:type="dxa"/>
              <w:bottom w:w="28" w:type="dxa"/>
              <w:right w:w="28" w:type="dxa"/>
            </w:tcMar>
          </w:tcPr>
          <w:p w14:paraId="306A0D09" w14:textId="3F4F6D68" w:rsidR="00F72546" w:rsidRPr="00E43D18" w:rsidRDefault="004524DF" w:rsidP="001F57E3">
            <w:pPr>
              <w:spacing w:after="0" w:line="240" w:lineRule="auto"/>
              <w:jc w:val="center"/>
            </w:pPr>
            <w:r>
              <w:t>4</w:t>
            </w:r>
          </w:p>
        </w:tc>
        <w:tc>
          <w:tcPr>
            <w:tcW w:w="471" w:type="dxa"/>
            <w:tcMar>
              <w:top w:w="28" w:type="dxa"/>
              <w:left w:w="28" w:type="dxa"/>
              <w:bottom w:w="28" w:type="dxa"/>
              <w:right w:w="28" w:type="dxa"/>
            </w:tcMar>
          </w:tcPr>
          <w:p w14:paraId="6F82D614" w14:textId="3E8617A2" w:rsidR="00F72546" w:rsidRPr="00E43D18" w:rsidRDefault="004524DF" w:rsidP="001F57E3">
            <w:pPr>
              <w:spacing w:after="0" w:line="240" w:lineRule="auto"/>
              <w:jc w:val="center"/>
            </w:pPr>
            <w:r>
              <w:t>0</w:t>
            </w:r>
          </w:p>
        </w:tc>
        <w:tc>
          <w:tcPr>
            <w:tcW w:w="522" w:type="dxa"/>
            <w:tcMar>
              <w:top w:w="28" w:type="dxa"/>
              <w:left w:w="28" w:type="dxa"/>
              <w:bottom w:w="28" w:type="dxa"/>
              <w:right w:w="28" w:type="dxa"/>
            </w:tcMar>
          </w:tcPr>
          <w:p w14:paraId="095BA5DF" w14:textId="3411F16A" w:rsidR="00F72546" w:rsidRPr="00E43D18" w:rsidRDefault="004524DF" w:rsidP="001F57E3">
            <w:pPr>
              <w:spacing w:after="0" w:line="240" w:lineRule="auto"/>
              <w:jc w:val="center"/>
            </w:pPr>
            <w:r>
              <w:t>2</w:t>
            </w:r>
          </w:p>
        </w:tc>
        <w:tc>
          <w:tcPr>
            <w:tcW w:w="507" w:type="dxa"/>
            <w:tcMar>
              <w:top w:w="28" w:type="dxa"/>
              <w:left w:w="28" w:type="dxa"/>
              <w:bottom w:w="28" w:type="dxa"/>
              <w:right w:w="28" w:type="dxa"/>
            </w:tcMar>
          </w:tcPr>
          <w:p w14:paraId="1BF6FF01" w14:textId="418DF385" w:rsidR="00F72546" w:rsidRPr="00E43D18" w:rsidRDefault="004524DF" w:rsidP="001F57E3">
            <w:pPr>
              <w:spacing w:after="0" w:line="240" w:lineRule="auto"/>
              <w:jc w:val="center"/>
            </w:pPr>
            <w:r>
              <w:t>0</w:t>
            </w:r>
          </w:p>
        </w:tc>
        <w:tc>
          <w:tcPr>
            <w:tcW w:w="440" w:type="dxa"/>
            <w:tcMar>
              <w:top w:w="28" w:type="dxa"/>
              <w:left w:w="28" w:type="dxa"/>
              <w:bottom w:w="28" w:type="dxa"/>
              <w:right w:w="28" w:type="dxa"/>
            </w:tcMar>
          </w:tcPr>
          <w:p w14:paraId="6DA19C88" w14:textId="128A640F" w:rsidR="00F72546" w:rsidRPr="00E43D18" w:rsidRDefault="004524DF" w:rsidP="001F57E3">
            <w:pPr>
              <w:spacing w:after="0" w:line="240" w:lineRule="auto"/>
              <w:jc w:val="center"/>
            </w:pPr>
            <w:r>
              <w:t>0</w:t>
            </w:r>
          </w:p>
        </w:tc>
        <w:tc>
          <w:tcPr>
            <w:tcW w:w="507" w:type="dxa"/>
            <w:tcMar>
              <w:top w:w="28" w:type="dxa"/>
              <w:left w:w="28" w:type="dxa"/>
              <w:bottom w:w="28" w:type="dxa"/>
              <w:right w:w="28" w:type="dxa"/>
            </w:tcMar>
          </w:tcPr>
          <w:p w14:paraId="6BFEFF12" w14:textId="0049B4D1" w:rsidR="00F72546" w:rsidRPr="00E43D18" w:rsidRDefault="004524DF" w:rsidP="001F57E3">
            <w:pPr>
              <w:spacing w:after="0" w:line="240" w:lineRule="auto"/>
              <w:jc w:val="center"/>
            </w:pPr>
            <w:r>
              <w:t>5</w:t>
            </w:r>
          </w:p>
        </w:tc>
        <w:tc>
          <w:tcPr>
            <w:tcW w:w="552" w:type="dxa"/>
            <w:tcBorders>
              <w:right w:val="single" w:sz="12" w:space="0" w:color="auto"/>
            </w:tcBorders>
            <w:tcMar>
              <w:top w:w="28" w:type="dxa"/>
              <w:left w:w="28" w:type="dxa"/>
              <w:bottom w:w="28" w:type="dxa"/>
              <w:right w:w="28" w:type="dxa"/>
            </w:tcMar>
          </w:tcPr>
          <w:p w14:paraId="308C4482" w14:textId="7B178D60" w:rsidR="00F72546" w:rsidRPr="00E43D18" w:rsidRDefault="004524DF" w:rsidP="001F57E3">
            <w:pPr>
              <w:spacing w:after="0" w:line="240" w:lineRule="auto"/>
              <w:jc w:val="center"/>
            </w:pPr>
            <w:r>
              <w:t>0</w:t>
            </w:r>
          </w:p>
        </w:tc>
        <w:tc>
          <w:tcPr>
            <w:tcW w:w="664" w:type="dxa"/>
            <w:tcBorders>
              <w:right w:val="single" w:sz="12" w:space="0" w:color="auto"/>
            </w:tcBorders>
            <w:tcMar>
              <w:top w:w="28" w:type="dxa"/>
              <w:left w:w="28" w:type="dxa"/>
              <w:bottom w:w="28" w:type="dxa"/>
              <w:right w:w="28" w:type="dxa"/>
            </w:tcMar>
          </w:tcPr>
          <w:p w14:paraId="21C7E5DF" w14:textId="7D98DFB5" w:rsidR="008D1B77" w:rsidRPr="0072192E" w:rsidRDefault="00EB4F88" w:rsidP="001F57E3">
            <w:pPr>
              <w:spacing w:after="0" w:line="240" w:lineRule="auto"/>
              <w:jc w:val="center"/>
              <w:rPr>
                <w:i/>
              </w:rPr>
            </w:pPr>
            <w:r w:rsidRPr="0072192E">
              <w:rPr>
                <w:i/>
              </w:rPr>
              <w:t>11</w:t>
            </w:r>
          </w:p>
        </w:tc>
        <w:tc>
          <w:tcPr>
            <w:tcW w:w="552" w:type="dxa"/>
            <w:tcBorders>
              <w:left w:val="single" w:sz="12" w:space="0" w:color="auto"/>
            </w:tcBorders>
            <w:tcMar>
              <w:top w:w="28" w:type="dxa"/>
              <w:left w:w="28" w:type="dxa"/>
              <w:bottom w:w="28" w:type="dxa"/>
              <w:right w:w="28" w:type="dxa"/>
            </w:tcMar>
          </w:tcPr>
          <w:p w14:paraId="102D0985" w14:textId="6DE2128A" w:rsidR="00F72546" w:rsidRPr="00E43D18" w:rsidRDefault="004524DF" w:rsidP="001F57E3">
            <w:pPr>
              <w:spacing w:after="0" w:line="240" w:lineRule="auto"/>
              <w:jc w:val="center"/>
            </w:pPr>
            <w:r>
              <w:t>8</w:t>
            </w:r>
          </w:p>
        </w:tc>
        <w:tc>
          <w:tcPr>
            <w:tcW w:w="694" w:type="dxa"/>
            <w:tcBorders>
              <w:right w:val="single" w:sz="12" w:space="0" w:color="auto"/>
            </w:tcBorders>
            <w:tcMar>
              <w:top w:w="28" w:type="dxa"/>
              <w:left w:w="28" w:type="dxa"/>
              <w:bottom w:w="28" w:type="dxa"/>
              <w:right w:w="28" w:type="dxa"/>
            </w:tcMar>
          </w:tcPr>
          <w:p w14:paraId="2AD2E213" w14:textId="4E51CA60" w:rsidR="00F72546" w:rsidRPr="00E43D18" w:rsidRDefault="004524DF" w:rsidP="001F57E3">
            <w:pPr>
              <w:spacing w:after="0" w:line="240" w:lineRule="auto"/>
              <w:jc w:val="center"/>
            </w:pPr>
            <w:r>
              <w:t>43</w:t>
            </w:r>
          </w:p>
        </w:tc>
        <w:tc>
          <w:tcPr>
            <w:tcW w:w="693" w:type="dxa"/>
            <w:tcBorders>
              <w:right w:val="single" w:sz="12" w:space="0" w:color="auto"/>
            </w:tcBorders>
            <w:tcMar>
              <w:top w:w="28" w:type="dxa"/>
              <w:left w:w="28" w:type="dxa"/>
              <w:bottom w:w="28" w:type="dxa"/>
              <w:right w:w="28" w:type="dxa"/>
            </w:tcMar>
          </w:tcPr>
          <w:p w14:paraId="5A15D2A7" w14:textId="18620901" w:rsidR="008D1B77" w:rsidRPr="0072192E" w:rsidRDefault="00EB4F88" w:rsidP="001F57E3">
            <w:pPr>
              <w:spacing w:after="0" w:line="240" w:lineRule="auto"/>
              <w:jc w:val="center"/>
              <w:rPr>
                <w:i/>
              </w:rPr>
            </w:pPr>
            <w:r w:rsidRPr="0072192E">
              <w:rPr>
                <w:i/>
              </w:rPr>
              <w:t>51</w:t>
            </w:r>
          </w:p>
        </w:tc>
        <w:tc>
          <w:tcPr>
            <w:tcW w:w="694" w:type="dxa"/>
            <w:tcBorders>
              <w:left w:val="single" w:sz="12" w:space="0" w:color="auto"/>
              <w:right w:val="single" w:sz="12" w:space="0" w:color="auto"/>
            </w:tcBorders>
            <w:tcMar>
              <w:top w:w="28" w:type="dxa"/>
              <w:left w:w="28" w:type="dxa"/>
              <w:bottom w:w="28" w:type="dxa"/>
              <w:right w:w="28" w:type="dxa"/>
            </w:tcMar>
          </w:tcPr>
          <w:p w14:paraId="7737B390" w14:textId="15031B70" w:rsidR="00F72546" w:rsidRPr="0072192E" w:rsidRDefault="004524DF" w:rsidP="001F57E3">
            <w:pPr>
              <w:spacing w:after="0" w:line="240" w:lineRule="auto"/>
              <w:jc w:val="center"/>
              <w:rPr>
                <w:i/>
              </w:rPr>
            </w:pPr>
            <w:r w:rsidRPr="0072192E">
              <w:rPr>
                <w:i/>
              </w:rPr>
              <w:t>132</w:t>
            </w:r>
          </w:p>
        </w:tc>
        <w:tc>
          <w:tcPr>
            <w:tcW w:w="1041" w:type="dxa"/>
            <w:tcBorders>
              <w:left w:val="single" w:sz="12" w:space="0" w:color="auto"/>
              <w:right w:val="single" w:sz="12" w:space="0" w:color="auto"/>
            </w:tcBorders>
            <w:tcMar>
              <w:top w:w="28" w:type="dxa"/>
              <w:left w:w="28" w:type="dxa"/>
              <w:bottom w:w="28" w:type="dxa"/>
              <w:right w:w="28" w:type="dxa"/>
            </w:tcMar>
          </w:tcPr>
          <w:p w14:paraId="2EF09226" w14:textId="61F6E454" w:rsidR="00F72546" w:rsidRPr="00E43D18" w:rsidRDefault="008D1B77" w:rsidP="001F57E3">
            <w:pPr>
              <w:spacing w:after="0" w:line="240" w:lineRule="auto"/>
              <w:jc w:val="center"/>
            </w:pPr>
            <w:r>
              <w:t>194</w:t>
            </w:r>
            <w:r w:rsidR="00CE4872">
              <w:t xml:space="preserve"> (3.1%)</w:t>
            </w:r>
          </w:p>
        </w:tc>
      </w:tr>
      <w:tr w:rsidR="0072192E" w14:paraId="3CBC9506"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7F68A884" w14:textId="484B4E05" w:rsidR="00F72546" w:rsidRDefault="00C74BE5" w:rsidP="001F57E3">
            <w:pPr>
              <w:spacing w:after="0" w:line="480" w:lineRule="auto"/>
              <w:contextualSpacing/>
              <w:jc w:val="center"/>
            </w:pPr>
            <w:r>
              <w:t>1492</w:t>
            </w:r>
            <w:r w:rsidR="001836A3">
              <w:t>–</w:t>
            </w:r>
            <w:r>
              <w:t>1497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6D15CBA8" w14:textId="50D8A5AE" w:rsidR="00F72546" w:rsidRPr="00E43D18" w:rsidRDefault="004524DF" w:rsidP="001F57E3">
            <w:pPr>
              <w:spacing w:after="0" w:line="240" w:lineRule="auto"/>
              <w:jc w:val="center"/>
            </w:pPr>
            <w:r>
              <w:t>4</w:t>
            </w:r>
          </w:p>
        </w:tc>
        <w:tc>
          <w:tcPr>
            <w:tcW w:w="551" w:type="dxa"/>
            <w:shd w:val="clear" w:color="auto" w:fill="F2F2F2" w:themeFill="background1" w:themeFillShade="F2"/>
            <w:tcMar>
              <w:top w:w="28" w:type="dxa"/>
              <w:left w:w="28" w:type="dxa"/>
              <w:bottom w:w="28" w:type="dxa"/>
              <w:right w:w="28" w:type="dxa"/>
            </w:tcMar>
          </w:tcPr>
          <w:p w14:paraId="7832E809" w14:textId="64CEC0F5" w:rsidR="00F72546" w:rsidRPr="00E43D18" w:rsidRDefault="004524DF" w:rsidP="001F57E3">
            <w:pPr>
              <w:spacing w:after="0" w:line="240" w:lineRule="auto"/>
              <w:jc w:val="center"/>
            </w:pPr>
            <w:r>
              <w:t>14</w:t>
            </w:r>
          </w:p>
        </w:tc>
        <w:tc>
          <w:tcPr>
            <w:tcW w:w="471" w:type="dxa"/>
            <w:shd w:val="clear" w:color="auto" w:fill="F2F2F2" w:themeFill="background1" w:themeFillShade="F2"/>
            <w:tcMar>
              <w:top w:w="28" w:type="dxa"/>
              <w:left w:w="28" w:type="dxa"/>
              <w:bottom w:w="28" w:type="dxa"/>
              <w:right w:w="28" w:type="dxa"/>
            </w:tcMar>
          </w:tcPr>
          <w:p w14:paraId="53FC92C9" w14:textId="6ACD6BF7" w:rsidR="00F72546" w:rsidRPr="00E43D18" w:rsidRDefault="004524DF" w:rsidP="001F57E3">
            <w:pPr>
              <w:spacing w:after="0" w:line="240" w:lineRule="auto"/>
              <w:jc w:val="center"/>
            </w:pPr>
            <w:r>
              <w:t>0</w:t>
            </w:r>
          </w:p>
        </w:tc>
        <w:tc>
          <w:tcPr>
            <w:tcW w:w="522" w:type="dxa"/>
            <w:shd w:val="clear" w:color="auto" w:fill="F2F2F2" w:themeFill="background1" w:themeFillShade="F2"/>
            <w:tcMar>
              <w:top w:w="28" w:type="dxa"/>
              <w:left w:w="28" w:type="dxa"/>
              <w:bottom w:w="28" w:type="dxa"/>
              <w:right w:w="28" w:type="dxa"/>
            </w:tcMar>
          </w:tcPr>
          <w:p w14:paraId="1B980A0E" w14:textId="3F49F938" w:rsidR="00F72546" w:rsidRPr="00E43D18" w:rsidRDefault="004524DF" w:rsidP="001F57E3">
            <w:pPr>
              <w:spacing w:after="0" w:line="240" w:lineRule="auto"/>
              <w:jc w:val="center"/>
            </w:pPr>
            <w:r>
              <w:t>4</w:t>
            </w:r>
          </w:p>
        </w:tc>
        <w:tc>
          <w:tcPr>
            <w:tcW w:w="507" w:type="dxa"/>
            <w:shd w:val="clear" w:color="auto" w:fill="F2F2F2" w:themeFill="background1" w:themeFillShade="F2"/>
            <w:tcMar>
              <w:top w:w="28" w:type="dxa"/>
              <w:left w:w="28" w:type="dxa"/>
              <w:bottom w:w="28" w:type="dxa"/>
              <w:right w:w="28" w:type="dxa"/>
            </w:tcMar>
          </w:tcPr>
          <w:p w14:paraId="32C6772E" w14:textId="171F2541" w:rsidR="00F72546" w:rsidRPr="00E43D18" w:rsidRDefault="004524DF" w:rsidP="001F57E3">
            <w:pPr>
              <w:spacing w:after="0" w:line="240" w:lineRule="auto"/>
              <w:jc w:val="center"/>
            </w:pPr>
            <w:r>
              <w:t>8</w:t>
            </w:r>
          </w:p>
        </w:tc>
        <w:tc>
          <w:tcPr>
            <w:tcW w:w="440" w:type="dxa"/>
            <w:shd w:val="clear" w:color="auto" w:fill="F2F2F2" w:themeFill="background1" w:themeFillShade="F2"/>
            <w:tcMar>
              <w:top w:w="28" w:type="dxa"/>
              <w:left w:w="28" w:type="dxa"/>
              <w:bottom w:w="28" w:type="dxa"/>
              <w:right w:w="28" w:type="dxa"/>
            </w:tcMar>
          </w:tcPr>
          <w:p w14:paraId="02D6ED1E" w14:textId="6E99876B" w:rsidR="00F72546" w:rsidRPr="00E43D18" w:rsidRDefault="004524DF" w:rsidP="001F57E3">
            <w:pPr>
              <w:spacing w:after="0" w:line="240" w:lineRule="auto"/>
              <w:jc w:val="center"/>
            </w:pPr>
            <w:r>
              <w:t>2</w:t>
            </w:r>
          </w:p>
        </w:tc>
        <w:tc>
          <w:tcPr>
            <w:tcW w:w="507" w:type="dxa"/>
            <w:shd w:val="clear" w:color="auto" w:fill="F2F2F2" w:themeFill="background1" w:themeFillShade="F2"/>
            <w:tcMar>
              <w:top w:w="28" w:type="dxa"/>
              <w:left w:w="28" w:type="dxa"/>
              <w:bottom w:w="28" w:type="dxa"/>
              <w:right w:w="28" w:type="dxa"/>
            </w:tcMar>
          </w:tcPr>
          <w:p w14:paraId="0A533D5E" w14:textId="6837E7DE" w:rsidR="00F72546" w:rsidRPr="00E43D18" w:rsidRDefault="004524DF" w:rsidP="001F57E3">
            <w:pPr>
              <w:spacing w:after="0" w:line="240" w:lineRule="auto"/>
              <w:jc w:val="center"/>
            </w:pPr>
            <w:r>
              <w:t>12</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3665EBBC" w14:textId="1E4486EF" w:rsidR="00F72546" w:rsidRPr="00E43D18" w:rsidRDefault="004524DF" w:rsidP="001F57E3">
            <w:pPr>
              <w:spacing w:after="0" w:line="240" w:lineRule="auto"/>
              <w:jc w:val="center"/>
            </w:pPr>
            <w:r>
              <w:t>10</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1BF7DA5F" w14:textId="0D213890" w:rsidR="008D1B77" w:rsidRPr="0072192E" w:rsidRDefault="00EB4F88" w:rsidP="001F57E3">
            <w:pPr>
              <w:spacing w:after="0" w:line="240" w:lineRule="auto"/>
              <w:jc w:val="center"/>
              <w:rPr>
                <w:i/>
              </w:rPr>
            </w:pPr>
            <w:r w:rsidRPr="0072192E">
              <w:rPr>
                <w:i/>
              </w:rPr>
              <w:t>54</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7F1158AF" w14:textId="7E88170C" w:rsidR="00F72546" w:rsidRPr="00E43D18" w:rsidRDefault="004524DF" w:rsidP="001F57E3">
            <w:pPr>
              <w:spacing w:after="0" w:line="240" w:lineRule="auto"/>
              <w:jc w:val="center"/>
            </w:pPr>
            <w:r>
              <w:t>34</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57843AD7" w14:textId="3C772293" w:rsidR="00F72546" w:rsidRPr="00E43D18" w:rsidRDefault="004524DF" w:rsidP="001F57E3">
            <w:pPr>
              <w:spacing w:after="0" w:line="240" w:lineRule="auto"/>
              <w:jc w:val="center"/>
            </w:pPr>
            <w:r>
              <w:t>264</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361E8FFE" w14:textId="3AF79760" w:rsidR="008D1B77" w:rsidRPr="0072192E" w:rsidRDefault="00EB4F88" w:rsidP="001F57E3">
            <w:pPr>
              <w:spacing w:after="0" w:line="240" w:lineRule="auto"/>
              <w:jc w:val="center"/>
              <w:rPr>
                <w:i/>
              </w:rPr>
            </w:pPr>
            <w:r w:rsidRPr="0072192E">
              <w:rPr>
                <w:i/>
              </w:rPr>
              <w:t>298</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6D24152" w14:textId="1C92A1A1" w:rsidR="00F72546" w:rsidRPr="0072192E" w:rsidRDefault="00ED63B6" w:rsidP="001F57E3">
            <w:pPr>
              <w:spacing w:after="0" w:line="240" w:lineRule="auto"/>
              <w:jc w:val="center"/>
              <w:rPr>
                <w:i/>
              </w:rPr>
            </w:pPr>
            <w:r w:rsidRPr="0072192E">
              <w:rPr>
                <w:i/>
              </w:rPr>
              <w:t>648</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4B2099E4" w14:textId="778A7212" w:rsidR="00F72546" w:rsidRPr="00E43D18" w:rsidRDefault="004524DF" w:rsidP="001F57E3">
            <w:pPr>
              <w:spacing w:after="0" w:line="240" w:lineRule="auto"/>
              <w:jc w:val="center"/>
            </w:pPr>
            <w:r>
              <w:t>1</w:t>
            </w:r>
            <w:r w:rsidR="001836A3">
              <w:t>,</w:t>
            </w:r>
            <w:r>
              <w:t>000</w:t>
            </w:r>
            <w:r w:rsidR="00CE4872">
              <w:t xml:space="preserve"> (16.0%)</w:t>
            </w:r>
          </w:p>
        </w:tc>
      </w:tr>
      <w:tr w:rsidR="0072192E" w14:paraId="323E8A2C"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40FC5A9F" w14:textId="0BFCEE9C" w:rsidR="00F72546" w:rsidRDefault="00C74BE5" w:rsidP="001F57E3">
            <w:pPr>
              <w:spacing w:after="0" w:line="480" w:lineRule="auto"/>
              <w:contextualSpacing/>
              <w:jc w:val="center"/>
            </w:pPr>
            <w:r>
              <w:t>1497</w:t>
            </w:r>
            <w:r w:rsidR="001836A3">
              <w:t>–</w:t>
            </w:r>
            <w:r>
              <w:t>1502 MHz</w:t>
            </w:r>
          </w:p>
        </w:tc>
        <w:tc>
          <w:tcPr>
            <w:tcW w:w="540" w:type="dxa"/>
            <w:tcBorders>
              <w:left w:val="single" w:sz="12" w:space="0" w:color="auto"/>
            </w:tcBorders>
            <w:tcMar>
              <w:top w:w="28" w:type="dxa"/>
              <w:left w:w="28" w:type="dxa"/>
              <w:bottom w:w="28" w:type="dxa"/>
              <w:right w:w="28" w:type="dxa"/>
            </w:tcMar>
          </w:tcPr>
          <w:p w14:paraId="2C2D67CF" w14:textId="4F085A7A" w:rsidR="00F72546" w:rsidRPr="00E43D18" w:rsidRDefault="00ED63B6" w:rsidP="001F57E3">
            <w:pPr>
              <w:spacing w:after="0" w:line="240" w:lineRule="auto"/>
              <w:jc w:val="center"/>
            </w:pPr>
            <w:r>
              <w:t>4</w:t>
            </w:r>
          </w:p>
        </w:tc>
        <w:tc>
          <w:tcPr>
            <w:tcW w:w="551" w:type="dxa"/>
            <w:tcMar>
              <w:top w:w="28" w:type="dxa"/>
              <w:left w:w="28" w:type="dxa"/>
              <w:bottom w:w="28" w:type="dxa"/>
              <w:right w:w="28" w:type="dxa"/>
            </w:tcMar>
          </w:tcPr>
          <w:p w14:paraId="64F42A7E" w14:textId="3D2A9379" w:rsidR="00F72546" w:rsidRPr="00E43D18" w:rsidRDefault="00ED63B6" w:rsidP="001F57E3">
            <w:pPr>
              <w:spacing w:after="0" w:line="240" w:lineRule="auto"/>
              <w:jc w:val="center"/>
            </w:pPr>
            <w:r>
              <w:t>12</w:t>
            </w:r>
          </w:p>
        </w:tc>
        <w:tc>
          <w:tcPr>
            <w:tcW w:w="471" w:type="dxa"/>
            <w:tcMar>
              <w:top w:w="28" w:type="dxa"/>
              <w:left w:w="28" w:type="dxa"/>
              <w:bottom w:w="28" w:type="dxa"/>
              <w:right w:w="28" w:type="dxa"/>
            </w:tcMar>
          </w:tcPr>
          <w:p w14:paraId="060F09C1" w14:textId="25685C21" w:rsidR="00F72546" w:rsidRPr="00E43D18" w:rsidRDefault="00ED63B6" w:rsidP="001F57E3">
            <w:pPr>
              <w:spacing w:after="0" w:line="240" w:lineRule="auto"/>
              <w:jc w:val="center"/>
            </w:pPr>
            <w:r>
              <w:t>1</w:t>
            </w:r>
          </w:p>
        </w:tc>
        <w:tc>
          <w:tcPr>
            <w:tcW w:w="522" w:type="dxa"/>
            <w:tcMar>
              <w:top w:w="28" w:type="dxa"/>
              <w:left w:w="28" w:type="dxa"/>
              <w:bottom w:w="28" w:type="dxa"/>
              <w:right w:w="28" w:type="dxa"/>
            </w:tcMar>
          </w:tcPr>
          <w:p w14:paraId="09F5ECC3" w14:textId="7702A789" w:rsidR="00F72546" w:rsidRPr="00E43D18" w:rsidRDefault="00ED63B6" w:rsidP="001F57E3">
            <w:pPr>
              <w:spacing w:after="0" w:line="240" w:lineRule="auto"/>
              <w:jc w:val="center"/>
            </w:pPr>
            <w:r>
              <w:t>3</w:t>
            </w:r>
          </w:p>
        </w:tc>
        <w:tc>
          <w:tcPr>
            <w:tcW w:w="507" w:type="dxa"/>
            <w:tcMar>
              <w:top w:w="28" w:type="dxa"/>
              <w:left w:w="28" w:type="dxa"/>
              <w:bottom w:w="28" w:type="dxa"/>
              <w:right w:w="28" w:type="dxa"/>
            </w:tcMar>
          </w:tcPr>
          <w:p w14:paraId="3A88986E" w14:textId="22E81EA5" w:rsidR="00F72546" w:rsidRPr="00E43D18" w:rsidRDefault="00ED63B6" w:rsidP="001F57E3">
            <w:pPr>
              <w:spacing w:after="0" w:line="240" w:lineRule="auto"/>
              <w:jc w:val="center"/>
            </w:pPr>
            <w:r>
              <w:t>13</w:t>
            </w:r>
          </w:p>
        </w:tc>
        <w:tc>
          <w:tcPr>
            <w:tcW w:w="440" w:type="dxa"/>
            <w:tcMar>
              <w:top w:w="28" w:type="dxa"/>
              <w:left w:w="28" w:type="dxa"/>
              <w:bottom w:w="28" w:type="dxa"/>
              <w:right w:w="28" w:type="dxa"/>
            </w:tcMar>
          </w:tcPr>
          <w:p w14:paraId="254C9884" w14:textId="3DEC68EC" w:rsidR="00F72546" w:rsidRPr="00E43D18" w:rsidRDefault="00ED63B6" w:rsidP="001F57E3">
            <w:pPr>
              <w:spacing w:after="0" w:line="240" w:lineRule="auto"/>
              <w:jc w:val="center"/>
            </w:pPr>
            <w:r>
              <w:t>4</w:t>
            </w:r>
          </w:p>
        </w:tc>
        <w:tc>
          <w:tcPr>
            <w:tcW w:w="507" w:type="dxa"/>
            <w:tcMar>
              <w:top w:w="28" w:type="dxa"/>
              <w:left w:w="28" w:type="dxa"/>
              <w:bottom w:w="28" w:type="dxa"/>
              <w:right w:w="28" w:type="dxa"/>
            </w:tcMar>
          </w:tcPr>
          <w:p w14:paraId="0683D0A8" w14:textId="24B55EE3" w:rsidR="00F72546" w:rsidRPr="00E43D18" w:rsidRDefault="00ED63B6" w:rsidP="001F57E3">
            <w:pPr>
              <w:spacing w:after="0" w:line="240" w:lineRule="auto"/>
              <w:jc w:val="center"/>
            </w:pPr>
            <w:r>
              <w:t>9</w:t>
            </w:r>
          </w:p>
        </w:tc>
        <w:tc>
          <w:tcPr>
            <w:tcW w:w="552" w:type="dxa"/>
            <w:tcBorders>
              <w:right w:val="single" w:sz="12" w:space="0" w:color="auto"/>
            </w:tcBorders>
            <w:tcMar>
              <w:top w:w="28" w:type="dxa"/>
              <w:left w:w="28" w:type="dxa"/>
              <w:bottom w:w="28" w:type="dxa"/>
              <w:right w:w="28" w:type="dxa"/>
            </w:tcMar>
          </w:tcPr>
          <w:p w14:paraId="09E86233" w14:textId="684DD45D" w:rsidR="00F72546" w:rsidRPr="00E43D18" w:rsidRDefault="00ED63B6" w:rsidP="001F57E3">
            <w:pPr>
              <w:spacing w:after="0" w:line="240" w:lineRule="auto"/>
              <w:jc w:val="center"/>
            </w:pPr>
            <w:r>
              <w:t>18</w:t>
            </w:r>
          </w:p>
        </w:tc>
        <w:tc>
          <w:tcPr>
            <w:tcW w:w="664" w:type="dxa"/>
            <w:tcBorders>
              <w:right w:val="single" w:sz="12" w:space="0" w:color="auto"/>
            </w:tcBorders>
            <w:tcMar>
              <w:top w:w="28" w:type="dxa"/>
              <w:left w:w="28" w:type="dxa"/>
              <w:bottom w:w="28" w:type="dxa"/>
              <w:right w:w="28" w:type="dxa"/>
            </w:tcMar>
          </w:tcPr>
          <w:p w14:paraId="15615820" w14:textId="5CB97627" w:rsidR="008D1B77" w:rsidRPr="0072192E" w:rsidRDefault="00EB4F88" w:rsidP="001F57E3">
            <w:pPr>
              <w:spacing w:after="0" w:line="240" w:lineRule="auto"/>
              <w:jc w:val="center"/>
              <w:rPr>
                <w:i/>
              </w:rPr>
            </w:pPr>
            <w:r w:rsidRPr="0072192E">
              <w:rPr>
                <w:i/>
              </w:rPr>
              <w:t>64</w:t>
            </w:r>
          </w:p>
        </w:tc>
        <w:tc>
          <w:tcPr>
            <w:tcW w:w="552" w:type="dxa"/>
            <w:tcBorders>
              <w:left w:val="single" w:sz="12" w:space="0" w:color="auto"/>
            </w:tcBorders>
            <w:tcMar>
              <w:top w:w="28" w:type="dxa"/>
              <w:left w:w="28" w:type="dxa"/>
              <w:bottom w:w="28" w:type="dxa"/>
              <w:right w:w="28" w:type="dxa"/>
            </w:tcMar>
          </w:tcPr>
          <w:p w14:paraId="330BF59A" w14:textId="54143563" w:rsidR="00F72546" w:rsidRPr="00E43D18" w:rsidRDefault="00ED63B6" w:rsidP="001F57E3">
            <w:pPr>
              <w:spacing w:after="0" w:line="240" w:lineRule="auto"/>
              <w:jc w:val="center"/>
            </w:pPr>
            <w:r>
              <w:t>39</w:t>
            </w:r>
          </w:p>
        </w:tc>
        <w:tc>
          <w:tcPr>
            <w:tcW w:w="694" w:type="dxa"/>
            <w:tcBorders>
              <w:right w:val="single" w:sz="12" w:space="0" w:color="auto"/>
            </w:tcBorders>
            <w:tcMar>
              <w:top w:w="28" w:type="dxa"/>
              <w:left w:w="28" w:type="dxa"/>
              <w:bottom w:w="28" w:type="dxa"/>
              <w:right w:w="28" w:type="dxa"/>
            </w:tcMar>
          </w:tcPr>
          <w:p w14:paraId="6CD9DBD3" w14:textId="0AC3110C" w:rsidR="00F72546" w:rsidRPr="00E43D18" w:rsidRDefault="00ED63B6" w:rsidP="001F57E3">
            <w:pPr>
              <w:spacing w:after="0" w:line="240" w:lineRule="auto"/>
              <w:jc w:val="center"/>
            </w:pPr>
            <w:r>
              <w:t>317</w:t>
            </w:r>
          </w:p>
        </w:tc>
        <w:tc>
          <w:tcPr>
            <w:tcW w:w="693" w:type="dxa"/>
            <w:tcBorders>
              <w:right w:val="single" w:sz="12" w:space="0" w:color="auto"/>
            </w:tcBorders>
            <w:tcMar>
              <w:top w:w="28" w:type="dxa"/>
              <w:left w:w="28" w:type="dxa"/>
              <w:bottom w:w="28" w:type="dxa"/>
              <w:right w:w="28" w:type="dxa"/>
            </w:tcMar>
          </w:tcPr>
          <w:p w14:paraId="1CB031ED" w14:textId="68034F2D" w:rsidR="008D1B77" w:rsidRPr="0072192E" w:rsidRDefault="00EB4F88" w:rsidP="001F57E3">
            <w:pPr>
              <w:spacing w:after="0" w:line="240" w:lineRule="auto"/>
              <w:jc w:val="center"/>
              <w:rPr>
                <w:i/>
              </w:rPr>
            </w:pPr>
            <w:r w:rsidRPr="0072192E">
              <w:rPr>
                <w:i/>
              </w:rPr>
              <w:t>356</w:t>
            </w:r>
          </w:p>
        </w:tc>
        <w:tc>
          <w:tcPr>
            <w:tcW w:w="694" w:type="dxa"/>
            <w:tcBorders>
              <w:left w:val="single" w:sz="12" w:space="0" w:color="auto"/>
              <w:right w:val="single" w:sz="12" w:space="0" w:color="auto"/>
            </w:tcBorders>
            <w:tcMar>
              <w:top w:w="28" w:type="dxa"/>
              <w:left w:w="28" w:type="dxa"/>
              <w:bottom w:w="28" w:type="dxa"/>
              <w:right w:w="28" w:type="dxa"/>
            </w:tcMar>
          </w:tcPr>
          <w:p w14:paraId="7CD32768" w14:textId="2D0E033E" w:rsidR="00F72546" w:rsidRPr="0072192E" w:rsidRDefault="00ED63B6" w:rsidP="001F57E3">
            <w:pPr>
              <w:spacing w:after="0" w:line="240" w:lineRule="auto"/>
              <w:jc w:val="center"/>
              <w:rPr>
                <w:i/>
              </w:rPr>
            </w:pPr>
            <w:r w:rsidRPr="0072192E">
              <w:rPr>
                <w:i/>
              </w:rPr>
              <w:t>675</w:t>
            </w:r>
          </w:p>
        </w:tc>
        <w:tc>
          <w:tcPr>
            <w:tcW w:w="1041" w:type="dxa"/>
            <w:tcBorders>
              <w:left w:val="single" w:sz="12" w:space="0" w:color="auto"/>
              <w:right w:val="single" w:sz="12" w:space="0" w:color="auto"/>
            </w:tcBorders>
            <w:tcMar>
              <w:top w:w="28" w:type="dxa"/>
              <w:left w:w="28" w:type="dxa"/>
              <w:bottom w:w="28" w:type="dxa"/>
              <w:right w:w="28" w:type="dxa"/>
            </w:tcMar>
          </w:tcPr>
          <w:p w14:paraId="4B9BC76D" w14:textId="3786C919" w:rsidR="00F72546" w:rsidRPr="00E43D18" w:rsidRDefault="00ED63B6" w:rsidP="001F57E3">
            <w:pPr>
              <w:spacing w:after="0" w:line="240" w:lineRule="auto"/>
              <w:jc w:val="center"/>
            </w:pPr>
            <w:r>
              <w:t>1</w:t>
            </w:r>
            <w:r w:rsidR="001836A3">
              <w:t>,</w:t>
            </w:r>
            <w:r>
              <w:t>095</w:t>
            </w:r>
            <w:r w:rsidR="00CE4872">
              <w:t xml:space="preserve"> (17.6%)</w:t>
            </w:r>
          </w:p>
        </w:tc>
      </w:tr>
      <w:tr w:rsidR="0072192E" w14:paraId="0954B529"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6DC63016" w14:textId="015A9385" w:rsidR="00F72546" w:rsidRDefault="00C74BE5" w:rsidP="001F57E3">
            <w:pPr>
              <w:spacing w:after="0" w:line="480" w:lineRule="auto"/>
              <w:contextualSpacing/>
              <w:jc w:val="center"/>
            </w:pPr>
            <w:r>
              <w:t>1502</w:t>
            </w:r>
            <w:r w:rsidR="001836A3">
              <w:t>–</w:t>
            </w:r>
            <w:r>
              <w:t>1507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672FBCF1" w14:textId="34604A33" w:rsidR="00F72546" w:rsidRPr="00E43D18" w:rsidRDefault="00ED63B6" w:rsidP="001F57E3">
            <w:pPr>
              <w:spacing w:after="0" w:line="240" w:lineRule="auto"/>
              <w:jc w:val="center"/>
            </w:pPr>
            <w:r>
              <w:t>1</w:t>
            </w:r>
          </w:p>
        </w:tc>
        <w:tc>
          <w:tcPr>
            <w:tcW w:w="551" w:type="dxa"/>
            <w:shd w:val="clear" w:color="auto" w:fill="F2F2F2" w:themeFill="background1" w:themeFillShade="F2"/>
            <w:tcMar>
              <w:top w:w="28" w:type="dxa"/>
              <w:left w:w="28" w:type="dxa"/>
              <w:bottom w:w="28" w:type="dxa"/>
              <w:right w:w="28" w:type="dxa"/>
            </w:tcMar>
          </w:tcPr>
          <w:p w14:paraId="2D705A9E" w14:textId="00A25BB4" w:rsidR="00F72546" w:rsidRPr="00E43D18" w:rsidRDefault="00ED63B6" w:rsidP="001F57E3">
            <w:pPr>
              <w:spacing w:after="0" w:line="240" w:lineRule="auto"/>
              <w:jc w:val="center"/>
            </w:pPr>
            <w:r>
              <w:t>7</w:t>
            </w:r>
          </w:p>
        </w:tc>
        <w:tc>
          <w:tcPr>
            <w:tcW w:w="471" w:type="dxa"/>
            <w:shd w:val="clear" w:color="auto" w:fill="F2F2F2" w:themeFill="background1" w:themeFillShade="F2"/>
            <w:tcMar>
              <w:top w:w="28" w:type="dxa"/>
              <w:left w:w="28" w:type="dxa"/>
              <w:bottom w:w="28" w:type="dxa"/>
              <w:right w:w="28" w:type="dxa"/>
            </w:tcMar>
          </w:tcPr>
          <w:p w14:paraId="4A513CE9" w14:textId="19D254C6" w:rsidR="00F72546" w:rsidRPr="00E43D18" w:rsidRDefault="00ED63B6" w:rsidP="001F57E3">
            <w:pPr>
              <w:spacing w:after="0" w:line="240" w:lineRule="auto"/>
              <w:jc w:val="center"/>
            </w:pPr>
            <w:r>
              <w:t>3</w:t>
            </w:r>
          </w:p>
        </w:tc>
        <w:tc>
          <w:tcPr>
            <w:tcW w:w="522" w:type="dxa"/>
            <w:shd w:val="clear" w:color="auto" w:fill="F2F2F2" w:themeFill="background1" w:themeFillShade="F2"/>
            <w:tcMar>
              <w:top w:w="28" w:type="dxa"/>
              <w:left w:w="28" w:type="dxa"/>
              <w:bottom w:w="28" w:type="dxa"/>
              <w:right w:w="28" w:type="dxa"/>
            </w:tcMar>
          </w:tcPr>
          <w:p w14:paraId="299A847F" w14:textId="0233AAC7" w:rsidR="00F72546" w:rsidRPr="00E43D18" w:rsidRDefault="00ED63B6" w:rsidP="001F57E3">
            <w:pPr>
              <w:spacing w:after="0" w:line="240" w:lineRule="auto"/>
              <w:jc w:val="center"/>
            </w:pPr>
            <w:r>
              <w:t>2</w:t>
            </w:r>
          </w:p>
        </w:tc>
        <w:tc>
          <w:tcPr>
            <w:tcW w:w="507" w:type="dxa"/>
            <w:shd w:val="clear" w:color="auto" w:fill="F2F2F2" w:themeFill="background1" w:themeFillShade="F2"/>
            <w:tcMar>
              <w:top w:w="28" w:type="dxa"/>
              <w:left w:w="28" w:type="dxa"/>
              <w:bottom w:w="28" w:type="dxa"/>
              <w:right w:w="28" w:type="dxa"/>
            </w:tcMar>
          </w:tcPr>
          <w:p w14:paraId="27D9CB6A" w14:textId="52E8BDD3" w:rsidR="00F72546" w:rsidRPr="00E43D18" w:rsidRDefault="00ED63B6" w:rsidP="001F57E3">
            <w:pPr>
              <w:spacing w:after="0" w:line="240" w:lineRule="auto"/>
              <w:jc w:val="center"/>
            </w:pPr>
            <w:r>
              <w:t>6</w:t>
            </w:r>
          </w:p>
        </w:tc>
        <w:tc>
          <w:tcPr>
            <w:tcW w:w="440" w:type="dxa"/>
            <w:shd w:val="clear" w:color="auto" w:fill="F2F2F2" w:themeFill="background1" w:themeFillShade="F2"/>
            <w:tcMar>
              <w:top w:w="28" w:type="dxa"/>
              <w:left w:w="28" w:type="dxa"/>
              <w:bottom w:w="28" w:type="dxa"/>
              <w:right w:w="28" w:type="dxa"/>
            </w:tcMar>
          </w:tcPr>
          <w:p w14:paraId="695D5BBA" w14:textId="1516203A" w:rsidR="00F72546" w:rsidRPr="00E43D18" w:rsidRDefault="00ED63B6" w:rsidP="001F57E3">
            <w:pPr>
              <w:spacing w:after="0" w:line="240" w:lineRule="auto"/>
              <w:jc w:val="center"/>
            </w:pPr>
            <w:r>
              <w:t>6</w:t>
            </w:r>
          </w:p>
        </w:tc>
        <w:tc>
          <w:tcPr>
            <w:tcW w:w="507" w:type="dxa"/>
            <w:shd w:val="clear" w:color="auto" w:fill="F2F2F2" w:themeFill="background1" w:themeFillShade="F2"/>
            <w:tcMar>
              <w:top w:w="28" w:type="dxa"/>
              <w:left w:w="28" w:type="dxa"/>
              <w:bottom w:w="28" w:type="dxa"/>
              <w:right w:w="28" w:type="dxa"/>
            </w:tcMar>
          </w:tcPr>
          <w:p w14:paraId="3D94CD94" w14:textId="002E5FFB" w:rsidR="00F72546" w:rsidRPr="00E43D18" w:rsidRDefault="00ED63B6" w:rsidP="001F57E3">
            <w:pPr>
              <w:spacing w:after="0" w:line="240" w:lineRule="auto"/>
              <w:jc w:val="center"/>
            </w:pPr>
            <w:r>
              <w:t>3</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109F8CE5" w14:textId="492931EE" w:rsidR="00F72546" w:rsidRPr="00E43D18" w:rsidRDefault="00ED63B6" w:rsidP="001F57E3">
            <w:pPr>
              <w:spacing w:after="0" w:line="240" w:lineRule="auto"/>
              <w:jc w:val="center"/>
            </w:pPr>
            <w:r>
              <w:t>22</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7A60E402" w14:textId="5A76853F" w:rsidR="008D1B77" w:rsidRPr="0072192E" w:rsidRDefault="00EB4F88" w:rsidP="001F57E3">
            <w:pPr>
              <w:spacing w:after="0" w:line="240" w:lineRule="auto"/>
              <w:jc w:val="center"/>
              <w:rPr>
                <w:i/>
              </w:rPr>
            </w:pPr>
            <w:r w:rsidRPr="0072192E">
              <w:rPr>
                <w:i/>
              </w:rPr>
              <w:t>50</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53ECF6C5" w14:textId="39C4D752" w:rsidR="00F72546" w:rsidRPr="00E43D18" w:rsidRDefault="00ED63B6" w:rsidP="001F57E3">
            <w:pPr>
              <w:spacing w:after="0" w:line="240" w:lineRule="auto"/>
              <w:jc w:val="center"/>
            </w:pPr>
            <w:r>
              <w:t>38</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44C3CBA4" w14:textId="39263D93" w:rsidR="00F72546" w:rsidRPr="00E43D18" w:rsidRDefault="00ED63B6" w:rsidP="001F57E3">
            <w:pPr>
              <w:spacing w:after="0" w:line="240" w:lineRule="auto"/>
              <w:jc w:val="center"/>
            </w:pPr>
            <w:r>
              <w:t>253</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56C17504" w14:textId="4183A4A9" w:rsidR="008D1B77" w:rsidRPr="0072192E" w:rsidRDefault="00EB4F88" w:rsidP="001F57E3">
            <w:pPr>
              <w:spacing w:after="0" w:line="240" w:lineRule="auto"/>
              <w:jc w:val="center"/>
              <w:rPr>
                <w:i/>
              </w:rPr>
            </w:pPr>
            <w:r w:rsidRPr="0072192E">
              <w:rPr>
                <w:i/>
              </w:rPr>
              <w:t>291</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266837E2" w14:textId="3D2F3542" w:rsidR="00F72546" w:rsidRPr="0072192E" w:rsidRDefault="00ED63B6" w:rsidP="001F57E3">
            <w:pPr>
              <w:spacing w:after="0" w:line="240" w:lineRule="auto"/>
              <w:jc w:val="center"/>
              <w:rPr>
                <w:i/>
              </w:rPr>
            </w:pPr>
            <w:r w:rsidRPr="0072192E">
              <w:rPr>
                <w:i/>
              </w:rPr>
              <w:t>688</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0734A2C3" w14:textId="6F808F26" w:rsidR="00F72546" w:rsidRPr="00E43D18" w:rsidRDefault="00ED63B6" w:rsidP="001F57E3">
            <w:pPr>
              <w:spacing w:after="0" w:line="240" w:lineRule="auto"/>
              <w:jc w:val="center"/>
            </w:pPr>
            <w:r>
              <w:t>1</w:t>
            </w:r>
            <w:r w:rsidR="001836A3">
              <w:t>,</w:t>
            </w:r>
            <w:r>
              <w:t>029</w:t>
            </w:r>
            <w:r w:rsidR="00CE4872">
              <w:t xml:space="preserve"> (16.6%)</w:t>
            </w:r>
          </w:p>
        </w:tc>
      </w:tr>
      <w:tr w:rsidR="0072192E" w14:paraId="5CDADC7C" w14:textId="77777777" w:rsidTr="006D6661">
        <w:tc>
          <w:tcPr>
            <w:tcW w:w="1764" w:type="dxa"/>
            <w:tcBorders>
              <w:left w:val="single" w:sz="12" w:space="0" w:color="auto"/>
              <w:right w:val="single" w:sz="12" w:space="0" w:color="auto"/>
            </w:tcBorders>
            <w:tcMar>
              <w:top w:w="28" w:type="dxa"/>
              <w:left w:w="28" w:type="dxa"/>
              <w:bottom w:w="28" w:type="dxa"/>
              <w:right w:w="28" w:type="dxa"/>
            </w:tcMar>
          </w:tcPr>
          <w:p w14:paraId="7169247A" w14:textId="0AD9F550" w:rsidR="00F72546" w:rsidRDefault="00F72546" w:rsidP="001F57E3">
            <w:pPr>
              <w:spacing w:after="0" w:line="480" w:lineRule="auto"/>
              <w:contextualSpacing/>
              <w:jc w:val="center"/>
            </w:pPr>
            <w:r>
              <w:t>1507</w:t>
            </w:r>
            <w:r w:rsidR="001836A3">
              <w:t>–</w:t>
            </w:r>
            <w:r>
              <w:t>1512 MHz</w:t>
            </w:r>
          </w:p>
        </w:tc>
        <w:tc>
          <w:tcPr>
            <w:tcW w:w="540" w:type="dxa"/>
            <w:tcBorders>
              <w:left w:val="single" w:sz="12" w:space="0" w:color="auto"/>
            </w:tcBorders>
            <w:tcMar>
              <w:top w:w="28" w:type="dxa"/>
              <w:left w:w="28" w:type="dxa"/>
              <w:bottom w:w="28" w:type="dxa"/>
              <w:right w:w="28" w:type="dxa"/>
            </w:tcMar>
          </w:tcPr>
          <w:p w14:paraId="69A9607E" w14:textId="2D464614" w:rsidR="00F72546" w:rsidRPr="00E43D18" w:rsidRDefault="006A67FA" w:rsidP="001F57E3">
            <w:pPr>
              <w:spacing w:after="0" w:line="240" w:lineRule="auto"/>
              <w:jc w:val="center"/>
            </w:pPr>
            <w:r>
              <w:t>1</w:t>
            </w:r>
          </w:p>
        </w:tc>
        <w:tc>
          <w:tcPr>
            <w:tcW w:w="551" w:type="dxa"/>
            <w:tcMar>
              <w:top w:w="28" w:type="dxa"/>
              <w:left w:w="28" w:type="dxa"/>
              <w:bottom w:w="28" w:type="dxa"/>
              <w:right w:w="28" w:type="dxa"/>
            </w:tcMar>
          </w:tcPr>
          <w:p w14:paraId="21E7AB80" w14:textId="49B03562" w:rsidR="00F72546" w:rsidRPr="00E43D18" w:rsidRDefault="006A67FA" w:rsidP="001F57E3">
            <w:pPr>
              <w:spacing w:after="0" w:line="240" w:lineRule="auto"/>
              <w:jc w:val="center"/>
            </w:pPr>
            <w:r>
              <w:t>7</w:t>
            </w:r>
          </w:p>
        </w:tc>
        <w:tc>
          <w:tcPr>
            <w:tcW w:w="471" w:type="dxa"/>
            <w:tcMar>
              <w:top w:w="28" w:type="dxa"/>
              <w:left w:w="28" w:type="dxa"/>
              <w:bottom w:w="28" w:type="dxa"/>
              <w:right w:w="28" w:type="dxa"/>
            </w:tcMar>
          </w:tcPr>
          <w:p w14:paraId="4FAB0C4A" w14:textId="48ED2B70" w:rsidR="00F72546" w:rsidRPr="00E43D18" w:rsidRDefault="006A67FA" w:rsidP="001F57E3">
            <w:pPr>
              <w:spacing w:after="0" w:line="240" w:lineRule="auto"/>
              <w:jc w:val="center"/>
            </w:pPr>
            <w:r>
              <w:t>4</w:t>
            </w:r>
          </w:p>
        </w:tc>
        <w:tc>
          <w:tcPr>
            <w:tcW w:w="522" w:type="dxa"/>
            <w:tcMar>
              <w:top w:w="28" w:type="dxa"/>
              <w:left w:w="28" w:type="dxa"/>
              <w:bottom w:w="28" w:type="dxa"/>
              <w:right w:w="28" w:type="dxa"/>
            </w:tcMar>
          </w:tcPr>
          <w:p w14:paraId="700354F6" w14:textId="5679900D" w:rsidR="00F72546" w:rsidRPr="00E43D18" w:rsidRDefault="006A67FA" w:rsidP="001F57E3">
            <w:pPr>
              <w:spacing w:after="0" w:line="240" w:lineRule="auto"/>
              <w:jc w:val="center"/>
            </w:pPr>
            <w:r>
              <w:t>2</w:t>
            </w:r>
          </w:p>
        </w:tc>
        <w:tc>
          <w:tcPr>
            <w:tcW w:w="507" w:type="dxa"/>
            <w:tcMar>
              <w:top w:w="28" w:type="dxa"/>
              <w:left w:w="28" w:type="dxa"/>
              <w:bottom w:w="28" w:type="dxa"/>
              <w:right w:w="28" w:type="dxa"/>
            </w:tcMar>
          </w:tcPr>
          <w:p w14:paraId="4ADF58A7" w14:textId="55AF16BF" w:rsidR="00F72546" w:rsidRPr="00E43D18" w:rsidRDefault="006A67FA" w:rsidP="001F57E3">
            <w:pPr>
              <w:spacing w:after="0" w:line="240" w:lineRule="auto"/>
              <w:jc w:val="center"/>
            </w:pPr>
            <w:r>
              <w:t>1</w:t>
            </w:r>
          </w:p>
        </w:tc>
        <w:tc>
          <w:tcPr>
            <w:tcW w:w="440" w:type="dxa"/>
            <w:tcMar>
              <w:top w:w="28" w:type="dxa"/>
              <w:left w:w="28" w:type="dxa"/>
              <w:bottom w:w="28" w:type="dxa"/>
              <w:right w:w="28" w:type="dxa"/>
            </w:tcMar>
          </w:tcPr>
          <w:p w14:paraId="7558DF19" w14:textId="7774A66E" w:rsidR="00F72546" w:rsidRPr="00E43D18" w:rsidRDefault="006A67FA" w:rsidP="001F57E3">
            <w:pPr>
              <w:spacing w:after="0" w:line="240" w:lineRule="auto"/>
              <w:jc w:val="center"/>
            </w:pPr>
            <w:r>
              <w:t>6</w:t>
            </w:r>
          </w:p>
        </w:tc>
        <w:tc>
          <w:tcPr>
            <w:tcW w:w="507" w:type="dxa"/>
            <w:tcMar>
              <w:top w:w="28" w:type="dxa"/>
              <w:left w:w="28" w:type="dxa"/>
              <w:bottom w:w="28" w:type="dxa"/>
              <w:right w:w="28" w:type="dxa"/>
            </w:tcMar>
          </w:tcPr>
          <w:p w14:paraId="6D73B984" w14:textId="63E99BC0" w:rsidR="00F72546" w:rsidRPr="00E43D18" w:rsidRDefault="006A67FA" w:rsidP="001F57E3">
            <w:pPr>
              <w:spacing w:after="0" w:line="240" w:lineRule="auto"/>
              <w:jc w:val="center"/>
            </w:pPr>
            <w:r>
              <w:t>3</w:t>
            </w:r>
          </w:p>
        </w:tc>
        <w:tc>
          <w:tcPr>
            <w:tcW w:w="552" w:type="dxa"/>
            <w:tcBorders>
              <w:right w:val="single" w:sz="12" w:space="0" w:color="auto"/>
            </w:tcBorders>
            <w:tcMar>
              <w:top w:w="28" w:type="dxa"/>
              <w:left w:w="28" w:type="dxa"/>
              <w:bottom w:w="28" w:type="dxa"/>
              <w:right w:w="28" w:type="dxa"/>
            </w:tcMar>
          </w:tcPr>
          <w:p w14:paraId="0BA0EB7A" w14:textId="57102E32" w:rsidR="00F72546" w:rsidRPr="00E43D18" w:rsidRDefault="006A67FA" w:rsidP="001F57E3">
            <w:pPr>
              <w:spacing w:after="0" w:line="240" w:lineRule="auto"/>
              <w:jc w:val="center"/>
            </w:pPr>
            <w:r>
              <w:t>20</w:t>
            </w:r>
          </w:p>
        </w:tc>
        <w:tc>
          <w:tcPr>
            <w:tcW w:w="664" w:type="dxa"/>
            <w:tcBorders>
              <w:right w:val="single" w:sz="12" w:space="0" w:color="auto"/>
            </w:tcBorders>
            <w:tcMar>
              <w:top w:w="28" w:type="dxa"/>
              <w:left w:w="28" w:type="dxa"/>
              <w:bottom w:w="28" w:type="dxa"/>
              <w:right w:w="28" w:type="dxa"/>
            </w:tcMar>
          </w:tcPr>
          <w:p w14:paraId="277F324E" w14:textId="040B4F58" w:rsidR="008D1B77" w:rsidRPr="0072192E" w:rsidRDefault="00EB4F88" w:rsidP="001F57E3">
            <w:pPr>
              <w:spacing w:after="0" w:line="240" w:lineRule="auto"/>
              <w:jc w:val="center"/>
              <w:rPr>
                <w:i/>
              </w:rPr>
            </w:pPr>
            <w:r w:rsidRPr="0072192E">
              <w:rPr>
                <w:i/>
              </w:rPr>
              <w:t>44</w:t>
            </w:r>
          </w:p>
        </w:tc>
        <w:tc>
          <w:tcPr>
            <w:tcW w:w="552" w:type="dxa"/>
            <w:tcBorders>
              <w:left w:val="single" w:sz="12" w:space="0" w:color="auto"/>
            </w:tcBorders>
            <w:tcMar>
              <w:top w:w="28" w:type="dxa"/>
              <w:left w:w="28" w:type="dxa"/>
              <w:bottom w:w="28" w:type="dxa"/>
              <w:right w:w="28" w:type="dxa"/>
            </w:tcMar>
          </w:tcPr>
          <w:p w14:paraId="377657CD" w14:textId="358BDF8C" w:rsidR="00F72546" w:rsidRPr="00E43D18" w:rsidRDefault="006A67FA" w:rsidP="001F57E3">
            <w:pPr>
              <w:spacing w:after="0" w:line="240" w:lineRule="auto"/>
              <w:jc w:val="center"/>
            </w:pPr>
            <w:r>
              <w:t>25</w:t>
            </w:r>
          </w:p>
        </w:tc>
        <w:tc>
          <w:tcPr>
            <w:tcW w:w="694" w:type="dxa"/>
            <w:tcBorders>
              <w:right w:val="single" w:sz="12" w:space="0" w:color="auto"/>
            </w:tcBorders>
            <w:tcMar>
              <w:top w:w="28" w:type="dxa"/>
              <w:left w:w="28" w:type="dxa"/>
              <w:bottom w:w="28" w:type="dxa"/>
              <w:right w:w="28" w:type="dxa"/>
            </w:tcMar>
          </w:tcPr>
          <w:p w14:paraId="52131AF4" w14:textId="6EBE4BAE" w:rsidR="00F72546" w:rsidRPr="00E43D18" w:rsidRDefault="006A67FA" w:rsidP="001F57E3">
            <w:pPr>
              <w:spacing w:after="0" w:line="240" w:lineRule="auto"/>
              <w:jc w:val="center"/>
            </w:pPr>
            <w:r>
              <w:t>227</w:t>
            </w:r>
          </w:p>
        </w:tc>
        <w:tc>
          <w:tcPr>
            <w:tcW w:w="693" w:type="dxa"/>
            <w:tcBorders>
              <w:right w:val="single" w:sz="12" w:space="0" w:color="auto"/>
            </w:tcBorders>
            <w:tcMar>
              <w:top w:w="28" w:type="dxa"/>
              <w:left w:w="28" w:type="dxa"/>
              <w:bottom w:w="28" w:type="dxa"/>
              <w:right w:w="28" w:type="dxa"/>
            </w:tcMar>
          </w:tcPr>
          <w:p w14:paraId="46E10A77" w14:textId="4F3236CE" w:rsidR="008D1B77" w:rsidRPr="0072192E" w:rsidRDefault="00EB4F88" w:rsidP="001F57E3">
            <w:pPr>
              <w:spacing w:after="0" w:line="240" w:lineRule="auto"/>
              <w:jc w:val="center"/>
              <w:rPr>
                <w:i/>
              </w:rPr>
            </w:pPr>
            <w:r w:rsidRPr="0072192E">
              <w:rPr>
                <w:i/>
              </w:rPr>
              <w:t>252</w:t>
            </w:r>
          </w:p>
        </w:tc>
        <w:tc>
          <w:tcPr>
            <w:tcW w:w="694" w:type="dxa"/>
            <w:tcBorders>
              <w:left w:val="single" w:sz="12" w:space="0" w:color="auto"/>
              <w:right w:val="single" w:sz="12" w:space="0" w:color="auto"/>
            </w:tcBorders>
            <w:tcMar>
              <w:top w:w="28" w:type="dxa"/>
              <w:left w:w="28" w:type="dxa"/>
              <w:bottom w:w="28" w:type="dxa"/>
              <w:right w:w="28" w:type="dxa"/>
            </w:tcMar>
          </w:tcPr>
          <w:p w14:paraId="41FDE76B" w14:textId="1CEDE7B9" w:rsidR="00F72546" w:rsidRPr="0072192E" w:rsidRDefault="006A67FA" w:rsidP="001F57E3">
            <w:pPr>
              <w:spacing w:after="0" w:line="240" w:lineRule="auto"/>
              <w:jc w:val="center"/>
              <w:rPr>
                <w:i/>
              </w:rPr>
            </w:pPr>
            <w:r w:rsidRPr="0072192E">
              <w:rPr>
                <w:i/>
              </w:rPr>
              <w:t>638</w:t>
            </w:r>
          </w:p>
        </w:tc>
        <w:tc>
          <w:tcPr>
            <w:tcW w:w="1041" w:type="dxa"/>
            <w:tcBorders>
              <w:left w:val="single" w:sz="12" w:space="0" w:color="auto"/>
              <w:right w:val="single" w:sz="12" w:space="0" w:color="auto"/>
            </w:tcBorders>
            <w:tcMar>
              <w:top w:w="28" w:type="dxa"/>
              <w:left w:w="28" w:type="dxa"/>
              <w:bottom w:w="28" w:type="dxa"/>
              <w:right w:w="28" w:type="dxa"/>
            </w:tcMar>
          </w:tcPr>
          <w:p w14:paraId="44A3D979" w14:textId="476AEFF9" w:rsidR="00F72546" w:rsidRPr="00E43D18" w:rsidRDefault="008D1B77" w:rsidP="001F57E3">
            <w:pPr>
              <w:spacing w:after="0" w:line="240" w:lineRule="auto"/>
              <w:jc w:val="center"/>
            </w:pPr>
            <w:r>
              <w:t>934</w:t>
            </w:r>
            <w:r w:rsidR="00CE4872">
              <w:t xml:space="preserve"> (</w:t>
            </w:r>
            <w:r w:rsidR="006A02B3">
              <w:t>15.0%)</w:t>
            </w:r>
          </w:p>
        </w:tc>
      </w:tr>
      <w:tr w:rsidR="0072192E" w14:paraId="1152A15C" w14:textId="77777777" w:rsidTr="006D6661">
        <w:tc>
          <w:tcPr>
            <w:tcW w:w="176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3162B1F4" w14:textId="66A4C70B" w:rsidR="00F72546" w:rsidRDefault="00F72546" w:rsidP="001F57E3">
            <w:pPr>
              <w:spacing w:after="0" w:line="480" w:lineRule="auto"/>
              <w:contextualSpacing/>
              <w:jc w:val="center"/>
            </w:pPr>
            <w:r>
              <w:t>1512</w:t>
            </w:r>
            <w:r w:rsidR="001836A3">
              <w:t>–</w:t>
            </w:r>
            <w:r>
              <w:t>1518 MHz*</w:t>
            </w:r>
          </w:p>
        </w:tc>
        <w:tc>
          <w:tcPr>
            <w:tcW w:w="540" w:type="dxa"/>
            <w:tcBorders>
              <w:left w:val="single" w:sz="12" w:space="0" w:color="auto"/>
            </w:tcBorders>
            <w:shd w:val="clear" w:color="auto" w:fill="F2F2F2" w:themeFill="background1" w:themeFillShade="F2"/>
            <w:tcMar>
              <w:top w:w="28" w:type="dxa"/>
              <w:left w:w="28" w:type="dxa"/>
              <w:bottom w:w="28" w:type="dxa"/>
              <w:right w:w="28" w:type="dxa"/>
            </w:tcMar>
          </w:tcPr>
          <w:p w14:paraId="3251AC77" w14:textId="57DA717A" w:rsidR="00F72546" w:rsidRPr="00E43D18" w:rsidRDefault="006A67FA" w:rsidP="001F57E3">
            <w:pPr>
              <w:spacing w:after="0" w:line="240" w:lineRule="auto"/>
              <w:jc w:val="center"/>
            </w:pPr>
            <w:r>
              <w:t>0</w:t>
            </w:r>
          </w:p>
        </w:tc>
        <w:tc>
          <w:tcPr>
            <w:tcW w:w="551" w:type="dxa"/>
            <w:shd w:val="clear" w:color="auto" w:fill="F2F2F2" w:themeFill="background1" w:themeFillShade="F2"/>
            <w:tcMar>
              <w:top w:w="28" w:type="dxa"/>
              <w:left w:w="28" w:type="dxa"/>
              <w:bottom w:w="28" w:type="dxa"/>
              <w:right w:w="28" w:type="dxa"/>
            </w:tcMar>
          </w:tcPr>
          <w:p w14:paraId="02522E5F" w14:textId="72C6F623" w:rsidR="00F72546" w:rsidRPr="00E43D18" w:rsidRDefault="006A67FA" w:rsidP="001F57E3">
            <w:pPr>
              <w:spacing w:after="0" w:line="240" w:lineRule="auto"/>
              <w:jc w:val="center"/>
            </w:pPr>
            <w:r>
              <w:t>6</w:t>
            </w:r>
          </w:p>
        </w:tc>
        <w:tc>
          <w:tcPr>
            <w:tcW w:w="471" w:type="dxa"/>
            <w:shd w:val="clear" w:color="auto" w:fill="F2F2F2" w:themeFill="background1" w:themeFillShade="F2"/>
            <w:tcMar>
              <w:top w:w="28" w:type="dxa"/>
              <w:left w:w="28" w:type="dxa"/>
              <w:bottom w:w="28" w:type="dxa"/>
              <w:right w:w="28" w:type="dxa"/>
            </w:tcMar>
          </w:tcPr>
          <w:p w14:paraId="25C99D86" w14:textId="4D600C14" w:rsidR="00F72546" w:rsidRPr="00E43D18" w:rsidRDefault="006A67FA" w:rsidP="001F57E3">
            <w:pPr>
              <w:spacing w:after="0" w:line="240" w:lineRule="auto"/>
              <w:jc w:val="center"/>
            </w:pPr>
            <w:r>
              <w:t>2</w:t>
            </w:r>
          </w:p>
        </w:tc>
        <w:tc>
          <w:tcPr>
            <w:tcW w:w="522" w:type="dxa"/>
            <w:shd w:val="clear" w:color="auto" w:fill="F2F2F2" w:themeFill="background1" w:themeFillShade="F2"/>
            <w:tcMar>
              <w:top w:w="28" w:type="dxa"/>
              <w:left w:w="28" w:type="dxa"/>
              <w:bottom w:w="28" w:type="dxa"/>
              <w:right w:w="28" w:type="dxa"/>
            </w:tcMar>
          </w:tcPr>
          <w:p w14:paraId="42ACDB33" w14:textId="779D638C" w:rsidR="00F72546" w:rsidRPr="00E43D18" w:rsidRDefault="006A67FA" w:rsidP="001F57E3">
            <w:pPr>
              <w:spacing w:after="0" w:line="240" w:lineRule="auto"/>
              <w:jc w:val="center"/>
            </w:pPr>
            <w:r>
              <w:t>0</w:t>
            </w:r>
          </w:p>
        </w:tc>
        <w:tc>
          <w:tcPr>
            <w:tcW w:w="507" w:type="dxa"/>
            <w:shd w:val="clear" w:color="auto" w:fill="F2F2F2" w:themeFill="background1" w:themeFillShade="F2"/>
            <w:tcMar>
              <w:top w:w="28" w:type="dxa"/>
              <w:left w:w="28" w:type="dxa"/>
              <w:bottom w:w="28" w:type="dxa"/>
              <w:right w:w="28" w:type="dxa"/>
            </w:tcMar>
          </w:tcPr>
          <w:p w14:paraId="7C6202DF" w14:textId="1042898C" w:rsidR="00F72546" w:rsidRPr="00E43D18" w:rsidRDefault="006A67FA" w:rsidP="001F57E3">
            <w:pPr>
              <w:spacing w:after="0" w:line="240" w:lineRule="auto"/>
              <w:jc w:val="center"/>
            </w:pPr>
            <w:r>
              <w:t>0</w:t>
            </w:r>
          </w:p>
        </w:tc>
        <w:tc>
          <w:tcPr>
            <w:tcW w:w="440" w:type="dxa"/>
            <w:shd w:val="clear" w:color="auto" w:fill="F2F2F2" w:themeFill="background1" w:themeFillShade="F2"/>
            <w:tcMar>
              <w:top w:w="28" w:type="dxa"/>
              <w:left w:w="28" w:type="dxa"/>
              <w:bottom w:w="28" w:type="dxa"/>
              <w:right w:w="28" w:type="dxa"/>
            </w:tcMar>
          </w:tcPr>
          <w:p w14:paraId="571532ED" w14:textId="7E2F4596" w:rsidR="00F72546" w:rsidRPr="00E43D18" w:rsidRDefault="006A67FA" w:rsidP="001F57E3">
            <w:pPr>
              <w:spacing w:after="0" w:line="240" w:lineRule="auto"/>
              <w:jc w:val="center"/>
            </w:pPr>
            <w:r>
              <w:t>8</w:t>
            </w:r>
          </w:p>
        </w:tc>
        <w:tc>
          <w:tcPr>
            <w:tcW w:w="507" w:type="dxa"/>
            <w:shd w:val="clear" w:color="auto" w:fill="F2F2F2" w:themeFill="background1" w:themeFillShade="F2"/>
            <w:tcMar>
              <w:top w:w="28" w:type="dxa"/>
              <w:left w:w="28" w:type="dxa"/>
              <w:bottom w:w="28" w:type="dxa"/>
              <w:right w:w="28" w:type="dxa"/>
            </w:tcMar>
          </w:tcPr>
          <w:p w14:paraId="634F8922" w14:textId="71D55B90" w:rsidR="00F72546" w:rsidRPr="00E43D18" w:rsidRDefault="006A67FA" w:rsidP="001F57E3">
            <w:pPr>
              <w:spacing w:after="0" w:line="240" w:lineRule="auto"/>
              <w:jc w:val="center"/>
            </w:pPr>
            <w:r>
              <w:t>4</w:t>
            </w:r>
          </w:p>
        </w:tc>
        <w:tc>
          <w:tcPr>
            <w:tcW w:w="552" w:type="dxa"/>
            <w:tcBorders>
              <w:right w:val="single" w:sz="12" w:space="0" w:color="auto"/>
            </w:tcBorders>
            <w:shd w:val="clear" w:color="auto" w:fill="F2F2F2" w:themeFill="background1" w:themeFillShade="F2"/>
            <w:tcMar>
              <w:top w:w="28" w:type="dxa"/>
              <w:left w:w="28" w:type="dxa"/>
              <w:bottom w:w="28" w:type="dxa"/>
              <w:right w:w="28" w:type="dxa"/>
            </w:tcMar>
          </w:tcPr>
          <w:p w14:paraId="7D4CD1C9" w14:textId="57295E91" w:rsidR="00F72546" w:rsidRPr="00E43D18" w:rsidRDefault="006A67FA" w:rsidP="001F57E3">
            <w:pPr>
              <w:spacing w:after="0" w:line="240" w:lineRule="auto"/>
              <w:jc w:val="center"/>
            </w:pPr>
            <w:r>
              <w:t>12</w:t>
            </w:r>
          </w:p>
        </w:tc>
        <w:tc>
          <w:tcPr>
            <w:tcW w:w="664" w:type="dxa"/>
            <w:tcBorders>
              <w:right w:val="single" w:sz="12" w:space="0" w:color="auto"/>
            </w:tcBorders>
            <w:shd w:val="clear" w:color="auto" w:fill="F2F2F2" w:themeFill="background1" w:themeFillShade="F2"/>
            <w:tcMar>
              <w:top w:w="28" w:type="dxa"/>
              <w:left w:w="28" w:type="dxa"/>
              <w:bottom w:w="28" w:type="dxa"/>
              <w:right w:w="28" w:type="dxa"/>
            </w:tcMar>
          </w:tcPr>
          <w:p w14:paraId="5C3BAAE9" w14:textId="7D9A5EEF" w:rsidR="008D1B77" w:rsidRPr="0072192E" w:rsidRDefault="00EB4F88" w:rsidP="001F57E3">
            <w:pPr>
              <w:spacing w:after="0" w:line="240" w:lineRule="auto"/>
              <w:jc w:val="center"/>
              <w:rPr>
                <w:i/>
              </w:rPr>
            </w:pPr>
            <w:r w:rsidRPr="0072192E">
              <w:rPr>
                <w:i/>
              </w:rPr>
              <w:t>32</w:t>
            </w:r>
          </w:p>
        </w:tc>
        <w:tc>
          <w:tcPr>
            <w:tcW w:w="552" w:type="dxa"/>
            <w:tcBorders>
              <w:left w:val="single" w:sz="12" w:space="0" w:color="auto"/>
            </w:tcBorders>
            <w:shd w:val="clear" w:color="auto" w:fill="F2F2F2" w:themeFill="background1" w:themeFillShade="F2"/>
            <w:tcMar>
              <w:top w:w="28" w:type="dxa"/>
              <w:left w:w="28" w:type="dxa"/>
              <w:bottom w:w="28" w:type="dxa"/>
              <w:right w:w="28" w:type="dxa"/>
            </w:tcMar>
          </w:tcPr>
          <w:p w14:paraId="07191691" w14:textId="691DC946" w:rsidR="00F72546" w:rsidRPr="00E43D18" w:rsidRDefault="006A67FA" w:rsidP="001F57E3">
            <w:pPr>
              <w:spacing w:after="0" w:line="240" w:lineRule="auto"/>
              <w:jc w:val="center"/>
            </w:pPr>
            <w:r>
              <w:t>4</w:t>
            </w:r>
          </w:p>
        </w:tc>
        <w:tc>
          <w:tcPr>
            <w:tcW w:w="694" w:type="dxa"/>
            <w:tcBorders>
              <w:right w:val="single" w:sz="12" w:space="0" w:color="auto"/>
            </w:tcBorders>
            <w:shd w:val="clear" w:color="auto" w:fill="F2F2F2" w:themeFill="background1" w:themeFillShade="F2"/>
            <w:tcMar>
              <w:top w:w="28" w:type="dxa"/>
              <w:left w:w="28" w:type="dxa"/>
              <w:bottom w:w="28" w:type="dxa"/>
              <w:right w:w="28" w:type="dxa"/>
            </w:tcMar>
          </w:tcPr>
          <w:p w14:paraId="6883669B" w14:textId="64D15DA3" w:rsidR="00F72546" w:rsidRPr="00E43D18" w:rsidRDefault="006A67FA" w:rsidP="001F57E3">
            <w:pPr>
              <w:spacing w:after="0" w:line="240" w:lineRule="auto"/>
              <w:jc w:val="center"/>
            </w:pPr>
            <w:r>
              <w:t>119</w:t>
            </w:r>
          </w:p>
        </w:tc>
        <w:tc>
          <w:tcPr>
            <w:tcW w:w="693" w:type="dxa"/>
            <w:tcBorders>
              <w:right w:val="single" w:sz="12" w:space="0" w:color="auto"/>
            </w:tcBorders>
            <w:shd w:val="clear" w:color="auto" w:fill="F2F2F2" w:themeFill="background1" w:themeFillShade="F2"/>
            <w:tcMar>
              <w:top w:w="28" w:type="dxa"/>
              <w:left w:w="28" w:type="dxa"/>
              <w:bottom w:w="28" w:type="dxa"/>
              <w:right w:w="28" w:type="dxa"/>
            </w:tcMar>
          </w:tcPr>
          <w:p w14:paraId="3C18BA18" w14:textId="5D0754B5" w:rsidR="008D1B77" w:rsidRPr="0072192E" w:rsidRDefault="00EB4F88" w:rsidP="001F57E3">
            <w:pPr>
              <w:spacing w:after="0" w:line="240" w:lineRule="auto"/>
              <w:jc w:val="center"/>
              <w:rPr>
                <w:i/>
              </w:rPr>
            </w:pPr>
            <w:r w:rsidRPr="0072192E">
              <w:rPr>
                <w:i/>
              </w:rPr>
              <w:t>123</w:t>
            </w:r>
          </w:p>
        </w:tc>
        <w:tc>
          <w:tcPr>
            <w:tcW w:w="694"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14042F6A" w14:textId="33DA4A5D" w:rsidR="00F72546" w:rsidRPr="0072192E" w:rsidRDefault="006A67FA" w:rsidP="001F57E3">
            <w:pPr>
              <w:spacing w:after="0" w:line="240" w:lineRule="auto"/>
              <w:jc w:val="center"/>
              <w:rPr>
                <w:i/>
              </w:rPr>
            </w:pPr>
            <w:r w:rsidRPr="0072192E">
              <w:rPr>
                <w:i/>
              </w:rPr>
              <w:t>421</w:t>
            </w:r>
          </w:p>
        </w:tc>
        <w:tc>
          <w:tcPr>
            <w:tcW w:w="1041" w:type="dxa"/>
            <w:tcBorders>
              <w:left w:val="single" w:sz="12" w:space="0" w:color="auto"/>
              <w:right w:val="single" w:sz="12" w:space="0" w:color="auto"/>
            </w:tcBorders>
            <w:shd w:val="clear" w:color="auto" w:fill="F2F2F2" w:themeFill="background1" w:themeFillShade="F2"/>
            <w:tcMar>
              <w:top w:w="28" w:type="dxa"/>
              <w:left w:w="28" w:type="dxa"/>
              <w:bottom w:w="28" w:type="dxa"/>
              <w:right w:w="28" w:type="dxa"/>
            </w:tcMar>
          </w:tcPr>
          <w:p w14:paraId="7F9BA695" w14:textId="6C850F81" w:rsidR="00F72546" w:rsidRPr="00E43D18" w:rsidRDefault="008D1B77" w:rsidP="001F57E3">
            <w:pPr>
              <w:spacing w:after="0" w:line="240" w:lineRule="auto"/>
              <w:jc w:val="center"/>
            </w:pPr>
            <w:r>
              <w:t>576</w:t>
            </w:r>
            <w:r w:rsidR="006A02B3">
              <w:t xml:space="preserve"> (9.3%)</w:t>
            </w:r>
          </w:p>
        </w:tc>
      </w:tr>
      <w:tr w:rsidR="0072192E" w14:paraId="3D50F0FE" w14:textId="77777777" w:rsidTr="006D6661">
        <w:trPr>
          <w:trHeight w:val="321"/>
        </w:trPr>
        <w:tc>
          <w:tcPr>
            <w:tcW w:w="1764" w:type="dxa"/>
            <w:tcBorders>
              <w:left w:val="single" w:sz="12" w:space="0" w:color="auto"/>
              <w:right w:val="single" w:sz="12" w:space="0" w:color="auto"/>
            </w:tcBorders>
            <w:shd w:val="clear" w:color="auto" w:fill="D9D9D9" w:themeFill="background1" w:themeFillShade="D9"/>
            <w:tcMar>
              <w:top w:w="28" w:type="dxa"/>
              <w:left w:w="28" w:type="dxa"/>
              <w:bottom w:w="28" w:type="dxa"/>
              <w:right w:w="28" w:type="dxa"/>
            </w:tcMar>
          </w:tcPr>
          <w:p w14:paraId="2F4D5891" w14:textId="753065DE" w:rsidR="00F72546" w:rsidRPr="00A76C75" w:rsidRDefault="00F72546" w:rsidP="001F57E3">
            <w:pPr>
              <w:spacing w:after="0" w:line="480" w:lineRule="auto"/>
              <w:contextualSpacing/>
              <w:rPr>
                <w:b/>
              </w:rPr>
            </w:pPr>
            <w:r w:rsidRPr="00A76C75">
              <w:rPr>
                <w:b/>
              </w:rPr>
              <w:t>Area totals</w:t>
            </w:r>
            <w:r w:rsidR="006A67FA" w:rsidRPr="00A76C75">
              <w:rPr>
                <w:b/>
                <w:vertAlign w:val="superscript"/>
              </w:rPr>
              <w:t>#</w:t>
            </w:r>
          </w:p>
        </w:tc>
        <w:tc>
          <w:tcPr>
            <w:tcW w:w="540" w:type="dxa"/>
            <w:tcBorders>
              <w:left w:val="single" w:sz="12" w:space="0" w:color="auto"/>
            </w:tcBorders>
            <w:shd w:val="clear" w:color="auto" w:fill="D9D9D9" w:themeFill="background1" w:themeFillShade="D9"/>
            <w:tcMar>
              <w:top w:w="28" w:type="dxa"/>
              <w:left w:w="28" w:type="dxa"/>
              <w:bottom w:w="28" w:type="dxa"/>
              <w:right w:w="28" w:type="dxa"/>
            </w:tcMar>
          </w:tcPr>
          <w:p w14:paraId="454B8A44" w14:textId="2896CABF" w:rsidR="00F72546" w:rsidRPr="00A76C75" w:rsidRDefault="006A67FA" w:rsidP="001F57E3">
            <w:pPr>
              <w:spacing w:after="0" w:line="240" w:lineRule="auto"/>
              <w:jc w:val="center"/>
              <w:rPr>
                <w:b/>
              </w:rPr>
            </w:pPr>
            <w:r w:rsidRPr="00A76C75">
              <w:rPr>
                <w:b/>
              </w:rPr>
              <w:t>10</w:t>
            </w:r>
          </w:p>
        </w:tc>
        <w:tc>
          <w:tcPr>
            <w:tcW w:w="551" w:type="dxa"/>
            <w:shd w:val="clear" w:color="auto" w:fill="D9D9D9" w:themeFill="background1" w:themeFillShade="D9"/>
            <w:tcMar>
              <w:top w:w="28" w:type="dxa"/>
              <w:left w:w="28" w:type="dxa"/>
              <w:bottom w:w="28" w:type="dxa"/>
              <w:right w:w="28" w:type="dxa"/>
            </w:tcMar>
          </w:tcPr>
          <w:p w14:paraId="7E043980" w14:textId="3BECC340" w:rsidR="00F72546" w:rsidRPr="00A76C75" w:rsidRDefault="006A67FA" w:rsidP="001F57E3">
            <w:pPr>
              <w:spacing w:after="0" w:line="240" w:lineRule="auto"/>
              <w:jc w:val="center"/>
              <w:rPr>
                <w:b/>
              </w:rPr>
            </w:pPr>
            <w:r w:rsidRPr="00A76C75">
              <w:rPr>
                <w:b/>
              </w:rPr>
              <w:t>65</w:t>
            </w:r>
          </w:p>
        </w:tc>
        <w:tc>
          <w:tcPr>
            <w:tcW w:w="471" w:type="dxa"/>
            <w:shd w:val="clear" w:color="auto" w:fill="D9D9D9" w:themeFill="background1" w:themeFillShade="D9"/>
            <w:tcMar>
              <w:top w:w="28" w:type="dxa"/>
              <w:left w:w="28" w:type="dxa"/>
              <w:bottom w:w="28" w:type="dxa"/>
              <w:right w:w="28" w:type="dxa"/>
            </w:tcMar>
          </w:tcPr>
          <w:p w14:paraId="031EEBCC" w14:textId="050B5222" w:rsidR="00F72546" w:rsidRPr="00A76C75" w:rsidRDefault="006A67FA" w:rsidP="001F57E3">
            <w:pPr>
              <w:spacing w:after="0" w:line="240" w:lineRule="auto"/>
              <w:jc w:val="center"/>
              <w:rPr>
                <w:b/>
              </w:rPr>
            </w:pPr>
            <w:r w:rsidRPr="00A76C75">
              <w:rPr>
                <w:b/>
              </w:rPr>
              <w:t>13</w:t>
            </w:r>
          </w:p>
        </w:tc>
        <w:tc>
          <w:tcPr>
            <w:tcW w:w="522" w:type="dxa"/>
            <w:shd w:val="clear" w:color="auto" w:fill="D9D9D9" w:themeFill="background1" w:themeFillShade="D9"/>
            <w:tcMar>
              <w:top w:w="28" w:type="dxa"/>
              <w:left w:w="28" w:type="dxa"/>
              <w:bottom w:w="28" w:type="dxa"/>
              <w:right w:w="28" w:type="dxa"/>
            </w:tcMar>
          </w:tcPr>
          <w:p w14:paraId="5448B42B" w14:textId="1E5A9AB3" w:rsidR="00F72546" w:rsidRPr="00A76C75" w:rsidRDefault="006A67FA" w:rsidP="001F57E3">
            <w:pPr>
              <w:spacing w:after="0" w:line="240" w:lineRule="auto"/>
              <w:jc w:val="center"/>
              <w:rPr>
                <w:b/>
              </w:rPr>
            </w:pPr>
            <w:r w:rsidRPr="00A76C75">
              <w:rPr>
                <w:b/>
              </w:rPr>
              <w:t>15</w:t>
            </w:r>
          </w:p>
        </w:tc>
        <w:tc>
          <w:tcPr>
            <w:tcW w:w="507" w:type="dxa"/>
            <w:shd w:val="clear" w:color="auto" w:fill="D9D9D9" w:themeFill="background1" w:themeFillShade="D9"/>
            <w:tcMar>
              <w:top w:w="28" w:type="dxa"/>
              <w:left w:w="28" w:type="dxa"/>
              <w:bottom w:w="28" w:type="dxa"/>
              <w:right w:w="28" w:type="dxa"/>
            </w:tcMar>
          </w:tcPr>
          <w:p w14:paraId="0434C545" w14:textId="14ED8F49" w:rsidR="00F72546" w:rsidRPr="00A76C75" w:rsidRDefault="006A67FA" w:rsidP="001F57E3">
            <w:pPr>
              <w:spacing w:after="0" w:line="240" w:lineRule="auto"/>
              <w:jc w:val="center"/>
              <w:rPr>
                <w:b/>
              </w:rPr>
            </w:pPr>
            <w:r w:rsidRPr="00A76C75">
              <w:rPr>
                <w:b/>
              </w:rPr>
              <w:t>28</w:t>
            </w:r>
          </w:p>
        </w:tc>
        <w:tc>
          <w:tcPr>
            <w:tcW w:w="440" w:type="dxa"/>
            <w:shd w:val="clear" w:color="auto" w:fill="D9D9D9" w:themeFill="background1" w:themeFillShade="D9"/>
            <w:tcMar>
              <w:top w:w="28" w:type="dxa"/>
              <w:left w:w="28" w:type="dxa"/>
              <w:bottom w:w="28" w:type="dxa"/>
              <w:right w:w="28" w:type="dxa"/>
            </w:tcMar>
          </w:tcPr>
          <w:p w14:paraId="7780A4E8" w14:textId="789E9738" w:rsidR="00F72546" w:rsidRPr="00A76C75" w:rsidRDefault="006A67FA" w:rsidP="001F57E3">
            <w:pPr>
              <w:spacing w:after="0" w:line="240" w:lineRule="auto"/>
              <w:jc w:val="center"/>
              <w:rPr>
                <w:b/>
              </w:rPr>
            </w:pPr>
            <w:r w:rsidRPr="00A76C75">
              <w:rPr>
                <w:b/>
              </w:rPr>
              <w:t>31</w:t>
            </w:r>
          </w:p>
        </w:tc>
        <w:tc>
          <w:tcPr>
            <w:tcW w:w="507" w:type="dxa"/>
            <w:shd w:val="clear" w:color="auto" w:fill="D9D9D9" w:themeFill="background1" w:themeFillShade="D9"/>
            <w:tcMar>
              <w:top w:w="28" w:type="dxa"/>
              <w:left w:w="28" w:type="dxa"/>
              <w:bottom w:w="28" w:type="dxa"/>
              <w:right w:w="28" w:type="dxa"/>
            </w:tcMar>
          </w:tcPr>
          <w:p w14:paraId="1D434501" w14:textId="771C25EB" w:rsidR="00F72546" w:rsidRPr="00A76C75" w:rsidRDefault="006A67FA" w:rsidP="001F57E3">
            <w:pPr>
              <w:spacing w:after="0" w:line="240" w:lineRule="auto"/>
              <w:jc w:val="center"/>
              <w:rPr>
                <w:b/>
              </w:rPr>
            </w:pPr>
            <w:r w:rsidRPr="00A76C75">
              <w:rPr>
                <w:b/>
              </w:rPr>
              <w:t>44</w:t>
            </w:r>
          </w:p>
        </w:tc>
        <w:tc>
          <w:tcPr>
            <w:tcW w:w="552" w:type="dxa"/>
            <w:tcBorders>
              <w:right w:val="single" w:sz="12" w:space="0" w:color="auto"/>
            </w:tcBorders>
            <w:shd w:val="clear" w:color="auto" w:fill="D9D9D9" w:themeFill="background1" w:themeFillShade="D9"/>
            <w:tcMar>
              <w:top w:w="28" w:type="dxa"/>
              <w:left w:w="28" w:type="dxa"/>
              <w:bottom w:w="28" w:type="dxa"/>
              <w:right w:w="28" w:type="dxa"/>
            </w:tcMar>
          </w:tcPr>
          <w:p w14:paraId="38BB006B" w14:textId="0DE79BD7" w:rsidR="00F72546" w:rsidRPr="00A76C75" w:rsidRDefault="006A67FA" w:rsidP="001F57E3">
            <w:pPr>
              <w:spacing w:after="0" w:line="240" w:lineRule="auto"/>
              <w:jc w:val="center"/>
              <w:rPr>
                <w:b/>
              </w:rPr>
            </w:pPr>
            <w:r w:rsidRPr="00A76C75">
              <w:rPr>
                <w:b/>
              </w:rPr>
              <w:t>113</w:t>
            </w:r>
          </w:p>
        </w:tc>
        <w:tc>
          <w:tcPr>
            <w:tcW w:w="664" w:type="dxa"/>
            <w:tcBorders>
              <w:right w:val="single" w:sz="12" w:space="0" w:color="auto"/>
            </w:tcBorders>
            <w:shd w:val="clear" w:color="auto" w:fill="D9D9D9" w:themeFill="background1" w:themeFillShade="D9"/>
            <w:tcMar>
              <w:top w:w="28" w:type="dxa"/>
              <w:left w:w="28" w:type="dxa"/>
              <w:bottom w:w="28" w:type="dxa"/>
              <w:right w:w="28" w:type="dxa"/>
            </w:tcMar>
          </w:tcPr>
          <w:p w14:paraId="0107B2EC" w14:textId="5262F495" w:rsidR="008D1B77" w:rsidRPr="0072192E" w:rsidRDefault="00EB4F88" w:rsidP="001F57E3">
            <w:pPr>
              <w:spacing w:after="0" w:line="240" w:lineRule="auto"/>
              <w:jc w:val="center"/>
              <w:rPr>
                <w:i/>
              </w:rPr>
            </w:pPr>
            <w:r w:rsidRPr="0072192E">
              <w:rPr>
                <w:b/>
                <w:i/>
              </w:rPr>
              <w:t>319</w:t>
            </w:r>
          </w:p>
        </w:tc>
        <w:tc>
          <w:tcPr>
            <w:tcW w:w="552" w:type="dxa"/>
            <w:tcBorders>
              <w:left w:val="single" w:sz="12" w:space="0" w:color="auto"/>
            </w:tcBorders>
            <w:shd w:val="clear" w:color="auto" w:fill="D9D9D9" w:themeFill="background1" w:themeFillShade="D9"/>
            <w:tcMar>
              <w:top w:w="28" w:type="dxa"/>
              <w:left w:w="28" w:type="dxa"/>
              <w:bottom w:w="28" w:type="dxa"/>
              <w:right w:w="28" w:type="dxa"/>
            </w:tcMar>
          </w:tcPr>
          <w:p w14:paraId="790BE687" w14:textId="09523723" w:rsidR="00F72546" w:rsidRPr="00A76C75" w:rsidRDefault="006A67FA" w:rsidP="001F57E3">
            <w:pPr>
              <w:spacing w:after="0" w:line="240" w:lineRule="auto"/>
              <w:jc w:val="center"/>
              <w:rPr>
                <w:b/>
              </w:rPr>
            </w:pPr>
            <w:r w:rsidRPr="00A76C75">
              <w:rPr>
                <w:b/>
              </w:rPr>
              <w:t>161</w:t>
            </w:r>
          </w:p>
        </w:tc>
        <w:tc>
          <w:tcPr>
            <w:tcW w:w="694" w:type="dxa"/>
            <w:tcBorders>
              <w:right w:val="single" w:sz="12" w:space="0" w:color="auto"/>
            </w:tcBorders>
            <w:shd w:val="clear" w:color="auto" w:fill="D9D9D9" w:themeFill="background1" w:themeFillShade="D9"/>
            <w:tcMar>
              <w:top w:w="28" w:type="dxa"/>
              <w:left w:w="28" w:type="dxa"/>
              <w:bottom w:w="28" w:type="dxa"/>
              <w:right w:w="28" w:type="dxa"/>
            </w:tcMar>
          </w:tcPr>
          <w:p w14:paraId="5897CB31" w14:textId="4FC96C6E" w:rsidR="00F72546" w:rsidRPr="00A76C75" w:rsidRDefault="006A67FA" w:rsidP="001F57E3">
            <w:pPr>
              <w:spacing w:after="0" w:line="240" w:lineRule="auto"/>
              <w:jc w:val="center"/>
              <w:rPr>
                <w:b/>
              </w:rPr>
            </w:pPr>
            <w:r w:rsidRPr="00A76C75">
              <w:rPr>
                <w:b/>
              </w:rPr>
              <w:t>1</w:t>
            </w:r>
            <w:r w:rsidR="001836A3">
              <w:rPr>
                <w:b/>
              </w:rPr>
              <w:t>,</w:t>
            </w:r>
            <w:r w:rsidRPr="00A76C75">
              <w:rPr>
                <w:b/>
              </w:rPr>
              <w:t>483</w:t>
            </w:r>
          </w:p>
        </w:tc>
        <w:tc>
          <w:tcPr>
            <w:tcW w:w="693" w:type="dxa"/>
            <w:tcBorders>
              <w:right w:val="single" w:sz="12" w:space="0" w:color="auto"/>
            </w:tcBorders>
            <w:shd w:val="clear" w:color="auto" w:fill="D9D9D9" w:themeFill="background1" w:themeFillShade="D9"/>
            <w:tcMar>
              <w:top w:w="28" w:type="dxa"/>
              <w:left w:w="28" w:type="dxa"/>
              <w:bottom w:w="28" w:type="dxa"/>
              <w:right w:w="28" w:type="dxa"/>
            </w:tcMar>
          </w:tcPr>
          <w:p w14:paraId="400A2459" w14:textId="27647859" w:rsidR="008D1B77" w:rsidRPr="0072192E" w:rsidRDefault="00EB4F88" w:rsidP="001F57E3">
            <w:pPr>
              <w:spacing w:after="0" w:line="240" w:lineRule="auto"/>
              <w:jc w:val="center"/>
              <w:rPr>
                <w:i/>
              </w:rPr>
            </w:pPr>
            <w:r w:rsidRPr="0072192E">
              <w:rPr>
                <w:b/>
                <w:i/>
              </w:rPr>
              <w:t>1</w:t>
            </w:r>
            <w:r w:rsidR="001836A3">
              <w:rPr>
                <w:b/>
                <w:i/>
              </w:rPr>
              <w:t>,</w:t>
            </w:r>
            <w:r w:rsidRPr="0072192E">
              <w:rPr>
                <w:b/>
                <w:i/>
              </w:rPr>
              <w:t xml:space="preserve">644 </w:t>
            </w:r>
          </w:p>
        </w:tc>
        <w:tc>
          <w:tcPr>
            <w:tcW w:w="694" w:type="dxa"/>
            <w:tcBorders>
              <w:left w:val="single" w:sz="12" w:space="0" w:color="auto"/>
              <w:right w:val="single" w:sz="12" w:space="0" w:color="auto"/>
            </w:tcBorders>
            <w:shd w:val="clear" w:color="auto" w:fill="D9D9D9" w:themeFill="background1" w:themeFillShade="D9"/>
            <w:tcMar>
              <w:top w:w="28" w:type="dxa"/>
              <w:left w:w="28" w:type="dxa"/>
              <w:bottom w:w="28" w:type="dxa"/>
              <w:right w:w="28" w:type="dxa"/>
            </w:tcMar>
          </w:tcPr>
          <w:p w14:paraId="525B0445" w14:textId="44A9D361" w:rsidR="00F72546" w:rsidRPr="0072192E" w:rsidRDefault="006A67FA" w:rsidP="001F57E3">
            <w:pPr>
              <w:spacing w:after="0" w:line="240" w:lineRule="auto"/>
              <w:jc w:val="center"/>
              <w:rPr>
                <w:b/>
                <w:i/>
              </w:rPr>
            </w:pPr>
            <w:r w:rsidRPr="0072192E">
              <w:rPr>
                <w:b/>
                <w:i/>
              </w:rPr>
              <w:t>4</w:t>
            </w:r>
            <w:r w:rsidR="001836A3">
              <w:rPr>
                <w:b/>
                <w:i/>
              </w:rPr>
              <w:t>,</w:t>
            </w:r>
            <w:r w:rsidRPr="0072192E">
              <w:rPr>
                <w:b/>
                <w:i/>
              </w:rPr>
              <w:t>252</w:t>
            </w:r>
            <w:r w:rsidR="008D1B77" w:rsidRPr="0072192E">
              <w:rPr>
                <w:b/>
                <w:i/>
              </w:rPr>
              <w:t xml:space="preserve"> </w:t>
            </w:r>
          </w:p>
        </w:tc>
        <w:tc>
          <w:tcPr>
            <w:tcW w:w="1041" w:type="dxa"/>
            <w:tcBorders>
              <w:left w:val="single" w:sz="12" w:space="0" w:color="auto"/>
              <w:right w:val="single" w:sz="12" w:space="0" w:color="auto"/>
            </w:tcBorders>
            <w:shd w:val="clear" w:color="auto" w:fill="D9D9D9" w:themeFill="background1" w:themeFillShade="D9"/>
            <w:tcMar>
              <w:top w:w="28" w:type="dxa"/>
              <w:left w:w="28" w:type="dxa"/>
              <w:bottom w:w="28" w:type="dxa"/>
              <w:right w:w="28" w:type="dxa"/>
            </w:tcMar>
          </w:tcPr>
          <w:p w14:paraId="08BFB35F" w14:textId="40F34495" w:rsidR="00F72546" w:rsidRPr="00A76C75" w:rsidRDefault="006A67FA" w:rsidP="001F57E3">
            <w:pPr>
              <w:spacing w:after="0" w:line="240" w:lineRule="auto"/>
              <w:jc w:val="center"/>
              <w:rPr>
                <w:b/>
              </w:rPr>
            </w:pPr>
            <w:r w:rsidRPr="00A76C75">
              <w:rPr>
                <w:b/>
              </w:rPr>
              <w:t>6</w:t>
            </w:r>
            <w:r w:rsidR="001836A3">
              <w:rPr>
                <w:b/>
              </w:rPr>
              <w:t>,</w:t>
            </w:r>
            <w:r w:rsidRPr="00A76C75">
              <w:rPr>
                <w:b/>
              </w:rPr>
              <w:t>215</w:t>
            </w:r>
          </w:p>
        </w:tc>
      </w:tr>
    </w:tbl>
    <w:p w14:paraId="16AF26ED" w14:textId="2C5A3989" w:rsidR="00F72546" w:rsidRPr="001F57E3" w:rsidRDefault="00F72546" w:rsidP="000A1720">
      <w:pPr>
        <w:spacing w:after="0"/>
        <w:rPr>
          <w:i/>
          <w:sz w:val="16"/>
          <w:szCs w:val="16"/>
        </w:rPr>
      </w:pPr>
      <w:r w:rsidRPr="003A5EE1">
        <w:rPr>
          <w:sz w:val="18"/>
        </w:rPr>
        <w:t xml:space="preserve">* </w:t>
      </w:r>
      <w:r w:rsidRPr="001F57E3">
        <w:rPr>
          <w:i/>
          <w:sz w:val="16"/>
          <w:szCs w:val="16"/>
        </w:rPr>
        <w:t>Note this segment is 6 MHz</w:t>
      </w:r>
      <w:r w:rsidR="001836A3">
        <w:rPr>
          <w:i/>
          <w:sz w:val="16"/>
          <w:szCs w:val="16"/>
        </w:rPr>
        <w:t>.</w:t>
      </w:r>
    </w:p>
    <w:p w14:paraId="5CC0F8FF" w14:textId="702A6AA5" w:rsidR="006A67FA" w:rsidRPr="001F57E3" w:rsidRDefault="006A67FA" w:rsidP="000A1720">
      <w:pPr>
        <w:spacing w:after="0"/>
        <w:rPr>
          <w:i/>
          <w:sz w:val="16"/>
          <w:szCs w:val="16"/>
        </w:rPr>
      </w:pPr>
      <w:r w:rsidRPr="001F57E3">
        <w:rPr>
          <w:i/>
          <w:sz w:val="16"/>
          <w:szCs w:val="16"/>
          <w:vertAlign w:val="superscript"/>
        </w:rPr>
        <w:t>#</w:t>
      </w:r>
      <w:r w:rsidRPr="001F57E3">
        <w:rPr>
          <w:i/>
          <w:sz w:val="16"/>
          <w:szCs w:val="16"/>
        </w:rPr>
        <w:t xml:space="preserve"> Note area totals are not the sum of preceding rows </w:t>
      </w:r>
      <w:r w:rsidR="008F24AD" w:rsidRPr="001F57E3">
        <w:rPr>
          <w:i/>
          <w:sz w:val="16"/>
          <w:szCs w:val="16"/>
        </w:rPr>
        <w:t>since</w:t>
      </w:r>
      <w:r w:rsidRPr="001F57E3">
        <w:rPr>
          <w:i/>
          <w:sz w:val="16"/>
          <w:szCs w:val="16"/>
        </w:rPr>
        <w:t xml:space="preserve"> a fixed </w:t>
      </w:r>
      <w:r w:rsidR="008F24AD" w:rsidRPr="001F57E3">
        <w:rPr>
          <w:i/>
          <w:sz w:val="16"/>
          <w:szCs w:val="16"/>
        </w:rPr>
        <w:t>licence</w:t>
      </w:r>
      <w:r w:rsidRPr="001F57E3">
        <w:rPr>
          <w:i/>
          <w:sz w:val="16"/>
          <w:szCs w:val="16"/>
        </w:rPr>
        <w:t xml:space="preserve"> bandwidth </w:t>
      </w:r>
      <w:r w:rsidR="008F24AD" w:rsidRPr="001F57E3">
        <w:rPr>
          <w:i/>
          <w:sz w:val="16"/>
          <w:szCs w:val="16"/>
        </w:rPr>
        <w:t xml:space="preserve">may </w:t>
      </w:r>
      <w:r w:rsidRPr="001F57E3">
        <w:rPr>
          <w:i/>
          <w:sz w:val="16"/>
          <w:szCs w:val="16"/>
        </w:rPr>
        <w:t xml:space="preserve">straddle two </w:t>
      </w:r>
      <w:r w:rsidR="00A76C75" w:rsidRPr="001F57E3">
        <w:rPr>
          <w:i/>
          <w:sz w:val="16"/>
          <w:szCs w:val="16"/>
        </w:rPr>
        <w:t xml:space="preserve">frequency </w:t>
      </w:r>
      <w:r w:rsidRPr="001F57E3">
        <w:rPr>
          <w:i/>
          <w:sz w:val="16"/>
          <w:szCs w:val="16"/>
        </w:rPr>
        <w:t>ranges</w:t>
      </w:r>
      <w:r w:rsidR="001836A3">
        <w:rPr>
          <w:i/>
          <w:sz w:val="16"/>
          <w:szCs w:val="16"/>
        </w:rPr>
        <w:t>,</w:t>
      </w:r>
      <w:r w:rsidR="008F24AD" w:rsidRPr="001F57E3">
        <w:rPr>
          <w:i/>
          <w:sz w:val="16"/>
          <w:szCs w:val="16"/>
        </w:rPr>
        <w:t xml:space="preserve"> in which case</w:t>
      </w:r>
      <w:r w:rsidR="001836A3">
        <w:rPr>
          <w:i/>
          <w:sz w:val="16"/>
          <w:szCs w:val="16"/>
        </w:rPr>
        <w:t>,</w:t>
      </w:r>
      <w:r w:rsidRPr="001F57E3">
        <w:rPr>
          <w:i/>
          <w:sz w:val="16"/>
          <w:szCs w:val="16"/>
        </w:rPr>
        <w:t xml:space="preserve"> it is counted in both ranges</w:t>
      </w:r>
      <w:r w:rsidR="00A76C75" w:rsidRPr="001F57E3">
        <w:rPr>
          <w:i/>
          <w:sz w:val="16"/>
          <w:szCs w:val="16"/>
        </w:rPr>
        <w:t>.</w:t>
      </w:r>
    </w:p>
    <w:p w14:paraId="1D27FE8E" w14:textId="4ED6C708" w:rsidR="00FD5442" w:rsidRPr="003C000F" w:rsidRDefault="00F72546" w:rsidP="001F57E3">
      <w:pPr>
        <w:keepNext/>
        <w:keepLines/>
        <w:spacing w:before="240"/>
      </w:pPr>
      <w:r>
        <w:t xml:space="preserve">The results in Table </w:t>
      </w:r>
      <w:r w:rsidR="008D1B77">
        <w:t>A3</w:t>
      </w:r>
      <w:r>
        <w:t xml:space="preserve"> show that the 1452</w:t>
      </w:r>
      <w:r w:rsidR="001836A3">
        <w:t>–</w:t>
      </w:r>
      <w:r>
        <w:t xml:space="preserve">1492 MHz band is </w:t>
      </w:r>
      <w:r w:rsidR="00FD5442">
        <w:t>much less utili</w:t>
      </w:r>
      <w:r>
        <w:t>s</w:t>
      </w:r>
      <w:r w:rsidR="00FD5442">
        <w:t xml:space="preserve">ed than </w:t>
      </w:r>
      <w:r>
        <w:t>other parts of the band</w:t>
      </w:r>
      <w:r w:rsidR="008F24AD">
        <w:t>, particularly in metropolitan areas</w:t>
      </w:r>
      <w:r w:rsidR="008847F6">
        <w:t>.</w:t>
      </w:r>
      <w:r>
        <w:t xml:space="preserve"> </w:t>
      </w:r>
      <w:r w:rsidR="008F24AD">
        <w:t>T</w:t>
      </w:r>
      <w:r w:rsidR="00F62661">
        <w:t>wo main</w:t>
      </w:r>
      <w:r w:rsidR="00FD5442">
        <w:t xml:space="preserve"> factors contribute to this</w:t>
      </w:r>
      <w:r w:rsidR="00F62661">
        <w:t>. Firstly,</w:t>
      </w:r>
      <w:r w:rsidR="00FD5442">
        <w:t xml:space="preserve"> historic planning arrangements </w:t>
      </w:r>
      <w:r w:rsidR="00F62661">
        <w:t xml:space="preserve">reserved that section of the band for DSB. Secondly, </w:t>
      </w:r>
      <w:r w:rsidR="00FD5442">
        <w:t xml:space="preserve">the </w:t>
      </w:r>
      <w:r w:rsidR="00F62661">
        <w:t>spectral location of</w:t>
      </w:r>
      <w:r w:rsidR="00FD5442">
        <w:t xml:space="preserve"> the mid</w:t>
      </w:r>
      <w:r w:rsidR="00F62661">
        <w:t>-</w:t>
      </w:r>
      <w:r w:rsidR="00FD5442">
        <w:t xml:space="preserve">band gap for both the point-to-point and point-to-multipoint channel plans </w:t>
      </w:r>
      <w:r w:rsidR="00F62661">
        <w:t>overlap</w:t>
      </w:r>
      <w:r w:rsidR="008F24AD">
        <w:t>s</w:t>
      </w:r>
      <w:r w:rsidR="00FD5442">
        <w:t xml:space="preserve"> this </w:t>
      </w:r>
      <w:r w:rsidR="00F62661">
        <w:t>section of the band</w:t>
      </w:r>
      <w:r w:rsidR="00FD5442">
        <w:t>.</w:t>
      </w:r>
    </w:p>
    <w:p w14:paraId="584D09CF" w14:textId="209E5BA5" w:rsidR="005B7442" w:rsidRDefault="005B7442" w:rsidP="008A649D">
      <w:pPr>
        <w:pStyle w:val="Heading1"/>
      </w:pPr>
      <w:bookmarkStart w:id="140" w:name="_Toc459906752"/>
      <w:bookmarkStart w:id="141" w:name="_Ref461180117"/>
      <w:bookmarkStart w:id="142" w:name="_Ref461180126"/>
      <w:bookmarkStart w:id="143" w:name="_Ref461180129"/>
      <w:bookmarkStart w:id="144" w:name="_Ref461180136"/>
      <w:bookmarkStart w:id="145" w:name="_Toc464480540"/>
      <w:r w:rsidRPr="008A649D">
        <w:t>Appendix</w:t>
      </w:r>
      <w:r w:rsidRPr="006D46E5">
        <w:t xml:space="preserve"> </w:t>
      </w:r>
      <w:r>
        <w:t>B</w:t>
      </w:r>
      <w:r w:rsidR="001836A3">
        <w:t>—</w:t>
      </w:r>
      <w:r>
        <w:t>Current use of the 3.6 GHz band</w:t>
      </w:r>
      <w:bookmarkEnd w:id="140"/>
      <w:bookmarkEnd w:id="141"/>
      <w:bookmarkEnd w:id="142"/>
      <w:bookmarkEnd w:id="143"/>
      <w:bookmarkEnd w:id="144"/>
      <w:bookmarkEnd w:id="145"/>
    </w:p>
    <w:p w14:paraId="1E7E1E0C" w14:textId="77777777" w:rsidR="005B7442" w:rsidRDefault="005B7442" w:rsidP="008A649D">
      <w:pPr>
        <w:pStyle w:val="Heading2"/>
      </w:pPr>
      <w:bookmarkStart w:id="146" w:name="_Toc459906753"/>
      <w:bookmarkStart w:id="147" w:name="_Toc464480541"/>
      <w:r>
        <w:t>Licence overview</w:t>
      </w:r>
      <w:bookmarkEnd w:id="146"/>
      <w:bookmarkEnd w:id="147"/>
      <w:r>
        <w:t xml:space="preserve"> </w:t>
      </w:r>
    </w:p>
    <w:p w14:paraId="67536FA6" w14:textId="498AB9DA" w:rsidR="005B7442" w:rsidRDefault="005B7442" w:rsidP="005B7442">
      <w:pPr>
        <w:rPr>
          <w:rFonts w:cs="Arial"/>
        </w:rPr>
      </w:pPr>
      <w:r w:rsidRPr="00E80F6E">
        <w:rPr>
          <w:rFonts w:cs="Arial"/>
        </w:rPr>
        <w:t>A</w:t>
      </w:r>
      <w:r w:rsidR="004C304D">
        <w:rPr>
          <w:rFonts w:cs="Arial"/>
        </w:rPr>
        <w:t>n indication</w:t>
      </w:r>
      <w:r w:rsidRPr="00E80F6E">
        <w:rPr>
          <w:rFonts w:cs="Arial"/>
        </w:rPr>
        <w:t xml:space="preserve"> of the different licence types and locations of services in the 3.6 G</w:t>
      </w:r>
      <w:r w:rsidR="00403F1B">
        <w:rPr>
          <w:rFonts w:cs="Arial"/>
        </w:rPr>
        <w:t>Hz band is</w:t>
      </w:r>
      <w:r w:rsidR="00A75A69">
        <w:rPr>
          <w:rFonts w:cs="Arial"/>
        </w:rPr>
        <w:t xml:space="preserve"> contained in </w:t>
      </w:r>
      <w:r w:rsidR="00A75A69">
        <w:rPr>
          <w:rFonts w:cs="Arial"/>
        </w:rPr>
        <w:fldChar w:fldCharType="begin"/>
      </w:r>
      <w:r w:rsidR="00A75A69">
        <w:rPr>
          <w:rFonts w:cs="Arial"/>
        </w:rPr>
        <w:instrText xml:space="preserve"> REF _Ref459817782 \h </w:instrText>
      </w:r>
      <w:r w:rsidR="008A649D">
        <w:rPr>
          <w:rFonts w:cs="Arial"/>
        </w:rPr>
        <w:instrText xml:space="preserve"> \* MERGEFORMAT </w:instrText>
      </w:r>
      <w:r w:rsidR="00A75A69">
        <w:rPr>
          <w:rFonts w:cs="Arial"/>
        </w:rPr>
      </w:r>
      <w:r w:rsidR="00A75A69">
        <w:rPr>
          <w:rFonts w:cs="Arial"/>
        </w:rPr>
        <w:fldChar w:fldCharType="separate"/>
      </w:r>
      <w:r w:rsidR="00FA0A5F">
        <w:t xml:space="preserve">Table </w:t>
      </w:r>
      <w:r w:rsidR="00A75A69">
        <w:rPr>
          <w:rFonts w:cs="Arial"/>
        </w:rPr>
        <w:fldChar w:fldCharType="end"/>
      </w:r>
      <w:r w:rsidR="004A1A4A">
        <w:rPr>
          <w:rFonts w:cs="Arial"/>
        </w:rPr>
        <w:t>B1</w:t>
      </w:r>
      <w:r w:rsidRPr="00E80F6E">
        <w:rPr>
          <w:rFonts w:cs="Arial"/>
        </w:rPr>
        <w:t xml:space="preserve"> and </w:t>
      </w:r>
      <w:r w:rsidR="003F3754">
        <w:rPr>
          <w:rFonts w:cs="Arial"/>
        </w:rPr>
        <w:t xml:space="preserve">Figure B1 </w:t>
      </w:r>
      <w:r w:rsidR="004C304D">
        <w:rPr>
          <w:rFonts w:cs="Arial"/>
        </w:rPr>
        <w:t xml:space="preserve">(based on data taken </w:t>
      </w:r>
      <w:r w:rsidR="00935153">
        <w:t xml:space="preserve">from the 7 July 2016 </w:t>
      </w:r>
      <w:r w:rsidR="004C304D">
        <w:t>R</w:t>
      </w:r>
      <w:r w:rsidR="00935153">
        <w:t xml:space="preserve">egister of </w:t>
      </w:r>
      <w:r w:rsidR="004C304D">
        <w:t>R</w:t>
      </w:r>
      <w:r w:rsidR="00935153">
        <w:t xml:space="preserve">adiocommunications </w:t>
      </w:r>
      <w:r w:rsidR="004C304D">
        <w:t>L</w:t>
      </w:r>
      <w:r w:rsidR="00935153">
        <w:t>icences</w:t>
      </w:r>
      <w:r w:rsidR="004C304D">
        <w:t xml:space="preserve"> (</w:t>
      </w:r>
      <w:r w:rsidR="004C304D" w:rsidRPr="002866F5">
        <w:t>RRL</w:t>
      </w:r>
      <w:r w:rsidR="004C304D">
        <w:t>))</w:t>
      </w:r>
      <w:r w:rsidRPr="00E80F6E">
        <w:rPr>
          <w:rFonts w:cs="Arial"/>
        </w:rPr>
        <w:t xml:space="preserve">. </w:t>
      </w:r>
    </w:p>
    <w:p w14:paraId="7CEEFD52" w14:textId="1A39E71D" w:rsidR="005154B2" w:rsidRDefault="005154B2" w:rsidP="001F57E3">
      <w:pPr>
        <w:spacing w:after="80"/>
        <w:rPr>
          <w:rFonts w:cs="Arial"/>
        </w:rPr>
      </w:pPr>
      <w:r>
        <w:rPr>
          <w:rFonts w:cs="Arial"/>
        </w:rPr>
        <w:t>I</w:t>
      </w:r>
      <w:r w:rsidRPr="005154B2">
        <w:rPr>
          <w:rFonts w:cs="Arial"/>
        </w:rPr>
        <w:t>n the event</w:t>
      </w:r>
      <w:r>
        <w:rPr>
          <w:rFonts w:cs="Arial"/>
        </w:rPr>
        <w:t xml:space="preserve"> </w:t>
      </w:r>
      <w:r w:rsidR="008B7DCD">
        <w:rPr>
          <w:rFonts w:cs="Arial"/>
        </w:rPr>
        <w:t xml:space="preserve">that </w:t>
      </w:r>
      <w:r>
        <w:rPr>
          <w:rFonts w:cs="Arial"/>
        </w:rPr>
        <w:t>the 3.6 GHz band is</w:t>
      </w:r>
      <w:r w:rsidRPr="005154B2">
        <w:rPr>
          <w:rFonts w:cs="Arial"/>
        </w:rPr>
        <w:t xml:space="preserve"> re-farmed for </w:t>
      </w:r>
      <w:r w:rsidR="005A21F6">
        <w:rPr>
          <w:rFonts w:cs="Arial"/>
        </w:rPr>
        <w:t>MBB</w:t>
      </w:r>
      <w:r>
        <w:rPr>
          <w:rFonts w:cs="Arial"/>
        </w:rPr>
        <w:t>,</w:t>
      </w:r>
      <w:r w:rsidRPr="005154B2">
        <w:rPr>
          <w:rFonts w:cs="Arial"/>
        </w:rPr>
        <w:t xml:space="preserve"> </w:t>
      </w:r>
      <w:r>
        <w:rPr>
          <w:rFonts w:cs="Arial"/>
        </w:rPr>
        <w:t>t</w:t>
      </w:r>
      <w:r w:rsidRPr="005154B2">
        <w:rPr>
          <w:rFonts w:cs="Arial"/>
        </w:rPr>
        <w:t xml:space="preserve">he ACMA has performed work to determine the number and type of licences that may be affected </w:t>
      </w:r>
      <w:r>
        <w:rPr>
          <w:rFonts w:cs="Arial"/>
        </w:rPr>
        <w:t>for</w:t>
      </w:r>
      <w:r w:rsidRPr="005154B2">
        <w:rPr>
          <w:rFonts w:cs="Arial"/>
        </w:rPr>
        <w:t xml:space="preserve"> four different </w:t>
      </w:r>
      <w:r>
        <w:rPr>
          <w:rFonts w:cs="Arial"/>
        </w:rPr>
        <w:t>geographical area options</w:t>
      </w:r>
      <w:r w:rsidRPr="005154B2">
        <w:rPr>
          <w:rFonts w:cs="Arial"/>
        </w:rPr>
        <w:t xml:space="preserve">. </w:t>
      </w:r>
      <w:r>
        <w:rPr>
          <w:rFonts w:cs="Arial"/>
        </w:rPr>
        <w:t xml:space="preserve">The areas are displayed in </w:t>
      </w:r>
      <w:r w:rsidRPr="00BD7844">
        <w:rPr>
          <w:rFonts w:cs="Arial"/>
        </w:rPr>
        <w:fldChar w:fldCharType="begin"/>
      </w:r>
      <w:r w:rsidRPr="00BD7844">
        <w:rPr>
          <w:rFonts w:cs="Arial"/>
        </w:rPr>
        <w:instrText xml:space="preserve"> REF _Ref458685110 \h  \* MERGEFORMAT </w:instrText>
      </w:r>
      <w:r w:rsidRPr="00BD7844">
        <w:rPr>
          <w:rFonts w:cs="Arial"/>
        </w:rPr>
        <w:fldChar w:fldCharType="separate"/>
      </w:r>
      <w:r w:rsidR="00FA0A5F">
        <w:rPr>
          <w:rFonts w:cs="Arial"/>
          <w:b/>
          <w:bCs/>
          <w:lang w:val="en-US"/>
        </w:rPr>
        <w:t>Error! Reference source not found.</w:t>
      </w:r>
      <w:r w:rsidRPr="00BD7844">
        <w:rPr>
          <w:rFonts w:cs="Arial"/>
        </w:rPr>
        <w:fldChar w:fldCharType="end"/>
      </w:r>
      <w:r>
        <w:rPr>
          <w:rFonts w:cs="Arial"/>
        </w:rPr>
        <w:t xml:space="preserve"> and a</w:t>
      </w:r>
      <w:r w:rsidRPr="005154B2">
        <w:rPr>
          <w:rFonts w:cs="Arial"/>
        </w:rPr>
        <w:t xml:space="preserve"> brief definition is </w:t>
      </w:r>
      <w:r>
        <w:rPr>
          <w:rFonts w:cs="Arial"/>
        </w:rPr>
        <w:t xml:space="preserve">provided </w:t>
      </w:r>
      <w:r w:rsidRPr="005154B2">
        <w:rPr>
          <w:rFonts w:cs="Arial"/>
        </w:rPr>
        <w:t xml:space="preserve">below. The results of the analysis are displayed in </w:t>
      </w:r>
      <w:r>
        <w:rPr>
          <w:rFonts w:cs="Arial"/>
        </w:rPr>
        <w:fldChar w:fldCharType="begin"/>
      </w:r>
      <w:r>
        <w:rPr>
          <w:rFonts w:cs="Arial"/>
        </w:rPr>
        <w:instrText xml:space="preserve"> REF _Ref460835973 \h </w:instrText>
      </w:r>
      <w:r w:rsidR="00403F1B">
        <w:rPr>
          <w:rFonts w:cs="Arial"/>
        </w:rPr>
        <w:instrText xml:space="preserve"> \* MERGEFORMAT </w:instrText>
      </w:r>
      <w:r>
        <w:rPr>
          <w:rFonts w:cs="Arial"/>
        </w:rPr>
      </w:r>
      <w:r>
        <w:rPr>
          <w:rFonts w:cs="Arial"/>
        </w:rPr>
        <w:fldChar w:fldCharType="separate"/>
      </w:r>
      <w:r w:rsidR="00FA0A5F" w:rsidRPr="00FA0A5F">
        <w:rPr>
          <w:rFonts w:cs="Arial"/>
        </w:rPr>
        <w:t>Table B</w:t>
      </w:r>
      <w:r>
        <w:rPr>
          <w:rFonts w:cs="Arial"/>
        </w:rPr>
        <w:fldChar w:fldCharType="end"/>
      </w:r>
      <w:r w:rsidR="003F3754">
        <w:rPr>
          <w:rFonts w:cs="Arial"/>
        </w:rPr>
        <w:t>2</w:t>
      </w:r>
      <w:r>
        <w:rPr>
          <w:rFonts w:cs="Arial"/>
        </w:rPr>
        <w:t xml:space="preserve">, </w:t>
      </w:r>
      <w:r w:rsidRPr="005154B2">
        <w:rPr>
          <w:rFonts w:cs="Arial"/>
        </w:rPr>
        <w:fldChar w:fldCharType="begin"/>
      </w:r>
      <w:r w:rsidRPr="005154B2">
        <w:rPr>
          <w:rFonts w:cs="Arial"/>
        </w:rPr>
        <w:instrText xml:space="preserve"> REF _Ref460836012 \h  \* MERGEFORMAT </w:instrText>
      </w:r>
      <w:r w:rsidRPr="005154B2">
        <w:rPr>
          <w:rFonts w:cs="Arial"/>
        </w:rPr>
      </w:r>
      <w:r w:rsidRPr="005154B2">
        <w:rPr>
          <w:rFonts w:cs="Arial"/>
        </w:rPr>
        <w:fldChar w:fldCharType="separate"/>
      </w:r>
      <w:r w:rsidR="00FA0A5F" w:rsidRPr="00FA0A5F">
        <w:rPr>
          <w:rFonts w:cs="Arial"/>
        </w:rPr>
        <w:t xml:space="preserve">Figure </w:t>
      </w:r>
      <w:r w:rsidRPr="005154B2">
        <w:rPr>
          <w:rFonts w:cs="Arial"/>
        </w:rPr>
        <w:fldChar w:fldCharType="end"/>
      </w:r>
      <w:r w:rsidRPr="005154B2">
        <w:rPr>
          <w:rFonts w:cs="Arial"/>
        </w:rPr>
        <w:t xml:space="preserve"> and </w:t>
      </w:r>
      <w:r w:rsidRPr="005154B2">
        <w:rPr>
          <w:rFonts w:cs="Arial"/>
        </w:rPr>
        <w:fldChar w:fldCharType="begin"/>
      </w:r>
      <w:r w:rsidRPr="005154B2">
        <w:rPr>
          <w:rFonts w:cs="Arial"/>
        </w:rPr>
        <w:instrText xml:space="preserve"> REF _Ref460836020 \h  \* MERGEFORMAT </w:instrText>
      </w:r>
      <w:r w:rsidRPr="005154B2">
        <w:rPr>
          <w:rFonts w:cs="Arial"/>
        </w:rPr>
      </w:r>
      <w:r w:rsidRPr="005154B2">
        <w:rPr>
          <w:rFonts w:cs="Arial"/>
        </w:rPr>
        <w:fldChar w:fldCharType="separate"/>
      </w:r>
      <w:r w:rsidR="00FA0A5F" w:rsidRPr="00FA0A5F">
        <w:rPr>
          <w:rFonts w:cs="Arial"/>
        </w:rPr>
        <w:t xml:space="preserve">Figure </w:t>
      </w:r>
      <w:r w:rsidRPr="005154B2">
        <w:rPr>
          <w:rFonts w:cs="Arial"/>
        </w:rPr>
        <w:fldChar w:fldCharType="end"/>
      </w:r>
      <w:r>
        <w:rPr>
          <w:rFonts w:cs="Arial"/>
        </w:rPr>
        <w:t>.</w:t>
      </w:r>
    </w:p>
    <w:p w14:paraId="6AC2ECA9" w14:textId="1FBF74F4" w:rsidR="005154B2" w:rsidRDefault="005154B2" w:rsidP="001F57E3">
      <w:pPr>
        <w:pStyle w:val="ListBullet"/>
        <w:rPr>
          <w:rFonts w:cs="Arial"/>
        </w:rPr>
      </w:pPr>
      <w:r>
        <w:rPr>
          <w:rFonts w:cs="Arial"/>
        </w:rPr>
        <w:t>Area 1</w:t>
      </w:r>
      <w:r w:rsidR="008B7DCD">
        <w:rPr>
          <w:rFonts w:cs="Arial"/>
        </w:rPr>
        <w:t>—t</w:t>
      </w:r>
      <w:r>
        <w:rPr>
          <w:rFonts w:cs="Arial"/>
        </w:rPr>
        <w:t xml:space="preserve">his mirrors the areas specified in </w:t>
      </w:r>
      <w:hyperlink r:id="rId90" w:history="1">
        <w:r w:rsidR="004C304D" w:rsidRPr="002866F5">
          <w:rPr>
            <w:rStyle w:val="Hyperlink"/>
            <w:rFonts w:cs="Arial"/>
          </w:rPr>
          <w:t>E</w:t>
        </w:r>
        <w:r w:rsidRPr="002866F5">
          <w:rPr>
            <w:rStyle w:val="Hyperlink"/>
            <w:rFonts w:cs="Arial"/>
          </w:rPr>
          <w:t>mbargo 42</w:t>
        </w:r>
      </w:hyperlink>
      <w:r w:rsidR="008B7DCD">
        <w:rPr>
          <w:rStyle w:val="Hyperlink"/>
          <w:rFonts w:cs="Arial"/>
        </w:rPr>
        <w:t>.</w:t>
      </w:r>
    </w:p>
    <w:p w14:paraId="52FE06FB" w14:textId="1E4455BA" w:rsidR="005154B2" w:rsidRDefault="005154B2" w:rsidP="001F57E3">
      <w:pPr>
        <w:pStyle w:val="ListBullet"/>
      </w:pPr>
      <w:r>
        <w:t>Area 2</w:t>
      </w:r>
      <w:r w:rsidR="008B7DCD">
        <w:t>—t</w:t>
      </w:r>
      <w:r>
        <w:t xml:space="preserve">his mirrors the areas developed by the ACMA in implementing the </w:t>
      </w:r>
      <w:hyperlink r:id="rId91" w:history="1">
        <w:r w:rsidRPr="002E7174">
          <w:rPr>
            <w:rStyle w:val="Hyperlink"/>
            <w:rFonts w:cs="Arial"/>
          </w:rPr>
          <w:t>October 2014 Ministerial Direction</w:t>
        </w:r>
      </w:hyperlink>
      <w:r>
        <w:t>. The areas were defined large enough to support the deployment of service to outer metro and fringe areas</w:t>
      </w:r>
      <w:r w:rsidR="008B7DCD">
        <w:t>,</w:t>
      </w:r>
      <w:r>
        <w:t xml:space="preserve"> while minimising adjacent area interference concerns. Refer to </w:t>
      </w:r>
      <w:hyperlink r:id="rId92" w:history="1">
        <w:r w:rsidRPr="002E7174">
          <w:rPr>
            <w:rStyle w:val="Hyperlink"/>
            <w:rFonts w:cs="Arial"/>
          </w:rPr>
          <w:t>Annex D of RALI MS39</w:t>
        </w:r>
      </w:hyperlink>
      <w:r>
        <w:t xml:space="preserve"> for area descriptions</w:t>
      </w:r>
      <w:r w:rsidR="008B7DCD">
        <w:t>.</w:t>
      </w:r>
    </w:p>
    <w:p w14:paraId="765EA120" w14:textId="239D98A6" w:rsidR="005154B2" w:rsidRDefault="005154B2" w:rsidP="001F57E3">
      <w:pPr>
        <w:pStyle w:val="ListBullet"/>
      </w:pPr>
      <w:r>
        <w:t>Area 3</w:t>
      </w:r>
      <w:r w:rsidR="008B7DCD">
        <w:t>—t</w:t>
      </w:r>
      <w:r>
        <w:t xml:space="preserve">his mirrors the metro and regional areas subject to spectrum licensing in the 3.4 GHz band. Refer to Schedule 2 of the </w:t>
      </w:r>
      <w:hyperlink r:id="rId93" w:history="1">
        <w:r w:rsidRPr="00134BDA">
          <w:rPr>
            <w:rStyle w:val="Hyperlink"/>
            <w:szCs w:val="20"/>
          </w:rPr>
          <w:t>Radiocommunications (Spectrum Re-allocation) Declaration 2000</w:t>
        </w:r>
      </w:hyperlink>
      <w:r>
        <w:rPr>
          <w:szCs w:val="20"/>
        </w:rPr>
        <w:t xml:space="preserve"> for a description of the area</w:t>
      </w:r>
      <w:r w:rsidR="008B7DCD">
        <w:t>.</w:t>
      </w:r>
    </w:p>
    <w:p w14:paraId="27582F94" w14:textId="6FF5E34E" w:rsidR="005154B2" w:rsidRDefault="005154B2" w:rsidP="001F57E3">
      <w:pPr>
        <w:pStyle w:val="ListBulletLast"/>
      </w:pPr>
      <w:r>
        <w:t>Area 4</w:t>
      </w:r>
      <w:r w:rsidR="008B7DCD">
        <w:t>—t</w:t>
      </w:r>
      <w:r>
        <w:t>his area covers all of Australia</w:t>
      </w:r>
      <w:r w:rsidR="004C304D">
        <w:t>.</w:t>
      </w:r>
    </w:p>
    <w:p w14:paraId="06EF237A" w14:textId="77777777" w:rsidR="005B7442" w:rsidRDefault="005B7442" w:rsidP="005B7442">
      <w:pPr>
        <w:pStyle w:val="Heading3"/>
      </w:pPr>
      <w:bookmarkStart w:id="148" w:name="_Toc459906754"/>
      <w:bookmarkStart w:id="149" w:name="_Toc464480542"/>
      <w:r>
        <w:t>Embargoes</w:t>
      </w:r>
      <w:bookmarkEnd w:id="148"/>
      <w:bookmarkEnd w:id="149"/>
      <w:r>
        <w:t xml:space="preserve"> </w:t>
      </w:r>
    </w:p>
    <w:p w14:paraId="1F30AF94" w14:textId="2EB89932" w:rsidR="005B7442" w:rsidRDefault="005B7442" w:rsidP="001F57E3">
      <w:pPr>
        <w:spacing w:after="80"/>
        <w:rPr>
          <w:rFonts w:cs="Arial"/>
        </w:rPr>
      </w:pPr>
      <w:r>
        <w:rPr>
          <w:rFonts w:cs="Arial"/>
        </w:rPr>
        <w:t xml:space="preserve">There are four embargoes currently in effect that cover all or </w:t>
      </w:r>
      <w:r w:rsidR="00692CDB">
        <w:rPr>
          <w:rFonts w:cs="Arial"/>
        </w:rPr>
        <w:t>part</w:t>
      </w:r>
      <w:r>
        <w:rPr>
          <w:rFonts w:cs="Arial"/>
        </w:rPr>
        <w:t xml:space="preserve"> of the 3.6 GHz band:</w:t>
      </w:r>
    </w:p>
    <w:p w14:paraId="29CC7358" w14:textId="090EFF31" w:rsidR="005B7442" w:rsidRDefault="00C23324" w:rsidP="001F57E3">
      <w:pPr>
        <w:pStyle w:val="ListBullet"/>
      </w:pPr>
      <w:hyperlink r:id="rId94" w:history="1">
        <w:r w:rsidR="005B7442" w:rsidRPr="0054045B">
          <w:rPr>
            <w:rStyle w:val="Hyperlink"/>
          </w:rPr>
          <w:t>Embargo 41</w:t>
        </w:r>
      </w:hyperlink>
      <w:r w:rsidR="005B7442">
        <w:t>: This embargo covers the 70</w:t>
      </w:r>
      <w:r w:rsidR="004C304D">
        <w:t xml:space="preserve"> </w:t>
      </w:r>
      <w:r w:rsidR="005B7442">
        <w:t>MHz</w:t>
      </w:r>
      <w:r w:rsidR="008B7DCD">
        <w:t>–</w:t>
      </w:r>
      <w:r w:rsidR="005B7442">
        <w:t>25.25 GHz frequency range. It was established to create a radio quiet zone near Boolardy Station in Western Australia to facilitate the development and use of new radio astronomy technologies</w:t>
      </w:r>
      <w:r w:rsidR="008B7DCD">
        <w:t>.</w:t>
      </w:r>
    </w:p>
    <w:p w14:paraId="2371C1C0" w14:textId="3156D9ED" w:rsidR="005B7442" w:rsidRDefault="00C23324" w:rsidP="001F57E3">
      <w:pPr>
        <w:pStyle w:val="ListBullet"/>
      </w:pPr>
      <w:hyperlink r:id="rId95" w:history="1">
        <w:r w:rsidR="005B7442" w:rsidRPr="0054045B">
          <w:rPr>
            <w:rStyle w:val="Hyperlink"/>
          </w:rPr>
          <w:t>Embargo 42</w:t>
        </w:r>
      </w:hyperlink>
      <w:r w:rsidR="005B7442">
        <w:t>: This embargo covers the 3575</w:t>
      </w:r>
      <w:r w:rsidR="008B7DCD">
        <w:t>–</w:t>
      </w:r>
      <w:r w:rsidR="005B7442">
        <w:t xml:space="preserve">3710 MHz frequency range. It was put in place in September 2005 while future planning options for the band were being considered under the ACMA’s </w:t>
      </w:r>
      <w:hyperlink r:id="rId96" w:history="1">
        <w:r w:rsidR="005B7442" w:rsidRPr="00BE7227">
          <w:rPr>
            <w:rStyle w:val="Hyperlink"/>
            <w:i/>
          </w:rPr>
          <w:t>Strategies for Wireless Access Services</w:t>
        </w:r>
      </w:hyperlink>
      <w:r w:rsidR="005B7442">
        <w:t xml:space="preserve"> consultation process. In 2009</w:t>
      </w:r>
      <w:r w:rsidR="008B7DCD">
        <w:t>,</w:t>
      </w:r>
      <w:r w:rsidR="005B7442">
        <w:t xml:space="preserve"> the ACMA made the decision to make the 3575</w:t>
      </w:r>
      <w:r w:rsidR="008B7DCD">
        <w:t>–</w:t>
      </w:r>
      <w:r w:rsidR="005B7442">
        <w:t xml:space="preserve">3700 MHz frequency range available for </w:t>
      </w:r>
      <w:r w:rsidR="005A21F6">
        <w:t>MBB</w:t>
      </w:r>
      <w:r w:rsidR="005B7442">
        <w:t xml:space="preserve"> services in regional and remote areas of Australia. The embargo was subsequently modified to support this outcome. However, restrictions still apply Australia-wide to the issue of new licences for point-to-poi</w:t>
      </w:r>
      <w:r w:rsidR="00403F1B">
        <w:t>nt links and FSS earth stations</w:t>
      </w:r>
      <w:r w:rsidR="008B7DCD">
        <w:t>.</w:t>
      </w:r>
    </w:p>
    <w:p w14:paraId="5E22A0DD" w14:textId="638E2D6C" w:rsidR="005B7442" w:rsidRDefault="00C23324" w:rsidP="001F57E3">
      <w:pPr>
        <w:pStyle w:val="ListBullet"/>
      </w:pPr>
      <w:hyperlink r:id="rId97" w:history="1">
        <w:r w:rsidR="005B7442" w:rsidRPr="00BE7227">
          <w:rPr>
            <w:rStyle w:val="Hyperlink"/>
          </w:rPr>
          <w:t>Embargo 49</w:t>
        </w:r>
      </w:hyperlink>
      <w:r w:rsidR="005B7442">
        <w:t>: This embargo covers numerous frequency ranges used by satellite, space research and radio astronomy services. This includes the 3400</w:t>
      </w:r>
      <w:r w:rsidR="008B7DCD">
        <w:t>–</w:t>
      </w:r>
      <w:r w:rsidR="005B7442">
        <w:t>4200 MHz frequency range. The embargo limits the deployment of services other than satellite, space research and radio astronomy services operating in the 3400</w:t>
      </w:r>
      <w:r w:rsidR="008B7DCD">
        <w:t>–</w:t>
      </w:r>
      <w:r w:rsidR="005B7442">
        <w:t>4200 MHz frequency range</w:t>
      </w:r>
      <w:r w:rsidR="008B7DCD">
        <w:t>,</w:t>
      </w:r>
      <w:r w:rsidR="005B7442">
        <w:t xml:space="preserve"> within 150 k</w:t>
      </w:r>
      <w:r w:rsidR="008B7DCD">
        <w:t>ilometres</w:t>
      </w:r>
      <w:r w:rsidR="005B7442">
        <w:t xml:space="preserve"> of a location nea</w:t>
      </w:r>
      <w:r w:rsidR="00403F1B">
        <w:t>r Mingenew in Western Australia</w:t>
      </w:r>
      <w:r w:rsidR="008B7DCD">
        <w:t>.</w:t>
      </w:r>
    </w:p>
    <w:p w14:paraId="71822E60" w14:textId="70CFBED5" w:rsidR="005B7442" w:rsidRDefault="00C23324" w:rsidP="00752C58">
      <w:pPr>
        <w:pStyle w:val="ListBullet"/>
      </w:pPr>
      <w:hyperlink r:id="rId98" w:history="1">
        <w:r w:rsidR="005B7442" w:rsidRPr="00BE7227">
          <w:rPr>
            <w:rStyle w:val="Hyperlink"/>
          </w:rPr>
          <w:t>Embargo 52</w:t>
        </w:r>
      </w:hyperlink>
      <w:r w:rsidR="005B7442">
        <w:t>: This embargo covers the 3400</w:t>
      </w:r>
      <w:r w:rsidR="008B7DCD">
        <w:t>–</w:t>
      </w:r>
      <w:r w:rsidR="005B7442">
        <w:t>3575 MHz and 3600</w:t>
      </w:r>
      <w:r w:rsidR="008B7DCD">
        <w:t>–</w:t>
      </w:r>
      <w:r w:rsidR="005B7442">
        <w:t>3700 MHz frequency ranges within the Woomera Prohibited Area (WPA). It was created to facilitate the ongoing use of the WPA by the Department of Defence.</w:t>
      </w:r>
    </w:p>
    <w:p w14:paraId="667CA051" w14:textId="1F60BDB7" w:rsidR="005B7442" w:rsidRPr="00CB7829" w:rsidRDefault="005B7442" w:rsidP="00752C58">
      <w:pPr>
        <w:pStyle w:val="Caption"/>
        <w:keepNext/>
        <w:keepLines/>
        <w:numPr>
          <w:ilvl w:val="0"/>
          <w:numId w:val="0"/>
        </w:numPr>
        <w:tabs>
          <w:tab w:val="left" w:pos="1134"/>
        </w:tabs>
        <w:spacing w:after="160"/>
        <w:ind w:left="1134" w:hanging="1134"/>
        <w:rPr>
          <w:b w:val="0"/>
          <w:bCs w:val="0"/>
        </w:rPr>
      </w:pPr>
      <w:bookmarkStart w:id="150" w:name="_Ref459817782"/>
      <w:r>
        <w:t xml:space="preserve">Table </w:t>
      </w:r>
      <w:bookmarkEnd w:id="150"/>
      <w:r w:rsidR="004A1A4A">
        <w:t>B1</w:t>
      </w:r>
      <w:r>
        <w:t>:</w:t>
      </w:r>
      <w:r>
        <w:tab/>
        <w:t>Breakdown of licences in the 3.6 GHz band (</w:t>
      </w:r>
      <w:r w:rsidR="00891485">
        <w:t xml:space="preserve">RRL </w:t>
      </w:r>
      <w:r>
        <w:t>extract</w:t>
      </w:r>
      <w:r w:rsidR="00771592">
        <w:t>,</w:t>
      </w:r>
      <w:r>
        <w:t xml:space="preserve"> 7 July 2016)</w:t>
      </w:r>
    </w:p>
    <w:tbl>
      <w:tblPr>
        <w:tblW w:w="8222" w:type="dxa"/>
        <w:tblBorders>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1991"/>
        <w:gridCol w:w="1270"/>
        <w:gridCol w:w="1134"/>
        <w:gridCol w:w="3827"/>
      </w:tblGrid>
      <w:tr w:rsidR="005B7442" w:rsidRPr="006D46E5" w14:paraId="7F67026B" w14:textId="77777777" w:rsidTr="006D6661">
        <w:tc>
          <w:tcPr>
            <w:tcW w:w="1991" w:type="dxa"/>
            <w:shd w:val="clear" w:color="auto" w:fill="404040" w:themeFill="text1" w:themeFillTint="BF"/>
            <w:tcMar>
              <w:top w:w="57" w:type="dxa"/>
              <w:left w:w="57" w:type="dxa"/>
              <w:bottom w:w="57" w:type="dxa"/>
              <w:right w:w="57" w:type="dxa"/>
            </w:tcMar>
            <w:vAlign w:val="center"/>
          </w:tcPr>
          <w:p w14:paraId="561F274E" w14:textId="2CE12BFC" w:rsidR="005B7442" w:rsidRPr="006D46E5" w:rsidRDefault="005B7442" w:rsidP="00FE4948">
            <w:pPr>
              <w:pStyle w:val="TableHeading"/>
              <w:jc w:val="center"/>
              <w:rPr>
                <w:rFonts w:cs="Arial"/>
                <w:color w:val="FFFFFF" w:themeColor="background1"/>
              </w:rPr>
            </w:pPr>
            <w:r>
              <w:rPr>
                <w:rFonts w:cs="Arial"/>
                <w:color w:val="FFFFFF" w:themeColor="background1"/>
              </w:rPr>
              <w:t xml:space="preserve">Licence </w:t>
            </w:r>
            <w:r w:rsidR="00771592">
              <w:rPr>
                <w:rFonts w:cs="Arial"/>
                <w:color w:val="FFFFFF" w:themeColor="background1"/>
              </w:rPr>
              <w:t>t</w:t>
            </w:r>
            <w:r>
              <w:rPr>
                <w:rFonts w:cs="Arial"/>
                <w:color w:val="FFFFFF" w:themeColor="background1"/>
              </w:rPr>
              <w:t>ype</w:t>
            </w:r>
          </w:p>
        </w:tc>
        <w:tc>
          <w:tcPr>
            <w:tcW w:w="1270" w:type="dxa"/>
            <w:shd w:val="clear" w:color="auto" w:fill="404040" w:themeFill="text1" w:themeFillTint="BF"/>
            <w:tcMar>
              <w:top w:w="57" w:type="dxa"/>
              <w:left w:w="57" w:type="dxa"/>
              <w:bottom w:w="57" w:type="dxa"/>
              <w:right w:w="57" w:type="dxa"/>
            </w:tcMar>
            <w:vAlign w:val="center"/>
          </w:tcPr>
          <w:p w14:paraId="0433BA0D" w14:textId="55613EDC" w:rsidR="005B7442" w:rsidRPr="006D46E5" w:rsidRDefault="005B7442" w:rsidP="00FE4948">
            <w:pPr>
              <w:pStyle w:val="TableHeading"/>
              <w:jc w:val="center"/>
              <w:rPr>
                <w:rFonts w:cs="Arial"/>
                <w:color w:val="FFFFFF" w:themeColor="background1"/>
              </w:rPr>
            </w:pPr>
            <w:r>
              <w:rPr>
                <w:rFonts w:cs="Arial"/>
                <w:color w:val="FFFFFF" w:themeColor="background1"/>
              </w:rPr>
              <w:t xml:space="preserve">Number of </w:t>
            </w:r>
            <w:r w:rsidR="00771592">
              <w:rPr>
                <w:rFonts w:cs="Arial"/>
                <w:color w:val="FFFFFF" w:themeColor="background1"/>
              </w:rPr>
              <w:t>l</w:t>
            </w:r>
            <w:r>
              <w:rPr>
                <w:rFonts w:cs="Arial"/>
                <w:color w:val="FFFFFF" w:themeColor="background1"/>
              </w:rPr>
              <w:t>icences</w:t>
            </w:r>
          </w:p>
        </w:tc>
        <w:tc>
          <w:tcPr>
            <w:tcW w:w="1134" w:type="dxa"/>
            <w:shd w:val="clear" w:color="auto" w:fill="404040" w:themeFill="text1" w:themeFillTint="BF"/>
            <w:tcMar>
              <w:top w:w="57" w:type="dxa"/>
              <w:left w:w="57" w:type="dxa"/>
              <w:bottom w:w="57" w:type="dxa"/>
              <w:right w:w="57" w:type="dxa"/>
            </w:tcMar>
            <w:vAlign w:val="center"/>
          </w:tcPr>
          <w:p w14:paraId="4F75289D" w14:textId="0EB54F5F" w:rsidR="005B7442" w:rsidRPr="006D46E5" w:rsidRDefault="005B7442" w:rsidP="00FE4948">
            <w:pPr>
              <w:pStyle w:val="TableHeading"/>
              <w:jc w:val="center"/>
              <w:rPr>
                <w:rFonts w:cs="Arial"/>
                <w:color w:val="FFFFFF" w:themeColor="background1"/>
              </w:rPr>
            </w:pPr>
            <w:r>
              <w:rPr>
                <w:rFonts w:cs="Arial"/>
                <w:color w:val="FFFFFF" w:themeColor="background1"/>
              </w:rPr>
              <w:t xml:space="preserve">Number of </w:t>
            </w:r>
            <w:r w:rsidR="00771592">
              <w:rPr>
                <w:rFonts w:cs="Arial"/>
                <w:color w:val="FFFFFF" w:themeColor="background1"/>
              </w:rPr>
              <w:t>s</w:t>
            </w:r>
            <w:r>
              <w:rPr>
                <w:rFonts w:cs="Arial"/>
                <w:color w:val="FFFFFF" w:themeColor="background1"/>
              </w:rPr>
              <w:t>ites</w:t>
            </w:r>
          </w:p>
        </w:tc>
        <w:tc>
          <w:tcPr>
            <w:tcW w:w="3827" w:type="dxa"/>
            <w:shd w:val="clear" w:color="auto" w:fill="404040" w:themeFill="text1" w:themeFillTint="BF"/>
            <w:tcMar>
              <w:top w:w="57" w:type="dxa"/>
              <w:left w:w="57" w:type="dxa"/>
              <w:bottom w:w="57" w:type="dxa"/>
              <w:right w:w="57" w:type="dxa"/>
            </w:tcMar>
            <w:vAlign w:val="center"/>
          </w:tcPr>
          <w:p w14:paraId="5CA3E919" w14:textId="5CB2B3FF" w:rsidR="005B7442" w:rsidRDefault="005B7442" w:rsidP="00FE4948">
            <w:pPr>
              <w:pStyle w:val="TableHeading"/>
              <w:jc w:val="center"/>
              <w:rPr>
                <w:rFonts w:cs="Arial"/>
                <w:color w:val="FFFFFF" w:themeColor="background1"/>
              </w:rPr>
            </w:pPr>
            <w:r>
              <w:rPr>
                <w:rFonts w:cs="Arial"/>
                <w:color w:val="FFFFFF" w:themeColor="background1"/>
              </w:rPr>
              <w:t xml:space="preserve">Major </w:t>
            </w:r>
            <w:r w:rsidR="00771592">
              <w:rPr>
                <w:rFonts w:cs="Arial"/>
                <w:color w:val="FFFFFF" w:themeColor="background1"/>
              </w:rPr>
              <w:t>l</w:t>
            </w:r>
            <w:r>
              <w:rPr>
                <w:rFonts w:cs="Arial"/>
                <w:color w:val="FFFFFF" w:themeColor="background1"/>
              </w:rPr>
              <w:t>icensees</w:t>
            </w:r>
          </w:p>
          <w:p w14:paraId="17324AA9" w14:textId="77777777" w:rsidR="005B7442" w:rsidRPr="006D46E5" w:rsidRDefault="005B7442" w:rsidP="00FE4948">
            <w:pPr>
              <w:pStyle w:val="TableHeading"/>
              <w:jc w:val="center"/>
              <w:rPr>
                <w:rFonts w:cs="Arial"/>
                <w:color w:val="FFFFFF" w:themeColor="background1"/>
              </w:rPr>
            </w:pPr>
            <w:r>
              <w:rPr>
                <w:rFonts w:cs="Arial"/>
                <w:color w:val="FFFFFF" w:themeColor="background1"/>
              </w:rPr>
              <w:t>(number of licences)</w:t>
            </w:r>
          </w:p>
        </w:tc>
      </w:tr>
      <w:tr w:rsidR="005B7442" w:rsidRPr="006D46E5" w14:paraId="3CBABEC1" w14:textId="77777777" w:rsidTr="006D6661">
        <w:tc>
          <w:tcPr>
            <w:tcW w:w="1991" w:type="dxa"/>
            <w:tcMar>
              <w:top w:w="57" w:type="dxa"/>
              <w:left w:w="57" w:type="dxa"/>
              <w:bottom w:w="57" w:type="dxa"/>
              <w:right w:w="57" w:type="dxa"/>
            </w:tcMar>
          </w:tcPr>
          <w:p w14:paraId="2DD4B896" w14:textId="4EB01839" w:rsidR="005B7442" w:rsidRPr="006D46E5" w:rsidRDefault="005B7442" w:rsidP="001F57E3">
            <w:pPr>
              <w:pStyle w:val="TableBody"/>
              <w:rPr>
                <w:rFonts w:cs="Arial"/>
              </w:rPr>
            </w:pPr>
            <w:r w:rsidRPr="001A5E68">
              <w:rPr>
                <w:rFonts w:cs="Arial"/>
              </w:rPr>
              <w:t xml:space="preserve">Earth </w:t>
            </w:r>
            <w:r w:rsidR="00771592">
              <w:rPr>
                <w:rFonts w:cs="Arial"/>
              </w:rPr>
              <w:t>r</w:t>
            </w:r>
            <w:r w:rsidRPr="001A5E68">
              <w:rPr>
                <w:rFonts w:cs="Arial"/>
              </w:rPr>
              <w:t>eceive</w:t>
            </w:r>
          </w:p>
        </w:tc>
        <w:tc>
          <w:tcPr>
            <w:tcW w:w="1270" w:type="dxa"/>
            <w:tcMar>
              <w:top w:w="57" w:type="dxa"/>
              <w:left w:w="57" w:type="dxa"/>
              <w:bottom w:w="57" w:type="dxa"/>
              <w:right w:w="57" w:type="dxa"/>
            </w:tcMar>
          </w:tcPr>
          <w:p w14:paraId="54BA13C1" w14:textId="600CF5CF" w:rsidR="005B7442" w:rsidRPr="006D46E5" w:rsidRDefault="00AE1240" w:rsidP="001F57E3">
            <w:pPr>
              <w:pStyle w:val="TableBody"/>
              <w:rPr>
                <w:rFonts w:cs="Arial"/>
              </w:rPr>
            </w:pPr>
            <w:r>
              <w:rPr>
                <w:rFonts w:cs="Arial"/>
              </w:rPr>
              <w:t>21</w:t>
            </w:r>
          </w:p>
        </w:tc>
        <w:tc>
          <w:tcPr>
            <w:tcW w:w="1134" w:type="dxa"/>
            <w:tcMar>
              <w:top w:w="57" w:type="dxa"/>
              <w:left w:w="57" w:type="dxa"/>
              <w:bottom w:w="57" w:type="dxa"/>
              <w:right w:w="57" w:type="dxa"/>
            </w:tcMar>
          </w:tcPr>
          <w:p w14:paraId="0194B4F9" w14:textId="77777777" w:rsidR="005B7442" w:rsidRPr="006D46E5" w:rsidRDefault="005B7442" w:rsidP="001F57E3">
            <w:pPr>
              <w:pStyle w:val="TableBody"/>
              <w:rPr>
                <w:rFonts w:cs="Arial"/>
              </w:rPr>
            </w:pPr>
            <w:r w:rsidRPr="001A5E68">
              <w:rPr>
                <w:rFonts w:cs="Arial"/>
              </w:rPr>
              <w:t>11</w:t>
            </w:r>
          </w:p>
        </w:tc>
        <w:tc>
          <w:tcPr>
            <w:tcW w:w="3827" w:type="dxa"/>
            <w:tcMar>
              <w:top w:w="57" w:type="dxa"/>
              <w:left w:w="57" w:type="dxa"/>
              <w:bottom w:w="57" w:type="dxa"/>
              <w:right w:w="57" w:type="dxa"/>
            </w:tcMar>
          </w:tcPr>
          <w:p w14:paraId="40EF707A" w14:textId="77777777" w:rsidR="005B7442" w:rsidRPr="006D46E5" w:rsidRDefault="005B7442" w:rsidP="001F57E3">
            <w:pPr>
              <w:pStyle w:val="TableBody"/>
              <w:rPr>
                <w:rFonts w:cs="Arial"/>
              </w:rPr>
            </w:pPr>
            <w:r w:rsidRPr="002F0E08">
              <w:rPr>
                <w:rFonts w:cs="Arial"/>
              </w:rPr>
              <w:t>Telstra (9), Inmarsat (6), Optus (2)</w:t>
            </w:r>
          </w:p>
        </w:tc>
      </w:tr>
      <w:tr w:rsidR="005B7442" w:rsidRPr="006D46E5" w14:paraId="40356764" w14:textId="77777777" w:rsidTr="006D6661">
        <w:tc>
          <w:tcPr>
            <w:tcW w:w="1991" w:type="dxa"/>
            <w:shd w:val="clear" w:color="auto" w:fill="F2F2F2" w:themeFill="background1" w:themeFillShade="F2"/>
            <w:tcMar>
              <w:top w:w="57" w:type="dxa"/>
              <w:left w:w="57" w:type="dxa"/>
              <w:bottom w:w="57" w:type="dxa"/>
              <w:right w:w="57" w:type="dxa"/>
            </w:tcMar>
          </w:tcPr>
          <w:p w14:paraId="6334CD86" w14:textId="54323092" w:rsidR="005B7442" w:rsidRPr="006D46E5" w:rsidRDefault="005B7442" w:rsidP="001F57E3">
            <w:pPr>
              <w:pStyle w:val="TableBody"/>
              <w:rPr>
                <w:rFonts w:cs="Arial"/>
              </w:rPr>
            </w:pPr>
            <w:r w:rsidRPr="001A5E68">
              <w:rPr>
                <w:rFonts w:cs="Arial"/>
              </w:rPr>
              <w:t>Point</w:t>
            </w:r>
            <w:r w:rsidR="00771592">
              <w:rPr>
                <w:rFonts w:cs="Arial"/>
              </w:rPr>
              <w:t>-</w:t>
            </w:r>
            <w:r w:rsidRPr="001A5E68">
              <w:rPr>
                <w:rFonts w:cs="Arial"/>
              </w:rPr>
              <w:t>to</w:t>
            </w:r>
            <w:r w:rsidR="00771592">
              <w:rPr>
                <w:rFonts w:cs="Arial"/>
              </w:rPr>
              <w:t>-m</w:t>
            </w:r>
            <w:r w:rsidRPr="001A5E68">
              <w:rPr>
                <w:rFonts w:cs="Arial"/>
              </w:rPr>
              <w:t>ultipoint</w:t>
            </w:r>
          </w:p>
        </w:tc>
        <w:tc>
          <w:tcPr>
            <w:tcW w:w="1270" w:type="dxa"/>
            <w:shd w:val="clear" w:color="auto" w:fill="F2F2F2" w:themeFill="background1" w:themeFillShade="F2"/>
            <w:tcMar>
              <w:top w:w="57" w:type="dxa"/>
              <w:left w:w="57" w:type="dxa"/>
              <w:bottom w:w="57" w:type="dxa"/>
              <w:right w:w="57" w:type="dxa"/>
            </w:tcMar>
          </w:tcPr>
          <w:p w14:paraId="7BBD7E98" w14:textId="694686AC" w:rsidR="005B7442" w:rsidRPr="006D46E5" w:rsidRDefault="005B7442" w:rsidP="001F57E3">
            <w:pPr>
              <w:pStyle w:val="TableBody"/>
              <w:rPr>
                <w:rFonts w:cs="Arial"/>
              </w:rPr>
            </w:pPr>
            <w:r w:rsidRPr="001A5E68">
              <w:rPr>
                <w:rFonts w:cs="Arial"/>
              </w:rPr>
              <w:t>3</w:t>
            </w:r>
            <w:r w:rsidR="00E1438F">
              <w:rPr>
                <w:rFonts w:cs="Arial"/>
              </w:rPr>
              <w:t>88</w:t>
            </w:r>
          </w:p>
        </w:tc>
        <w:tc>
          <w:tcPr>
            <w:tcW w:w="1134" w:type="dxa"/>
            <w:shd w:val="clear" w:color="auto" w:fill="F2F2F2" w:themeFill="background1" w:themeFillShade="F2"/>
            <w:tcMar>
              <w:top w:w="57" w:type="dxa"/>
              <w:left w:w="57" w:type="dxa"/>
              <w:bottom w:w="57" w:type="dxa"/>
              <w:right w:w="57" w:type="dxa"/>
            </w:tcMar>
          </w:tcPr>
          <w:p w14:paraId="2FAE8328" w14:textId="301C9237" w:rsidR="005B7442" w:rsidRPr="006D46E5" w:rsidRDefault="005B7442" w:rsidP="001F57E3">
            <w:pPr>
              <w:pStyle w:val="TableBody"/>
              <w:rPr>
                <w:rFonts w:cs="Arial"/>
              </w:rPr>
            </w:pPr>
            <w:r w:rsidRPr="001A5E68">
              <w:rPr>
                <w:rFonts w:cs="Arial"/>
              </w:rPr>
              <w:t>28</w:t>
            </w:r>
            <w:r w:rsidR="00E1438F">
              <w:rPr>
                <w:rFonts w:cs="Arial"/>
              </w:rPr>
              <w:t>0</w:t>
            </w:r>
          </w:p>
        </w:tc>
        <w:tc>
          <w:tcPr>
            <w:tcW w:w="3827" w:type="dxa"/>
            <w:shd w:val="clear" w:color="auto" w:fill="F2F2F2" w:themeFill="background1" w:themeFillShade="F2"/>
            <w:tcMar>
              <w:top w:w="57" w:type="dxa"/>
              <w:left w:w="57" w:type="dxa"/>
              <w:bottom w:w="57" w:type="dxa"/>
              <w:right w:w="57" w:type="dxa"/>
            </w:tcMar>
          </w:tcPr>
          <w:p w14:paraId="54EA6BC6" w14:textId="42CE7B89" w:rsidR="005B7442" w:rsidRPr="006D46E5" w:rsidRDefault="005B7442" w:rsidP="001F57E3">
            <w:pPr>
              <w:spacing w:after="0"/>
              <w:rPr>
                <w:rFonts w:cs="Arial"/>
              </w:rPr>
            </w:pPr>
            <w:r w:rsidRPr="002F0E08">
              <w:rPr>
                <w:rFonts w:cs="Arial"/>
              </w:rPr>
              <w:t>Aus Pacific LNG (43), Rio Tinto (34), Aussie Broadband (32), QEStel (29), A</w:t>
            </w:r>
            <w:r>
              <w:rPr>
                <w:rFonts w:cs="Arial"/>
              </w:rPr>
              <w:t>gile (25), Dep Transport Qld (1</w:t>
            </w:r>
            <w:r w:rsidRPr="002F0E08">
              <w:rPr>
                <w:rFonts w:cs="Arial"/>
              </w:rPr>
              <w:t>9), Tasmanet (19)</w:t>
            </w:r>
          </w:p>
        </w:tc>
      </w:tr>
      <w:tr w:rsidR="005B7442" w:rsidRPr="006D46E5" w14:paraId="6DAC111B" w14:textId="77777777" w:rsidTr="006D6661">
        <w:tc>
          <w:tcPr>
            <w:tcW w:w="1991" w:type="dxa"/>
            <w:tcMar>
              <w:top w:w="57" w:type="dxa"/>
              <w:left w:w="57" w:type="dxa"/>
              <w:bottom w:w="57" w:type="dxa"/>
              <w:right w:w="57" w:type="dxa"/>
            </w:tcMar>
          </w:tcPr>
          <w:p w14:paraId="5BCC46B6" w14:textId="1611F8FE" w:rsidR="005B7442" w:rsidRPr="006D46E5" w:rsidRDefault="005B7442" w:rsidP="001F57E3">
            <w:pPr>
              <w:pStyle w:val="TableBody"/>
              <w:rPr>
                <w:rFonts w:cs="Arial"/>
              </w:rPr>
            </w:pPr>
            <w:r w:rsidRPr="001A5E68">
              <w:rPr>
                <w:rFonts w:cs="Arial"/>
              </w:rPr>
              <w:t>Point</w:t>
            </w:r>
            <w:r w:rsidR="00771592">
              <w:rPr>
                <w:rFonts w:cs="Arial"/>
              </w:rPr>
              <w:t>-</w:t>
            </w:r>
            <w:r w:rsidRPr="001A5E68">
              <w:rPr>
                <w:rFonts w:cs="Arial"/>
              </w:rPr>
              <w:t>to</w:t>
            </w:r>
            <w:r w:rsidR="00771592">
              <w:rPr>
                <w:rFonts w:cs="Arial"/>
              </w:rPr>
              <w:t>-p</w:t>
            </w:r>
            <w:r w:rsidRPr="001A5E68">
              <w:rPr>
                <w:rFonts w:cs="Arial"/>
              </w:rPr>
              <w:t>oint</w:t>
            </w:r>
          </w:p>
        </w:tc>
        <w:tc>
          <w:tcPr>
            <w:tcW w:w="1270" w:type="dxa"/>
            <w:tcMar>
              <w:top w:w="57" w:type="dxa"/>
              <w:left w:w="57" w:type="dxa"/>
              <w:bottom w:w="57" w:type="dxa"/>
              <w:right w:w="57" w:type="dxa"/>
            </w:tcMar>
          </w:tcPr>
          <w:p w14:paraId="46C196B9" w14:textId="77777777" w:rsidR="005B7442" w:rsidRPr="006D46E5" w:rsidRDefault="005B7442" w:rsidP="001F57E3">
            <w:pPr>
              <w:pStyle w:val="TableBody"/>
              <w:rPr>
                <w:rFonts w:cs="Arial"/>
              </w:rPr>
            </w:pPr>
            <w:r w:rsidRPr="001A5E68">
              <w:rPr>
                <w:rFonts w:cs="Arial"/>
              </w:rPr>
              <w:t>47</w:t>
            </w:r>
          </w:p>
        </w:tc>
        <w:tc>
          <w:tcPr>
            <w:tcW w:w="1134" w:type="dxa"/>
            <w:tcMar>
              <w:top w:w="57" w:type="dxa"/>
              <w:left w:w="57" w:type="dxa"/>
              <w:bottom w:w="57" w:type="dxa"/>
              <w:right w:w="57" w:type="dxa"/>
            </w:tcMar>
          </w:tcPr>
          <w:p w14:paraId="0BC0128C" w14:textId="77777777" w:rsidR="005B7442" w:rsidRPr="006D46E5" w:rsidRDefault="005B7442" w:rsidP="001F57E3">
            <w:pPr>
              <w:pStyle w:val="TableBody"/>
              <w:rPr>
                <w:rFonts w:cs="Arial"/>
              </w:rPr>
            </w:pPr>
            <w:r w:rsidRPr="001A5E68">
              <w:rPr>
                <w:rFonts w:cs="Arial"/>
              </w:rPr>
              <w:t>33</w:t>
            </w:r>
          </w:p>
        </w:tc>
        <w:tc>
          <w:tcPr>
            <w:tcW w:w="3827" w:type="dxa"/>
            <w:tcMar>
              <w:top w:w="57" w:type="dxa"/>
              <w:left w:w="57" w:type="dxa"/>
              <w:bottom w:w="57" w:type="dxa"/>
              <w:right w:w="57" w:type="dxa"/>
            </w:tcMar>
          </w:tcPr>
          <w:p w14:paraId="62944871" w14:textId="4A89E604" w:rsidR="005B7442" w:rsidRPr="006D46E5" w:rsidRDefault="005B7442" w:rsidP="001F57E3">
            <w:pPr>
              <w:pStyle w:val="TableBody"/>
              <w:rPr>
                <w:rFonts w:cs="Arial"/>
              </w:rPr>
            </w:pPr>
            <w:r>
              <w:rPr>
                <w:rFonts w:cs="Arial"/>
              </w:rPr>
              <w:t xml:space="preserve">Digital Distributions Australia (37), </w:t>
            </w:r>
            <w:r w:rsidR="003B00BE">
              <w:rPr>
                <w:rFonts w:cs="Arial"/>
              </w:rPr>
              <w:t>Telstra </w:t>
            </w:r>
            <w:r>
              <w:rPr>
                <w:rFonts w:cs="Arial"/>
              </w:rPr>
              <w:t>(7)</w:t>
            </w:r>
          </w:p>
        </w:tc>
      </w:tr>
      <w:tr w:rsidR="005B7442" w:rsidRPr="006D46E5" w14:paraId="2BF1E122" w14:textId="77777777" w:rsidTr="006D6661">
        <w:tc>
          <w:tcPr>
            <w:tcW w:w="1991" w:type="dxa"/>
            <w:shd w:val="clear" w:color="auto" w:fill="F2F2F2" w:themeFill="background1" w:themeFillShade="F2"/>
            <w:tcMar>
              <w:top w:w="57" w:type="dxa"/>
              <w:left w:w="57" w:type="dxa"/>
              <w:bottom w:w="57" w:type="dxa"/>
              <w:right w:w="57" w:type="dxa"/>
            </w:tcMar>
          </w:tcPr>
          <w:p w14:paraId="7D1934E3" w14:textId="2749F4B5" w:rsidR="005B7442" w:rsidRPr="006D46E5" w:rsidRDefault="005B7442" w:rsidP="001F57E3">
            <w:pPr>
              <w:pStyle w:val="TableBody"/>
              <w:rPr>
                <w:rFonts w:cs="Arial"/>
              </w:rPr>
            </w:pPr>
            <w:r w:rsidRPr="001A5E68">
              <w:rPr>
                <w:rFonts w:cs="Arial"/>
              </w:rPr>
              <w:t xml:space="preserve">Amateur </w:t>
            </w:r>
            <w:r w:rsidR="00771592">
              <w:rPr>
                <w:rFonts w:cs="Arial"/>
              </w:rPr>
              <w:t>r</w:t>
            </w:r>
            <w:r w:rsidRPr="001A5E68">
              <w:rPr>
                <w:rFonts w:cs="Arial"/>
              </w:rPr>
              <w:t>epeater</w:t>
            </w:r>
          </w:p>
        </w:tc>
        <w:tc>
          <w:tcPr>
            <w:tcW w:w="1270" w:type="dxa"/>
            <w:shd w:val="clear" w:color="auto" w:fill="F2F2F2" w:themeFill="background1" w:themeFillShade="F2"/>
            <w:tcMar>
              <w:top w:w="57" w:type="dxa"/>
              <w:left w:w="57" w:type="dxa"/>
              <w:bottom w:w="57" w:type="dxa"/>
              <w:right w:w="57" w:type="dxa"/>
            </w:tcMar>
          </w:tcPr>
          <w:p w14:paraId="4B0EE0E0" w14:textId="77777777" w:rsidR="005B7442" w:rsidRPr="006D46E5" w:rsidRDefault="005B7442" w:rsidP="001F57E3">
            <w:pPr>
              <w:pStyle w:val="TableBody"/>
              <w:rPr>
                <w:rFonts w:cs="Arial"/>
              </w:rPr>
            </w:pPr>
            <w:r>
              <w:rPr>
                <w:rFonts w:cs="Arial"/>
              </w:rPr>
              <w:t>2</w:t>
            </w:r>
          </w:p>
        </w:tc>
        <w:tc>
          <w:tcPr>
            <w:tcW w:w="1134" w:type="dxa"/>
            <w:shd w:val="clear" w:color="auto" w:fill="F2F2F2" w:themeFill="background1" w:themeFillShade="F2"/>
            <w:tcMar>
              <w:top w:w="57" w:type="dxa"/>
              <w:left w:w="57" w:type="dxa"/>
              <w:bottom w:w="57" w:type="dxa"/>
              <w:right w:w="57" w:type="dxa"/>
            </w:tcMar>
          </w:tcPr>
          <w:p w14:paraId="14D5C752" w14:textId="77777777" w:rsidR="005B7442" w:rsidRPr="006D46E5" w:rsidRDefault="005B7442" w:rsidP="001F57E3">
            <w:pPr>
              <w:pStyle w:val="TableBody"/>
              <w:rPr>
                <w:rFonts w:cs="Arial"/>
              </w:rPr>
            </w:pPr>
            <w:r>
              <w:rPr>
                <w:rFonts w:cs="Arial"/>
              </w:rPr>
              <w:t>2</w:t>
            </w:r>
          </w:p>
        </w:tc>
        <w:tc>
          <w:tcPr>
            <w:tcW w:w="3827" w:type="dxa"/>
            <w:shd w:val="clear" w:color="auto" w:fill="F2F2F2" w:themeFill="background1" w:themeFillShade="F2"/>
            <w:tcMar>
              <w:top w:w="57" w:type="dxa"/>
              <w:left w:w="57" w:type="dxa"/>
              <w:bottom w:w="57" w:type="dxa"/>
              <w:right w:w="57" w:type="dxa"/>
            </w:tcMar>
          </w:tcPr>
          <w:p w14:paraId="684C5560" w14:textId="77777777" w:rsidR="005B7442" w:rsidRDefault="005B7442" w:rsidP="001F57E3">
            <w:pPr>
              <w:spacing w:after="0"/>
              <w:rPr>
                <w:rFonts w:cs="Arial"/>
              </w:rPr>
            </w:pPr>
            <w:r w:rsidRPr="002F0E08">
              <w:rPr>
                <w:rFonts w:cs="Arial"/>
              </w:rPr>
              <w:t xml:space="preserve">Elizabeth Amateur Radio Club </w:t>
            </w:r>
            <w:r>
              <w:rPr>
                <w:rFonts w:cs="Arial"/>
              </w:rPr>
              <w:t>(1),</w:t>
            </w:r>
          </w:p>
          <w:p w14:paraId="537433BE" w14:textId="77777777" w:rsidR="005B7442" w:rsidRPr="006D46E5" w:rsidRDefault="005B7442" w:rsidP="001F57E3">
            <w:pPr>
              <w:pStyle w:val="TableBody"/>
              <w:rPr>
                <w:rFonts w:cs="Arial"/>
              </w:rPr>
            </w:pPr>
            <w:r w:rsidRPr="002F0E08">
              <w:rPr>
                <w:rFonts w:cs="Arial"/>
              </w:rPr>
              <w:t>Central Coast Amateur Radio Club</w:t>
            </w:r>
            <w:r>
              <w:rPr>
                <w:rFonts w:cs="Arial"/>
              </w:rPr>
              <w:t xml:space="preserve"> (1)</w:t>
            </w:r>
          </w:p>
        </w:tc>
      </w:tr>
    </w:tbl>
    <w:p w14:paraId="348671A9" w14:textId="77777777" w:rsidR="005B7442" w:rsidRDefault="005B7442" w:rsidP="001F57E3">
      <w:pPr>
        <w:pStyle w:val="ACMASpaceaftertable"/>
      </w:pPr>
    </w:p>
    <w:p w14:paraId="24C3204F" w14:textId="01E6AF5B" w:rsidR="005B7442" w:rsidRPr="00FE427A" w:rsidRDefault="005B7442" w:rsidP="005B7442">
      <w:pPr>
        <w:ind w:left="1136" w:hanging="1136"/>
        <w:rPr>
          <w:rFonts w:cs="Arial"/>
          <w:b/>
          <w:bCs/>
          <w:color w:val="323232"/>
          <w:szCs w:val="20"/>
        </w:rPr>
      </w:pPr>
      <w:bookmarkStart w:id="151" w:name="_Ref459817881"/>
      <w:r w:rsidRPr="00FE427A">
        <w:rPr>
          <w:rFonts w:cs="Arial"/>
          <w:b/>
          <w:bCs/>
          <w:color w:val="323232"/>
          <w:szCs w:val="20"/>
        </w:rPr>
        <w:t xml:space="preserve">Figure </w:t>
      </w:r>
      <w:r w:rsidR="004A1A4A">
        <w:rPr>
          <w:rFonts w:cs="Arial"/>
          <w:b/>
          <w:bCs/>
          <w:color w:val="323232"/>
          <w:szCs w:val="20"/>
        </w:rPr>
        <w:t>B1</w:t>
      </w:r>
      <w:bookmarkEnd w:id="151"/>
      <w:r w:rsidRPr="00FE427A">
        <w:rPr>
          <w:rFonts w:cs="Arial"/>
          <w:b/>
          <w:bCs/>
          <w:color w:val="323232"/>
          <w:szCs w:val="20"/>
        </w:rPr>
        <w:t>:</w:t>
      </w:r>
      <w:r w:rsidRPr="00FE427A">
        <w:rPr>
          <w:rFonts w:cs="Arial"/>
          <w:b/>
          <w:bCs/>
          <w:color w:val="323232"/>
          <w:szCs w:val="20"/>
        </w:rPr>
        <w:tab/>
      </w:r>
      <w:r>
        <w:rPr>
          <w:rFonts w:cs="Arial"/>
          <w:b/>
          <w:bCs/>
          <w:color w:val="323232"/>
          <w:szCs w:val="20"/>
        </w:rPr>
        <w:t xml:space="preserve">Location of </w:t>
      </w:r>
      <w:r w:rsidR="00A75A69">
        <w:rPr>
          <w:rFonts w:cs="Arial"/>
          <w:b/>
          <w:bCs/>
          <w:color w:val="323232"/>
          <w:szCs w:val="20"/>
        </w:rPr>
        <w:t>embargoe</w:t>
      </w:r>
      <w:r w:rsidR="0040113D">
        <w:rPr>
          <w:rFonts w:cs="Arial"/>
          <w:b/>
          <w:bCs/>
          <w:color w:val="323232"/>
          <w:szCs w:val="20"/>
        </w:rPr>
        <w:t>d areas</w:t>
      </w:r>
      <w:r w:rsidR="00A75A69">
        <w:rPr>
          <w:rFonts w:cs="Arial"/>
          <w:b/>
          <w:bCs/>
          <w:color w:val="323232"/>
          <w:szCs w:val="20"/>
        </w:rPr>
        <w:t xml:space="preserve"> and licenced </w:t>
      </w:r>
      <w:r>
        <w:rPr>
          <w:rFonts w:cs="Arial"/>
          <w:b/>
          <w:bCs/>
          <w:color w:val="323232"/>
          <w:szCs w:val="20"/>
        </w:rPr>
        <w:t xml:space="preserve">services in the 3.6 GHz band </w:t>
      </w:r>
      <w:r w:rsidR="00891485" w:rsidRPr="00891485">
        <w:rPr>
          <w:rFonts w:cs="Arial"/>
          <w:b/>
          <w:bCs/>
          <w:color w:val="323232"/>
          <w:szCs w:val="20"/>
        </w:rPr>
        <w:t>(</w:t>
      </w:r>
      <w:r w:rsidR="00891485">
        <w:rPr>
          <w:rFonts w:cs="Arial"/>
          <w:b/>
          <w:bCs/>
          <w:color w:val="323232"/>
          <w:szCs w:val="20"/>
        </w:rPr>
        <w:t xml:space="preserve">RRL </w:t>
      </w:r>
      <w:r w:rsidR="00891485" w:rsidRPr="00891485">
        <w:rPr>
          <w:rFonts w:cs="Arial"/>
          <w:b/>
          <w:bCs/>
          <w:color w:val="323232"/>
          <w:szCs w:val="20"/>
        </w:rPr>
        <w:t>extract</w:t>
      </w:r>
      <w:r w:rsidR="003B00BE">
        <w:rPr>
          <w:rFonts w:cs="Arial"/>
          <w:b/>
          <w:bCs/>
          <w:color w:val="323232"/>
          <w:szCs w:val="20"/>
        </w:rPr>
        <w:t>,</w:t>
      </w:r>
      <w:r w:rsidR="00891485" w:rsidRPr="00891485">
        <w:rPr>
          <w:rFonts w:cs="Arial"/>
          <w:b/>
          <w:bCs/>
          <w:color w:val="323232"/>
          <w:szCs w:val="20"/>
        </w:rPr>
        <w:t xml:space="preserve"> 7 July 2016)</w:t>
      </w:r>
    </w:p>
    <w:p w14:paraId="6CBB4E37" w14:textId="77777777" w:rsidR="005B7442" w:rsidRDefault="005B7442" w:rsidP="005B7442">
      <w:pPr>
        <w:rPr>
          <w:rFonts w:cs="Arial"/>
        </w:rPr>
      </w:pPr>
      <w:r>
        <w:rPr>
          <w:noProof/>
        </w:rPr>
        <w:drawing>
          <wp:inline distT="0" distB="0" distL="0" distR="0" wp14:anchorId="6DCBD8B0" wp14:editId="13913924">
            <wp:extent cx="5659488" cy="5020573"/>
            <wp:effectExtent l="0" t="0" r="0" b="8890"/>
            <wp:docPr id="17" name="Picture 17" title="Location of embargoed areas and licenced services in the 3.6 GHz band (RRL extract, 7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94477" cy="5051612"/>
                    </a:xfrm>
                    <a:prstGeom prst="rect">
                      <a:avLst/>
                    </a:prstGeom>
                  </pic:spPr>
                </pic:pic>
              </a:graphicData>
            </a:graphic>
          </wp:inline>
        </w:drawing>
      </w:r>
    </w:p>
    <w:p w14:paraId="05F800BD" w14:textId="77777777" w:rsidR="005B7442" w:rsidRDefault="005B7442" w:rsidP="005B7442">
      <w:pPr>
        <w:rPr>
          <w:rFonts w:cs="Arial"/>
        </w:rPr>
      </w:pPr>
    </w:p>
    <w:p w14:paraId="5CCB25D8" w14:textId="5B3D81A5" w:rsidR="003C1AB0" w:rsidRPr="00CB7829" w:rsidRDefault="003C1AB0" w:rsidP="003C1AB0">
      <w:pPr>
        <w:pStyle w:val="Caption"/>
        <w:numPr>
          <w:ilvl w:val="0"/>
          <w:numId w:val="0"/>
        </w:numPr>
        <w:spacing w:after="120"/>
        <w:ind w:left="964" w:hanging="964"/>
        <w:rPr>
          <w:b w:val="0"/>
          <w:bCs w:val="0"/>
        </w:rPr>
      </w:pPr>
      <w:bookmarkStart w:id="152" w:name="_Ref460835973"/>
      <w:r>
        <w:t xml:space="preserve">Table </w:t>
      </w:r>
      <w:r w:rsidR="004A1A4A">
        <w:t>B</w:t>
      </w:r>
      <w:bookmarkEnd w:id="152"/>
      <w:r w:rsidR="004A1A4A">
        <w:t>2</w:t>
      </w:r>
      <w:r>
        <w:t>:</w:t>
      </w:r>
      <w:r>
        <w:tab/>
        <w:t>Breakdown of licences in the 3.6 GHz band by Area (RRL extract</w:t>
      </w:r>
      <w:r w:rsidR="003B00BE">
        <w:t>,</w:t>
      </w:r>
      <w:r>
        <w:t xml:space="preserve"> </w:t>
      </w:r>
      <w:r w:rsidR="003B00BE">
        <w:t>7 </w:t>
      </w:r>
      <w:r>
        <w:t>July 2016)</w:t>
      </w:r>
    </w:p>
    <w:tbl>
      <w:tblPr>
        <w:tblStyle w:val="TableGrid"/>
        <w:tblW w:w="6780" w:type="dxa"/>
        <w:jc w:val="center"/>
        <w:tblLook w:val="04A0" w:firstRow="1" w:lastRow="0" w:firstColumn="1" w:lastColumn="0" w:noHBand="0" w:noVBand="1"/>
        <w:tblCaption w:val="Breakdown of licences in the 3.6 GHz band by Area (RRL extract, 7 July 2016)"/>
      </w:tblPr>
      <w:tblGrid>
        <w:gridCol w:w="462"/>
        <w:gridCol w:w="2794"/>
        <w:gridCol w:w="705"/>
        <w:gridCol w:w="706"/>
        <w:gridCol w:w="705"/>
        <w:gridCol w:w="676"/>
        <w:gridCol w:w="732"/>
      </w:tblGrid>
      <w:tr w:rsidR="00E96804" w:rsidRPr="003B00BE" w14:paraId="6ED977FA" w14:textId="77777777" w:rsidTr="000D4CEC">
        <w:trPr>
          <w:cantSplit/>
          <w:trHeight w:val="2093"/>
          <w:tblHeader/>
          <w:jc w:val="center"/>
        </w:trPr>
        <w:tc>
          <w:tcPr>
            <w:tcW w:w="3256" w:type="dxa"/>
            <w:gridSpan w:val="2"/>
            <w:shd w:val="clear" w:color="auto" w:fill="404040" w:themeFill="text1" w:themeFillTint="BF"/>
            <w:vAlign w:val="bottom"/>
          </w:tcPr>
          <w:p w14:paraId="6037A39F" w14:textId="77777777" w:rsidR="00E96804" w:rsidRPr="006D6661" w:rsidRDefault="00E96804" w:rsidP="006D6661">
            <w:pPr>
              <w:pStyle w:val="TableHeading"/>
              <w:rPr>
                <w:color w:val="FFFFFF" w:themeColor="background1"/>
              </w:rPr>
            </w:pPr>
            <w:r w:rsidRPr="006D6661">
              <w:rPr>
                <w:color w:val="FFFFFF" w:themeColor="background1"/>
              </w:rPr>
              <w:t>Area</w:t>
            </w:r>
          </w:p>
        </w:tc>
        <w:tc>
          <w:tcPr>
            <w:tcW w:w="705" w:type="dxa"/>
            <w:shd w:val="clear" w:color="auto" w:fill="404040" w:themeFill="text1" w:themeFillTint="BF"/>
            <w:textDirection w:val="btLr"/>
            <w:vAlign w:val="center"/>
          </w:tcPr>
          <w:p w14:paraId="518CF203" w14:textId="61A37221" w:rsidR="00E96804" w:rsidRPr="006D6661" w:rsidRDefault="00E96804" w:rsidP="006D6661">
            <w:pPr>
              <w:pStyle w:val="TableHeading"/>
              <w:rPr>
                <w:color w:val="FFFFFF" w:themeColor="background1"/>
              </w:rPr>
            </w:pPr>
            <w:r w:rsidRPr="001F57E3">
              <w:rPr>
                <w:color w:val="FFFFFF" w:themeColor="background1"/>
              </w:rPr>
              <w:t xml:space="preserve">All </w:t>
            </w:r>
            <w:r w:rsidR="003B00BE" w:rsidRPr="001F57E3">
              <w:rPr>
                <w:color w:val="FFFFFF" w:themeColor="background1"/>
              </w:rPr>
              <w:t>l</w:t>
            </w:r>
            <w:r w:rsidRPr="001F57E3">
              <w:rPr>
                <w:color w:val="FFFFFF" w:themeColor="background1"/>
              </w:rPr>
              <w:t>icences</w:t>
            </w:r>
          </w:p>
        </w:tc>
        <w:tc>
          <w:tcPr>
            <w:tcW w:w="706" w:type="dxa"/>
            <w:shd w:val="clear" w:color="auto" w:fill="404040" w:themeFill="text1" w:themeFillTint="BF"/>
            <w:textDirection w:val="btLr"/>
            <w:vAlign w:val="center"/>
          </w:tcPr>
          <w:p w14:paraId="272D4278" w14:textId="779733EF" w:rsidR="00E96804" w:rsidRPr="006D6661" w:rsidRDefault="00E96804" w:rsidP="006D6661">
            <w:pPr>
              <w:pStyle w:val="TableHeading"/>
              <w:rPr>
                <w:color w:val="FFFFFF" w:themeColor="background1"/>
              </w:rPr>
            </w:pPr>
            <w:r w:rsidRPr="006D6661">
              <w:rPr>
                <w:color w:val="FFFFFF" w:themeColor="background1"/>
              </w:rPr>
              <w:t>Point</w:t>
            </w:r>
            <w:r w:rsidR="003B00BE" w:rsidRPr="006D6661">
              <w:rPr>
                <w:color w:val="FFFFFF" w:themeColor="background1"/>
              </w:rPr>
              <w:t>-</w:t>
            </w:r>
            <w:r w:rsidRPr="006D6661">
              <w:rPr>
                <w:color w:val="FFFFFF" w:themeColor="background1"/>
              </w:rPr>
              <w:t>to</w:t>
            </w:r>
            <w:r w:rsidR="003B00BE" w:rsidRPr="006D6661">
              <w:rPr>
                <w:color w:val="FFFFFF" w:themeColor="background1"/>
              </w:rPr>
              <w:t>-m</w:t>
            </w:r>
            <w:r w:rsidRPr="006D6661">
              <w:rPr>
                <w:color w:val="FFFFFF" w:themeColor="background1"/>
              </w:rPr>
              <w:t>ultipoint</w:t>
            </w:r>
          </w:p>
        </w:tc>
        <w:tc>
          <w:tcPr>
            <w:tcW w:w="705" w:type="dxa"/>
            <w:shd w:val="clear" w:color="auto" w:fill="404040" w:themeFill="text1" w:themeFillTint="BF"/>
            <w:textDirection w:val="btLr"/>
            <w:vAlign w:val="center"/>
          </w:tcPr>
          <w:p w14:paraId="0E5BC638" w14:textId="4D72FEC5" w:rsidR="00E96804" w:rsidRPr="006D6661" w:rsidRDefault="00E96804" w:rsidP="006D6661">
            <w:pPr>
              <w:pStyle w:val="TableHeading"/>
              <w:rPr>
                <w:color w:val="FFFFFF" w:themeColor="background1"/>
              </w:rPr>
            </w:pPr>
            <w:r w:rsidRPr="006D6661">
              <w:rPr>
                <w:color w:val="FFFFFF" w:themeColor="background1"/>
              </w:rPr>
              <w:t>Point</w:t>
            </w:r>
            <w:r w:rsidR="003B00BE" w:rsidRPr="006D6661">
              <w:rPr>
                <w:color w:val="FFFFFF" w:themeColor="background1"/>
              </w:rPr>
              <w:t>-</w:t>
            </w:r>
            <w:r w:rsidRPr="006D6661">
              <w:rPr>
                <w:color w:val="FFFFFF" w:themeColor="background1"/>
              </w:rPr>
              <w:t>to</w:t>
            </w:r>
            <w:r w:rsidR="003B00BE" w:rsidRPr="006D6661">
              <w:rPr>
                <w:color w:val="FFFFFF" w:themeColor="background1"/>
              </w:rPr>
              <w:t>-p</w:t>
            </w:r>
            <w:r w:rsidRPr="006D6661">
              <w:rPr>
                <w:color w:val="FFFFFF" w:themeColor="background1"/>
              </w:rPr>
              <w:t>oint</w:t>
            </w:r>
          </w:p>
        </w:tc>
        <w:tc>
          <w:tcPr>
            <w:tcW w:w="676" w:type="dxa"/>
            <w:shd w:val="clear" w:color="auto" w:fill="404040" w:themeFill="text1" w:themeFillTint="BF"/>
            <w:textDirection w:val="btLr"/>
            <w:vAlign w:val="center"/>
          </w:tcPr>
          <w:p w14:paraId="71D016E7" w14:textId="4FA4B24B" w:rsidR="00E96804" w:rsidRPr="006D6661" w:rsidRDefault="00E96804" w:rsidP="006D6661">
            <w:pPr>
              <w:pStyle w:val="TableHeading"/>
              <w:rPr>
                <w:color w:val="FFFFFF" w:themeColor="background1"/>
              </w:rPr>
            </w:pPr>
            <w:r w:rsidRPr="006D6661">
              <w:rPr>
                <w:color w:val="FFFFFF" w:themeColor="background1"/>
              </w:rPr>
              <w:t xml:space="preserve">Amateur </w:t>
            </w:r>
            <w:r w:rsidR="003B00BE" w:rsidRPr="006D6661">
              <w:rPr>
                <w:color w:val="FFFFFF" w:themeColor="background1"/>
              </w:rPr>
              <w:t>r</w:t>
            </w:r>
            <w:r w:rsidRPr="006D6661">
              <w:rPr>
                <w:color w:val="FFFFFF" w:themeColor="background1"/>
              </w:rPr>
              <w:t>epeater</w:t>
            </w:r>
          </w:p>
        </w:tc>
        <w:tc>
          <w:tcPr>
            <w:tcW w:w="732" w:type="dxa"/>
            <w:shd w:val="clear" w:color="auto" w:fill="404040" w:themeFill="text1" w:themeFillTint="BF"/>
            <w:textDirection w:val="btLr"/>
            <w:vAlign w:val="center"/>
          </w:tcPr>
          <w:p w14:paraId="570B7D79" w14:textId="7C58C235" w:rsidR="00E96804" w:rsidRPr="006D6661" w:rsidRDefault="00E96804" w:rsidP="006D6661">
            <w:pPr>
              <w:pStyle w:val="TableHeading"/>
              <w:rPr>
                <w:color w:val="FFFFFF" w:themeColor="background1"/>
              </w:rPr>
            </w:pPr>
            <w:r w:rsidRPr="006D6661">
              <w:rPr>
                <w:color w:val="FFFFFF" w:themeColor="background1"/>
              </w:rPr>
              <w:t xml:space="preserve">Earth </w:t>
            </w:r>
            <w:r w:rsidR="003B00BE" w:rsidRPr="006D6661">
              <w:rPr>
                <w:color w:val="FFFFFF" w:themeColor="background1"/>
              </w:rPr>
              <w:t>r</w:t>
            </w:r>
            <w:r w:rsidRPr="006D6661">
              <w:rPr>
                <w:color w:val="FFFFFF" w:themeColor="background1"/>
              </w:rPr>
              <w:t>eceive</w:t>
            </w:r>
          </w:p>
        </w:tc>
      </w:tr>
      <w:tr w:rsidR="00E96804" w:rsidRPr="003B00BE" w14:paraId="23CA9547" w14:textId="77777777" w:rsidTr="00FE740B">
        <w:trPr>
          <w:trHeight w:val="20"/>
          <w:jc w:val="center"/>
        </w:trPr>
        <w:tc>
          <w:tcPr>
            <w:tcW w:w="462" w:type="dxa"/>
            <w:vMerge w:val="restart"/>
            <w:textDirection w:val="btLr"/>
          </w:tcPr>
          <w:p w14:paraId="27DC96AD" w14:textId="77777777" w:rsidR="00E96804" w:rsidRPr="003B00BE" w:rsidRDefault="00E96804" w:rsidP="00F12318">
            <w:pPr>
              <w:spacing w:after="0"/>
              <w:jc w:val="center"/>
              <w:rPr>
                <w:rFonts w:cs="Arial"/>
                <w:b/>
                <w:szCs w:val="20"/>
              </w:rPr>
            </w:pPr>
            <w:r w:rsidRPr="003B00BE">
              <w:rPr>
                <w:rFonts w:cs="Arial"/>
                <w:b/>
                <w:szCs w:val="20"/>
              </w:rPr>
              <w:t>Area 1</w:t>
            </w:r>
          </w:p>
        </w:tc>
        <w:tc>
          <w:tcPr>
            <w:tcW w:w="2794" w:type="dxa"/>
            <w:vAlign w:val="bottom"/>
          </w:tcPr>
          <w:p w14:paraId="548D3134" w14:textId="77777777" w:rsidR="00E96804" w:rsidRPr="006D6661" w:rsidRDefault="00E96804" w:rsidP="00F12318">
            <w:pPr>
              <w:spacing w:after="0"/>
              <w:rPr>
                <w:rFonts w:cs="Arial"/>
                <w:szCs w:val="20"/>
              </w:rPr>
            </w:pPr>
            <w:r w:rsidRPr="006D6661">
              <w:rPr>
                <w:rFonts w:cs="Arial"/>
                <w:color w:val="000000"/>
                <w:szCs w:val="20"/>
              </w:rPr>
              <w:t>Adelaide</w:t>
            </w:r>
          </w:p>
        </w:tc>
        <w:tc>
          <w:tcPr>
            <w:tcW w:w="705" w:type="dxa"/>
            <w:vAlign w:val="bottom"/>
          </w:tcPr>
          <w:p w14:paraId="47A5873C"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06" w:type="dxa"/>
            <w:vAlign w:val="bottom"/>
          </w:tcPr>
          <w:p w14:paraId="3441DF7D"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5E279E51"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30F17673"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32" w:type="dxa"/>
            <w:vAlign w:val="bottom"/>
          </w:tcPr>
          <w:p w14:paraId="3A59D845"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509A6F3F" w14:textId="77777777" w:rsidTr="00FE740B">
        <w:trPr>
          <w:trHeight w:val="20"/>
          <w:jc w:val="center"/>
        </w:trPr>
        <w:tc>
          <w:tcPr>
            <w:tcW w:w="462" w:type="dxa"/>
            <w:vMerge/>
            <w:textDirection w:val="btLr"/>
          </w:tcPr>
          <w:p w14:paraId="2DCD7FD7" w14:textId="77777777" w:rsidR="00E96804" w:rsidRPr="003B00BE" w:rsidRDefault="00E96804" w:rsidP="00F12318">
            <w:pPr>
              <w:spacing w:after="0"/>
              <w:rPr>
                <w:rFonts w:cs="Arial"/>
                <w:b/>
                <w:szCs w:val="20"/>
              </w:rPr>
            </w:pPr>
          </w:p>
        </w:tc>
        <w:tc>
          <w:tcPr>
            <w:tcW w:w="2794" w:type="dxa"/>
            <w:vAlign w:val="bottom"/>
          </w:tcPr>
          <w:p w14:paraId="3FAE13AD" w14:textId="77777777" w:rsidR="00E96804" w:rsidRPr="006D6661" w:rsidRDefault="00E96804" w:rsidP="00F12318">
            <w:pPr>
              <w:spacing w:after="0"/>
              <w:rPr>
                <w:rFonts w:cs="Arial"/>
                <w:szCs w:val="20"/>
              </w:rPr>
            </w:pPr>
            <w:r w:rsidRPr="006D6661">
              <w:rPr>
                <w:rFonts w:cs="Arial"/>
                <w:color w:val="000000"/>
                <w:szCs w:val="20"/>
              </w:rPr>
              <w:t>Brisbane</w:t>
            </w:r>
          </w:p>
        </w:tc>
        <w:tc>
          <w:tcPr>
            <w:tcW w:w="705" w:type="dxa"/>
            <w:vAlign w:val="bottom"/>
          </w:tcPr>
          <w:p w14:paraId="1435B302" w14:textId="77777777" w:rsidR="00E96804" w:rsidRPr="003B00BE" w:rsidRDefault="00E96804" w:rsidP="00F12318">
            <w:pPr>
              <w:spacing w:after="0"/>
              <w:jc w:val="center"/>
              <w:rPr>
                <w:rFonts w:cs="Arial"/>
                <w:szCs w:val="20"/>
              </w:rPr>
            </w:pPr>
            <w:r w:rsidRPr="006D6661">
              <w:rPr>
                <w:rFonts w:cs="Arial"/>
                <w:color w:val="000000"/>
                <w:szCs w:val="20"/>
              </w:rPr>
              <w:t>2</w:t>
            </w:r>
          </w:p>
        </w:tc>
        <w:tc>
          <w:tcPr>
            <w:tcW w:w="706" w:type="dxa"/>
            <w:vAlign w:val="bottom"/>
          </w:tcPr>
          <w:p w14:paraId="6B21216D"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710C3A4C" w14:textId="77777777" w:rsidR="00E96804" w:rsidRPr="003B00BE" w:rsidRDefault="00E96804" w:rsidP="00F12318">
            <w:pPr>
              <w:spacing w:after="0"/>
              <w:jc w:val="center"/>
              <w:rPr>
                <w:rFonts w:cs="Arial"/>
                <w:szCs w:val="20"/>
              </w:rPr>
            </w:pPr>
            <w:r w:rsidRPr="006D6661">
              <w:rPr>
                <w:rFonts w:cs="Arial"/>
                <w:color w:val="000000"/>
                <w:szCs w:val="20"/>
              </w:rPr>
              <w:t>2</w:t>
            </w:r>
          </w:p>
        </w:tc>
        <w:tc>
          <w:tcPr>
            <w:tcW w:w="676" w:type="dxa"/>
            <w:vAlign w:val="bottom"/>
          </w:tcPr>
          <w:p w14:paraId="7D255E6E"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vAlign w:val="bottom"/>
          </w:tcPr>
          <w:p w14:paraId="1DA4A6A9"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5C4595C8" w14:textId="77777777" w:rsidTr="00FE740B">
        <w:trPr>
          <w:trHeight w:val="20"/>
          <w:jc w:val="center"/>
        </w:trPr>
        <w:tc>
          <w:tcPr>
            <w:tcW w:w="462" w:type="dxa"/>
            <w:vMerge/>
            <w:textDirection w:val="btLr"/>
          </w:tcPr>
          <w:p w14:paraId="4FAA9329" w14:textId="77777777" w:rsidR="00E96804" w:rsidRPr="003B00BE" w:rsidRDefault="00E96804" w:rsidP="00F12318">
            <w:pPr>
              <w:spacing w:after="0"/>
              <w:rPr>
                <w:rFonts w:cs="Arial"/>
                <w:b/>
                <w:szCs w:val="20"/>
              </w:rPr>
            </w:pPr>
          </w:p>
        </w:tc>
        <w:tc>
          <w:tcPr>
            <w:tcW w:w="2794" w:type="dxa"/>
            <w:vAlign w:val="bottom"/>
          </w:tcPr>
          <w:p w14:paraId="5DDC6C7A" w14:textId="77777777" w:rsidR="00E96804" w:rsidRPr="006D6661" w:rsidRDefault="00E96804" w:rsidP="00F12318">
            <w:pPr>
              <w:spacing w:after="0"/>
              <w:rPr>
                <w:rFonts w:cs="Arial"/>
                <w:szCs w:val="20"/>
              </w:rPr>
            </w:pPr>
            <w:r w:rsidRPr="006D6661">
              <w:rPr>
                <w:rFonts w:cs="Arial"/>
                <w:color w:val="000000"/>
                <w:szCs w:val="20"/>
              </w:rPr>
              <w:t>Canberra</w:t>
            </w:r>
          </w:p>
        </w:tc>
        <w:tc>
          <w:tcPr>
            <w:tcW w:w="705" w:type="dxa"/>
            <w:vAlign w:val="bottom"/>
          </w:tcPr>
          <w:p w14:paraId="6C3A6354"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6" w:type="dxa"/>
            <w:vAlign w:val="bottom"/>
          </w:tcPr>
          <w:p w14:paraId="170173A5"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2DBE4A99"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78409842"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vAlign w:val="bottom"/>
          </w:tcPr>
          <w:p w14:paraId="611E2385"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7090F37B" w14:textId="77777777" w:rsidTr="00FE740B">
        <w:trPr>
          <w:trHeight w:val="20"/>
          <w:jc w:val="center"/>
        </w:trPr>
        <w:tc>
          <w:tcPr>
            <w:tcW w:w="462" w:type="dxa"/>
            <w:vMerge/>
            <w:textDirection w:val="btLr"/>
          </w:tcPr>
          <w:p w14:paraId="74900C25" w14:textId="77777777" w:rsidR="00E96804" w:rsidRPr="003B00BE" w:rsidRDefault="00E96804" w:rsidP="00F12318">
            <w:pPr>
              <w:spacing w:after="0"/>
              <w:rPr>
                <w:rFonts w:cs="Arial"/>
                <w:b/>
                <w:szCs w:val="20"/>
              </w:rPr>
            </w:pPr>
          </w:p>
        </w:tc>
        <w:tc>
          <w:tcPr>
            <w:tcW w:w="2794" w:type="dxa"/>
            <w:vAlign w:val="bottom"/>
          </w:tcPr>
          <w:p w14:paraId="552ED642" w14:textId="77777777" w:rsidR="00E96804" w:rsidRPr="006D6661" w:rsidRDefault="00E96804" w:rsidP="00F12318">
            <w:pPr>
              <w:spacing w:after="0"/>
              <w:rPr>
                <w:rFonts w:cs="Arial"/>
                <w:szCs w:val="20"/>
              </w:rPr>
            </w:pPr>
            <w:r w:rsidRPr="006D6661">
              <w:rPr>
                <w:rFonts w:cs="Arial"/>
                <w:color w:val="000000"/>
                <w:szCs w:val="20"/>
              </w:rPr>
              <w:t>Darwin</w:t>
            </w:r>
          </w:p>
        </w:tc>
        <w:tc>
          <w:tcPr>
            <w:tcW w:w="705" w:type="dxa"/>
            <w:vAlign w:val="bottom"/>
          </w:tcPr>
          <w:p w14:paraId="00DE94B2"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6" w:type="dxa"/>
            <w:vAlign w:val="bottom"/>
          </w:tcPr>
          <w:p w14:paraId="75FB27A9"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3F2D64AC"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4B7BFD9D"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vAlign w:val="bottom"/>
          </w:tcPr>
          <w:p w14:paraId="6EBD55C9"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24B0D3B8" w14:textId="77777777" w:rsidTr="00FE740B">
        <w:trPr>
          <w:trHeight w:val="20"/>
          <w:jc w:val="center"/>
        </w:trPr>
        <w:tc>
          <w:tcPr>
            <w:tcW w:w="462" w:type="dxa"/>
            <w:vMerge/>
            <w:textDirection w:val="btLr"/>
          </w:tcPr>
          <w:p w14:paraId="03D9B271" w14:textId="77777777" w:rsidR="00E96804" w:rsidRPr="003B00BE" w:rsidRDefault="00E96804" w:rsidP="00F12318">
            <w:pPr>
              <w:spacing w:after="0"/>
              <w:rPr>
                <w:rFonts w:cs="Arial"/>
                <w:b/>
                <w:szCs w:val="20"/>
              </w:rPr>
            </w:pPr>
          </w:p>
        </w:tc>
        <w:tc>
          <w:tcPr>
            <w:tcW w:w="2794" w:type="dxa"/>
            <w:vAlign w:val="bottom"/>
          </w:tcPr>
          <w:p w14:paraId="519F5D29" w14:textId="77777777" w:rsidR="00E96804" w:rsidRPr="006D6661" w:rsidRDefault="00E96804" w:rsidP="00F12318">
            <w:pPr>
              <w:spacing w:after="0"/>
              <w:rPr>
                <w:rFonts w:cs="Arial"/>
                <w:szCs w:val="20"/>
              </w:rPr>
            </w:pPr>
            <w:r w:rsidRPr="006D6661">
              <w:rPr>
                <w:rFonts w:cs="Arial"/>
                <w:color w:val="000000"/>
                <w:szCs w:val="20"/>
              </w:rPr>
              <w:t>Melbourne</w:t>
            </w:r>
          </w:p>
        </w:tc>
        <w:tc>
          <w:tcPr>
            <w:tcW w:w="705" w:type="dxa"/>
            <w:vAlign w:val="bottom"/>
          </w:tcPr>
          <w:p w14:paraId="69C5CC01"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6" w:type="dxa"/>
            <w:vAlign w:val="bottom"/>
          </w:tcPr>
          <w:p w14:paraId="64302198"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2585BF41"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1706DDD5"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vAlign w:val="bottom"/>
          </w:tcPr>
          <w:p w14:paraId="7D78F736"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49D366E2" w14:textId="77777777" w:rsidTr="00FE740B">
        <w:trPr>
          <w:trHeight w:val="20"/>
          <w:jc w:val="center"/>
        </w:trPr>
        <w:tc>
          <w:tcPr>
            <w:tcW w:w="462" w:type="dxa"/>
            <w:vMerge/>
            <w:textDirection w:val="btLr"/>
          </w:tcPr>
          <w:p w14:paraId="2EB7127C" w14:textId="77777777" w:rsidR="00E96804" w:rsidRPr="003B00BE" w:rsidRDefault="00E96804" w:rsidP="00F12318">
            <w:pPr>
              <w:spacing w:after="0"/>
              <w:rPr>
                <w:rFonts w:cs="Arial"/>
                <w:b/>
                <w:szCs w:val="20"/>
              </w:rPr>
            </w:pPr>
          </w:p>
        </w:tc>
        <w:tc>
          <w:tcPr>
            <w:tcW w:w="2794" w:type="dxa"/>
            <w:vAlign w:val="bottom"/>
          </w:tcPr>
          <w:p w14:paraId="404CF451" w14:textId="77777777" w:rsidR="00E96804" w:rsidRPr="006D6661" w:rsidRDefault="00E96804" w:rsidP="00F12318">
            <w:pPr>
              <w:spacing w:after="0"/>
              <w:rPr>
                <w:rFonts w:cs="Arial"/>
                <w:szCs w:val="20"/>
              </w:rPr>
            </w:pPr>
            <w:r w:rsidRPr="006D6661">
              <w:rPr>
                <w:rFonts w:cs="Arial"/>
                <w:color w:val="000000"/>
                <w:szCs w:val="20"/>
              </w:rPr>
              <w:t>Perth</w:t>
            </w:r>
          </w:p>
        </w:tc>
        <w:tc>
          <w:tcPr>
            <w:tcW w:w="705" w:type="dxa"/>
            <w:vAlign w:val="bottom"/>
          </w:tcPr>
          <w:p w14:paraId="63459606" w14:textId="77777777" w:rsidR="00E96804" w:rsidRPr="003B00BE" w:rsidRDefault="00E96804" w:rsidP="00F12318">
            <w:pPr>
              <w:spacing w:after="0"/>
              <w:jc w:val="center"/>
              <w:rPr>
                <w:rFonts w:cs="Arial"/>
                <w:szCs w:val="20"/>
              </w:rPr>
            </w:pPr>
            <w:r w:rsidRPr="006D6661">
              <w:rPr>
                <w:rFonts w:cs="Arial"/>
                <w:color w:val="000000"/>
                <w:szCs w:val="20"/>
              </w:rPr>
              <w:t>13</w:t>
            </w:r>
          </w:p>
        </w:tc>
        <w:tc>
          <w:tcPr>
            <w:tcW w:w="706" w:type="dxa"/>
            <w:vAlign w:val="bottom"/>
          </w:tcPr>
          <w:p w14:paraId="7F9952C5"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380953AA"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58DB8396"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vAlign w:val="bottom"/>
          </w:tcPr>
          <w:p w14:paraId="785401BB" w14:textId="77777777" w:rsidR="00E96804" w:rsidRPr="003B00BE" w:rsidRDefault="00E96804" w:rsidP="00F12318">
            <w:pPr>
              <w:spacing w:after="0"/>
              <w:jc w:val="center"/>
              <w:rPr>
                <w:rFonts w:cs="Arial"/>
                <w:szCs w:val="20"/>
              </w:rPr>
            </w:pPr>
            <w:r w:rsidRPr="006D6661">
              <w:rPr>
                <w:rFonts w:cs="Arial"/>
                <w:color w:val="000000"/>
                <w:szCs w:val="20"/>
              </w:rPr>
              <w:t>13</w:t>
            </w:r>
          </w:p>
        </w:tc>
      </w:tr>
      <w:tr w:rsidR="00E96804" w:rsidRPr="003B00BE" w14:paraId="67479E24" w14:textId="77777777" w:rsidTr="00FE740B">
        <w:trPr>
          <w:trHeight w:val="20"/>
          <w:jc w:val="center"/>
        </w:trPr>
        <w:tc>
          <w:tcPr>
            <w:tcW w:w="462" w:type="dxa"/>
            <w:vMerge/>
            <w:textDirection w:val="btLr"/>
          </w:tcPr>
          <w:p w14:paraId="4E1EC0FF" w14:textId="77777777" w:rsidR="00E96804" w:rsidRPr="003B00BE" w:rsidRDefault="00E96804" w:rsidP="00F12318">
            <w:pPr>
              <w:spacing w:after="0"/>
              <w:rPr>
                <w:rFonts w:cs="Arial"/>
                <w:b/>
                <w:szCs w:val="20"/>
              </w:rPr>
            </w:pPr>
          </w:p>
        </w:tc>
        <w:tc>
          <w:tcPr>
            <w:tcW w:w="2794" w:type="dxa"/>
            <w:vAlign w:val="bottom"/>
          </w:tcPr>
          <w:p w14:paraId="0CDEC8C3" w14:textId="77777777" w:rsidR="00E96804" w:rsidRPr="006D6661" w:rsidRDefault="00E96804" w:rsidP="00F12318">
            <w:pPr>
              <w:spacing w:after="0"/>
              <w:rPr>
                <w:rFonts w:cs="Arial"/>
                <w:szCs w:val="20"/>
              </w:rPr>
            </w:pPr>
            <w:r w:rsidRPr="006D6661">
              <w:rPr>
                <w:rFonts w:cs="Arial"/>
                <w:color w:val="000000"/>
                <w:szCs w:val="20"/>
              </w:rPr>
              <w:t>Sydney</w:t>
            </w:r>
          </w:p>
        </w:tc>
        <w:tc>
          <w:tcPr>
            <w:tcW w:w="705" w:type="dxa"/>
            <w:vAlign w:val="bottom"/>
          </w:tcPr>
          <w:p w14:paraId="59C89750" w14:textId="77777777" w:rsidR="00E96804" w:rsidRPr="003B00BE" w:rsidRDefault="00E96804" w:rsidP="00F12318">
            <w:pPr>
              <w:spacing w:after="0"/>
              <w:jc w:val="center"/>
              <w:rPr>
                <w:rFonts w:cs="Arial"/>
                <w:szCs w:val="20"/>
              </w:rPr>
            </w:pPr>
            <w:r w:rsidRPr="006D6661">
              <w:rPr>
                <w:rFonts w:cs="Arial"/>
                <w:color w:val="000000"/>
                <w:szCs w:val="20"/>
              </w:rPr>
              <w:t>5</w:t>
            </w:r>
          </w:p>
        </w:tc>
        <w:tc>
          <w:tcPr>
            <w:tcW w:w="706" w:type="dxa"/>
            <w:vAlign w:val="bottom"/>
          </w:tcPr>
          <w:p w14:paraId="7F61B3EC"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62405919"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vAlign w:val="bottom"/>
          </w:tcPr>
          <w:p w14:paraId="59A6F15E"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32" w:type="dxa"/>
            <w:vAlign w:val="bottom"/>
          </w:tcPr>
          <w:p w14:paraId="74868274" w14:textId="77777777" w:rsidR="00E96804" w:rsidRPr="003B00BE" w:rsidRDefault="00E96804" w:rsidP="00F12318">
            <w:pPr>
              <w:spacing w:after="0"/>
              <w:jc w:val="center"/>
              <w:rPr>
                <w:rFonts w:cs="Arial"/>
                <w:szCs w:val="20"/>
              </w:rPr>
            </w:pPr>
            <w:r w:rsidRPr="006D6661">
              <w:rPr>
                <w:rFonts w:cs="Arial"/>
                <w:color w:val="000000"/>
                <w:szCs w:val="20"/>
              </w:rPr>
              <w:t>4</w:t>
            </w:r>
          </w:p>
        </w:tc>
      </w:tr>
      <w:tr w:rsidR="00E96804" w:rsidRPr="003B00BE" w14:paraId="6AFF4714" w14:textId="77777777" w:rsidTr="00FE740B">
        <w:trPr>
          <w:trHeight w:val="20"/>
          <w:jc w:val="center"/>
        </w:trPr>
        <w:tc>
          <w:tcPr>
            <w:tcW w:w="462" w:type="dxa"/>
            <w:vMerge/>
            <w:textDirection w:val="btLr"/>
          </w:tcPr>
          <w:p w14:paraId="418AAA9D" w14:textId="77777777" w:rsidR="00E96804" w:rsidRPr="003B00BE" w:rsidRDefault="00E96804" w:rsidP="00F12318">
            <w:pPr>
              <w:spacing w:after="0"/>
              <w:rPr>
                <w:rFonts w:cs="Arial"/>
                <w:b/>
                <w:szCs w:val="20"/>
              </w:rPr>
            </w:pPr>
          </w:p>
        </w:tc>
        <w:tc>
          <w:tcPr>
            <w:tcW w:w="2794" w:type="dxa"/>
            <w:vAlign w:val="bottom"/>
          </w:tcPr>
          <w:p w14:paraId="7FC01336" w14:textId="77777777" w:rsidR="00E96804" w:rsidRPr="006D6661" w:rsidRDefault="00E96804" w:rsidP="00F12318">
            <w:pPr>
              <w:spacing w:after="0"/>
              <w:rPr>
                <w:rFonts w:cs="Arial"/>
                <w:szCs w:val="20"/>
              </w:rPr>
            </w:pPr>
            <w:r w:rsidRPr="006D6661">
              <w:rPr>
                <w:rFonts w:cs="Arial"/>
                <w:color w:val="000000"/>
                <w:szCs w:val="20"/>
              </w:rPr>
              <w:t>Total</w:t>
            </w:r>
          </w:p>
        </w:tc>
        <w:tc>
          <w:tcPr>
            <w:tcW w:w="705" w:type="dxa"/>
            <w:vAlign w:val="bottom"/>
          </w:tcPr>
          <w:p w14:paraId="06ADF814" w14:textId="77777777" w:rsidR="00E96804" w:rsidRPr="003B00BE" w:rsidRDefault="00E96804" w:rsidP="00F12318">
            <w:pPr>
              <w:spacing w:after="0"/>
              <w:jc w:val="center"/>
              <w:rPr>
                <w:rFonts w:cs="Arial"/>
                <w:szCs w:val="20"/>
              </w:rPr>
            </w:pPr>
            <w:r w:rsidRPr="006D6661">
              <w:rPr>
                <w:rFonts w:cs="Arial"/>
                <w:color w:val="000000"/>
                <w:szCs w:val="20"/>
              </w:rPr>
              <w:t>21</w:t>
            </w:r>
          </w:p>
        </w:tc>
        <w:tc>
          <w:tcPr>
            <w:tcW w:w="706" w:type="dxa"/>
            <w:vAlign w:val="bottom"/>
          </w:tcPr>
          <w:p w14:paraId="5B12DBAD"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05" w:type="dxa"/>
            <w:vAlign w:val="bottom"/>
          </w:tcPr>
          <w:p w14:paraId="7D824F77" w14:textId="77777777" w:rsidR="00E96804" w:rsidRPr="003B00BE" w:rsidRDefault="00E96804" w:rsidP="00F12318">
            <w:pPr>
              <w:spacing w:after="0"/>
              <w:jc w:val="center"/>
              <w:rPr>
                <w:rFonts w:cs="Arial"/>
                <w:szCs w:val="20"/>
              </w:rPr>
            </w:pPr>
            <w:r w:rsidRPr="006D6661">
              <w:rPr>
                <w:rFonts w:cs="Arial"/>
                <w:color w:val="000000"/>
                <w:szCs w:val="20"/>
              </w:rPr>
              <w:t>2</w:t>
            </w:r>
          </w:p>
        </w:tc>
        <w:tc>
          <w:tcPr>
            <w:tcW w:w="676" w:type="dxa"/>
            <w:vAlign w:val="bottom"/>
          </w:tcPr>
          <w:p w14:paraId="0B2F7D59" w14:textId="77777777" w:rsidR="00E96804" w:rsidRPr="003B00BE" w:rsidRDefault="00E96804" w:rsidP="00F12318">
            <w:pPr>
              <w:spacing w:after="0"/>
              <w:jc w:val="center"/>
              <w:rPr>
                <w:rFonts w:cs="Arial"/>
                <w:szCs w:val="20"/>
              </w:rPr>
            </w:pPr>
            <w:r w:rsidRPr="006D6661">
              <w:rPr>
                <w:rFonts w:cs="Arial"/>
                <w:color w:val="000000"/>
                <w:szCs w:val="20"/>
              </w:rPr>
              <w:t>2</w:t>
            </w:r>
          </w:p>
        </w:tc>
        <w:tc>
          <w:tcPr>
            <w:tcW w:w="732" w:type="dxa"/>
            <w:vAlign w:val="bottom"/>
          </w:tcPr>
          <w:p w14:paraId="37E86F36" w14:textId="77777777" w:rsidR="00E96804" w:rsidRPr="003B00BE" w:rsidRDefault="00E96804" w:rsidP="00F12318">
            <w:pPr>
              <w:spacing w:after="0"/>
              <w:jc w:val="center"/>
              <w:rPr>
                <w:rFonts w:cs="Arial"/>
                <w:szCs w:val="20"/>
              </w:rPr>
            </w:pPr>
            <w:r w:rsidRPr="006D6661">
              <w:rPr>
                <w:rFonts w:cs="Arial"/>
                <w:color w:val="000000"/>
                <w:szCs w:val="20"/>
              </w:rPr>
              <w:t>17</w:t>
            </w:r>
          </w:p>
        </w:tc>
      </w:tr>
      <w:tr w:rsidR="00E96804" w:rsidRPr="003B00BE" w14:paraId="61CCB515" w14:textId="77777777" w:rsidTr="006D6661">
        <w:trPr>
          <w:trHeight w:val="20"/>
          <w:jc w:val="center"/>
        </w:trPr>
        <w:tc>
          <w:tcPr>
            <w:tcW w:w="462" w:type="dxa"/>
            <w:vMerge w:val="restart"/>
            <w:shd w:val="clear" w:color="auto" w:fill="F2F2F2" w:themeFill="background1" w:themeFillShade="F2"/>
            <w:textDirection w:val="btLr"/>
          </w:tcPr>
          <w:p w14:paraId="5E56A9A6" w14:textId="77777777" w:rsidR="00E96804" w:rsidRPr="003B00BE" w:rsidRDefault="00E96804" w:rsidP="00F12318">
            <w:pPr>
              <w:spacing w:after="0"/>
              <w:jc w:val="center"/>
              <w:rPr>
                <w:rFonts w:cs="Arial"/>
                <w:b/>
                <w:szCs w:val="20"/>
              </w:rPr>
            </w:pPr>
            <w:r w:rsidRPr="003B00BE">
              <w:rPr>
                <w:rFonts w:cs="Arial"/>
                <w:b/>
                <w:szCs w:val="20"/>
              </w:rPr>
              <w:t>Area 2</w:t>
            </w:r>
          </w:p>
        </w:tc>
        <w:tc>
          <w:tcPr>
            <w:tcW w:w="2794" w:type="dxa"/>
            <w:shd w:val="clear" w:color="auto" w:fill="F2F2F2" w:themeFill="background1" w:themeFillShade="F2"/>
            <w:vAlign w:val="bottom"/>
          </w:tcPr>
          <w:p w14:paraId="3DB727FC" w14:textId="77777777" w:rsidR="00E96804" w:rsidRPr="006D6661" w:rsidRDefault="00E96804" w:rsidP="00F12318">
            <w:pPr>
              <w:spacing w:after="0"/>
              <w:rPr>
                <w:rFonts w:cs="Arial"/>
                <w:szCs w:val="20"/>
              </w:rPr>
            </w:pPr>
            <w:r w:rsidRPr="006D6661">
              <w:rPr>
                <w:rFonts w:cs="Arial"/>
                <w:color w:val="000000"/>
                <w:szCs w:val="20"/>
              </w:rPr>
              <w:t>Adelaide + Buffer</w:t>
            </w:r>
          </w:p>
        </w:tc>
        <w:tc>
          <w:tcPr>
            <w:tcW w:w="705" w:type="dxa"/>
            <w:shd w:val="clear" w:color="auto" w:fill="F2F2F2" w:themeFill="background1" w:themeFillShade="F2"/>
            <w:vAlign w:val="bottom"/>
          </w:tcPr>
          <w:p w14:paraId="3685D0DB" w14:textId="77777777" w:rsidR="00E96804" w:rsidRPr="003B00BE" w:rsidRDefault="00E96804" w:rsidP="00F12318">
            <w:pPr>
              <w:spacing w:after="0"/>
              <w:jc w:val="center"/>
              <w:rPr>
                <w:rFonts w:cs="Arial"/>
                <w:szCs w:val="20"/>
              </w:rPr>
            </w:pPr>
            <w:r w:rsidRPr="006D6661">
              <w:rPr>
                <w:rFonts w:cs="Arial"/>
                <w:color w:val="000000"/>
                <w:szCs w:val="20"/>
              </w:rPr>
              <w:t>36</w:t>
            </w:r>
          </w:p>
        </w:tc>
        <w:tc>
          <w:tcPr>
            <w:tcW w:w="706" w:type="dxa"/>
            <w:shd w:val="clear" w:color="auto" w:fill="F2F2F2" w:themeFill="background1" w:themeFillShade="F2"/>
            <w:vAlign w:val="bottom"/>
          </w:tcPr>
          <w:p w14:paraId="46AA2106" w14:textId="77777777" w:rsidR="00E96804" w:rsidRPr="003B00BE" w:rsidRDefault="00E96804" w:rsidP="00F12318">
            <w:pPr>
              <w:spacing w:after="0"/>
              <w:jc w:val="center"/>
              <w:rPr>
                <w:rFonts w:cs="Arial"/>
                <w:szCs w:val="20"/>
              </w:rPr>
            </w:pPr>
            <w:r w:rsidRPr="006D6661">
              <w:rPr>
                <w:rFonts w:cs="Arial"/>
                <w:color w:val="000000"/>
                <w:szCs w:val="20"/>
              </w:rPr>
              <w:t>35</w:t>
            </w:r>
          </w:p>
        </w:tc>
        <w:tc>
          <w:tcPr>
            <w:tcW w:w="705" w:type="dxa"/>
            <w:shd w:val="clear" w:color="auto" w:fill="F2F2F2" w:themeFill="background1" w:themeFillShade="F2"/>
            <w:vAlign w:val="bottom"/>
          </w:tcPr>
          <w:p w14:paraId="07C1B741"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shd w:val="clear" w:color="auto" w:fill="F2F2F2" w:themeFill="background1" w:themeFillShade="F2"/>
            <w:vAlign w:val="bottom"/>
          </w:tcPr>
          <w:p w14:paraId="2D9FE473"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32" w:type="dxa"/>
            <w:shd w:val="clear" w:color="auto" w:fill="F2F2F2" w:themeFill="background1" w:themeFillShade="F2"/>
            <w:vAlign w:val="bottom"/>
          </w:tcPr>
          <w:p w14:paraId="6A0BCD37"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18138A7C" w14:textId="77777777" w:rsidTr="006D6661">
        <w:trPr>
          <w:trHeight w:val="20"/>
          <w:jc w:val="center"/>
        </w:trPr>
        <w:tc>
          <w:tcPr>
            <w:tcW w:w="462" w:type="dxa"/>
            <w:vMerge/>
            <w:shd w:val="clear" w:color="auto" w:fill="F2F2F2" w:themeFill="background1" w:themeFillShade="F2"/>
            <w:textDirection w:val="btLr"/>
          </w:tcPr>
          <w:p w14:paraId="054BDB5F" w14:textId="77777777" w:rsidR="00E96804" w:rsidRPr="003B00BE" w:rsidRDefault="00E96804" w:rsidP="00F12318">
            <w:pPr>
              <w:spacing w:after="0"/>
              <w:rPr>
                <w:rFonts w:cs="Arial"/>
                <w:b/>
                <w:szCs w:val="20"/>
              </w:rPr>
            </w:pPr>
          </w:p>
        </w:tc>
        <w:tc>
          <w:tcPr>
            <w:tcW w:w="2794" w:type="dxa"/>
            <w:shd w:val="clear" w:color="auto" w:fill="F2F2F2" w:themeFill="background1" w:themeFillShade="F2"/>
            <w:vAlign w:val="bottom"/>
          </w:tcPr>
          <w:p w14:paraId="4A2B7ED6" w14:textId="77777777" w:rsidR="00E96804" w:rsidRPr="006D6661" w:rsidRDefault="00E96804" w:rsidP="00F12318">
            <w:pPr>
              <w:spacing w:after="0"/>
              <w:rPr>
                <w:rFonts w:cs="Arial"/>
                <w:szCs w:val="20"/>
              </w:rPr>
            </w:pPr>
            <w:r w:rsidRPr="006D6661">
              <w:rPr>
                <w:rFonts w:cs="Arial"/>
                <w:color w:val="000000"/>
                <w:szCs w:val="20"/>
              </w:rPr>
              <w:t>Brisbane + Buffer</w:t>
            </w:r>
          </w:p>
        </w:tc>
        <w:tc>
          <w:tcPr>
            <w:tcW w:w="705" w:type="dxa"/>
            <w:shd w:val="clear" w:color="auto" w:fill="F2F2F2" w:themeFill="background1" w:themeFillShade="F2"/>
            <w:vAlign w:val="bottom"/>
          </w:tcPr>
          <w:p w14:paraId="01ADC1D8" w14:textId="77777777" w:rsidR="00E96804" w:rsidRPr="003B00BE" w:rsidRDefault="00E96804" w:rsidP="00F12318">
            <w:pPr>
              <w:spacing w:after="0"/>
              <w:jc w:val="center"/>
              <w:rPr>
                <w:rFonts w:cs="Arial"/>
                <w:szCs w:val="20"/>
              </w:rPr>
            </w:pPr>
            <w:r w:rsidRPr="006D6661">
              <w:rPr>
                <w:rFonts w:cs="Arial"/>
                <w:color w:val="000000"/>
                <w:szCs w:val="20"/>
              </w:rPr>
              <w:t>25</w:t>
            </w:r>
          </w:p>
        </w:tc>
        <w:tc>
          <w:tcPr>
            <w:tcW w:w="706" w:type="dxa"/>
            <w:shd w:val="clear" w:color="auto" w:fill="F2F2F2" w:themeFill="background1" w:themeFillShade="F2"/>
            <w:vAlign w:val="bottom"/>
          </w:tcPr>
          <w:p w14:paraId="01F236BE" w14:textId="77777777" w:rsidR="00E96804" w:rsidRPr="003B00BE" w:rsidRDefault="00E96804" w:rsidP="00F12318">
            <w:pPr>
              <w:spacing w:after="0"/>
              <w:jc w:val="center"/>
              <w:rPr>
                <w:rFonts w:cs="Arial"/>
                <w:szCs w:val="20"/>
              </w:rPr>
            </w:pPr>
            <w:r w:rsidRPr="006D6661">
              <w:rPr>
                <w:rFonts w:cs="Arial"/>
                <w:color w:val="000000"/>
                <w:szCs w:val="20"/>
              </w:rPr>
              <w:t>22</w:t>
            </w:r>
          </w:p>
        </w:tc>
        <w:tc>
          <w:tcPr>
            <w:tcW w:w="705" w:type="dxa"/>
            <w:shd w:val="clear" w:color="auto" w:fill="F2F2F2" w:themeFill="background1" w:themeFillShade="F2"/>
            <w:vAlign w:val="bottom"/>
          </w:tcPr>
          <w:p w14:paraId="442ABE23" w14:textId="77777777" w:rsidR="00E96804" w:rsidRPr="003B00BE" w:rsidRDefault="00E96804" w:rsidP="00F12318">
            <w:pPr>
              <w:spacing w:after="0"/>
              <w:jc w:val="center"/>
              <w:rPr>
                <w:rFonts w:cs="Arial"/>
                <w:szCs w:val="20"/>
              </w:rPr>
            </w:pPr>
            <w:r w:rsidRPr="006D6661">
              <w:rPr>
                <w:rFonts w:cs="Arial"/>
                <w:color w:val="000000"/>
                <w:szCs w:val="20"/>
              </w:rPr>
              <w:t>3</w:t>
            </w:r>
          </w:p>
        </w:tc>
        <w:tc>
          <w:tcPr>
            <w:tcW w:w="676" w:type="dxa"/>
            <w:shd w:val="clear" w:color="auto" w:fill="F2F2F2" w:themeFill="background1" w:themeFillShade="F2"/>
            <w:vAlign w:val="bottom"/>
          </w:tcPr>
          <w:p w14:paraId="36CD2E83"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shd w:val="clear" w:color="auto" w:fill="F2F2F2" w:themeFill="background1" w:themeFillShade="F2"/>
            <w:vAlign w:val="bottom"/>
          </w:tcPr>
          <w:p w14:paraId="787E15B4"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3BE8A960" w14:textId="77777777" w:rsidTr="006D6661">
        <w:trPr>
          <w:trHeight w:val="20"/>
          <w:jc w:val="center"/>
        </w:trPr>
        <w:tc>
          <w:tcPr>
            <w:tcW w:w="462" w:type="dxa"/>
            <w:vMerge/>
            <w:shd w:val="clear" w:color="auto" w:fill="F2F2F2" w:themeFill="background1" w:themeFillShade="F2"/>
            <w:textDirection w:val="btLr"/>
          </w:tcPr>
          <w:p w14:paraId="40B486B2" w14:textId="77777777" w:rsidR="00E96804" w:rsidRPr="003B00BE" w:rsidRDefault="00E96804" w:rsidP="00F12318">
            <w:pPr>
              <w:spacing w:after="0"/>
              <w:rPr>
                <w:rFonts w:cs="Arial"/>
                <w:b/>
                <w:szCs w:val="20"/>
              </w:rPr>
            </w:pPr>
          </w:p>
        </w:tc>
        <w:tc>
          <w:tcPr>
            <w:tcW w:w="2794" w:type="dxa"/>
            <w:shd w:val="clear" w:color="auto" w:fill="F2F2F2" w:themeFill="background1" w:themeFillShade="F2"/>
            <w:vAlign w:val="bottom"/>
          </w:tcPr>
          <w:p w14:paraId="68A037B9" w14:textId="77777777" w:rsidR="00E96804" w:rsidRPr="006D6661" w:rsidRDefault="00E96804" w:rsidP="00F12318">
            <w:pPr>
              <w:spacing w:after="0"/>
              <w:rPr>
                <w:rFonts w:cs="Arial"/>
                <w:szCs w:val="20"/>
              </w:rPr>
            </w:pPr>
            <w:r w:rsidRPr="006D6661">
              <w:rPr>
                <w:rFonts w:cs="Arial"/>
                <w:color w:val="000000"/>
                <w:szCs w:val="20"/>
              </w:rPr>
              <w:t>Canberra + Buffer</w:t>
            </w:r>
          </w:p>
        </w:tc>
        <w:tc>
          <w:tcPr>
            <w:tcW w:w="705" w:type="dxa"/>
            <w:shd w:val="clear" w:color="auto" w:fill="F2F2F2" w:themeFill="background1" w:themeFillShade="F2"/>
            <w:vAlign w:val="bottom"/>
          </w:tcPr>
          <w:p w14:paraId="6586A4F9" w14:textId="77777777" w:rsidR="00E96804" w:rsidRPr="003B00BE" w:rsidRDefault="00E96804" w:rsidP="00F12318">
            <w:pPr>
              <w:spacing w:after="0"/>
              <w:jc w:val="center"/>
              <w:rPr>
                <w:rFonts w:cs="Arial"/>
                <w:szCs w:val="20"/>
              </w:rPr>
            </w:pPr>
            <w:r w:rsidRPr="006D6661">
              <w:rPr>
                <w:rFonts w:cs="Arial"/>
                <w:color w:val="000000"/>
                <w:szCs w:val="20"/>
              </w:rPr>
              <w:t>36</w:t>
            </w:r>
          </w:p>
        </w:tc>
        <w:tc>
          <w:tcPr>
            <w:tcW w:w="706" w:type="dxa"/>
            <w:shd w:val="clear" w:color="auto" w:fill="F2F2F2" w:themeFill="background1" w:themeFillShade="F2"/>
            <w:vAlign w:val="bottom"/>
          </w:tcPr>
          <w:p w14:paraId="7973CC74" w14:textId="77777777" w:rsidR="00E96804" w:rsidRPr="003B00BE" w:rsidRDefault="00E96804" w:rsidP="00F12318">
            <w:pPr>
              <w:spacing w:after="0"/>
              <w:jc w:val="center"/>
              <w:rPr>
                <w:rFonts w:cs="Arial"/>
                <w:szCs w:val="20"/>
              </w:rPr>
            </w:pPr>
            <w:r w:rsidRPr="006D6661">
              <w:rPr>
                <w:rFonts w:cs="Arial"/>
                <w:color w:val="000000"/>
                <w:szCs w:val="20"/>
              </w:rPr>
              <w:t>25</w:t>
            </w:r>
          </w:p>
        </w:tc>
        <w:tc>
          <w:tcPr>
            <w:tcW w:w="705" w:type="dxa"/>
            <w:shd w:val="clear" w:color="auto" w:fill="F2F2F2" w:themeFill="background1" w:themeFillShade="F2"/>
            <w:vAlign w:val="bottom"/>
          </w:tcPr>
          <w:p w14:paraId="6A7782D6" w14:textId="77777777" w:rsidR="00E96804" w:rsidRPr="003B00BE" w:rsidRDefault="00E96804" w:rsidP="00F12318">
            <w:pPr>
              <w:spacing w:after="0"/>
              <w:jc w:val="center"/>
              <w:rPr>
                <w:rFonts w:cs="Arial"/>
                <w:szCs w:val="20"/>
              </w:rPr>
            </w:pPr>
            <w:r w:rsidRPr="006D6661">
              <w:rPr>
                <w:rFonts w:cs="Arial"/>
                <w:color w:val="000000"/>
                <w:szCs w:val="20"/>
              </w:rPr>
              <w:t>6</w:t>
            </w:r>
          </w:p>
        </w:tc>
        <w:tc>
          <w:tcPr>
            <w:tcW w:w="676" w:type="dxa"/>
            <w:shd w:val="clear" w:color="auto" w:fill="F2F2F2" w:themeFill="background1" w:themeFillShade="F2"/>
            <w:vAlign w:val="bottom"/>
          </w:tcPr>
          <w:p w14:paraId="05E33FF6"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32" w:type="dxa"/>
            <w:shd w:val="clear" w:color="auto" w:fill="F2F2F2" w:themeFill="background1" w:themeFillShade="F2"/>
            <w:vAlign w:val="bottom"/>
          </w:tcPr>
          <w:p w14:paraId="7A196946" w14:textId="77777777" w:rsidR="00E96804" w:rsidRPr="003B00BE" w:rsidRDefault="00E96804" w:rsidP="00F12318">
            <w:pPr>
              <w:spacing w:after="0"/>
              <w:jc w:val="center"/>
              <w:rPr>
                <w:rFonts w:cs="Arial"/>
                <w:szCs w:val="20"/>
              </w:rPr>
            </w:pPr>
            <w:r w:rsidRPr="006D6661">
              <w:rPr>
                <w:rFonts w:cs="Arial"/>
                <w:color w:val="000000"/>
                <w:szCs w:val="20"/>
              </w:rPr>
              <w:t>4</w:t>
            </w:r>
          </w:p>
        </w:tc>
      </w:tr>
      <w:tr w:rsidR="00E96804" w:rsidRPr="003B00BE" w14:paraId="6F34D370" w14:textId="77777777" w:rsidTr="006D6661">
        <w:trPr>
          <w:trHeight w:val="20"/>
          <w:jc w:val="center"/>
        </w:trPr>
        <w:tc>
          <w:tcPr>
            <w:tcW w:w="462" w:type="dxa"/>
            <w:vMerge/>
            <w:shd w:val="clear" w:color="auto" w:fill="F2F2F2" w:themeFill="background1" w:themeFillShade="F2"/>
            <w:textDirection w:val="btLr"/>
          </w:tcPr>
          <w:p w14:paraId="67B6A6F5" w14:textId="77777777" w:rsidR="00E96804" w:rsidRPr="003B00BE" w:rsidRDefault="00E96804" w:rsidP="00F12318">
            <w:pPr>
              <w:spacing w:after="0"/>
              <w:rPr>
                <w:rFonts w:cs="Arial"/>
                <w:b/>
                <w:szCs w:val="20"/>
              </w:rPr>
            </w:pPr>
          </w:p>
        </w:tc>
        <w:tc>
          <w:tcPr>
            <w:tcW w:w="2794" w:type="dxa"/>
            <w:shd w:val="clear" w:color="auto" w:fill="F2F2F2" w:themeFill="background1" w:themeFillShade="F2"/>
            <w:vAlign w:val="bottom"/>
          </w:tcPr>
          <w:p w14:paraId="652FF219" w14:textId="77777777" w:rsidR="00E96804" w:rsidRPr="006D6661" w:rsidRDefault="00E96804" w:rsidP="00F12318">
            <w:pPr>
              <w:spacing w:after="0"/>
              <w:rPr>
                <w:rFonts w:cs="Arial"/>
                <w:szCs w:val="20"/>
              </w:rPr>
            </w:pPr>
            <w:r w:rsidRPr="006D6661">
              <w:rPr>
                <w:rFonts w:cs="Arial"/>
                <w:color w:val="000000"/>
                <w:szCs w:val="20"/>
              </w:rPr>
              <w:t>Melbourne + Buffer</w:t>
            </w:r>
          </w:p>
        </w:tc>
        <w:tc>
          <w:tcPr>
            <w:tcW w:w="705" w:type="dxa"/>
            <w:shd w:val="clear" w:color="auto" w:fill="F2F2F2" w:themeFill="background1" w:themeFillShade="F2"/>
            <w:vAlign w:val="bottom"/>
          </w:tcPr>
          <w:p w14:paraId="7B6794E7" w14:textId="77777777" w:rsidR="00E96804" w:rsidRPr="003B00BE" w:rsidRDefault="00E96804" w:rsidP="00F12318">
            <w:pPr>
              <w:spacing w:after="0"/>
              <w:jc w:val="center"/>
              <w:rPr>
                <w:rFonts w:cs="Arial"/>
                <w:szCs w:val="20"/>
              </w:rPr>
            </w:pPr>
            <w:r w:rsidRPr="006D6661">
              <w:rPr>
                <w:rFonts w:cs="Arial"/>
                <w:color w:val="000000"/>
                <w:szCs w:val="20"/>
              </w:rPr>
              <w:t>47</w:t>
            </w:r>
          </w:p>
        </w:tc>
        <w:tc>
          <w:tcPr>
            <w:tcW w:w="706" w:type="dxa"/>
            <w:shd w:val="clear" w:color="auto" w:fill="F2F2F2" w:themeFill="background1" w:themeFillShade="F2"/>
            <w:vAlign w:val="bottom"/>
          </w:tcPr>
          <w:p w14:paraId="4FC84A5E" w14:textId="77777777" w:rsidR="00E96804" w:rsidRPr="003B00BE" w:rsidRDefault="00E96804" w:rsidP="00F12318">
            <w:pPr>
              <w:spacing w:after="0"/>
              <w:jc w:val="center"/>
              <w:rPr>
                <w:rFonts w:cs="Arial"/>
                <w:szCs w:val="20"/>
              </w:rPr>
            </w:pPr>
            <w:r w:rsidRPr="006D6661">
              <w:rPr>
                <w:rFonts w:cs="Arial"/>
                <w:color w:val="000000"/>
                <w:szCs w:val="20"/>
              </w:rPr>
              <w:t>44</w:t>
            </w:r>
          </w:p>
        </w:tc>
        <w:tc>
          <w:tcPr>
            <w:tcW w:w="705" w:type="dxa"/>
            <w:shd w:val="clear" w:color="auto" w:fill="F2F2F2" w:themeFill="background1" w:themeFillShade="F2"/>
            <w:vAlign w:val="bottom"/>
          </w:tcPr>
          <w:p w14:paraId="51D9DA14" w14:textId="77777777" w:rsidR="00E96804" w:rsidRPr="003B00BE" w:rsidRDefault="00E96804" w:rsidP="00F12318">
            <w:pPr>
              <w:spacing w:after="0"/>
              <w:jc w:val="center"/>
              <w:rPr>
                <w:rFonts w:cs="Arial"/>
                <w:szCs w:val="20"/>
              </w:rPr>
            </w:pPr>
            <w:r w:rsidRPr="006D6661">
              <w:rPr>
                <w:rFonts w:cs="Arial"/>
                <w:color w:val="000000"/>
                <w:szCs w:val="20"/>
              </w:rPr>
              <w:t>3</w:t>
            </w:r>
          </w:p>
        </w:tc>
        <w:tc>
          <w:tcPr>
            <w:tcW w:w="676" w:type="dxa"/>
            <w:shd w:val="clear" w:color="auto" w:fill="F2F2F2" w:themeFill="background1" w:themeFillShade="F2"/>
            <w:vAlign w:val="bottom"/>
          </w:tcPr>
          <w:p w14:paraId="2D901A9E"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shd w:val="clear" w:color="auto" w:fill="F2F2F2" w:themeFill="background1" w:themeFillShade="F2"/>
            <w:vAlign w:val="bottom"/>
          </w:tcPr>
          <w:p w14:paraId="0C59E1B7" w14:textId="77777777" w:rsidR="00E96804" w:rsidRPr="003B00BE" w:rsidRDefault="00E96804" w:rsidP="00F12318">
            <w:pPr>
              <w:spacing w:after="0"/>
              <w:jc w:val="center"/>
              <w:rPr>
                <w:rFonts w:cs="Arial"/>
                <w:szCs w:val="20"/>
              </w:rPr>
            </w:pPr>
            <w:r w:rsidRPr="006D6661">
              <w:rPr>
                <w:rFonts w:cs="Arial"/>
                <w:color w:val="000000"/>
                <w:szCs w:val="20"/>
              </w:rPr>
              <w:t>0</w:t>
            </w:r>
          </w:p>
        </w:tc>
      </w:tr>
      <w:tr w:rsidR="00E96804" w:rsidRPr="003B00BE" w14:paraId="59E4327C" w14:textId="77777777" w:rsidTr="006D6661">
        <w:trPr>
          <w:trHeight w:val="20"/>
          <w:jc w:val="center"/>
        </w:trPr>
        <w:tc>
          <w:tcPr>
            <w:tcW w:w="462" w:type="dxa"/>
            <w:vMerge/>
            <w:shd w:val="clear" w:color="auto" w:fill="F2F2F2" w:themeFill="background1" w:themeFillShade="F2"/>
            <w:textDirection w:val="btLr"/>
          </w:tcPr>
          <w:p w14:paraId="58A06519" w14:textId="77777777" w:rsidR="00E96804" w:rsidRPr="003B00BE" w:rsidRDefault="00E96804" w:rsidP="00F12318">
            <w:pPr>
              <w:spacing w:after="0"/>
              <w:rPr>
                <w:rFonts w:cs="Arial"/>
                <w:b/>
                <w:szCs w:val="20"/>
              </w:rPr>
            </w:pPr>
          </w:p>
        </w:tc>
        <w:tc>
          <w:tcPr>
            <w:tcW w:w="2794" w:type="dxa"/>
            <w:shd w:val="clear" w:color="auto" w:fill="F2F2F2" w:themeFill="background1" w:themeFillShade="F2"/>
            <w:vAlign w:val="bottom"/>
          </w:tcPr>
          <w:p w14:paraId="1C536233" w14:textId="77777777" w:rsidR="00E96804" w:rsidRPr="006D6661" w:rsidRDefault="00E96804" w:rsidP="00F12318">
            <w:pPr>
              <w:spacing w:after="0"/>
              <w:rPr>
                <w:rFonts w:cs="Arial"/>
                <w:szCs w:val="20"/>
              </w:rPr>
            </w:pPr>
            <w:r w:rsidRPr="006D6661">
              <w:rPr>
                <w:rFonts w:cs="Arial"/>
                <w:color w:val="000000"/>
                <w:szCs w:val="20"/>
              </w:rPr>
              <w:t>Perth + Buffer</w:t>
            </w:r>
          </w:p>
        </w:tc>
        <w:tc>
          <w:tcPr>
            <w:tcW w:w="705" w:type="dxa"/>
            <w:shd w:val="clear" w:color="auto" w:fill="F2F2F2" w:themeFill="background1" w:themeFillShade="F2"/>
            <w:vAlign w:val="bottom"/>
          </w:tcPr>
          <w:p w14:paraId="45EB0A81" w14:textId="77777777" w:rsidR="00E96804" w:rsidRPr="003B00BE" w:rsidRDefault="00E96804" w:rsidP="00F12318">
            <w:pPr>
              <w:spacing w:after="0"/>
              <w:jc w:val="center"/>
              <w:rPr>
                <w:rFonts w:cs="Arial"/>
                <w:szCs w:val="20"/>
              </w:rPr>
            </w:pPr>
            <w:r w:rsidRPr="006D6661">
              <w:rPr>
                <w:rFonts w:cs="Arial"/>
                <w:color w:val="000000"/>
                <w:szCs w:val="20"/>
              </w:rPr>
              <w:t>14</w:t>
            </w:r>
          </w:p>
        </w:tc>
        <w:tc>
          <w:tcPr>
            <w:tcW w:w="706" w:type="dxa"/>
            <w:shd w:val="clear" w:color="auto" w:fill="F2F2F2" w:themeFill="background1" w:themeFillShade="F2"/>
            <w:vAlign w:val="bottom"/>
          </w:tcPr>
          <w:p w14:paraId="64FED7BE" w14:textId="77777777" w:rsidR="00E96804" w:rsidRPr="003B00BE" w:rsidRDefault="00E96804" w:rsidP="00F12318">
            <w:pPr>
              <w:spacing w:after="0"/>
              <w:jc w:val="center"/>
              <w:rPr>
                <w:rFonts w:cs="Arial"/>
                <w:szCs w:val="20"/>
              </w:rPr>
            </w:pPr>
            <w:r w:rsidRPr="006D6661">
              <w:rPr>
                <w:rFonts w:cs="Arial"/>
                <w:color w:val="000000"/>
                <w:szCs w:val="20"/>
              </w:rPr>
              <w:t>1</w:t>
            </w:r>
          </w:p>
        </w:tc>
        <w:tc>
          <w:tcPr>
            <w:tcW w:w="705" w:type="dxa"/>
            <w:shd w:val="clear" w:color="auto" w:fill="F2F2F2" w:themeFill="background1" w:themeFillShade="F2"/>
            <w:vAlign w:val="bottom"/>
          </w:tcPr>
          <w:p w14:paraId="1FA78EE8"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676" w:type="dxa"/>
            <w:shd w:val="clear" w:color="auto" w:fill="F2F2F2" w:themeFill="background1" w:themeFillShade="F2"/>
            <w:vAlign w:val="bottom"/>
          </w:tcPr>
          <w:p w14:paraId="7A222FEC" w14:textId="77777777" w:rsidR="00E96804" w:rsidRPr="003B00BE" w:rsidRDefault="00E96804" w:rsidP="00F12318">
            <w:pPr>
              <w:spacing w:after="0"/>
              <w:jc w:val="center"/>
              <w:rPr>
                <w:rFonts w:cs="Arial"/>
                <w:szCs w:val="20"/>
              </w:rPr>
            </w:pPr>
            <w:r w:rsidRPr="006D6661">
              <w:rPr>
                <w:rFonts w:cs="Arial"/>
                <w:color w:val="000000"/>
                <w:szCs w:val="20"/>
              </w:rPr>
              <w:t>0</w:t>
            </w:r>
          </w:p>
        </w:tc>
        <w:tc>
          <w:tcPr>
            <w:tcW w:w="732" w:type="dxa"/>
            <w:shd w:val="clear" w:color="auto" w:fill="F2F2F2" w:themeFill="background1" w:themeFillShade="F2"/>
            <w:vAlign w:val="bottom"/>
          </w:tcPr>
          <w:p w14:paraId="0C95622E" w14:textId="77777777" w:rsidR="00E96804" w:rsidRPr="003B00BE" w:rsidRDefault="00E96804" w:rsidP="00F12318">
            <w:pPr>
              <w:spacing w:after="0"/>
              <w:jc w:val="center"/>
              <w:rPr>
                <w:rFonts w:cs="Arial"/>
                <w:szCs w:val="20"/>
              </w:rPr>
            </w:pPr>
            <w:r w:rsidRPr="006D6661">
              <w:rPr>
                <w:rFonts w:cs="Arial"/>
                <w:color w:val="000000"/>
                <w:szCs w:val="20"/>
              </w:rPr>
              <w:t>13</w:t>
            </w:r>
          </w:p>
        </w:tc>
      </w:tr>
      <w:tr w:rsidR="00E96804" w:rsidRPr="003B00BE" w14:paraId="250A6BCE" w14:textId="77777777" w:rsidTr="006D6661">
        <w:trPr>
          <w:trHeight w:val="20"/>
          <w:jc w:val="center"/>
        </w:trPr>
        <w:tc>
          <w:tcPr>
            <w:tcW w:w="462" w:type="dxa"/>
            <w:vMerge/>
            <w:shd w:val="clear" w:color="auto" w:fill="F2F2F2" w:themeFill="background1" w:themeFillShade="F2"/>
            <w:textDirection w:val="btLr"/>
          </w:tcPr>
          <w:p w14:paraId="2271AC98" w14:textId="77777777" w:rsidR="00E96804" w:rsidRPr="003B00BE" w:rsidRDefault="00E96804" w:rsidP="00F12318">
            <w:pPr>
              <w:spacing w:after="0"/>
              <w:rPr>
                <w:rFonts w:cs="Arial"/>
                <w:b/>
                <w:szCs w:val="20"/>
              </w:rPr>
            </w:pPr>
          </w:p>
        </w:tc>
        <w:tc>
          <w:tcPr>
            <w:tcW w:w="2794" w:type="dxa"/>
            <w:shd w:val="clear" w:color="auto" w:fill="F2F2F2" w:themeFill="background1" w:themeFillShade="F2"/>
            <w:vAlign w:val="bottom"/>
          </w:tcPr>
          <w:p w14:paraId="7DF70C1F" w14:textId="77777777" w:rsidR="00E96804" w:rsidRPr="006D6661" w:rsidRDefault="00E96804" w:rsidP="00F12318">
            <w:pPr>
              <w:spacing w:after="0"/>
              <w:rPr>
                <w:rFonts w:cs="Arial"/>
                <w:szCs w:val="20"/>
              </w:rPr>
            </w:pPr>
            <w:r w:rsidRPr="006D6661">
              <w:rPr>
                <w:rFonts w:cs="Arial"/>
                <w:color w:val="000000"/>
                <w:szCs w:val="20"/>
              </w:rPr>
              <w:t>Total</w:t>
            </w:r>
          </w:p>
        </w:tc>
        <w:tc>
          <w:tcPr>
            <w:tcW w:w="705" w:type="dxa"/>
            <w:shd w:val="clear" w:color="auto" w:fill="F2F2F2" w:themeFill="background1" w:themeFillShade="F2"/>
            <w:vAlign w:val="bottom"/>
          </w:tcPr>
          <w:p w14:paraId="0998F75A" w14:textId="77777777" w:rsidR="00E96804" w:rsidRPr="003B00BE" w:rsidRDefault="00E96804" w:rsidP="00F12318">
            <w:pPr>
              <w:spacing w:after="0"/>
              <w:jc w:val="center"/>
              <w:rPr>
                <w:rFonts w:cs="Arial"/>
                <w:szCs w:val="20"/>
              </w:rPr>
            </w:pPr>
            <w:r w:rsidRPr="006D6661">
              <w:rPr>
                <w:rFonts w:cs="Arial"/>
                <w:color w:val="000000"/>
                <w:szCs w:val="20"/>
              </w:rPr>
              <w:t>160</w:t>
            </w:r>
          </w:p>
        </w:tc>
        <w:tc>
          <w:tcPr>
            <w:tcW w:w="706" w:type="dxa"/>
            <w:shd w:val="clear" w:color="auto" w:fill="F2F2F2" w:themeFill="background1" w:themeFillShade="F2"/>
            <w:vAlign w:val="bottom"/>
          </w:tcPr>
          <w:p w14:paraId="4C55F55C" w14:textId="77777777" w:rsidR="00E96804" w:rsidRPr="003B00BE" w:rsidRDefault="00E96804" w:rsidP="00F12318">
            <w:pPr>
              <w:spacing w:after="0"/>
              <w:jc w:val="center"/>
              <w:rPr>
                <w:rFonts w:cs="Arial"/>
                <w:szCs w:val="20"/>
              </w:rPr>
            </w:pPr>
            <w:r w:rsidRPr="006D6661">
              <w:rPr>
                <w:rFonts w:cs="Arial"/>
                <w:color w:val="000000"/>
                <w:szCs w:val="20"/>
              </w:rPr>
              <w:t>127</w:t>
            </w:r>
          </w:p>
        </w:tc>
        <w:tc>
          <w:tcPr>
            <w:tcW w:w="705" w:type="dxa"/>
            <w:shd w:val="clear" w:color="auto" w:fill="F2F2F2" w:themeFill="background1" w:themeFillShade="F2"/>
            <w:vAlign w:val="bottom"/>
          </w:tcPr>
          <w:p w14:paraId="18B2B712" w14:textId="77777777" w:rsidR="00E96804" w:rsidRPr="003B00BE" w:rsidRDefault="00E96804" w:rsidP="00F12318">
            <w:pPr>
              <w:spacing w:after="0"/>
              <w:jc w:val="center"/>
              <w:rPr>
                <w:rFonts w:cs="Arial"/>
                <w:szCs w:val="20"/>
              </w:rPr>
            </w:pPr>
            <w:r w:rsidRPr="006D6661">
              <w:rPr>
                <w:rFonts w:cs="Arial"/>
                <w:color w:val="000000"/>
                <w:szCs w:val="20"/>
              </w:rPr>
              <w:t>14</w:t>
            </w:r>
          </w:p>
        </w:tc>
        <w:tc>
          <w:tcPr>
            <w:tcW w:w="676" w:type="dxa"/>
            <w:shd w:val="clear" w:color="auto" w:fill="F2F2F2" w:themeFill="background1" w:themeFillShade="F2"/>
            <w:vAlign w:val="bottom"/>
          </w:tcPr>
          <w:p w14:paraId="1B25EF8E" w14:textId="77777777" w:rsidR="00E96804" w:rsidRPr="003B00BE" w:rsidRDefault="00E96804" w:rsidP="00F12318">
            <w:pPr>
              <w:spacing w:after="0"/>
              <w:jc w:val="center"/>
              <w:rPr>
                <w:rFonts w:cs="Arial"/>
                <w:szCs w:val="20"/>
              </w:rPr>
            </w:pPr>
            <w:r w:rsidRPr="006D6661">
              <w:rPr>
                <w:rFonts w:cs="Arial"/>
                <w:color w:val="000000"/>
                <w:szCs w:val="20"/>
              </w:rPr>
              <w:t>2</w:t>
            </w:r>
          </w:p>
        </w:tc>
        <w:tc>
          <w:tcPr>
            <w:tcW w:w="732" w:type="dxa"/>
            <w:shd w:val="clear" w:color="auto" w:fill="F2F2F2" w:themeFill="background1" w:themeFillShade="F2"/>
            <w:vAlign w:val="bottom"/>
          </w:tcPr>
          <w:p w14:paraId="1963CF0A" w14:textId="77777777" w:rsidR="00E96804" w:rsidRPr="003B00BE" w:rsidRDefault="00E96804" w:rsidP="00F12318">
            <w:pPr>
              <w:spacing w:after="0"/>
              <w:jc w:val="center"/>
              <w:rPr>
                <w:rFonts w:cs="Arial"/>
                <w:szCs w:val="20"/>
              </w:rPr>
            </w:pPr>
            <w:r w:rsidRPr="006D6661">
              <w:rPr>
                <w:rFonts w:cs="Arial"/>
                <w:color w:val="000000"/>
                <w:szCs w:val="20"/>
              </w:rPr>
              <w:t>17</w:t>
            </w:r>
          </w:p>
        </w:tc>
      </w:tr>
      <w:tr w:rsidR="00E96804" w:rsidRPr="003B00BE" w14:paraId="7B99A872" w14:textId="77777777" w:rsidTr="00FE740B">
        <w:trPr>
          <w:trHeight w:val="398"/>
          <w:jc w:val="center"/>
        </w:trPr>
        <w:tc>
          <w:tcPr>
            <w:tcW w:w="462" w:type="dxa"/>
            <w:vMerge w:val="restart"/>
            <w:textDirection w:val="btLr"/>
          </w:tcPr>
          <w:p w14:paraId="1BD68804" w14:textId="77777777" w:rsidR="00E96804" w:rsidRPr="003B00BE" w:rsidRDefault="00E96804" w:rsidP="00F12318">
            <w:pPr>
              <w:spacing w:after="0"/>
              <w:jc w:val="center"/>
              <w:rPr>
                <w:rFonts w:cs="Arial"/>
                <w:b/>
                <w:szCs w:val="20"/>
              </w:rPr>
            </w:pPr>
            <w:r w:rsidRPr="003B00BE">
              <w:rPr>
                <w:rFonts w:cs="Arial"/>
                <w:b/>
                <w:szCs w:val="20"/>
              </w:rPr>
              <w:t>Area 3</w:t>
            </w:r>
          </w:p>
        </w:tc>
        <w:tc>
          <w:tcPr>
            <w:tcW w:w="2794" w:type="dxa"/>
            <w:vAlign w:val="center"/>
          </w:tcPr>
          <w:p w14:paraId="102CD48D" w14:textId="77777777" w:rsidR="00E96804" w:rsidRPr="006D6661" w:rsidRDefault="00E96804" w:rsidP="00F12318">
            <w:pPr>
              <w:spacing w:after="0"/>
              <w:rPr>
                <w:rFonts w:cs="Arial"/>
                <w:color w:val="000000"/>
                <w:szCs w:val="20"/>
              </w:rPr>
            </w:pPr>
            <w:r w:rsidRPr="006D6661">
              <w:rPr>
                <w:rFonts w:cs="Arial"/>
                <w:color w:val="000000"/>
                <w:szCs w:val="20"/>
              </w:rPr>
              <w:t>Regional (minus Area 2)</w:t>
            </w:r>
          </w:p>
        </w:tc>
        <w:tc>
          <w:tcPr>
            <w:tcW w:w="705" w:type="dxa"/>
            <w:vAlign w:val="center"/>
          </w:tcPr>
          <w:p w14:paraId="22E2E98F" w14:textId="77777777" w:rsidR="00E96804" w:rsidRPr="006D6661" w:rsidRDefault="00E96804" w:rsidP="00F12318">
            <w:pPr>
              <w:spacing w:after="0"/>
              <w:jc w:val="center"/>
              <w:rPr>
                <w:rFonts w:cs="Arial"/>
                <w:color w:val="000000"/>
                <w:szCs w:val="20"/>
              </w:rPr>
            </w:pPr>
            <w:r w:rsidRPr="006D6661">
              <w:rPr>
                <w:rFonts w:cs="Arial"/>
                <w:color w:val="000000"/>
                <w:szCs w:val="20"/>
              </w:rPr>
              <w:t>213</w:t>
            </w:r>
          </w:p>
        </w:tc>
        <w:tc>
          <w:tcPr>
            <w:tcW w:w="706" w:type="dxa"/>
            <w:vAlign w:val="center"/>
          </w:tcPr>
          <w:p w14:paraId="7626DF99" w14:textId="77777777" w:rsidR="00E96804" w:rsidRPr="006D6661" w:rsidRDefault="00E96804" w:rsidP="00F12318">
            <w:pPr>
              <w:spacing w:after="0"/>
              <w:jc w:val="center"/>
              <w:rPr>
                <w:rFonts w:cs="Arial"/>
                <w:color w:val="000000"/>
                <w:szCs w:val="20"/>
              </w:rPr>
            </w:pPr>
            <w:r w:rsidRPr="006D6661">
              <w:rPr>
                <w:rFonts w:cs="Arial"/>
                <w:color w:val="000000"/>
                <w:szCs w:val="20"/>
              </w:rPr>
              <w:t>178</w:t>
            </w:r>
          </w:p>
        </w:tc>
        <w:tc>
          <w:tcPr>
            <w:tcW w:w="705" w:type="dxa"/>
            <w:vAlign w:val="center"/>
          </w:tcPr>
          <w:p w14:paraId="4C5CE9D1" w14:textId="77777777" w:rsidR="00E96804" w:rsidRPr="006D6661" w:rsidRDefault="00E96804" w:rsidP="00F12318">
            <w:pPr>
              <w:spacing w:after="0"/>
              <w:jc w:val="center"/>
              <w:rPr>
                <w:rFonts w:cs="Arial"/>
                <w:color w:val="000000"/>
                <w:szCs w:val="20"/>
              </w:rPr>
            </w:pPr>
            <w:r w:rsidRPr="006D6661">
              <w:rPr>
                <w:rFonts w:cs="Arial"/>
                <w:color w:val="000000"/>
                <w:szCs w:val="20"/>
              </w:rPr>
              <w:t>33</w:t>
            </w:r>
          </w:p>
        </w:tc>
        <w:tc>
          <w:tcPr>
            <w:tcW w:w="676" w:type="dxa"/>
            <w:vAlign w:val="center"/>
          </w:tcPr>
          <w:p w14:paraId="2382CCDF" w14:textId="77777777" w:rsidR="00E96804" w:rsidRPr="006D6661" w:rsidRDefault="00E96804" w:rsidP="00F12318">
            <w:pPr>
              <w:spacing w:after="0"/>
              <w:jc w:val="center"/>
              <w:rPr>
                <w:rFonts w:cs="Arial"/>
                <w:color w:val="000000"/>
                <w:szCs w:val="20"/>
              </w:rPr>
            </w:pPr>
            <w:r w:rsidRPr="006D6661">
              <w:rPr>
                <w:rFonts w:cs="Arial"/>
                <w:color w:val="000000"/>
                <w:szCs w:val="20"/>
              </w:rPr>
              <w:t>0</w:t>
            </w:r>
          </w:p>
        </w:tc>
        <w:tc>
          <w:tcPr>
            <w:tcW w:w="732" w:type="dxa"/>
            <w:vAlign w:val="center"/>
          </w:tcPr>
          <w:p w14:paraId="6BFA4799" w14:textId="77777777" w:rsidR="00E96804" w:rsidRPr="006D6661" w:rsidRDefault="00E96804" w:rsidP="00F12318">
            <w:pPr>
              <w:spacing w:after="0"/>
              <w:jc w:val="center"/>
              <w:rPr>
                <w:rFonts w:cs="Arial"/>
                <w:color w:val="000000"/>
                <w:szCs w:val="20"/>
              </w:rPr>
            </w:pPr>
            <w:r w:rsidRPr="006D6661">
              <w:rPr>
                <w:rFonts w:cs="Arial"/>
                <w:color w:val="000000"/>
                <w:szCs w:val="20"/>
              </w:rPr>
              <w:t>2</w:t>
            </w:r>
          </w:p>
        </w:tc>
      </w:tr>
      <w:tr w:rsidR="00E96804" w:rsidRPr="003B00BE" w14:paraId="798B4FFB" w14:textId="77777777" w:rsidTr="00FE740B">
        <w:trPr>
          <w:cantSplit/>
          <w:trHeight w:val="419"/>
          <w:jc w:val="center"/>
        </w:trPr>
        <w:tc>
          <w:tcPr>
            <w:tcW w:w="462" w:type="dxa"/>
            <w:vMerge/>
            <w:textDirection w:val="btLr"/>
          </w:tcPr>
          <w:p w14:paraId="50E024F5" w14:textId="77777777" w:rsidR="00E96804" w:rsidRPr="003B00BE" w:rsidRDefault="00E96804" w:rsidP="00F12318">
            <w:pPr>
              <w:spacing w:after="0"/>
              <w:jc w:val="center"/>
              <w:rPr>
                <w:rFonts w:cs="Arial"/>
                <w:b/>
                <w:szCs w:val="20"/>
              </w:rPr>
            </w:pPr>
          </w:p>
        </w:tc>
        <w:tc>
          <w:tcPr>
            <w:tcW w:w="2794" w:type="dxa"/>
            <w:vAlign w:val="center"/>
          </w:tcPr>
          <w:p w14:paraId="41F6BB79" w14:textId="77777777" w:rsidR="00E96804" w:rsidRPr="006D6661" w:rsidRDefault="00E96804" w:rsidP="00F12318">
            <w:pPr>
              <w:spacing w:after="0"/>
              <w:rPr>
                <w:rFonts w:cs="Arial"/>
                <w:szCs w:val="20"/>
              </w:rPr>
            </w:pPr>
            <w:r w:rsidRPr="006D6661">
              <w:rPr>
                <w:rFonts w:cs="Arial"/>
                <w:color w:val="000000"/>
                <w:szCs w:val="20"/>
              </w:rPr>
              <w:t>Regional (including Area 2)</w:t>
            </w:r>
          </w:p>
        </w:tc>
        <w:tc>
          <w:tcPr>
            <w:tcW w:w="705" w:type="dxa"/>
            <w:vAlign w:val="center"/>
          </w:tcPr>
          <w:p w14:paraId="3182DD16" w14:textId="77777777" w:rsidR="00E96804" w:rsidRPr="006D6661" w:rsidRDefault="00E96804" w:rsidP="00F12318">
            <w:pPr>
              <w:spacing w:after="0"/>
              <w:jc w:val="center"/>
              <w:rPr>
                <w:rFonts w:cs="Arial"/>
                <w:color w:val="000000"/>
                <w:szCs w:val="20"/>
              </w:rPr>
            </w:pPr>
            <w:r w:rsidRPr="006D6661">
              <w:rPr>
                <w:rFonts w:cs="Arial"/>
                <w:color w:val="000000"/>
                <w:szCs w:val="20"/>
              </w:rPr>
              <w:t>373</w:t>
            </w:r>
          </w:p>
        </w:tc>
        <w:tc>
          <w:tcPr>
            <w:tcW w:w="706" w:type="dxa"/>
            <w:vAlign w:val="center"/>
          </w:tcPr>
          <w:p w14:paraId="04685D74" w14:textId="77777777" w:rsidR="00E96804" w:rsidRPr="006D6661" w:rsidRDefault="00E96804" w:rsidP="00F12318">
            <w:pPr>
              <w:spacing w:after="0"/>
              <w:jc w:val="center"/>
              <w:rPr>
                <w:rFonts w:cs="Arial"/>
                <w:color w:val="000000"/>
                <w:szCs w:val="20"/>
              </w:rPr>
            </w:pPr>
            <w:r w:rsidRPr="006D6661">
              <w:rPr>
                <w:rFonts w:cs="Arial"/>
                <w:color w:val="000000"/>
                <w:szCs w:val="20"/>
              </w:rPr>
              <w:t>305</w:t>
            </w:r>
          </w:p>
        </w:tc>
        <w:tc>
          <w:tcPr>
            <w:tcW w:w="705" w:type="dxa"/>
            <w:vAlign w:val="center"/>
          </w:tcPr>
          <w:p w14:paraId="32D5D10E" w14:textId="77777777" w:rsidR="00E96804" w:rsidRPr="006D6661" w:rsidRDefault="00E96804" w:rsidP="00F12318">
            <w:pPr>
              <w:spacing w:after="0"/>
              <w:jc w:val="center"/>
              <w:rPr>
                <w:rFonts w:cs="Arial"/>
                <w:color w:val="000000"/>
                <w:szCs w:val="20"/>
              </w:rPr>
            </w:pPr>
            <w:r w:rsidRPr="006D6661">
              <w:rPr>
                <w:rFonts w:cs="Arial"/>
                <w:color w:val="000000"/>
                <w:szCs w:val="20"/>
              </w:rPr>
              <w:t>47</w:t>
            </w:r>
          </w:p>
        </w:tc>
        <w:tc>
          <w:tcPr>
            <w:tcW w:w="676" w:type="dxa"/>
            <w:vAlign w:val="center"/>
          </w:tcPr>
          <w:p w14:paraId="4FC1DC7A" w14:textId="77777777" w:rsidR="00E96804" w:rsidRPr="006D6661" w:rsidRDefault="00E96804" w:rsidP="00F12318">
            <w:pPr>
              <w:spacing w:after="0"/>
              <w:jc w:val="center"/>
              <w:rPr>
                <w:rFonts w:cs="Arial"/>
                <w:color w:val="000000"/>
                <w:szCs w:val="20"/>
              </w:rPr>
            </w:pPr>
            <w:r w:rsidRPr="006D6661">
              <w:rPr>
                <w:rFonts w:cs="Arial"/>
                <w:color w:val="000000"/>
                <w:szCs w:val="20"/>
              </w:rPr>
              <w:t>2</w:t>
            </w:r>
          </w:p>
        </w:tc>
        <w:tc>
          <w:tcPr>
            <w:tcW w:w="732" w:type="dxa"/>
            <w:vAlign w:val="center"/>
          </w:tcPr>
          <w:p w14:paraId="5B341EB8" w14:textId="77777777" w:rsidR="00E96804" w:rsidRPr="006D6661" w:rsidRDefault="00E96804" w:rsidP="00F12318">
            <w:pPr>
              <w:spacing w:after="0"/>
              <w:jc w:val="center"/>
              <w:rPr>
                <w:rFonts w:cs="Arial"/>
                <w:color w:val="000000"/>
                <w:szCs w:val="20"/>
              </w:rPr>
            </w:pPr>
            <w:r w:rsidRPr="006D6661">
              <w:rPr>
                <w:rFonts w:cs="Arial"/>
                <w:color w:val="000000"/>
                <w:szCs w:val="20"/>
              </w:rPr>
              <w:t>19</w:t>
            </w:r>
          </w:p>
        </w:tc>
      </w:tr>
      <w:tr w:rsidR="00E96804" w:rsidRPr="003B00BE" w14:paraId="22A2E946" w14:textId="77777777" w:rsidTr="006D6661">
        <w:trPr>
          <w:cantSplit/>
          <w:trHeight w:val="411"/>
          <w:jc w:val="center"/>
        </w:trPr>
        <w:tc>
          <w:tcPr>
            <w:tcW w:w="462" w:type="dxa"/>
            <w:vMerge w:val="restart"/>
            <w:shd w:val="clear" w:color="auto" w:fill="F2F2F2" w:themeFill="background1" w:themeFillShade="F2"/>
            <w:textDirection w:val="btLr"/>
          </w:tcPr>
          <w:p w14:paraId="708859E6" w14:textId="77777777" w:rsidR="00E96804" w:rsidRPr="003B00BE" w:rsidRDefault="00E96804" w:rsidP="00F12318">
            <w:pPr>
              <w:spacing w:after="0"/>
              <w:jc w:val="center"/>
              <w:rPr>
                <w:rFonts w:cs="Arial"/>
                <w:b/>
                <w:szCs w:val="20"/>
              </w:rPr>
            </w:pPr>
            <w:r w:rsidRPr="003B00BE">
              <w:rPr>
                <w:rFonts w:cs="Arial"/>
                <w:b/>
                <w:szCs w:val="20"/>
              </w:rPr>
              <w:t>Area 4</w:t>
            </w:r>
          </w:p>
        </w:tc>
        <w:tc>
          <w:tcPr>
            <w:tcW w:w="2794" w:type="dxa"/>
            <w:shd w:val="clear" w:color="auto" w:fill="F2F2F2" w:themeFill="background1" w:themeFillShade="F2"/>
            <w:vAlign w:val="center"/>
          </w:tcPr>
          <w:p w14:paraId="39EDC75D" w14:textId="77777777" w:rsidR="00E96804" w:rsidRPr="006D6661" w:rsidRDefault="00E96804" w:rsidP="00F12318">
            <w:pPr>
              <w:spacing w:after="0"/>
              <w:rPr>
                <w:rFonts w:cs="Arial"/>
                <w:color w:val="000000"/>
                <w:szCs w:val="20"/>
              </w:rPr>
            </w:pPr>
            <w:r w:rsidRPr="006D6661">
              <w:rPr>
                <w:rFonts w:cs="Arial"/>
                <w:color w:val="000000"/>
                <w:szCs w:val="20"/>
              </w:rPr>
              <w:t>Remote (minus Area 3)</w:t>
            </w:r>
          </w:p>
        </w:tc>
        <w:tc>
          <w:tcPr>
            <w:tcW w:w="705" w:type="dxa"/>
            <w:shd w:val="clear" w:color="auto" w:fill="F2F2F2" w:themeFill="background1" w:themeFillShade="F2"/>
            <w:vAlign w:val="center"/>
          </w:tcPr>
          <w:p w14:paraId="72060988" w14:textId="77777777" w:rsidR="00E96804" w:rsidRPr="006D6661" w:rsidRDefault="00E96804" w:rsidP="00F12318">
            <w:pPr>
              <w:spacing w:after="0"/>
              <w:jc w:val="center"/>
              <w:rPr>
                <w:rFonts w:cs="Arial"/>
                <w:color w:val="000000"/>
                <w:szCs w:val="20"/>
              </w:rPr>
            </w:pPr>
            <w:r w:rsidRPr="006D6661">
              <w:rPr>
                <w:rFonts w:cs="Arial"/>
                <w:color w:val="000000"/>
                <w:szCs w:val="20"/>
              </w:rPr>
              <w:t>85</w:t>
            </w:r>
          </w:p>
        </w:tc>
        <w:tc>
          <w:tcPr>
            <w:tcW w:w="706" w:type="dxa"/>
            <w:shd w:val="clear" w:color="auto" w:fill="F2F2F2" w:themeFill="background1" w:themeFillShade="F2"/>
            <w:vAlign w:val="center"/>
          </w:tcPr>
          <w:p w14:paraId="6CA8A2EF" w14:textId="77777777" w:rsidR="00E96804" w:rsidRPr="006D6661" w:rsidRDefault="00E96804" w:rsidP="00F12318">
            <w:pPr>
              <w:spacing w:after="0"/>
              <w:jc w:val="center"/>
              <w:rPr>
                <w:rFonts w:cs="Arial"/>
                <w:color w:val="000000"/>
                <w:szCs w:val="20"/>
              </w:rPr>
            </w:pPr>
            <w:r w:rsidRPr="006D6661">
              <w:rPr>
                <w:rFonts w:cs="Arial"/>
                <w:color w:val="000000"/>
                <w:szCs w:val="20"/>
              </w:rPr>
              <w:t>83</w:t>
            </w:r>
          </w:p>
        </w:tc>
        <w:tc>
          <w:tcPr>
            <w:tcW w:w="705" w:type="dxa"/>
            <w:shd w:val="clear" w:color="auto" w:fill="F2F2F2" w:themeFill="background1" w:themeFillShade="F2"/>
            <w:vAlign w:val="center"/>
          </w:tcPr>
          <w:p w14:paraId="1C7FA6D5" w14:textId="77777777" w:rsidR="00E96804" w:rsidRPr="006D6661" w:rsidRDefault="00E96804" w:rsidP="00F12318">
            <w:pPr>
              <w:spacing w:after="0"/>
              <w:jc w:val="center"/>
              <w:rPr>
                <w:rFonts w:cs="Arial"/>
                <w:color w:val="000000"/>
                <w:szCs w:val="20"/>
              </w:rPr>
            </w:pPr>
            <w:r w:rsidRPr="006D6661">
              <w:rPr>
                <w:rFonts w:cs="Arial"/>
                <w:color w:val="000000"/>
                <w:szCs w:val="20"/>
              </w:rPr>
              <w:t>0</w:t>
            </w:r>
          </w:p>
        </w:tc>
        <w:tc>
          <w:tcPr>
            <w:tcW w:w="676" w:type="dxa"/>
            <w:shd w:val="clear" w:color="auto" w:fill="F2F2F2" w:themeFill="background1" w:themeFillShade="F2"/>
            <w:vAlign w:val="center"/>
          </w:tcPr>
          <w:p w14:paraId="68300488" w14:textId="77777777" w:rsidR="00E96804" w:rsidRPr="006D6661" w:rsidRDefault="00E96804" w:rsidP="00F12318">
            <w:pPr>
              <w:spacing w:after="0"/>
              <w:jc w:val="center"/>
              <w:rPr>
                <w:rFonts w:cs="Arial"/>
                <w:color w:val="000000"/>
                <w:szCs w:val="20"/>
              </w:rPr>
            </w:pPr>
            <w:r w:rsidRPr="006D6661">
              <w:rPr>
                <w:rFonts w:cs="Arial"/>
                <w:color w:val="000000"/>
                <w:szCs w:val="20"/>
              </w:rPr>
              <w:t>0</w:t>
            </w:r>
          </w:p>
        </w:tc>
        <w:tc>
          <w:tcPr>
            <w:tcW w:w="732" w:type="dxa"/>
            <w:shd w:val="clear" w:color="auto" w:fill="F2F2F2" w:themeFill="background1" w:themeFillShade="F2"/>
            <w:vAlign w:val="center"/>
          </w:tcPr>
          <w:p w14:paraId="152AB65E" w14:textId="77777777" w:rsidR="00E96804" w:rsidRPr="006D6661" w:rsidRDefault="00E96804" w:rsidP="00F12318">
            <w:pPr>
              <w:spacing w:after="0"/>
              <w:jc w:val="center"/>
              <w:rPr>
                <w:rFonts w:cs="Arial"/>
                <w:color w:val="000000"/>
                <w:szCs w:val="20"/>
              </w:rPr>
            </w:pPr>
            <w:r w:rsidRPr="006D6661">
              <w:rPr>
                <w:rFonts w:cs="Arial"/>
                <w:color w:val="000000"/>
                <w:szCs w:val="20"/>
              </w:rPr>
              <w:t>2</w:t>
            </w:r>
          </w:p>
        </w:tc>
      </w:tr>
      <w:tr w:rsidR="00E96804" w:rsidRPr="003B00BE" w14:paraId="2BD57FCE" w14:textId="77777777" w:rsidTr="006D6661">
        <w:trPr>
          <w:cantSplit/>
          <w:trHeight w:val="417"/>
          <w:jc w:val="center"/>
        </w:trPr>
        <w:tc>
          <w:tcPr>
            <w:tcW w:w="462" w:type="dxa"/>
            <w:vMerge/>
            <w:shd w:val="clear" w:color="auto" w:fill="F2F2F2" w:themeFill="background1" w:themeFillShade="F2"/>
            <w:textDirection w:val="btLr"/>
          </w:tcPr>
          <w:p w14:paraId="5EDBF3F3" w14:textId="77777777" w:rsidR="00E96804" w:rsidRPr="003B00BE" w:rsidRDefault="00E96804" w:rsidP="00F12318">
            <w:pPr>
              <w:spacing w:after="0"/>
              <w:jc w:val="center"/>
              <w:rPr>
                <w:rFonts w:cs="Arial"/>
                <w:b/>
                <w:szCs w:val="20"/>
              </w:rPr>
            </w:pPr>
          </w:p>
        </w:tc>
        <w:tc>
          <w:tcPr>
            <w:tcW w:w="2794" w:type="dxa"/>
            <w:shd w:val="clear" w:color="auto" w:fill="F2F2F2" w:themeFill="background1" w:themeFillShade="F2"/>
            <w:vAlign w:val="center"/>
          </w:tcPr>
          <w:p w14:paraId="372AA318" w14:textId="77777777" w:rsidR="00E96804" w:rsidRPr="006D6661" w:rsidRDefault="00E96804" w:rsidP="00F12318">
            <w:pPr>
              <w:spacing w:after="0"/>
              <w:rPr>
                <w:rFonts w:cs="Arial"/>
                <w:szCs w:val="20"/>
              </w:rPr>
            </w:pPr>
            <w:r w:rsidRPr="006D6661">
              <w:rPr>
                <w:rFonts w:cs="Arial"/>
                <w:color w:val="000000"/>
                <w:szCs w:val="20"/>
              </w:rPr>
              <w:t>Australia-wide</w:t>
            </w:r>
          </w:p>
        </w:tc>
        <w:tc>
          <w:tcPr>
            <w:tcW w:w="705" w:type="dxa"/>
            <w:shd w:val="clear" w:color="auto" w:fill="F2F2F2" w:themeFill="background1" w:themeFillShade="F2"/>
            <w:vAlign w:val="center"/>
          </w:tcPr>
          <w:p w14:paraId="79BFA62F" w14:textId="77777777" w:rsidR="00E96804" w:rsidRPr="006D6661" w:rsidRDefault="00E96804" w:rsidP="00F12318">
            <w:pPr>
              <w:spacing w:after="0"/>
              <w:jc w:val="center"/>
              <w:rPr>
                <w:rFonts w:cs="Arial"/>
                <w:color w:val="000000"/>
                <w:szCs w:val="20"/>
              </w:rPr>
            </w:pPr>
            <w:r w:rsidRPr="006D6661">
              <w:rPr>
                <w:rFonts w:cs="Arial"/>
                <w:color w:val="000000"/>
                <w:szCs w:val="20"/>
              </w:rPr>
              <w:t>458</w:t>
            </w:r>
          </w:p>
        </w:tc>
        <w:tc>
          <w:tcPr>
            <w:tcW w:w="706" w:type="dxa"/>
            <w:shd w:val="clear" w:color="auto" w:fill="F2F2F2" w:themeFill="background1" w:themeFillShade="F2"/>
            <w:vAlign w:val="center"/>
          </w:tcPr>
          <w:p w14:paraId="48574A71" w14:textId="77777777" w:rsidR="00E96804" w:rsidRPr="006D6661" w:rsidRDefault="00E96804" w:rsidP="00F12318">
            <w:pPr>
              <w:spacing w:after="0"/>
              <w:jc w:val="center"/>
              <w:rPr>
                <w:rFonts w:cs="Arial"/>
                <w:color w:val="000000"/>
                <w:szCs w:val="20"/>
              </w:rPr>
            </w:pPr>
            <w:r w:rsidRPr="006D6661">
              <w:rPr>
                <w:rFonts w:cs="Arial"/>
                <w:color w:val="000000"/>
                <w:szCs w:val="20"/>
              </w:rPr>
              <w:t>388</w:t>
            </w:r>
          </w:p>
        </w:tc>
        <w:tc>
          <w:tcPr>
            <w:tcW w:w="705" w:type="dxa"/>
            <w:shd w:val="clear" w:color="auto" w:fill="F2F2F2" w:themeFill="background1" w:themeFillShade="F2"/>
            <w:vAlign w:val="center"/>
          </w:tcPr>
          <w:p w14:paraId="57CFA425" w14:textId="77777777" w:rsidR="00E96804" w:rsidRPr="006D6661" w:rsidRDefault="00E96804" w:rsidP="00F12318">
            <w:pPr>
              <w:spacing w:after="0"/>
              <w:jc w:val="center"/>
              <w:rPr>
                <w:rFonts w:cs="Arial"/>
                <w:color w:val="000000"/>
                <w:szCs w:val="20"/>
              </w:rPr>
            </w:pPr>
            <w:r w:rsidRPr="006D6661">
              <w:rPr>
                <w:rFonts w:cs="Arial"/>
                <w:color w:val="000000"/>
                <w:szCs w:val="20"/>
              </w:rPr>
              <w:t>47</w:t>
            </w:r>
          </w:p>
        </w:tc>
        <w:tc>
          <w:tcPr>
            <w:tcW w:w="676" w:type="dxa"/>
            <w:shd w:val="clear" w:color="auto" w:fill="F2F2F2" w:themeFill="background1" w:themeFillShade="F2"/>
            <w:vAlign w:val="center"/>
          </w:tcPr>
          <w:p w14:paraId="53D90A23" w14:textId="77777777" w:rsidR="00E96804" w:rsidRPr="006D6661" w:rsidRDefault="00E96804" w:rsidP="00F12318">
            <w:pPr>
              <w:spacing w:after="0"/>
              <w:jc w:val="center"/>
              <w:rPr>
                <w:rFonts w:cs="Arial"/>
                <w:color w:val="000000"/>
                <w:szCs w:val="20"/>
              </w:rPr>
            </w:pPr>
            <w:r w:rsidRPr="006D6661">
              <w:rPr>
                <w:rFonts w:cs="Arial"/>
                <w:color w:val="000000"/>
                <w:szCs w:val="20"/>
              </w:rPr>
              <w:t>2</w:t>
            </w:r>
          </w:p>
        </w:tc>
        <w:tc>
          <w:tcPr>
            <w:tcW w:w="732" w:type="dxa"/>
            <w:shd w:val="clear" w:color="auto" w:fill="F2F2F2" w:themeFill="background1" w:themeFillShade="F2"/>
            <w:vAlign w:val="center"/>
          </w:tcPr>
          <w:p w14:paraId="4866D3BB" w14:textId="77777777" w:rsidR="00E96804" w:rsidRPr="006D6661" w:rsidRDefault="00E96804" w:rsidP="00F12318">
            <w:pPr>
              <w:spacing w:after="0"/>
              <w:jc w:val="center"/>
              <w:rPr>
                <w:rFonts w:cs="Arial"/>
                <w:color w:val="000000"/>
                <w:szCs w:val="20"/>
              </w:rPr>
            </w:pPr>
            <w:r w:rsidRPr="006D6661">
              <w:rPr>
                <w:rFonts w:cs="Arial"/>
                <w:color w:val="000000"/>
                <w:szCs w:val="20"/>
              </w:rPr>
              <w:t>21</w:t>
            </w:r>
          </w:p>
        </w:tc>
      </w:tr>
    </w:tbl>
    <w:p w14:paraId="667C4291" w14:textId="686E73A0" w:rsidR="00E96804" w:rsidRPr="003B00BE" w:rsidRDefault="00E96804" w:rsidP="006D6661">
      <w:pPr>
        <w:pStyle w:val="ACMASpaceaftertable"/>
      </w:pPr>
    </w:p>
    <w:p w14:paraId="18558253" w14:textId="7A523C6F" w:rsidR="003C1AB0" w:rsidRPr="00FE427A" w:rsidRDefault="003C1AB0" w:rsidP="006D6661">
      <w:pPr>
        <w:keepNext/>
        <w:spacing w:after="0"/>
        <w:ind w:left="1134" w:hanging="1134"/>
        <w:rPr>
          <w:rFonts w:cs="Arial"/>
          <w:b/>
          <w:bCs/>
          <w:color w:val="323232"/>
          <w:szCs w:val="20"/>
        </w:rPr>
      </w:pPr>
      <w:bookmarkStart w:id="153" w:name="_Ref459886832"/>
      <w:bookmarkStart w:id="154" w:name="_Ref460836012"/>
      <w:r w:rsidRPr="00FE427A">
        <w:rPr>
          <w:rFonts w:cs="Arial"/>
          <w:b/>
          <w:bCs/>
          <w:color w:val="323232"/>
          <w:szCs w:val="20"/>
        </w:rPr>
        <w:t xml:space="preserve">Figure </w:t>
      </w:r>
      <w:bookmarkEnd w:id="153"/>
      <w:bookmarkEnd w:id="154"/>
      <w:r w:rsidR="002F014B">
        <w:rPr>
          <w:rFonts w:cs="Arial"/>
          <w:b/>
          <w:bCs/>
          <w:color w:val="323232"/>
          <w:szCs w:val="20"/>
        </w:rPr>
        <w:t>B2</w:t>
      </w:r>
      <w:r w:rsidRPr="00FE427A">
        <w:rPr>
          <w:rFonts w:cs="Arial"/>
          <w:b/>
          <w:bCs/>
          <w:color w:val="323232"/>
          <w:szCs w:val="20"/>
        </w:rPr>
        <w:t>:</w:t>
      </w:r>
      <w:r w:rsidRPr="00FE427A">
        <w:rPr>
          <w:rFonts w:cs="Arial"/>
          <w:b/>
          <w:bCs/>
          <w:color w:val="323232"/>
          <w:szCs w:val="20"/>
        </w:rPr>
        <w:tab/>
      </w:r>
      <w:r w:rsidR="00866FCE">
        <w:rPr>
          <w:rFonts w:cs="Arial"/>
          <w:b/>
          <w:bCs/>
          <w:color w:val="323232"/>
          <w:szCs w:val="20"/>
        </w:rPr>
        <w:t>Number of licences</w:t>
      </w:r>
      <w:r>
        <w:rPr>
          <w:rFonts w:cs="Arial"/>
          <w:b/>
          <w:bCs/>
          <w:color w:val="323232"/>
          <w:szCs w:val="20"/>
        </w:rPr>
        <w:t xml:space="preserve"> per 5 MHz channel and area in the 3.6 GHz band</w:t>
      </w:r>
      <w:r w:rsidR="00390A84">
        <w:rPr>
          <w:rFonts w:cs="Arial"/>
          <w:b/>
          <w:bCs/>
          <w:color w:val="323232"/>
          <w:szCs w:val="20"/>
        </w:rPr>
        <w:t xml:space="preserve"> Top</w:t>
      </w:r>
      <w:r w:rsidR="00752C58">
        <w:rPr>
          <w:rFonts w:cs="Arial"/>
          <w:b/>
          <w:bCs/>
          <w:color w:val="323232"/>
          <w:szCs w:val="20"/>
        </w:rPr>
        <w:t xml:space="preserve"> figure=</w:t>
      </w:r>
      <w:r w:rsidR="00390A84">
        <w:rPr>
          <w:rFonts w:cs="Arial"/>
          <w:b/>
          <w:bCs/>
          <w:color w:val="323232"/>
          <w:szCs w:val="20"/>
        </w:rPr>
        <w:t>Area 1</w:t>
      </w:r>
      <w:r w:rsidR="003B00BE">
        <w:rPr>
          <w:rFonts w:cs="Arial"/>
          <w:b/>
          <w:bCs/>
          <w:color w:val="323232"/>
          <w:szCs w:val="20"/>
        </w:rPr>
        <w:t>,</w:t>
      </w:r>
      <w:r w:rsidR="00390A84">
        <w:rPr>
          <w:rFonts w:cs="Arial"/>
          <w:b/>
          <w:bCs/>
          <w:color w:val="323232"/>
          <w:szCs w:val="20"/>
        </w:rPr>
        <w:t xml:space="preserve"> Bottom</w:t>
      </w:r>
      <w:r w:rsidR="00752C58">
        <w:rPr>
          <w:rFonts w:cs="Arial"/>
          <w:b/>
          <w:bCs/>
          <w:color w:val="323232"/>
          <w:szCs w:val="20"/>
        </w:rPr>
        <w:t xml:space="preserve"> figure=</w:t>
      </w:r>
      <w:r w:rsidR="00390A84">
        <w:rPr>
          <w:rFonts w:cs="Arial"/>
          <w:b/>
          <w:bCs/>
          <w:color w:val="323232"/>
          <w:szCs w:val="20"/>
        </w:rPr>
        <w:t>Area 2</w:t>
      </w:r>
    </w:p>
    <w:p w14:paraId="3632C308" w14:textId="7D12CB75" w:rsidR="00E96804" w:rsidRDefault="00403F1B" w:rsidP="00390A84">
      <w:pPr>
        <w:spacing w:after="0"/>
        <w:rPr>
          <w:rFonts w:cs="Arial"/>
        </w:rPr>
      </w:pPr>
      <w:r>
        <w:rPr>
          <w:noProof/>
        </w:rPr>
        <w:drawing>
          <wp:inline distT="0" distB="0" distL="0" distR="0" wp14:anchorId="38BF2188" wp14:editId="08E66E68">
            <wp:extent cx="5764945" cy="3689985"/>
            <wp:effectExtent l="0" t="0" r="7620" b="5715"/>
            <wp:docPr id="9" name="Picture 9" descr="Diagram shows Area 1" title="Number of licences per 5 MHz channel and area in the 3.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02385" cy="3713949"/>
                    </a:xfrm>
                    <a:prstGeom prst="rect">
                      <a:avLst/>
                    </a:prstGeom>
                  </pic:spPr>
                </pic:pic>
              </a:graphicData>
            </a:graphic>
          </wp:inline>
        </w:drawing>
      </w:r>
    </w:p>
    <w:p w14:paraId="66A74AB9" w14:textId="5514314D" w:rsidR="00CE3EED" w:rsidRDefault="00614BE2" w:rsidP="00390A84">
      <w:pPr>
        <w:spacing w:after="0"/>
        <w:rPr>
          <w:rFonts w:cs="Arial"/>
        </w:rPr>
      </w:pPr>
      <w:r>
        <w:rPr>
          <w:noProof/>
        </w:rPr>
        <w:drawing>
          <wp:inline distT="0" distB="0" distL="0" distR="0" wp14:anchorId="41E02E6B" wp14:editId="22F73B09">
            <wp:extent cx="5762625" cy="4522358"/>
            <wp:effectExtent l="0" t="0" r="0" b="0"/>
            <wp:docPr id="11" name="Picture 11" descr="Diagram shows Area 2" title="Number of licences per 5 MHz channel and area in the 3.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75732" cy="4532644"/>
                    </a:xfrm>
                    <a:prstGeom prst="rect">
                      <a:avLst/>
                    </a:prstGeom>
                  </pic:spPr>
                </pic:pic>
              </a:graphicData>
            </a:graphic>
          </wp:inline>
        </w:drawing>
      </w:r>
    </w:p>
    <w:p w14:paraId="607F4858" w14:textId="3FE55B32" w:rsidR="00390A84" w:rsidRPr="00FE427A" w:rsidRDefault="00390A84" w:rsidP="00390A84">
      <w:pPr>
        <w:spacing w:after="0"/>
        <w:ind w:left="1136" w:hanging="1136"/>
        <w:rPr>
          <w:rFonts w:cs="Arial"/>
          <w:b/>
          <w:bCs/>
          <w:color w:val="323232"/>
          <w:szCs w:val="20"/>
        </w:rPr>
      </w:pPr>
      <w:bookmarkStart w:id="155" w:name="_Ref460836020"/>
      <w:r w:rsidRPr="00FE427A">
        <w:rPr>
          <w:rFonts w:cs="Arial"/>
          <w:b/>
          <w:bCs/>
          <w:color w:val="323232"/>
          <w:szCs w:val="20"/>
        </w:rPr>
        <w:t xml:space="preserve">Figure </w:t>
      </w:r>
      <w:bookmarkEnd w:id="155"/>
      <w:r w:rsidR="002F014B">
        <w:rPr>
          <w:rFonts w:cs="Arial"/>
          <w:b/>
          <w:bCs/>
          <w:color w:val="323232"/>
          <w:szCs w:val="20"/>
        </w:rPr>
        <w:t>B3</w:t>
      </w:r>
      <w:r w:rsidRPr="00FE427A">
        <w:rPr>
          <w:rFonts w:cs="Arial"/>
          <w:b/>
          <w:bCs/>
          <w:color w:val="323232"/>
          <w:szCs w:val="20"/>
        </w:rPr>
        <w:t>:</w:t>
      </w:r>
      <w:r w:rsidRPr="00FE427A">
        <w:rPr>
          <w:rFonts w:cs="Arial"/>
          <w:b/>
          <w:bCs/>
          <w:color w:val="323232"/>
          <w:szCs w:val="20"/>
        </w:rPr>
        <w:tab/>
      </w:r>
      <w:r w:rsidR="00866FCE">
        <w:rPr>
          <w:rFonts w:cs="Arial"/>
          <w:b/>
          <w:bCs/>
          <w:color w:val="323232"/>
          <w:szCs w:val="20"/>
        </w:rPr>
        <w:t xml:space="preserve">Number of licences </w:t>
      </w:r>
      <w:r>
        <w:rPr>
          <w:rFonts w:cs="Arial"/>
          <w:b/>
          <w:bCs/>
          <w:color w:val="323232"/>
          <w:szCs w:val="20"/>
        </w:rPr>
        <w:t xml:space="preserve">per 5 MHz channel in </w:t>
      </w:r>
      <w:r w:rsidR="003B00BE">
        <w:rPr>
          <w:rFonts w:cs="Arial"/>
          <w:b/>
          <w:bCs/>
          <w:color w:val="323232"/>
          <w:szCs w:val="20"/>
        </w:rPr>
        <w:t>r</w:t>
      </w:r>
      <w:r>
        <w:rPr>
          <w:rFonts w:cs="Arial"/>
          <w:b/>
          <w:bCs/>
          <w:color w:val="323232"/>
          <w:szCs w:val="20"/>
        </w:rPr>
        <w:t xml:space="preserve">egional and </w:t>
      </w:r>
      <w:r w:rsidR="003B00BE">
        <w:rPr>
          <w:rFonts w:cs="Arial"/>
          <w:b/>
          <w:bCs/>
          <w:color w:val="323232"/>
          <w:szCs w:val="20"/>
        </w:rPr>
        <w:t>r</w:t>
      </w:r>
      <w:r>
        <w:rPr>
          <w:rFonts w:cs="Arial"/>
          <w:b/>
          <w:bCs/>
          <w:color w:val="323232"/>
          <w:szCs w:val="20"/>
        </w:rPr>
        <w:t>emote areas in the 3.6 GHz band</w:t>
      </w:r>
    </w:p>
    <w:p w14:paraId="36C3D222" w14:textId="500AC1BC" w:rsidR="00E96804" w:rsidRDefault="00390A84" w:rsidP="006D6661">
      <w:pPr>
        <w:pStyle w:val="ACMASpaceaftertable"/>
      </w:pPr>
      <w:r>
        <w:rPr>
          <w:noProof/>
        </w:rPr>
        <w:t xml:space="preserve"> </w:t>
      </w:r>
      <w:r w:rsidR="00CE3EED">
        <w:rPr>
          <w:noProof/>
        </w:rPr>
        <w:drawing>
          <wp:inline distT="0" distB="0" distL="0" distR="0" wp14:anchorId="45532313" wp14:editId="0A3F8B59">
            <wp:extent cx="5088909" cy="4257675"/>
            <wp:effectExtent l="0" t="0" r="0" b="0"/>
            <wp:docPr id="32" name="Picture 32" title="Number of licences per 5 MHz channel in regional and remote areas in the 3.6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99860" cy="4266837"/>
                    </a:xfrm>
                    <a:prstGeom prst="rect">
                      <a:avLst/>
                    </a:prstGeom>
                  </pic:spPr>
                </pic:pic>
              </a:graphicData>
            </a:graphic>
          </wp:inline>
        </w:drawing>
      </w:r>
    </w:p>
    <w:p w14:paraId="164102D8" w14:textId="4D5403A1" w:rsidR="005B7442" w:rsidRDefault="005B7442" w:rsidP="00D0095C">
      <w:pPr>
        <w:pStyle w:val="Heading1"/>
      </w:pPr>
      <w:bookmarkStart w:id="156" w:name="_Toc459906755"/>
      <w:bookmarkStart w:id="157" w:name="_Toc464480543"/>
      <w:r w:rsidRPr="00D0095C">
        <w:t>Appendix</w:t>
      </w:r>
      <w:r w:rsidRPr="006D46E5">
        <w:t xml:space="preserve"> </w:t>
      </w:r>
      <w:r>
        <w:t>C</w:t>
      </w:r>
      <w:r w:rsidR="003B00BE">
        <w:t>—</w:t>
      </w:r>
      <w:r>
        <w:t>Preliminary assessment</w:t>
      </w:r>
      <w:r w:rsidR="00DB4EE9">
        <w:t>s</w:t>
      </w:r>
      <w:r>
        <w:t xml:space="preserve"> of the highest</w:t>
      </w:r>
      <w:r w:rsidR="003B00BE">
        <w:t>-</w:t>
      </w:r>
      <w:r>
        <w:t xml:space="preserve">value use of the 1.5 GHz </w:t>
      </w:r>
      <w:r w:rsidR="00DB4EE9">
        <w:t xml:space="preserve">and 3.6 GHz </w:t>
      </w:r>
      <w:r>
        <w:t>band</w:t>
      </w:r>
      <w:r w:rsidR="00DB4EE9">
        <w:t>s</w:t>
      </w:r>
      <w:bookmarkEnd w:id="156"/>
      <w:bookmarkEnd w:id="157"/>
    </w:p>
    <w:p w14:paraId="6213CB2B" w14:textId="06E7AFFE" w:rsidR="00A22D59" w:rsidRDefault="00A22D59" w:rsidP="00D0095C">
      <w:pPr>
        <w:rPr>
          <w:rFonts w:cs="Arial"/>
          <w:bCs/>
        </w:rPr>
      </w:pPr>
      <w:bookmarkStart w:id="158" w:name="_Toc459906756"/>
      <w:r>
        <w:rPr>
          <w:rFonts w:cs="Arial"/>
        </w:rPr>
        <w:t xml:space="preserve">The 1.5 GHz and 3.6 GHz bands are currently in the </w:t>
      </w:r>
      <w:r w:rsidR="003B00BE">
        <w:rPr>
          <w:rFonts w:cs="Arial"/>
          <w:i/>
        </w:rPr>
        <w:t>i</w:t>
      </w:r>
      <w:r>
        <w:rPr>
          <w:rFonts w:cs="Arial"/>
          <w:i/>
        </w:rPr>
        <w:t xml:space="preserve">nitial </w:t>
      </w:r>
      <w:r w:rsidR="003B00BE">
        <w:rPr>
          <w:rFonts w:cs="Arial"/>
          <w:i/>
        </w:rPr>
        <w:t>i</w:t>
      </w:r>
      <w:r>
        <w:rPr>
          <w:rFonts w:cs="Arial"/>
          <w:i/>
        </w:rPr>
        <w:t xml:space="preserve">nvestigation </w:t>
      </w:r>
      <w:r>
        <w:rPr>
          <w:rFonts w:cs="Arial"/>
        </w:rPr>
        <w:t xml:space="preserve">stage of the ACMA’s </w:t>
      </w:r>
      <w:hyperlink r:id="rId103" w:history="1">
        <w:r w:rsidRPr="00CB49DD">
          <w:rPr>
            <w:rStyle w:val="Hyperlink"/>
            <w:rFonts w:cs="Arial"/>
          </w:rPr>
          <w:t>mobile broadband strategy</w:t>
        </w:r>
      </w:hyperlink>
      <w:r w:rsidRPr="00337B1E">
        <w:rPr>
          <w:rFonts w:cs="Arial"/>
        </w:rPr>
        <w:t>. As part of the work conducted at this</w:t>
      </w:r>
      <w:r w:rsidRPr="00337B1E">
        <w:rPr>
          <w:rFonts w:cs="Arial"/>
          <w:i/>
        </w:rPr>
        <w:t xml:space="preserve"> </w:t>
      </w:r>
      <w:r w:rsidRPr="00337B1E">
        <w:rPr>
          <w:rFonts w:cs="Arial"/>
        </w:rPr>
        <w:t>stage, the ACMA performs a simple preliminary</w:t>
      </w:r>
      <w:r w:rsidRPr="00337B1E">
        <w:rPr>
          <w:rFonts w:cs="Arial"/>
          <w:bCs/>
        </w:rPr>
        <w:t xml:space="preserve"> assessment of the highest</w:t>
      </w:r>
      <w:r w:rsidR="003B00BE">
        <w:rPr>
          <w:rFonts w:cs="Arial"/>
          <w:bCs/>
        </w:rPr>
        <w:t>-</w:t>
      </w:r>
      <w:r w:rsidRPr="00337B1E">
        <w:rPr>
          <w:rFonts w:cs="Arial"/>
          <w:bCs/>
        </w:rPr>
        <w:t xml:space="preserve">value use </w:t>
      </w:r>
      <w:r>
        <w:rPr>
          <w:rFonts w:cs="Arial"/>
          <w:bCs/>
        </w:rPr>
        <w:t>of the</w:t>
      </w:r>
      <w:r w:rsidRPr="00337B1E">
        <w:rPr>
          <w:rFonts w:cs="Arial"/>
          <w:bCs/>
        </w:rPr>
        <w:t xml:space="preserve"> band. </w:t>
      </w:r>
      <w:r>
        <w:rPr>
          <w:rFonts w:cs="Arial"/>
          <w:bCs/>
        </w:rPr>
        <w:t xml:space="preserve">It was </w:t>
      </w:r>
      <w:r>
        <w:t xml:space="preserve">envisaged in the ACMA’s </w:t>
      </w:r>
      <w:hyperlink r:id="rId104" w:history="1">
        <w:r w:rsidRPr="00CB49DD">
          <w:rPr>
            <w:rStyle w:val="Hyperlink"/>
          </w:rPr>
          <w:t>mobile broadband strategy</w:t>
        </w:r>
      </w:hyperlink>
      <w:r>
        <w:t xml:space="preserve"> that at this stage the assessment would be mainly qualitative. However, quantitative elements could be included where available. The preliminary assessment of the highest</w:t>
      </w:r>
      <w:r w:rsidR="003B00BE">
        <w:t>-</w:t>
      </w:r>
      <w:r>
        <w:t>value use of the band will include consideration of issues such as relocation or retuning costs for incumbent users</w:t>
      </w:r>
      <w:r w:rsidR="003B00BE">
        <w:t>,</w:t>
      </w:r>
      <w:r>
        <w:t xml:space="preserve"> and any detrimental effects to service delivery that a change in use of the band may cause. As noted in the ACMA’s </w:t>
      </w:r>
      <w:hyperlink r:id="rId105" w:history="1">
        <w:r w:rsidRPr="00CB49DD">
          <w:rPr>
            <w:rStyle w:val="Hyperlink"/>
          </w:rPr>
          <w:t>mobile broadband strategy</w:t>
        </w:r>
      </w:hyperlink>
      <w:r>
        <w:t>, the highest</w:t>
      </w:r>
      <w:r w:rsidR="003B00BE">
        <w:t>-</w:t>
      </w:r>
      <w:r>
        <w:t xml:space="preserve">value use may vary across different geographical areas. </w:t>
      </w:r>
    </w:p>
    <w:p w14:paraId="2C662D27" w14:textId="01575CE6" w:rsidR="00A22D59" w:rsidRPr="006D46E5" w:rsidRDefault="00A22D59" w:rsidP="00A22D59">
      <w:r w:rsidRPr="00337B1E">
        <w:rPr>
          <w:rFonts w:cs="Arial"/>
          <w:bCs/>
        </w:rPr>
        <w:t>Based on the outcome of this assessment</w:t>
      </w:r>
      <w:r w:rsidR="003B00BE">
        <w:rPr>
          <w:rFonts w:cs="Arial"/>
          <w:bCs/>
        </w:rPr>
        <w:t>,</w:t>
      </w:r>
      <w:r w:rsidRPr="00337B1E">
        <w:rPr>
          <w:rFonts w:cs="Arial"/>
          <w:bCs/>
        </w:rPr>
        <w:t xml:space="preserve"> a decision is made on whether or not to progress to the </w:t>
      </w:r>
      <w:r w:rsidR="00335B81">
        <w:rPr>
          <w:rFonts w:cs="Arial"/>
          <w:bCs/>
          <w:i/>
        </w:rPr>
        <w:t>p</w:t>
      </w:r>
      <w:r w:rsidRPr="00337B1E">
        <w:rPr>
          <w:rFonts w:cs="Arial"/>
          <w:bCs/>
          <w:i/>
        </w:rPr>
        <w:t xml:space="preserve">reliminary </w:t>
      </w:r>
      <w:r w:rsidR="00335B81">
        <w:rPr>
          <w:rFonts w:cs="Arial"/>
          <w:bCs/>
          <w:i/>
        </w:rPr>
        <w:t>re-planning</w:t>
      </w:r>
      <w:r w:rsidRPr="00337B1E">
        <w:rPr>
          <w:rFonts w:cs="Arial"/>
          <w:bCs/>
          <w:i/>
        </w:rPr>
        <w:t xml:space="preserve"> </w:t>
      </w:r>
      <w:r w:rsidRPr="00337B1E">
        <w:rPr>
          <w:rFonts w:cs="Arial"/>
          <w:bCs/>
        </w:rPr>
        <w:t>stage. A comprehensive assessment of the highest</w:t>
      </w:r>
      <w:r w:rsidR="003B00BE">
        <w:rPr>
          <w:rFonts w:cs="Arial"/>
          <w:bCs/>
        </w:rPr>
        <w:t>-</w:t>
      </w:r>
      <w:r w:rsidRPr="00337B1E">
        <w:rPr>
          <w:rFonts w:cs="Arial"/>
          <w:bCs/>
        </w:rPr>
        <w:t>value use is performed at this stage.</w:t>
      </w:r>
    </w:p>
    <w:p w14:paraId="303814A1" w14:textId="0F938AD2" w:rsidR="00610D5F" w:rsidRPr="00C02B81" w:rsidRDefault="00C02B81" w:rsidP="00C02B81">
      <w:pPr>
        <w:pStyle w:val="Heading2"/>
      </w:pPr>
      <w:bookmarkStart w:id="159" w:name="_Toc464480544"/>
      <w:bookmarkEnd w:id="158"/>
      <w:r w:rsidRPr="00C02B81">
        <w:t>Elements to be considered in assessments of highest</w:t>
      </w:r>
      <w:r w:rsidR="003B00BE">
        <w:t>-</w:t>
      </w:r>
      <w:r w:rsidRPr="00C02B81">
        <w:t>value use</w:t>
      </w:r>
      <w:bookmarkEnd w:id="159"/>
    </w:p>
    <w:p w14:paraId="72DDB4B3" w14:textId="2759A97B" w:rsidR="00610D5F" w:rsidRDefault="004078E7" w:rsidP="00610D5F">
      <w:r>
        <w:t xml:space="preserve">A key aspect of the ACMA’s work is to </w:t>
      </w:r>
      <w:r w:rsidRPr="00CE6B5A">
        <w:t>encourage and enable spectrum to move to its highest</w:t>
      </w:r>
      <w:r w:rsidR="00B6340E">
        <w:t>-</w:t>
      </w:r>
      <w:r w:rsidRPr="00CE6B5A">
        <w:t>value use</w:t>
      </w:r>
      <w:r>
        <w:t xml:space="preserve"> or uses</w:t>
      </w:r>
      <w:r w:rsidRPr="00CE6B5A">
        <w:t xml:space="preserve">. </w:t>
      </w:r>
      <w:r w:rsidR="00570A47">
        <w:t>W</w:t>
      </w:r>
      <w:r w:rsidR="00570A47" w:rsidRPr="00812EC2">
        <w:t>hen a</w:t>
      </w:r>
      <w:r w:rsidR="008621E1">
        <w:t>ssessing the optimal approach for</w:t>
      </w:r>
      <w:r w:rsidR="00570A47" w:rsidRPr="00812EC2">
        <w:t xml:space="preserve"> individual </w:t>
      </w:r>
      <w:r w:rsidR="008621E1">
        <w:t>bands</w:t>
      </w:r>
      <w:r w:rsidR="00570A47">
        <w:t>, the ACMA uses</w:t>
      </w:r>
      <w:r w:rsidR="00610D5F" w:rsidRPr="00812EC2">
        <w:t xml:space="preserve"> a total welfare standard as its overarching framework. As such, in considering the highest</w:t>
      </w:r>
      <w:r w:rsidR="00B6340E">
        <w:t>-</w:t>
      </w:r>
      <w:r w:rsidR="00610D5F" w:rsidRPr="00812EC2">
        <w:t>value use</w:t>
      </w:r>
      <w:r w:rsidR="0063472B">
        <w:t xml:space="preserve"> (HVU)</w:t>
      </w:r>
      <w:r w:rsidR="00610D5F" w:rsidRPr="00812EC2">
        <w:t xml:space="preserve"> for a given spectrum band, the ACMA </w:t>
      </w:r>
      <w:r w:rsidR="004C304D">
        <w:t xml:space="preserve">endeavours to </w:t>
      </w:r>
      <w:r w:rsidR="00610D5F" w:rsidRPr="00812EC2">
        <w:t>consider the impact that a change in use would have on all parties in the economy.</w:t>
      </w:r>
      <w:r w:rsidR="00610D5F">
        <w:t xml:space="preserve"> Importantly, this will include not only an assessment of those costs and benefits that can be readily quantified monetarily, but also those costs/benefits that are more intangible and may be harder to quantify.</w:t>
      </w:r>
    </w:p>
    <w:p w14:paraId="768791C2" w14:textId="77777777" w:rsidR="00C02B81" w:rsidRDefault="00C02B81" w:rsidP="00D0095C">
      <w:pPr>
        <w:pStyle w:val="Heading3"/>
      </w:pPr>
      <w:bookmarkStart w:id="160" w:name="_Toc464480545"/>
      <w:r>
        <w:t>Benefits, costs and externalities</w:t>
      </w:r>
      <w:bookmarkEnd w:id="160"/>
    </w:p>
    <w:p w14:paraId="49EFC2E7" w14:textId="77777777" w:rsidR="00C02B81" w:rsidRDefault="00C02B81" w:rsidP="00C02B81">
      <w:pPr>
        <w:spacing w:after="80"/>
      </w:pPr>
      <w:r>
        <w:t>There are two chief types of potential benefits that result from the re-farming of spectrum:</w:t>
      </w:r>
    </w:p>
    <w:p w14:paraId="0E14E27A" w14:textId="4566314D" w:rsidR="00C02B81" w:rsidRPr="009E2F8F" w:rsidRDefault="00B6340E" w:rsidP="004F7EC4">
      <w:pPr>
        <w:pStyle w:val="ListNumber"/>
        <w:numPr>
          <w:ilvl w:val="0"/>
          <w:numId w:val="17"/>
        </w:numPr>
      </w:pPr>
      <w:r>
        <w:t>a</w:t>
      </w:r>
      <w:r w:rsidR="00C02B81">
        <w:t xml:space="preserve">dditional revenues or lowering costs for </w:t>
      </w:r>
      <w:r w:rsidR="00C02B81" w:rsidRPr="009E2F8F">
        <w:t>producers providing new services using the re-farmed spectrum</w:t>
      </w:r>
      <w:r w:rsidR="00C02B81">
        <w:t xml:space="preserve"> (that is, an i</w:t>
      </w:r>
      <w:r w:rsidR="00C02B81" w:rsidRPr="009E2F8F">
        <w:t xml:space="preserve">ncrease </w:t>
      </w:r>
      <w:r w:rsidR="00F842A2">
        <w:t xml:space="preserve">in </w:t>
      </w:r>
      <w:r w:rsidR="00C02B81" w:rsidRPr="009E2F8F">
        <w:t>producer surplus</w:t>
      </w:r>
      <w:r w:rsidR="00C02B81">
        <w:t>)</w:t>
      </w:r>
    </w:p>
    <w:p w14:paraId="52410B88" w14:textId="7C7E24BF" w:rsidR="00C02B81" w:rsidRDefault="00B6340E" w:rsidP="00D0095C">
      <w:pPr>
        <w:pStyle w:val="ListNumberLast"/>
      </w:pPr>
      <w:r>
        <w:t>r</w:t>
      </w:r>
      <w:r w:rsidR="00C02B81">
        <w:t xml:space="preserve">eduction in price of services, or </w:t>
      </w:r>
      <w:r w:rsidR="00C02B81" w:rsidRPr="009E2F8F">
        <w:t xml:space="preserve">new </w:t>
      </w:r>
      <w:r w:rsidR="00C02B81">
        <w:t xml:space="preserve">or increased quality of </w:t>
      </w:r>
      <w:r w:rsidR="00C02B81" w:rsidRPr="009E2F8F">
        <w:t xml:space="preserve">services </w:t>
      </w:r>
      <w:r w:rsidR="00C02B81">
        <w:t xml:space="preserve">being </w:t>
      </w:r>
      <w:r w:rsidR="00C02B81" w:rsidRPr="009E2F8F">
        <w:t xml:space="preserve">rolled out </w:t>
      </w:r>
      <w:r w:rsidR="00C02B81">
        <w:t>(that is, an i</w:t>
      </w:r>
      <w:r w:rsidR="00C02B81" w:rsidRPr="009E2F8F">
        <w:t xml:space="preserve">ncrease </w:t>
      </w:r>
      <w:r w:rsidR="00C02B81">
        <w:t xml:space="preserve">in </w:t>
      </w:r>
      <w:r w:rsidR="00C02B81" w:rsidRPr="009E2F8F">
        <w:t>consumer surplus</w:t>
      </w:r>
      <w:r w:rsidR="00C02B81">
        <w:t>).</w:t>
      </w:r>
      <w:r w:rsidR="00C02B81">
        <w:rPr>
          <w:rStyle w:val="FootnoteReference"/>
        </w:rPr>
        <w:footnoteReference w:id="32"/>
      </w:r>
    </w:p>
    <w:p w14:paraId="24643680" w14:textId="77777777" w:rsidR="00C02B81" w:rsidRDefault="00C02B81" w:rsidP="00D0095C">
      <w:pPr>
        <w:spacing w:after="80"/>
      </w:pPr>
      <w:r>
        <w:t>There are two types of potential costs that result from the re-farming of spectrum:</w:t>
      </w:r>
    </w:p>
    <w:p w14:paraId="338B9B07" w14:textId="5FD9D7DD" w:rsidR="00C02B81" w:rsidRDefault="00B6340E" w:rsidP="004F7EC4">
      <w:pPr>
        <w:pStyle w:val="ListNumber"/>
        <w:numPr>
          <w:ilvl w:val="0"/>
          <w:numId w:val="18"/>
        </w:numPr>
      </w:pPr>
      <w:r>
        <w:t>a</w:t>
      </w:r>
      <w:r w:rsidR="00C02B81">
        <w:t>n increase in costs for incumbent providers</w:t>
      </w:r>
      <w:r w:rsidR="00C02B81" w:rsidRPr="00811BF1">
        <w:t xml:space="preserve"> </w:t>
      </w:r>
      <w:r w:rsidR="00C02B81">
        <w:t>(that is, a reduction in producer surplus)</w:t>
      </w:r>
    </w:p>
    <w:p w14:paraId="0DC71CCF" w14:textId="433B1EE3" w:rsidR="00C02B81" w:rsidRDefault="00B6340E" w:rsidP="00D0095C">
      <w:pPr>
        <w:pStyle w:val="ListNumberLast"/>
      </w:pPr>
      <w:r>
        <w:t>a</w:t>
      </w:r>
      <w:r w:rsidR="00C02B81">
        <w:t>n i</w:t>
      </w:r>
      <w:r w:rsidR="00C02B81" w:rsidRPr="009E2F8F">
        <w:t xml:space="preserve">ncrease </w:t>
      </w:r>
      <w:r w:rsidR="00C02B81">
        <w:t xml:space="preserve">in </w:t>
      </w:r>
      <w:r w:rsidR="00C02B81" w:rsidRPr="009E2F8F">
        <w:t>the price</w:t>
      </w:r>
      <w:r w:rsidR="00C02B81">
        <w:t>s</w:t>
      </w:r>
      <w:r w:rsidR="00C02B81" w:rsidRPr="009E2F8F">
        <w:t xml:space="preserve"> of services provided by incumbent spectrum users</w:t>
      </w:r>
      <w:r w:rsidR="00C02B81">
        <w:t xml:space="preserve">, or a degradation in quality of </w:t>
      </w:r>
      <w:r w:rsidR="00C02B81" w:rsidRPr="009E2F8F">
        <w:t>services</w:t>
      </w:r>
      <w:r w:rsidR="00C02B81">
        <w:t xml:space="preserve"> (that is, a reduction in consumer surplus)</w:t>
      </w:r>
      <w:r w:rsidR="00C02B81" w:rsidRPr="009E2F8F">
        <w:t>.</w:t>
      </w:r>
      <w:r w:rsidR="00C02B81">
        <w:rPr>
          <w:rStyle w:val="FootnoteReference"/>
        </w:rPr>
        <w:footnoteReference w:id="33"/>
      </w:r>
      <w:r w:rsidR="00C02B81" w:rsidRPr="009E2F8F">
        <w:t xml:space="preserve"> </w:t>
      </w:r>
    </w:p>
    <w:p w14:paraId="2AA8ECB2" w14:textId="77777777" w:rsidR="00C02B81" w:rsidRDefault="00C02B81" w:rsidP="00C02B81">
      <w:r>
        <w:t xml:space="preserve">In addition, spectrum </w:t>
      </w:r>
      <w:r w:rsidRPr="00D0095C">
        <w:t>is an input into many services that generate benefits beyond those enjoyed by the</w:t>
      </w:r>
      <w:r>
        <w:t xml:space="preserve"> individuals that use the services. In the economic literature, these broader social benefits and costs are referred to as ‘externalities’. </w:t>
      </w:r>
      <w:r w:rsidRPr="00E04292">
        <w:t>An externality arises when the welfare of a person not party to a transaction is affected by the transaction.</w:t>
      </w:r>
    </w:p>
    <w:p w14:paraId="2D8D24AF" w14:textId="77777777" w:rsidR="00C02B81" w:rsidRDefault="00C02B81" w:rsidP="00D0095C">
      <w:pPr>
        <w:pStyle w:val="Heading3"/>
      </w:pPr>
      <w:bookmarkStart w:id="161" w:name="_Toc464480546"/>
      <w:r>
        <w:t xml:space="preserve">Analysis required under </w:t>
      </w:r>
      <w:r w:rsidRPr="00D0095C">
        <w:t>constant</w:t>
      </w:r>
      <w:r>
        <w:t>- and variable-output cases</w:t>
      </w:r>
      <w:bookmarkEnd w:id="161"/>
    </w:p>
    <w:p w14:paraId="1AC51402" w14:textId="77777777" w:rsidR="00C02B81" w:rsidRPr="00A31BAD" w:rsidRDefault="00C02B81" w:rsidP="00D0095C">
      <w:pPr>
        <w:rPr>
          <w:b/>
        </w:rPr>
      </w:pPr>
      <w:r>
        <w:t>It should be noted that it i</w:t>
      </w:r>
      <w:r w:rsidRPr="00D0095C">
        <w:t>s</w:t>
      </w:r>
      <w:r>
        <w:t xml:space="preserve"> not always necessary to consider all of the elements outlined above in every case of spectrum re-farming. I</w:t>
      </w:r>
      <w:r w:rsidRPr="005C4FA4">
        <w:t xml:space="preserve">n </w:t>
      </w:r>
      <w:r>
        <w:t xml:space="preserve">many </w:t>
      </w:r>
      <w:r w:rsidRPr="005C4FA4">
        <w:t>cases</w:t>
      </w:r>
      <w:r>
        <w:t>,</w:t>
      </w:r>
      <w:r w:rsidRPr="005C4FA4">
        <w:t xml:space="preserve"> spectrum </w:t>
      </w:r>
      <w:r>
        <w:t>re-farming</w:t>
      </w:r>
      <w:r w:rsidRPr="005C4FA4">
        <w:t xml:space="preserve"> decisions will affect </w:t>
      </w:r>
      <w:r>
        <w:t xml:space="preserve">only </w:t>
      </w:r>
      <w:r w:rsidRPr="005C4FA4">
        <w:t xml:space="preserve">the relative cost of delivering certain services or the price at which the services are supplied. </w:t>
      </w:r>
      <w:r>
        <w:t>In these cases, the outputs of all affected parties—both those parties losing spectrum and those parties gaining spectrum—do not change. It is for this reason that these cases are referred in the literature as ‘</w:t>
      </w:r>
      <w:r w:rsidRPr="00D51495">
        <w:t>constant output cases</w:t>
      </w:r>
      <w:r>
        <w:t>’.</w:t>
      </w:r>
      <w:r>
        <w:rPr>
          <w:rStyle w:val="FootnoteReference"/>
        </w:rPr>
        <w:footnoteReference w:id="34"/>
      </w:r>
    </w:p>
    <w:p w14:paraId="159D60AE" w14:textId="77777777" w:rsidR="00C02B81" w:rsidRDefault="00C02B81" w:rsidP="00D0095C">
      <w:r w:rsidRPr="007018E9">
        <w:t>In constant output cases, the provider of the existing service is able to fully mitigate the impact of the change in spectrum use, albeit at an increased cost of supply. They do this by using some combination of different spectrum, additional network investment, and/or increased use of other inputs and methods of supply. This is a crucial point</w:t>
      </w:r>
      <w:r>
        <w:t>—</w:t>
      </w:r>
      <w:r w:rsidRPr="007018E9">
        <w:t>constant</w:t>
      </w:r>
      <w:r>
        <w:t xml:space="preserve"> output </w:t>
      </w:r>
      <w:r w:rsidRPr="00BA3D18">
        <w:t>cases do not always depend upon the availability of equivalent spectrum</w:t>
      </w:r>
      <w:r>
        <w:t xml:space="preserve">. The </w:t>
      </w:r>
      <w:r w:rsidRPr="00BA3D18">
        <w:t xml:space="preserve">same or very similar output may be </w:t>
      </w:r>
      <w:r>
        <w:t xml:space="preserve">able to be </w:t>
      </w:r>
      <w:r w:rsidRPr="00BA3D18">
        <w:t>achieved using non-spectrum options</w:t>
      </w:r>
      <w:r>
        <w:t xml:space="preserve">. </w:t>
      </w:r>
      <w:r w:rsidRPr="007018E9">
        <w:t>Similarly, the new service uses the additional spectrum to provide the same output at lower cost.</w:t>
      </w:r>
    </w:p>
    <w:p w14:paraId="51929F6B" w14:textId="37671C04" w:rsidR="00C02B81" w:rsidRDefault="00C02B81" w:rsidP="00C02B81">
      <w:r>
        <w:t xml:space="preserve">In these cases, given the services are unaffected, </w:t>
      </w:r>
      <w:r w:rsidRPr="00A47DFC">
        <w:t>there is no need to estimate the impact of the proposed change in allocation on the benefits to consumers and citizens from either service, and hence</w:t>
      </w:r>
      <w:r w:rsidR="000D74B9">
        <w:t>,</w:t>
      </w:r>
      <w:r w:rsidRPr="00A47DFC">
        <w:t xml:space="preserve"> there is no need to consider changes in private value or broader social value for either service.</w:t>
      </w:r>
      <w:r>
        <w:t xml:space="preserve"> In these cases, it will be sufficient to only </w:t>
      </w:r>
      <w:r w:rsidRPr="005C4FA4">
        <w:t xml:space="preserve">evaluate the cost implications </w:t>
      </w:r>
      <w:r>
        <w:t xml:space="preserve">of the reform, </w:t>
      </w:r>
      <w:r w:rsidRPr="005C4FA4">
        <w:t>and it will not be necessary or appropriate to determine how much society values the existence of the service.</w:t>
      </w:r>
      <w:r>
        <w:t xml:space="preserve"> </w:t>
      </w:r>
    </w:p>
    <w:p w14:paraId="00FAAC28" w14:textId="1F1680DC" w:rsidR="00C02B81" w:rsidRDefault="00C02B81" w:rsidP="00C02B81">
      <w:pPr>
        <w:rPr>
          <w:lang w:val="en-US"/>
        </w:rPr>
      </w:pPr>
      <w:r w:rsidRPr="0075651B">
        <w:t>In contrast</w:t>
      </w:r>
      <w:r>
        <w:t>, there may be cases where spectrum re-farming will disallow the incumbent service (at risk of losing spectrum)</w:t>
      </w:r>
      <w:r>
        <w:rPr>
          <w:lang w:val="en-US"/>
        </w:rPr>
        <w:t xml:space="preserve"> being able to continue at all, or to significantly alter the output or quality of the service being offered. In order for this to be the case, there has to be no close substitute to the spectrum available (that is, either other spectrum or other communications platforms). Such cases are referred to as ‘</w:t>
      </w:r>
      <w:r w:rsidRPr="00D51495">
        <w:rPr>
          <w:lang w:val="en-US"/>
        </w:rPr>
        <w:t>variable output</w:t>
      </w:r>
      <w:r>
        <w:rPr>
          <w:lang w:val="en-US"/>
        </w:rPr>
        <w:t xml:space="preserve">’ cases. In such </w:t>
      </w:r>
      <w:r w:rsidRPr="00D51495">
        <w:rPr>
          <w:lang w:val="en-US"/>
        </w:rPr>
        <w:t>variable output</w:t>
      </w:r>
      <w:r>
        <w:rPr>
          <w:lang w:val="en-US"/>
        </w:rPr>
        <w:t xml:space="preserve"> cases, the analysis is more</w:t>
      </w:r>
      <w:r w:rsidRPr="00D34399">
        <w:rPr>
          <w:lang w:val="en-US"/>
        </w:rPr>
        <w:t xml:space="preserve"> </w:t>
      </w:r>
      <w:r>
        <w:rPr>
          <w:lang w:val="en-US"/>
        </w:rPr>
        <w:t>complex, in that it is necessary to estimate the impacts on consumer surplus and externalities, as well as the usual cost/producer surplus impacts.</w:t>
      </w:r>
    </w:p>
    <w:p w14:paraId="1FE49435" w14:textId="72D6743E" w:rsidR="00C02B81" w:rsidRDefault="00C02B81" w:rsidP="00D0095C">
      <w:pPr>
        <w:pStyle w:val="Heading2"/>
      </w:pPr>
      <w:bookmarkStart w:id="162" w:name="_Toc464480547"/>
      <w:r>
        <w:rPr>
          <w:lang w:val="en-US"/>
        </w:rPr>
        <w:t xml:space="preserve">Preliminary assessments of </w:t>
      </w:r>
      <w:r w:rsidRPr="00D0095C">
        <w:t>HVU</w:t>
      </w:r>
      <w:bookmarkEnd w:id="162"/>
    </w:p>
    <w:p w14:paraId="64679FAF" w14:textId="426421D5" w:rsidR="00CA07C3" w:rsidRDefault="00CA07C3" w:rsidP="00D0095C">
      <w:pPr>
        <w:rPr>
          <w:lang w:val="en-US"/>
        </w:rPr>
      </w:pPr>
      <w:r>
        <w:rPr>
          <w:lang w:val="en-US"/>
        </w:rPr>
        <w:t xml:space="preserve">The analysis performed in this appendix is intended to be a </w:t>
      </w:r>
      <w:r w:rsidRPr="004045F8">
        <w:rPr>
          <w:i/>
          <w:lang w:val="en-US"/>
        </w:rPr>
        <w:t>preliminary assessment of HVU</w:t>
      </w:r>
      <w:r>
        <w:rPr>
          <w:lang w:val="en-US"/>
        </w:rPr>
        <w:t xml:space="preserve"> </w:t>
      </w:r>
      <w:r w:rsidR="00174BF4">
        <w:rPr>
          <w:lang w:val="en-US"/>
        </w:rPr>
        <w:t>for</w:t>
      </w:r>
      <w:r>
        <w:rPr>
          <w:lang w:val="en-US"/>
        </w:rPr>
        <w:t xml:space="preserve"> the 1.5 GHz and 3.6 GHz bands. </w:t>
      </w:r>
      <w:r w:rsidR="00174BF4">
        <w:rPr>
          <w:lang w:val="en-US"/>
        </w:rPr>
        <w:t>For this reason</w:t>
      </w:r>
      <w:r w:rsidR="000D74B9">
        <w:rPr>
          <w:lang w:val="en-US"/>
        </w:rPr>
        <w:t>,</w:t>
      </w:r>
      <w:r w:rsidR="00174BF4">
        <w:rPr>
          <w:lang w:val="en-US"/>
        </w:rPr>
        <w:t xml:space="preserve"> i</w:t>
      </w:r>
      <w:r>
        <w:rPr>
          <w:lang w:val="en-US"/>
        </w:rPr>
        <w:t xml:space="preserve">t is mainly </w:t>
      </w:r>
      <w:r w:rsidR="00174BF4">
        <w:rPr>
          <w:lang w:val="en-US"/>
        </w:rPr>
        <w:t xml:space="preserve">a </w:t>
      </w:r>
      <w:r>
        <w:t>qualitative</w:t>
      </w:r>
      <w:r>
        <w:rPr>
          <w:lang w:val="en-US"/>
        </w:rPr>
        <w:t xml:space="preserve"> assessment</w:t>
      </w:r>
      <w:r>
        <w:t xml:space="preserve">. If it is decided to progress consideration of the 1.5 GHz and/or 3.6 GHz band to the </w:t>
      </w:r>
      <w:r w:rsidR="00335B81">
        <w:rPr>
          <w:rFonts w:cs="Arial"/>
          <w:i/>
        </w:rPr>
        <w:t>p</w:t>
      </w:r>
      <w:r>
        <w:rPr>
          <w:rFonts w:cs="Arial"/>
          <w:i/>
        </w:rPr>
        <w:t xml:space="preserve">reliminary </w:t>
      </w:r>
      <w:r w:rsidR="00335B81">
        <w:rPr>
          <w:rFonts w:cs="Arial"/>
          <w:i/>
        </w:rPr>
        <w:t>re-planning</w:t>
      </w:r>
      <w:r>
        <w:rPr>
          <w:rFonts w:cs="Arial"/>
          <w:i/>
        </w:rPr>
        <w:t xml:space="preserve"> </w:t>
      </w:r>
      <w:r>
        <w:rPr>
          <w:rFonts w:cs="Arial"/>
        </w:rPr>
        <w:t xml:space="preserve">stage of the ACMA’s process for consideration of additional spectrum for </w:t>
      </w:r>
      <w:r w:rsidR="005A21F6">
        <w:rPr>
          <w:rFonts w:cs="Arial"/>
        </w:rPr>
        <w:t>MBB</w:t>
      </w:r>
      <w:r>
        <w:rPr>
          <w:rFonts w:cs="Arial"/>
        </w:rPr>
        <w:t xml:space="preserve"> services</w:t>
      </w:r>
      <w:r>
        <w:t xml:space="preserve">, </w:t>
      </w:r>
      <w:r w:rsidR="00174BF4">
        <w:t xml:space="preserve">it is intended that </w:t>
      </w:r>
      <w:r>
        <w:t xml:space="preserve">a </w:t>
      </w:r>
      <w:r w:rsidR="00C02B81">
        <w:rPr>
          <w:i/>
        </w:rPr>
        <w:t>comprehensive</w:t>
      </w:r>
      <w:r w:rsidR="00E846D0" w:rsidRPr="004045F8">
        <w:rPr>
          <w:i/>
        </w:rPr>
        <w:t xml:space="preserve"> assessment of </w:t>
      </w:r>
      <w:r w:rsidR="00570A47" w:rsidRPr="004045F8">
        <w:rPr>
          <w:i/>
        </w:rPr>
        <w:t>HVU</w:t>
      </w:r>
      <w:r w:rsidR="00570A47">
        <w:t xml:space="preserve"> </w:t>
      </w:r>
      <w:r>
        <w:t xml:space="preserve">will </w:t>
      </w:r>
      <w:r w:rsidR="00E846D0">
        <w:t>be</w:t>
      </w:r>
      <w:r>
        <w:t xml:space="preserve"> performed</w:t>
      </w:r>
      <w:r w:rsidR="00E846D0">
        <w:t xml:space="preserve"> to inform progression to the </w:t>
      </w:r>
      <w:r w:rsidR="000D74B9">
        <w:rPr>
          <w:i/>
        </w:rPr>
        <w:t>r</w:t>
      </w:r>
      <w:r w:rsidR="00E846D0" w:rsidRPr="004045F8">
        <w:rPr>
          <w:i/>
        </w:rPr>
        <w:t>e-farming</w:t>
      </w:r>
      <w:r w:rsidR="00E846D0">
        <w:t xml:space="preserve"> stage</w:t>
      </w:r>
      <w:r>
        <w:t xml:space="preserve">. </w:t>
      </w:r>
    </w:p>
    <w:p w14:paraId="2462C1B4" w14:textId="1E182633" w:rsidR="00F414B7" w:rsidRPr="00F414B7" w:rsidRDefault="00F414B7" w:rsidP="00F414B7">
      <w:pPr>
        <w:rPr>
          <w:lang w:val="en-US"/>
        </w:rPr>
      </w:pPr>
      <w:r w:rsidRPr="00F414B7">
        <w:rPr>
          <w:lang w:val="en-US"/>
        </w:rPr>
        <w:t>Given international trends</w:t>
      </w:r>
      <w:r>
        <w:rPr>
          <w:lang w:val="en-US"/>
        </w:rPr>
        <w:t xml:space="preserve"> in the 1.5 GHz</w:t>
      </w:r>
      <w:r w:rsidR="00C92168">
        <w:rPr>
          <w:lang w:val="en-US"/>
        </w:rPr>
        <w:t xml:space="preserve"> and 3.6 GHz</w:t>
      </w:r>
      <w:r>
        <w:rPr>
          <w:lang w:val="en-US"/>
        </w:rPr>
        <w:t xml:space="preserve"> band</w:t>
      </w:r>
      <w:r w:rsidR="00C92168">
        <w:rPr>
          <w:lang w:val="en-US"/>
        </w:rPr>
        <w:t>s</w:t>
      </w:r>
      <w:r w:rsidRPr="00F414B7">
        <w:rPr>
          <w:lang w:val="en-US"/>
        </w:rPr>
        <w:t xml:space="preserve">, </w:t>
      </w:r>
      <w:r>
        <w:rPr>
          <w:lang w:val="en-US"/>
        </w:rPr>
        <w:t>the preliminary assessment of highest</w:t>
      </w:r>
      <w:r w:rsidR="000D74B9">
        <w:rPr>
          <w:lang w:val="en-US"/>
        </w:rPr>
        <w:t>-</w:t>
      </w:r>
      <w:r>
        <w:rPr>
          <w:lang w:val="en-US"/>
        </w:rPr>
        <w:t xml:space="preserve">value use </w:t>
      </w:r>
      <w:r w:rsidR="0063472B">
        <w:rPr>
          <w:lang w:val="en-US"/>
        </w:rPr>
        <w:t xml:space="preserve">in this appendix </w:t>
      </w:r>
      <w:r w:rsidR="00F77FFC">
        <w:rPr>
          <w:lang w:val="en-US"/>
        </w:rPr>
        <w:t>has been</w:t>
      </w:r>
      <w:r>
        <w:rPr>
          <w:lang w:val="en-US"/>
        </w:rPr>
        <w:t xml:space="preserve"> conducted</w:t>
      </w:r>
      <w:r w:rsidR="000D74B9">
        <w:rPr>
          <w:lang w:val="en-US"/>
        </w:rPr>
        <w:t>,</w:t>
      </w:r>
      <w:r>
        <w:rPr>
          <w:lang w:val="en-US"/>
        </w:rPr>
        <w:t xml:space="preserve"> assuming that </w:t>
      </w:r>
      <w:r w:rsidR="00F77FFC">
        <w:rPr>
          <w:lang w:val="en-US"/>
        </w:rPr>
        <w:t>fixed</w:t>
      </w:r>
      <w:r w:rsidR="003D16D6">
        <w:rPr>
          <w:lang w:val="en-US"/>
        </w:rPr>
        <w:t xml:space="preserve"> broadband</w:t>
      </w:r>
      <w:r w:rsidR="00F77FFC">
        <w:rPr>
          <w:lang w:val="en-US"/>
        </w:rPr>
        <w:t xml:space="preserve"> or </w:t>
      </w:r>
      <w:r w:rsidR="005A21F6">
        <w:rPr>
          <w:lang w:val="en-US"/>
        </w:rPr>
        <w:t>MBB</w:t>
      </w:r>
      <w:r>
        <w:rPr>
          <w:lang w:val="en-US"/>
        </w:rPr>
        <w:t xml:space="preserve"> services will be the new user of the band should it be re-farmed. However, it is noted that under current arrangements, spectrum is typically allocated on a technology</w:t>
      </w:r>
      <w:r w:rsidR="000D74B9">
        <w:rPr>
          <w:lang w:val="en-US"/>
        </w:rPr>
        <w:t>-</w:t>
      </w:r>
      <w:r w:rsidR="00F77FFC">
        <w:rPr>
          <w:lang w:val="en-US"/>
        </w:rPr>
        <w:t>flexible</w:t>
      </w:r>
      <w:r>
        <w:rPr>
          <w:lang w:val="en-US"/>
        </w:rPr>
        <w:t xml:space="preserve"> basis.</w:t>
      </w:r>
      <w:r w:rsidR="0063472B">
        <w:rPr>
          <w:lang w:val="en-US"/>
        </w:rPr>
        <w:t xml:space="preserve"> </w:t>
      </w:r>
    </w:p>
    <w:p w14:paraId="06F136A9" w14:textId="24D0E125" w:rsidR="00D60133" w:rsidRDefault="00D60133" w:rsidP="00D0095C">
      <w:pPr>
        <w:pStyle w:val="Heading2"/>
      </w:pPr>
      <w:bookmarkStart w:id="163" w:name="_Toc443292809"/>
      <w:bookmarkStart w:id="164" w:name="_Toc459906757"/>
      <w:bookmarkStart w:id="165" w:name="_Toc440434948"/>
      <w:bookmarkStart w:id="166" w:name="_Toc440434949"/>
      <w:bookmarkStart w:id="167" w:name="_Toc440434950"/>
      <w:bookmarkStart w:id="168" w:name="_Toc464480548"/>
      <w:bookmarkStart w:id="169" w:name="_Toc459906762"/>
      <w:bookmarkEnd w:id="163"/>
      <w:bookmarkEnd w:id="164"/>
      <w:bookmarkEnd w:id="165"/>
      <w:bookmarkEnd w:id="166"/>
      <w:bookmarkEnd w:id="167"/>
      <w:r>
        <w:t xml:space="preserve">1.5 GHz </w:t>
      </w:r>
      <w:r w:rsidR="0063472B">
        <w:t xml:space="preserve">Preliminary </w:t>
      </w:r>
      <w:r w:rsidR="0063472B" w:rsidRPr="00D0095C">
        <w:t>assessment</w:t>
      </w:r>
      <w:r w:rsidR="0063472B">
        <w:t xml:space="preserve"> of HVU</w:t>
      </w:r>
      <w:bookmarkEnd w:id="168"/>
    </w:p>
    <w:p w14:paraId="68BA6555" w14:textId="77777777" w:rsidR="00E846D0" w:rsidRPr="004B2890" w:rsidRDefault="00E846D0" w:rsidP="00D0095C">
      <w:pPr>
        <w:pStyle w:val="Heading3"/>
      </w:pPr>
      <w:bookmarkStart w:id="170" w:name="_Toc464480549"/>
      <w:r w:rsidRPr="004B2890">
        <w:t xml:space="preserve">Indicators </w:t>
      </w:r>
      <w:r>
        <w:t>of</w:t>
      </w:r>
      <w:r w:rsidRPr="004B2890">
        <w:t xml:space="preserve"> potential change in </w:t>
      </w:r>
      <w:r>
        <w:t>HVU</w:t>
      </w:r>
      <w:bookmarkEnd w:id="170"/>
    </w:p>
    <w:p w14:paraId="125BEAFA" w14:textId="158C69FB" w:rsidR="00FC74B6" w:rsidRDefault="00FC74B6" w:rsidP="00D0095C">
      <w:r>
        <w:t>Domestically, r</w:t>
      </w:r>
      <w:r w:rsidRPr="00E90422">
        <w:t xml:space="preserve">epresentatives of </w:t>
      </w:r>
      <w:r>
        <w:t>the</w:t>
      </w:r>
      <w:r w:rsidRPr="00E90422">
        <w:t xml:space="preserve"> </w:t>
      </w:r>
      <w:r w:rsidR="005A21F6">
        <w:t>MBB</w:t>
      </w:r>
      <w:r w:rsidRPr="00E90422">
        <w:t xml:space="preserve"> </w:t>
      </w:r>
      <w:r>
        <w:t>community</w:t>
      </w:r>
      <w:r w:rsidRPr="00E90422">
        <w:t xml:space="preserve"> have indicated </w:t>
      </w:r>
      <w:r>
        <w:t>interest in accessing the 1.5 GHz band, particularly in metropolitan and major regional areas</w:t>
      </w:r>
      <w:r w:rsidRPr="00E90422">
        <w:t xml:space="preserve">. </w:t>
      </w:r>
      <w:r w:rsidR="00AE3237">
        <w:t xml:space="preserve">As discussed in the 1.5 GHz band </w:t>
      </w:r>
      <w:r w:rsidR="00AE3237" w:rsidRPr="006D6661">
        <w:rPr>
          <w:i/>
        </w:rPr>
        <w:fldChar w:fldCharType="begin"/>
      </w:r>
      <w:r w:rsidR="00AE3237" w:rsidRPr="006D6661">
        <w:rPr>
          <w:i/>
        </w:rPr>
        <w:instrText xml:space="preserve"> REF _Ref461617272 \h </w:instrText>
      </w:r>
      <w:r w:rsidR="000D74B9">
        <w:rPr>
          <w:i/>
        </w:rPr>
        <w:instrText xml:space="preserve"> \* MERGEFORMAT </w:instrText>
      </w:r>
      <w:r w:rsidR="00AE3237" w:rsidRPr="006D6661">
        <w:rPr>
          <w:i/>
        </w:rPr>
      </w:r>
      <w:r w:rsidR="00AE3237" w:rsidRPr="006D6661">
        <w:rPr>
          <w:i/>
        </w:rPr>
        <w:fldChar w:fldCharType="separate"/>
      </w:r>
      <w:r w:rsidR="00FA0A5F" w:rsidRPr="00FA0A5F">
        <w:rPr>
          <w:i/>
        </w:rPr>
        <w:t>International arrangements</w:t>
      </w:r>
      <w:r w:rsidR="00AE3237" w:rsidRPr="006D6661">
        <w:rPr>
          <w:i/>
        </w:rPr>
        <w:fldChar w:fldCharType="end"/>
      </w:r>
      <w:r w:rsidR="00AE3237">
        <w:t xml:space="preserve"> section, the band is already used or allocated for </w:t>
      </w:r>
      <w:r w:rsidR="005A21F6">
        <w:t>MBB</w:t>
      </w:r>
      <w:r w:rsidR="00AE3237">
        <w:t xml:space="preserve"> services in a number of countries. There is growing interest for deployment of </w:t>
      </w:r>
      <w:r w:rsidR="005A21F6">
        <w:t>MBB</w:t>
      </w:r>
      <w:r w:rsidR="00AE3237">
        <w:t xml:space="preserve"> services in this band internationally</w:t>
      </w:r>
      <w:r w:rsidR="000D74B9">
        <w:t>,</w:t>
      </w:r>
      <w:r w:rsidR="00AE3237">
        <w:t xml:space="preserve"> following identification of this band for IMT at WRC-15. </w:t>
      </w:r>
      <w:r w:rsidR="00910E2A">
        <w:t xml:space="preserve">Such developments suggests that a viable </w:t>
      </w:r>
      <w:r w:rsidR="005A21F6">
        <w:t>MBB</w:t>
      </w:r>
      <w:r w:rsidR="00910E2A">
        <w:t xml:space="preserve"> equipment ecosystem will develop in the 1.5 GHz band.</w:t>
      </w:r>
    </w:p>
    <w:p w14:paraId="14BDDD9D" w14:textId="77777777" w:rsidR="00E846D0" w:rsidRPr="004B2890" w:rsidRDefault="00E846D0" w:rsidP="00D0095C">
      <w:pPr>
        <w:pStyle w:val="Heading3"/>
      </w:pPr>
      <w:bookmarkStart w:id="171" w:name="_Toc464480550"/>
      <w:r>
        <w:t>Potential b</w:t>
      </w:r>
      <w:r w:rsidRPr="004B2890">
        <w:t xml:space="preserve">enefits </w:t>
      </w:r>
      <w:r>
        <w:t>of spectrum re-farming</w:t>
      </w:r>
      <w:bookmarkEnd w:id="171"/>
    </w:p>
    <w:p w14:paraId="73D19899" w14:textId="488318ED" w:rsidR="00910E2A" w:rsidRPr="00D6210A" w:rsidRDefault="00910E2A" w:rsidP="00D0095C">
      <w:pPr>
        <w:spacing w:after="80"/>
        <w:rPr>
          <w:rFonts w:cs="Arial"/>
        </w:rPr>
      </w:pPr>
      <w:r>
        <w:t>There are a number of potential benefits that could be realised if the 1.5</w:t>
      </w:r>
      <w:r w:rsidRPr="00A72B0B">
        <w:t xml:space="preserve"> GHz band </w:t>
      </w:r>
      <w:r>
        <w:t xml:space="preserve">is re-farmed </w:t>
      </w:r>
      <w:r w:rsidRPr="00A72B0B">
        <w:t xml:space="preserve">for </w:t>
      </w:r>
      <w:r w:rsidR="005A21F6">
        <w:t>MBB</w:t>
      </w:r>
      <w:r w:rsidRPr="00A72B0B">
        <w:t xml:space="preserve"> services</w:t>
      </w:r>
      <w:r>
        <w:t xml:space="preserve">. </w:t>
      </w:r>
      <w:r>
        <w:rPr>
          <w:rFonts w:cs="Arial"/>
        </w:rPr>
        <w:t>An overview of some of the more significant benefits follows:</w:t>
      </w:r>
    </w:p>
    <w:p w14:paraId="6BE1EF60" w14:textId="6AFB2287" w:rsidR="00910E2A" w:rsidRPr="00083C56" w:rsidRDefault="00910E2A" w:rsidP="00D0095C">
      <w:pPr>
        <w:pStyle w:val="ListBullet"/>
      </w:pPr>
      <w:r>
        <w:t xml:space="preserve">Mobile network operators have three broad techniques available to them to address the continued growth in </w:t>
      </w:r>
      <w:r w:rsidR="005A21F6">
        <w:t>MBB</w:t>
      </w:r>
      <w:r>
        <w:t xml:space="preserve"> capacity. </w:t>
      </w:r>
      <w:r w:rsidRPr="001703B7">
        <w:t xml:space="preserve">These </w:t>
      </w:r>
      <w:r>
        <w:t>techniques involve deploying</w:t>
      </w:r>
      <w:r w:rsidRPr="001703B7">
        <w:t xml:space="preserve"> increasingly spectrally</w:t>
      </w:r>
      <w:r w:rsidR="000D74B9">
        <w:t>-</w:t>
      </w:r>
      <w:r w:rsidRPr="001703B7">
        <w:t>efficient technologies</w:t>
      </w:r>
      <w:r>
        <w:t>, increasing the amount of spectrum used</w:t>
      </w:r>
      <w:r w:rsidR="000D74B9">
        <w:t>,</w:t>
      </w:r>
      <w:r>
        <w:t xml:space="preserve"> and deploying</w:t>
      </w:r>
      <w:r w:rsidRPr="001703B7">
        <w:t xml:space="preserve"> appropriate network infrastructure and topologies</w:t>
      </w:r>
      <w:r>
        <w:t xml:space="preserve"> (including more base station sites). Various c</w:t>
      </w:r>
      <w:r w:rsidRPr="001703B7">
        <w:t xml:space="preserve">ombinations of the three </w:t>
      </w:r>
      <w:r>
        <w:t>techniques</w:t>
      </w:r>
      <w:r w:rsidRPr="001703B7">
        <w:t xml:space="preserve"> have been used to meet the growth in demand for </w:t>
      </w:r>
      <w:r w:rsidR="005A21F6">
        <w:t>MBB</w:t>
      </w:r>
      <w:r w:rsidRPr="001703B7">
        <w:t xml:space="preserve"> capacity to date. </w:t>
      </w:r>
    </w:p>
    <w:p w14:paraId="55A92B5D" w14:textId="3F6888E2" w:rsidR="00910E2A" w:rsidRDefault="00910E2A" w:rsidP="00D0095C">
      <w:pPr>
        <w:pStyle w:val="ListBullet"/>
        <w:numPr>
          <w:ilvl w:val="0"/>
          <w:numId w:val="0"/>
        </w:numPr>
        <w:ind w:left="295"/>
      </w:pPr>
      <w:r>
        <w:t>Although these techniques are partially substitutable, there can be substantially different intricacies and costs involved for each. For example, there can be numerous public sensitivities and legal hurdles</w:t>
      </w:r>
      <w:r w:rsidR="000D74B9">
        <w:t>,</w:t>
      </w:r>
      <w:r>
        <w:t xml:space="preserve"> as well as significant costs involved in gaining access to more sites to increase network densification. In situations where the complexities and costs involved in gaining access to new sites is high, obtaining access to more spectrum to increase network capacity may be seen as a more favourable solution. The potential benefits realised in such cases are reduced costs to carriers to provide greater </w:t>
      </w:r>
      <w:r w:rsidR="005A21F6">
        <w:t>MBB</w:t>
      </w:r>
      <w:r>
        <w:t xml:space="preserve"> capacity.</w:t>
      </w:r>
    </w:p>
    <w:p w14:paraId="55F1616E" w14:textId="2858190D" w:rsidR="00910E2A" w:rsidRDefault="00910E2A" w:rsidP="00D0095C">
      <w:pPr>
        <w:pStyle w:val="ListBullet"/>
        <w:rPr>
          <w:rFonts w:cs="Arial"/>
        </w:rPr>
      </w:pPr>
      <w:r>
        <w:t xml:space="preserve">Identifying spectrum for </w:t>
      </w:r>
      <w:r w:rsidR="005A21F6">
        <w:t>MBB</w:t>
      </w:r>
      <w:r>
        <w:t xml:space="preserve"> that is both internationally harmonised and aligns with technology standards is important to the ultimate success of a frequency band. International spectrum harmonisation and technology standardisation generate economies of scale, reducing the price of equipment for both network operators and consumers. They also provide greater global roaming opportunities for consumers, allowing the same handset to be operated on networks in many different countries.</w:t>
      </w:r>
    </w:p>
    <w:p w14:paraId="2833A037" w14:textId="56C5BE1F" w:rsidR="00910E2A" w:rsidRDefault="00910E2A" w:rsidP="00D0095C">
      <w:pPr>
        <w:pStyle w:val="ListBullet"/>
      </w:pPr>
      <w:r w:rsidRPr="0003381E">
        <w:t>When considering the highest</w:t>
      </w:r>
      <w:r w:rsidR="000D74B9">
        <w:t>-</w:t>
      </w:r>
      <w:r w:rsidRPr="0003381E">
        <w:t xml:space="preserve">value use of a band, it is important to take into account the value of the service to consumers beyond the price paid. This is called the ‘consumer surplus’. Access to more spectrum could allow mobile operators to deploy higher quality services and provide higher peak and average data rates at a similar price, resulting in an increase in consumer surplus. It is also possible that an allocation of additional spectrum could be used to allow for lower prices by reducing cost structure, </w:t>
      </w:r>
      <w:r>
        <w:t xml:space="preserve">again </w:t>
      </w:r>
      <w:r w:rsidRPr="0003381E">
        <w:t>leading to an increase in consumer surplus.</w:t>
      </w:r>
    </w:p>
    <w:p w14:paraId="5F961CFE" w14:textId="691050A7" w:rsidR="00910E2A" w:rsidRPr="00777357" w:rsidRDefault="00910E2A" w:rsidP="00D0095C">
      <w:pPr>
        <w:pStyle w:val="ListBulletLast"/>
      </w:pPr>
      <w:r>
        <w:t xml:space="preserve">Up to 90 MHz of spectrum could be made available in the </w:t>
      </w:r>
      <w:r w:rsidR="00334FBA">
        <w:t>1.5</w:t>
      </w:r>
      <w:r>
        <w:t xml:space="preserve"> GHz band for </w:t>
      </w:r>
      <w:r w:rsidR="005A21F6">
        <w:t>MBB</w:t>
      </w:r>
      <w:r>
        <w:t xml:space="preserve"> in metropolitan and regional areas. This has the potential to improve competition in the </w:t>
      </w:r>
      <w:r w:rsidR="005A21F6">
        <w:t>MBB</w:t>
      </w:r>
      <w:r>
        <w:t xml:space="preserve"> market by providing incumbent and with access to considerable amounts of spectrum in key market areas. </w:t>
      </w:r>
    </w:p>
    <w:p w14:paraId="70F39A46" w14:textId="31F2F381" w:rsidR="00E846D0" w:rsidRPr="004B2890" w:rsidRDefault="00E846D0" w:rsidP="00D0095C">
      <w:pPr>
        <w:pStyle w:val="Heading3"/>
      </w:pPr>
      <w:bookmarkStart w:id="172" w:name="_Toc464480551"/>
      <w:r>
        <w:t>Potential costs of spectrum re-farming</w:t>
      </w:r>
      <w:r w:rsidR="000D74B9">
        <w:t>—</w:t>
      </w:r>
      <w:r w:rsidRPr="00B52A85">
        <w:t>Incumbency</w:t>
      </w:r>
      <w:r>
        <w:t xml:space="preserve"> c</w:t>
      </w:r>
      <w:r w:rsidRPr="004B2890">
        <w:t>onsiderations</w:t>
      </w:r>
      <w:bookmarkEnd w:id="172"/>
    </w:p>
    <w:p w14:paraId="30BF3E4A" w14:textId="250616CB" w:rsidR="00AE3237" w:rsidRDefault="00AE3237" w:rsidP="00D0095C">
      <w:r>
        <w:t xml:space="preserve">There are a number of incumbent services operating in the 1.5 GHz band. Depending on the frequency range and geographical area considered, a varying number of incumbent licenses may be affected by a decision to re-farm the 1.5 GHz band. This number also depends on the type of </w:t>
      </w:r>
      <w:r w:rsidR="00335B81">
        <w:t>re-planning</w:t>
      </w:r>
      <w:r>
        <w:t xml:space="preserve"> arrangements implemented. For example, in the event sharing arrangements are developed, it is possible that no or few licensees would be affected.</w:t>
      </w:r>
    </w:p>
    <w:p w14:paraId="33C57141" w14:textId="43C693BC" w:rsidR="00AE3237" w:rsidRDefault="00AE3237" w:rsidP="00D0095C">
      <w:r>
        <w:t xml:space="preserve">If a decision was made to relocate </w:t>
      </w:r>
      <w:r w:rsidR="00FB1053">
        <w:t>incumbent</w:t>
      </w:r>
      <w:r>
        <w:t xml:space="preserve"> services in specified areas, any options available (including associated costs) for licensees to continue to deliver their service need to be considered. In some cases, a licensee may already have plans to wind down and decommission their service. However, many licensees are likely to have a desire to continue delivering existing services. </w:t>
      </w:r>
    </w:p>
    <w:p w14:paraId="38969252" w14:textId="77777777" w:rsidR="00AE3237" w:rsidRDefault="00AE3237" w:rsidP="00D0095C">
      <w:pPr>
        <w:spacing w:after="80"/>
      </w:pPr>
      <w:r>
        <w:t>A simple analysis of the effect on incumbent services and alternative delivery options available follows:</w:t>
      </w:r>
    </w:p>
    <w:p w14:paraId="527B5057" w14:textId="507477BA" w:rsidR="00AE3237" w:rsidRDefault="003B6FD9" w:rsidP="00D0095C">
      <w:pPr>
        <w:pStyle w:val="ListBullet"/>
      </w:pPr>
      <w:r>
        <w:t xml:space="preserve">The band is used extensively for fixed services concentrated in regional and remote areas. In areas where the band is re-farmed for </w:t>
      </w:r>
      <w:r w:rsidR="005A21F6">
        <w:t>MBB</w:t>
      </w:r>
      <w:r>
        <w:t xml:space="preserve"> services, services may potentially be able to be migrated to new or existing mobile networks. The effect of re-farming on fixed services could also be minimised by limiting </w:t>
      </w:r>
      <w:r w:rsidR="00F842A2">
        <w:t xml:space="preserve">it </w:t>
      </w:r>
      <w:r>
        <w:t>to metropolitan areas.</w:t>
      </w:r>
    </w:p>
    <w:p w14:paraId="474762FE" w14:textId="342F86A0" w:rsidR="00AE3237" w:rsidRDefault="003B6FD9" w:rsidP="00D0095C">
      <w:pPr>
        <w:pStyle w:val="ListBullet"/>
      </w:pPr>
      <w:r>
        <w:t xml:space="preserve">The use of the band by the Department of </w:t>
      </w:r>
      <w:r w:rsidR="00AE3237">
        <w:t>Defence</w:t>
      </w:r>
      <w:r>
        <w:t xml:space="preserve"> for aeronautical mobile telemetry is expected to continue in the 1.5 GHz band. However, given the limited geographic nature of this use, sharing arrangements to allow ongoing access to the band by the Department of Defence could potentially be developed. </w:t>
      </w:r>
    </w:p>
    <w:p w14:paraId="18AD7594" w14:textId="20B8A8DE" w:rsidR="00AE3237" w:rsidRDefault="003B6FD9" w:rsidP="00D0095C">
      <w:pPr>
        <w:pStyle w:val="ListBullet"/>
      </w:pPr>
      <w:r>
        <w:t>While there is an allocation to b</w:t>
      </w:r>
      <w:r w:rsidR="00AE3237">
        <w:t>roadcasting</w:t>
      </w:r>
      <w:r>
        <w:t xml:space="preserve"> services in the band, there is no current or future planned use of the 1.5 GHz band for broadcasting services. Therefore, the cost of re-farming </w:t>
      </w:r>
      <w:r w:rsidR="00A029F3">
        <w:t xml:space="preserve">in this case is </w:t>
      </w:r>
      <w:r w:rsidR="0018101D">
        <w:t>zero</w:t>
      </w:r>
      <w:r w:rsidR="00A029F3">
        <w:t>.</w:t>
      </w:r>
    </w:p>
    <w:p w14:paraId="1726714A" w14:textId="6DC22182" w:rsidR="00A029F3" w:rsidRDefault="00A029F3" w:rsidP="00D0095C">
      <w:pPr>
        <w:pStyle w:val="ListBullet"/>
      </w:pPr>
      <w:r>
        <w:t>While there is an allocation to broadcasting-satellite services in the band, there is no current use of the 1.5 GHz band for broadcasting-satellite services in Australia. Therefore, the cost of re-farming in this case is minimal.</w:t>
      </w:r>
    </w:p>
    <w:p w14:paraId="4280696C" w14:textId="170AFB04" w:rsidR="00AE3237" w:rsidRPr="00D0095C" w:rsidRDefault="00A029F3" w:rsidP="00D0095C">
      <w:pPr>
        <w:pStyle w:val="ListBulletLast"/>
      </w:pPr>
      <w:r>
        <w:t>Concerns have previously been raised regarding the effect of re-farming the 1.</w:t>
      </w:r>
      <w:r w:rsidR="000D74B9">
        <w:t>5 </w:t>
      </w:r>
      <w:r>
        <w:t xml:space="preserve">GHz band to </w:t>
      </w:r>
      <w:r w:rsidR="005A21F6">
        <w:t>MBB</w:t>
      </w:r>
      <w:r>
        <w:t xml:space="preserve"> services on adjacent band mobile-satellite services and passive sensing services. It is envisaged that any costs can be minimised through the development of appropriate technical frameworks to govern adjacent band emissions.</w:t>
      </w:r>
    </w:p>
    <w:p w14:paraId="53592681" w14:textId="1B4C76E9" w:rsidR="00AE3237" w:rsidRDefault="00AE3237" w:rsidP="00D0095C">
      <w:r w:rsidRPr="00793A70">
        <w:t xml:space="preserve">It is noted that all of the </w:t>
      </w:r>
      <w:r>
        <w:t>alternative delivery options</w:t>
      </w:r>
      <w:r w:rsidRPr="00793A70">
        <w:t xml:space="preserve"> described above come at a cost</w:t>
      </w:r>
      <w:r w:rsidR="000D74B9">
        <w:t>,</w:t>
      </w:r>
      <w:r w:rsidRPr="00793A70">
        <w:t xml:space="preserve"> and in some cases</w:t>
      </w:r>
      <w:r w:rsidR="000D74B9">
        <w:t>,</w:t>
      </w:r>
      <w:r w:rsidRPr="00793A70">
        <w:t xml:space="preserve"> may not be practical or possible to implement. However, the ACMA believes there is merit in investigating these and any other viable options further</w:t>
      </w:r>
      <w:r>
        <w:t xml:space="preserve"> before anything is discounted</w:t>
      </w:r>
      <w:r w:rsidRPr="00793A70">
        <w:t>. The cost and effect on incumbent licensees</w:t>
      </w:r>
      <w:r>
        <w:t xml:space="preserve"> in implementing these alternatives</w:t>
      </w:r>
      <w:r w:rsidRPr="00793A70">
        <w:t xml:space="preserve">, including </w:t>
      </w:r>
      <w:r>
        <w:t>the</w:t>
      </w:r>
      <w:r w:rsidRPr="00793A70">
        <w:t xml:space="preserve"> ability to deliver </w:t>
      </w:r>
      <w:r>
        <w:t>the same level of</w:t>
      </w:r>
      <w:r w:rsidRPr="00793A70">
        <w:t xml:space="preserve"> service,</w:t>
      </w:r>
      <w:r>
        <w:t xml:space="preserve"> are</w:t>
      </w:r>
      <w:r w:rsidRPr="00793A70">
        <w:t xml:space="preserve"> important consideration</w:t>
      </w:r>
      <w:r w:rsidR="001825B4">
        <w:t>s</w:t>
      </w:r>
      <w:r w:rsidRPr="00793A70">
        <w:t xml:space="preserve">. These are things that </w:t>
      </w:r>
      <w:r>
        <w:t>will</w:t>
      </w:r>
      <w:r w:rsidRPr="00793A70">
        <w:t xml:space="preserve"> be considered in further detail in a</w:t>
      </w:r>
      <w:r>
        <w:t xml:space="preserve"> future</w:t>
      </w:r>
      <w:r w:rsidRPr="00793A70">
        <w:t xml:space="preserve"> </w:t>
      </w:r>
      <w:r w:rsidR="0018101D">
        <w:t>comprehensive</w:t>
      </w:r>
      <w:r w:rsidRPr="00793A70">
        <w:t xml:space="preserve"> assessment of highest</w:t>
      </w:r>
      <w:r w:rsidR="000D74B9">
        <w:t>-</w:t>
      </w:r>
      <w:r w:rsidRPr="00793A70">
        <w:t>value use.</w:t>
      </w:r>
    </w:p>
    <w:p w14:paraId="250355E2" w14:textId="5F7A93CC" w:rsidR="00E846D0" w:rsidRPr="004B2890" w:rsidRDefault="00E846D0" w:rsidP="00D0095C">
      <w:pPr>
        <w:pStyle w:val="Heading3"/>
      </w:pPr>
      <w:bookmarkStart w:id="173" w:name="_Toc464480552"/>
      <w:bookmarkEnd w:id="169"/>
      <w:r w:rsidRPr="004B2890">
        <w:t xml:space="preserve">Preliminary </w:t>
      </w:r>
      <w:r w:rsidR="000D74B9">
        <w:t>a</w:t>
      </w:r>
      <w:r w:rsidRPr="004B2890">
        <w:t>ssessment</w:t>
      </w:r>
      <w:bookmarkEnd w:id="173"/>
    </w:p>
    <w:p w14:paraId="49A72880" w14:textId="0530D57C" w:rsidR="00AE3237" w:rsidRDefault="00AE3237" w:rsidP="00D0095C">
      <w:pPr>
        <w:rPr>
          <w:highlight w:val="yellow"/>
        </w:rPr>
      </w:pPr>
      <w:r>
        <w:t>Based on the preceding discussion, the ACMA believes that the highest</w:t>
      </w:r>
      <w:r w:rsidR="000D74B9">
        <w:t>-</w:t>
      </w:r>
      <w:r>
        <w:t xml:space="preserve">value use of the 1.5 GHz band has changed, or may be changing, in some areas. Further consideration is proposed to assess this in detail. This includes determining whether to re-farm some or all of the 1.5 GHz band for </w:t>
      </w:r>
      <w:r w:rsidR="005A21F6">
        <w:t>MBB</w:t>
      </w:r>
      <w:r w:rsidR="000D74B9">
        <w:t>,</w:t>
      </w:r>
      <w:r>
        <w:t xml:space="preserve"> and exactly what areas this should encompass. It is therefore proposed to progress consideration of the 1.5 GHz band for </w:t>
      </w:r>
      <w:r w:rsidR="005A21F6">
        <w:t>MBB</w:t>
      </w:r>
      <w:r>
        <w:t xml:space="preserve"> to the </w:t>
      </w:r>
      <w:r w:rsidR="00335B81">
        <w:rPr>
          <w:i/>
        </w:rPr>
        <w:t>p</w:t>
      </w:r>
      <w:r>
        <w:rPr>
          <w:i/>
        </w:rPr>
        <w:t xml:space="preserve">reliminary </w:t>
      </w:r>
      <w:r w:rsidR="00335B81">
        <w:rPr>
          <w:i/>
        </w:rPr>
        <w:t>r</w:t>
      </w:r>
      <w:r>
        <w:rPr>
          <w:i/>
        </w:rPr>
        <w:t xml:space="preserve">eplanning </w:t>
      </w:r>
      <w:r>
        <w:t xml:space="preserve">stage of the ACMA’s process for consideration of additional spectrum for </w:t>
      </w:r>
      <w:r w:rsidR="005A21F6">
        <w:t>MBB</w:t>
      </w:r>
      <w:r>
        <w:t xml:space="preserve"> services.</w:t>
      </w:r>
      <w:r w:rsidR="00A257F7">
        <w:t xml:space="preserve"> </w:t>
      </w:r>
    </w:p>
    <w:p w14:paraId="168A2E76" w14:textId="2F37D2CD" w:rsidR="00D60133" w:rsidRDefault="00D60133" w:rsidP="00D0095C">
      <w:pPr>
        <w:pStyle w:val="Heading2"/>
      </w:pPr>
      <w:bookmarkStart w:id="174" w:name="_Toc464480553"/>
      <w:r>
        <w:t xml:space="preserve">3.6 GHz Preliminary </w:t>
      </w:r>
      <w:r w:rsidR="0063472B">
        <w:t>a</w:t>
      </w:r>
      <w:r>
        <w:t xml:space="preserve">ssessment </w:t>
      </w:r>
      <w:r w:rsidR="0063472B">
        <w:t>of HVU</w:t>
      </w:r>
      <w:bookmarkEnd w:id="174"/>
    </w:p>
    <w:p w14:paraId="568BA62E" w14:textId="2AB93C52" w:rsidR="00D60133" w:rsidRPr="004B2890" w:rsidRDefault="00D60133" w:rsidP="00D0095C">
      <w:pPr>
        <w:pStyle w:val="Heading3"/>
      </w:pPr>
      <w:bookmarkStart w:id="175" w:name="_Toc464480554"/>
      <w:r w:rsidRPr="004B2890">
        <w:t xml:space="preserve">Indicators </w:t>
      </w:r>
      <w:r w:rsidR="00E30B48">
        <w:t>of</w:t>
      </w:r>
      <w:r w:rsidRPr="004B2890">
        <w:t xml:space="preserve"> potential change in </w:t>
      </w:r>
      <w:r w:rsidR="00E30B48">
        <w:t>HVU</w:t>
      </w:r>
      <w:bookmarkEnd w:id="175"/>
    </w:p>
    <w:p w14:paraId="46730CC6" w14:textId="3C84ADEA" w:rsidR="00D60133" w:rsidRDefault="00D60133" w:rsidP="00D0095C">
      <w:r>
        <w:t>Domestically, r</w:t>
      </w:r>
      <w:r w:rsidRPr="00E90422">
        <w:t xml:space="preserve">epresentatives of </w:t>
      </w:r>
      <w:r>
        <w:t>the</w:t>
      </w:r>
      <w:r w:rsidRPr="00E90422">
        <w:t xml:space="preserve"> </w:t>
      </w:r>
      <w:r w:rsidR="005A21F6">
        <w:t>MBB</w:t>
      </w:r>
      <w:r w:rsidRPr="00E90422">
        <w:t xml:space="preserve"> </w:t>
      </w:r>
      <w:r>
        <w:t>community</w:t>
      </w:r>
      <w:r w:rsidRPr="00E90422">
        <w:t xml:space="preserve"> have indicated </w:t>
      </w:r>
      <w:r>
        <w:t>interest in accessing the 3.6 GHz band</w:t>
      </w:r>
      <w:r w:rsidR="0002375A">
        <w:t>,</w:t>
      </w:r>
      <w:r>
        <w:t xml:space="preserve"> not only in regional and remote areas</w:t>
      </w:r>
      <w:r w:rsidR="0002375A">
        <w:t>,</w:t>
      </w:r>
      <w:r>
        <w:t xml:space="preserve"> but the currently embargoed metropolitan areas</w:t>
      </w:r>
      <w:r w:rsidRPr="00E90422">
        <w:t xml:space="preserve">. </w:t>
      </w:r>
      <w:r>
        <w:t>Also</w:t>
      </w:r>
      <w:r w:rsidR="0002375A">
        <w:t>,</w:t>
      </w:r>
      <w:r>
        <w:t xml:space="preserve"> there appears to be growing interest in using the 3400</w:t>
      </w:r>
      <w:r w:rsidR="0002375A">
        <w:t>–</w:t>
      </w:r>
      <w:r>
        <w:t>3</w:t>
      </w:r>
      <w:r w:rsidR="007E2145">
        <w:t>8</w:t>
      </w:r>
      <w:r>
        <w:t xml:space="preserve">00 MHz frequency range for </w:t>
      </w:r>
      <w:r w:rsidR="005A21F6">
        <w:t>MBB</w:t>
      </w:r>
      <w:r>
        <w:t xml:space="preserve"> services</w:t>
      </w:r>
      <w:r w:rsidR="00F842A2">
        <w:t xml:space="preserve"> internationally</w:t>
      </w:r>
      <w:r>
        <w:t>. This is evidenced by recent developments at ITU-R WRC-15 in identifying spectrum for IMT</w:t>
      </w:r>
      <w:r w:rsidR="0002375A">
        <w:t>,</w:t>
      </w:r>
      <w:r>
        <w:t xml:space="preserve"> as well as announcements made within Europe and the </w:t>
      </w:r>
      <w:r w:rsidRPr="002866F5">
        <w:t>US</w:t>
      </w:r>
      <w:r>
        <w:t xml:space="preserve"> regarding their intended use of all or part of the frequency range for </w:t>
      </w:r>
      <w:r w:rsidR="005A21F6">
        <w:t>MBB</w:t>
      </w:r>
      <w:r>
        <w:t>. 3GPP has also identified the 3400</w:t>
      </w:r>
      <w:r w:rsidR="0002375A">
        <w:t>–</w:t>
      </w:r>
      <w:r>
        <w:t>3600 MHz and 3600</w:t>
      </w:r>
      <w:r w:rsidR="0002375A">
        <w:t>–</w:t>
      </w:r>
      <w:r>
        <w:t>3800 MHz frequency ranges as profile bands for LTE, and a further band covering the 3550</w:t>
      </w:r>
      <w:r w:rsidR="0002375A">
        <w:t>–</w:t>
      </w:r>
      <w:r>
        <w:t xml:space="preserve">3700 MHz range is under consideration. Such developments suggests that a viable </w:t>
      </w:r>
      <w:r w:rsidR="005A21F6">
        <w:t>MBB</w:t>
      </w:r>
      <w:r>
        <w:t xml:space="preserve"> equipment ecosystem will develop in the 3.6 GHz band.</w:t>
      </w:r>
    </w:p>
    <w:p w14:paraId="25A91FE2" w14:textId="00A6B44B" w:rsidR="009C77BF" w:rsidRDefault="00CF56B1" w:rsidP="00D0095C">
      <w:pPr>
        <w:pStyle w:val="Heading3"/>
      </w:pPr>
      <w:bookmarkStart w:id="176" w:name="_Toc464480555"/>
      <w:r>
        <w:t>Potential b</w:t>
      </w:r>
      <w:r w:rsidR="00D60133" w:rsidRPr="004B2890">
        <w:t xml:space="preserve">enefits </w:t>
      </w:r>
      <w:r>
        <w:t xml:space="preserve">of spectrum </w:t>
      </w:r>
      <w:r w:rsidR="009C77BF">
        <w:t>re-farming</w:t>
      </w:r>
      <w:bookmarkEnd w:id="176"/>
    </w:p>
    <w:p w14:paraId="76485A5A" w14:textId="4910CB90" w:rsidR="002F5191" w:rsidRPr="00D6210A" w:rsidRDefault="002F5191" w:rsidP="00D0095C">
      <w:pPr>
        <w:spacing w:after="80"/>
        <w:rPr>
          <w:rFonts w:cs="Arial"/>
        </w:rPr>
      </w:pPr>
      <w:r>
        <w:t xml:space="preserve">There are </w:t>
      </w:r>
      <w:r w:rsidR="00F842A2">
        <w:t xml:space="preserve">a </w:t>
      </w:r>
      <w:r>
        <w:t>number of potential benefits that could be realised if the 3.6</w:t>
      </w:r>
      <w:r w:rsidRPr="00A72B0B">
        <w:t xml:space="preserve"> GHz band </w:t>
      </w:r>
      <w:r>
        <w:t xml:space="preserve">is re-farmed </w:t>
      </w:r>
      <w:r w:rsidRPr="00A72B0B">
        <w:t xml:space="preserve">for </w:t>
      </w:r>
      <w:r w:rsidR="005A21F6">
        <w:t>MBB</w:t>
      </w:r>
      <w:r w:rsidRPr="00A72B0B">
        <w:t xml:space="preserve"> services</w:t>
      </w:r>
      <w:r>
        <w:t xml:space="preserve">. </w:t>
      </w:r>
      <w:r>
        <w:rPr>
          <w:rFonts w:cs="Arial"/>
        </w:rPr>
        <w:t>An overview of some of the more significant benefits follows:</w:t>
      </w:r>
    </w:p>
    <w:p w14:paraId="50BF38B6" w14:textId="4ED121FE" w:rsidR="002F5191" w:rsidRPr="00083C56" w:rsidRDefault="002F5191" w:rsidP="00D0095C">
      <w:pPr>
        <w:pStyle w:val="ListBullet"/>
      </w:pPr>
      <w:r>
        <w:t xml:space="preserve">Mobile network operators have three broad techniques available to them to address the continued growth in </w:t>
      </w:r>
      <w:r w:rsidR="005A21F6">
        <w:t>MBB</w:t>
      </w:r>
      <w:r>
        <w:t xml:space="preserve"> capacity. </w:t>
      </w:r>
      <w:r w:rsidRPr="001703B7">
        <w:t xml:space="preserve">These </w:t>
      </w:r>
      <w:r>
        <w:t>techniques involve deploying</w:t>
      </w:r>
      <w:r w:rsidRPr="001703B7">
        <w:t xml:space="preserve"> increasingly spectrally efficient technologies</w:t>
      </w:r>
      <w:r>
        <w:t>, increasing the amount of spectrum used</w:t>
      </w:r>
      <w:r w:rsidR="0002375A">
        <w:t>,</w:t>
      </w:r>
      <w:r>
        <w:t xml:space="preserve"> and deploying</w:t>
      </w:r>
      <w:r w:rsidRPr="001703B7">
        <w:t xml:space="preserve"> appropriate network infrastructure and topologies</w:t>
      </w:r>
      <w:r>
        <w:t xml:space="preserve"> (including more base station sites). </w:t>
      </w:r>
      <w:r w:rsidR="00366D1A">
        <w:t>Various c</w:t>
      </w:r>
      <w:r w:rsidRPr="001703B7">
        <w:t xml:space="preserve">ombinations of the three </w:t>
      </w:r>
      <w:r w:rsidR="00366D1A">
        <w:t>techniques</w:t>
      </w:r>
      <w:r w:rsidR="00366D1A" w:rsidRPr="001703B7">
        <w:t xml:space="preserve"> </w:t>
      </w:r>
      <w:r w:rsidRPr="001703B7">
        <w:t xml:space="preserve">have been used to meet the growth in demand for </w:t>
      </w:r>
      <w:r w:rsidR="005A21F6">
        <w:t>MBB</w:t>
      </w:r>
      <w:r w:rsidRPr="001703B7">
        <w:t xml:space="preserve"> capacity to date. </w:t>
      </w:r>
    </w:p>
    <w:p w14:paraId="52EF8E6F" w14:textId="4811DBB9" w:rsidR="002F5191" w:rsidRDefault="002F5191" w:rsidP="00D0095C">
      <w:pPr>
        <w:pStyle w:val="ListBullet"/>
        <w:numPr>
          <w:ilvl w:val="0"/>
          <w:numId w:val="0"/>
        </w:numPr>
        <w:ind w:left="295"/>
      </w:pPr>
      <w:r>
        <w:t>Although these techniques are partially substitutable, there can be substantially different intricacies and costs involved for each. For example, there can be numerous public sensitivities and legal hurdles</w:t>
      </w:r>
      <w:r w:rsidR="0002375A">
        <w:t>,</w:t>
      </w:r>
      <w:r>
        <w:t xml:space="preserve"> as well as significant costs involved in gaining access to more sites to increase network densification. In situations where the complexities and costs involved in gaining access to </w:t>
      </w:r>
      <w:r w:rsidR="00366D1A">
        <w:t>new</w:t>
      </w:r>
      <w:r>
        <w:t xml:space="preserve"> sites is high, obtaining access to more spectrum to increase network capacity may be seen as a more favourable </w:t>
      </w:r>
      <w:r w:rsidR="00366D1A">
        <w:t>solution</w:t>
      </w:r>
      <w:r>
        <w:t xml:space="preserve">. The potential benefits realised in such cases are reduced costs to carriers to provide greater </w:t>
      </w:r>
      <w:r w:rsidR="005A21F6">
        <w:t>MBB</w:t>
      </w:r>
      <w:r>
        <w:t xml:space="preserve"> capacity.</w:t>
      </w:r>
    </w:p>
    <w:p w14:paraId="7116ED80" w14:textId="702728DD" w:rsidR="00F41599" w:rsidRDefault="00F41599" w:rsidP="00D0095C">
      <w:pPr>
        <w:pStyle w:val="ListBullet"/>
        <w:rPr>
          <w:rFonts w:cs="Arial"/>
        </w:rPr>
      </w:pPr>
      <w:r>
        <w:t xml:space="preserve">Identifying spectrum for </w:t>
      </w:r>
      <w:r w:rsidR="005A21F6">
        <w:t>MBB</w:t>
      </w:r>
      <w:r>
        <w:t xml:space="preserve"> that is both internationally harmonised and aligns with technology standards is important to the ultimate success of a frequency band. International spectrum harmonisation and technology standardisation generate economies of scale, reducing the price of equipment for both network operators and consumers. </w:t>
      </w:r>
      <w:r w:rsidR="00F842A2">
        <w:t>They</w:t>
      </w:r>
      <w:r>
        <w:t xml:space="preserve"> also provide greater global roaming opportunities for consumers, allowing the same handset to be operated on networks in many different countries.</w:t>
      </w:r>
    </w:p>
    <w:p w14:paraId="17A23739" w14:textId="29578C44" w:rsidR="00F41599" w:rsidRDefault="00F41599" w:rsidP="00D0095C">
      <w:pPr>
        <w:pStyle w:val="ListBullet"/>
      </w:pPr>
      <w:r w:rsidRPr="0003381E">
        <w:t>When considering the highest</w:t>
      </w:r>
      <w:r w:rsidR="0002375A">
        <w:t>-</w:t>
      </w:r>
      <w:r w:rsidRPr="0003381E">
        <w:t xml:space="preserve">value use of a band, it is important to take into account the value of the service to consumers beyond the price paid. This is called the ‘consumer surplus’. Access to more spectrum could allow mobile operators to deploy higher quality services and provide higher peak and average data rates at a similar price, resulting in an increase in consumer surplus. It is also possible that an allocation of additional spectrum could be used to allow for lower prices by reducing cost structure, </w:t>
      </w:r>
      <w:r>
        <w:t xml:space="preserve">again </w:t>
      </w:r>
      <w:r w:rsidRPr="0003381E">
        <w:t>leading to an increase in consumer surplus.</w:t>
      </w:r>
    </w:p>
    <w:p w14:paraId="5F05A78B" w14:textId="1FECE6F7" w:rsidR="00777357" w:rsidRPr="00777357" w:rsidRDefault="00777357" w:rsidP="00D0095C">
      <w:pPr>
        <w:pStyle w:val="ListBullet"/>
        <w:rPr>
          <w:rFonts w:cs="Arial"/>
        </w:rPr>
      </w:pPr>
      <w:r>
        <w:t xml:space="preserve">Up to 125 MHz of spectrum could be made available in the 3.6 GHz band for </w:t>
      </w:r>
      <w:r w:rsidR="005A21F6">
        <w:t>MBB</w:t>
      </w:r>
      <w:r>
        <w:t xml:space="preserve"> in metropolitan and regional areas. This has the potential to improve competition in the </w:t>
      </w:r>
      <w:r w:rsidR="005A21F6">
        <w:t>MBB</w:t>
      </w:r>
      <w:r>
        <w:t xml:space="preserve"> market </w:t>
      </w:r>
      <w:r>
        <w:rPr>
          <w:rFonts w:cs="Arial"/>
        </w:rPr>
        <w:t xml:space="preserve">by providing </w:t>
      </w:r>
      <w:r w:rsidR="00FB1053">
        <w:rPr>
          <w:rFonts w:cs="Arial"/>
        </w:rPr>
        <w:t>incumbent</w:t>
      </w:r>
      <w:r>
        <w:rPr>
          <w:rFonts w:cs="Arial"/>
        </w:rPr>
        <w:t xml:space="preserve"> and/or new operators with access to considerable amounts of spectrum in key market areas. </w:t>
      </w:r>
    </w:p>
    <w:p w14:paraId="55F3CA06" w14:textId="69A7BDBA" w:rsidR="00AF6C85" w:rsidRPr="00777357" w:rsidRDefault="00777357" w:rsidP="00D0095C">
      <w:pPr>
        <w:pStyle w:val="ListBulletLast"/>
      </w:pPr>
      <w:r>
        <w:t>There is growing interest internationally in identifying the 3.6 GHz band and the broader 3</w:t>
      </w:r>
      <w:r w:rsidR="00CA12A9">
        <w:t>4</w:t>
      </w:r>
      <w:r>
        <w:t>00</w:t>
      </w:r>
      <w:r w:rsidR="0002375A">
        <w:t>–</w:t>
      </w:r>
      <w:r>
        <w:t>3800 MHz frequency range for the early implementation of 5G or ‘5G</w:t>
      </w:r>
      <w:r w:rsidR="0002375A">
        <w:t>-</w:t>
      </w:r>
      <w:r>
        <w:t>like’ services. This is due to the potentially large bandwidths on offer</w:t>
      </w:r>
      <w:r w:rsidR="0002375A">
        <w:t>,</w:t>
      </w:r>
      <w:r>
        <w:t xml:space="preserve"> and the fact that this </w:t>
      </w:r>
      <w:r w:rsidR="00F842A2">
        <w:t xml:space="preserve">frequency band </w:t>
      </w:r>
      <w:r>
        <w:t xml:space="preserve">(and higher frequency bands) lend themselves to the deployment of massive MIMO systems. Re-farming the 3.6 GHz band for </w:t>
      </w:r>
      <w:r w:rsidR="005A21F6">
        <w:t>MBB</w:t>
      </w:r>
      <w:r>
        <w:t xml:space="preserve"> in Australia could therefore support the early implementation of 5G or ‘5G</w:t>
      </w:r>
      <w:r w:rsidR="0002375A">
        <w:t>-</w:t>
      </w:r>
      <w:r>
        <w:t>like’ services.</w:t>
      </w:r>
    </w:p>
    <w:p w14:paraId="48077C5E" w14:textId="457F576F" w:rsidR="00D60133" w:rsidRPr="004B2890" w:rsidRDefault="008A2B11" w:rsidP="00D0095C">
      <w:pPr>
        <w:pStyle w:val="Heading3"/>
      </w:pPr>
      <w:bookmarkStart w:id="177" w:name="_Toc464480556"/>
      <w:r>
        <w:t>Potential c</w:t>
      </w:r>
      <w:r w:rsidR="00CF56B1">
        <w:t>osts of spectrum re-farming</w:t>
      </w:r>
      <w:r w:rsidR="0002375A">
        <w:t>—</w:t>
      </w:r>
      <w:r w:rsidR="00D60133" w:rsidRPr="00B52A85">
        <w:t>Incumbency</w:t>
      </w:r>
      <w:r w:rsidR="009C77BF">
        <w:t xml:space="preserve"> considerations</w:t>
      </w:r>
      <w:bookmarkEnd w:id="177"/>
    </w:p>
    <w:p w14:paraId="623B0EF1" w14:textId="7D0FF3FD" w:rsidR="00D60133" w:rsidRDefault="00D60133" w:rsidP="00D0095C">
      <w:r>
        <w:t xml:space="preserve">There are a number of incumbent services operating in the 3.6 GHz band. Depending on the frequency range and geographical area considered, a varying number of incumbent licenses may be affected by a decision to re-farm the 3.6 GHz band. This number also depends on the type of </w:t>
      </w:r>
      <w:r w:rsidR="00335B81">
        <w:t>re-planning</w:t>
      </w:r>
      <w:r>
        <w:t xml:space="preserve"> arrangements implemented. For example, in the event </w:t>
      </w:r>
      <w:r w:rsidR="0002375A">
        <w:t xml:space="preserve">that </w:t>
      </w:r>
      <w:r>
        <w:t>sharing arrangements are developed, it is possible that no or few licensees would be affected.</w:t>
      </w:r>
    </w:p>
    <w:p w14:paraId="0EB929DE" w14:textId="018C69F7" w:rsidR="00D60133" w:rsidRDefault="00D60133" w:rsidP="00D0095C">
      <w:r>
        <w:t xml:space="preserve">If a decision was made to relocate </w:t>
      </w:r>
      <w:r w:rsidR="00FB1053">
        <w:t>incumbent</w:t>
      </w:r>
      <w:r>
        <w:t xml:space="preserve"> services in specified areas, any options available (including associated costs) for licensees to continue to deliver their service need to be considered. In some cases, a licensee may already have plans to wind down and decommission their service. However, many licensees are likely to have a desire to continue delivering existing services. </w:t>
      </w:r>
    </w:p>
    <w:p w14:paraId="7087D5DA" w14:textId="77777777" w:rsidR="00D60133" w:rsidRDefault="00D60133" w:rsidP="00D0095C">
      <w:pPr>
        <w:spacing w:after="80"/>
      </w:pPr>
      <w:r>
        <w:t>A simple analysis of the effect on incumbent services and alternative delivery options available follows:</w:t>
      </w:r>
    </w:p>
    <w:p w14:paraId="262412D8" w14:textId="31D7C333" w:rsidR="00D60133" w:rsidRDefault="00D60133" w:rsidP="00D0095C">
      <w:pPr>
        <w:pStyle w:val="ListBullet"/>
      </w:pPr>
      <w:r w:rsidRPr="003C5826">
        <w:t xml:space="preserve">There are only a small number of point-to-point links left in the 3.6 GHz band. Most of these are located in regional areas of Australia. </w:t>
      </w:r>
      <w:r>
        <w:t>There are numerous a</w:t>
      </w:r>
      <w:r w:rsidRPr="003C5826">
        <w:t xml:space="preserve">lternative delivery options </w:t>
      </w:r>
      <w:r>
        <w:t>available for this service. Th</w:t>
      </w:r>
      <w:r w:rsidR="00F842A2">
        <w:t>ese</w:t>
      </w:r>
      <w:r>
        <w:t xml:space="preserve"> </w:t>
      </w:r>
      <w:r w:rsidRPr="003C5826">
        <w:t>include</w:t>
      </w:r>
      <w:r>
        <w:t xml:space="preserve"> retuning to a different channel in the 3.8 GHz fixed link band, relocating to </w:t>
      </w:r>
      <w:r w:rsidRPr="003C5826">
        <w:t xml:space="preserve">another </w:t>
      </w:r>
      <w:r>
        <w:t>fixed link band</w:t>
      </w:r>
      <w:r w:rsidR="0002375A">
        <w:t>,</w:t>
      </w:r>
      <w:r>
        <w:t xml:space="preserve"> or investigating fixed line options.</w:t>
      </w:r>
    </w:p>
    <w:p w14:paraId="50F3ABAE" w14:textId="1F7E44E0" w:rsidR="00D60133" w:rsidRDefault="00D60133" w:rsidP="00D0095C">
      <w:pPr>
        <w:pStyle w:val="ListBullet"/>
      </w:pPr>
      <w:r>
        <w:t xml:space="preserve">Point-to-multipoint licences are used to provide fixed </w:t>
      </w:r>
      <w:r w:rsidR="003D16D6">
        <w:t xml:space="preserve">broadband </w:t>
      </w:r>
      <w:r>
        <w:t xml:space="preserve">and </w:t>
      </w:r>
      <w:r w:rsidR="005A21F6">
        <w:t>MBB</w:t>
      </w:r>
      <w:r>
        <w:t xml:space="preserve"> services. The number of point-to-multipoint services has steadily increased since arrangements were put in place in 2009. This means most services are relatively new. Licensees are likely to have obtained licences and purchased equipment on the assumption of ongoing or long</w:t>
      </w:r>
      <w:r w:rsidR="0002375A">
        <w:t>-</w:t>
      </w:r>
      <w:r>
        <w:t xml:space="preserve">term access to the band. There are few, and in some locations no, alternative apparatus licensed spectrum options available for the re-location of these services. Negotiating access to spectrum held by spectrum licensees in the area is the only other alternative. Fixed line options may not be practical, due to cost factors or the fact that communications is with mobile or nomadic devices. </w:t>
      </w:r>
    </w:p>
    <w:p w14:paraId="2F0E096E" w14:textId="4707B3D8" w:rsidR="00D60133" w:rsidRDefault="00D60133" w:rsidP="00D0095C">
      <w:pPr>
        <w:pStyle w:val="ListBullet"/>
      </w:pPr>
      <w:r w:rsidRPr="003C5826">
        <w:t xml:space="preserve">There are </w:t>
      </w:r>
      <w:r w:rsidR="0063472B">
        <w:t>large</w:t>
      </w:r>
      <w:r w:rsidRPr="003C5826">
        <w:t xml:space="preserve"> FSS installations located in the Belrose/Oxford Falls area in Sydney</w:t>
      </w:r>
      <w:r w:rsidR="0002375A">
        <w:t>,</w:t>
      </w:r>
      <w:r w:rsidRPr="003C5826">
        <w:t xml:space="preserve"> as well as</w:t>
      </w:r>
      <w:r>
        <w:t xml:space="preserve"> at</w:t>
      </w:r>
      <w:r w:rsidRPr="003C5826">
        <w:t xml:space="preserve"> Lonsdale and Lockridge in Perth. There are also a </w:t>
      </w:r>
      <w:r>
        <w:t>few</w:t>
      </w:r>
      <w:r w:rsidRPr="003C5826">
        <w:t xml:space="preserve"> located in </w:t>
      </w:r>
      <w:r>
        <w:t>regional/</w:t>
      </w:r>
      <w:r w:rsidRPr="003C5826">
        <w:t xml:space="preserve">remote areas. The frequency range that an FSS </w:t>
      </w:r>
      <w:r w:rsidR="0002375A">
        <w:t>E</w:t>
      </w:r>
      <w:r w:rsidRPr="003C5826">
        <w:t>arth station operates on is dictated by the satellite it communicates with. This is determined by a combination of the intended use of the satellite system and international coordination processes. Re</w:t>
      </w:r>
      <w:r>
        <w:t>-</w:t>
      </w:r>
      <w:r w:rsidRPr="003C5826">
        <w:t xml:space="preserve">tuning to different frequencies is </w:t>
      </w:r>
      <w:r>
        <w:t xml:space="preserve">unlikely to be </w:t>
      </w:r>
      <w:r w:rsidRPr="003C5826">
        <w:t xml:space="preserve">a practical option. As such, interest in ongoing access to the 3.6 GHz band by new and </w:t>
      </w:r>
      <w:r w:rsidR="00FB1053">
        <w:t>incumbent</w:t>
      </w:r>
      <w:r w:rsidRPr="003C5826">
        <w:t xml:space="preserve"> FSS systems is expected into the future. </w:t>
      </w:r>
      <w:r>
        <w:t>A possible option to facilitate this</w:t>
      </w:r>
      <w:r w:rsidR="00B8046C">
        <w:t>,</w:t>
      </w:r>
      <w:r>
        <w:t xml:space="preserve"> while also supporting the release of populated areas for </w:t>
      </w:r>
      <w:r w:rsidR="005A21F6">
        <w:t>MBB</w:t>
      </w:r>
      <w:r>
        <w:t xml:space="preserve">, would be to geographically relocate FSS </w:t>
      </w:r>
      <w:r w:rsidR="00B8046C">
        <w:t>E</w:t>
      </w:r>
      <w:r>
        <w:t>arth stations to less densely populated locations.</w:t>
      </w:r>
    </w:p>
    <w:p w14:paraId="488C84EC" w14:textId="73060E03" w:rsidR="00D60133" w:rsidRPr="007076DF" w:rsidRDefault="00D60133" w:rsidP="00D0095C">
      <w:pPr>
        <w:pStyle w:val="ListBullet"/>
      </w:pPr>
      <w:r>
        <w:t xml:space="preserve">There are two licensed </w:t>
      </w:r>
      <w:r w:rsidR="00B8046C">
        <w:t>a</w:t>
      </w:r>
      <w:r>
        <w:t xml:space="preserve">mateur </w:t>
      </w:r>
      <w:r w:rsidR="00B8046C">
        <w:t>r</w:t>
      </w:r>
      <w:r>
        <w:t>epeater services operating in the 3575</w:t>
      </w:r>
      <w:r w:rsidR="00B8046C">
        <w:t>–</w:t>
      </w:r>
      <w:r>
        <w:t xml:space="preserve">3600 MHz band. These are located in Sydney and Adelaide. Amateur use is on a secondary basis, which means they operate on a ‘no interference and no protection’ basis with primary fixed, mobile, FSS and radiolocation services. The </w:t>
      </w:r>
      <w:hyperlink r:id="rId106" w:history="1">
        <w:r w:rsidRPr="00D51C3B">
          <w:rPr>
            <w:rStyle w:val="Hyperlink"/>
            <w:rFonts w:cs="Arial"/>
            <w:i/>
          </w:rPr>
          <w:t>Australian Amateur Band Plan</w:t>
        </w:r>
      </w:hyperlink>
      <w:r w:rsidRPr="007076DF">
        <w:t xml:space="preserve"> </w:t>
      </w:r>
      <w:r>
        <w:t xml:space="preserve">(the </w:t>
      </w:r>
      <w:r w:rsidR="00083D65">
        <w:t xml:space="preserve">amateur </w:t>
      </w:r>
      <w:r>
        <w:t>plan) indicates that the 3580</w:t>
      </w:r>
      <w:r w:rsidR="00B8046C">
        <w:t>–</w:t>
      </w:r>
      <w:r>
        <w:t xml:space="preserve">3600 MHz band is identified for wideband </w:t>
      </w:r>
      <w:r w:rsidR="00083D65">
        <w:t>amateur television (</w:t>
      </w:r>
      <w:r w:rsidRPr="002866F5">
        <w:t>ATV</w:t>
      </w:r>
      <w:r w:rsidR="00083D65">
        <w:t>)</w:t>
      </w:r>
      <w:r>
        <w:t xml:space="preserve"> operations. The </w:t>
      </w:r>
      <w:r w:rsidR="00083D65">
        <w:t xml:space="preserve">amateur </w:t>
      </w:r>
      <w:r>
        <w:t>plan also indicates alternative ATV frequency options are available in the 3300</w:t>
      </w:r>
      <w:r w:rsidR="00B8046C">
        <w:t>–</w:t>
      </w:r>
      <w:r>
        <w:t>3320 MHz and 3360</w:t>
      </w:r>
      <w:r w:rsidR="00B8046C">
        <w:t>–</w:t>
      </w:r>
      <w:r>
        <w:t xml:space="preserve">3380 MHz frequency ranges. </w:t>
      </w:r>
    </w:p>
    <w:p w14:paraId="7224EFC2" w14:textId="00367DBB" w:rsidR="00272E21" w:rsidRPr="00C37BA9" w:rsidRDefault="00D60133" w:rsidP="00D0095C">
      <w:pPr>
        <w:pStyle w:val="ListBullet"/>
        <w:rPr>
          <w:rFonts w:cs="Arial"/>
        </w:rPr>
      </w:pPr>
      <w:r>
        <w:t xml:space="preserve">The </w:t>
      </w:r>
      <w:r w:rsidR="00B8046C">
        <w:t>r</w:t>
      </w:r>
      <w:r>
        <w:t>adiolocation service allocation is subject to footnote AUS101A. This means the service is to be used principally for the purposes of defence and national security. There are currently no radiolocation services operating in the 3575</w:t>
      </w:r>
      <w:r w:rsidR="00B8046C">
        <w:t>–</w:t>
      </w:r>
      <w:r>
        <w:t>3600 MHz frequency range. The ACMA will liaise with the Department of Defence on any future requirements in the 3575</w:t>
      </w:r>
      <w:r w:rsidR="00B8046C">
        <w:t>–</w:t>
      </w:r>
      <w:r>
        <w:t>3600 MHz frequency range.</w:t>
      </w:r>
    </w:p>
    <w:p w14:paraId="2F048C17" w14:textId="29F96424" w:rsidR="00272E21" w:rsidRDefault="00272E21" w:rsidP="00D0095C">
      <w:pPr>
        <w:pStyle w:val="ListBullet"/>
      </w:pPr>
      <w:r w:rsidRPr="00BA0511">
        <w:t>T</w:t>
      </w:r>
      <w:r w:rsidRPr="00074D7B">
        <w:t xml:space="preserve">he </w:t>
      </w:r>
      <w:r w:rsidRPr="006D6661">
        <w:t>Radiocommunications (Low Interference Potential Devices) Class Licence 2015</w:t>
      </w:r>
      <w:r w:rsidRPr="00B8046C">
        <w:t xml:space="preserve"> </w:t>
      </w:r>
      <w:r w:rsidRPr="006625F7">
        <w:t>defines arrangements for building material analysis and ultra-wideband transmitters</w:t>
      </w:r>
      <w:r w:rsidRPr="0059197B">
        <w:t xml:space="preserve"> to operate within (and beyond) the 3.6 GHz band. </w:t>
      </w:r>
      <w:r>
        <w:t xml:space="preserve">Arrangements defined for these devices already allow them to co-exist with </w:t>
      </w:r>
      <w:r w:rsidR="005A21F6">
        <w:t>MBB</w:t>
      </w:r>
      <w:r>
        <w:t xml:space="preserve"> services operating under spectrum and apparatus licences in the 3.4 GHz and 3.6 GHz bands. The ACMA believes that no change would be required to these arrangements to enable coexistence with any new </w:t>
      </w:r>
      <w:r w:rsidR="005A21F6">
        <w:t>MBB</w:t>
      </w:r>
      <w:r>
        <w:t xml:space="preserve"> services in the 3.6 GHz band.</w:t>
      </w:r>
    </w:p>
    <w:p w14:paraId="2BACD2B6" w14:textId="5F838EA5" w:rsidR="00D0095C" w:rsidRPr="00D0095C" w:rsidRDefault="00CA12A9" w:rsidP="00D0095C">
      <w:pPr>
        <w:pStyle w:val="ListBulletLast"/>
      </w:pPr>
      <w:r w:rsidRPr="00EF7934">
        <w:t xml:space="preserve">If interference to a </w:t>
      </w:r>
      <w:r w:rsidRPr="002866F5">
        <w:t>TVRO</w:t>
      </w:r>
      <w:r w:rsidRPr="00EF7934">
        <w:t xml:space="preserve"> occurs from a </w:t>
      </w:r>
      <w:r w:rsidR="005A21F6">
        <w:t>MBB</w:t>
      </w:r>
      <w:r w:rsidRPr="00EF7934">
        <w:t xml:space="preserve"> system operating in the 3.6 GHz band (or from any other licensed service operating on any other frequency), they are </w:t>
      </w:r>
      <w:r>
        <w:t xml:space="preserve">not afforded protection from that interference in Australia. </w:t>
      </w:r>
    </w:p>
    <w:p w14:paraId="09C7EE66" w14:textId="55043A6A" w:rsidR="00D60133" w:rsidRDefault="00D60133" w:rsidP="00D60133">
      <w:pPr>
        <w:rPr>
          <w:rFonts w:cs="Arial"/>
        </w:rPr>
      </w:pPr>
      <w:r w:rsidRPr="00793A70">
        <w:rPr>
          <w:rFonts w:cs="Arial"/>
        </w:rPr>
        <w:t xml:space="preserve">It is noted that all of the </w:t>
      </w:r>
      <w:r>
        <w:rPr>
          <w:rFonts w:cs="Arial"/>
        </w:rPr>
        <w:t>alternative delivery options</w:t>
      </w:r>
      <w:r w:rsidRPr="00793A70">
        <w:rPr>
          <w:rFonts w:cs="Arial"/>
        </w:rPr>
        <w:t xml:space="preserve"> described above come at a cost</w:t>
      </w:r>
      <w:r w:rsidR="00B8046C">
        <w:rPr>
          <w:rFonts w:cs="Arial"/>
        </w:rPr>
        <w:t>,</w:t>
      </w:r>
      <w:r w:rsidRPr="00793A70">
        <w:rPr>
          <w:rFonts w:cs="Arial"/>
        </w:rPr>
        <w:t xml:space="preserve"> and in some cases</w:t>
      </w:r>
      <w:r w:rsidR="00B8046C">
        <w:rPr>
          <w:rFonts w:cs="Arial"/>
        </w:rPr>
        <w:t>,</w:t>
      </w:r>
      <w:r w:rsidRPr="00793A70">
        <w:rPr>
          <w:rFonts w:cs="Arial"/>
        </w:rPr>
        <w:t xml:space="preserve"> may not be practical or possible to implement. However, the ACMA believ</w:t>
      </w:r>
      <w:r w:rsidRPr="00D0095C">
        <w:t>e</w:t>
      </w:r>
      <w:r w:rsidRPr="00793A70">
        <w:rPr>
          <w:rFonts w:cs="Arial"/>
        </w:rPr>
        <w:t>s there is merit in investigating these and any other viable options further</w:t>
      </w:r>
      <w:r>
        <w:rPr>
          <w:rFonts w:cs="Arial"/>
        </w:rPr>
        <w:t xml:space="preserve"> before anything is discounted</w:t>
      </w:r>
      <w:r w:rsidRPr="00793A70">
        <w:rPr>
          <w:rFonts w:cs="Arial"/>
        </w:rPr>
        <w:t>. The cost and effect on incumbent licensees</w:t>
      </w:r>
      <w:r>
        <w:rPr>
          <w:rFonts w:cs="Arial"/>
        </w:rPr>
        <w:t xml:space="preserve"> in implementing these alternatives</w:t>
      </w:r>
      <w:r w:rsidRPr="00793A70">
        <w:rPr>
          <w:rFonts w:cs="Arial"/>
        </w:rPr>
        <w:t xml:space="preserve">, including </w:t>
      </w:r>
      <w:r>
        <w:rPr>
          <w:rFonts w:cs="Arial"/>
        </w:rPr>
        <w:t>the</w:t>
      </w:r>
      <w:r w:rsidRPr="00793A70">
        <w:rPr>
          <w:rFonts w:cs="Arial"/>
        </w:rPr>
        <w:t xml:space="preserve"> ability to deliver </w:t>
      </w:r>
      <w:r>
        <w:rPr>
          <w:rFonts w:cs="Arial"/>
        </w:rPr>
        <w:t>the same level of</w:t>
      </w:r>
      <w:r w:rsidRPr="00793A70">
        <w:rPr>
          <w:rFonts w:cs="Arial"/>
        </w:rPr>
        <w:t xml:space="preserve"> service,</w:t>
      </w:r>
      <w:r>
        <w:rPr>
          <w:rFonts w:cs="Arial"/>
        </w:rPr>
        <w:t xml:space="preserve"> are</w:t>
      </w:r>
      <w:r w:rsidRPr="00793A70">
        <w:rPr>
          <w:rFonts w:cs="Arial"/>
        </w:rPr>
        <w:t xml:space="preserve"> important consideration</w:t>
      </w:r>
      <w:r w:rsidR="00A84B88">
        <w:rPr>
          <w:rFonts w:cs="Arial"/>
        </w:rPr>
        <w:t>s</w:t>
      </w:r>
      <w:r w:rsidRPr="00793A70">
        <w:rPr>
          <w:rFonts w:cs="Arial"/>
        </w:rPr>
        <w:t xml:space="preserve">. These are things that </w:t>
      </w:r>
      <w:r>
        <w:rPr>
          <w:rFonts w:cs="Arial"/>
        </w:rPr>
        <w:t>will</w:t>
      </w:r>
      <w:r w:rsidRPr="00793A70">
        <w:rPr>
          <w:rFonts w:cs="Arial"/>
        </w:rPr>
        <w:t xml:space="preserve"> be considered in further detail in a</w:t>
      </w:r>
      <w:r>
        <w:rPr>
          <w:rFonts w:cs="Arial"/>
        </w:rPr>
        <w:t xml:space="preserve"> future</w:t>
      </w:r>
      <w:r w:rsidRPr="00793A70">
        <w:rPr>
          <w:rFonts w:cs="Arial"/>
        </w:rPr>
        <w:t xml:space="preserve"> formal assessment of highest</w:t>
      </w:r>
      <w:r w:rsidR="00B8046C">
        <w:rPr>
          <w:rFonts w:cs="Arial"/>
        </w:rPr>
        <w:t>-</w:t>
      </w:r>
      <w:r w:rsidRPr="00793A70">
        <w:rPr>
          <w:rFonts w:cs="Arial"/>
        </w:rPr>
        <w:t>value use.</w:t>
      </w:r>
    </w:p>
    <w:p w14:paraId="56118350" w14:textId="1E41D29F" w:rsidR="00D60133" w:rsidRPr="004B2890" w:rsidRDefault="00D60133" w:rsidP="00D0095C">
      <w:pPr>
        <w:pStyle w:val="Heading3"/>
      </w:pPr>
      <w:bookmarkStart w:id="178" w:name="_Toc464480557"/>
      <w:r w:rsidRPr="004B2890">
        <w:t xml:space="preserve">Preliminary </w:t>
      </w:r>
      <w:r w:rsidR="00B8046C">
        <w:t>a</w:t>
      </w:r>
      <w:r w:rsidRPr="004B2890">
        <w:t>ssessment</w:t>
      </w:r>
      <w:bookmarkEnd w:id="178"/>
    </w:p>
    <w:p w14:paraId="6C1CFA10" w14:textId="17838878" w:rsidR="005D65DF" w:rsidRPr="00D0095C" w:rsidRDefault="00D60133" w:rsidP="00851F3F">
      <w:pPr>
        <w:rPr>
          <w:highlight w:val="yellow"/>
        </w:rPr>
      </w:pPr>
      <w:r>
        <w:t>Based on the preceding discussion, the ACMA believes that the highest</w:t>
      </w:r>
      <w:r w:rsidR="00B8046C">
        <w:t>-</w:t>
      </w:r>
      <w:r>
        <w:t xml:space="preserve">value use of the band </w:t>
      </w:r>
      <w:r w:rsidR="008A2B11">
        <w:t xml:space="preserve">has, or </w:t>
      </w:r>
      <w:r>
        <w:t xml:space="preserve">may be changing in some areas. Further consideration is proposed to assess this in detail. This includes determining whether to re-farm some or all of the 3.6 GHz band for </w:t>
      </w:r>
      <w:r w:rsidR="005A21F6">
        <w:t>MBB</w:t>
      </w:r>
      <w:r w:rsidR="00B8046C">
        <w:t>,</w:t>
      </w:r>
      <w:r>
        <w:t xml:space="preserve"> and exactly what areas this should encompass. It is therefore proposed to progress consideration of the 3.6 GHz band for </w:t>
      </w:r>
      <w:r w:rsidR="005A21F6">
        <w:t>MBB</w:t>
      </w:r>
      <w:r>
        <w:t xml:space="preserve"> to the </w:t>
      </w:r>
      <w:r w:rsidR="00335B81">
        <w:rPr>
          <w:i/>
        </w:rPr>
        <w:t>p</w:t>
      </w:r>
      <w:r>
        <w:rPr>
          <w:i/>
        </w:rPr>
        <w:t xml:space="preserve">reliminary </w:t>
      </w:r>
      <w:r w:rsidR="00335B81">
        <w:rPr>
          <w:i/>
        </w:rPr>
        <w:t>r</w:t>
      </w:r>
      <w:r>
        <w:rPr>
          <w:i/>
        </w:rPr>
        <w:t xml:space="preserve">eplanning </w:t>
      </w:r>
      <w:r>
        <w:t xml:space="preserve">stage of the ACMA’s process for consideration of additional spectrum for </w:t>
      </w:r>
      <w:r w:rsidR="005A21F6">
        <w:t>MBB</w:t>
      </w:r>
      <w:r>
        <w:t xml:space="preserve"> services.</w:t>
      </w:r>
    </w:p>
    <w:sectPr w:rsidR="005D65DF" w:rsidRPr="00D0095C" w:rsidSect="00463897">
      <w:headerReference w:type="even" r:id="rId107"/>
      <w:headerReference w:type="default" r:id="rId108"/>
      <w:footerReference w:type="even" r:id="rId109"/>
      <w:footerReference w:type="default" r:id="rId110"/>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BC513" w14:textId="77777777" w:rsidR="00C23324" w:rsidRDefault="00C23324">
      <w:r>
        <w:separator/>
      </w:r>
    </w:p>
  </w:endnote>
  <w:endnote w:type="continuationSeparator" w:id="0">
    <w:p w14:paraId="0EE4AB20" w14:textId="77777777" w:rsidR="00C23324" w:rsidRDefault="00C23324">
      <w:r>
        <w:continuationSeparator/>
      </w:r>
    </w:p>
  </w:endnote>
  <w:endnote w:type="continuationNotice" w:id="1">
    <w:p w14:paraId="201533E1" w14:textId="77777777" w:rsidR="00C23324" w:rsidRDefault="00C23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49C1B" w14:textId="77777777" w:rsidR="003919F0" w:rsidRDefault="003919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64BE" w14:textId="77777777" w:rsidR="00FD64A2" w:rsidRPr="00622A3B" w:rsidRDefault="00FD64A2"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63740">
      <w:rPr>
        <w:noProof/>
        <w:color w:val="505050"/>
      </w:rPr>
      <w:t>17</w:t>
    </w:r>
    <w:r w:rsidRPr="00575AC5">
      <w:rPr>
        <w:color w:val="505050"/>
      </w:rPr>
      <w:fldChar w:fldCharType="end"/>
    </w:r>
  </w:p>
  <w:p w14:paraId="3D048020" w14:textId="77777777" w:rsidR="00FD64A2" w:rsidRPr="00A5474E" w:rsidRDefault="00FD64A2"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7E2B" w14:textId="77777777" w:rsidR="00FD64A2" w:rsidRPr="00A5474E" w:rsidRDefault="00FD64A2" w:rsidP="00A5474E">
    <w:pPr>
      <w:pStyle w:val="Footer"/>
    </w:pPr>
    <w:r>
      <w:rPr>
        <w:noProof/>
      </w:rPr>
      <w:drawing>
        <wp:inline distT="0" distB="0" distL="0" distR="0" wp14:anchorId="15E59CFA" wp14:editId="24C3D40D">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8015" w14:textId="77777777" w:rsidR="003919F0" w:rsidRDefault="003919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77122" w14:textId="77777777" w:rsidR="00FD64A2" w:rsidRDefault="00FD64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F80B" w14:textId="77777777" w:rsidR="00FD64A2" w:rsidRDefault="00FD64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07C0" w14:textId="77777777" w:rsidR="00FD64A2" w:rsidRPr="00622A3B" w:rsidRDefault="00FD64A2"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63740">
      <w:rPr>
        <w:noProof/>
        <w:color w:val="505050"/>
      </w:rPr>
      <w:t>iv</w:t>
    </w:r>
    <w:r w:rsidRPr="002E4DDC">
      <w:rPr>
        <w:color w:val="505050"/>
      </w:rPr>
      <w:fldChar w:fldCharType="end"/>
    </w:r>
  </w:p>
  <w:p w14:paraId="697058AB" w14:textId="77777777" w:rsidR="00FD64A2" w:rsidRPr="00A5474E" w:rsidRDefault="00FD64A2"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E9AEF" w14:textId="77777777" w:rsidR="00FD64A2" w:rsidRPr="00622A3B" w:rsidRDefault="00FD64A2"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63740">
      <w:rPr>
        <w:noProof/>
        <w:color w:val="505050"/>
      </w:rPr>
      <w:t>v</w:t>
    </w:r>
    <w:r w:rsidRPr="002E4DDC">
      <w:rPr>
        <w:color w:val="505050"/>
      </w:rPr>
      <w:fldChar w:fldCharType="end"/>
    </w:r>
  </w:p>
  <w:p w14:paraId="7DFA8907" w14:textId="77777777" w:rsidR="00FD64A2" w:rsidRPr="00A5474E" w:rsidRDefault="00FD64A2"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8B100" w14:textId="77777777" w:rsidR="00FD64A2" w:rsidRPr="00622A3B" w:rsidRDefault="00FD64A2"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63740">
      <w:rPr>
        <w:noProof/>
        <w:color w:val="505050"/>
      </w:rPr>
      <w:t>iii</w:t>
    </w:r>
    <w:r w:rsidRPr="002E4DDC">
      <w:rPr>
        <w:color w:val="505050"/>
      </w:rPr>
      <w:fldChar w:fldCharType="end"/>
    </w:r>
  </w:p>
  <w:p w14:paraId="4E7B05CC" w14:textId="77777777" w:rsidR="00FD64A2" w:rsidRPr="00A5474E" w:rsidRDefault="00FD64A2"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23EDE" w14:textId="77777777" w:rsidR="00FD64A2" w:rsidRPr="00622A3B" w:rsidRDefault="00FD64A2"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63740">
      <w:rPr>
        <w:noProof/>
      </w:rPr>
      <w:t>16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412A6BD" w14:textId="77777777" w:rsidR="00FD64A2" w:rsidRPr="00A5474E" w:rsidRDefault="00FD64A2"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FEE22" w14:textId="77777777" w:rsidR="00C23324" w:rsidRDefault="00C23324">
      <w:r>
        <w:separator/>
      </w:r>
    </w:p>
  </w:footnote>
  <w:footnote w:type="continuationSeparator" w:id="0">
    <w:p w14:paraId="364E5C35" w14:textId="77777777" w:rsidR="00C23324" w:rsidRDefault="00C23324">
      <w:r>
        <w:continuationSeparator/>
      </w:r>
    </w:p>
  </w:footnote>
  <w:footnote w:type="continuationNotice" w:id="1">
    <w:p w14:paraId="28A86B9A" w14:textId="77777777" w:rsidR="00C23324" w:rsidRDefault="00C23324">
      <w:pPr>
        <w:spacing w:after="0" w:line="240" w:lineRule="auto"/>
      </w:pPr>
    </w:p>
  </w:footnote>
  <w:footnote w:id="2">
    <w:p w14:paraId="7229F592" w14:textId="445A74A5" w:rsidR="00FD64A2" w:rsidRDefault="00FD64A2" w:rsidP="007A4CFC">
      <w:pPr>
        <w:pStyle w:val="Footer"/>
        <w:spacing w:after="0"/>
      </w:pPr>
      <w:r>
        <w:rPr>
          <w:rStyle w:val="FootnoteReference"/>
        </w:rPr>
        <w:footnoteRef/>
      </w:r>
      <w:r>
        <w:t xml:space="preserve"> The object of the </w:t>
      </w:r>
      <w:r w:rsidRPr="00164D52">
        <w:rPr>
          <w:i/>
        </w:rPr>
        <w:t>Radiocommunications Act 1992</w:t>
      </w:r>
      <w:r>
        <w:t xml:space="preserve"> is to provide for management of the radiofrequency spectrum, to achieve the goals set out in paragraphs 3(a) to 3(h) of that Act. </w:t>
      </w:r>
    </w:p>
  </w:footnote>
  <w:footnote w:id="3">
    <w:p w14:paraId="22221BB5" w14:textId="77777777" w:rsidR="00FD64A2" w:rsidRDefault="00FD64A2" w:rsidP="00E03708">
      <w:pPr>
        <w:pStyle w:val="Footer"/>
        <w:spacing w:after="0"/>
      </w:pPr>
      <w:r>
        <w:rPr>
          <w:rStyle w:val="FootnoteReference"/>
        </w:rPr>
        <w:footnoteRef/>
      </w:r>
      <w:r>
        <w:t xml:space="preserve"> The fingerprints of nature are the radio frequencies that are emitted and/or absorbed by particular molecules. The presence of molecules can be detected by monitoring radio emissions on these frequencies.</w:t>
      </w:r>
    </w:p>
  </w:footnote>
  <w:footnote w:id="4">
    <w:p w14:paraId="0B14409F" w14:textId="77777777" w:rsidR="00FD64A2" w:rsidRDefault="00FD64A2" w:rsidP="007A4CFC">
      <w:pPr>
        <w:pStyle w:val="Footer"/>
        <w:spacing w:after="0"/>
      </w:pPr>
      <w:r>
        <w:rPr>
          <w:rStyle w:val="FootnoteReference"/>
        </w:rPr>
        <w:footnoteRef/>
      </w:r>
      <w:r>
        <w:t xml:space="preserve"> Available on the </w:t>
      </w:r>
      <w:hyperlink r:id="rId1" w:history="1">
        <w:r w:rsidRPr="005E6B5C">
          <w:rPr>
            <w:rStyle w:val="Hyperlink"/>
          </w:rPr>
          <w:t>ACMA website</w:t>
        </w:r>
      </w:hyperlink>
      <w:r>
        <w:t>.</w:t>
      </w:r>
    </w:p>
  </w:footnote>
  <w:footnote w:id="5">
    <w:p w14:paraId="22FFBE2C" w14:textId="77777777" w:rsidR="00FD64A2" w:rsidRDefault="00FD64A2" w:rsidP="007A4CFC">
      <w:pPr>
        <w:pStyle w:val="Footer"/>
        <w:spacing w:after="0"/>
      </w:pPr>
      <w:r>
        <w:rPr>
          <w:rStyle w:val="FootnoteReference"/>
        </w:rPr>
        <w:footnoteRef/>
      </w:r>
      <w:r>
        <w:t xml:space="preserve"> The Hon Malcolm Turnbull MP, Minister for Communications</w:t>
      </w:r>
      <w:r w:rsidRPr="005C2C6F">
        <w:t xml:space="preserve">, </w:t>
      </w:r>
      <w:hyperlink r:id="rId2" w:anchor=".VZN9wvN--70" w:history="1">
        <w:r w:rsidRPr="004403FA">
          <w:rPr>
            <w:rStyle w:val="Hyperlink"/>
          </w:rPr>
          <w:t>Spectrum reform to drive future innovation and productivity</w:t>
        </w:r>
      </w:hyperlink>
      <w:r>
        <w:t xml:space="preserve">, media release, 23 May 2014. </w:t>
      </w:r>
    </w:p>
  </w:footnote>
  <w:footnote w:id="6">
    <w:p w14:paraId="482F707B" w14:textId="77777777" w:rsidR="00FD64A2" w:rsidRDefault="00FD64A2" w:rsidP="007A4CFC">
      <w:pPr>
        <w:pStyle w:val="Footer"/>
        <w:spacing w:after="0"/>
      </w:pPr>
      <w:r>
        <w:rPr>
          <w:rStyle w:val="FootnoteReference"/>
        </w:rPr>
        <w:footnoteRef/>
      </w:r>
      <w:r>
        <w:t xml:space="preserve"> Available on the </w:t>
      </w:r>
      <w:hyperlink r:id="rId3" w:history="1">
        <w:r w:rsidRPr="00AE7E78">
          <w:rPr>
            <w:rStyle w:val="Hyperlink"/>
          </w:rPr>
          <w:t>Department of Communications website</w:t>
        </w:r>
      </w:hyperlink>
      <w:r>
        <w:t>.</w:t>
      </w:r>
    </w:p>
  </w:footnote>
  <w:footnote w:id="7">
    <w:p w14:paraId="5EFAF7FF" w14:textId="77777777" w:rsidR="00FD64A2" w:rsidRDefault="00FD64A2" w:rsidP="007A4CFC">
      <w:pPr>
        <w:pStyle w:val="Footer"/>
        <w:spacing w:after="0"/>
      </w:pPr>
      <w:r>
        <w:rPr>
          <w:rStyle w:val="FootnoteReference"/>
        </w:rPr>
        <w:footnoteRef/>
      </w:r>
      <w:r>
        <w:t xml:space="preserve"> The Hon Malcolm Turnbull MP, Minister for Communications</w:t>
      </w:r>
      <w:r w:rsidRPr="005C2C6F">
        <w:t xml:space="preserve">, </w:t>
      </w:r>
      <w:hyperlink r:id="rId4" w:anchor=".Vdvf5fN--70" w:history="1">
        <w:r w:rsidRPr="00080F61">
          <w:rPr>
            <w:rStyle w:val="Hyperlink"/>
          </w:rPr>
          <w:t>Next stage of spectrum reform to commence</w:t>
        </w:r>
      </w:hyperlink>
      <w:r>
        <w:t>, media release, 25 August 2015.</w:t>
      </w:r>
    </w:p>
  </w:footnote>
  <w:footnote w:id="8">
    <w:p w14:paraId="65874003" w14:textId="48A20060" w:rsidR="002737F5" w:rsidRDefault="002737F5" w:rsidP="002737F5">
      <w:pPr>
        <w:pStyle w:val="FootnoteText"/>
        <w:spacing w:after="0"/>
      </w:pPr>
      <w:r>
        <w:rPr>
          <w:rStyle w:val="FootnoteReference"/>
        </w:rPr>
        <w:footnoteRef/>
      </w:r>
      <w:r>
        <w:t xml:space="preserve"> </w:t>
      </w:r>
      <w:hyperlink r:id="rId5" w:history="1">
        <w:r w:rsidRPr="002737F5">
          <w:rPr>
            <w:rStyle w:val="Hyperlink"/>
          </w:rPr>
          <w:t>www.communications.gov.au/have-your-say/spectrum-reform-legislative-proposals-consultation</w:t>
        </w:r>
      </w:hyperlink>
    </w:p>
  </w:footnote>
  <w:footnote w:id="9">
    <w:p w14:paraId="2D8719F5" w14:textId="22AD886D" w:rsidR="00FD64A2" w:rsidRDefault="00FD64A2" w:rsidP="00B546E9">
      <w:pPr>
        <w:pStyle w:val="Footer"/>
        <w:spacing w:after="0"/>
      </w:pPr>
      <w:r>
        <w:rPr>
          <w:rStyle w:val="FootnoteReference"/>
        </w:rPr>
        <w:footnoteRef/>
      </w:r>
      <w:r>
        <w:t xml:space="preserve"> </w:t>
      </w:r>
      <w:r w:rsidRPr="00211492">
        <w:rPr>
          <w:rFonts w:cs="Arial"/>
        </w:rPr>
        <w:t xml:space="preserve">The Third Generation Partnership Project (3GPP) is a telecommunications standardisation group responsible for the development of equipment standards for cellular mobile telephony technologies such as </w:t>
      </w:r>
      <w:r w:rsidRPr="007B4812">
        <w:t>LTE</w:t>
      </w:r>
      <w:r w:rsidRPr="00211492">
        <w:rPr>
          <w:rFonts w:cs="Arial"/>
        </w:rPr>
        <w:t>.</w:t>
      </w:r>
    </w:p>
  </w:footnote>
  <w:footnote w:id="10">
    <w:p w14:paraId="1E1FCE76" w14:textId="77777777" w:rsidR="00FD64A2" w:rsidRDefault="00FD64A2" w:rsidP="007B018A">
      <w:pPr>
        <w:pStyle w:val="FootnoteText"/>
        <w:spacing w:after="0"/>
      </w:pPr>
      <w:r>
        <w:rPr>
          <w:rStyle w:val="FootnoteReference"/>
        </w:rPr>
        <w:footnoteRef/>
      </w:r>
      <w:r>
        <w:t xml:space="preserve"> Available on the </w:t>
      </w:r>
      <w:hyperlink r:id="rId6" w:history="1">
        <w:r w:rsidRPr="00A10718">
          <w:rPr>
            <w:rStyle w:val="Hyperlink"/>
          </w:rPr>
          <w:t>ACMA website</w:t>
        </w:r>
      </w:hyperlink>
      <w:r>
        <w:t>.</w:t>
      </w:r>
    </w:p>
  </w:footnote>
  <w:footnote w:id="11">
    <w:p w14:paraId="7F07393B" w14:textId="179F9597" w:rsidR="00FD64A2" w:rsidRDefault="00FD64A2" w:rsidP="00CA4A15">
      <w:pPr>
        <w:pStyle w:val="FootnoteText"/>
        <w:spacing w:after="0"/>
      </w:pPr>
      <w:r>
        <w:rPr>
          <w:rStyle w:val="FootnoteReference"/>
        </w:rPr>
        <w:footnoteRef/>
      </w:r>
      <w:r>
        <w:t xml:space="preserve"> The European Conference of Postal and Telecommunications Administrations (CEPT) is a co-ordinating body of 48 European countries cooperating to regulate posts, radio spectrum and communications networks. </w:t>
      </w:r>
    </w:p>
  </w:footnote>
  <w:footnote w:id="12">
    <w:p w14:paraId="6BB24AC6" w14:textId="23B43449" w:rsidR="00FD64A2" w:rsidRDefault="00FD64A2" w:rsidP="009F76C7">
      <w:pPr>
        <w:pStyle w:val="FootnoteText"/>
        <w:spacing w:after="0"/>
      </w:pPr>
      <w:r>
        <w:rPr>
          <w:rStyle w:val="FootnoteReference"/>
        </w:rPr>
        <w:footnoteRef/>
      </w:r>
      <w:r>
        <w:t xml:space="preserve"> </w:t>
      </w:r>
      <w:hyperlink r:id="rId7" w:history="1">
        <w:r w:rsidRPr="000F36C1">
          <w:rPr>
            <w:rStyle w:val="Hyperlink"/>
          </w:rPr>
          <w:t>Commission Implementing Decision (EU) 2015/750</w:t>
        </w:r>
      </w:hyperlink>
      <w:r>
        <w:t>.</w:t>
      </w:r>
    </w:p>
  </w:footnote>
  <w:footnote w:id="13">
    <w:p w14:paraId="2875B583" w14:textId="2C171EF0" w:rsidR="00FD64A2" w:rsidRDefault="00FD64A2" w:rsidP="009F76C7">
      <w:pPr>
        <w:pStyle w:val="FootnoteText"/>
        <w:spacing w:after="0"/>
      </w:pPr>
      <w:r>
        <w:rPr>
          <w:rStyle w:val="FootnoteReference"/>
        </w:rPr>
        <w:footnoteRef/>
      </w:r>
      <w:r>
        <w:t xml:space="preserve"> </w:t>
      </w:r>
      <w:hyperlink r:id="rId8" w:history="1">
        <w:r w:rsidRPr="00B06C13">
          <w:rPr>
            <w:rStyle w:val="Hyperlink"/>
          </w:rPr>
          <w:t>Final Acts of the CEPT Multi-lateral Meeting for the frequency band 1452</w:t>
        </w:r>
        <w:r>
          <w:rPr>
            <w:rStyle w:val="Hyperlink"/>
          </w:rPr>
          <w:t>–</w:t>
        </w:r>
        <w:r w:rsidRPr="00B06C13">
          <w:rPr>
            <w:rStyle w:val="Hyperlink"/>
          </w:rPr>
          <w:t>1479.5 MHz</w:t>
        </w:r>
      </w:hyperlink>
      <w:r>
        <w:t>, Constanta, 2007.</w:t>
      </w:r>
    </w:p>
  </w:footnote>
  <w:footnote w:id="14">
    <w:p w14:paraId="7B623080" w14:textId="72C9A43D" w:rsidR="00FD64A2" w:rsidRDefault="00FD64A2" w:rsidP="009F76C7">
      <w:pPr>
        <w:pStyle w:val="FootnoteText"/>
        <w:spacing w:after="0"/>
      </w:pPr>
      <w:r>
        <w:rPr>
          <w:rStyle w:val="FootnoteReference"/>
        </w:rPr>
        <w:footnoteRef/>
      </w:r>
      <w:r>
        <w:t xml:space="preserve"> </w:t>
      </w:r>
      <w:hyperlink r:id="rId9" w:history="1">
        <w:r w:rsidRPr="00EC5E2A">
          <w:rPr>
            <w:rStyle w:val="Hyperlink"/>
          </w:rPr>
          <w:t>Variation of the Spectrum Access licence for 1452</w:t>
        </w:r>
        <w:r>
          <w:rPr>
            <w:rStyle w:val="Hyperlink"/>
          </w:rPr>
          <w:t>–</w:t>
        </w:r>
        <w:r w:rsidRPr="00EC5E2A">
          <w:rPr>
            <w:rStyle w:val="Hyperlink"/>
          </w:rPr>
          <w:t>1492 MHz and changes to fixed link use in the paired bands</w:t>
        </w:r>
        <w:r>
          <w:rPr>
            <w:rStyle w:val="Hyperlink"/>
          </w:rPr>
          <w:t xml:space="preserve"> </w:t>
        </w:r>
        <w:r w:rsidRPr="00EC5E2A">
          <w:rPr>
            <w:rStyle w:val="Hyperlink"/>
          </w:rPr>
          <w:t>1350</w:t>
        </w:r>
        <w:r>
          <w:rPr>
            <w:rStyle w:val="Hyperlink"/>
          </w:rPr>
          <w:t>–</w:t>
        </w:r>
        <w:r w:rsidRPr="00EC5E2A">
          <w:rPr>
            <w:rStyle w:val="Hyperlink"/>
          </w:rPr>
          <w:t>1375</w:t>
        </w:r>
        <w:r>
          <w:rPr>
            <w:rStyle w:val="Hyperlink"/>
          </w:rPr>
          <w:t> </w:t>
        </w:r>
        <w:r w:rsidRPr="00EC5E2A">
          <w:rPr>
            <w:rStyle w:val="Hyperlink"/>
          </w:rPr>
          <w:t>MHz and 1492</w:t>
        </w:r>
        <w:r>
          <w:rPr>
            <w:rStyle w:val="Hyperlink"/>
          </w:rPr>
          <w:t>–</w:t>
        </w:r>
        <w:r w:rsidRPr="00EC5E2A">
          <w:rPr>
            <w:rStyle w:val="Hyperlink"/>
          </w:rPr>
          <w:t>1517 MHz</w:t>
        </w:r>
      </w:hyperlink>
      <w:r>
        <w:t>, Ofcom, 29 May 2015.</w:t>
      </w:r>
    </w:p>
  </w:footnote>
  <w:footnote w:id="15">
    <w:p w14:paraId="3CE059E5" w14:textId="158FC221" w:rsidR="00FD64A2" w:rsidRDefault="00FD64A2" w:rsidP="009F76C7">
      <w:pPr>
        <w:pStyle w:val="FootnoteText"/>
        <w:spacing w:after="0"/>
      </w:pPr>
      <w:r>
        <w:rPr>
          <w:rStyle w:val="FootnoteReference"/>
        </w:rPr>
        <w:footnoteRef/>
      </w:r>
      <w:r>
        <w:t xml:space="preserve"> </w:t>
      </w:r>
      <w:hyperlink r:id="rId10" w:history="1">
        <w:r w:rsidRPr="00DF5829">
          <w:rPr>
            <w:rStyle w:val="Hyperlink"/>
          </w:rPr>
          <w:t>Mobile Broadband – Project 2016</w:t>
        </w:r>
      </w:hyperlink>
      <w:r>
        <w:t>, Bundesnetzagentur, 24 June 2015.</w:t>
      </w:r>
    </w:p>
  </w:footnote>
  <w:footnote w:id="16">
    <w:p w14:paraId="0E3F8503" w14:textId="028C39E7" w:rsidR="00FD64A2" w:rsidRDefault="00FD64A2" w:rsidP="009F76C7">
      <w:pPr>
        <w:pStyle w:val="FootnoteText"/>
        <w:spacing w:after="0"/>
      </w:pPr>
      <w:r>
        <w:rPr>
          <w:rStyle w:val="FootnoteReference"/>
        </w:rPr>
        <w:footnoteRef/>
      </w:r>
      <w:r>
        <w:t xml:space="preserve"> </w:t>
      </w:r>
      <w:hyperlink r:id="rId11" w:history="1">
        <w:r w:rsidRPr="00D62825">
          <w:rPr>
            <w:rStyle w:val="Hyperlink"/>
          </w:rPr>
          <w:t>Italy raises EUR 460 mln with L-band auction</w:t>
        </w:r>
      </w:hyperlink>
      <w:r>
        <w:t xml:space="preserve">, Telecompaper, 10 September 2015. </w:t>
      </w:r>
    </w:p>
  </w:footnote>
  <w:footnote w:id="17">
    <w:p w14:paraId="0130121C" w14:textId="118B387B" w:rsidR="00FD64A2" w:rsidRDefault="00FD64A2" w:rsidP="009F76C7">
      <w:pPr>
        <w:pStyle w:val="FootnoteText"/>
        <w:spacing w:after="0"/>
      </w:pPr>
      <w:r>
        <w:rPr>
          <w:rStyle w:val="FootnoteReference"/>
        </w:rPr>
        <w:footnoteRef/>
      </w:r>
      <w:r>
        <w:t xml:space="preserve"> </w:t>
      </w:r>
      <w:hyperlink r:id="rId12" w:history="1">
        <w:r w:rsidRPr="009C4BBB">
          <w:rPr>
            <w:rStyle w:val="Hyperlink"/>
          </w:rPr>
          <w:t>GSA Evolution to LTE Report</w:t>
        </w:r>
      </w:hyperlink>
      <w:r>
        <w:t>, April 2016.</w:t>
      </w:r>
    </w:p>
  </w:footnote>
  <w:footnote w:id="18">
    <w:p w14:paraId="2AD49916" w14:textId="4304E763" w:rsidR="00FD64A2" w:rsidRDefault="00FD64A2" w:rsidP="009F76C7">
      <w:pPr>
        <w:pStyle w:val="FootnoteText"/>
        <w:spacing w:after="0"/>
      </w:pPr>
      <w:r>
        <w:rPr>
          <w:rStyle w:val="FootnoteReference"/>
        </w:rPr>
        <w:footnoteRef/>
      </w:r>
      <w:r>
        <w:t xml:space="preserve"> For more information, see the </w:t>
      </w:r>
      <w:hyperlink r:id="rId13" w:history="1">
        <w:r w:rsidRPr="009F76C7">
          <w:rPr>
            <w:rStyle w:val="Hyperlink"/>
          </w:rPr>
          <w:t>ACMA website</w:t>
        </w:r>
      </w:hyperlink>
      <w:r>
        <w:t>.</w:t>
      </w:r>
    </w:p>
  </w:footnote>
  <w:footnote w:id="19">
    <w:p w14:paraId="38F3FE5B" w14:textId="4B23815C" w:rsidR="00FD64A2" w:rsidRDefault="00FD64A2" w:rsidP="00A81803">
      <w:pPr>
        <w:pStyle w:val="FootnoteText"/>
        <w:spacing w:after="0"/>
      </w:pPr>
      <w:r>
        <w:rPr>
          <w:rStyle w:val="FootnoteReference"/>
        </w:rPr>
        <w:footnoteRef/>
      </w:r>
      <w:r>
        <w:t xml:space="preserve"> Further information is available on the </w:t>
      </w:r>
      <w:hyperlink r:id="rId14" w:anchor="draft" w:history="1">
        <w:r w:rsidRPr="00770FCF">
          <w:rPr>
            <w:rStyle w:val="Hyperlink"/>
          </w:rPr>
          <w:t>Productivity Commission website</w:t>
        </w:r>
      </w:hyperlink>
      <w:r>
        <w:t xml:space="preserve">. </w:t>
      </w:r>
    </w:p>
  </w:footnote>
  <w:footnote w:id="20">
    <w:p w14:paraId="15E10CD2" w14:textId="5AEB143B" w:rsidR="00FD64A2" w:rsidRDefault="00FD64A2" w:rsidP="00C837E9">
      <w:pPr>
        <w:pStyle w:val="FootnoteText"/>
        <w:spacing w:after="0"/>
      </w:pPr>
      <w:r>
        <w:rPr>
          <w:rStyle w:val="FootnoteReference"/>
        </w:rPr>
        <w:footnoteRef/>
      </w:r>
      <w:r>
        <w:t xml:space="preserve"> 3GPP </w:t>
      </w:r>
      <w:r w:rsidRPr="00C837E9">
        <w:t>LTE (Evolved UTRA), LTE-Advanced, LTE-Advanced Pro radio technology</w:t>
      </w:r>
      <w:r>
        <w:t xml:space="preserve">, </w:t>
      </w:r>
      <w:hyperlink r:id="rId15" w:history="1">
        <w:r w:rsidRPr="008F0082">
          <w:rPr>
            <w:rStyle w:val="Hyperlink"/>
          </w:rPr>
          <w:t>http://www.3gpp.org/DynaReport/36-series.htm</w:t>
        </w:r>
      </w:hyperlink>
      <w:r w:rsidRPr="002A0304">
        <w:rPr>
          <w:rStyle w:val="Hyperlink"/>
          <w:u w:val="none"/>
        </w:rPr>
        <w:t>.</w:t>
      </w:r>
      <w:r>
        <w:t xml:space="preserve"> </w:t>
      </w:r>
    </w:p>
  </w:footnote>
  <w:footnote w:id="21">
    <w:p w14:paraId="17196F98" w14:textId="475A7C1F" w:rsidR="00FD64A2" w:rsidRDefault="00FD64A2" w:rsidP="00B421C5">
      <w:pPr>
        <w:pStyle w:val="FootnoteText"/>
        <w:spacing w:after="0"/>
      </w:pPr>
      <w:r>
        <w:rPr>
          <w:rStyle w:val="FootnoteReference"/>
        </w:rPr>
        <w:footnoteRef/>
      </w:r>
      <w:r>
        <w:t xml:space="preserve"> </w:t>
      </w:r>
      <w:hyperlink r:id="rId16" w:history="1">
        <w:r w:rsidRPr="00B421C5">
          <w:rPr>
            <w:rStyle w:val="Hyperlink"/>
          </w:rPr>
          <w:t>RP</w:t>
        </w:r>
        <w:r w:rsidRPr="00B421C5">
          <w:rPr>
            <w:rStyle w:val="Hyperlink"/>
            <w:rFonts w:ascii="MS Gothic" w:hAnsi="MS Gothic" w:cs="MS Gothic"/>
          </w:rPr>
          <w:t>‑</w:t>
        </w:r>
        <w:r w:rsidRPr="00B421C5">
          <w:rPr>
            <w:rStyle w:val="Hyperlink"/>
          </w:rPr>
          <w:t>161103</w:t>
        </w:r>
      </w:hyperlink>
      <w:r>
        <w:t xml:space="preserve">, </w:t>
      </w:r>
      <w:r w:rsidRPr="00B421C5">
        <w:t>Motivation for a 3.5 GHz new TDD band proposal in US</w:t>
      </w:r>
      <w:r>
        <w:t xml:space="preserve">, 3GPP written contribution to RP-72 in Busan 13-16 June 2016. </w:t>
      </w:r>
    </w:p>
  </w:footnote>
  <w:footnote w:id="22">
    <w:p w14:paraId="24312DE0" w14:textId="1E0A7752" w:rsidR="00FD64A2" w:rsidRDefault="00FD64A2" w:rsidP="00C837E9">
      <w:pPr>
        <w:pStyle w:val="FootnoteText"/>
        <w:spacing w:after="0"/>
      </w:pPr>
      <w:r>
        <w:rPr>
          <w:rStyle w:val="FootnoteReference"/>
        </w:rPr>
        <w:footnoteRef/>
      </w:r>
      <w:r>
        <w:t xml:space="preserve"> GSA Snapshot </w:t>
      </w:r>
      <w:r>
        <w:rPr>
          <w:i/>
        </w:rPr>
        <w:t>LTE-TDD (TD-LTE) global status</w:t>
      </w:r>
      <w:r>
        <w:t xml:space="preserve">, June 2016, </w:t>
      </w:r>
      <w:hyperlink r:id="rId17" w:history="1">
        <w:r w:rsidRPr="008F0082">
          <w:rPr>
            <w:rStyle w:val="Hyperlink"/>
          </w:rPr>
          <w:t>http://gsacom.com/communities/lte-tdd/</w:t>
        </w:r>
      </w:hyperlink>
      <w:r w:rsidRPr="00BF36B4">
        <w:rPr>
          <w:rStyle w:val="Hyperlink"/>
          <w:u w:val="none"/>
        </w:rPr>
        <w:t>.</w:t>
      </w:r>
      <w:r>
        <w:t xml:space="preserve"> </w:t>
      </w:r>
    </w:p>
  </w:footnote>
  <w:footnote w:id="23">
    <w:p w14:paraId="6F1F5723" w14:textId="3FBA08A1" w:rsidR="00FD64A2" w:rsidRDefault="00FD64A2" w:rsidP="00C837E9">
      <w:pPr>
        <w:pStyle w:val="FootnoteText"/>
        <w:spacing w:after="0"/>
      </w:pPr>
      <w:r>
        <w:rPr>
          <w:rStyle w:val="FootnoteReference"/>
        </w:rPr>
        <w:footnoteRef/>
      </w:r>
      <w:r>
        <w:t xml:space="preserve"> GSA Report </w:t>
      </w:r>
      <w:r w:rsidRPr="00C837E9">
        <w:rPr>
          <w:i/>
        </w:rPr>
        <w:t>Status of the LTE Ecosystem</w:t>
      </w:r>
      <w:r>
        <w:t xml:space="preserve">, June 2016, </w:t>
      </w:r>
      <w:hyperlink r:id="rId18" w:history="1">
        <w:r w:rsidRPr="008F0082">
          <w:rPr>
            <w:rStyle w:val="Hyperlink"/>
          </w:rPr>
          <w:t>http://gsacom.com/community/lte-user-devices/</w:t>
        </w:r>
      </w:hyperlink>
      <w:r w:rsidRPr="00BF36B4">
        <w:rPr>
          <w:rStyle w:val="Hyperlink"/>
          <w:u w:val="none"/>
        </w:rPr>
        <w:t>.</w:t>
      </w:r>
      <w:r>
        <w:t xml:space="preserve"> </w:t>
      </w:r>
    </w:p>
  </w:footnote>
  <w:footnote w:id="24">
    <w:p w14:paraId="50B6D441" w14:textId="5C2B9523" w:rsidR="00FD64A2" w:rsidRDefault="00FD64A2" w:rsidP="00BD0918">
      <w:pPr>
        <w:pStyle w:val="FootnoteText"/>
        <w:spacing w:after="0"/>
      </w:pPr>
      <w:r>
        <w:rPr>
          <w:rStyle w:val="FootnoteReference"/>
        </w:rPr>
        <w:footnoteRef/>
      </w:r>
      <w:r>
        <w:t xml:space="preserve"> </w:t>
      </w:r>
      <w:r w:rsidRPr="003333A9">
        <w:t>Decisions Regarding Policy Changes in the 3500 MHz Band (3475–3650 MHz) and a New Licensing Process</w:t>
      </w:r>
      <w:r>
        <w:t xml:space="preserve">, Industry Canada, 18 December 2014, </w:t>
      </w:r>
      <w:hyperlink r:id="rId19" w:history="1">
        <w:r w:rsidRPr="008F0082">
          <w:rPr>
            <w:rStyle w:val="Hyperlink"/>
          </w:rPr>
          <w:t>http://www.ic.gc.ca/eic/site/smt-gst.nsf/eng/sf10914.html</w:t>
        </w:r>
      </w:hyperlink>
      <w:r w:rsidRPr="00BF36B4">
        <w:rPr>
          <w:rStyle w:val="Hyperlink"/>
          <w:u w:val="none"/>
        </w:rPr>
        <w:t>.</w:t>
      </w:r>
      <w:r>
        <w:t xml:space="preserve"> </w:t>
      </w:r>
    </w:p>
  </w:footnote>
  <w:footnote w:id="25">
    <w:p w14:paraId="558EF29B" w14:textId="7CD97410" w:rsidR="00FD64A2" w:rsidRDefault="00FD64A2" w:rsidP="003333A9">
      <w:pPr>
        <w:pStyle w:val="FootnoteText"/>
        <w:spacing w:after="0"/>
      </w:pPr>
      <w:r>
        <w:rPr>
          <w:rStyle w:val="FootnoteReference"/>
        </w:rPr>
        <w:footnoteRef/>
      </w:r>
      <w:r>
        <w:t xml:space="preserve"> </w:t>
      </w:r>
      <w:r w:rsidRPr="003333A9">
        <w:t>Wireless Broadband Services (3650-3700 MHz)</w:t>
      </w:r>
      <w:r>
        <w:t xml:space="preserve">, Industry Canada, </w:t>
      </w:r>
      <w:hyperlink r:id="rId20" w:history="1">
        <w:r w:rsidRPr="008F0082">
          <w:rPr>
            <w:rStyle w:val="Hyperlink"/>
          </w:rPr>
          <w:t>http://www.ic.gc.ca/eic/site/smt-gst.nsf/eng/h_sf09570.html</w:t>
        </w:r>
      </w:hyperlink>
      <w:r w:rsidRPr="00BF36B4">
        <w:rPr>
          <w:rStyle w:val="Hyperlink"/>
          <w:u w:val="none"/>
        </w:rPr>
        <w:t>.</w:t>
      </w:r>
      <w:r>
        <w:t xml:space="preserve"> </w:t>
      </w:r>
    </w:p>
  </w:footnote>
  <w:footnote w:id="26">
    <w:p w14:paraId="196CE88F" w14:textId="1EB192D7" w:rsidR="00FD64A2" w:rsidRDefault="00FD64A2" w:rsidP="00E940D3">
      <w:pPr>
        <w:pStyle w:val="FootnoteText"/>
        <w:spacing w:after="0"/>
      </w:pPr>
      <w:r>
        <w:rPr>
          <w:rStyle w:val="FootnoteReference"/>
        </w:rPr>
        <w:footnoteRef/>
      </w:r>
      <w:r>
        <w:t xml:space="preserve"> </w:t>
      </w:r>
      <w:r>
        <w:rPr>
          <w:rFonts w:cs="Arial"/>
          <w:i/>
        </w:rPr>
        <w:t xml:space="preserve">Canadian Table of Frequency Allocations, </w:t>
      </w:r>
      <w:hyperlink r:id="rId21" w:history="1">
        <w:r w:rsidRPr="008F0082">
          <w:rPr>
            <w:rStyle w:val="Hyperlink"/>
            <w:rFonts w:cs="Arial"/>
            <w:i/>
          </w:rPr>
          <w:t>http://www.ic.gc.ca/eic/site/smt-gst.nsf/eng/sf10759.html</w:t>
        </w:r>
      </w:hyperlink>
      <w:r w:rsidRPr="00BF36B4">
        <w:rPr>
          <w:rStyle w:val="Hyperlink"/>
          <w:u w:val="none"/>
        </w:rPr>
        <w:t>.</w:t>
      </w:r>
      <w:r>
        <w:rPr>
          <w:rFonts w:cs="Arial"/>
          <w:i/>
        </w:rPr>
        <w:t xml:space="preserve"> </w:t>
      </w:r>
    </w:p>
  </w:footnote>
  <w:footnote w:id="27">
    <w:p w14:paraId="115CA23F" w14:textId="77777777" w:rsidR="00FD64A2" w:rsidRDefault="00FD64A2" w:rsidP="0093369D">
      <w:pPr>
        <w:pStyle w:val="FootnoteText"/>
        <w:spacing w:after="0"/>
      </w:pPr>
      <w:r>
        <w:rPr>
          <w:rStyle w:val="FootnoteReference"/>
        </w:rPr>
        <w:footnoteRef/>
      </w:r>
      <w:r>
        <w:t xml:space="preserve"> Available on the European Communications office (ECO) website at: </w:t>
      </w:r>
      <w:hyperlink r:id="rId22" w:history="1">
        <w:r>
          <w:rPr>
            <w:rStyle w:val="Hyperlink"/>
          </w:rPr>
          <w:t>www.erodocdb.dk/Docs/doc98/official/pdf/ECCDEC1106.PDF</w:t>
        </w:r>
      </w:hyperlink>
      <w:r w:rsidRPr="00C54195">
        <w:rPr>
          <w:rStyle w:val="Hyperlink"/>
          <w:color w:val="auto"/>
          <w:u w:val="none"/>
        </w:rPr>
        <w:t>.</w:t>
      </w:r>
      <w:r>
        <w:t xml:space="preserve"> </w:t>
      </w:r>
    </w:p>
  </w:footnote>
  <w:footnote w:id="28">
    <w:p w14:paraId="0CDB5E84" w14:textId="39908B0B" w:rsidR="00FD64A2" w:rsidRPr="00B14329" w:rsidRDefault="00FD64A2" w:rsidP="003333A9">
      <w:pPr>
        <w:pStyle w:val="FootnoteText"/>
        <w:spacing w:after="0"/>
        <w:rPr>
          <w:i/>
        </w:rPr>
      </w:pPr>
      <w:r>
        <w:rPr>
          <w:rStyle w:val="FootnoteReference"/>
        </w:rPr>
        <w:footnoteRef/>
      </w:r>
      <w:r>
        <w:t xml:space="preserve"> Refer to Table 3 and Annex 10-3 of the May 2015 update to the Japanese </w:t>
      </w:r>
      <w:hyperlink r:id="rId23" w:history="1">
        <w:r w:rsidRPr="00B14329">
          <w:rPr>
            <w:rStyle w:val="Hyperlink"/>
            <w:i/>
          </w:rPr>
          <w:t>Frequency Assignment Plan</w:t>
        </w:r>
      </w:hyperlink>
      <w:r w:rsidRPr="006D6661">
        <w:rPr>
          <w:rStyle w:val="Hyperlink"/>
          <w:u w:val="none"/>
        </w:rPr>
        <w:t>.</w:t>
      </w:r>
    </w:p>
  </w:footnote>
  <w:footnote w:id="29">
    <w:p w14:paraId="2AC2B4D5" w14:textId="4283888F" w:rsidR="00FD64A2" w:rsidRDefault="00FD64A2" w:rsidP="00825C27">
      <w:pPr>
        <w:pStyle w:val="FootnoteText"/>
        <w:spacing w:after="0"/>
      </w:pPr>
      <w:r>
        <w:rPr>
          <w:rStyle w:val="FootnoteReference"/>
        </w:rPr>
        <w:footnoteRef/>
      </w:r>
      <w:r>
        <w:t xml:space="preserve"> Refer to </w:t>
      </w:r>
      <w:hyperlink r:id="rId24" w:history="1">
        <w:r w:rsidRPr="00B627A9">
          <w:rPr>
            <w:rStyle w:val="Hyperlink"/>
          </w:rPr>
          <w:t>Rulemaking 12-354</w:t>
        </w:r>
      </w:hyperlink>
      <w:r w:rsidRPr="002A0304">
        <w:rPr>
          <w:rStyle w:val="Hyperlink"/>
          <w:u w:val="none"/>
        </w:rPr>
        <w:t>.</w:t>
      </w:r>
    </w:p>
  </w:footnote>
  <w:footnote w:id="30">
    <w:p w14:paraId="175CE8B5" w14:textId="61AE51B7" w:rsidR="00FD64A2" w:rsidRDefault="00FD64A2" w:rsidP="00825C27">
      <w:pPr>
        <w:pStyle w:val="FootnoteText"/>
        <w:spacing w:after="0"/>
      </w:pPr>
      <w:r>
        <w:rPr>
          <w:rStyle w:val="FootnoteReference"/>
        </w:rPr>
        <w:footnoteRef/>
      </w:r>
      <w:r>
        <w:t xml:space="preserve"> TVRO refers to the reception of satellite television from the fixed-satellite service.</w:t>
      </w:r>
    </w:p>
  </w:footnote>
  <w:footnote w:id="31">
    <w:p w14:paraId="1FF634F1" w14:textId="440D470E" w:rsidR="00FD64A2" w:rsidRDefault="00FD64A2" w:rsidP="00DA1C29">
      <w:pPr>
        <w:pStyle w:val="FootnoteText"/>
        <w:spacing w:after="0"/>
      </w:pPr>
      <w:r>
        <w:rPr>
          <w:rStyle w:val="FootnoteReference"/>
        </w:rPr>
        <w:footnoteRef/>
      </w:r>
      <w:r>
        <w:t xml:space="preserve"> 3GPP </w:t>
      </w:r>
      <w:r w:rsidRPr="00C837E9">
        <w:t>LTE (Evolved UTRA), LTE-Advanced, LTE-Advanced Pro radio technology</w:t>
      </w:r>
      <w:r>
        <w:t xml:space="preserve">, </w:t>
      </w:r>
      <w:hyperlink r:id="rId25" w:history="1">
        <w:r>
          <w:rPr>
            <w:rStyle w:val="Hyperlink"/>
          </w:rPr>
          <w:t>www.3gpp.org/DynaReport/36-series.htm</w:t>
        </w:r>
      </w:hyperlink>
      <w:r w:rsidRPr="00273377">
        <w:rPr>
          <w:rStyle w:val="Hyperlink"/>
          <w:u w:val="none"/>
        </w:rPr>
        <w:t>.</w:t>
      </w:r>
      <w:r>
        <w:t xml:space="preserve"> </w:t>
      </w:r>
    </w:p>
  </w:footnote>
  <w:footnote w:id="32">
    <w:p w14:paraId="6369995E" w14:textId="77777777" w:rsidR="00FD64A2" w:rsidRDefault="00FD64A2" w:rsidP="00C02B81">
      <w:pPr>
        <w:pStyle w:val="FootnoteText"/>
        <w:spacing w:after="0"/>
      </w:pPr>
      <w:r>
        <w:rPr>
          <w:rStyle w:val="FootnoteReference"/>
        </w:rPr>
        <w:footnoteRef/>
      </w:r>
      <w:r>
        <w:t xml:space="preserve"> It should be noted that a reduction in price might be captured in lower costs. The interaction between these elements will be considered if required.</w:t>
      </w:r>
    </w:p>
  </w:footnote>
  <w:footnote w:id="33">
    <w:p w14:paraId="652DA518" w14:textId="77777777" w:rsidR="00FD64A2" w:rsidRDefault="00FD64A2" w:rsidP="00C02B81">
      <w:pPr>
        <w:pStyle w:val="FootnoteText"/>
        <w:spacing w:after="0"/>
      </w:pPr>
      <w:r>
        <w:rPr>
          <w:rStyle w:val="FootnoteReference"/>
        </w:rPr>
        <w:footnoteRef/>
      </w:r>
      <w:r>
        <w:t xml:space="preserve"> It should be noted that an increase in price might be the result of increasing costs. The interaction between these elements will be considered if required.</w:t>
      </w:r>
    </w:p>
  </w:footnote>
  <w:footnote w:id="34">
    <w:p w14:paraId="23236821" w14:textId="77777777" w:rsidR="00FD64A2" w:rsidRPr="00A31BAD" w:rsidRDefault="00FD64A2" w:rsidP="00C02B81">
      <w:pPr>
        <w:pStyle w:val="FootnoteText"/>
        <w:spacing w:after="0"/>
      </w:pPr>
      <w:r>
        <w:rPr>
          <w:rStyle w:val="FootnoteReference"/>
        </w:rPr>
        <w:footnoteRef/>
      </w:r>
      <w:r>
        <w:t xml:space="preserve"> Martin Cave </w:t>
      </w:r>
      <w:r w:rsidRPr="00D51495">
        <w:t>et al. Incorporating Social Value into Spectrum Allocation Decisions.</w:t>
      </w:r>
      <w:r>
        <w:t xml:space="preserve"> p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8C73D" w14:textId="77777777" w:rsidR="003919F0" w:rsidRDefault="00391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0AB5" w14:textId="77777777" w:rsidR="00FD64A2" w:rsidRPr="00A5474E" w:rsidRDefault="00FD64A2" w:rsidP="00A5474E">
    <w:pPr>
      <w:pStyle w:val="Header"/>
    </w:pPr>
    <w:r>
      <w:rPr>
        <w:noProof/>
      </w:rPr>
      <w:drawing>
        <wp:inline distT="0" distB="0" distL="0" distR="0" wp14:anchorId="64AA2D16" wp14:editId="6F90825A">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2B03" w14:textId="77777777" w:rsidR="00FD64A2" w:rsidRPr="00A5474E" w:rsidRDefault="00FD64A2"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6F23" w14:textId="77777777" w:rsidR="00FD64A2" w:rsidRDefault="00FD64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6B0C2" w14:textId="77777777" w:rsidR="00FD64A2" w:rsidRDefault="00FD64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FD64A2" w14:paraId="45C14901" w14:textId="77777777" w:rsidTr="007A4CFC">
      <w:trPr>
        <w:trHeight w:hRule="exact" w:val="988"/>
      </w:trPr>
      <w:tc>
        <w:tcPr>
          <w:tcW w:w="7678" w:type="dxa"/>
          <w:shd w:val="clear" w:color="auto" w:fill="auto"/>
        </w:tcPr>
        <w:p w14:paraId="2193FF99" w14:textId="77777777" w:rsidR="00FD64A2" w:rsidRDefault="00FD64A2" w:rsidP="00971914">
          <w:pPr>
            <w:pStyle w:val="Header"/>
          </w:pPr>
        </w:p>
      </w:tc>
    </w:tr>
    <w:tr w:rsidR="00FD64A2" w14:paraId="4A2A5C6F" w14:textId="77777777" w:rsidTr="007A4CFC">
      <w:tc>
        <w:tcPr>
          <w:tcW w:w="7678" w:type="dxa"/>
          <w:shd w:val="clear" w:color="auto" w:fill="auto"/>
        </w:tcPr>
        <w:p w14:paraId="231A7C96" w14:textId="77777777" w:rsidR="00FD64A2" w:rsidRDefault="00FD64A2" w:rsidP="00971914">
          <w:pPr>
            <w:pStyle w:val="GridTable31"/>
          </w:pPr>
          <w:r>
            <w:t xml:space="preserve">Contents </w:t>
          </w:r>
          <w:r w:rsidRPr="00915B1C">
            <w:rPr>
              <w:b w:val="0"/>
              <w:spacing w:val="0"/>
              <w:sz w:val="28"/>
              <w:szCs w:val="28"/>
            </w:rPr>
            <w:t>(Continued)</w:t>
          </w:r>
        </w:p>
      </w:tc>
    </w:tr>
    <w:tr w:rsidR="00FD64A2" w14:paraId="7C566E4B" w14:textId="77777777" w:rsidTr="007A4CFC">
      <w:trPr>
        <w:trHeight w:val="1220"/>
      </w:trPr>
      <w:tc>
        <w:tcPr>
          <w:tcW w:w="7678" w:type="dxa"/>
          <w:shd w:val="clear" w:color="auto" w:fill="auto"/>
        </w:tcPr>
        <w:p w14:paraId="5628F546" w14:textId="77777777" w:rsidR="00FD64A2" w:rsidRDefault="00FD64A2" w:rsidP="00971914"/>
      </w:tc>
    </w:tr>
  </w:tbl>
  <w:p w14:paraId="1AD23AB8" w14:textId="77777777" w:rsidR="00FD64A2" w:rsidRDefault="00FD64A2"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FD64A2" w14:paraId="202D7884" w14:textId="77777777" w:rsidTr="007A4CFC">
      <w:trPr>
        <w:trHeight w:hRule="exact" w:val="988"/>
      </w:trPr>
      <w:tc>
        <w:tcPr>
          <w:tcW w:w="7678" w:type="dxa"/>
          <w:shd w:val="clear" w:color="auto" w:fill="auto"/>
        </w:tcPr>
        <w:p w14:paraId="7F55F88F" w14:textId="77777777" w:rsidR="00FD64A2" w:rsidRDefault="00FD64A2" w:rsidP="00971914">
          <w:pPr>
            <w:pStyle w:val="Header"/>
          </w:pPr>
        </w:p>
      </w:tc>
    </w:tr>
    <w:tr w:rsidR="00FD64A2" w14:paraId="29AA4444" w14:textId="77777777" w:rsidTr="007A4CFC">
      <w:tc>
        <w:tcPr>
          <w:tcW w:w="7678" w:type="dxa"/>
          <w:shd w:val="clear" w:color="auto" w:fill="auto"/>
        </w:tcPr>
        <w:p w14:paraId="0B752F75" w14:textId="77777777" w:rsidR="00FD64A2" w:rsidRDefault="00FD64A2" w:rsidP="00971914">
          <w:pPr>
            <w:pStyle w:val="GridTable31"/>
          </w:pPr>
          <w:r>
            <w:t xml:space="preserve">Contents </w:t>
          </w:r>
          <w:r w:rsidRPr="00915B1C">
            <w:rPr>
              <w:b w:val="0"/>
              <w:spacing w:val="0"/>
              <w:sz w:val="28"/>
              <w:szCs w:val="28"/>
            </w:rPr>
            <w:t>(Continued)</w:t>
          </w:r>
        </w:p>
      </w:tc>
    </w:tr>
    <w:tr w:rsidR="00FD64A2" w14:paraId="03CBB896" w14:textId="77777777" w:rsidTr="007A4CFC">
      <w:trPr>
        <w:trHeight w:val="1220"/>
      </w:trPr>
      <w:tc>
        <w:tcPr>
          <w:tcW w:w="7678" w:type="dxa"/>
          <w:shd w:val="clear" w:color="auto" w:fill="auto"/>
        </w:tcPr>
        <w:p w14:paraId="0409B75A" w14:textId="77777777" w:rsidR="00FD64A2" w:rsidRDefault="00FD64A2" w:rsidP="00971914"/>
      </w:tc>
    </w:tr>
  </w:tbl>
  <w:p w14:paraId="39751182" w14:textId="77777777" w:rsidR="00FD64A2" w:rsidRPr="00A5474E" w:rsidRDefault="00FD64A2"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5CE7" w14:textId="77777777" w:rsidR="00FD64A2" w:rsidRDefault="00FD64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C8380" w14:textId="77777777" w:rsidR="00FD64A2" w:rsidRDefault="00FD6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3" w15:restartNumberingAfterBreak="0">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0000001"/>
    <w:multiLevelType w:val="multilevel"/>
    <w:tmpl w:val="894EE873"/>
    <w:lvl w:ilvl="0">
      <w:start w:val="1"/>
      <w:numFmt w:val="bullet"/>
      <w:lvlText w:val="&gt;"/>
      <w:lvlJc w:val="left"/>
      <w:pPr>
        <w:tabs>
          <w:tab w:val="num" w:pos="360"/>
        </w:tabs>
        <w:ind w:left="360" w:firstLine="0"/>
      </w:pPr>
      <w:rPr>
        <w:rFonts w:hint="default"/>
        <w:position w:val="0"/>
        <w:sz w:val="21"/>
      </w:rPr>
    </w:lvl>
    <w:lvl w:ilvl="1">
      <w:start w:val="1"/>
      <w:numFmt w:val="bullet"/>
      <w:lvlText w:val="&gt;"/>
      <w:lvlJc w:val="left"/>
      <w:pPr>
        <w:tabs>
          <w:tab w:val="num" w:pos="360"/>
        </w:tabs>
        <w:ind w:left="360" w:firstLine="0"/>
      </w:pPr>
      <w:rPr>
        <w:rFonts w:hint="default"/>
        <w:position w:val="0"/>
        <w:sz w:val="21"/>
      </w:rPr>
    </w:lvl>
    <w:lvl w:ilvl="2">
      <w:start w:val="1"/>
      <w:numFmt w:val="bullet"/>
      <w:lvlText w:val="&gt;"/>
      <w:lvlJc w:val="left"/>
      <w:pPr>
        <w:tabs>
          <w:tab w:val="num" w:pos="360"/>
        </w:tabs>
        <w:ind w:left="360" w:firstLine="0"/>
      </w:pPr>
      <w:rPr>
        <w:rFonts w:hint="default"/>
        <w:position w:val="0"/>
        <w:sz w:val="21"/>
      </w:rPr>
    </w:lvl>
    <w:lvl w:ilvl="3">
      <w:start w:val="1"/>
      <w:numFmt w:val="bullet"/>
      <w:lvlText w:val="&gt;"/>
      <w:lvlJc w:val="left"/>
      <w:pPr>
        <w:tabs>
          <w:tab w:val="num" w:pos="360"/>
        </w:tabs>
        <w:ind w:left="360" w:firstLine="0"/>
      </w:pPr>
      <w:rPr>
        <w:rFonts w:hint="default"/>
        <w:position w:val="0"/>
        <w:sz w:val="21"/>
      </w:rPr>
    </w:lvl>
    <w:lvl w:ilvl="4">
      <w:start w:val="1"/>
      <w:numFmt w:val="bullet"/>
      <w:lvlText w:val="&gt;"/>
      <w:lvlJc w:val="left"/>
      <w:pPr>
        <w:tabs>
          <w:tab w:val="num" w:pos="360"/>
        </w:tabs>
        <w:ind w:left="360" w:firstLine="0"/>
      </w:pPr>
      <w:rPr>
        <w:rFonts w:hint="default"/>
        <w:position w:val="0"/>
        <w:sz w:val="21"/>
      </w:rPr>
    </w:lvl>
    <w:lvl w:ilvl="5">
      <w:start w:val="1"/>
      <w:numFmt w:val="bullet"/>
      <w:lvlText w:val="&gt;"/>
      <w:lvlJc w:val="left"/>
      <w:pPr>
        <w:tabs>
          <w:tab w:val="num" w:pos="360"/>
        </w:tabs>
        <w:ind w:left="360" w:firstLine="0"/>
      </w:pPr>
      <w:rPr>
        <w:rFonts w:hint="default"/>
        <w:position w:val="0"/>
        <w:sz w:val="21"/>
      </w:rPr>
    </w:lvl>
    <w:lvl w:ilvl="6">
      <w:start w:val="1"/>
      <w:numFmt w:val="bullet"/>
      <w:lvlText w:val="&gt;"/>
      <w:lvlJc w:val="left"/>
      <w:pPr>
        <w:tabs>
          <w:tab w:val="num" w:pos="360"/>
        </w:tabs>
        <w:ind w:left="360" w:firstLine="0"/>
      </w:pPr>
      <w:rPr>
        <w:rFonts w:hint="default"/>
        <w:position w:val="0"/>
        <w:sz w:val="21"/>
      </w:rPr>
    </w:lvl>
    <w:lvl w:ilvl="7">
      <w:start w:val="1"/>
      <w:numFmt w:val="bullet"/>
      <w:lvlText w:val="&gt;"/>
      <w:lvlJc w:val="left"/>
      <w:pPr>
        <w:tabs>
          <w:tab w:val="num" w:pos="360"/>
        </w:tabs>
        <w:ind w:left="360" w:firstLine="0"/>
      </w:pPr>
      <w:rPr>
        <w:rFonts w:hint="default"/>
        <w:position w:val="0"/>
        <w:sz w:val="21"/>
      </w:rPr>
    </w:lvl>
    <w:lvl w:ilvl="8">
      <w:start w:val="1"/>
      <w:numFmt w:val="bullet"/>
      <w:lvlText w:val="&gt;"/>
      <w:lvlJc w:val="left"/>
      <w:pPr>
        <w:tabs>
          <w:tab w:val="num" w:pos="357"/>
        </w:tabs>
        <w:ind w:left="357" w:firstLine="0"/>
      </w:pPr>
      <w:rPr>
        <w:rFonts w:hint="default"/>
        <w:position w:val="0"/>
        <w:sz w:val="21"/>
      </w:rPr>
    </w:lvl>
  </w:abstractNum>
  <w:abstractNum w:abstractNumId="5" w15:restartNumberingAfterBreak="0">
    <w:nsid w:val="026504F6"/>
    <w:multiLevelType w:val="hybridMultilevel"/>
    <w:tmpl w:val="F4C85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27741AE"/>
    <w:multiLevelType w:val="hybridMultilevel"/>
    <w:tmpl w:val="ED9AC4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9E4BDC"/>
    <w:multiLevelType w:val="hybridMultilevel"/>
    <w:tmpl w:val="ED9AC4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617CFC"/>
    <w:multiLevelType w:val="hybridMultilevel"/>
    <w:tmpl w:val="432657BE"/>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7934BA"/>
    <w:multiLevelType w:val="hybridMultilevel"/>
    <w:tmpl w:val="10B2BA7A"/>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960800"/>
    <w:multiLevelType w:val="hybridMultilevel"/>
    <w:tmpl w:val="B43CDDBE"/>
    <w:lvl w:ilvl="0" w:tplc="691CE74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AA145C"/>
    <w:multiLevelType w:val="hybridMultilevel"/>
    <w:tmpl w:val="6F323B90"/>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40CF145A"/>
    <w:multiLevelType w:val="hybridMultilevel"/>
    <w:tmpl w:val="E26248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3A6203"/>
    <w:multiLevelType w:val="hybridMultilevel"/>
    <w:tmpl w:val="ED9AC4F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4818E6"/>
    <w:multiLevelType w:val="hybridMultilevel"/>
    <w:tmpl w:val="ED9AC4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1D6E92"/>
    <w:multiLevelType w:val="multilevel"/>
    <w:tmpl w:val="692AEE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6"/>
  </w:num>
  <w:num w:numId="4">
    <w:abstractNumId w:val="18"/>
  </w:num>
  <w:num w:numId="5">
    <w:abstractNumId w:val="20"/>
  </w:num>
  <w:num w:numId="6">
    <w:abstractNumId w:val="5"/>
  </w:num>
  <w:num w:numId="7">
    <w:abstractNumId w:val="4"/>
  </w:num>
  <w:num w:numId="8">
    <w:abstractNumId w:val="6"/>
  </w:num>
  <w:num w:numId="9">
    <w:abstractNumId w:val="15"/>
  </w:num>
  <w:num w:numId="10">
    <w:abstractNumId w:val="7"/>
  </w:num>
  <w:num w:numId="11">
    <w:abstractNumId w:val="14"/>
  </w:num>
  <w:num w:numId="12">
    <w:abstractNumId w:val="1"/>
  </w:num>
  <w:num w:numId="13">
    <w:abstractNumId w:val="3"/>
  </w:num>
  <w:num w:numId="14">
    <w:abstractNumId w:val="0"/>
  </w:num>
  <w:num w:numId="15">
    <w:abstractNumId w:val="2"/>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10"/>
  </w:num>
  <w:num w:numId="20">
    <w:abstractNumId w:val="13"/>
  </w:num>
  <w:num w:numId="21">
    <w:abstractNumId w:val="11"/>
  </w:num>
  <w:num w:numId="22">
    <w:abstractNumId w:val="8"/>
  </w:num>
  <w:num w:numId="23">
    <w:abstractNumId w:val="9"/>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284"/>
  <w:evenAndOddHeaders/>
  <w:drawingGridHorizontalSpacing w:val="100"/>
  <w:displayHorizontalDrawingGridEvery w:val="2"/>
  <w:characterSpacingControl w:val="doNotCompress"/>
  <w:hdrShapeDefaults>
    <o:shapedefaults v:ext="edit" spidmax="204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32"/>
    <w:rsid w:val="00002573"/>
    <w:rsid w:val="00007CC0"/>
    <w:rsid w:val="00010667"/>
    <w:rsid w:val="000129D5"/>
    <w:rsid w:val="00013A79"/>
    <w:rsid w:val="00013DA3"/>
    <w:rsid w:val="00015AE7"/>
    <w:rsid w:val="00016E21"/>
    <w:rsid w:val="0001719C"/>
    <w:rsid w:val="0002192A"/>
    <w:rsid w:val="0002224E"/>
    <w:rsid w:val="0002375A"/>
    <w:rsid w:val="000237B7"/>
    <w:rsid w:val="00026432"/>
    <w:rsid w:val="00026F91"/>
    <w:rsid w:val="000311FE"/>
    <w:rsid w:val="00032443"/>
    <w:rsid w:val="00035739"/>
    <w:rsid w:val="00041B5C"/>
    <w:rsid w:val="00041CFE"/>
    <w:rsid w:val="00044E34"/>
    <w:rsid w:val="000467F1"/>
    <w:rsid w:val="0004680E"/>
    <w:rsid w:val="00046D03"/>
    <w:rsid w:val="0004764C"/>
    <w:rsid w:val="00047F91"/>
    <w:rsid w:val="0005011A"/>
    <w:rsid w:val="0005045A"/>
    <w:rsid w:val="00050596"/>
    <w:rsid w:val="00051423"/>
    <w:rsid w:val="00051C1E"/>
    <w:rsid w:val="00052124"/>
    <w:rsid w:val="000528C1"/>
    <w:rsid w:val="000539F9"/>
    <w:rsid w:val="00054C27"/>
    <w:rsid w:val="00055BC2"/>
    <w:rsid w:val="00055CA9"/>
    <w:rsid w:val="00055EC3"/>
    <w:rsid w:val="000563CE"/>
    <w:rsid w:val="00064089"/>
    <w:rsid w:val="000641C0"/>
    <w:rsid w:val="00065241"/>
    <w:rsid w:val="000659B6"/>
    <w:rsid w:val="000661C1"/>
    <w:rsid w:val="0006686F"/>
    <w:rsid w:val="0006722A"/>
    <w:rsid w:val="00067BF4"/>
    <w:rsid w:val="00070FEE"/>
    <w:rsid w:val="000732CF"/>
    <w:rsid w:val="00073772"/>
    <w:rsid w:val="0007457B"/>
    <w:rsid w:val="00074AA0"/>
    <w:rsid w:val="00074D7B"/>
    <w:rsid w:val="00075408"/>
    <w:rsid w:val="00075B96"/>
    <w:rsid w:val="00076131"/>
    <w:rsid w:val="000771A5"/>
    <w:rsid w:val="0008196A"/>
    <w:rsid w:val="00082AF7"/>
    <w:rsid w:val="0008303F"/>
    <w:rsid w:val="00083D65"/>
    <w:rsid w:val="00090D9A"/>
    <w:rsid w:val="000915ED"/>
    <w:rsid w:val="0009209D"/>
    <w:rsid w:val="00092625"/>
    <w:rsid w:val="00093629"/>
    <w:rsid w:val="00093D25"/>
    <w:rsid w:val="00094CA3"/>
    <w:rsid w:val="000969BD"/>
    <w:rsid w:val="000969BF"/>
    <w:rsid w:val="000A0C22"/>
    <w:rsid w:val="000A1720"/>
    <w:rsid w:val="000A3C43"/>
    <w:rsid w:val="000A4A51"/>
    <w:rsid w:val="000A5D2B"/>
    <w:rsid w:val="000A60D4"/>
    <w:rsid w:val="000A60E4"/>
    <w:rsid w:val="000A63AC"/>
    <w:rsid w:val="000B5DE3"/>
    <w:rsid w:val="000C0A57"/>
    <w:rsid w:val="000C230C"/>
    <w:rsid w:val="000C3F98"/>
    <w:rsid w:val="000C4CA9"/>
    <w:rsid w:val="000C6AB4"/>
    <w:rsid w:val="000C76E8"/>
    <w:rsid w:val="000C7CFB"/>
    <w:rsid w:val="000D004F"/>
    <w:rsid w:val="000D01F6"/>
    <w:rsid w:val="000D0737"/>
    <w:rsid w:val="000D4CEC"/>
    <w:rsid w:val="000D560E"/>
    <w:rsid w:val="000D7159"/>
    <w:rsid w:val="000D7199"/>
    <w:rsid w:val="000D71D9"/>
    <w:rsid w:val="000D74B9"/>
    <w:rsid w:val="000D76E0"/>
    <w:rsid w:val="000D7E8B"/>
    <w:rsid w:val="000E0AA2"/>
    <w:rsid w:val="000E4449"/>
    <w:rsid w:val="000E5EBE"/>
    <w:rsid w:val="000E6097"/>
    <w:rsid w:val="000E6E09"/>
    <w:rsid w:val="000F36C1"/>
    <w:rsid w:val="000F4B36"/>
    <w:rsid w:val="000F5458"/>
    <w:rsid w:val="000F5D83"/>
    <w:rsid w:val="000F6577"/>
    <w:rsid w:val="000F746D"/>
    <w:rsid w:val="00102B5E"/>
    <w:rsid w:val="00102FA5"/>
    <w:rsid w:val="00103829"/>
    <w:rsid w:val="001056B9"/>
    <w:rsid w:val="001064EA"/>
    <w:rsid w:val="00107352"/>
    <w:rsid w:val="001078F6"/>
    <w:rsid w:val="00111FCE"/>
    <w:rsid w:val="0011246C"/>
    <w:rsid w:val="00113475"/>
    <w:rsid w:val="001142DB"/>
    <w:rsid w:val="001172AD"/>
    <w:rsid w:val="00117A3A"/>
    <w:rsid w:val="00117E32"/>
    <w:rsid w:val="00120BE1"/>
    <w:rsid w:val="001229A5"/>
    <w:rsid w:val="00122CBB"/>
    <w:rsid w:val="0012489B"/>
    <w:rsid w:val="00127AEC"/>
    <w:rsid w:val="00130017"/>
    <w:rsid w:val="00130F91"/>
    <w:rsid w:val="00131669"/>
    <w:rsid w:val="0013259E"/>
    <w:rsid w:val="00134574"/>
    <w:rsid w:val="001349ED"/>
    <w:rsid w:val="00134B3E"/>
    <w:rsid w:val="00134BDA"/>
    <w:rsid w:val="00137424"/>
    <w:rsid w:val="00140318"/>
    <w:rsid w:val="00140BE1"/>
    <w:rsid w:val="00141AD9"/>
    <w:rsid w:val="001430C2"/>
    <w:rsid w:val="00146CE6"/>
    <w:rsid w:val="00146E70"/>
    <w:rsid w:val="00146FFC"/>
    <w:rsid w:val="00147804"/>
    <w:rsid w:val="00152386"/>
    <w:rsid w:val="00152903"/>
    <w:rsid w:val="00152E6B"/>
    <w:rsid w:val="00153FD5"/>
    <w:rsid w:val="0015485B"/>
    <w:rsid w:val="0015590C"/>
    <w:rsid w:val="0015614F"/>
    <w:rsid w:val="001577C2"/>
    <w:rsid w:val="00162D9C"/>
    <w:rsid w:val="001633C4"/>
    <w:rsid w:val="001642FA"/>
    <w:rsid w:val="00165D00"/>
    <w:rsid w:val="00171591"/>
    <w:rsid w:val="001728AC"/>
    <w:rsid w:val="0017295B"/>
    <w:rsid w:val="0017373B"/>
    <w:rsid w:val="00173981"/>
    <w:rsid w:val="00174BF4"/>
    <w:rsid w:val="0017719D"/>
    <w:rsid w:val="0018101D"/>
    <w:rsid w:val="001825B4"/>
    <w:rsid w:val="001836A3"/>
    <w:rsid w:val="00183FD7"/>
    <w:rsid w:val="00185CAB"/>
    <w:rsid w:val="001869EA"/>
    <w:rsid w:val="00187079"/>
    <w:rsid w:val="001875B7"/>
    <w:rsid w:val="00187CB3"/>
    <w:rsid w:val="0019050A"/>
    <w:rsid w:val="001910D4"/>
    <w:rsid w:val="00191ADB"/>
    <w:rsid w:val="001976E3"/>
    <w:rsid w:val="001A0B01"/>
    <w:rsid w:val="001A2417"/>
    <w:rsid w:val="001A26FA"/>
    <w:rsid w:val="001A44EC"/>
    <w:rsid w:val="001A5271"/>
    <w:rsid w:val="001A5E68"/>
    <w:rsid w:val="001A7711"/>
    <w:rsid w:val="001B0FF3"/>
    <w:rsid w:val="001B1965"/>
    <w:rsid w:val="001B47CF"/>
    <w:rsid w:val="001B58AA"/>
    <w:rsid w:val="001B610D"/>
    <w:rsid w:val="001B7E48"/>
    <w:rsid w:val="001C17CE"/>
    <w:rsid w:val="001C36CA"/>
    <w:rsid w:val="001C3E10"/>
    <w:rsid w:val="001C44D1"/>
    <w:rsid w:val="001C6AEE"/>
    <w:rsid w:val="001C7630"/>
    <w:rsid w:val="001D2F6F"/>
    <w:rsid w:val="001D50E2"/>
    <w:rsid w:val="001D5FA7"/>
    <w:rsid w:val="001D6D15"/>
    <w:rsid w:val="001E12FB"/>
    <w:rsid w:val="001E16E2"/>
    <w:rsid w:val="001E44F0"/>
    <w:rsid w:val="001E57E7"/>
    <w:rsid w:val="001F57E3"/>
    <w:rsid w:val="001F7558"/>
    <w:rsid w:val="00201381"/>
    <w:rsid w:val="00205B57"/>
    <w:rsid w:val="002116A8"/>
    <w:rsid w:val="002157E0"/>
    <w:rsid w:val="00216A57"/>
    <w:rsid w:val="00222AD5"/>
    <w:rsid w:val="0022334F"/>
    <w:rsid w:val="00226819"/>
    <w:rsid w:val="00233101"/>
    <w:rsid w:val="00233817"/>
    <w:rsid w:val="00233A9D"/>
    <w:rsid w:val="002367FF"/>
    <w:rsid w:val="0023731F"/>
    <w:rsid w:val="0023782F"/>
    <w:rsid w:val="00237985"/>
    <w:rsid w:val="00240CE9"/>
    <w:rsid w:val="00242323"/>
    <w:rsid w:val="002434BA"/>
    <w:rsid w:val="00245E60"/>
    <w:rsid w:val="00246089"/>
    <w:rsid w:val="00246093"/>
    <w:rsid w:val="00246189"/>
    <w:rsid w:val="00246702"/>
    <w:rsid w:val="00247C59"/>
    <w:rsid w:val="00247F2E"/>
    <w:rsid w:val="00250ADC"/>
    <w:rsid w:val="00250B07"/>
    <w:rsid w:val="00251841"/>
    <w:rsid w:val="00252800"/>
    <w:rsid w:val="00254E8B"/>
    <w:rsid w:val="00254FFE"/>
    <w:rsid w:val="00255102"/>
    <w:rsid w:val="00257553"/>
    <w:rsid w:val="00257AB0"/>
    <w:rsid w:val="00260FB2"/>
    <w:rsid w:val="00261A5A"/>
    <w:rsid w:val="00261EEF"/>
    <w:rsid w:val="00262128"/>
    <w:rsid w:val="00265115"/>
    <w:rsid w:val="00265F63"/>
    <w:rsid w:val="00267589"/>
    <w:rsid w:val="00270F05"/>
    <w:rsid w:val="0027165D"/>
    <w:rsid w:val="00271E43"/>
    <w:rsid w:val="0027221F"/>
    <w:rsid w:val="00272E21"/>
    <w:rsid w:val="00273377"/>
    <w:rsid w:val="002737F5"/>
    <w:rsid w:val="00273CEB"/>
    <w:rsid w:val="00276CBB"/>
    <w:rsid w:val="00280B38"/>
    <w:rsid w:val="00281C89"/>
    <w:rsid w:val="00282685"/>
    <w:rsid w:val="0028282F"/>
    <w:rsid w:val="00284F80"/>
    <w:rsid w:val="002864DD"/>
    <w:rsid w:val="002866F5"/>
    <w:rsid w:val="00290279"/>
    <w:rsid w:val="00290650"/>
    <w:rsid w:val="0029119C"/>
    <w:rsid w:val="0029593B"/>
    <w:rsid w:val="00296388"/>
    <w:rsid w:val="00297FC5"/>
    <w:rsid w:val="002A0304"/>
    <w:rsid w:val="002A0417"/>
    <w:rsid w:val="002A16D8"/>
    <w:rsid w:val="002A1BC8"/>
    <w:rsid w:val="002A3EF2"/>
    <w:rsid w:val="002B0D52"/>
    <w:rsid w:val="002B0DED"/>
    <w:rsid w:val="002B19A2"/>
    <w:rsid w:val="002B2D43"/>
    <w:rsid w:val="002B34BC"/>
    <w:rsid w:val="002B381A"/>
    <w:rsid w:val="002B4B6B"/>
    <w:rsid w:val="002B4FCC"/>
    <w:rsid w:val="002B59F3"/>
    <w:rsid w:val="002B62C8"/>
    <w:rsid w:val="002B7408"/>
    <w:rsid w:val="002B7CFD"/>
    <w:rsid w:val="002B7FAA"/>
    <w:rsid w:val="002C210F"/>
    <w:rsid w:val="002C25D6"/>
    <w:rsid w:val="002C32F9"/>
    <w:rsid w:val="002C5793"/>
    <w:rsid w:val="002C6213"/>
    <w:rsid w:val="002D0CD0"/>
    <w:rsid w:val="002D3600"/>
    <w:rsid w:val="002D390D"/>
    <w:rsid w:val="002D6C59"/>
    <w:rsid w:val="002D74ED"/>
    <w:rsid w:val="002E02DB"/>
    <w:rsid w:val="002E18F0"/>
    <w:rsid w:val="002E4DDC"/>
    <w:rsid w:val="002E5C39"/>
    <w:rsid w:val="002E7174"/>
    <w:rsid w:val="002E78FC"/>
    <w:rsid w:val="002F014B"/>
    <w:rsid w:val="002F01B7"/>
    <w:rsid w:val="002F0E08"/>
    <w:rsid w:val="002F1EB8"/>
    <w:rsid w:val="002F5191"/>
    <w:rsid w:val="002F65A0"/>
    <w:rsid w:val="002F786F"/>
    <w:rsid w:val="0030085D"/>
    <w:rsid w:val="00302287"/>
    <w:rsid w:val="00302335"/>
    <w:rsid w:val="00302480"/>
    <w:rsid w:val="00315EBF"/>
    <w:rsid w:val="003165E6"/>
    <w:rsid w:val="00322021"/>
    <w:rsid w:val="003221CF"/>
    <w:rsid w:val="003233ED"/>
    <w:rsid w:val="00324D9F"/>
    <w:rsid w:val="00325C6A"/>
    <w:rsid w:val="003261DC"/>
    <w:rsid w:val="0032706B"/>
    <w:rsid w:val="00327948"/>
    <w:rsid w:val="0033000F"/>
    <w:rsid w:val="00330BA4"/>
    <w:rsid w:val="00332011"/>
    <w:rsid w:val="00332518"/>
    <w:rsid w:val="00332925"/>
    <w:rsid w:val="00332B5E"/>
    <w:rsid w:val="003332ED"/>
    <w:rsid w:val="003333A9"/>
    <w:rsid w:val="00334FBA"/>
    <w:rsid w:val="00335B81"/>
    <w:rsid w:val="00335DC1"/>
    <w:rsid w:val="003368DC"/>
    <w:rsid w:val="0033691D"/>
    <w:rsid w:val="00337860"/>
    <w:rsid w:val="003379AE"/>
    <w:rsid w:val="00337B1E"/>
    <w:rsid w:val="00343B59"/>
    <w:rsid w:val="00345927"/>
    <w:rsid w:val="0034617B"/>
    <w:rsid w:val="00350584"/>
    <w:rsid w:val="00351857"/>
    <w:rsid w:val="003527B7"/>
    <w:rsid w:val="00352FCF"/>
    <w:rsid w:val="003545E8"/>
    <w:rsid w:val="00360160"/>
    <w:rsid w:val="00360EE4"/>
    <w:rsid w:val="003610E1"/>
    <w:rsid w:val="00361DB2"/>
    <w:rsid w:val="0036432D"/>
    <w:rsid w:val="003650F6"/>
    <w:rsid w:val="003660D6"/>
    <w:rsid w:val="00366177"/>
    <w:rsid w:val="00366D1A"/>
    <w:rsid w:val="003671BE"/>
    <w:rsid w:val="003710EF"/>
    <w:rsid w:val="00372485"/>
    <w:rsid w:val="00372C5F"/>
    <w:rsid w:val="00372E78"/>
    <w:rsid w:val="00373200"/>
    <w:rsid w:val="00375EF5"/>
    <w:rsid w:val="003767A5"/>
    <w:rsid w:val="003772DE"/>
    <w:rsid w:val="00377BAE"/>
    <w:rsid w:val="00383043"/>
    <w:rsid w:val="00385254"/>
    <w:rsid w:val="003905EA"/>
    <w:rsid w:val="00390A84"/>
    <w:rsid w:val="003919F0"/>
    <w:rsid w:val="0039215E"/>
    <w:rsid w:val="00392629"/>
    <w:rsid w:val="003977AB"/>
    <w:rsid w:val="003A04DB"/>
    <w:rsid w:val="003A1675"/>
    <w:rsid w:val="003A3128"/>
    <w:rsid w:val="003A4425"/>
    <w:rsid w:val="003A4914"/>
    <w:rsid w:val="003A5EE1"/>
    <w:rsid w:val="003A5F5B"/>
    <w:rsid w:val="003A640C"/>
    <w:rsid w:val="003A789A"/>
    <w:rsid w:val="003B00BE"/>
    <w:rsid w:val="003B12EC"/>
    <w:rsid w:val="003B5B89"/>
    <w:rsid w:val="003B6FD9"/>
    <w:rsid w:val="003C000F"/>
    <w:rsid w:val="003C1AB0"/>
    <w:rsid w:val="003C5826"/>
    <w:rsid w:val="003C77E0"/>
    <w:rsid w:val="003C7B49"/>
    <w:rsid w:val="003C7E40"/>
    <w:rsid w:val="003D16D6"/>
    <w:rsid w:val="003D17D7"/>
    <w:rsid w:val="003D2678"/>
    <w:rsid w:val="003D5A24"/>
    <w:rsid w:val="003D6728"/>
    <w:rsid w:val="003D6FFB"/>
    <w:rsid w:val="003D71A3"/>
    <w:rsid w:val="003D7223"/>
    <w:rsid w:val="003E18C6"/>
    <w:rsid w:val="003E259F"/>
    <w:rsid w:val="003E2B8A"/>
    <w:rsid w:val="003E53E5"/>
    <w:rsid w:val="003F10EE"/>
    <w:rsid w:val="003F16F6"/>
    <w:rsid w:val="003F1873"/>
    <w:rsid w:val="003F32DE"/>
    <w:rsid w:val="003F3754"/>
    <w:rsid w:val="003F4DC7"/>
    <w:rsid w:val="003F5235"/>
    <w:rsid w:val="003F57BA"/>
    <w:rsid w:val="003F7A9D"/>
    <w:rsid w:val="0040079A"/>
    <w:rsid w:val="0040113D"/>
    <w:rsid w:val="00402338"/>
    <w:rsid w:val="004027E4"/>
    <w:rsid w:val="0040281D"/>
    <w:rsid w:val="00402D49"/>
    <w:rsid w:val="0040348A"/>
    <w:rsid w:val="00403F1B"/>
    <w:rsid w:val="00403F23"/>
    <w:rsid w:val="004045F8"/>
    <w:rsid w:val="004078E7"/>
    <w:rsid w:val="0041071D"/>
    <w:rsid w:val="00411C7E"/>
    <w:rsid w:val="00412368"/>
    <w:rsid w:val="004141B7"/>
    <w:rsid w:val="00414AFC"/>
    <w:rsid w:val="004151A7"/>
    <w:rsid w:val="00415310"/>
    <w:rsid w:val="0041576B"/>
    <w:rsid w:val="004203A4"/>
    <w:rsid w:val="00421709"/>
    <w:rsid w:val="00423763"/>
    <w:rsid w:val="00423DFC"/>
    <w:rsid w:val="00424A75"/>
    <w:rsid w:val="004252DD"/>
    <w:rsid w:val="00425E63"/>
    <w:rsid w:val="0042762F"/>
    <w:rsid w:val="00427DC7"/>
    <w:rsid w:val="00427E8E"/>
    <w:rsid w:val="00431613"/>
    <w:rsid w:val="00431792"/>
    <w:rsid w:val="0043297A"/>
    <w:rsid w:val="00432EB2"/>
    <w:rsid w:val="00433AD9"/>
    <w:rsid w:val="00436E0B"/>
    <w:rsid w:val="0043714F"/>
    <w:rsid w:val="004427E1"/>
    <w:rsid w:val="0044296C"/>
    <w:rsid w:val="004438B5"/>
    <w:rsid w:val="00444254"/>
    <w:rsid w:val="00447037"/>
    <w:rsid w:val="00450C87"/>
    <w:rsid w:val="0045124D"/>
    <w:rsid w:val="004524DF"/>
    <w:rsid w:val="00453BCD"/>
    <w:rsid w:val="00454596"/>
    <w:rsid w:val="0045605D"/>
    <w:rsid w:val="00457503"/>
    <w:rsid w:val="00460B53"/>
    <w:rsid w:val="0046135B"/>
    <w:rsid w:val="00461726"/>
    <w:rsid w:val="00461D47"/>
    <w:rsid w:val="00462573"/>
    <w:rsid w:val="00463897"/>
    <w:rsid w:val="00463910"/>
    <w:rsid w:val="00464960"/>
    <w:rsid w:val="004718CC"/>
    <w:rsid w:val="0047326F"/>
    <w:rsid w:val="0047475B"/>
    <w:rsid w:val="00476D83"/>
    <w:rsid w:val="00476F77"/>
    <w:rsid w:val="00477768"/>
    <w:rsid w:val="00481695"/>
    <w:rsid w:val="00482A16"/>
    <w:rsid w:val="00483AB7"/>
    <w:rsid w:val="00487408"/>
    <w:rsid w:val="004912A4"/>
    <w:rsid w:val="0049215C"/>
    <w:rsid w:val="00492CF6"/>
    <w:rsid w:val="00493811"/>
    <w:rsid w:val="0049421C"/>
    <w:rsid w:val="00495A96"/>
    <w:rsid w:val="00495BB3"/>
    <w:rsid w:val="004A1A4A"/>
    <w:rsid w:val="004A286E"/>
    <w:rsid w:val="004A2B2E"/>
    <w:rsid w:val="004A417B"/>
    <w:rsid w:val="004A4370"/>
    <w:rsid w:val="004A56BB"/>
    <w:rsid w:val="004B018C"/>
    <w:rsid w:val="004B0D5D"/>
    <w:rsid w:val="004B1751"/>
    <w:rsid w:val="004B2890"/>
    <w:rsid w:val="004B324F"/>
    <w:rsid w:val="004C0253"/>
    <w:rsid w:val="004C2C99"/>
    <w:rsid w:val="004C304D"/>
    <w:rsid w:val="004C39C1"/>
    <w:rsid w:val="004C3C64"/>
    <w:rsid w:val="004C468A"/>
    <w:rsid w:val="004C4CF7"/>
    <w:rsid w:val="004D2B8F"/>
    <w:rsid w:val="004D3702"/>
    <w:rsid w:val="004D56FF"/>
    <w:rsid w:val="004D7194"/>
    <w:rsid w:val="004E39D3"/>
    <w:rsid w:val="004E508A"/>
    <w:rsid w:val="004E616D"/>
    <w:rsid w:val="004E76AD"/>
    <w:rsid w:val="004E7DAA"/>
    <w:rsid w:val="004F0975"/>
    <w:rsid w:val="004F0D49"/>
    <w:rsid w:val="004F1B1C"/>
    <w:rsid w:val="004F1BDE"/>
    <w:rsid w:val="004F249C"/>
    <w:rsid w:val="004F2CEE"/>
    <w:rsid w:val="004F556E"/>
    <w:rsid w:val="004F7EC4"/>
    <w:rsid w:val="004F7F44"/>
    <w:rsid w:val="00500519"/>
    <w:rsid w:val="00502C13"/>
    <w:rsid w:val="005037B4"/>
    <w:rsid w:val="005053E2"/>
    <w:rsid w:val="00506BEA"/>
    <w:rsid w:val="005078ED"/>
    <w:rsid w:val="005079BF"/>
    <w:rsid w:val="005100A2"/>
    <w:rsid w:val="00512090"/>
    <w:rsid w:val="0051269A"/>
    <w:rsid w:val="00512921"/>
    <w:rsid w:val="00512B97"/>
    <w:rsid w:val="00513442"/>
    <w:rsid w:val="005154B2"/>
    <w:rsid w:val="00517E32"/>
    <w:rsid w:val="005219E7"/>
    <w:rsid w:val="00522B68"/>
    <w:rsid w:val="00527C92"/>
    <w:rsid w:val="005318E2"/>
    <w:rsid w:val="00531B9A"/>
    <w:rsid w:val="00531D15"/>
    <w:rsid w:val="00534FC4"/>
    <w:rsid w:val="00534FD3"/>
    <w:rsid w:val="00537604"/>
    <w:rsid w:val="0054045B"/>
    <w:rsid w:val="00542377"/>
    <w:rsid w:val="005476EB"/>
    <w:rsid w:val="005513F8"/>
    <w:rsid w:val="00551782"/>
    <w:rsid w:val="00553C55"/>
    <w:rsid w:val="005550DF"/>
    <w:rsid w:val="0055593A"/>
    <w:rsid w:val="00557C73"/>
    <w:rsid w:val="00562AA1"/>
    <w:rsid w:val="00563752"/>
    <w:rsid w:val="00563B56"/>
    <w:rsid w:val="00563EF1"/>
    <w:rsid w:val="00566AB4"/>
    <w:rsid w:val="00567A4D"/>
    <w:rsid w:val="00570A47"/>
    <w:rsid w:val="005729B5"/>
    <w:rsid w:val="005739CD"/>
    <w:rsid w:val="00575AC5"/>
    <w:rsid w:val="0057605D"/>
    <w:rsid w:val="00576536"/>
    <w:rsid w:val="00576594"/>
    <w:rsid w:val="00576748"/>
    <w:rsid w:val="00576A53"/>
    <w:rsid w:val="005811C3"/>
    <w:rsid w:val="00581347"/>
    <w:rsid w:val="00581AC9"/>
    <w:rsid w:val="005849F8"/>
    <w:rsid w:val="00584A93"/>
    <w:rsid w:val="0058584E"/>
    <w:rsid w:val="0058646B"/>
    <w:rsid w:val="0059197B"/>
    <w:rsid w:val="00591FE9"/>
    <w:rsid w:val="005938DF"/>
    <w:rsid w:val="005948B0"/>
    <w:rsid w:val="00594E9C"/>
    <w:rsid w:val="005960CE"/>
    <w:rsid w:val="00596EE0"/>
    <w:rsid w:val="005A03F1"/>
    <w:rsid w:val="005A099B"/>
    <w:rsid w:val="005A21F6"/>
    <w:rsid w:val="005A29FF"/>
    <w:rsid w:val="005A2D9C"/>
    <w:rsid w:val="005A55FE"/>
    <w:rsid w:val="005A6A11"/>
    <w:rsid w:val="005B1B9F"/>
    <w:rsid w:val="005B1F93"/>
    <w:rsid w:val="005B7442"/>
    <w:rsid w:val="005C15DF"/>
    <w:rsid w:val="005C3416"/>
    <w:rsid w:val="005C4A16"/>
    <w:rsid w:val="005D2502"/>
    <w:rsid w:val="005D2744"/>
    <w:rsid w:val="005D40BB"/>
    <w:rsid w:val="005D47F3"/>
    <w:rsid w:val="005D49BF"/>
    <w:rsid w:val="005D53C4"/>
    <w:rsid w:val="005D65DF"/>
    <w:rsid w:val="005D665F"/>
    <w:rsid w:val="005D6F4E"/>
    <w:rsid w:val="005D7881"/>
    <w:rsid w:val="005D7C73"/>
    <w:rsid w:val="005E0368"/>
    <w:rsid w:val="005E3ACD"/>
    <w:rsid w:val="005E67BD"/>
    <w:rsid w:val="005E6E67"/>
    <w:rsid w:val="005E7226"/>
    <w:rsid w:val="005E7A57"/>
    <w:rsid w:val="005F13D0"/>
    <w:rsid w:val="005F192F"/>
    <w:rsid w:val="005F1F9E"/>
    <w:rsid w:val="005F24B0"/>
    <w:rsid w:val="005F30C0"/>
    <w:rsid w:val="005F7146"/>
    <w:rsid w:val="00600D08"/>
    <w:rsid w:val="006011F6"/>
    <w:rsid w:val="00602269"/>
    <w:rsid w:val="00604315"/>
    <w:rsid w:val="00604E26"/>
    <w:rsid w:val="006052CF"/>
    <w:rsid w:val="0060580E"/>
    <w:rsid w:val="00606EC8"/>
    <w:rsid w:val="0060712D"/>
    <w:rsid w:val="00607B8D"/>
    <w:rsid w:val="00610D5F"/>
    <w:rsid w:val="00611F5C"/>
    <w:rsid w:val="00614BE2"/>
    <w:rsid w:val="00616E09"/>
    <w:rsid w:val="00621C9E"/>
    <w:rsid w:val="00622A3B"/>
    <w:rsid w:val="00622EEA"/>
    <w:rsid w:val="0062396C"/>
    <w:rsid w:val="00623FF9"/>
    <w:rsid w:val="0062704E"/>
    <w:rsid w:val="00627D4E"/>
    <w:rsid w:val="00631C18"/>
    <w:rsid w:val="00634478"/>
    <w:rsid w:val="0063472B"/>
    <w:rsid w:val="006348E2"/>
    <w:rsid w:val="00635874"/>
    <w:rsid w:val="00635C61"/>
    <w:rsid w:val="00637E06"/>
    <w:rsid w:val="00640366"/>
    <w:rsid w:val="00640E6F"/>
    <w:rsid w:val="00642D68"/>
    <w:rsid w:val="00644373"/>
    <w:rsid w:val="00645523"/>
    <w:rsid w:val="00645915"/>
    <w:rsid w:val="00650362"/>
    <w:rsid w:val="00650BC8"/>
    <w:rsid w:val="006519C3"/>
    <w:rsid w:val="00651BAB"/>
    <w:rsid w:val="00652B30"/>
    <w:rsid w:val="0065383A"/>
    <w:rsid w:val="00653A25"/>
    <w:rsid w:val="00655B39"/>
    <w:rsid w:val="00656345"/>
    <w:rsid w:val="00656DC6"/>
    <w:rsid w:val="00660648"/>
    <w:rsid w:val="00660C0E"/>
    <w:rsid w:val="00660EC6"/>
    <w:rsid w:val="00661701"/>
    <w:rsid w:val="006625F7"/>
    <w:rsid w:val="00663896"/>
    <w:rsid w:val="00664110"/>
    <w:rsid w:val="00664D17"/>
    <w:rsid w:val="006656A2"/>
    <w:rsid w:val="00666520"/>
    <w:rsid w:val="00666EE1"/>
    <w:rsid w:val="00667C5B"/>
    <w:rsid w:val="0067176E"/>
    <w:rsid w:val="00671C30"/>
    <w:rsid w:val="00687A9B"/>
    <w:rsid w:val="00691ED1"/>
    <w:rsid w:val="006921EC"/>
    <w:rsid w:val="00692CDB"/>
    <w:rsid w:val="00692CDE"/>
    <w:rsid w:val="00692EF7"/>
    <w:rsid w:val="00693073"/>
    <w:rsid w:val="00696C29"/>
    <w:rsid w:val="00696E58"/>
    <w:rsid w:val="006977FF"/>
    <w:rsid w:val="006A01FA"/>
    <w:rsid w:val="006A02B3"/>
    <w:rsid w:val="006A0E9E"/>
    <w:rsid w:val="006A25C7"/>
    <w:rsid w:val="006A2730"/>
    <w:rsid w:val="006A4AAD"/>
    <w:rsid w:val="006A5F02"/>
    <w:rsid w:val="006A67FA"/>
    <w:rsid w:val="006A6DA2"/>
    <w:rsid w:val="006A7494"/>
    <w:rsid w:val="006A7AB2"/>
    <w:rsid w:val="006A7D74"/>
    <w:rsid w:val="006B102B"/>
    <w:rsid w:val="006B2172"/>
    <w:rsid w:val="006B2834"/>
    <w:rsid w:val="006B4619"/>
    <w:rsid w:val="006B5717"/>
    <w:rsid w:val="006B582F"/>
    <w:rsid w:val="006B7A60"/>
    <w:rsid w:val="006C0906"/>
    <w:rsid w:val="006C0CEB"/>
    <w:rsid w:val="006C0E1C"/>
    <w:rsid w:val="006C3B1E"/>
    <w:rsid w:val="006C47FD"/>
    <w:rsid w:val="006C5C19"/>
    <w:rsid w:val="006C70A0"/>
    <w:rsid w:val="006D0EC1"/>
    <w:rsid w:val="006D26B4"/>
    <w:rsid w:val="006D27CB"/>
    <w:rsid w:val="006D2F08"/>
    <w:rsid w:val="006D389B"/>
    <w:rsid w:val="006D4969"/>
    <w:rsid w:val="006D4F3F"/>
    <w:rsid w:val="006D50C1"/>
    <w:rsid w:val="006D576C"/>
    <w:rsid w:val="006D5865"/>
    <w:rsid w:val="006D6661"/>
    <w:rsid w:val="006D7494"/>
    <w:rsid w:val="006E0DE8"/>
    <w:rsid w:val="006E1C3A"/>
    <w:rsid w:val="006E2895"/>
    <w:rsid w:val="006E370D"/>
    <w:rsid w:val="006E4B1B"/>
    <w:rsid w:val="006E5300"/>
    <w:rsid w:val="006E5445"/>
    <w:rsid w:val="006E7008"/>
    <w:rsid w:val="006E7D93"/>
    <w:rsid w:val="006F398A"/>
    <w:rsid w:val="006F3F78"/>
    <w:rsid w:val="006F4168"/>
    <w:rsid w:val="006F5D21"/>
    <w:rsid w:val="006F7024"/>
    <w:rsid w:val="006F7826"/>
    <w:rsid w:val="007029A3"/>
    <w:rsid w:val="00702BB2"/>
    <w:rsid w:val="007064C3"/>
    <w:rsid w:val="00706E4E"/>
    <w:rsid w:val="007076DF"/>
    <w:rsid w:val="0070791C"/>
    <w:rsid w:val="0071158A"/>
    <w:rsid w:val="0071383C"/>
    <w:rsid w:val="007141A7"/>
    <w:rsid w:val="00715722"/>
    <w:rsid w:val="00716E77"/>
    <w:rsid w:val="00716ED8"/>
    <w:rsid w:val="00717461"/>
    <w:rsid w:val="007202FA"/>
    <w:rsid w:val="00721032"/>
    <w:rsid w:val="0072138B"/>
    <w:rsid w:val="0072192E"/>
    <w:rsid w:val="00721B55"/>
    <w:rsid w:val="00726CE4"/>
    <w:rsid w:val="007326D7"/>
    <w:rsid w:val="00733DC2"/>
    <w:rsid w:val="00734143"/>
    <w:rsid w:val="00734975"/>
    <w:rsid w:val="00735C44"/>
    <w:rsid w:val="0073731B"/>
    <w:rsid w:val="00737E47"/>
    <w:rsid w:val="00740EAC"/>
    <w:rsid w:val="0074204A"/>
    <w:rsid w:val="00743118"/>
    <w:rsid w:val="007434D7"/>
    <w:rsid w:val="00744956"/>
    <w:rsid w:val="00745A5C"/>
    <w:rsid w:val="0074605F"/>
    <w:rsid w:val="00747A3E"/>
    <w:rsid w:val="00747E94"/>
    <w:rsid w:val="0075116F"/>
    <w:rsid w:val="00752C58"/>
    <w:rsid w:val="00754C83"/>
    <w:rsid w:val="00755FF9"/>
    <w:rsid w:val="0076330D"/>
    <w:rsid w:val="0076445E"/>
    <w:rsid w:val="007649ED"/>
    <w:rsid w:val="00765DF8"/>
    <w:rsid w:val="00766749"/>
    <w:rsid w:val="00767306"/>
    <w:rsid w:val="00767C1B"/>
    <w:rsid w:val="00770FCF"/>
    <w:rsid w:val="007714A9"/>
    <w:rsid w:val="00771592"/>
    <w:rsid w:val="00774485"/>
    <w:rsid w:val="00774F88"/>
    <w:rsid w:val="00774FDB"/>
    <w:rsid w:val="00775791"/>
    <w:rsid w:val="00777357"/>
    <w:rsid w:val="00777BA2"/>
    <w:rsid w:val="007801F9"/>
    <w:rsid w:val="00781408"/>
    <w:rsid w:val="00784F7F"/>
    <w:rsid w:val="007858C6"/>
    <w:rsid w:val="007867CE"/>
    <w:rsid w:val="007878BD"/>
    <w:rsid w:val="00787F80"/>
    <w:rsid w:val="00791D69"/>
    <w:rsid w:val="00793346"/>
    <w:rsid w:val="00793A70"/>
    <w:rsid w:val="0079486D"/>
    <w:rsid w:val="00795BE9"/>
    <w:rsid w:val="00796F25"/>
    <w:rsid w:val="00797D82"/>
    <w:rsid w:val="007A0749"/>
    <w:rsid w:val="007A0915"/>
    <w:rsid w:val="007A14C0"/>
    <w:rsid w:val="007A2406"/>
    <w:rsid w:val="007A277B"/>
    <w:rsid w:val="007A2E98"/>
    <w:rsid w:val="007A3BA3"/>
    <w:rsid w:val="007A4CFC"/>
    <w:rsid w:val="007A6CC0"/>
    <w:rsid w:val="007A7F19"/>
    <w:rsid w:val="007A7FEC"/>
    <w:rsid w:val="007B018A"/>
    <w:rsid w:val="007B1499"/>
    <w:rsid w:val="007B1BBF"/>
    <w:rsid w:val="007B2116"/>
    <w:rsid w:val="007B2773"/>
    <w:rsid w:val="007B2960"/>
    <w:rsid w:val="007B2CBA"/>
    <w:rsid w:val="007B355D"/>
    <w:rsid w:val="007B4812"/>
    <w:rsid w:val="007B7980"/>
    <w:rsid w:val="007C0848"/>
    <w:rsid w:val="007C0DEF"/>
    <w:rsid w:val="007C5C52"/>
    <w:rsid w:val="007C5D5A"/>
    <w:rsid w:val="007C607F"/>
    <w:rsid w:val="007C79DD"/>
    <w:rsid w:val="007D13ED"/>
    <w:rsid w:val="007D1A97"/>
    <w:rsid w:val="007D27FB"/>
    <w:rsid w:val="007D2CD6"/>
    <w:rsid w:val="007D3063"/>
    <w:rsid w:val="007D3BCF"/>
    <w:rsid w:val="007D3CEB"/>
    <w:rsid w:val="007D5FE5"/>
    <w:rsid w:val="007D6104"/>
    <w:rsid w:val="007D7BD0"/>
    <w:rsid w:val="007E0126"/>
    <w:rsid w:val="007E189E"/>
    <w:rsid w:val="007E2145"/>
    <w:rsid w:val="007E30E2"/>
    <w:rsid w:val="007E32CC"/>
    <w:rsid w:val="007E3846"/>
    <w:rsid w:val="007E60A6"/>
    <w:rsid w:val="007E7683"/>
    <w:rsid w:val="007F116E"/>
    <w:rsid w:val="007F1FDE"/>
    <w:rsid w:val="007F2046"/>
    <w:rsid w:val="007F49FA"/>
    <w:rsid w:val="007F54C4"/>
    <w:rsid w:val="007F6E9A"/>
    <w:rsid w:val="008007AC"/>
    <w:rsid w:val="00801C71"/>
    <w:rsid w:val="0080272B"/>
    <w:rsid w:val="0080438A"/>
    <w:rsid w:val="008044D4"/>
    <w:rsid w:val="00804527"/>
    <w:rsid w:val="00807300"/>
    <w:rsid w:val="008076C9"/>
    <w:rsid w:val="008079F9"/>
    <w:rsid w:val="00810AB4"/>
    <w:rsid w:val="0081107C"/>
    <w:rsid w:val="0081536C"/>
    <w:rsid w:val="00817B56"/>
    <w:rsid w:val="00821A88"/>
    <w:rsid w:val="00821BF7"/>
    <w:rsid w:val="00821F9B"/>
    <w:rsid w:val="008238B5"/>
    <w:rsid w:val="0082495D"/>
    <w:rsid w:val="00825760"/>
    <w:rsid w:val="00825806"/>
    <w:rsid w:val="00825C27"/>
    <w:rsid w:val="008263E0"/>
    <w:rsid w:val="00826659"/>
    <w:rsid w:val="00831572"/>
    <w:rsid w:val="00831AC3"/>
    <w:rsid w:val="008332C7"/>
    <w:rsid w:val="00833442"/>
    <w:rsid w:val="00835D5D"/>
    <w:rsid w:val="0084017B"/>
    <w:rsid w:val="008408FF"/>
    <w:rsid w:val="00845B5D"/>
    <w:rsid w:val="00851F3F"/>
    <w:rsid w:val="008522C9"/>
    <w:rsid w:val="00852EB9"/>
    <w:rsid w:val="0085370A"/>
    <w:rsid w:val="00854B03"/>
    <w:rsid w:val="008550D8"/>
    <w:rsid w:val="00856EDC"/>
    <w:rsid w:val="0085761A"/>
    <w:rsid w:val="008600C5"/>
    <w:rsid w:val="008602E0"/>
    <w:rsid w:val="00861473"/>
    <w:rsid w:val="008621E1"/>
    <w:rsid w:val="008623B5"/>
    <w:rsid w:val="00866FCE"/>
    <w:rsid w:val="00870ABA"/>
    <w:rsid w:val="00870E2A"/>
    <w:rsid w:val="008710E1"/>
    <w:rsid w:val="008716E5"/>
    <w:rsid w:val="008728BD"/>
    <w:rsid w:val="00873F9C"/>
    <w:rsid w:val="00874ACA"/>
    <w:rsid w:val="00874CE2"/>
    <w:rsid w:val="00876C8E"/>
    <w:rsid w:val="0087796E"/>
    <w:rsid w:val="00877F4C"/>
    <w:rsid w:val="00881CA9"/>
    <w:rsid w:val="00883628"/>
    <w:rsid w:val="008847F6"/>
    <w:rsid w:val="0088482C"/>
    <w:rsid w:val="00884AD9"/>
    <w:rsid w:val="00885544"/>
    <w:rsid w:val="0088634E"/>
    <w:rsid w:val="00890F97"/>
    <w:rsid w:val="00891485"/>
    <w:rsid w:val="008922F1"/>
    <w:rsid w:val="00892691"/>
    <w:rsid w:val="00893AB8"/>
    <w:rsid w:val="00894EB3"/>
    <w:rsid w:val="008963D9"/>
    <w:rsid w:val="008973FB"/>
    <w:rsid w:val="008A04C8"/>
    <w:rsid w:val="008A2B11"/>
    <w:rsid w:val="008A649D"/>
    <w:rsid w:val="008A6913"/>
    <w:rsid w:val="008A6B6A"/>
    <w:rsid w:val="008A7710"/>
    <w:rsid w:val="008A7C06"/>
    <w:rsid w:val="008B5A47"/>
    <w:rsid w:val="008B69B6"/>
    <w:rsid w:val="008B70F3"/>
    <w:rsid w:val="008B76DF"/>
    <w:rsid w:val="008B7DCD"/>
    <w:rsid w:val="008C0232"/>
    <w:rsid w:val="008C0DAE"/>
    <w:rsid w:val="008C10F4"/>
    <w:rsid w:val="008C17CC"/>
    <w:rsid w:val="008C2323"/>
    <w:rsid w:val="008C3AC8"/>
    <w:rsid w:val="008C492E"/>
    <w:rsid w:val="008C65F7"/>
    <w:rsid w:val="008C6867"/>
    <w:rsid w:val="008C74BC"/>
    <w:rsid w:val="008D19A2"/>
    <w:rsid w:val="008D1B77"/>
    <w:rsid w:val="008D35E9"/>
    <w:rsid w:val="008D3712"/>
    <w:rsid w:val="008D4616"/>
    <w:rsid w:val="008D5E16"/>
    <w:rsid w:val="008E06FF"/>
    <w:rsid w:val="008E42FE"/>
    <w:rsid w:val="008E4767"/>
    <w:rsid w:val="008E4F28"/>
    <w:rsid w:val="008E5CEA"/>
    <w:rsid w:val="008E7A8C"/>
    <w:rsid w:val="008F2177"/>
    <w:rsid w:val="008F24AD"/>
    <w:rsid w:val="008F3365"/>
    <w:rsid w:val="009004DD"/>
    <w:rsid w:val="009014A2"/>
    <w:rsid w:val="00901AC8"/>
    <w:rsid w:val="00903285"/>
    <w:rsid w:val="0090391F"/>
    <w:rsid w:val="00904344"/>
    <w:rsid w:val="009056AA"/>
    <w:rsid w:val="00905E37"/>
    <w:rsid w:val="00906F40"/>
    <w:rsid w:val="0090731E"/>
    <w:rsid w:val="00910E2A"/>
    <w:rsid w:val="00913F0E"/>
    <w:rsid w:val="00915B1C"/>
    <w:rsid w:val="009174F3"/>
    <w:rsid w:val="0091797D"/>
    <w:rsid w:val="009179D7"/>
    <w:rsid w:val="00921664"/>
    <w:rsid w:val="00922231"/>
    <w:rsid w:val="00923CBA"/>
    <w:rsid w:val="009248BA"/>
    <w:rsid w:val="00924BD6"/>
    <w:rsid w:val="00925613"/>
    <w:rsid w:val="00925CC2"/>
    <w:rsid w:val="00926703"/>
    <w:rsid w:val="00927691"/>
    <w:rsid w:val="00927A5F"/>
    <w:rsid w:val="00927DAC"/>
    <w:rsid w:val="0093369D"/>
    <w:rsid w:val="00935124"/>
    <w:rsid w:val="00935153"/>
    <w:rsid w:val="00935B63"/>
    <w:rsid w:val="0094078F"/>
    <w:rsid w:val="00940FA3"/>
    <w:rsid w:val="00940FF3"/>
    <w:rsid w:val="009418AD"/>
    <w:rsid w:val="00941FB0"/>
    <w:rsid w:val="009426D4"/>
    <w:rsid w:val="00947F25"/>
    <w:rsid w:val="00950159"/>
    <w:rsid w:val="00951A87"/>
    <w:rsid w:val="00951AD6"/>
    <w:rsid w:val="00953D19"/>
    <w:rsid w:val="00954022"/>
    <w:rsid w:val="0095490B"/>
    <w:rsid w:val="00954C24"/>
    <w:rsid w:val="009558C0"/>
    <w:rsid w:val="00960A33"/>
    <w:rsid w:val="00963679"/>
    <w:rsid w:val="009716F4"/>
    <w:rsid w:val="00971914"/>
    <w:rsid w:val="009738A0"/>
    <w:rsid w:val="00974363"/>
    <w:rsid w:val="00975B41"/>
    <w:rsid w:val="00976222"/>
    <w:rsid w:val="009814DF"/>
    <w:rsid w:val="00981898"/>
    <w:rsid w:val="00981E64"/>
    <w:rsid w:val="00986CA7"/>
    <w:rsid w:val="00987BCD"/>
    <w:rsid w:val="00994632"/>
    <w:rsid w:val="0099577C"/>
    <w:rsid w:val="009964A0"/>
    <w:rsid w:val="009A4A35"/>
    <w:rsid w:val="009A5392"/>
    <w:rsid w:val="009A5C12"/>
    <w:rsid w:val="009A6BEE"/>
    <w:rsid w:val="009A6CE4"/>
    <w:rsid w:val="009B0B42"/>
    <w:rsid w:val="009B0C2A"/>
    <w:rsid w:val="009B111E"/>
    <w:rsid w:val="009B2601"/>
    <w:rsid w:val="009B4E9E"/>
    <w:rsid w:val="009C11A9"/>
    <w:rsid w:val="009C1690"/>
    <w:rsid w:val="009C336F"/>
    <w:rsid w:val="009C36C0"/>
    <w:rsid w:val="009C4BBB"/>
    <w:rsid w:val="009C6881"/>
    <w:rsid w:val="009C7759"/>
    <w:rsid w:val="009C77BF"/>
    <w:rsid w:val="009D043D"/>
    <w:rsid w:val="009D07C8"/>
    <w:rsid w:val="009D4816"/>
    <w:rsid w:val="009D6C71"/>
    <w:rsid w:val="009D6EB7"/>
    <w:rsid w:val="009E0631"/>
    <w:rsid w:val="009E0B1F"/>
    <w:rsid w:val="009E16D0"/>
    <w:rsid w:val="009E38FD"/>
    <w:rsid w:val="009E4748"/>
    <w:rsid w:val="009E532B"/>
    <w:rsid w:val="009E6F32"/>
    <w:rsid w:val="009F13D6"/>
    <w:rsid w:val="009F1793"/>
    <w:rsid w:val="009F1926"/>
    <w:rsid w:val="009F4C6B"/>
    <w:rsid w:val="009F50E2"/>
    <w:rsid w:val="009F76C7"/>
    <w:rsid w:val="009F78A8"/>
    <w:rsid w:val="00A00825"/>
    <w:rsid w:val="00A02842"/>
    <w:rsid w:val="00A029F3"/>
    <w:rsid w:val="00A02AD6"/>
    <w:rsid w:val="00A05935"/>
    <w:rsid w:val="00A0625D"/>
    <w:rsid w:val="00A07096"/>
    <w:rsid w:val="00A07318"/>
    <w:rsid w:val="00A11370"/>
    <w:rsid w:val="00A17E72"/>
    <w:rsid w:val="00A20795"/>
    <w:rsid w:val="00A215B3"/>
    <w:rsid w:val="00A224CE"/>
    <w:rsid w:val="00A22522"/>
    <w:rsid w:val="00A22D59"/>
    <w:rsid w:val="00A24056"/>
    <w:rsid w:val="00A24AFD"/>
    <w:rsid w:val="00A24F5C"/>
    <w:rsid w:val="00A25546"/>
    <w:rsid w:val="00A257F7"/>
    <w:rsid w:val="00A26389"/>
    <w:rsid w:val="00A27735"/>
    <w:rsid w:val="00A27788"/>
    <w:rsid w:val="00A2792F"/>
    <w:rsid w:val="00A31E5B"/>
    <w:rsid w:val="00A32DE7"/>
    <w:rsid w:val="00A32F91"/>
    <w:rsid w:val="00A32F96"/>
    <w:rsid w:val="00A34B10"/>
    <w:rsid w:val="00A35614"/>
    <w:rsid w:val="00A364B8"/>
    <w:rsid w:val="00A405A8"/>
    <w:rsid w:val="00A40871"/>
    <w:rsid w:val="00A412AB"/>
    <w:rsid w:val="00A4193E"/>
    <w:rsid w:val="00A4193F"/>
    <w:rsid w:val="00A42A51"/>
    <w:rsid w:val="00A440E0"/>
    <w:rsid w:val="00A442EF"/>
    <w:rsid w:val="00A51D1A"/>
    <w:rsid w:val="00A52734"/>
    <w:rsid w:val="00A5418D"/>
    <w:rsid w:val="00A5474E"/>
    <w:rsid w:val="00A56470"/>
    <w:rsid w:val="00A57789"/>
    <w:rsid w:val="00A5795A"/>
    <w:rsid w:val="00A57E86"/>
    <w:rsid w:val="00A63DB5"/>
    <w:rsid w:val="00A641DC"/>
    <w:rsid w:val="00A70ADF"/>
    <w:rsid w:val="00A71466"/>
    <w:rsid w:val="00A72B0B"/>
    <w:rsid w:val="00A74B5E"/>
    <w:rsid w:val="00A7545D"/>
    <w:rsid w:val="00A75A69"/>
    <w:rsid w:val="00A76C75"/>
    <w:rsid w:val="00A812F2"/>
    <w:rsid w:val="00A81742"/>
    <w:rsid w:val="00A81803"/>
    <w:rsid w:val="00A81BED"/>
    <w:rsid w:val="00A81EC4"/>
    <w:rsid w:val="00A83037"/>
    <w:rsid w:val="00A839FA"/>
    <w:rsid w:val="00A84B88"/>
    <w:rsid w:val="00A87642"/>
    <w:rsid w:val="00A87C3D"/>
    <w:rsid w:val="00A967FD"/>
    <w:rsid w:val="00AA12C3"/>
    <w:rsid w:val="00AA2EF1"/>
    <w:rsid w:val="00AA4141"/>
    <w:rsid w:val="00AA676D"/>
    <w:rsid w:val="00AB0282"/>
    <w:rsid w:val="00AB156C"/>
    <w:rsid w:val="00AB29BA"/>
    <w:rsid w:val="00AB3C20"/>
    <w:rsid w:val="00AB4DE5"/>
    <w:rsid w:val="00AB5A14"/>
    <w:rsid w:val="00AB6814"/>
    <w:rsid w:val="00AB7869"/>
    <w:rsid w:val="00AC04BA"/>
    <w:rsid w:val="00AC0E39"/>
    <w:rsid w:val="00AC4D60"/>
    <w:rsid w:val="00AC5064"/>
    <w:rsid w:val="00AD16ED"/>
    <w:rsid w:val="00AD2D9A"/>
    <w:rsid w:val="00AD3082"/>
    <w:rsid w:val="00AD31BE"/>
    <w:rsid w:val="00AD4AD0"/>
    <w:rsid w:val="00AD5436"/>
    <w:rsid w:val="00AD60CD"/>
    <w:rsid w:val="00AD6C8C"/>
    <w:rsid w:val="00AE091D"/>
    <w:rsid w:val="00AE1240"/>
    <w:rsid w:val="00AE18B4"/>
    <w:rsid w:val="00AE21FF"/>
    <w:rsid w:val="00AE230B"/>
    <w:rsid w:val="00AE3237"/>
    <w:rsid w:val="00AE3B60"/>
    <w:rsid w:val="00AE53A1"/>
    <w:rsid w:val="00AE5512"/>
    <w:rsid w:val="00AE6CE0"/>
    <w:rsid w:val="00AF2484"/>
    <w:rsid w:val="00AF63E7"/>
    <w:rsid w:val="00AF6C85"/>
    <w:rsid w:val="00AF6E17"/>
    <w:rsid w:val="00B00AFB"/>
    <w:rsid w:val="00B0165D"/>
    <w:rsid w:val="00B01B60"/>
    <w:rsid w:val="00B031F3"/>
    <w:rsid w:val="00B052A4"/>
    <w:rsid w:val="00B0548C"/>
    <w:rsid w:val="00B06C13"/>
    <w:rsid w:val="00B11769"/>
    <w:rsid w:val="00B125DE"/>
    <w:rsid w:val="00B12A28"/>
    <w:rsid w:val="00B13FDD"/>
    <w:rsid w:val="00B14329"/>
    <w:rsid w:val="00B15FAE"/>
    <w:rsid w:val="00B17916"/>
    <w:rsid w:val="00B22684"/>
    <w:rsid w:val="00B22E6A"/>
    <w:rsid w:val="00B22EB2"/>
    <w:rsid w:val="00B25271"/>
    <w:rsid w:val="00B25804"/>
    <w:rsid w:val="00B27442"/>
    <w:rsid w:val="00B31167"/>
    <w:rsid w:val="00B329D8"/>
    <w:rsid w:val="00B32BB9"/>
    <w:rsid w:val="00B32CC5"/>
    <w:rsid w:val="00B33AE1"/>
    <w:rsid w:val="00B37092"/>
    <w:rsid w:val="00B3766E"/>
    <w:rsid w:val="00B37C38"/>
    <w:rsid w:val="00B403E8"/>
    <w:rsid w:val="00B40406"/>
    <w:rsid w:val="00B41333"/>
    <w:rsid w:val="00B421C5"/>
    <w:rsid w:val="00B4288C"/>
    <w:rsid w:val="00B42F3F"/>
    <w:rsid w:val="00B43262"/>
    <w:rsid w:val="00B44100"/>
    <w:rsid w:val="00B45A1D"/>
    <w:rsid w:val="00B46CBA"/>
    <w:rsid w:val="00B46F94"/>
    <w:rsid w:val="00B52A85"/>
    <w:rsid w:val="00B546E9"/>
    <w:rsid w:val="00B569B2"/>
    <w:rsid w:val="00B578E8"/>
    <w:rsid w:val="00B6003C"/>
    <w:rsid w:val="00B61F03"/>
    <w:rsid w:val="00B62624"/>
    <w:rsid w:val="00B626E4"/>
    <w:rsid w:val="00B627A9"/>
    <w:rsid w:val="00B62AE7"/>
    <w:rsid w:val="00B6340E"/>
    <w:rsid w:val="00B72F33"/>
    <w:rsid w:val="00B72F4A"/>
    <w:rsid w:val="00B74D65"/>
    <w:rsid w:val="00B75DCA"/>
    <w:rsid w:val="00B75E61"/>
    <w:rsid w:val="00B7724F"/>
    <w:rsid w:val="00B77A24"/>
    <w:rsid w:val="00B8046C"/>
    <w:rsid w:val="00B83284"/>
    <w:rsid w:val="00B83B48"/>
    <w:rsid w:val="00B83C27"/>
    <w:rsid w:val="00B83F4B"/>
    <w:rsid w:val="00B84BA0"/>
    <w:rsid w:val="00B84BC3"/>
    <w:rsid w:val="00B84BDD"/>
    <w:rsid w:val="00B9039A"/>
    <w:rsid w:val="00B91493"/>
    <w:rsid w:val="00B92663"/>
    <w:rsid w:val="00B926C4"/>
    <w:rsid w:val="00B92812"/>
    <w:rsid w:val="00B94180"/>
    <w:rsid w:val="00B9443E"/>
    <w:rsid w:val="00B955A7"/>
    <w:rsid w:val="00BA010D"/>
    <w:rsid w:val="00BA0511"/>
    <w:rsid w:val="00BA5897"/>
    <w:rsid w:val="00BB354E"/>
    <w:rsid w:val="00BB45A1"/>
    <w:rsid w:val="00BB7254"/>
    <w:rsid w:val="00BB7686"/>
    <w:rsid w:val="00BC23F9"/>
    <w:rsid w:val="00BC2830"/>
    <w:rsid w:val="00BC3421"/>
    <w:rsid w:val="00BC45F8"/>
    <w:rsid w:val="00BC679D"/>
    <w:rsid w:val="00BC732C"/>
    <w:rsid w:val="00BD0918"/>
    <w:rsid w:val="00BD154F"/>
    <w:rsid w:val="00BD32D9"/>
    <w:rsid w:val="00BD7844"/>
    <w:rsid w:val="00BE19C6"/>
    <w:rsid w:val="00BE2580"/>
    <w:rsid w:val="00BE266D"/>
    <w:rsid w:val="00BE3938"/>
    <w:rsid w:val="00BE4C11"/>
    <w:rsid w:val="00BE71C0"/>
    <w:rsid w:val="00BE7227"/>
    <w:rsid w:val="00BE7B20"/>
    <w:rsid w:val="00BE7D3F"/>
    <w:rsid w:val="00BF1CFD"/>
    <w:rsid w:val="00BF3F1E"/>
    <w:rsid w:val="00BF610C"/>
    <w:rsid w:val="00C000A7"/>
    <w:rsid w:val="00C0060B"/>
    <w:rsid w:val="00C00BDE"/>
    <w:rsid w:val="00C0277D"/>
    <w:rsid w:val="00C02B81"/>
    <w:rsid w:val="00C02EA7"/>
    <w:rsid w:val="00C02F3B"/>
    <w:rsid w:val="00C0344B"/>
    <w:rsid w:val="00C053A1"/>
    <w:rsid w:val="00C059B8"/>
    <w:rsid w:val="00C100DA"/>
    <w:rsid w:val="00C121D0"/>
    <w:rsid w:val="00C13B2A"/>
    <w:rsid w:val="00C16198"/>
    <w:rsid w:val="00C17A88"/>
    <w:rsid w:val="00C2083D"/>
    <w:rsid w:val="00C23324"/>
    <w:rsid w:val="00C24A53"/>
    <w:rsid w:val="00C27508"/>
    <w:rsid w:val="00C319F0"/>
    <w:rsid w:val="00C31A08"/>
    <w:rsid w:val="00C34A05"/>
    <w:rsid w:val="00C35126"/>
    <w:rsid w:val="00C37BA9"/>
    <w:rsid w:val="00C4032F"/>
    <w:rsid w:val="00C40B98"/>
    <w:rsid w:val="00C414C4"/>
    <w:rsid w:val="00C41956"/>
    <w:rsid w:val="00C44047"/>
    <w:rsid w:val="00C45155"/>
    <w:rsid w:val="00C45549"/>
    <w:rsid w:val="00C51BDF"/>
    <w:rsid w:val="00C5498F"/>
    <w:rsid w:val="00C55235"/>
    <w:rsid w:val="00C5568C"/>
    <w:rsid w:val="00C56A16"/>
    <w:rsid w:val="00C56CC9"/>
    <w:rsid w:val="00C577FC"/>
    <w:rsid w:val="00C64CD0"/>
    <w:rsid w:val="00C662F9"/>
    <w:rsid w:val="00C6684F"/>
    <w:rsid w:val="00C70E70"/>
    <w:rsid w:val="00C70F9F"/>
    <w:rsid w:val="00C72D68"/>
    <w:rsid w:val="00C74BE5"/>
    <w:rsid w:val="00C75F0F"/>
    <w:rsid w:val="00C75F8D"/>
    <w:rsid w:val="00C76057"/>
    <w:rsid w:val="00C77272"/>
    <w:rsid w:val="00C77380"/>
    <w:rsid w:val="00C77430"/>
    <w:rsid w:val="00C80CF9"/>
    <w:rsid w:val="00C81BE7"/>
    <w:rsid w:val="00C837E9"/>
    <w:rsid w:val="00C919BB"/>
    <w:rsid w:val="00C92168"/>
    <w:rsid w:val="00C949A4"/>
    <w:rsid w:val="00C9676C"/>
    <w:rsid w:val="00C97736"/>
    <w:rsid w:val="00CA07C3"/>
    <w:rsid w:val="00CA12A9"/>
    <w:rsid w:val="00CA1B31"/>
    <w:rsid w:val="00CA2A76"/>
    <w:rsid w:val="00CA345A"/>
    <w:rsid w:val="00CA387A"/>
    <w:rsid w:val="00CA4A15"/>
    <w:rsid w:val="00CA5701"/>
    <w:rsid w:val="00CA5D92"/>
    <w:rsid w:val="00CA7C1E"/>
    <w:rsid w:val="00CA7C82"/>
    <w:rsid w:val="00CB07B3"/>
    <w:rsid w:val="00CB1072"/>
    <w:rsid w:val="00CB1E82"/>
    <w:rsid w:val="00CB23B7"/>
    <w:rsid w:val="00CB287F"/>
    <w:rsid w:val="00CB3391"/>
    <w:rsid w:val="00CB3A1B"/>
    <w:rsid w:val="00CB415C"/>
    <w:rsid w:val="00CB49DD"/>
    <w:rsid w:val="00CB4BA8"/>
    <w:rsid w:val="00CB52D7"/>
    <w:rsid w:val="00CB7829"/>
    <w:rsid w:val="00CC6732"/>
    <w:rsid w:val="00CC6CD9"/>
    <w:rsid w:val="00CC7482"/>
    <w:rsid w:val="00CD15D2"/>
    <w:rsid w:val="00CD1B50"/>
    <w:rsid w:val="00CD292B"/>
    <w:rsid w:val="00CD7B11"/>
    <w:rsid w:val="00CD7ED2"/>
    <w:rsid w:val="00CE0F3F"/>
    <w:rsid w:val="00CE3C96"/>
    <w:rsid w:val="00CE3EED"/>
    <w:rsid w:val="00CE4872"/>
    <w:rsid w:val="00CE51A8"/>
    <w:rsid w:val="00CF2B3C"/>
    <w:rsid w:val="00CF2B74"/>
    <w:rsid w:val="00CF369B"/>
    <w:rsid w:val="00CF37BD"/>
    <w:rsid w:val="00CF56B1"/>
    <w:rsid w:val="00CF61F0"/>
    <w:rsid w:val="00D0095C"/>
    <w:rsid w:val="00D00E28"/>
    <w:rsid w:val="00D0100B"/>
    <w:rsid w:val="00D0269E"/>
    <w:rsid w:val="00D13F9F"/>
    <w:rsid w:val="00D14352"/>
    <w:rsid w:val="00D15810"/>
    <w:rsid w:val="00D15D5C"/>
    <w:rsid w:val="00D16D4E"/>
    <w:rsid w:val="00D16FE3"/>
    <w:rsid w:val="00D20672"/>
    <w:rsid w:val="00D225DE"/>
    <w:rsid w:val="00D22866"/>
    <w:rsid w:val="00D24371"/>
    <w:rsid w:val="00D24DCC"/>
    <w:rsid w:val="00D2631C"/>
    <w:rsid w:val="00D27F41"/>
    <w:rsid w:val="00D36441"/>
    <w:rsid w:val="00D4044E"/>
    <w:rsid w:val="00D4064E"/>
    <w:rsid w:val="00D41442"/>
    <w:rsid w:val="00D41AA2"/>
    <w:rsid w:val="00D43B35"/>
    <w:rsid w:val="00D44E9B"/>
    <w:rsid w:val="00D47AEB"/>
    <w:rsid w:val="00D503A5"/>
    <w:rsid w:val="00D50908"/>
    <w:rsid w:val="00D50DB9"/>
    <w:rsid w:val="00D51302"/>
    <w:rsid w:val="00D51C3B"/>
    <w:rsid w:val="00D52533"/>
    <w:rsid w:val="00D52C43"/>
    <w:rsid w:val="00D60133"/>
    <w:rsid w:val="00D62825"/>
    <w:rsid w:val="00D62BE2"/>
    <w:rsid w:val="00D63740"/>
    <w:rsid w:val="00D6507F"/>
    <w:rsid w:val="00D6585F"/>
    <w:rsid w:val="00D666EB"/>
    <w:rsid w:val="00D730BC"/>
    <w:rsid w:val="00D73536"/>
    <w:rsid w:val="00D73912"/>
    <w:rsid w:val="00D75038"/>
    <w:rsid w:val="00D778A3"/>
    <w:rsid w:val="00D85226"/>
    <w:rsid w:val="00D85BBF"/>
    <w:rsid w:val="00D85F2E"/>
    <w:rsid w:val="00D87B94"/>
    <w:rsid w:val="00D91512"/>
    <w:rsid w:val="00D91D81"/>
    <w:rsid w:val="00D92A2B"/>
    <w:rsid w:val="00D92D49"/>
    <w:rsid w:val="00D92EC1"/>
    <w:rsid w:val="00D93040"/>
    <w:rsid w:val="00D940D7"/>
    <w:rsid w:val="00D94C1D"/>
    <w:rsid w:val="00D95781"/>
    <w:rsid w:val="00D96DEA"/>
    <w:rsid w:val="00DA1C29"/>
    <w:rsid w:val="00DA29F3"/>
    <w:rsid w:val="00DA4E41"/>
    <w:rsid w:val="00DA5D81"/>
    <w:rsid w:val="00DB117A"/>
    <w:rsid w:val="00DB4EE9"/>
    <w:rsid w:val="00DB5173"/>
    <w:rsid w:val="00DB6F7B"/>
    <w:rsid w:val="00DB7873"/>
    <w:rsid w:val="00DC0BF3"/>
    <w:rsid w:val="00DC0E8B"/>
    <w:rsid w:val="00DC187B"/>
    <w:rsid w:val="00DC2A7D"/>
    <w:rsid w:val="00DC4181"/>
    <w:rsid w:val="00DC6576"/>
    <w:rsid w:val="00DC7BAB"/>
    <w:rsid w:val="00DD06FF"/>
    <w:rsid w:val="00DD5B66"/>
    <w:rsid w:val="00DD5E08"/>
    <w:rsid w:val="00DD73C2"/>
    <w:rsid w:val="00DD7E3D"/>
    <w:rsid w:val="00DE319B"/>
    <w:rsid w:val="00DE4F00"/>
    <w:rsid w:val="00DE50D5"/>
    <w:rsid w:val="00DE510B"/>
    <w:rsid w:val="00DE5E62"/>
    <w:rsid w:val="00DE655A"/>
    <w:rsid w:val="00DF05DB"/>
    <w:rsid w:val="00DF34FE"/>
    <w:rsid w:val="00DF56AA"/>
    <w:rsid w:val="00DF56AF"/>
    <w:rsid w:val="00DF5829"/>
    <w:rsid w:val="00DF744E"/>
    <w:rsid w:val="00DF773B"/>
    <w:rsid w:val="00DF78E7"/>
    <w:rsid w:val="00E03708"/>
    <w:rsid w:val="00E10619"/>
    <w:rsid w:val="00E110E0"/>
    <w:rsid w:val="00E11308"/>
    <w:rsid w:val="00E11755"/>
    <w:rsid w:val="00E12204"/>
    <w:rsid w:val="00E13D9C"/>
    <w:rsid w:val="00E1438F"/>
    <w:rsid w:val="00E15371"/>
    <w:rsid w:val="00E203FD"/>
    <w:rsid w:val="00E24104"/>
    <w:rsid w:val="00E271A5"/>
    <w:rsid w:val="00E302D0"/>
    <w:rsid w:val="00E30B48"/>
    <w:rsid w:val="00E314B3"/>
    <w:rsid w:val="00E329E2"/>
    <w:rsid w:val="00E338E1"/>
    <w:rsid w:val="00E35707"/>
    <w:rsid w:val="00E36116"/>
    <w:rsid w:val="00E36AA1"/>
    <w:rsid w:val="00E36E45"/>
    <w:rsid w:val="00E37052"/>
    <w:rsid w:val="00E41345"/>
    <w:rsid w:val="00E41354"/>
    <w:rsid w:val="00E41ECB"/>
    <w:rsid w:val="00E43720"/>
    <w:rsid w:val="00E43EA5"/>
    <w:rsid w:val="00E44D0D"/>
    <w:rsid w:val="00E50588"/>
    <w:rsid w:val="00E50E55"/>
    <w:rsid w:val="00E5140C"/>
    <w:rsid w:val="00E528E1"/>
    <w:rsid w:val="00E52998"/>
    <w:rsid w:val="00E549BB"/>
    <w:rsid w:val="00E54FDB"/>
    <w:rsid w:val="00E5617D"/>
    <w:rsid w:val="00E563D7"/>
    <w:rsid w:val="00E5680D"/>
    <w:rsid w:val="00E57411"/>
    <w:rsid w:val="00E57B2A"/>
    <w:rsid w:val="00E663F4"/>
    <w:rsid w:val="00E666F2"/>
    <w:rsid w:val="00E6677E"/>
    <w:rsid w:val="00E66DD4"/>
    <w:rsid w:val="00E70B69"/>
    <w:rsid w:val="00E74380"/>
    <w:rsid w:val="00E748CC"/>
    <w:rsid w:val="00E75415"/>
    <w:rsid w:val="00E760A9"/>
    <w:rsid w:val="00E775B1"/>
    <w:rsid w:val="00E80329"/>
    <w:rsid w:val="00E80F6E"/>
    <w:rsid w:val="00E8152A"/>
    <w:rsid w:val="00E81CDE"/>
    <w:rsid w:val="00E83A94"/>
    <w:rsid w:val="00E846D0"/>
    <w:rsid w:val="00E856E4"/>
    <w:rsid w:val="00E90422"/>
    <w:rsid w:val="00E90E77"/>
    <w:rsid w:val="00E933DF"/>
    <w:rsid w:val="00E93629"/>
    <w:rsid w:val="00E93B5C"/>
    <w:rsid w:val="00E93B6C"/>
    <w:rsid w:val="00E940D3"/>
    <w:rsid w:val="00E94CEC"/>
    <w:rsid w:val="00E96226"/>
    <w:rsid w:val="00E966FB"/>
    <w:rsid w:val="00E96804"/>
    <w:rsid w:val="00E97269"/>
    <w:rsid w:val="00EA04EF"/>
    <w:rsid w:val="00EA43A0"/>
    <w:rsid w:val="00EA6F19"/>
    <w:rsid w:val="00EA7BDE"/>
    <w:rsid w:val="00EB36E9"/>
    <w:rsid w:val="00EB37C5"/>
    <w:rsid w:val="00EB4F88"/>
    <w:rsid w:val="00EB578D"/>
    <w:rsid w:val="00EB6355"/>
    <w:rsid w:val="00EB6578"/>
    <w:rsid w:val="00EB7090"/>
    <w:rsid w:val="00EC1BBE"/>
    <w:rsid w:val="00EC2173"/>
    <w:rsid w:val="00EC40BB"/>
    <w:rsid w:val="00EC4586"/>
    <w:rsid w:val="00EC5253"/>
    <w:rsid w:val="00EC5B0C"/>
    <w:rsid w:val="00EC5CD7"/>
    <w:rsid w:val="00EC5E2A"/>
    <w:rsid w:val="00ED0D0F"/>
    <w:rsid w:val="00ED1E3F"/>
    <w:rsid w:val="00ED2DBF"/>
    <w:rsid w:val="00ED3899"/>
    <w:rsid w:val="00ED63B6"/>
    <w:rsid w:val="00EE0542"/>
    <w:rsid w:val="00EE41C4"/>
    <w:rsid w:val="00EE5FB3"/>
    <w:rsid w:val="00EE7F79"/>
    <w:rsid w:val="00EF1150"/>
    <w:rsid w:val="00EF2DD5"/>
    <w:rsid w:val="00EF4577"/>
    <w:rsid w:val="00EF5B20"/>
    <w:rsid w:val="00EF6AAD"/>
    <w:rsid w:val="00EF715A"/>
    <w:rsid w:val="00EF76DF"/>
    <w:rsid w:val="00EF776F"/>
    <w:rsid w:val="00EF7934"/>
    <w:rsid w:val="00EF7CEE"/>
    <w:rsid w:val="00F01511"/>
    <w:rsid w:val="00F05CD6"/>
    <w:rsid w:val="00F06E14"/>
    <w:rsid w:val="00F11A07"/>
    <w:rsid w:val="00F12318"/>
    <w:rsid w:val="00F15B38"/>
    <w:rsid w:val="00F17297"/>
    <w:rsid w:val="00F179D4"/>
    <w:rsid w:val="00F22B18"/>
    <w:rsid w:val="00F23F68"/>
    <w:rsid w:val="00F2637A"/>
    <w:rsid w:val="00F268E7"/>
    <w:rsid w:val="00F26BE7"/>
    <w:rsid w:val="00F328B9"/>
    <w:rsid w:val="00F33973"/>
    <w:rsid w:val="00F33C56"/>
    <w:rsid w:val="00F33FB4"/>
    <w:rsid w:val="00F347C7"/>
    <w:rsid w:val="00F34848"/>
    <w:rsid w:val="00F374DB"/>
    <w:rsid w:val="00F37D46"/>
    <w:rsid w:val="00F414B7"/>
    <w:rsid w:val="00F41599"/>
    <w:rsid w:val="00F42D46"/>
    <w:rsid w:val="00F42E48"/>
    <w:rsid w:val="00F4496C"/>
    <w:rsid w:val="00F44D9A"/>
    <w:rsid w:val="00F44F3A"/>
    <w:rsid w:val="00F510E8"/>
    <w:rsid w:val="00F51F10"/>
    <w:rsid w:val="00F51F6B"/>
    <w:rsid w:val="00F529A5"/>
    <w:rsid w:val="00F53BE8"/>
    <w:rsid w:val="00F605DE"/>
    <w:rsid w:val="00F60F00"/>
    <w:rsid w:val="00F614C0"/>
    <w:rsid w:val="00F62661"/>
    <w:rsid w:val="00F64893"/>
    <w:rsid w:val="00F659D9"/>
    <w:rsid w:val="00F663F5"/>
    <w:rsid w:val="00F66B9C"/>
    <w:rsid w:val="00F671E5"/>
    <w:rsid w:val="00F67E27"/>
    <w:rsid w:val="00F7172F"/>
    <w:rsid w:val="00F71B93"/>
    <w:rsid w:val="00F72546"/>
    <w:rsid w:val="00F726C5"/>
    <w:rsid w:val="00F7298C"/>
    <w:rsid w:val="00F73E2F"/>
    <w:rsid w:val="00F74633"/>
    <w:rsid w:val="00F76847"/>
    <w:rsid w:val="00F77FFC"/>
    <w:rsid w:val="00F81B16"/>
    <w:rsid w:val="00F81BEB"/>
    <w:rsid w:val="00F83848"/>
    <w:rsid w:val="00F842A2"/>
    <w:rsid w:val="00F86995"/>
    <w:rsid w:val="00F87025"/>
    <w:rsid w:val="00F87914"/>
    <w:rsid w:val="00F90B68"/>
    <w:rsid w:val="00F912AA"/>
    <w:rsid w:val="00F92319"/>
    <w:rsid w:val="00F95C2B"/>
    <w:rsid w:val="00F965C3"/>
    <w:rsid w:val="00F96BD2"/>
    <w:rsid w:val="00F975E9"/>
    <w:rsid w:val="00F97C24"/>
    <w:rsid w:val="00FA0A5F"/>
    <w:rsid w:val="00FA1B7D"/>
    <w:rsid w:val="00FA332F"/>
    <w:rsid w:val="00FA59B6"/>
    <w:rsid w:val="00FA6E61"/>
    <w:rsid w:val="00FA7745"/>
    <w:rsid w:val="00FB0C27"/>
    <w:rsid w:val="00FB1053"/>
    <w:rsid w:val="00FB3511"/>
    <w:rsid w:val="00FB3D77"/>
    <w:rsid w:val="00FB4B19"/>
    <w:rsid w:val="00FB58C3"/>
    <w:rsid w:val="00FB6CA5"/>
    <w:rsid w:val="00FC07B9"/>
    <w:rsid w:val="00FC1324"/>
    <w:rsid w:val="00FC2380"/>
    <w:rsid w:val="00FC352C"/>
    <w:rsid w:val="00FC4E21"/>
    <w:rsid w:val="00FC5F6D"/>
    <w:rsid w:val="00FC74B6"/>
    <w:rsid w:val="00FC77B8"/>
    <w:rsid w:val="00FD0107"/>
    <w:rsid w:val="00FD2C2F"/>
    <w:rsid w:val="00FD3B31"/>
    <w:rsid w:val="00FD4429"/>
    <w:rsid w:val="00FD5442"/>
    <w:rsid w:val="00FD58EE"/>
    <w:rsid w:val="00FD64A2"/>
    <w:rsid w:val="00FD6578"/>
    <w:rsid w:val="00FD742B"/>
    <w:rsid w:val="00FE0A38"/>
    <w:rsid w:val="00FE1823"/>
    <w:rsid w:val="00FE222C"/>
    <w:rsid w:val="00FE3A7D"/>
    <w:rsid w:val="00FE427A"/>
    <w:rsid w:val="00FE487A"/>
    <w:rsid w:val="00FE4948"/>
    <w:rsid w:val="00FE4B99"/>
    <w:rsid w:val="00FE547E"/>
    <w:rsid w:val="00FE59F9"/>
    <w:rsid w:val="00FE740B"/>
    <w:rsid w:val="00FF03A1"/>
    <w:rsid w:val="00FF0569"/>
    <w:rsid w:val="00FF19A6"/>
    <w:rsid w:val="00FF206E"/>
    <w:rsid w:val="00FF3C69"/>
    <w:rsid w:val="00FF437E"/>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4d4d4f"/>
    </o:shapedefaults>
    <o:shapelayout v:ext="edit">
      <o:idmap v:ext="edit" data="1"/>
    </o:shapelayout>
  </w:shapeDefaults>
  <w:decimalSymbol w:val="."/>
  <w:listSeparator w:val=","/>
  <w14:docId w14:val="3B41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A15"/>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1"/>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1"/>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5"/>
      </w:numPr>
      <w:spacing w:after="0"/>
    </w:pPr>
    <w:rPr>
      <w:b/>
      <w:bCs/>
      <w:color w:val="323232"/>
      <w:szCs w:val="20"/>
    </w:rPr>
  </w:style>
  <w:style w:type="paragraph" w:customStyle="1" w:styleId="BodySubHeader">
    <w:name w:val="BodySubHeader"/>
    <w:basedOn w:val="Normal"/>
    <w:next w:val="Normal"/>
    <w:qFormat/>
    <w:rsid w:val="00CA4A15"/>
    <w:pPr>
      <w:keepNext/>
      <w:spacing w:before="240" w:after="0"/>
    </w:pPr>
    <w:rPr>
      <w:b/>
      <w:i/>
    </w:rPr>
  </w:style>
  <w:style w:type="paragraph" w:styleId="ListBullet">
    <w:name w:val="List Bullet"/>
    <w:basedOn w:val="Normal"/>
    <w:qFormat/>
    <w:rsid w:val="00F95C2B"/>
    <w:pPr>
      <w:numPr>
        <w:numId w:val="13"/>
      </w:numPr>
      <w:spacing w:after="80"/>
    </w:pPr>
  </w:style>
  <w:style w:type="paragraph" w:styleId="ListBullet2">
    <w:name w:val="List Bullet 2"/>
    <w:basedOn w:val="Normal"/>
    <w:qFormat/>
    <w:rsid w:val="00F95C2B"/>
    <w:pPr>
      <w:numPr>
        <w:numId w:val="12"/>
      </w:numPr>
      <w:spacing w:after="80"/>
    </w:pPr>
  </w:style>
  <w:style w:type="paragraph" w:styleId="ListNumber">
    <w:name w:val="List Number"/>
    <w:basedOn w:val="Normal"/>
    <w:qFormat/>
    <w:rsid w:val="00F95C2B"/>
    <w:pPr>
      <w:numPr>
        <w:numId w:val="15"/>
      </w:numPr>
      <w:spacing w:after="80"/>
    </w:pPr>
  </w:style>
  <w:style w:type="paragraph" w:styleId="ListNumber2">
    <w:name w:val="List Number 2"/>
    <w:basedOn w:val="Normal"/>
    <w:qFormat/>
    <w:rsid w:val="00F95C2B"/>
    <w:pPr>
      <w:numPr>
        <w:numId w:val="14"/>
      </w:numPr>
      <w:spacing w:after="80"/>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qFormat/>
    <w:rsid w:val="003A5F5B"/>
    <w:rPr>
      <w:color w:val="0000FF"/>
      <w:u w:val="single"/>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
    <w:basedOn w:val="DefaultParagraphFont"/>
    <w:uiPriority w:val="99"/>
    <w:rsid w:val="00566AB4"/>
    <w:rPr>
      <w:rFonts w:ascii="Arial" w:hAnsi="Arial"/>
      <w:vertAlign w:val="superscript"/>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f,fn"/>
    <w:basedOn w:val="Normal"/>
    <w:link w:val="FootnoteTextChar"/>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F95C2B"/>
    <w:pPr>
      <w:spacing w:after="240"/>
    </w:pPr>
    <w:rPr>
      <w:rFonts w:cs="Arial"/>
    </w:rPr>
  </w:style>
  <w:style w:type="paragraph" w:customStyle="1" w:styleId="ListNumber2Last">
    <w:name w:val="List Number 2 Last"/>
    <w:basedOn w:val="ListNumber2"/>
    <w:qFormat/>
    <w:rsid w:val="00F95C2B"/>
    <w:pPr>
      <w:spacing w:after="240"/>
      <w:ind w:left="907" w:hanging="544"/>
    </w:pPr>
    <w:rPr>
      <w:rFonts w:cs="Arial"/>
    </w:rPr>
  </w:style>
  <w:style w:type="paragraph" w:customStyle="1" w:styleId="ACMATableHeader">
    <w:name w:val="ACMA_TableHeader"/>
    <w:qFormat/>
    <w:rsid w:val="003F10EE"/>
    <w:pPr>
      <w:numPr>
        <w:numId w:val="3"/>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Last">
    <w:name w:val="List Number Last"/>
    <w:basedOn w:val="ListNumber"/>
    <w:qFormat/>
    <w:rsid w:val="00F95C2B"/>
    <w:pPr>
      <w:spacing w:after="240"/>
      <w:ind w:left="357" w:hanging="35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CA4A15"/>
    <w:pPr>
      <w:keepNext/>
      <w:numPr>
        <w:numId w:val="2"/>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4"/>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3Char">
    <w:name w:val="Heading 3 Char"/>
    <w:basedOn w:val="DefaultParagraphFont"/>
    <w:link w:val="Heading3"/>
    <w:rsid w:val="007A4CFC"/>
    <w:rPr>
      <w:rFonts w:ascii="Arial" w:hAnsi="Arial" w:cs="Arial"/>
      <w:b/>
      <w:bCs/>
      <w:sz w:val="20"/>
      <w:szCs w:val="26"/>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f Char,fn Char"/>
    <w:basedOn w:val="DefaultParagraphFont"/>
    <w:link w:val="FootnoteText"/>
    <w:rsid w:val="007A4CFC"/>
    <w:rPr>
      <w:rFonts w:ascii="Arial" w:hAnsi="Arial"/>
      <w:sz w:val="16"/>
      <w:szCs w:val="16"/>
    </w:rPr>
  </w:style>
  <w:style w:type="paragraph" w:styleId="ListParagraph">
    <w:name w:val="List Paragraph"/>
    <w:basedOn w:val="Normal"/>
    <w:uiPriority w:val="34"/>
    <w:qFormat/>
    <w:rsid w:val="0040079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Bodysubheader0">
    <w:name w:val="Body sub header"/>
    <w:basedOn w:val="Normal"/>
    <w:next w:val="Normal"/>
    <w:rsid w:val="00E96226"/>
    <w:pPr>
      <w:spacing w:after="0"/>
    </w:pPr>
    <w:rPr>
      <w:b/>
      <w:i/>
    </w:rPr>
  </w:style>
  <w:style w:type="paragraph" w:customStyle="1" w:styleId="Default">
    <w:name w:val="Default"/>
    <w:rsid w:val="00642D68"/>
    <w:pPr>
      <w:autoSpaceDE w:val="0"/>
      <w:autoSpaceDN w:val="0"/>
      <w:adjustRightInd w:val="0"/>
    </w:pPr>
    <w:rPr>
      <w:rFonts w:ascii="Cambria" w:hAnsi="Cambria" w:cs="Cambria"/>
      <w:color w:val="000000"/>
    </w:rPr>
  </w:style>
  <w:style w:type="paragraph" w:customStyle="1" w:styleId="TAN">
    <w:name w:val="TAN"/>
    <w:basedOn w:val="Normal"/>
    <w:link w:val="TANChar"/>
    <w:rsid w:val="00FD6578"/>
    <w:pPr>
      <w:keepNext/>
      <w:keepLines/>
      <w:overflowPunct w:val="0"/>
      <w:autoSpaceDE w:val="0"/>
      <w:autoSpaceDN w:val="0"/>
      <w:adjustRightInd w:val="0"/>
      <w:spacing w:after="0" w:line="240" w:lineRule="auto"/>
      <w:ind w:left="851" w:hanging="851"/>
      <w:textAlignment w:val="baseline"/>
    </w:pPr>
    <w:rPr>
      <w:sz w:val="18"/>
      <w:szCs w:val="18"/>
      <w:lang w:val="en-GB" w:eastAsia="x-none"/>
    </w:rPr>
  </w:style>
  <w:style w:type="character" w:customStyle="1" w:styleId="TANChar">
    <w:name w:val="TAN Char"/>
    <w:link w:val="TAN"/>
    <w:rsid w:val="00FD6578"/>
    <w:rPr>
      <w:rFonts w:ascii="Arial" w:hAnsi="Arial"/>
      <w:sz w:val="18"/>
      <w:szCs w:val="18"/>
      <w:lang w:val="en-GB" w:eastAsia="x-none"/>
    </w:rPr>
  </w:style>
  <w:style w:type="character" w:customStyle="1" w:styleId="super">
    <w:name w:val="super"/>
    <w:basedOn w:val="DefaultParagraphFont"/>
    <w:rsid w:val="00E70B69"/>
    <w:rPr>
      <w:sz w:val="17"/>
      <w:szCs w:val="17"/>
      <w:vertAlign w:val="superscript"/>
    </w:rPr>
  </w:style>
  <w:style w:type="paragraph" w:styleId="NormalWeb">
    <w:name w:val="Normal (Web)"/>
    <w:basedOn w:val="Normal"/>
    <w:uiPriority w:val="99"/>
    <w:semiHidden/>
    <w:unhideWhenUsed/>
    <w:rsid w:val="0033691D"/>
    <w:pPr>
      <w:spacing w:line="240" w:lineRule="auto"/>
    </w:pPr>
    <w:rPr>
      <w:rFonts w:ascii="Times New Roman" w:hAnsi="Times New Roman"/>
      <w:sz w:val="24"/>
    </w:rPr>
  </w:style>
  <w:style w:type="table" w:styleId="GridTable2-Accent1">
    <w:name w:val="Grid Table 2 Accent 1"/>
    <w:basedOn w:val="TableNormal"/>
    <w:uiPriority w:val="47"/>
    <w:rsid w:val="00954C24"/>
    <w:rPr>
      <w:rFonts w:ascii="Arial" w:hAnsi="Arial"/>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FD5442"/>
    <w:rPr>
      <w:rFonts w:ascii="Arial" w:hAnsi="Arial" w:cs="Arial"/>
      <w:bCs/>
      <w:color w:val="323232"/>
      <w:kern w:val="32"/>
      <w:sz w:val="53"/>
      <w:szCs w:val="32"/>
    </w:rPr>
  </w:style>
  <w:style w:type="paragraph" w:styleId="Subtitle">
    <w:name w:val="Subtitle"/>
    <w:basedOn w:val="Normal"/>
    <w:next w:val="Normal"/>
    <w:link w:val="SubtitleChar"/>
    <w:uiPriority w:val="11"/>
    <w:qFormat/>
    <w:rsid w:val="00FD5442"/>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D5442"/>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uiPriority w:val="10"/>
    <w:qFormat/>
    <w:rsid w:val="00FD544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D5442"/>
    <w:rPr>
      <w:rFonts w:asciiTheme="majorHAnsi" w:eastAsiaTheme="majorEastAsia" w:hAnsiTheme="majorHAnsi" w:cstheme="majorBidi"/>
      <w:spacing w:val="-10"/>
      <w:kern w:val="28"/>
      <w:sz w:val="56"/>
      <w:szCs w:val="56"/>
      <w:lang w:eastAsia="en-US"/>
    </w:rPr>
  </w:style>
  <w:style w:type="character" w:customStyle="1" w:styleId="Heading2Char">
    <w:name w:val="Heading 2 Char"/>
    <w:basedOn w:val="DefaultParagraphFont"/>
    <w:link w:val="Heading2"/>
    <w:uiPriority w:val="9"/>
    <w:rsid w:val="00FD5442"/>
    <w:rPr>
      <w:rFonts w:ascii="Arial" w:hAnsi="Arial" w:cs="Arial"/>
      <w:b/>
      <w:bCs/>
      <w:iCs/>
      <w:sz w:val="28"/>
      <w:szCs w:val="28"/>
    </w:rPr>
  </w:style>
  <w:style w:type="character" w:customStyle="1" w:styleId="alltab">
    <w:name w:val="alltab"/>
    <w:basedOn w:val="DefaultParagraphFont"/>
    <w:rsid w:val="009D6EB7"/>
  </w:style>
  <w:style w:type="paragraph" w:styleId="Revision">
    <w:name w:val="Revision"/>
    <w:hidden/>
    <w:semiHidden/>
    <w:rsid w:val="008A2B11"/>
    <w:rPr>
      <w:rFonts w:ascii="Arial" w:hAnsi="Arial"/>
      <w:sz w:val="20"/>
    </w:rPr>
  </w:style>
  <w:style w:type="character" w:styleId="IntenseReference">
    <w:name w:val="Intense Reference"/>
    <w:basedOn w:val="DefaultParagraphFont"/>
    <w:rsid w:val="00F95C2B"/>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444884">
      <w:bodyDiv w:val="1"/>
      <w:marLeft w:val="0"/>
      <w:marRight w:val="0"/>
      <w:marTop w:val="0"/>
      <w:marBottom w:val="0"/>
      <w:divBdr>
        <w:top w:val="none" w:sz="0" w:space="0" w:color="auto"/>
        <w:left w:val="none" w:sz="0" w:space="0" w:color="auto"/>
        <w:bottom w:val="none" w:sz="0" w:space="0" w:color="auto"/>
        <w:right w:val="none" w:sz="0" w:space="0" w:color="auto"/>
      </w:divBdr>
    </w:div>
    <w:div w:id="566914128">
      <w:bodyDiv w:val="1"/>
      <w:marLeft w:val="0"/>
      <w:marRight w:val="0"/>
      <w:marTop w:val="0"/>
      <w:marBottom w:val="0"/>
      <w:divBdr>
        <w:top w:val="none" w:sz="0" w:space="0" w:color="auto"/>
        <w:left w:val="none" w:sz="0" w:space="0" w:color="auto"/>
        <w:bottom w:val="none" w:sz="0" w:space="0" w:color="auto"/>
        <w:right w:val="none" w:sz="0" w:space="0" w:color="auto"/>
      </w:divBdr>
    </w:div>
    <w:div w:id="672996246">
      <w:bodyDiv w:val="1"/>
      <w:marLeft w:val="0"/>
      <w:marRight w:val="0"/>
      <w:marTop w:val="0"/>
      <w:marBottom w:val="0"/>
      <w:divBdr>
        <w:top w:val="none" w:sz="0" w:space="0" w:color="auto"/>
        <w:left w:val="none" w:sz="0" w:space="0" w:color="auto"/>
        <w:bottom w:val="none" w:sz="0" w:space="0" w:color="auto"/>
        <w:right w:val="none" w:sz="0" w:space="0" w:color="auto"/>
      </w:divBdr>
      <w:divsChild>
        <w:div w:id="178860130">
          <w:marLeft w:val="547"/>
          <w:marRight w:val="0"/>
          <w:marTop w:val="67"/>
          <w:marBottom w:val="0"/>
          <w:divBdr>
            <w:top w:val="none" w:sz="0" w:space="0" w:color="auto"/>
            <w:left w:val="none" w:sz="0" w:space="0" w:color="auto"/>
            <w:bottom w:val="none" w:sz="0" w:space="0" w:color="auto"/>
            <w:right w:val="none" w:sz="0" w:space="0" w:color="auto"/>
          </w:divBdr>
        </w:div>
      </w:divsChild>
    </w:div>
    <w:div w:id="730273356">
      <w:bodyDiv w:val="1"/>
      <w:marLeft w:val="0"/>
      <w:marRight w:val="0"/>
      <w:marTop w:val="0"/>
      <w:marBottom w:val="0"/>
      <w:divBdr>
        <w:top w:val="none" w:sz="0" w:space="0" w:color="auto"/>
        <w:left w:val="none" w:sz="0" w:space="0" w:color="auto"/>
        <w:bottom w:val="none" w:sz="0" w:space="0" w:color="auto"/>
        <w:right w:val="none" w:sz="0" w:space="0" w:color="auto"/>
      </w:divBdr>
      <w:divsChild>
        <w:div w:id="996805861">
          <w:marLeft w:val="0"/>
          <w:marRight w:val="0"/>
          <w:marTop w:val="0"/>
          <w:marBottom w:val="0"/>
          <w:divBdr>
            <w:top w:val="none" w:sz="0" w:space="0" w:color="auto"/>
            <w:left w:val="none" w:sz="0" w:space="0" w:color="auto"/>
            <w:bottom w:val="none" w:sz="0" w:space="0" w:color="auto"/>
            <w:right w:val="none" w:sz="0" w:space="0" w:color="auto"/>
          </w:divBdr>
          <w:divsChild>
            <w:div w:id="916397670">
              <w:marLeft w:val="0"/>
              <w:marRight w:val="0"/>
              <w:marTop w:val="0"/>
              <w:marBottom w:val="0"/>
              <w:divBdr>
                <w:top w:val="none" w:sz="0" w:space="0" w:color="auto"/>
                <w:left w:val="none" w:sz="0" w:space="0" w:color="auto"/>
                <w:bottom w:val="none" w:sz="0" w:space="0" w:color="auto"/>
                <w:right w:val="none" w:sz="0" w:space="0" w:color="auto"/>
              </w:divBdr>
              <w:divsChild>
                <w:div w:id="1104573072">
                  <w:marLeft w:val="0"/>
                  <w:marRight w:val="0"/>
                  <w:marTop w:val="0"/>
                  <w:marBottom w:val="0"/>
                  <w:divBdr>
                    <w:top w:val="none" w:sz="0" w:space="0" w:color="auto"/>
                    <w:left w:val="none" w:sz="0" w:space="0" w:color="auto"/>
                    <w:bottom w:val="none" w:sz="0" w:space="0" w:color="auto"/>
                    <w:right w:val="none" w:sz="0" w:space="0" w:color="auto"/>
                  </w:divBdr>
                  <w:divsChild>
                    <w:div w:id="560598015">
                      <w:marLeft w:val="0"/>
                      <w:marRight w:val="0"/>
                      <w:marTop w:val="0"/>
                      <w:marBottom w:val="0"/>
                      <w:divBdr>
                        <w:top w:val="none" w:sz="0" w:space="0" w:color="auto"/>
                        <w:left w:val="none" w:sz="0" w:space="0" w:color="auto"/>
                        <w:bottom w:val="none" w:sz="0" w:space="0" w:color="auto"/>
                        <w:right w:val="none" w:sz="0" w:space="0" w:color="auto"/>
                      </w:divBdr>
                      <w:divsChild>
                        <w:div w:id="1114059050">
                          <w:marLeft w:val="0"/>
                          <w:marRight w:val="0"/>
                          <w:marTop w:val="0"/>
                          <w:marBottom w:val="0"/>
                          <w:divBdr>
                            <w:top w:val="none" w:sz="0" w:space="0" w:color="auto"/>
                            <w:left w:val="none" w:sz="0" w:space="0" w:color="auto"/>
                            <w:bottom w:val="none" w:sz="0" w:space="0" w:color="auto"/>
                            <w:right w:val="none" w:sz="0" w:space="0" w:color="auto"/>
                          </w:divBdr>
                          <w:divsChild>
                            <w:div w:id="1113672974">
                              <w:marLeft w:val="0"/>
                              <w:marRight w:val="0"/>
                              <w:marTop w:val="2100"/>
                              <w:marBottom w:val="0"/>
                              <w:divBdr>
                                <w:top w:val="none" w:sz="0" w:space="0" w:color="auto"/>
                                <w:left w:val="none" w:sz="0" w:space="0" w:color="auto"/>
                                <w:bottom w:val="none" w:sz="0" w:space="0" w:color="auto"/>
                                <w:right w:val="none" w:sz="0" w:space="0" w:color="auto"/>
                              </w:divBdr>
                              <w:divsChild>
                                <w:div w:id="103422596">
                                  <w:marLeft w:val="0"/>
                                  <w:marRight w:val="0"/>
                                  <w:marTop w:val="0"/>
                                  <w:marBottom w:val="0"/>
                                  <w:divBdr>
                                    <w:top w:val="none" w:sz="0" w:space="0" w:color="auto"/>
                                    <w:left w:val="none" w:sz="0" w:space="0" w:color="auto"/>
                                    <w:bottom w:val="none" w:sz="0" w:space="0" w:color="auto"/>
                                    <w:right w:val="none" w:sz="0" w:space="0" w:color="auto"/>
                                  </w:divBdr>
                                  <w:divsChild>
                                    <w:div w:id="326443287">
                                      <w:marLeft w:val="0"/>
                                      <w:marRight w:val="0"/>
                                      <w:marTop w:val="0"/>
                                      <w:marBottom w:val="0"/>
                                      <w:divBdr>
                                        <w:top w:val="none" w:sz="0" w:space="0" w:color="auto"/>
                                        <w:left w:val="none" w:sz="0" w:space="0" w:color="auto"/>
                                        <w:bottom w:val="none" w:sz="0" w:space="0" w:color="auto"/>
                                        <w:right w:val="none" w:sz="0" w:space="0" w:color="auto"/>
                                      </w:divBdr>
                                      <w:divsChild>
                                        <w:div w:id="1843159521">
                                          <w:marLeft w:val="0"/>
                                          <w:marRight w:val="0"/>
                                          <w:marTop w:val="0"/>
                                          <w:marBottom w:val="0"/>
                                          <w:divBdr>
                                            <w:top w:val="none" w:sz="0" w:space="0" w:color="auto"/>
                                            <w:left w:val="none" w:sz="0" w:space="0" w:color="auto"/>
                                            <w:bottom w:val="none" w:sz="0" w:space="0" w:color="auto"/>
                                            <w:right w:val="none" w:sz="0" w:space="0" w:color="auto"/>
                                          </w:divBdr>
                                          <w:divsChild>
                                            <w:div w:id="14180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198267">
      <w:bodyDiv w:val="1"/>
      <w:marLeft w:val="0"/>
      <w:marRight w:val="0"/>
      <w:marTop w:val="0"/>
      <w:marBottom w:val="0"/>
      <w:divBdr>
        <w:top w:val="none" w:sz="0" w:space="0" w:color="auto"/>
        <w:left w:val="none" w:sz="0" w:space="0" w:color="auto"/>
        <w:bottom w:val="none" w:sz="0" w:space="0" w:color="auto"/>
        <w:right w:val="none" w:sz="0" w:space="0" w:color="auto"/>
      </w:divBdr>
      <w:divsChild>
        <w:div w:id="549462516">
          <w:marLeft w:val="0"/>
          <w:marRight w:val="0"/>
          <w:marTop w:val="0"/>
          <w:marBottom w:val="0"/>
          <w:divBdr>
            <w:top w:val="none" w:sz="0" w:space="0" w:color="auto"/>
            <w:left w:val="none" w:sz="0" w:space="0" w:color="auto"/>
            <w:bottom w:val="none" w:sz="0" w:space="0" w:color="auto"/>
            <w:right w:val="none" w:sz="0" w:space="0" w:color="auto"/>
          </w:divBdr>
          <w:divsChild>
            <w:div w:id="1242449148">
              <w:marLeft w:val="0"/>
              <w:marRight w:val="0"/>
              <w:marTop w:val="0"/>
              <w:marBottom w:val="0"/>
              <w:divBdr>
                <w:top w:val="none" w:sz="0" w:space="0" w:color="auto"/>
                <w:left w:val="none" w:sz="0" w:space="0" w:color="auto"/>
                <w:bottom w:val="none" w:sz="0" w:space="0" w:color="auto"/>
                <w:right w:val="none" w:sz="0" w:space="0" w:color="auto"/>
              </w:divBdr>
              <w:divsChild>
                <w:div w:id="837816330">
                  <w:marLeft w:val="0"/>
                  <w:marRight w:val="0"/>
                  <w:marTop w:val="0"/>
                  <w:marBottom w:val="0"/>
                  <w:divBdr>
                    <w:top w:val="none" w:sz="0" w:space="0" w:color="auto"/>
                    <w:left w:val="none" w:sz="0" w:space="0" w:color="auto"/>
                    <w:bottom w:val="none" w:sz="0" w:space="0" w:color="auto"/>
                    <w:right w:val="none" w:sz="0" w:space="0" w:color="auto"/>
                  </w:divBdr>
                  <w:divsChild>
                    <w:div w:id="771586485">
                      <w:marLeft w:val="0"/>
                      <w:marRight w:val="0"/>
                      <w:marTop w:val="0"/>
                      <w:marBottom w:val="0"/>
                      <w:divBdr>
                        <w:top w:val="none" w:sz="0" w:space="0" w:color="auto"/>
                        <w:left w:val="none" w:sz="0" w:space="0" w:color="auto"/>
                        <w:bottom w:val="none" w:sz="0" w:space="0" w:color="auto"/>
                        <w:right w:val="none" w:sz="0" w:space="0" w:color="auto"/>
                      </w:divBdr>
                      <w:divsChild>
                        <w:div w:id="1338077950">
                          <w:marLeft w:val="0"/>
                          <w:marRight w:val="0"/>
                          <w:marTop w:val="0"/>
                          <w:marBottom w:val="0"/>
                          <w:divBdr>
                            <w:top w:val="none" w:sz="0" w:space="0" w:color="auto"/>
                            <w:left w:val="none" w:sz="0" w:space="0" w:color="auto"/>
                            <w:bottom w:val="none" w:sz="0" w:space="0" w:color="auto"/>
                            <w:right w:val="none" w:sz="0" w:space="0" w:color="auto"/>
                          </w:divBdr>
                          <w:divsChild>
                            <w:div w:id="1637251836">
                              <w:marLeft w:val="0"/>
                              <w:marRight w:val="0"/>
                              <w:marTop w:val="0"/>
                              <w:marBottom w:val="0"/>
                              <w:divBdr>
                                <w:top w:val="none" w:sz="0" w:space="0" w:color="auto"/>
                                <w:left w:val="none" w:sz="0" w:space="0" w:color="auto"/>
                                <w:bottom w:val="none" w:sz="0" w:space="0" w:color="auto"/>
                                <w:right w:val="none" w:sz="0" w:space="0" w:color="auto"/>
                              </w:divBdr>
                              <w:divsChild>
                                <w:div w:id="393167989">
                                  <w:marLeft w:val="0"/>
                                  <w:marRight w:val="0"/>
                                  <w:marTop w:val="0"/>
                                  <w:marBottom w:val="0"/>
                                  <w:divBdr>
                                    <w:top w:val="none" w:sz="0" w:space="0" w:color="auto"/>
                                    <w:left w:val="none" w:sz="0" w:space="0" w:color="auto"/>
                                    <w:bottom w:val="none" w:sz="0" w:space="0" w:color="auto"/>
                                    <w:right w:val="none" w:sz="0" w:space="0" w:color="auto"/>
                                  </w:divBdr>
                                  <w:divsChild>
                                    <w:div w:id="1580214112">
                                      <w:marLeft w:val="0"/>
                                      <w:marRight w:val="0"/>
                                      <w:marTop w:val="0"/>
                                      <w:marBottom w:val="0"/>
                                      <w:divBdr>
                                        <w:top w:val="none" w:sz="0" w:space="0" w:color="auto"/>
                                        <w:left w:val="none" w:sz="0" w:space="0" w:color="auto"/>
                                        <w:bottom w:val="none" w:sz="0" w:space="0" w:color="auto"/>
                                        <w:right w:val="none" w:sz="0" w:space="0" w:color="auto"/>
                                      </w:divBdr>
                                      <w:divsChild>
                                        <w:div w:id="1356736817">
                                          <w:marLeft w:val="0"/>
                                          <w:marRight w:val="0"/>
                                          <w:marTop w:val="0"/>
                                          <w:marBottom w:val="0"/>
                                          <w:divBdr>
                                            <w:top w:val="none" w:sz="0" w:space="0" w:color="auto"/>
                                            <w:left w:val="none" w:sz="0" w:space="0" w:color="auto"/>
                                            <w:bottom w:val="none" w:sz="0" w:space="0" w:color="auto"/>
                                            <w:right w:val="none" w:sz="0" w:space="0" w:color="auto"/>
                                          </w:divBdr>
                                          <w:divsChild>
                                            <w:div w:id="921184071">
                                              <w:marLeft w:val="0"/>
                                              <w:marRight w:val="0"/>
                                              <w:marTop w:val="0"/>
                                              <w:marBottom w:val="0"/>
                                              <w:divBdr>
                                                <w:top w:val="none" w:sz="0" w:space="0" w:color="auto"/>
                                                <w:left w:val="none" w:sz="0" w:space="0" w:color="auto"/>
                                                <w:bottom w:val="none" w:sz="0" w:space="0" w:color="auto"/>
                                                <w:right w:val="none" w:sz="0" w:space="0" w:color="auto"/>
                                              </w:divBdr>
                                              <w:divsChild>
                                                <w:div w:id="1356888798">
                                                  <w:marLeft w:val="0"/>
                                                  <w:marRight w:val="0"/>
                                                  <w:marTop w:val="0"/>
                                                  <w:marBottom w:val="0"/>
                                                  <w:divBdr>
                                                    <w:top w:val="none" w:sz="0" w:space="0" w:color="auto"/>
                                                    <w:left w:val="none" w:sz="0" w:space="0" w:color="auto"/>
                                                    <w:bottom w:val="none" w:sz="0" w:space="0" w:color="auto"/>
                                                    <w:right w:val="none" w:sz="0" w:space="0" w:color="auto"/>
                                                  </w:divBdr>
                                                  <w:divsChild>
                                                    <w:div w:id="33967955">
                                                      <w:marLeft w:val="0"/>
                                                      <w:marRight w:val="0"/>
                                                      <w:marTop w:val="0"/>
                                                      <w:marBottom w:val="0"/>
                                                      <w:divBdr>
                                                        <w:top w:val="none" w:sz="0" w:space="0" w:color="auto"/>
                                                        <w:left w:val="none" w:sz="0" w:space="0" w:color="auto"/>
                                                        <w:bottom w:val="none" w:sz="0" w:space="0" w:color="auto"/>
                                                        <w:right w:val="none" w:sz="0" w:space="0" w:color="auto"/>
                                                      </w:divBdr>
                                                      <w:divsChild>
                                                        <w:div w:id="6586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0222577">
      <w:bodyDiv w:val="1"/>
      <w:marLeft w:val="0"/>
      <w:marRight w:val="0"/>
      <w:marTop w:val="0"/>
      <w:marBottom w:val="0"/>
      <w:divBdr>
        <w:top w:val="none" w:sz="0" w:space="0" w:color="auto"/>
        <w:left w:val="none" w:sz="0" w:space="0" w:color="auto"/>
        <w:bottom w:val="none" w:sz="0" w:space="0" w:color="auto"/>
        <w:right w:val="none" w:sz="0" w:space="0" w:color="auto"/>
      </w:divBdr>
      <w:divsChild>
        <w:div w:id="722172774">
          <w:marLeft w:val="0"/>
          <w:marRight w:val="0"/>
          <w:marTop w:val="0"/>
          <w:marBottom w:val="0"/>
          <w:divBdr>
            <w:top w:val="none" w:sz="0" w:space="0" w:color="auto"/>
            <w:left w:val="none" w:sz="0" w:space="0" w:color="auto"/>
            <w:bottom w:val="none" w:sz="0" w:space="0" w:color="auto"/>
            <w:right w:val="none" w:sz="0" w:space="0" w:color="auto"/>
          </w:divBdr>
          <w:divsChild>
            <w:div w:id="657346413">
              <w:marLeft w:val="0"/>
              <w:marRight w:val="0"/>
              <w:marTop w:val="0"/>
              <w:marBottom w:val="0"/>
              <w:divBdr>
                <w:top w:val="none" w:sz="0" w:space="0" w:color="auto"/>
                <w:left w:val="none" w:sz="0" w:space="0" w:color="auto"/>
                <w:bottom w:val="none" w:sz="0" w:space="0" w:color="auto"/>
                <w:right w:val="none" w:sz="0" w:space="0" w:color="auto"/>
              </w:divBdr>
              <w:divsChild>
                <w:div w:id="1893493355">
                  <w:marLeft w:val="0"/>
                  <w:marRight w:val="0"/>
                  <w:marTop w:val="0"/>
                  <w:marBottom w:val="0"/>
                  <w:divBdr>
                    <w:top w:val="none" w:sz="0" w:space="0" w:color="auto"/>
                    <w:left w:val="none" w:sz="0" w:space="0" w:color="auto"/>
                    <w:bottom w:val="none" w:sz="0" w:space="0" w:color="auto"/>
                    <w:right w:val="none" w:sz="0" w:space="0" w:color="auto"/>
                  </w:divBdr>
                  <w:divsChild>
                    <w:div w:id="423039947">
                      <w:marLeft w:val="0"/>
                      <w:marRight w:val="0"/>
                      <w:marTop w:val="0"/>
                      <w:marBottom w:val="0"/>
                      <w:divBdr>
                        <w:top w:val="none" w:sz="0" w:space="0" w:color="auto"/>
                        <w:left w:val="none" w:sz="0" w:space="0" w:color="auto"/>
                        <w:bottom w:val="none" w:sz="0" w:space="0" w:color="auto"/>
                        <w:right w:val="none" w:sz="0" w:space="0" w:color="auto"/>
                      </w:divBdr>
                      <w:divsChild>
                        <w:div w:id="1665234579">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94999">
      <w:bodyDiv w:val="1"/>
      <w:marLeft w:val="0"/>
      <w:marRight w:val="0"/>
      <w:marTop w:val="0"/>
      <w:marBottom w:val="0"/>
      <w:divBdr>
        <w:top w:val="none" w:sz="0" w:space="0" w:color="auto"/>
        <w:left w:val="none" w:sz="0" w:space="0" w:color="auto"/>
        <w:bottom w:val="none" w:sz="0" w:space="0" w:color="auto"/>
        <w:right w:val="none" w:sz="0" w:space="0" w:color="auto"/>
      </w:divBdr>
    </w:div>
    <w:div w:id="1284531567">
      <w:bodyDiv w:val="1"/>
      <w:marLeft w:val="0"/>
      <w:marRight w:val="0"/>
      <w:marTop w:val="0"/>
      <w:marBottom w:val="0"/>
      <w:divBdr>
        <w:top w:val="none" w:sz="0" w:space="0" w:color="auto"/>
        <w:left w:val="none" w:sz="0" w:space="0" w:color="auto"/>
        <w:bottom w:val="none" w:sz="0" w:space="0" w:color="auto"/>
        <w:right w:val="none" w:sz="0" w:space="0" w:color="auto"/>
      </w:divBdr>
    </w:div>
    <w:div w:id="1548451429">
      <w:bodyDiv w:val="1"/>
      <w:marLeft w:val="0"/>
      <w:marRight w:val="0"/>
      <w:marTop w:val="0"/>
      <w:marBottom w:val="0"/>
      <w:divBdr>
        <w:top w:val="none" w:sz="0" w:space="0" w:color="auto"/>
        <w:left w:val="none" w:sz="0" w:space="0" w:color="auto"/>
        <w:bottom w:val="none" w:sz="0" w:space="0" w:color="auto"/>
        <w:right w:val="none" w:sz="0" w:space="0" w:color="auto"/>
      </w:divBdr>
    </w:div>
    <w:div w:id="1722050698">
      <w:bodyDiv w:val="1"/>
      <w:marLeft w:val="0"/>
      <w:marRight w:val="0"/>
      <w:marTop w:val="0"/>
      <w:marBottom w:val="0"/>
      <w:divBdr>
        <w:top w:val="none" w:sz="0" w:space="0" w:color="auto"/>
        <w:left w:val="none" w:sz="0" w:space="0" w:color="auto"/>
        <w:bottom w:val="none" w:sz="0" w:space="0" w:color="auto"/>
        <w:right w:val="none" w:sz="0" w:space="0" w:color="auto"/>
      </w:divBdr>
      <w:divsChild>
        <w:div w:id="1587020">
          <w:marLeft w:val="547"/>
          <w:marRight w:val="0"/>
          <w:marTop w:val="67"/>
          <w:marBottom w:val="0"/>
          <w:divBdr>
            <w:top w:val="none" w:sz="0" w:space="0" w:color="auto"/>
            <w:left w:val="none" w:sz="0" w:space="0" w:color="auto"/>
            <w:bottom w:val="none" w:sz="0" w:space="0" w:color="auto"/>
            <w:right w:val="none" w:sz="0" w:space="0" w:color="auto"/>
          </w:divBdr>
        </w:div>
      </w:divsChild>
    </w:div>
    <w:div w:id="1904482869">
      <w:bodyDiv w:val="1"/>
      <w:marLeft w:val="0"/>
      <w:marRight w:val="0"/>
      <w:marTop w:val="0"/>
      <w:marBottom w:val="0"/>
      <w:divBdr>
        <w:top w:val="none" w:sz="0" w:space="0" w:color="auto"/>
        <w:left w:val="none" w:sz="0" w:space="0" w:color="auto"/>
        <w:bottom w:val="none" w:sz="0" w:space="0" w:color="auto"/>
        <w:right w:val="none" w:sz="0" w:space="0" w:color="auto"/>
      </w:divBdr>
      <w:divsChild>
        <w:div w:id="2011980369">
          <w:marLeft w:val="547"/>
          <w:marRight w:val="0"/>
          <w:marTop w:val="8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yperlink" Target="mailto:IRS@acma.gov.au" TargetMode="External"/><Relationship Id="rId47" Type="http://schemas.openxmlformats.org/officeDocument/2006/relationships/image" Target="media/image5.png"/><Relationship Id="rId63" Type="http://schemas.openxmlformats.org/officeDocument/2006/relationships/hyperlink" Target="https://www.legislation.gov.au/Details/F2016C00432" TargetMode="External"/><Relationship Id="rId68" Type="http://schemas.openxmlformats.org/officeDocument/2006/relationships/hyperlink" Target="http://www.acma.gov.au/~/media/Spectrum%20Engineering/Information/Word%20Document/RALI%20MS39%20final%20docx.docx" TargetMode="External"/><Relationship Id="rId84" Type="http://schemas.openxmlformats.org/officeDocument/2006/relationships/hyperlink" Target="http://www.acma.gov.au/privacypolicy" TargetMode="External"/><Relationship Id="rId89" Type="http://schemas.openxmlformats.org/officeDocument/2006/relationships/image" Target="media/image13.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8.xml"/><Relationship Id="rId107"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37"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40" Type="http://schemas.openxmlformats.org/officeDocument/2006/relationships/hyperlink" Target="http://www.acma.gov.au/webwr/_assets/main/lib310081/spp08_08_spp08_08_strategies_for_was_consultation_outcomes.pdf" TargetMode="External"/><Relationship Id="rId45" Type="http://schemas.openxmlformats.org/officeDocument/2006/relationships/hyperlink" Target="https://www.legislation.gov.au/Details/F2015L01271" TargetMode="External"/><Relationship Id="rId53" Type="http://schemas.openxmlformats.org/officeDocument/2006/relationships/hyperlink" Target="http://www.erodocdb.dk/doks/filedownload.aspx?fileid=3455&amp;fileurl=http://www.erodocdb.dk/Docs/doc98/official/pdf/2008411EC.PDF" TargetMode="External"/><Relationship Id="rId58" Type="http://schemas.openxmlformats.org/officeDocument/2006/relationships/hyperlink" Target="http://www.acma.gov.au/webwr/_assets/main/lib100639/was_discussion_paper_feb_06.pdf" TargetMode="External"/><Relationship Id="rId66" Type="http://schemas.openxmlformats.org/officeDocument/2006/relationships/hyperlink" Target="http://www.acma.gov.au/Industry/Spectrum/Radiocomms-licensing/Class-licences/spectrum-embargoes-spectrum-planning-acma" TargetMode="External"/><Relationship Id="rId74" Type="http://schemas.openxmlformats.org/officeDocument/2006/relationships/hyperlink" Target="http://www.acma.gov.au/theACMA/rali-fx3-microwave-fixed-services-frequency-coordination" TargetMode="External"/><Relationship Id="rId79" Type="http://schemas.openxmlformats.org/officeDocument/2006/relationships/hyperlink" Target="http://www.acma.gov.au/theACMA/About/Corporate/Responsibilities/acma-evidenceinformed-regulation-and-effective-consultation" TargetMode="External"/><Relationship Id="rId87" Type="http://schemas.openxmlformats.org/officeDocument/2006/relationships/image" Target="media/image11.png"/><Relationship Id="rId102" Type="http://schemas.openxmlformats.org/officeDocument/2006/relationships/image" Target="media/image17.png"/><Relationship Id="rId110"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www.acma.gov.au/theACMA/frequency-coordination-licensing-bwa-19001920-20102025-and-35753700-mhz-bands" TargetMode="External"/><Relationship Id="rId82" Type="http://schemas.openxmlformats.org/officeDocument/2006/relationships/hyperlink" Target="http://www.comlaw.gov.au/Series/C2004A03712" TargetMode="External"/><Relationship Id="rId90" Type="http://schemas.openxmlformats.org/officeDocument/2006/relationships/hyperlink" Target="http://www.acma.gov.au/Industry/Spectrum/Radiocomms-licensing/Class-licences/spectrum-embargoes-spectrum-planning-acma" TargetMode="External"/><Relationship Id="rId95" Type="http://schemas.openxmlformats.org/officeDocument/2006/relationships/hyperlink" Target="http://www.acma.gov.au/webwr/radcomm/frequency_planning/spectrum_embargoes/emb42.pdf" TargetMode="External"/><Relationship Id="rId19" Type="http://schemas.openxmlformats.org/officeDocument/2006/relationships/hyperlink" Target="http://creativecommons.org/licenses/by/3.0/au/"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35" Type="http://schemas.openxmlformats.org/officeDocument/2006/relationships/image" Target="media/image4.png"/><Relationship Id="rId43" Type="http://schemas.openxmlformats.org/officeDocument/2006/relationships/hyperlink" Target="http://www.itu.int/pub/R-ACT-WRC.12-2015" TargetMode="External"/><Relationship Id="rId48" Type="http://schemas.openxmlformats.org/officeDocument/2006/relationships/hyperlink" Target="http://www.acma.gov.au/Industry/Spectrum/Spectrum-planning/About-spectrum-planning/ifc-152012-planning-for-mobile-broadband-within-the-15-ghz-mobile-band" TargetMode="External"/><Relationship Id="rId56" Type="http://schemas.openxmlformats.org/officeDocument/2006/relationships/hyperlink" Target="https://circabc.europa.eu/d/a/workspace/SpacesStore/1a40dd19-c8a8-4ed0-bc9c-6cc5a7755f7d/RSPG16-031Final_Opinion_5G_for_public_consultation.pdf" TargetMode="External"/><Relationship Id="rId64"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69" Type="http://schemas.openxmlformats.org/officeDocument/2006/relationships/hyperlink" Target="http://auction.acma.gov.au/auction_results/3.4ghz_results_page/34_pdf/aip_pdf/re-allocation.pdf" TargetMode="External"/><Relationship Id="rId77" Type="http://schemas.openxmlformats.org/officeDocument/2006/relationships/hyperlink" Target="mailto:freqplan@acma.gov.au" TargetMode="External"/><Relationship Id="rId100" Type="http://schemas.openxmlformats.org/officeDocument/2006/relationships/image" Target="media/image15.png"/><Relationship Id="rId105"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8" Type="http://schemas.openxmlformats.org/officeDocument/2006/relationships/webSettings" Target="webSettings.xml"/><Relationship Id="rId51"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72" Type="http://schemas.openxmlformats.org/officeDocument/2006/relationships/hyperlink" Target="http://www.acma.gov.au/~/media/Spectrum%20Engineering/Information/Word%20Document/RALI%20MS39%20final%20docx.docx" TargetMode="External"/><Relationship Id="rId80" Type="http://schemas.openxmlformats.org/officeDocument/2006/relationships/hyperlink" Target="https://www.comlaw.gov.au/Series/C2004A02562" TargetMode="External"/><Relationship Id="rId85" Type="http://schemas.openxmlformats.org/officeDocument/2006/relationships/image" Target="media/image9.png"/><Relationship Id="rId93" Type="http://schemas.openxmlformats.org/officeDocument/2006/relationships/hyperlink" Target="http://auction.acma.gov.au/auction_results/3.4ghz_results_page/34_pdf/aip_pdf/re-allocation.pdf" TargetMode="External"/><Relationship Id="rId98" Type="http://schemas.openxmlformats.org/officeDocument/2006/relationships/hyperlink" Target="http://www.acma.gov.au/webwr/radcomm/frequency_planning/spectrum_embargoes/embargo_52.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i.creativecommons.org/l/by/3.0/88x31.png" TargetMode="External"/><Relationship Id="rId25" Type="http://schemas.openxmlformats.org/officeDocument/2006/relationships/header" Target="header6.xml"/><Relationship Id="rId33" Type="http://schemas.openxmlformats.org/officeDocument/2006/relationships/hyperlink" Target="http://www.acma.gov.au/~/media/Spectrum%20Transformation%20and%20Government/Issue%20for%20comment/IFC%2022%202015/Mobile%20broadband%20work%20programFebruary%202016%20update%20docx.docx" TargetMode="External"/><Relationship Id="rId38" Type="http://schemas.openxmlformats.org/officeDocument/2006/relationships/hyperlink" Target="http://www.acma.gov.au/~/media/Spectrum%20Engineering/Regulation/Word%20Document/Embargo%20No%2070%20docx.docx" TargetMode="External"/><Relationship Id="rId46" Type="http://schemas.openxmlformats.org/officeDocument/2006/relationships/hyperlink" Target="http://www.acma.gov.au/~/media/Spectrum%20Engineering/Regulation/Word%20Document/Embargo%20No%2070%20docx.docx" TargetMode="External"/><Relationship Id="rId59" Type="http://schemas.openxmlformats.org/officeDocument/2006/relationships/image" Target="media/image7.png"/><Relationship Id="rId67" Type="http://schemas.openxmlformats.org/officeDocument/2006/relationships/hyperlink" Target="https://www.legislation.gov.au/Details/F2014L01399" TargetMode="External"/><Relationship Id="rId103"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108" Type="http://schemas.openxmlformats.org/officeDocument/2006/relationships/header" Target="header9.xml"/><Relationship Id="rId20" Type="http://schemas.openxmlformats.org/officeDocument/2006/relationships/hyperlink" Target="mailto:candinfo@acma.gov.au" TargetMode="External"/><Relationship Id="rId41" Type="http://schemas.openxmlformats.org/officeDocument/2006/relationships/hyperlink" Target="http://www.acma.gov.au/webwr/radcomm/frequency_planning/spectrum_embargoes/emb42.pdf" TargetMode="External"/><Relationship Id="rId54" Type="http://schemas.openxmlformats.org/officeDocument/2006/relationships/hyperlink" Target="http://www.erodocdb.dk/doks/filedownload.aspx?fileid=4073&amp;fileurl=http://www.erodocdb.dk/Docs/doc98/official/pdf/2014276EU.PDF" TargetMode="External"/><Relationship Id="rId62" Type="http://schemas.openxmlformats.org/officeDocument/2006/relationships/hyperlink" Target="http://www.wia.org.au/members/bandplans/data/documents/Australian%20Band%20Plans%20160211.pdf" TargetMode="External"/><Relationship Id="rId70" Type="http://schemas.openxmlformats.org/officeDocument/2006/relationships/image" Target="media/image8.png"/><Relationship Id="rId75"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83" Type="http://schemas.openxmlformats.org/officeDocument/2006/relationships/hyperlink" Target="http://www.oaic.gov.au/privacy/privacy-resources/privacy-fact-sheets/other/privacy-fact-sheet-17-australian-privacy-principles" TargetMode="External"/><Relationship Id="rId88" Type="http://schemas.openxmlformats.org/officeDocument/2006/relationships/image" Target="media/image12.png"/><Relationship Id="rId91" Type="http://schemas.openxmlformats.org/officeDocument/2006/relationships/hyperlink" Target="https://www.legislation.gov.au/Details/F2014L01399" TargetMode="External"/><Relationship Id="rId96" Type="http://schemas.openxmlformats.org/officeDocument/2006/relationships/hyperlink" Target="http://www.acma.gov.au/webwr/_assets/main/lib100639/was_discussion_paper_feb_06.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49" Type="http://schemas.openxmlformats.org/officeDocument/2006/relationships/hyperlink" Target="http://www.acma.gov.au/Industry/Spectrum/Spectrum-planning/About-spectrum-planning/ifc-152012-planning-for-mobile-broadband-within-the-15-ghz-mobile-band" TargetMode="External"/><Relationship Id="rId57" Type="http://schemas.openxmlformats.org/officeDocument/2006/relationships/hyperlink" Target="https://ec.europa.eu/digital-single-market/en/news/communication-5g-europe-action-plan-and-accompanying-staff-working-document" TargetMode="External"/><Relationship Id="rId106" Type="http://schemas.openxmlformats.org/officeDocument/2006/relationships/hyperlink" Target="http://www.wia.org.au/members/bandplans/data/documents/Australian%20Band%20Plans%20160211.pdf" TargetMode="External"/><Relationship Id="rId10" Type="http://schemas.openxmlformats.org/officeDocument/2006/relationships/endnotes" Target="endnotes.xml"/><Relationship Id="rId31"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44" Type="http://schemas.openxmlformats.org/officeDocument/2006/relationships/hyperlink" Target="http://www.3gpp.org/About-3GPP" TargetMode="External"/><Relationship Id="rId52" Type="http://schemas.openxmlformats.org/officeDocument/2006/relationships/hyperlink" Target="http://www.itu.int/pub/R-ACT-WRC.12-2015" TargetMode="External"/><Relationship Id="rId60" Type="http://schemas.openxmlformats.org/officeDocument/2006/relationships/hyperlink" Target="http://www.acma.gov.au/theACMA/rali-fx3-microwave-fixed-services-frequency-coordination" TargetMode="External"/><Relationship Id="rId65" Type="http://schemas.openxmlformats.org/officeDocument/2006/relationships/hyperlink" Target="http://www.acma.gov.au/Industry/Spectrum/Radiocomms-licensing/Class-licences/spectrum-embargoes-spectrum-planning-acma" TargetMode="External"/><Relationship Id="rId73" Type="http://schemas.openxmlformats.org/officeDocument/2006/relationships/hyperlink" Target="http://www.comlaw.gov.au/Details/F2015L00728" TargetMode="External"/><Relationship Id="rId78" Type="http://schemas.openxmlformats.org/officeDocument/2006/relationships/hyperlink" Target="mailto:media@acma.gov.au" TargetMode="External"/><Relationship Id="rId81" Type="http://schemas.openxmlformats.org/officeDocument/2006/relationships/hyperlink" Target="https://www.comlaw.gov.au/Series/C2005A00044" TargetMode="External"/><Relationship Id="rId86" Type="http://schemas.openxmlformats.org/officeDocument/2006/relationships/image" Target="media/image10.png"/><Relationship Id="rId94" Type="http://schemas.openxmlformats.org/officeDocument/2006/relationships/hyperlink" Target="http://www.acma.gov.au/~/media/Spectrum%20Engineering/Regulation/pdf/Embargo%20No%2041.pdf" TargetMode="External"/><Relationship Id="rId99" Type="http://schemas.openxmlformats.org/officeDocument/2006/relationships/image" Target="media/image14.png"/><Relationship Id="rId10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www.acma.gov.au/webwr/_assets/main/lib100639/was_discussion.pdf" TargetMode="External"/><Relationship Id="rId109" Type="http://schemas.openxmlformats.org/officeDocument/2006/relationships/footer" Target="footer9.xml"/><Relationship Id="rId34" Type="http://schemas.openxmlformats.org/officeDocument/2006/relationships/hyperlink" Target="http://www.acma.gov.au/theACMA/About/The-ACMA-story/Facilitating/decisionmaking-process-fyso-25-1" TargetMode="External"/><Relationship Id="rId50" Type="http://schemas.openxmlformats.org/officeDocument/2006/relationships/image" Target="media/image6.png"/><Relationship Id="rId55" Type="http://schemas.openxmlformats.org/officeDocument/2006/relationships/hyperlink" Target="http://www.erodocdb.dk/doks/filedownload.aspx?fileid=3455&amp;fileurl=http://www.erodocdb.dk/Docs/doc98/official/pdf/2008411EC.PDF" TargetMode="External"/><Relationship Id="rId76" Type="http://schemas.openxmlformats.org/officeDocument/2006/relationships/hyperlink" Target="http://www.acma.gov.au/theACMA/Consultations/Consultations" TargetMode="External"/><Relationship Id="rId97" Type="http://schemas.openxmlformats.org/officeDocument/2006/relationships/hyperlink" Target="http://www.acma.gov.au/webwr/radcomm/frequency_planning/spectrum_embargoes/emb42.pdf" TargetMode="External"/><Relationship Id="rId104" Type="http://schemas.openxmlformats.org/officeDocument/2006/relationships/hyperlink" Target="http://www.acma.gov.au/~/media/Spectrum%20Transformation%20and%20Government/Issue%20for%20comment/IFC%2022%202015/MBB%20strategyThe%20ACMAs%20spectrum%20management%20strategy%20to%20address%20the%20growth%20in%20mobile%20broadband%20capacity%20docx.docx" TargetMode="External"/><Relationship Id="rId7" Type="http://schemas.openxmlformats.org/officeDocument/2006/relationships/settings" Target="settings.xml"/><Relationship Id="rId71" Type="http://schemas.openxmlformats.org/officeDocument/2006/relationships/hyperlink" Target="http://www.acma.gov.au/theACMA/frequency-coordination-licensing-bwa-19001920-20102025-and-35753700-mhz-bands" TargetMode="External"/><Relationship Id="rId92" Type="http://schemas.openxmlformats.org/officeDocument/2006/relationships/hyperlink" Target="http://www.acma.gov.au/~/media/Spectrum%20Engineering/Information/Word%20Document/RALI%20MS39%20final%20docx.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cept.org/files/1051/Topics/Broadcasting/T-DAB/MA02revCO07/final%20acts%20MA02revCO07.pdf" TargetMode="External"/><Relationship Id="rId13" Type="http://schemas.openxmlformats.org/officeDocument/2006/relationships/hyperlink" Target="http://www.acma.gov.au/~/media/Spectrum%20Transformation%20and%20Government/Issue%20for%20comment/IFC%2015%202015%20Remaking%20the%201%205%20GHz%20Band%20Plan/Proposal%20to%20remake%2015%20GHz%20Band%20PlanFinal%20docx.docx" TargetMode="External"/><Relationship Id="rId18" Type="http://schemas.openxmlformats.org/officeDocument/2006/relationships/hyperlink" Target="http://gsacom.com/community/lte-user-devices/" TargetMode="External"/><Relationship Id="rId3" Type="http://schemas.openxmlformats.org/officeDocument/2006/relationships/hyperlink" Target="https://www.communications.gov.au/publications/spectrum-review-report" TargetMode="External"/><Relationship Id="rId21" Type="http://schemas.openxmlformats.org/officeDocument/2006/relationships/hyperlink" Target="http://www.ic.gc.ca/eic/site/smt-gst.nsf/eng/sf10759.html" TargetMode="External"/><Relationship Id="rId7" Type="http://schemas.openxmlformats.org/officeDocument/2006/relationships/hyperlink" Target="http://eur-lex.europa.eu/legal-content/EN/TXT/?qid=1431416821549&amp;uri=OJ:JOL_2015_119_R_0006" TargetMode="External"/><Relationship Id="rId12" Type="http://schemas.openxmlformats.org/officeDocument/2006/relationships/hyperlink" Target="http://gsacom.com/type/gsa-report/" TargetMode="External"/><Relationship Id="rId17" Type="http://schemas.openxmlformats.org/officeDocument/2006/relationships/hyperlink" Target="http://gsacom.com/communities/lte-tdd/" TargetMode="External"/><Relationship Id="rId25" Type="http://schemas.openxmlformats.org/officeDocument/2006/relationships/hyperlink" Target="http://www.3gpp.org/DynaReport/36-series.htm" TargetMode="External"/><Relationship Id="rId2" Type="http://schemas.openxmlformats.org/officeDocument/2006/relationships/hyperlink" Target="http://www.minister.communications.gov.au/malcolm_turnbull/news/spectrum_reform_to_drive_future_innovation_and_productivity" TargetMode="External"/><Relationship Id="rId16" Type="http://schemas.openxmlformats.org/officeDocument/2006/relationships/hyperlink" Target="http://www.3gpp.org/ftp/tsg_ran/TSG_RAN/TSGR_72/Docs/RP-161103.zip" TargetMode="External"/><Relationship Id="rId20" Type="http://schemas.openxmlformats.org/officeDocument/2006/relationships/hyperlink" Target="http://www.ic.gc.ca/eic/site/smt-gst.nsf/eng/h_sf09570.html" TargetMode="External"/><Relationship Id="rId1" Type="http://schemas.openxmlformats.org/officeDocument/2006/relationships/hyperlink" Target="http://www.acma.gov.au/Industry/Spectrum/Spectrum-planning/About-spectrum-planning/principles-for-spectrum-management" TargetMode="External"/><Relationship Id="rId6" Type="http://schemas.openxmlformats.org/officeDocument/2006/relationships/hyperlink" Target="http://www.acma.gov.au/Industry/Spectrum/Spectrum-planning/About-spectrum-planning/ifc-152012-planning-for-mobile-broadband-within-the-15-ghz-mobile-band" TargetMode="External"/><Relationship Id="rId11" Type="http://schemas.openxmlformats.org/officeDocument/2006/relationships/hyperlink" Target="http://www.telecompaper.com/news/italy-raises-eur-460-mln-with-l-band-auction--1101734" TargetMode="External"/><Relationship Id="rId24" Type="http://schemas.openxmlformats.org/officeDocument/2006/relationships/hyperlink" Target="https://www.fcc.gov/rulemaking/12-354" TargetMode="External"/><Relationship Id="rId5" Type="http://schemas.openxmlformats.org/officeDocument/2006/relationships/hyperlink" Target="https://www.communications.gov.au/have-your-say/spectrum-reform-legislative-proposals-consultation" TargetMode="External"/><Relationship Id="rId15" Type="http://schemas.openxmlformats.org/officeDocument/2006/relationships/hyperlink" Target="http://www.3gpp.org/DynaReport/36-series.htm" TargetMode="External"/><Relationship Id="rId23" Type="http://schemas.openxmlformats.org/officeDocument/2006/relationships/hyperlink" Target="http://www.tele.soumu.go.jp/e/adm/freq/search/share/plan.htm" TargetMode="External"/><Relationship Id="rId10" Type="http://schemas.openxmlformats.org/officeDocument/2006/relationships/hyperlink" Target="http://www.bundesnetzagentur.de/EN/Areas/Telecommunications/Companies/FrequencyManagement/ElectronicCommunicationsServices/MobileBroadbandProject2016/project2016_node.htmlhttp:/www.bundesnetzagentur.de/EN/Areas/Telecommunications/Companies/FrequencyManagement/ElectronicCommunicationsServices/MobileBroadbandProject2016/project2016_node.html" TargetMode="External"/><Relationship Id="rId19" Type="http://schemas.openxmlformats.org/officeDocument/2006/relationships/hyperlink" Target="http://www.ic.gc.ca/eic/site/smt-gst.nsf/eng/sf10914.html" TargetMode="External"/><Relationship Id="rId4" Type="http://schemas.openxmlformats.org/officeDocument/2006/relationships/hyperlink" Target="http://www.minister.communications.gov.au/malcolm_turnbull/news/next_stage_of_spectrum_reform_to_commence" TargetMode="External"/><Relationship Id="rId9" Type="http://schemas.openxmlformats.org/officeDocument/2006/relationships/hyperlink" Target="http://stakeholders.ofcom.org.uk/binaries/consultations/licence-variation-1.4ghz/statement/Statement_on_1.4_ghz_licence_variation.pdf" TargetMode="External"/><Relationship Id="rId14" Type="http://schemas.openxmlformats.org/officeDocument/2006/relationships/hyperlink" Target="http://www.pc.gov.au/inquiries/current/telecommunications" TargetMode="External"/><Relationship Id="rId22" Type="http://schemas.openxmlformats.org/officeDocument/2006/relationships/hyperlink" Target="http://www.erodocdb.dk/Docs/doc98/official/pdf/ECCDEC110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0208D3386B714F868445C21D19A09D" ma:contentTypeVersion="13" ma:contentTypeDescription="Create a new document." ma:contentTypeScope="" ma:versionID="0177a2d1a84547a15dabbbd22cb5ad0b">
  <xsd:schema xmlns:xsd="http://www.w3.org/2001/XMLSchema" xmlns:xs="http://www.w3.org/2001/XMLSchema" xmlns:p="http://schemas.microsoft.com/office/2006/metadata/properties" xmlns:ns3="f46e3ec0-68a7-4224-820d-95137d47d6b5" xmlns:ns4="4eb9cabd-8d5a-42b9-b1ef-e48dbcba3a05" targetNamespace="http://schemas.microsoft.com/office/2006/metadata/properties" ma:root="true" ma:fieldsID="ebe610df55ab1148d0d0c19cbb3a5067" ns3:_="" ns4:_="">
    <xsd:import namespace="f46e3ec0-68a7-4224-820d-95137d47d6b5"/>
    <xsd:import namespace="4eb9cabd-8d5a-42b9-b1ef-e48dbcba3a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e3ec0-68a7-4224-820d-95137d47d6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b9cabd-8d5a-42b9-b1ef-e48dbcba3a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56C87-B0AA-4214-BD7D-1CC8936E8BCD}">
  <ds:schemaRefs>
    <ds:schemaRef ds:uri="http://schemas.microsoft.com/sharepoint/v3/contenttype/forms"/>
  </ds:schemaRefs>
</ds:datastoreItem>
</file>

<file path=customXml/itemProps2.xml><?xml version="1.0" encoding="utf-8"?>
<ds:datastoreItem xmlns:ds="http://schemas.openxmlformats.org/officeDocument/2006/customXml" ds:itemID="{2AA343CF-C583-42EF-AF1F-0D0D1FF225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9DCB93-DBAD-4E63-8C77-1E382791C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e3ec0-68a7-4224-820d-95137d47d6b5"/>
    <ds:schemaRef ds:uri="4eb9cabd-8d5a-42b9-b1ef-e48dbcba3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1CD12-5FEB-4337-B286-D00295E4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21436</Words>
  <Characters>122188</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2020-02-26T05:14:00Z</dcterms:created>
  <dcterms:modified xsi:type="dcterms:W3CDTF">2020-02-26T05:15:00Z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0x010100880208D3386B714F868445C21D19A09D</vt:lpwstr>
  </property>
</Properties>
</file>