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64DE9" w14:textId="77777777" w:rsidR="00F06E14" w:rsidRPr="00A51D1A" w:rsidRDefault="00510E9F" w:rsidP="00A51D1A">
      <w:pPr>
        <w:pStyle w:val="ACMAReportTitle"/>
      </w:pPr>
      <w:r w:rsidRPr="00510E9F">
        <w:t>Cost Recovery Implementation Statement</w:t>
      </w:r>
    </w:p>
    <w:p w14:paraId="2BC7C85A" w14:textId="5DD36178" w:rsidR="00F06E14" w:rsidRDefault="00AD3D05" w:rsidP="00510E9F">
      <w:pPr>
        <w:pStyle w:val="ACMAReportSubTitle"/>
      </w:pPr>
      <w:r>
        <w:t>Do Not Call Register—</w:t>
      </w:r>
      <w:r w:rsidR="00A54D82">
        <w:t xml:space="preserve">subscription fees effective 1 July </w:t>
      </w:r>
      <w:r>
        <w:t>2018</w:t>
      </w:r>
    </w:p>
    <w:p w14:paraId="2A5DDCF8" w14:textId="45C3B3B4" w:rsidR="00F06E14" w:rsidRDefault="00E514DF" w:rsidP="00D47AEB">
      <w:pPr>
        <w:pStyle w:val="ACMAReportDate"/>
        <w:spacing w:after="720"/>
      </w:pPr>
      <w:r>
        <w:t>JU</w:t>
      </w:r>
      <w:r w:rsidR="00A54D82">
        <w:t>ly</w:t>
      </w:r>
      <w:r w:rsidR="00AD3D05">
        <w:t xml:space="preserve"> 2018</w:t>
      </w:r>
    </w:p>
    <w:p w14:paraId="6DF2D960" w14:textId="77777777" w:rsidR="00C97736" w:rsidRPr="000D76E0" w:rsidRDefault="00C97736" w:rsidP="0041071D">
      <w:pPr>
        <w:rPr>
          <w:rFonts w:cs="Arial"/>
        </w:rPr>
      </w:pPr>
    </w:p>
    <w:p w14:paraId="188A3C6D" w14:textId="3694AF1E" w:rsidR="00C97736" w:rsidRPr="00763410" w:rsidRDefault="00C97736" w:rsidP="0041071D">
      <w:pPr>
        <w:rPr>
          <w:rFonts w:cs="Arial"/>
          <w:b/>
          <w:sz w:val="44"/>
        </w:rPr>
        <w:sectPr w:rsidR="00C97736" w:rsidRPr="00763410" w:rsidSect="004F556E">
          <w:headerReference w:type="default" r:id="rId8"/>
          <w:footerReference w:type="default" r:id="rId9"/>
          <w:headerReference w:type="first" r:id="rId10"/>
          <w:pgSz w:w="11906" w:h="16838" w:code="9"/>
          <w:pgMar w:top="3924" w:right="1797" w:bottom="1440" w:left="1134" w:header="709" w:footer="454" w:gutter="0"/>
          <w:cols w:space="708"/>
          <w:docGrid w:linePitch="360"/>
        </w:sectPr>
      </w:pPr>
    </w:p>
    <w:p w14:paraId="0A3CE184" w14:textId="77777777" w:rsidR="0005011A" w:rsidRPr="00F44F3A" w:rsidRDefault="0005011A" w:rsidP="00FC07B9">
      <w:pPr>
        <w:pStyle w:val="ACMACorporateAddressHeader"/>
      </w:pPr>
      <w:r w:rsidRPr="00F44F3A">
        <w:lastRenderedPageBreak/>
        <w:t>Canberra</w:t>
      </w:r>
    </w:p>
    <w:p w14:paraId="5CA4361B"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22BC89A5" w14:textId="77777777" w:rsidR="0005011A" w:rsidRPr="00FC07B9" w:rsidRDefault="0005011A" w:rsidP="00FC07B9">
      <w:pPr>
        <w:pStyle w:val="ACMACorporateAddresses"/>
      </w:pPr>
      <w:r w:rsidRPr="00FC07B9">
        <w:t>PO Box 78</w:t>
      </w:r>
      <w:r w:rsidRPr="00FC07B9">
        <w:br/>
        <w:t>Belconnen ACT 2616</w:t>
      </w:r>
    </w:p>
    <w:p w14:paraId="35F93EA2"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35E48F77" w14:textId="77777777" w:rsidR="0005011A" w:rsidRPr="00F44F3A" w:rsidRDefault="0005011A" w:rsidP="00FC07B9">
      <w:pPr>
        <w:pStyle w:val="ACMACorporateAddressHeader"/>
      </w:pPr>
      <w:r w:rsidRPr="00F44F3A">
        <w:t>Melbourne</w:t>
      </w:r>
    </w:p>
    <w:p w14:paraId="1C608E11"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3F36E0BE"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3758A633"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5EECCFD0" w14:textId="77777777" w:rsidR="0005011A" w:rsidRPr="00F44F3A" w:rsidRDefault="0005011A" w:rsidP="00FC07B9">
      <w:pPr>
        <w:pStyle w:val="ACMACorporateAddressHeader"/>
      </w:pPr>
      <w:r w:rsidRPr="00F44F3A">
        <w:t>Sydney</w:t>
      </w:r>
    </w:p>
    <w:p w14:paraId="3DED3DDF"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516B6FA6"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21A712C4"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2187AC6A" w14:textId="77777777" w:rsidR="00140318" w:rsidRPr="006D46E5" w:rsidRDefault="00140318" w:rsidP="00FC07B9">
      <w:pPr>
        <w:pStyle w:val="ACMACopyrightHeader"/>
      </w:pPr>
      <w:r w:rsidRPr="00140318">
        <w:t>Copyright notice</w:t>
      </w:r>
    </w:p>
    <w:p w14:paraId="6CEE35B9" w14:textId="77777777" w:rsidR="00140318" w:rsidRPr="006D46E5" w:rsidRDefault="00623FF9" w:rsidP="00623FF9">
      <w:pPr>
        <w:pStyle w:val="ACMACClogo"/>
      </w:pPr>
      <w:r w:rsidRPr="00623FF9">
        <w:rPr>
          <w:noProof/>
        </w:rPr>
        <w:drawing>
          <wp:inline distT="0" distB="0" distL="0" distR="0" wp14:anchorId="4ADAD23D" wp14:editId="47C03E55">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14916D94" w14:textId="77777777" w:rsidR="00202E72" w:rsidRDefault="00BE4EC0" w:rsidP="00202E72">
      <w:pPr>
        <w:pStyle w:val="ACMACorporateAddresses"/>
        <w:rPr>
          <w:rStyle w:val="Hyperlink"/>
        </w:rPr>
      </w:pPr>
      <w:hyperlink r:id="rId13" w:history="1">
        <w:r w:rsidR="00202E72">
          <w:rPr>
            <w:rStyle w:val="Hyperlink"/>
          </w:rPr>
          <w:t>https://creativecommons.org/licenses/by/4.0//</w:t>
        </w:r>
      </w:hyperlink>
    </w:p>
    <w:p w14:paraId="2A258D6D" w14:textId="77777777" w:rsidR="00202E72" w:rsidRDefault="00202E72" w:rsidP="00202E72">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7DAF4D16" w14:textId="77777777" w:rsidR="00202E72" w:rsidRDefault="00202E72" w:rsidP="00202E72">
      <w:pPr>
        <w:pStyle w:val="ACMACorporateAddresses"/>
      </w:pPr>
      <w:r>
        <w:t>We request attribution as © Commonwealth of Australia (Australian Communications and Media Authority) 2018.</w:t>
      </w:r>
    </w:p>
    <w:p w14:paraId="7D65167B" w14:textId="77777777" w:rsidR="00140318" w:rsidRPr="006D46E5" w:rsidRDefault="00140318" w:rsidP="00FC07B9">
      <w:pPr>
        <w:pStyle w:val="ACMACorporateAddresses"/>
      </w:pPr>
      <w:r>
        <w:t>All other rights are reserved.</w:t>
      </w:r>
    </w:p>
    <w:p w14:paraId="2A1C659F" w14:textId="77777777" w:rsidR="00140318" w:rsidRPr="006D46E5" w:rsidRDefault="00140318" w:rsidP="00FC07B9">
      <w:pPr>
        <w:pStyle w:val="ACMACorporateAddresses"/>
      </w:pPr>
      <w:r w:rsidRPr="006D46E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1E733ED5" w14:textId="77777777" w:rsidR="00140318" w:rsidRPr="006D46E5" w:rsidRDefault="00140318" w:rsidP="00FC07B9">
      <w:pPr>
        <w:pStyle w:val="ACMACorporateAddresses"/>
      </w:pPr>
      <w:r w:rsidRPr="006D46E5">
        <w:t>Written enquiries may be sent to:</w:t>
      </w:r>
    </w:p>
    <w:p w14:paraId="463E4274" w14:textId="77777777" w:rsidR="00D16FE3" w:rsidRDefault="00140318" w:rsidP="00D16FE3">
      <w:pPr>
        <w:pStyle w:val="ACMACorporateAddresses"/>
        <w:rPr>
          <w:rStyle w:val="Hyperlink"/>
        </w:rPr>
      </w:pPr>
      <w:r w:rsidRPr="006D46E5">
        <w:t>Manager, Editorial and Design</w:t>
      </w:r>
      <w:r w:rsidR="00623FF9">
        <w:br/>
      </w:r>
      <w:r w:rsidRPr="006D46E5">
        <w:t>PO Box 13112</w:t>
      </w:r>
      <w:r w:rsidR="00623FF9">
        <w:br/>
      </w:r>
      <w:r w:rsidRPr="006D46E5">
        <w:t>Law Courts</w:t>
      </w:r>
      <w:r w:rsidR="00623FF9">
        <w:br/>
      </w:r>
      <w:r w:rsidRPr="006D46E5">
        <w:t>Melbourne VIC 8010</w:t>
      </w:r>
      <w:r w:rsidR="00623FF9">
        <w:br/>
      </w:r>
      <w:r w:rsidRPr="006D46E5">
        <w:t xml:space="preserve">Email: </w:t>
      </w:r>
      <w:hyperlink r:id="rId14" w:history="1">
        <w:r w:rsidR="000A1400" w:rsidRPr="00826BEB">
          <w:rPr>
            <w:rStyle w:val="Hyperlink"/>
          </w:rPr>
          <w:t>info@acma.gov.au</w:t>
        </w:r>
      </w:hyperlink>
    </w:p>
    <w:p w14:paraId="5D882425" w14:textId="77777777" w:rsidR="00D16FE3" w:rsidRDefault="00D16FE3" w:rsidP="00D16FE3">
      <w:pPr>
        <w:pStyle w:val="ACMACorporateAddresses"/>
        <w:rPr>
          <w:rStyle w:val="Hyperlink"/>
        </w:rPr>
      </w:pPr>
    </w:p>
    <w:p w14:paraId="4ADF8EA2"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138ED21D" w14:textId="77777777" w:rsidR="009A6CB1" w:rsidRDefault="009A6CB1">
      <w:pPr>
        <w:pStyle w:val="TOC1"/>
        <w:tabs>
          <w:tab w:val="left" w:pos="885"/>
        </w:tabs>
        <w:rPr>
          <w:rFonts w:asciiTheme="minorHAnsi" w:eastAsiaTheme="minorEastAsia" w:hAnsiTheme="minorHAnsi" w:cstheme="minorBidi"/>
          <w:b w:val="0"/>
          <w:spacing w:val="0"/>
          <w:sz w:val="22"/>
          <w:szCs w:val="22"/>
        </w:rPr>
      </w:pPr>
      <w:r>
        <w:rPr>
          <w:rFonts w:cs="Arial"/>
        </w:rPr>
        <w:lastRenderedPageBreak/>
        <w:fldChar w:fldCharType="begin"/>
      </w:r>
      <w:r>
        <w:rPr>
          <w:rFonts w:cs="Arial"/>
        </w:rPr>
        <w:instrText xml:space="preserve"> TOC \o "1-2" \t "ACMA_ExecSummaryHeading,1,ACMA Heading 2,3" </w:instrText>
      </w:r>
      <w:r>
        <w:rPr>
          <w:rFonts w:cs="Arial"/>
        </w:rPr>
        <w:fldChar w:fldCharType="separate"/>
      </w:r>
      <w:r>
        <w:t>1.</w:t>
      </w:r>
      <w:r>
        <w:rPr>
          <w:rFonts w:asciiTheme="minorHAnsi" w:eastAsiaTheme="minorEastAsia" w:hAnsiTheme="minorHAnsi" w:cstheme="minorBidi"/>
          <w:b w:val="0"/>
          <w:spacing w:val="0"/>
          <w:sz w:val="22"/>
          <w:szCs w:val="22"/>
        </w:rPr>
        <w:tab/>
      </w:r>
      <w:r>
        <w:t>Introduction</w:t>
      </w:r>
      <w:r>
        <w:tab/>
      </w:r>
      <w:r>
        <w:fldChar w:fldCharType="begin"/>
      </w:r>
      <w:r>
        <w:instrText xml:space="preserve"> PAGEREF _Toc518999092 \h </w:instrText>
      </w:r>
      <w:r>
        <w:fldChar w:fldCharType="separate"/>
      </w:r>
      <w:r>
        <w:t>1</w:t>
      </w:r>
      <w:r>
        <w:fldChar w:fldCharType="end"/>
      </w:r>
    </w:p>
    <w:p w14:paraId="691F5556" w14:textId="77777777" w:rsidR="009A6CB1" w:rsidRDefault="009A6CB1">
      <w:pPr>
        <w:pStyle w:val="TOC2"/>
        <w:rPr>
          <w:rFonts w:asciiTheme="minorHAnsi" w:eastAsiaTheme="minorEastAsia" w:hAnsiTheme="minorHAnsi" w:cstheme="minorBidi"/>
          <w:spacing w:val="0"/>
          <w:sz w:val="22"/>
          <w:szCs w:val="22"/>
        </w:rPr>
      </w:pPr>
      <w:r>
        <w:t>1.1</w:t>
      </w:r>
      <w:r>
        <w:rPr>
          <w:rFonts w:asciiTheme="minorHAnsi" w:eastAsiaTheme="minorEastAsia" w:hAnsiTheme="minorHAnsi" w:cstheme="minorBidi"/>
          <w:spacing w:val="0"/>
          <w:sz w:val="22"/>
          <w:szCs w:val="22"/>
        </w:rPr>
        <w:tab/>
      </w:r>
      <w:r>
        <w:t>Purpose of the Cost Recovery Implementation Statement</w:t>
      </w:r>
      <w:r>
        <w:tab/>
      </w:r>
      <w:r>
        <w:fldChar w:fldCharType="begin"/>
      </w:r>
      <w:r>
        <w:instrText xml:space="preserve"> PAGEREF _Toc518999093 \h </w:instrText>
      </w:r>
      <w:r>
        <w:fldChar w:fldCharType="separate"/>
      </w:r>
      <w:r>
        <w:t>1</w:t>
      </w:r>
      <w:r>
        <w:fldChar w:fldCharType="end"/>
      </w:r>
    </w:p>
    <w:p w14:paraId="7219A3EC" w14:textId="77777777" w:rsidR="009A6CB1" w:rsidRDefault="009A6CB1">
      <w:pPr>
        <w:pStyle w:val="TOC2"/>
        <w:rPr>
          <w:rFonts w:asciiTheme="minorHAnsi" w:eastAsiaTheme="minorEastAsia" w:hAnsiTheme="minorHAnsi" w:cstheme="minorBidi"/>
          <w:spacing w:val="0"/>
          <w:sz w:val="22"/>
          <w:szCs w:val="22"/>
        </w:rPr>
      </w:pPr>
      <w:r>
        <w:t>1.2</w:t>
      </w:r>
      <w:r>
        <w:rPr>
          <w:rFonts w:asciiTheme="minorHAnsi" w:eastAsiaTheme="minorEastAsia" w:hAnsiTheme="minorHAnsi" w:cstheme="minorBidi"/>
          <w:spacing w:val="0"/>
          <w:sz w:val="22"/>
          <w:szCs w:val="22"/>
        </w:rPr>
        <w:tab/>
      </w:r>
      <w:r>
        <w:t>Background and description of activity</w:t>
      </w:r>
      <w:r>
        <w:tab/>
      </w:r>
      <w:r>
        <w:fldChar w:fldCharType="begin"/>
      </w:r>
      <w:r>
        <w:instrText xml:space="preserve"> PAGEREF _Toc518999094 \h </w:instrText>
      </w:r>
      <w:r>
        <w:fldChar w:fldCharType="separate"/>
      </w:r>
      <w:r>
        <w:t>1</w:t>
      </w:r>
      <w:r>
        <w:fldChar w:fldCharType="end"/>
      </w:r>
    </w:p>
    <w:p w14:paraId="5CB29336" w14:textId="77777777" w:rsidR="009A6CB1" w:rsidRDefault="009A6CB1">
      <w:pPr>
        <w:pStyle w:val="TOC2"/>
        <w:rPr>
          <w:rFonts w:asciiTheme="minorHAnsi" w:eastAsiaTheme="minorEastAsia" w:hAnsiTheme="minorHAnsi" w:cstheme="minorBidi"/>
          <w:spacing w:val="0"/>
          <w:sz w:val="22"/>
          <w:szCs w:val="22"/>
        </w:rPr>
      </w:pPr>
      <w:r>
        <w:t>1.3</w:t>
      </w:r>
      <w:r>
        <w:rPr>
          <w:rFonts w:asciiTheme="minorHAnsi" w:eastAsiaTheme="minorEastAsia" w:hAnsiTheme="minorHAnsi" w:cstheme="minorBidi"/>
          <w:spacing w:val="0"/>
          <w:sz w:val="22"/>
          <w:szCs w:val="22"/>
        </w:rPr>
        <w:tab/>
      </w:r>
      <w:r>
        <w:t>Stakeholders</w:t>
      </w:r>
      <w:r>
        <w:tab/>
      </w:r>
      <w:r>
        <w:fldChar w:fldCharType="begin"/>
      </w:r>
      <w:r>
        <w:instrText xml:space="preserve"> PAGEREF _Toc518999095 \h </w:instrText>
      </w:r>
      <w:r>
        <w:fldChar w:fldCharType="separate"/>
      </w:r>
      <w:r>
        <w:t>2</w:t>
      </w:r>
      <w:r>
        <w:fldChar w:fldCharType="end"/>
      </w:r>
    </w:p>
    <w:p w14:paraId="49C66FD5" w14:textId="77777777" w:rsidR="009A6CB1" w:rsidRDefault="009A6CB1">
      <w:pPr>
        <w:pStyle w:val="TOC1"/>
        <w:tabs>
          <w:tab w:val="left" w:pos="885"/>
        </w:tabs>
        <w:rPr>
          <w:rFonts w:asciiTheme="minorHAnsi" w:eastAsiaTheme="minorEastAsia" w:hAnsiTheme="minorHAnsi" w:cstheme="minorBidi"/>
          <w:b w:val="0"/>
          <w:spacing w:val="0"/>
          <w:sz w:val="22"/>
          <w:szCs w:val="22"/>
        </w:rPr>
      </w:pPr>
      <w:r>
        <w:t>2.</w:t>
      </w:r>
      <w:r>
        <w:rPr>
          <w:rFonts w:asciiTheme="minorHAnsi" w:eastAsiaTheme="minorEastAsia" w:hAnsiTheme="minorHAnsi" w:cstheme="minorBidi"/>
          <w:b w:val="0"/>
          <w:spacing w:val="0"/>
          <w:sz w:val="22"/>
          <w:szCs w:val="22"/>
        </w:rPr>
        <w:tab/>
      </w:r>
      <w:r>
        <w:t>Policy and statutory authority to recover costs</w:t>
      </w:r>
      <w:r>
        <w:tab/>
      </w:r>
      <w:r>
        <w:fldChar w:fldCharType="begin"/>
      </w:r>
      <w:r>
        <w:instrText xml:space="preserve"> PAGEREF _Toc518999096 \h </w:instrText>
      </w:r>
      <w:r>
        <w:fldChar w:fldCharType="separate"/>
      </w:r>
      <w:r>
        <w:t>3</w:t>
      </w:r>
      <w:r>
        <w:fldChar w:fldCharType="end"/>
      </w:r>
    </w:p>
    <w:p w14:paraId="5CBD29D3" w14:textId="77777777" w:rsidR="009A6CB1" w:rsidRDefault="009A6CB1">
      <w:pPr>
        <w:pStyle w:val="TOC2"/>
        <w:rPr>
          <w:rFonts w:asciiTheme="minorHAnsi" w:eastAsiaTheme="minorEastAsia" w:hAnsiTheme="minorHAnsi" w:cstheme="minorBidi"/>
          <w:spacing w:val="0"/>
          <w:sz w:val="22"/>
          <w:szCs w:val="22"/>
        </w:rPr>
      </w:pPr>
      <w:r>
        <w:t>2.1</w:t>
      </w:r>
      <w:r>
        <w:rPr>
          <w:rFonts w:asciiTheme="minorHAnsi" w:eastAsiaTheme="minorEastAsia" w:hAnsiTheme="minorHAnsi" w:cstheme="minorBidi"/>
          <w:spacing w:val="0"/>
          <w:sz w:val="22"/>
          <w:szCs w:val="22"/>
        </w:rPr>
        <w:tab/>
      </w:r>
      <w:r>
        <w:t>Government policy approval to cost recover</w:t>
      </w:r>
      <w:r>
        <w:tab/>
      </w:r>
      <w:r>
        <w:fldChar w:fldCharType="begin"/>
      </w:r>
      <w:r>
        <w:instrText xml:space="preserve"> PAGEREF _Toc518999097 \h </w:instrText>
      </w:r>
      <w:r>
        <w:fldChar w:fldCharType="separate"/>
      </w:r>
      <w:r>
        <w:t>3</w:t>
      </w:r>
      <w:r>
        <w:fldChar w:fldCharType="end"/>
      </w:r>
    </w:p>
    <w:p w14:paraId="5FFA6F9F" w14:textId="77777777" w:rsidR="009A6CB1" w:rsidRDefault="009A6CB1">
      <w:pPr>
        <w:pStyle w:val="TOC2"/>
        <w:rPr>
          <w:rFonts w:asciiTheme="minorHAnsi" w:eastAsiaTheme="minorEastAsia" w:hAnsiTheme="minorHAnsi" w:cstheme="minorBidi"/>
          <w:spacing w:val="0"/>
          <w:sz w:val="22"/>
          <w:szCs w:val="22"/>
        </w:rPr>
      </w:pPr>
      <w:r>
        <w:t>2.2</w:t>
      </w:r>
      <w:r>
        <w:rPr>
          <w:rFonts w:asciiTheme="minorHAnsi" w:eastAsiaTheme="minorEastAsia" w:hAnsiTheme="minorHAnsi" w:cstheme="minorBidi"/>
          <w:spacing w:val="0"/>
          <w:sz w:val="22"/>
          <w:szCs w:val="22"/>
        </w:rPr>
        <w:tab/>
      </w:r>
      <w:r>
        <w:t>Statutory authority to impose cost recovery charges</w:t>
      </w:r>
      <w:r>
        <w:tab/>
      </w:r>
      <w:r>
        <w:fldChar w:fldCharType="begin"/>
      </w:r>
      <w:r>
        <w:instrText xml:space="preserve"> PAGEREF _Toc518999098 \h </w:instrText>
      </w:r>
      <w:r>
        <w:fldChar w:fldCharType="separate"/>
      </w:r>
      <w:r>
        <w:t>3</w:t>
      </w:r>
      <w:r>
        <w:fldChar w:fldCharType="end"/>
      </w:r>
    </w:p>
    <w:p w14:paraId="25991D26" w14:textId="77777777" w:rsidR="009A6CB1" w:rsidRDefault="009A6CB1">
      <w:pPr>
        <w:pStyle w:val="TOC1"/>
        <w:tabs>
          <w:tab w:val="left" w:pos="885"/>
        </w:tabs>
        <w:rPr>
          <w:rFonts w:asciiTheme="minorHAnsi" w:eastAsiaTheme="minorEastAsia" w:hAnsiTheme="minorHAnsi" w:cstheme="minorBidi"/>
          <w:b w:val="0"/>
          <w:spacing w:val="0"/>
          <w:sz w:val="22"/>
          <w:szCs w:val="22"/>
        </w:rPr>
      </w:pPr>
      <w:r>
        <w:t>3.</w:t>
      </w:r>
      <w:r>
        <w:rPr>
          <w:rFonts w:asciiTheme="minorHAnsi" w:eastAsiaTheme="minorEastAsia" w:hAnsiTheme="minorHAnsi" w:cstheme="minorBidi"/>
          <w:b w:val="0"/>
          <w:spacing w:val="0"/>
          <w:sz w:val="22"/>
          <w:szCs w:val="22"/>
        </w:rPr>
        <w:tab/>
      </w:r>
      <w:r>
        <w:t>Cost recovery model</w:t>
      </w:r>
      <w:r>
        <w:tab/>
      </w:r>
      <w:r>
        <w:fldChar w:fldCharType="begin"/>
      </w:r>
      <w:r>
        <w:instrText xml:space="preserve"> PAGEREF _Toc518999099 \h </w:instrText>
      </w:r>
      <w:r>
        <w:fldChar w:fldCharType="separate"/>
      </w:r>
      <w:r>
        <w:t>4</w:t>
      </w:r>
      <w:r>
        <w:fldChar w:fldCharType="end"/>
      </w:r>
    </w:p>
    <w:p w14:paraId="7E001457" w14:textId="77777777" w:rsidR="009A6CB1" w:rsidRDefault="009A6CB1">
      <w:pPr>
        <w:pStyle w:val="TOC2"/>
        <w:rPr>
          <w:rFonts w:asciiTheme="minorHAnsi" w:eastAsiaTheme="minorEastAsia" w:hAnsiTheme="minorHAnsi" w:cstheme="minorBidi"/>
          <w:spacing w:val="0"/>
          <w:sz w:val="22"/>
          <w:szCs w:val="22"/>
        </w:rPr>
      </w:pPr>
      <w:r>
        <w:t>3.1</w:t>
      </w:r>
      <w:r>
        <w:rPr>
          <w:rFonts w:asciiTheme="minorHAnsi" w:eastAsiaTheme="minorEastAsia" w:hAnsiTheme="minorHAnsi" w:cstheme="minorBidi"/>
          <w:spacing w:val="0"/>
          <w:sz w:val="22"/>
          <w:szCs w:val="22"/>
        </w:rPr>
        <w:tab/>
      </w:r>
      <w:r>
        <w:t>Outputs and business processes of the activity</w:t>
      </w:r>
      <w:r>
        <w:tab/>
      </w:r>
      <w:r>
        <w:fldChar w:fldCharType="begin"/>
      </w:r>
      <w:r>
        <w:instrText xml:space="preserve"> PAGEREF _Toc518999100 \h </w:instrText>
      </w:r>
      <w:r>
        <w:fldChar w:fldCharType="separate"/>
      </w:r>
      <w:r>
        <w:t>4</w:t>
      </w:r>
      <w:r>
        <w:fldChar w:fldCharType="end"/>
      </w:r>
    </w:p>
    <w:p w14:paraId="64195021" w14:textId="77777777" w:rsidR="009A6CB1" w:rsidRDefault="009A6CB1">
      <w:pPr>
        <w:pStyle w:val="TOC2"/>
        <w:rPr>
          <w:rFonts w:asciiTheme="minorHAnsi" w:eastAsiaTheme="minorEastAsia" w:hAnsiTheme="minorHAnsi" w:cstheme="minorBidi"/>
          <w:spacing w:val="0"/>
          <w:sz w:val="22"/>
          <w:szCs w:val="22"/>
        </w:rPr>
      </w:pPr>
      <w:r>
        <w:t>3.2</w:t>
      </w:r>
      <w:r>
        <w:rPr>
          <w:rFonts w:asciiTheme="minorHAnsi" w:eastAsiaTheme="minorEastAsia" w:hAnsiTheme="minorHAnsi" w:cstheme="minorBidi"/>
          <w:spacing w:val="0"/>
          <w:sz w:val="22"/>
          <w:szCs w:val="22"/>
        </w:rPr>
        <w:tab/>
      </w:r>
      <w:r>
        <w:t>Methodology</w:t>
      </w:r>
      <w:r>
        <w:tab/>
      </w:r>
      <w:r>
        <w:fldChar w:fldCharType="begin"/>
      </w:r>
      <w:r>
        <w:instrText xml:space="preserve"> PAGEREF _Toc518999101 \h </w:instrText>
      </w:r>
      <w:r>
        <w:fldChar w:fldCharType="separate"/>
      </w:r>
      <w:r>
        <w:t>4</w:t>
      </w:r>
      <w:r>
        <w:fldChar w:fldCharType="end"/>
      </w:r>
    </w:p>
    <w:p w14:paraId="3A23EC03" w14:textId="77777777" w:rsidR="009A6CB1" w:rsidRDefault="009A6CB1">
      <w:pPr>
        <w:pStyle w:val="TOC2"/>
        <w:rPr>
          <w:rFonts w:asciiTheme="minorHAnsi" w:eastAsiaTheme="minorEastAsia" w:hAnsiTheme="minorHAnsi" w:cstheme="minorBidi"/>
          <w:spacing w:val="0"/>
          <w:sz w:val="22"/>
          <w:szCs w:val="22"/>
        </w:rPr>
      </w:pPr>
      <w:r>
        <w:t>3.3</w:t>
      </w:r>
      <w:r>
        <w:rPr>
          <w:rFonts w:asciiTheme="minorHAnsi" w:eastAsiaTheme="minorEastAsia" w:hAnsiTheme="minorHAnsi" w:cstheme="minorBidi"/>
          <w:spacing w:val="0"/>
          <w:sz w:val="22"/>
          <w:szCs w:val="22"/>
        </w:rPr>
        <w:tab/>
      </w:r>
      <w:r>
        <w:t>Costs of the activity</w:t>
      </w:r>
      <w:r>
        <w:tab/>
      </w:r>
      <w:r>
        <w:fldChar w:fldCharType="begin"/>
      </w:r>
      <w:r>
        <w:instrText xml:space="preserve"> PAGEREF _Toc518999102 \h </w:instrText>
      </w:r>
      <w:r>
        <w:fldChar w:fldCharType="separate"/>
      </w:r>
      <w:r>
        <w:t>4</w:t>
      </w:r>
      <w:r>
        <w:fldChar w:fldCharType="end"/>
      </w:r>
    </w:p>
    <w:p w14:paraId="0F2209C2" w14:textId="77777777" w:rsidR="009A6CB1" w:rsidRDefault="009A6CB1">
      <w:pPr>
        <w:pStyle w:val="TOC2"/>
        <w:rPr>
          <w:rFonts w:asciiTheme="minorHAnsi" w:eastAsiaTheme="minorEastAsia" w:hAnsiTheme="minorHAnsi" w:cstheme="minorBidi"/>
          <w:spacing w:val="0"/>
          <w:sz w:val="22"/>
          <w:szCs w:val="22"/>
        </w:rPr>
      </w:pPr>
      <w:r>
        <w:t>3.4</w:t>
      </w:r>
      <w:r>
        <w:rPr>
          <w:rFonts w:asciiTheme="minorHAnsi" w:eastAsiaTheme="minorEastAsia" w:hAnsiTheme="minorHAnsi" w:cstheme="minorBidi"/>
          <w:spacing w:val="0"/>
          <w:sz w:val="22"/>
          <w:szCs w:val="22"/>
        </w:rPr>
        <w:tab/>
      </w:r>
      <w:r>
        <w:t>Structure of the charges</w:t>
      </w:r>
      <w:r>
        <w:tab/>
      </w:r>
      <w:r>
        <w:fldChar w:fldCharType="begin"/>
      </w:r>
      <w:r>
        <w:instrText xml:space="preserve"> PAGEREF _Toc518999103 \h </w:instrText>
      </w:r>
      <w:r>
        <w:fldChar w:fldCharType="separate"/>
      </w:r>
      <w:r>
        <w:t>6</w:t>
      </w:r>
      <w:r>
        <w:fldChar w:fldCharType="end"/>
      </w:r>
    </w:p>
    <w:p w14:paraId="27DD02B6" w14:textId="77777777" w:rsidR="009A6CB1" w:rsidRDefault="009A6CB1">
      <w:pPr>
        <w:pStyle w:val="TOC1"/>
        <w:tabs>
          <w:tab w:val="left" w:pos="885"/>
        </w:tabs>
        <w:rPr>
          <w:rFonts w:asciiTheme="minorHAnsi" w:eastAsiaTheme="minorEastAsia" w:hAnsiTheme="minorHAnsi" w:cstheme="minorBidi"/>
          <w:b w:val="0"/>
          <w:spacing w:val="0"/>
          <w:sz w:val="22"/>
          <w:szCs w:val="22"/>
        </w:rPr>
      </w:pPr>
      <w:r>
        <w:t>4.</w:t>
      </w:r>
      <w:r>
        <w:rPr>
          <w:rFonts w:asciiTheme="minorHAnsi" w:eastAsiaTheme="minorEastAsia" w:hAnsiTheme="minorHAnsi" w:cstheme="minorBidi"/>
          <w:b w:val="0"/>
          <w:spacing w:val="0"/>
          <w:sz w:val="22"/>
          <w:szCs w:val="22"/>
        </w:rPr>
        <w:tab/>
      </w:r>
      <w:r>
        <w:t>Risk assessment</w:t>
      </w:r>
      <w:r>
        <w:tab/>
      </w:r>
      <w:r>
        <w:fldChar w:fldCharType="begin"/>
      </w:r>
      <w:r>
        <w:instrText xml:space="preserve"> PAGEREF _Toc518999104 \h </w:instrText>
      </w:r>
      <w:r>
        <w:fldChar w:fldCharType="separate"/>
      </w:r>
      <w:r>
        <w:t>11</w:t>
      </w:r>
      <w:r>
        <w:fldChar w:fldCharType="end"/>
      </w:r>
    </w:p>
    <w:p w14:paraId="64BDD289" w14:textId="77777777" w:rsidR="009A6CB1" w:rsidRDefault="009A6CB1">
      <w:pPr>
        <w:pStyle w:val="TOC1"/>
        <w:tabs>
          <w:tab w:val="left" w:pos="885"/>
        </w:tabs>
        <w:rPr>
          <w:rFonts w:asciiTheme="minorHAnsi" w:eastAsiaTheme="minorEastAsia" w:hAnsiTheme="minorHAnsi" w:cstheme="minorBidi"/>
          <w:b w:val="0"/>
          <w:spacing w:val="0"/>
          <w:sz w:val="22"/>
          <w:szCs w:val="22"/>
        </w:rPr>
      </w:pPr>
      <w:r>
        <w:t>5.</w:t>
      </w:r>
      <w:r>
        <w:rPr>
          <w:rFonts w:asciiTheme="minorHAnsi" w:eastAsiaTheme="minorEastAsia" w:hAnsiTheme="minorHAnsi" w:cstheme="minorBidi"/>
          <w:b w:val="0"/>
          <w:spacing w:val="0"/>
          <w:sz w:val="22"/>
          <w:szCs w:val="22"/>
        </w:rPr>
        <w:tab/>
      </w:r>
      <w:r>
        <w:t>Stakeholder engagement</w:t>
      </w:r>
      <w:r>
        <w:tab/>
      </w:r>
      <w:r>
        <w:fldChar w:fldCharType="begin"/>
      </w:r>
      <w:r>
        <w:instrText xml:space="preserve"> PAGEREF _Toc518999105 \h </w:instrText>
      </w:r>
      <w:r>
        <w:fldChar w:fldCharType="separate"/>
      </w:r>
      <w:r>
        <w:t>12</w:t>
      </w:r>
      <w:r>
        <w:fldChar w:fldCharType="end"/>
      </w:r>
    </w:p>
    <w:p w14:paraId="6142CA7A" w14:textId="77777777" w:rsidR="009A6CB1" w:rsidRDefault="009A6CB1">
      <w:pPr>
        <w:pStyle w:val="TOC1"/>
        <w:tabs>
          <w:tab w:val="left" w:pos="885"/>
        </w:tabs>
        <w:rPr>
          <w:rFonts w:asciiTheme="minorHAnsi" w:eastAsiaTheme="minorEastAsia" w:hAnsiTheme="minorHAnsi" w:cstheme="minorBidi"/>
          <w:b w:val="0"/>
          <w:spacing w:val="0"/>
          <w:sz w:val="22"/>
          <w:szCs w:val="22"/>
        </w:rPr>
      </w:pPr>
      <w:r>
        <w:t>6.</w:t>
      </w:r>
      <w:r>
        <w:rPr>
          <w:rFonts w:asciiTheme="minorHAnsi" w:eastAsiaTheme="minorEastAsia" w:hAnsiTheme="minorHAnsi" w:cstheme="minorBidi"/>
          <w:b w:val="0"/>
          <w:spacing w:val="0"/>
          <w:sz w:val="22"/>
          <w:szCs w:val="22"/>
        </w:rPr>
        <w:tab/>
      </w:r>
      <w:r>
        <w:t>Financial estimates</w:t>
      </w:r>
      <w:r>
        <w:tab/>
      </w:r>
      <w:r>
        <w:fldChar w:fldCharType="begin"/>
      </w:r>
      <w:r>
        <w:instrText xml:space="preserve"> PAGEREF _Toc518999106 \h </w:instrText>
      </w:r>
      <w:r>
        <w:fldChar w:fldCharType="separate"/>
      </w:r>
      <w:r>
        <w:t>13</w:t>
      </w:r>
      <w:r>
        <w:fldChar w:fldCharType="end"/>
      </w:r>
    </w:p>
    <w:p w14:paraId="5A5E9C0F" w14:textId="77777777" w:rsidR="009A6CB1" w:rsidRDefault="009A6CB1">
      <w:pPr>
        <w:pStyle w:val="TOC1"/>
        <w:tabs>
          <w:tab w:val="left" w:pos="885"/>
        </w:tabs>
        <w:rPr>
          <w:rFonts w:asciiTheme="minorHAnsi" w:eastAsiaTheme="minorEastAsia" w:hAnsiTheme="minorHAnsi" w:cstheme="minorBidi"/>
          <w:b w:val="0"/>
          <w:spacing w:val="0"/>
          <w:sz w:val="22"/>
          <w:szCs w:val="22"/>
        </w:rPr>
      </w:pPr>
      <w:r>
        <w:t>7A.</w:t>
      </w:r>
      <w:r>
        <w:rPr>
          <w:rFonts w:asciiTheme="minorHAnsi" w:eastAsiaTheme="minorEastAsia" w:hAnsiTheme="minorHAnsi" w:cstheme="minorBidi"/>
          <w:b w:val="0"/>
          <w:spacing w:val="0"/>
          <w:sz w:val="22"/>
          <w:szCs w:val="22"/>
        </w:rPr>
        <w:tab/>
      </w:r>
      <w:r>
        <w:t>Financial performance</w:t>
      </w:r>
      <w:r>
        <w:tab/>
      </w:r>
      <w:r>
        <w:fldChar w:fldCharType="begin"/>
      </w:r>
      <w:r>
        <w:instrText xml:space="preserve"> PAGEREF _Toc518999107 \h </w:instrText>
      </w:r>
      <w:r>
        <w:fldChar w:fldCharType="separate"/>
      </w:r>
      <w:r>
        <w:t>14</w:t>
      </w:r>
      <w:r>
        <w:fldChar w:fldCharType="end"/>
      </w:r>
    </w:p>
    <w:p w14:paraId="7A95E14F" w14:textId="77777777" w:rsidR="009A6CB1" w:rsidRDefault="009A6CB1">
      <w:pPr>
        <w:pStyle w:val="TOC1"/>
        <w:tabs>
          <w:tab w:val="left" w:pos="885"/>
        </w:tabs>
        <w:rPr>
          <w:rFonts w:asciiTheme="minorHAnsi" w:eastAsiaTheme="minorEastAsia" w:hAnsiTheme="minorHAnsi" w:cstheme="minorBidi"/>
          <w:b w:val="0"/>
          <w:spacing w:val="0"/>
          <w:sz w:val="22"/>
          <w:szCs w:val="22"/>
        </w:rPr>
      </w:pPr>
      <w:r>
        <w:t>7B.</w:t>
      </w:r>
      <w:r>
        <w:rPr>
          <w:rFonts w:asciiTheme="minorHAnsi" w:eastAsiaTheme="minorEastAsia" w:hAnsiTheme="minorHAnsi" w:cstheme="minorBidi"/>
          <w:b w:val="0"/>
          <w:spacing w:val="0"/>
          <w:sz w:val="22"/>
          <w:szCs w:val="22"/>
        </w:rPr>
        <w:tab/>
      </w:r>
      <w:r>
        <w:t>Non-financial performance</w:t>
      </w:r>
      <w:r>
        <w:tab/>
      </w:r>
      <w:r>
        <w:fldChar w:fldCharType="begin"/>
      </w:r>
      <w:r>
        <w:instrText xml:space="preserve"> PAGEREF _Toc518999108 \h </w:instrText>
      </w:r>
      <w:r>
        <w:fldChar w:fldCharType="separate"/>
      </w:r>
      <w:r>
        <w:t>15</w:t>
      </w:r>
      <w:r>
        <w:fldChar w:fldCharType="end"/>
      </w:r>
    </w:p>
    <w:p w14:paraId="62F1892F" w14:textId="77777777" w:rsidR="009A6CB1" w:rsidRDefault="009A6CB1">
      <w:pPr>
        <w:pStyle w:val="TOC1"/>
        <w:tabs>
          <w:tab w:val="left" w:pos="885"/>
        </w:tabs>
        <w:rPr>
          <w:rFonts w:asciiTheme="minorHAnsi" w:eastAsiaTheme="minorEastAsia" w:hAnsiTheme="minorHAnsi" w:cstheme="minorBidi"/>
          <w:b w:val="0"/>
          <w:spacing w:val="0"/>
          <w:sz w:val="22"/>
          <w:szCs w:val="22"/>
        </w:rPr>
      </w:pPr>
      <w:r>
        <w:t>8.</w:t>
      </w:r>
      <w:r>
        <w:rPr>
          <w:rFonts w:asciiTheme="minorHAnsi" w:eastAsiaTheme="minorEastAsia" w:hAnsiTheme="minorHAnsi" w:cstheme="minorBidi"/>
          <w:b w:val="0"/>
          <w:spacing w:val="0"/>
          <w:sz w:val="22"/>
          <w:szCs w:val="22"/>
        </w:rPr>
        <w:tab/>
      </w:r>
      <w:r>
        <w:t>Key forward dates and events</w:t>
      </w:r>
      <w:r>
        <w:tab/>
      </w:r>
      <w:r>
        <w:fldChar w:fldCharType="begin"/>
      </w:r>
      <w:r>
        <w:instrText xml:space="preserve"> PAGEREF _Toc518999109 \h </w:instrText>
      </w:r>
      <w:r>
        <w:fldChar w:fldCharType="separate"/>
      </w:r>
      <w:r>
        <w:t>16</w:t>
      </w:r>
      <w:r>
        <w:fldChar w:fldCharType="end"/>
      </w:r>
    </w:p>
    <w:p w14:paraId="6728C915" w14:textId="77777777" w:rsidR="009A6CB1" w:rsidRDefault="009A6CB1">
      <w:pPr>
        <w:pStyle w:val="TOC1"/>
        <w:tabs>
          <w:tab w:val="left" w:pos="885"/>
        </w:tabs>
        <w:rPr>
          <w:rFonts w:asciiTheme="minorHAnsi" w:eastAsiaTheme="minorEastAsia" w:hAnsiTheme="minorHAnsi" w:cstheme="minorBidi"/>
          <w:b w:val="0"/>
          <w:spacing w:val="0"/>
          <w:sz w:val="22"/>
          <w:szCs w:val="22"/>
        </w:rPr>
      </w:pPr>
      <w:r>
        <w:t xml:space="preserve">9. </w:t>
      </w:r>
      <w:r>
        <w:rPr>
          <w:rFonts w:asciiTheme="minorHAnsi" w:eastAsiaTheme="minorEastAsia" w:hAnsiTheme="minorHAnsi" w:cstheme="minorBidi"/>
          <w:b w:val="0"/>
          <w:spacing w:val="0"/>
          <w:sz w:val="22"/>
          <w:szCs w:val="22"/>
        </w:rPr>
        <w:tab/>
      </w:r>
      <w:r>
        <w:t>CRIS approval and change register</w:t>
      </w:r>
      <w:r>
        <w:tab/>
      </w:r>
      <w:r>
        <w:fldChar w:fldCharType="begin"/>
      </w:r>
      <w:r>
        <w:instrText xml:space="preserve"> PAGEREF _Toc518999110 \h </w:instrText>
      </w:r>
      <w:r>
        <w:fldChar w:fldCharType="separate"/>
      </w:r>
      <w:r>
        <w:t>17</w:t>
      </w:r>
      <w:r>
        <w:fldChar w:fldCharType="end"/>
      </w:r>
    </w:p>
    <w:p w14:paraId="0F9D3C5E" w14:textId="7513E521" w:rsidR="000A4A51" w:rsidRPr="000D76E0" w:rsidRDefault="009A6CB1">
      <w:pPr>
        <w:rPr>
          <w:rFonts w:cs="Arial"/>
        </w:rPr>
      </w:pPr>
      <w:r>
        <w:rPr>
          <w:rFonts w:cs="Arial"/>
          <w:noProof/>
          <w:spacing w:val="-14"/>
          <w:sz w:val="28"/>
        </w:rPr>
        <w:fldChar w:fldCharType="end"/>
      </w:r>
    </w:p>
    <w:p w14:paraId="1E21A343" w14:textId="77777777" w:rsidR="004D56FF" w:rsidRPr="000D76E0" w:rsidRDefault="004D56FF">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p>
    <w:p w14:paraId="0B811543" w14:textId="5B8108B6" w:rsidR="00510E9F" w:rsidRPr="00556D03" w:rsidRDefault="00510E9F" w:rsidP="00510E9F">
      <w:pPr>
        <w:pStyle w:val="Heading1"/>
        <w:numPr>
          <w:ilvl w:val="0"/>
          <w:numId w:val="16"/>
        </w:numPr>
      </w:pPr>
      <w:bookmarkStart w:id="0" w:name="_Toc385256311"/>
      <w:bookmarkStart w:id="1" w:name="_Toc482346584"/>
      <w:bookmarkStart w:id="2" w:name="_Toc518999092"/>
      <w:r w:rsidRPr="00CC3F4B">
        <w:lastRenderedPageBreak/>
        <w:t>Introduction</w:t>
      </w:r>
      <w:bookmarkEnd w:id="0"/>
      <w:bookmarkEnd w:id="1"/>
      <w:bookmarkEnd w:id="2"/>
    </w:p>
    <w:p w14:paraId="72196F99" w14:textId="77777777" w:rsidR="00510E9F" w:rsidRPr="00C320F6" w:rsidRDefault="00510E9F" w:rsidP="00510E9F">
      <w:pPr>
        <w:pStyle w:val="Heading2"/>
        <w:numPr>
          <w:ilvl w:val="1"/>
          <w:numId w:val="16"/>
        </w:numPr>
        <w:spacing w:before="120" w:after="120"/>
        <w:ind w:left="360"/>
      </w:pPr>
      <w:bookmarkStart w:id="3" w:name="_Toc355953982"/>
      <w:bookmarkStart w:id="4" w:name="_Toc385256312"/>
      <w:bookmarkStart w:id="5" w:name="_Toc482346585"/>
      <w:bookmarkStart w:id="6" w:name="_Toc518999093"/>
      <w:bookmarkStart w:id="7" w:name="purpose"/>
      <w:r w:rsidRPr="00C320F6">
        <w:t>Purpose</w:t>
      </w:r>
      <w:bookmarkEnd w:id="3"/>
      <w:bookmarkEnd w:id="4"/>
      <w:r>
        <w:t xml:space="preserve"> of the Cost Recovery Implementation Statement</w:t>
      </w:r>
      <w:bookmarkEnd w:id="5"/>
      <w:bookmarkEnd w:id="6"/>
    </w:p>
    <w:bookmarkEnd w:id="7"/>
    <w:p w14:paraId="54DB2CA1" w14:textId="0AEBBDDB" w:rsidR="00510E9F" w:rsidRDefault="00510E9F" w:rsidP="00510E9F">
      <w:pPr>
        <w:rPr>
          <w:rFonts w:cs="Arial"/>
        </w:rPr>
      </w:pPr>
      <w:r>
        <w:t>T</w:t>
      </w:r>
      <w:r w:rsidRPr="00091479">
        <w:t>his Cost Recovery Imp</w:t>
      </w:r>
      <w:r>
        <w:t>lementation</w:t>
      </w:r>
      <w:r w:rsidRPr="00091479">
        <w:t xml:space="preserve"> Statement (</w:t>
      </w:r>
      <w:r w:rsidRPr="00BF751B">
        <w:t>CRIS</w:t>
      </w:r>
      <w:r w:rsidRPr="00091479">
        <w:t xml:space="preserve">) </w:t>
      </w:r>
      <w:r>
        <w:t xml:space="preserve">provides </w:t>
      </w:r>
      <w:r w:rsidR="008066E7">
        <w:t xml:space="preserve">annual </w:t>
      </w:r>
      <w:r>
        <w:t xml:space="preserve">information on how the Australian Communications and Media Authority </w:t>
      </w:r>
      <w:r w:rsidRPr="007D2ECD">
        <w:t>(</w:t>
      </w:r>
      <w:r w:rsidRPr="00BF751B">
        <w:t>the ACMA</w:t>
      </w:r>
      <w:r>
        <w:t xml:space="preserve">) implements cost recovery for the operation of the </w:t>
      </w:r>
      <w:r w:rsidRPr="00091479">
        <w:t>Do Not Call Register</w:t>
      </w:r>
      <w:r>
        <w:t xml:space="preserve"> (</w:t>
      </w:r>
      <w:r w:rsidRPr="00BF751B">
        <w:t>the register</w:t>
      </w:r>
      <w:r>
        <w:t>)</w:t>
      </w:r>
      <w:r>
        <w:rPr>
          <w:rFonts w:cs="Arial"/>
        </w:rPr>
        <w:t>. All figures used are GST</w:t>
      </w:r>
      <w:r w:rsidR="00F27D6E">
        <w:rPr>
          <w:rFonts w:cs="Arial"/>
        </w:rPr>
        <w:t>-</w:t>
      </w:r>
      <w:r>
        <w:rPr>
          <w:rFonts w:cs="Arial"/>
        </w:rPr>
        <w:t>exclusive.</w:t>
      </w:r>
    </w:p>
    <w:p w14:paraId="774BF3A0" w14:textId="73FF621A" w:rsidR="00510E9F" w:rsidRPr="007A1FC2" w:rsidRDefault="008F1FDF" w:rsidP="00510E9F">
      <w:pPr>
        <w:rPr>
          <w:rFonts w:cs="Arial"/>
        </w:rPr>
      </w:pPr>
      <w:r>
        <w:rPr>
          <w:snapToGrid w:val="0"/>
        </w:rPr>
        <w:t>A summary of the cost recovery model used is included in th</w:t>
      </w:r>
      <w:r w:rsidR="008066E7">
        <w:rPr>
          <w:snapToGrid w:val="0"/>
        </w:rPr>
        <w:t>e CRIS</w:t>
      </w:r>
      <w:r>
        <w:rPr>
          <w:snapToGrid w:val="0"/>
        </w:rPr>
        <w:t>. It also reports financial performance for these activities and contains financial forecasts for the 2018</w:t>
      </w:r>
      <w:r w:rsidR="00B51080">
        <w:rPr>
          <w:snapToGrid w:val="0"/>
        </w:rPr>
        <w:t>–</w:t>
      </w:r>
      <w:r>
        <w:rPr>
          <w:snapToGrid w:val="0"/>
        </w:rPr>
        <w:t>19 financial year</w:t>
      </w:r>
      <w:r w:rsidR="008066E7">
        <w:rPr>
          <w:snapToGrid w:val="0"/>
        </w:rPr>
        <w:t>, as well as</w:t>
      </w:r>
      <w:r w:rsidR="00602485">
        <w:rPr>
          <w:snapToGrid w:val="0"/>
        </w:rPr>
        <w:t xml:space="preserve"> </w:t>
      </w:r>
      <w:r>
        <w:rPr>
          <w:snapToGrid w:val="0"/>
        </w:rPr>
        <w:t>three forward years (financial years 2019</w:t>
      </w:r>
      <w:r w:rsidR="00B51080">
        <w:rPr>
          <w:snapToGrid w:val="0"/>
        </w:rPr>
        <w:t>–</w:t>
      </w:r>
      <w:r>
        <w:rPr>
          <w:snapToGrid w:val="0"/>
        </w:rPr>
        <w:t>20 to 2021</w:t>
      </w:r>
      <w:r w:rsidR="00B51080">
        <w:rPr>
          <w:snapToGrid w:val="0"/>
        </w:rPr>
        <w:t>–</w:t>
      </w:r>
      <w:r>
        <w:rPr>
          <w:snapToGrid w:val="0"/>
        </w:rPr>
        <w:t xml:space="preserve">22). The ACMA will </w:t>
      </w:r>
      <w:r w:rsidR="008066E7">
        <w:rPr>
          <w:snapToGrid w:val="0"/>
        </w:rPr>
        <w:t>continue to</w:t>
      </w:r>
      <w:r>
        <w:rPr>
          <w:snapToGrid w:val="0"/>
        </w:rPr>
        <w:t xml:space="preserve"> </w:t>
      </w:r>
      <w:r w:rsidR="00ED68FF">
        <w:rPr>
          <w:snapToGrid w:val="0"/>
        </w:rPr>
        <w:t>update the</w:t>
      </w:r>
      <w:r>
        <w:rPr>
          <w:snapToGrid w:val="0"/>
        </w:rPr>
        <w:t xml:space="preserve"> CRIS until the activities or cost recovery for the activities have been discontinued.</w:t>
      </w:r>
    </w:p>
    <w:p w14:paraId="37CE4AD8" w14:textId="77777777" w:rsidR="00510E9F" w:rsidRPr="00C320F6" w:rsidRDefault="00510E9F" w:rsidP="00510E9F">
      <w:pPr>
        <w:pStyle w:val="Heading2"/>
        <w:numPr>
          <w:ilvl w:val="1"/>
          <w:numId w:val="16"/>
        </w:numPr>
        <w:spacing w:before="120" w:after="120"/>
        <w:ind w:left="360"/>
      </w:pPr>
      <w:bookmarkStart w:id="8" w:name="_Toc355953983"/>
      <w:bookmarkStart w:id="9" w:name="_Toc385256313"/>
      <w:bookmarkStart w:id="10" w:name="_Toc482346586"/>
      <w:bookmarkStart w:id="11" w:name="_Toc518999094"/>
      <w:bookmarkStart w:id="12" w:name="background"/>
      <w:r w:rsidRPr="00C320F6">
        <w:t>Background</w:t>
      </w:r>
      <w:bookmarkEnd w:id="8"/>
      <w:r>
        <w:t xml:space="preserve"> and description of activity</w:t>
      </w:r>
      <w:bookmarkEnd w:id="9"/>
      <w:bookmarkEnd w:id="10"/>
      <w:bookmarkEnd w:id="11"/>
    </w:p>
    <w:bookmarkEnd w:id="12"/>
    <w:p w14:paraId="001A14EB" w14:textId="276363B4" w:rsidR="00510E9F" w:rsidRPr="008112CD" w:rsidRDefault="00510E9F" w:rsidP="008112CD">
      <w:pPr>
        <w:rPr>
          <w:snapToGrid w:val="0"/>
        </w:rPr>
      </w:pPr>
      <w:r w:rsidRPr="00F70492">
        <w:rPr>
          <w:rFonts w:cs="Arial"/>
        </w:rPr>
        <w:t>The ACMA</w:t>
      </w:r>
      <w:r w:rsidR="00F70492" w:rsidRPr="00F70492">
        <w:rPr>
          <w:rFonts w:cs="Arial"/>
        </w:rPr>
        <w:t xml:space="preserve"> is a statutory authority within the Australian </w:t>
      </w:r>
      <w:r w:rsidR="00C04684">
        <w:rPr>
          <w:rFonts w:cs="Arial"/>
        </w:rPr>
        <w:t>G</w:t>
      </w:r>
      <w:r w:rsidR="00F70492" w:rsidRPr="00F70492">
        <w:rPr>
          <w:rFonts w:cs="Arial"/>
        </w:rPr>
        <w:t>overnment portfolio of Communications and the Arts. The ACMA is Australia's regulator for broadcasting, radiocommunications</w:t>
      </w:r>
      <w:r w:rsidR="008066E7">
        <w:rPr>
          <w:rFonts w:cs="Arial"/>
        </w:rPr>
        <w:t xml:space="preserve">, </w:t>
      </w:r>
      <w:r w:rsidR="00F70492" w:rsidRPr="00F70492">
        <w:rPr>
          <w:rFonts w:cs="Arial"/>
        </w:rPr>
        <w:t>telecommunications</w:t>
      </w:r>
      <w:r w:rsidR="008066E7">
        <w:rPr>
          <w:rFonts w:cs="Arial"/>
        </w:rPr>
        <w:t xml:space="preserve"> and unsolicited communications, amongst other functions</w:t>
      </w:r>
      <w:r w:rsidR="00F70492" w:rsidRPr="00F70492">
        <w:rPr>
          <w:rFonts w:cs="Arial"/>
        </w:rPr>
        <w:t xml:space="preserve">. </w:t>
      </w:r>
      <w:r w:rsidRPr="00EA6E59">
        <w:rPr>
          <w:snapToGrid w:val="0"/>
        </w:rPr>
        <w:t xml:space="preserve">Under the </w:t>
      </w:r>
      <w:r w:rsidRPr="00EA6E59">
        <w:rPr>
          <w:i/>
          <w:snapToGrid w:val="0"/>
        </w:rPr>
        <w:t>Do Not Call Register Act 2006</w:t>
      </w:r>
      <w:r w:rsidRPr="00EA6E59">
        <w:rPr>
          <w:snapToGrid w:val="0"/>
        </w:rPr>
        <w:t xml:space="preserve"> </w:t>
      </w:r>
      <w:r w:rsidRPr="001A4BF2">
        <w:rPr>
          <w:snapToGrid w:val="0"/>
        </w:rPr>
        <w:t>(the Act),</w:t>
      </w:r>
      <w:r>
        <w:rPr>
          <w:snapToGrid w:val="0"/>
        </w:rPr>
        <w:t xml:space="preserve"> </w:t>
      </w:r>
      <w:r w:rsidRPr="00EA6E59">
        <w:rPr>
          <w:snapToGrid w:val="0"/>
        </w:rPr>
        <w:t xml:space="preserve">the ACMA is responsible for establishing and overseeing the operation of the register, which includes determining the </w:t>
      </w:r>
      <w:r>
        <w:rPr>
          <w:snapToGrid w:val="0"/>
        </w:rPr>
        <w:t xml:space="preserve">subscription </w:t>
      </w:r>
      <w:r w:rsidRPr="00EA6E59">
        <w:rPr>
          <w:snapToGrid w:val="0"/>
        </w:rPr>
        <w:t>fees for accessing the register.</w:t>
      </w:r>
    </w:p>
    <w:p w14:paraId="03A123B0" w14:textId="77777777" w:rsidR="00510E9F" w:rsidRPr="009B36BC" w:rsidRDefault="00510E9F" w:rsidP="00510E9F">
      <w:pPr>
        <w:spacing w:after="80"/>
        <w:rPr>
          <w:snapToGrid w:val="0"/>
          <w:highlight w:val="green"/>
        </w:rPr>
      </w:pPr>
      <w:r w:rsidRPr="00EA6E59">
        <w:rPr>
          <w:snapToGrid w:val="0"/>
        </w:rPr>
        <w:t xml:space="preserve">In order to opt-out of receiving certain unsolicited telemarketing calls and marketing faxes, </w:t>
      </w:r>
      <w:r>
        <w:rPr>
          <w:snapToGrid w:val="0"/>
        </w:rPr>
        <w:t xml:space="preserve">Australian </w:t>
      </w:r>
      <w:r w:rsidRPr="00EA6E59">
        <w:rPr>
          <w:snapToGrid w:val="0"/>
        </w:rPr>
        <w:t>numbers can be placed on the register if they are:</w:t>
      </w:r>
    </w:p>
    <w:p w14:paraId="57E2BFC6" w14:textId="1A1C130E" w:rsidR="00510E9F" w:rsidRPr="00EA6E59" w:rsidRDefault="00510E9F" w:rsidP="008112CD">
      <w:pPr>
        <w:pStyle w:val="ListBullet"/>
      </w:pPr>
      <w:r w:rsidRPr="008112CD">
        <w:t>used</w:t>
      </w:r>
      <w:r w:rsidRPr="00EA6E59">
        <w:t xml:space="preserve"> primarily for private or domestic purposes</w:t>
      </w:r>
    </w:p>
    <w:p w14:paraId="30E3F6EB" w14:textId="4213B2F6" w:rsidR="00510E9F" w:rsidRPr="008112CD" w:rsidRDefault="00510E9F" w:rsidP="008112CD">
      <w:pPr>
        <w:pStyle w:val="ListBullet"/>
      </w:pPr>
      <w:r w:rsidRPr="008112CD">
        <w:t>used or maintained exclusively for transmitting and/or receiving faxes</w:t>
      </w:r>
    </w:p>
    <w:p w14:paraId="34845CDB" w14:textId="08C56E06" w:rsidR="00510E9F" w:rsidRPr="00EA6E59" w:rsidRDefault="00510E9F" w:rsidP="008112CD">
      <w:pPr>
        <w:pStyle w:val="ListBullet"/>
      </w:pPr>
      <w:r w:rsidRPr="008112CD">
        <w:t>used or</w:t>
      </w:r>
      <w:r w:rsidRPr="00EA6E59">
        <w:t xml:space="preserve"> maintained exclusively for use by a government body</w:t>
      </w:r>
    </w:p>
    <w:p w14:paraId="54EAFBF9" w14:textId="77777777" w:rsidR="00510E9F" w:rsidRPr="00EA6E59" w:rsidRDefault="00510E9F" w:rsidP="008112CD">
      <w:pPr>
        <w:pStyle w:val="ListBulletLast"/>
      </w:pPr>
      <w:r w:rsidRPr="00EA6E59">
        <w:t>an emergency service number.</w:t>
      </w:r>
    </w:p>
    <w:p w14:paraId="55D1650F" w14:textId="0678CABD" w:rsidR="00510E9F" w:rsidRDefault="00510E9F" w:rsidP="005804DA">
      <w:pPr>
        <w:rPr>
          <w:snapToGrid w:val="0"/>
          <w:highlight w:val="yellow"/>
        </w:rPr>
      </w:pPr>
      <w:r w:rsidRPr="00D22E7C">
        <w:rPr>
          <w:snapToGrid w:val="0"/>
        </w:rPr>
        <w:t>On 31 May 2007, non-exempt telemarket</w:t>
      </w:r>
      <w:r w:rsidR="008066E7">
        <w:rPr>
          <w:snapToGrid w:val="0"/>
        </w:rPr>
        <w:t>ing was prohibited from</w:t>
      </w:r>
      <w:r w:rsidRPr="00D22E7C">
        <w:rPr>
          <w:snapToGrid w:val="0"/>
        </w:rPr>
        <w:t xml:space="preserve"> </w:t>
      </w:r>
      <w:r w:rsidR="008066E7">
        <w:rPr>
          <w:snapToGrid w:val="0"/>
        </w:rPr>
        <w:t xml:space="preserve">being </w:t>
      </w:r>
      <w:r w:rsidRPr="00D22E7C">
        <w:rPr>
          <w:snapToGrid w:val="0"/>
        </w:rPr>
        <w:t>ma</w:t>
      </w:r>
      <w:r w:rsidR="008066E7">
        <w:rPr>
          <w:snapToGrid w:val="0"/>
        </w:rPr>
        <w:t>de</w:t>
      </w:r>
      <w:r w:rsidRPr="00D22E7C">
        <w:rPr>
          <w:snapToGrid w:val="0"/>
        </w:rPr>
        <w:t xml:space="preserve"> </w:t>
      </w:r>
      <w:r w:rsidR="008066E7">
        <w:rPr>
          <w:snapToGrid w:val="0"/>
        </w:rPr>
        <w:t xml:space="preserve">to </w:t>
      </w:r>
      <w:r w:rsidRPr="00D22E7C">
        <w:rPr>
          <w:snapToGrid w:val="0"/>
        </w:rPr>
        <w:t>any number listed on the register. On 30 May 2010</w:t>
      </w:r>
      <w:r>
        <w:rPr>
          <w:snapToGrid w:val="0"/>
        </w:rPr>
        <w:t>,</w:t>
      </w:r>
      <w:r w:rsidRPr="00D22E7C">
        <w:rPr>
          <w:snapToGrid w:val="0"/>
        </w:rPr>
        <w:t xml:space="preserve"> the Act was amended to allow fax, emergency service and government numbers to be listed on the register. To avoid calling numbers listed on the register, telemarketers and fax marketers </w:t>
      </w:r>
      <w:r w:rsidR="00B51080" w:rsidRPr="00D22E7C">
        <w:rPr>
          <w:snapToGrid w:val="0"/>
        </w:rPr>
        <w:t>can</w:t>
      </w:r>
      <w:r w:rsidRPr="00D22E7C">
        <w:rPr>
          <w:snapToGrid w:val="0"/>
        </w:rPr>
        <w:t xml:space="preserve"> check, or ‘wash’</w:t>
      </w:r>
      <w:r>
        <w:rPr>
          <w:rStyle w:val="FootnoteReference"/>
          <w:snapToGrid w:val="0"/>
        </w:rPr>
        <w:footnoteReference w:id="1"/>
      </w:r>
      <w:r>
        <w:rPr>
          <w:snapToGrid w:val="0"/>
        </w:rPr>
        <w:t>,</w:t>
      </w:r>
      <w:r w:rsidRPr="00D22E7C">
        <w:rPr>
          <w:snapToGrid w:val="0"/>
        </w:rPr>
        <w:t xml:space="preserve"> calling lists against the numbers listed on the </w:t>
      </w:r>
      <w:r w:rsidRPr="00624DDD">
        <w:rPr>
          <w:snapToGrid w:val="0"/>
        </w:rPr>
        <w:t xml:space="preserve">register. </w:t>
      </w:r>
    </w:p>
    <w:p w14:paraId="5D1ED5FA" w14:textId="15142196" w:rsidR="00510E9F" w:rsidRPr="008112CD" w:rsidRDefault="00510E9F" w:rsidP="00510E9F">
      <w:pPr>
        <w:rPr>
          <w:snapToGrid w:val="0"/>
        </w:rPr>
      </w:pPr>
      <w:r w:rsidRPr="009A57D1">
        <w:rPr>
          <w:snapToGrid w:val="0"/>
        </w:rPr>
        <w:t>The ACMA has outsourced the operation of the register to an external service provider</w:t>
      </w:r>
      <w:r>
        <w:rPr>
          <w:snapToGrid w:val="0"/>
        </w:rPr>
        <w:t>.</w:t>
      </w:r>
      <w:r w:rsidRPr="009A57D1">
        <w:rPr>
          <w:snapToGrid w:val="0"/>
        </w:rPr>
        <w:t xml:space="preserve"> </w:t>
      </w:r>
      <w:r>
        <w:rPr>
          <w:snapToGrid w:val="0"/>
        </w:rPr>
        <w:t xml:space="preserve">The operations were initially outsourced to </w:t>
      </w:r>
      <w:r w:rsidRPr="009A57D1">
        <w:rPr>
          <w:snapToGrid w:val="0"/>
        </w:rPr>
        <w:t>Service Stream Solutions Pty Ltd</w:t>
      </w:r>
      <w:r>
        <w:rPr>
          <w:snapToGrid w:val="0"/>
        </w:rPr>
        <w:t xml:space="preserve"> (from</w:t>
      </w:r>
      <w:r w:rsidRPr="009A57D1">
        <w:rPr>
          <w:snapToGrid w:val="0"/>
        </w:rPr>
        <w:t xml:space="preserve"> 1</w:t>
      </w:r>
      <w:r>
        <w:rPr>
          <w:snapToGrid w:val="0"/>
        </w:rPr>
        <w:t> </w:t>
      </w:r>
      <w:r w:rsidRPr="009A57D1">
        <w:rPr>
          <w:snapToGrid w:val="0"/>
        </w:rPr>
        <w:t>February</w:t>
      </w:r>
      <w:r>
        <w:rPr>
          <w:snapToGrid w:val="0"/>
        </w:rPr>
        <w:t> </w:t>
      </w:r>
      <w:r w:rsidRPr="009A57D1">
        <w:rPr>
          <w:snapToGrid w:val="0"/>
        </w:rPr>
        <w:t xml:space="preserve">2007 </w:t>
      </w:r>
      <w:r>
        <w:rPr>
          <w:rFonts w:cs="Arial"/>
          <w:iCs/>
          <w:lang w:eastAsia="en-US"/>
        </w:rPr>
        <w:t>to</w:t>
      </w:r>
      <w:r w:rsidRPr="009A57D1">
        <w:rPr>
          <w:rFonts w:cs="Arial"/>
          <w:iCs/>
          <w:lang w:eastAsia="en-US"/>
        </w:rPr>
        <w:t xml:space="preserve"> </w:t>
      </w:r>
      <w:r>
        <w:rPr>
          <w:rFonts w:cs="Arial"/>
          <w:iCs/>
          <w:lang w:eastAsia="en-US"/>
        </w:rPr>
        <w:t>30 September </w:t>
      </w:r>
      <w:r w:rsidRPr="009A57D1">
        <w:rPr>
          <w:rFonts w:cs="Arial"/>
          <w:iCs/>
          <w:lang w:eastAsia="en-US"/>
        </w:rPr>
        <w:t>2015</w:t>
      </w:r>
      <w:r>
        <w:rPr>
          <w:rFonts w:cs="Arial"/>
          <w:iCs/>
          <w:lang w:eastAsia="en-US"/>
        </w:rPr>
        <w:t xml:space="preserve">) with a </w:t>
      </w:r>
      <w:r w:rsidRPr="00F57E13">
        <w:rPr>
          <w:rFonts w:cs="Arial"/>
          <w:iCs/>
          <w:lang w:eastAsia="en-US"/>
        </w:rPr>
        <w:t>cont</w:t>
      </w:r>
      <w:r w:rsidRPr="00C44F8A">
        <w:rPr>
          <w:rFonts w:cs="Arial"/>
          <w:iCs/>
          <w:lang w:eastAsia="en-US"/>
        </w:rPr>
        <w:t>r</w:t>
      </w:r>
      <w:r w:rsidRPr="00F57E13">
        <w:rPr>
          <w:rFonts w:cs="Arial"/>
          <w:iCs/>
          <w:lang w:eastAsia="en-US"/>
        </w:rPr>
        <w:t>act value</w:t>
      </w:r>
      <w:r w:rsidRPr="00C44F8A">
        <w:rPr>
          <w:rFonts w:cs="Arial"/>
          <w:iCs/>
          <w:lang w:eastAsia="en-US"/>
        </w:rPr>
        <w:t xml:space="preserve"> of $</w:t>
      </w:r>
      <w:r>
        <w:rPr>
          <w:rFonts w:cs="Arial"/>
          <w:iCs/>
          <w:lang w:eastAsia="en-US"/>
        </w:rPr>
        <w:t>24.8</w:t>
      </w:r>
      <w:r w:rsidRPr="00C44F8A">
        <w:rPr>
          <w:rFonts w:cs="Arial"/>
          <w:iCs/>
          <w:lang w:eastAsia="en-US"/>
        </w:rPr>
        <w:t xml:space="preserve"> million</w:t>
      </w:r>
      <w:r>
        <w:rPr>
          <w:rFonts w:cs="Arial"/>
          <w:iCs/>
          <w:lang w:eastAsia="en-US"/>
        </w:rPr>
        <w:t xml:space="preserve">. </w:t>
      </w:r>
      <w:r w:rsidR="00B51080">
        <w:rPr>
          <w:rFonts w:cs="Arial"/>
          <w:iCs/>
          <w:lang w:eastAsia="en-US"/>
        </w:rPr>
        <w:t>A</w:t>
      </w:r>
      <w:r w:rsidR="00B51080">
        <w:rPr>
          <w:snapToGrid w:val="0"/>
        </w:rPr>
        <w:t> </w:t>
      </w:r>
      <w:r>
        <w:rPr>
          <w:snapToGrid w:val="0"/>
        </w:rPr>
        <w:t>contract with Salmat Digital Pty Ltd commenced on 17 September 2014, with register operations commencing on 22 September 2015</w:t>
      </w:r>
      <w:r w:rsidR="00C04684">
        <w:rPr>
          <w:snapToGrid w:val="0"/>
        </w:rPr>
        <w:t xml:space="preserve"> and </w:t>
      </w:r>
      <w:r>
        <w:rPr>
          <w:snapToGrid w:val="0"/>
        </w:rPr>
        <w:t xml:space="preserve">a </w:t>
      </w:r>
      <w:hyperlink r:id="rId24" w:history="1">
        <w:r w:rsidRPr="003C29C9">
          <w:rPr>
            <w:rStyle w:val="Hyperlink"/>
            <w:snapToGrid w:val="0"/>
          </w:rPr>
          <w:t>contract</w:t>
        </w:r>
      </w:hyperlink>
      <w:r>
        <w:rPr>
          <w:snapToGrid w:val="0"/>
        </w:rPr>
        <w:t xml:space="preserve"> value of </w:t>
      </w:r>
      <w:r w:rsidRPr="00A32DA6">
        <w:rPr>
          <w:snapToGrid w:val="0"/>
        </w:rPr>
        <w:t>$</w:t>
      </w:r>
      <w:r w:rsidR="00520F66">
        <w:rPr>
          <w:snapToGrid w:val="0"/>
        </w:rPr>
        <w:t>17</w:t>
      </w:r>
      <w:r>
        <w:rPr>
          <w:snapToGrid w:val="0"/>
        </w:rPr>
        <w:t>.</w:t>
      </w:r>
      <w:r w:rsidR="00B51080">
        <w:rPr>
          <w:snapToGrid w:val="0"/>
        </w:rPr>
        <w:t>1 </w:t>
      </w:r>
      <w:r>
        <w:rPr>
          <w:snapToGrid w:val="0"/>
        </w:rPr>
        <w:t>million over five years of register operation</w:t>
      </w:r>
      <w:r w:rsidR="00C04684">
        <w:rPr>
          <w:snapToGrid w:val="0"/>
        </w:rPr>
        <w:t>,</w:t>
      </w:r>
      <w:r>
        <w:rPr>
          <w:snapToGrid w:val="0"/>
        </w:rPr>
        <w:t xml:space="preserve"> with option</w:t>
      </w:r>
      <w:r w:rsidR="008B0B1A">
        <w:rPr>
          <w:snapToGrid w:val="0"/>
        </w:rPr>
        <w:t>s</w:t>
      </w:r>
      <w:r>
        <w:rPr>
          <w:snapToGrid w:val="0"/>
        </w:rPr>
        <w:t xml:space="preserve"> to extend </w:t>
      </w:r>
      <w:r w:rsidR="00154E21">
        <w:rPr>
          <w:snapToGrid w:val="0"/>
        </w:rPr>
        <w:t xml:space="preserve">for </w:t>
      </w:r>
      <w:r w:rsidR="0016595C">
        <w:rPr>
          <w:snapToGrid w:val="0"/>
        </w:rPr>
        <w:t xml:space="preserve">three </w:t>
      </w:r>
      <w:r w:rsidR="00F9079C">
        <w:rPr>
          <w:snapToGrid w:val="0"/>
        </w:rPr>
        <w:t xml:space="preserve">further </w:t>
      </w:r>
      <w:r w:rsidR="0016595C">
        <w:rPr>
          <w:snapToGrid w:val="0"/>
        </w:rPr>
        <w:t>years</w:t>
      </w:r>
      <w:r w:rsidR="00B51080">
        <w:rPr>
          <w:snapToGrid w:val="0"/>
        </w:rPr>
        <w:t>,</w:t>
      </w:r>
      <w:r w:rsidR="0016595C">
        <w:rPr>
          <w:snapToGrid w:val="0"/>
        </w:rPr>
        <w:t xml:space="preserve"> </w:t>
      </w:r>
      <w:r>
        <w:rPr>
          <w:snapToGrid w:val="0"/>
        </w:rPr>
        <w:t>up to a total of eight years.</w:t>
      </w:r>
    </w:p>
    <w:p w14:paraId="0303B662" w14:textId="40592F04" w:rsidR="00510E9F" w:rsidRPr="00FB003D" w:rsidRDefault="00510E9F" w:rsidP="005804DA">
      <w:pPr>
        <w:rPr>
          <w:snapToGrid w:val="0"/>
        </w:rPr>
      </w:pPr>
      <w:r w:rsidRPr="008728AC">
        <w:rPr>
          <w:snapToGrid w:val="0"/>
        </w:rPr>
        <w:t xml:space="preserve">At </w:t>
      </w:r>
      <w:r w:rsidR="007D2ECD">
        <w:rPr>
          <w:snapToGrid w:val="0"/>
        </w:rPr>
        <w:t xml:space="preserve">the </w:t>
      </w:r>
      <w:r w:rsidR="00E514DF">
        <w:rPr>
          <w:snapToGrid w:val="0"/>
        </w:rPr>
        <w:t>commencement</w:t>
      </w:r>
      <w:r w:rsidRPr="008728AC">
        <w:rPr>
          <w:snapToGrid w:val="0"/>
        </w:rPr>
        <w:t xml:space="preserve"> of the Act, partial recovery of the direct costs </w:t>
      </w:r>
      <w:r>
        <w:rPr>
          <w:snapToGrid w:val="0"/>
        </w:rPr>
        <w:t xml:space="preserve">of </w:t>
      </w:r>
      <w:r w:rsidRPr="008728AC">
        <w:rPr>
          <w:snapToGrid w:val="0"/>
        </w:rPr>
        <w:t>operating the register</w:t>
      </w:r>
      <w:r w:rsidR="00C9420A">
        <w:rPr>
          <w:snapToGrid w:val="0"/>
        </w:rPr>
        <w:t xml:space="preserve"> </w:t>
      </w:r>
      <w:r w:rsidR="00602485">
        <w:rPr>
          <w:snapToGrid w:val="0"/>
        </w:rPr>
        <w:t>occurred</w:t>
      </w:r>
      <w:r w:rsidRPr="008728AC">
        <w:rPr>
          <w:snapToGrid w:val="0"/>
        </w:rPr>
        <w:t>. From 1 July 2008, the full direct cost</w:t>
      </w:r>
      <w:r w:rsidR="00520F66">
        <w:rPr>
          <w:snapToGrid w:val="0"/>
        </w:rPr>
        <w:t>s</w:t>
      </w:r>
      <w:r w:rsidRPr="008728AC">
        <w:rPr>
          <w:snapToGrid w:val="0"/>
        </w:rPr>
        <w:t xml:space="preserve"> of operating the register</w:t>
      </w:r>
      <w:r w:rsidR="00325A2A">
        <w:rPr>
          <w:snapToGrid w:val="0"/>
        </w:rPr>
        <w:t xml:space="preserve"> ha</w:t>
      </w:r>
      <w:r w:rsidR="00520F66">
        <w:rPr>
          <w:snapToGrid w:val="0"/>
        </w:rPr>
        <w:t>ve</w:t>
      </w:r>
      <w:r w:rsidR="00325A2A">
        <w:rPr>
          <w:snapToGrid w:val="0"/>
        </w:rPr>
        <w:t xml:space="preserve"> </w:t>
      </w:r>
      <w:r w:rsidR="00325A2A">
        <w:rPr>
          <w:snapToGrid w:val="0"/>
        </w:rPr>
        <w:lastRenderedPageBreak/>
        <w:t>been recovered from industry</w:t>
      </w:r>
      <w:r>
        <w:rPr>
          <w:snapToGrid w:val="0"/>
        </w:rPr>
        <w:t xml:space="preserve">. </w:t>
      </w:r>
      <w:r w:rsidRPr="00FB003D">
        <w:rPr>
          <w:snapToGrid w:val="0"/>
        </w:rPr>
        <w:t>To ensure that the activity is operating on a full cost</w:t>
      </w:r>
      <w:r w:rsidR="00C04684">
        <w:rPr>
          <w:snapToGrid w:val="0"/>
        </w:rPr>
        <w:t>-</w:t>
      </w:r>
      <w:r w:rsidRPr="00FB003D">
        <w:rPr>
          <w:snapToGrid w:val="0"/>
        </w:rPr>
        <w:t xml:space="preserve">recovery basis, the ACMA </w:t>
      </w:r>
      <w:r w:rsidR="00A54D82">
        <w:rPr>
          <w:snapToGrid w:val="0"/>
        </w:rPr>
        <w:t xml:space="preserve">annually </w:t>
      </w:r>
      <w:r w:rsidRPr="00FB003D">
        <w:rPr>
          <w:snapToGrid w:val="0"/>
        </w:rPr>
        <w:t>compares subscription fee revenue with the direct costs of operating the register</w:t>
      </w:r>
      <w:r w:rsidR="00E514DF">
        <w:rPr>
          <w:snapToGrid w:val="0"/>
        </w:rPr>
        <w:t>.</w:t>
      </w:r>
    </w:p>
    <w:p w14:paraId="407889EB" w14:textId="0A579919" w:rsidR="00510E9F" w:rsidRDefault="00510E9F" w:rsidP="00510E9F">
      <w:bookmarkStart w:id="13" w:name="_Toc355953984"/>
      <w:bookmarkStart w:id="14" w:name="_Toc385256314"/>
      <w:r w:rsidRPr="005459D3">
        <w:t>The direct costs of operating the register are recovered from organisations that</w:t>
      </w:r>
      <w:r>
        <w:t xml:space="preserve"> access the register </w:t>
      </w:r>
      <w:r w:rsidR="00C04684">
        <w:t xml:space="preserve">to </w:t>
      </w:r>
      <w:r w:rsidRPr="005459D3">
        <w:t>engag</w:t>
      </w:r>
      <w:r w:rsidR="00C04684">
        <w:t>e</w:t>
      </w:r>
      <w:r w:rsidRPr="005459D3">
        <w:t xml:space="preserve"> in telemarketing and fax marketing activities.</w:t>
      </w:r>
    </w:p>
    <w:p w14:paraId="6B4FDEAD" w14:textId="77777777" w:rsidR="00510E9F" w:rsidRPr="008B3CF2" w:rsidRDefault="00510E9F" w:rsidP="00510E9F">
      <w:pPr>
        <w:pStyle w:val="Heading2"/>
        <w:numPr>
          <w:ilvl w:val="1"/>
          <w:numId w:val="16"/>
        </w:numPr>
        <w:spacing w:before="120" w:after="120"/>
        <w:ind w:left="360"/>
      </w:pPr>
      <w:bookmarkStart w:id="15" w:name="_Toc424115049"/>
      <w:bookmarkStart w:id="16" w:name="_Toc482346587"/>
      <w:bookmarkStart w:id="17" w:name="_Toc518999095"/>
      <w:bookmarkEnd w:id="13"/>
      <w:bookmarkEnd w:id="14"/>
      <w:r w:rsidRPr="008B3CF2">
        <w:t>Stakeholders</w:t>
      </w:r>
      <w:bookmarkEnd w:id="15"/>
      <w:bookmarkEnd w:id="16"/>
      <w:bookmarkEnd w:id="17"/>
    </w:p>
    <w:p w14:paraId="721E8FAD" w14:textId="05F51150" w:rsidR="00510E9F" w:rsidRDefault="00510E9F" w:rsidP="00510E9F">
      <w:r>
        <w:t xml:space="preserve">The key stakeholders are organisations that engage in telemarketing and fax marketing activities. </w:t>
      </w:r>
      <w:r w:rsidRPr="005459D3">
        <w:t>These range from large telemarketing organisations that engage solely in telemarketing on behalf of other organisations</w:t>
      </w:r>
      <w:r w:rsidR="00FE59D0">
        <w:t>,</w:t>
      </w:r>
      <w:r w:rsidRPr="005459D3">
        <w:t xml:space="preserve"> to telecommunications carriers, financial and banking institutions, travel agents and small businesses that seek to increase business by telemarketing and fax marketing.</w:t>
      </w:r>
    </w:p>
    <w:p w14:paraId="197AD15E" w14:textId="77777777" w:rsidR="00510E9F" w:rsidRPr="00CC3F4B" w:rsidRDefault="00510E9F" w:rsidP="00510E9F">
      <w:pPr>
        <w:pStyle w:val="Heading1"/>
        <w:numPr>
          <w:ilvl w:val="0"/>
          <w:numId w:val="16"/>
        </w:numPr>
      </w:pPr>
      <w:bookmarkStart w:id="18" w:name="_Toc355953985"/>
      <w:bookmarkStart w:id="19" w:name="_Toc385256315"/>
      <w:bookmarkStart w:id="20" w:name="_Toc482346588"/>
      <w:bookmarkStart w:id="21" w:name="_Toc518999096"/>
      <w:r w:rsidRPr="00CC3F4B">
        <w:lastRenderedPageBreak/>
        <w:t xml:space="preserve">Policy and statutory authority to </w:t>
      </w:r>
      <w:r>
        <w:t xml:space="preserve">recover </w:t>
      </w:r>
      <w:r w:rsidRPr="00CC3F4B">
        <w:t>cost</w:t>
      </w:r>
      <w:bookmarkEnd w:id="18"/>
      <w:bookmarkEnd w:id="19"/>
      <w:r>
        <w:t>s</w:t>
      </w:r>
      <w:bookmarkEnd w:id="20"/>
      <w:bookmarkEnd w:id="21"/>
    </w:p>
    <w:p w14:paraId="17BEBDD2" w14:textId="77777777" w:rsidR="00510E9F" w:rsidRPr="00C320F6" w:rsidRDefault="00510E9F" w:rsidP="00510E9F">
      <w:pPr>
        <w:pStyle w:val="Heading2"/>
        <w:numPr>
          <w:ilvl w:val="1"/>
          <w:numId w:val="16"/>
        </w:numPr>
        <w:spacing w:before="120" w:after="120"/>
        <w:ind w:left="360"/>
      </w:pPr>
      <w:bookmarkStart w:id="22" w:name="_Toc355953986"/>
      <w:bookmarkStart w:id="23" w:name="_Toc385256316"/>
      <w:bookmarkStart w:id="24" w:name="_Toc482346589"/>
      <w:bookmarkStart w:id="25" w:name="_Toc518999097"/>
      <w:r>
        <w:t>Government policy approval</w:t>
      </w:r>
      <w:r w:rsidRPr="00C320F6">
        <w:t xml:space="preserve"> to cost recover</w:t>
      </w:r>
      <w:bookmarkEnd w:id="22"/>
      <w:bookmarkEnd w:id="23"/>
      <w:bookmarkEnd w:id="24"/>
      <w:bookmarkEnd w:id="25"/>
    </w:p>
    <w:p w14:paraId="0B84DD63" w14:textId="5D98F99F" w:rsidR="00510E9F" w:rsidRPr="008112CD" w:rsidRDefault="00510E9F" w:rsidP="005804DA">
      <w:pPr>
        <w:rPr>
          <w:snapToGrid w:val="0"/>
        </w:rPr>
      </w:pPr>
      <w:r>
        <w:rPr>
          <w:snapToGrid w:val="0"/>
        </w:rPr>
        <w:t>Since 2006</w:t>
      </w:r>
      <w:r w:rsidRPr="00C8209B">
        <w:rPr>
          <w:snapToGrid w:val="0"/>
        </w:rPr>
        <w:t xml:space="preserve">, there have been </w:t>
      </w:r>
      <w:r w:rsidR="00B51080" w:rsidRPr="00C8209B">
        <w:rPr>
          <w:snapToGrid w:val="0"/>
        </w:rPr>
        <w:t>several</w:t>
      </w:r>
      <w:r w:rsidRPr="00C8209B">
        <w:rPr>
          <w:snapToGrid w:val="0"/>
        </w:rPr>
        <w:t xml:space="preserve"> government </w:t>
      </w:r>
      <w:r>
        <w:rPr>
          <w:snapToGrid w:val="0"/>
        </w:rPr>
        <w:t xml:space="preserve">policy </w:t>
      </w:r>
      <w:r w:rsidRPr="00C8209B">
        <w:rPr>
          <w:snapToGrid w:val="0"/>
        </w:rPr>
        <w:t xml:space="preserve">decisions </w:t>
      </w:r>
      <w:r>
        <w:rPr>
          <w:snapToGrid w:val="0"/>
        </w:rPr>
        <w:t>on</w:t>
      </w:r>
      <w:r w:rsidRPr="00C8209B">
        <w:rPr>
          <w:snapToGrid w:val="0"/>
        </w:rPr>
        <w:t xml:space="preserve"> the activities of the register that are subject to cost recovery arrangement</w:t>
      </w:r>
      <w:r>
        <w:rPr>
          <w:snapToGrid w:val="0"/>
        </w:rPr>
        <w:t>s</w:t>
      </w:r>
      <w:r w:rsidRPr="00C8209B">
        <w:rPr>
          <w:snapToGrid w:val="0"/>
        </w:rPr>
        <w:t>.</w:t>
      </w:r>
    </w:p>
    <w:p w14:paraId="032DC602" w14:textId="77777777" w:rsidR="00510E9F" w:rsidRPr="004C0623" w:rsidRDefault="00510E9F" w:rsidP="00693DC6">
      <w:pPr>
        <w:pStyle w:val="Heading3"/>
      </w:pPr>
      <w:bookmarkStart w:id="26" w:name="_Toc395017235"/>
      <w:r w:rsidRPr="004C0623">
        <w:t>Explanatory Memorandum for the Do Not Call Register Bill 2006</w:t>
      </w:r>
      <w:bookmarkEnd w:id="26"/>
    </w:p>
    <w:p w14:paraId="0E11E032" w14:textId="47878720" w:rsidR="00510E9F" w:rsidRDefault="00510E9F" w:rsidP="00510E9F">
      <w:r w:rsidRPr="000D3CEA">
        <w:t xml:space="preserve">The </w:t>
      </w:r>
      <w:hyperlink r:id="rId25" w:history="1">
        <w:r w:rsidRPr="008B0B1A">
          <w:rPr>
            <w:rStyle w:val="Hyperlink"/>
          </w:rPr>
          <w:t>Explanatory Memorandum for the Do Not Call Register Bill 2006</w:t>
        </w:r>
      </w:hyperlink>
      <w:r w:rsidRPr="000D3CEA">
        <w:t xml:space="preserve">, circulated by authority of the </w:t>
      </w:r>
      <w:r>
        <w:t>(</w:t>
      </w:r>
      <w:r w:rsidRPr="000D3CEA">
        <w:t>then</w:t>
      </w:r>
      <w:r>
        <w:t>)</w:t>
      </w:r>
      <w:r w:rsidRPr="000D3CEA">
        <w:t xml:space="preserve"> Minister for Communications, Information Technology and the Arts, recommended </w:t>
      </w:r>
      <w:r>
        <w:t xml:space="preserve">the establishment of an ‘opt-out’ register and </w:t>
      </w:r>
      <w:r w:rsidRPr="000D3CEA">
        <w:t>that ongoing funding for the register functions be partially cost</w:t>
      </w:r>
      <w:r>
        <w:t>-</w:t>
      </w:r>
      <w:r w:rsidRPr="000D3CEA">
        <w:t xml:space="preserve">recovered from the telemarketing industry. </w:t>
      </w:r>
    </w:p>
    <w:p w14:paraId="5ED28ABF" w14:textId="77777777" w:rsidR="00510E9F" w:rsidRPr="004C0623" w:rsidRDefault="00510E9F" w:rsidP="00693DC6">
      <w:pPr>
        <w:pStyle w:val="Heading3"/>
      </w:pPr>
      <w:bookmarkStart w:id="27" w:name="_Toc395017236"/>
      <w:r w:rsidRPr="004C0623">
        <w:t>2006–07 Budget paper No. 2</w:t>
      </w:r>
      <w:bookmarkEnd w:id="27"/>
    </w:p>
    <w:p w14:paraId="4E21B526" w14:textId="1D181F7E" w:rsidR="00510E9F" w:rsidRDefault="00510E9F" w:rsidP="00510E9F">
      <w:pPr>
        <w:rPr>
          <w:lang w:eastAsia="en-US"/>
        </w:rPr>
      </w:pPr>
      <w:r w:rsidRPr="00A87B82">
        <w:rPr>
          <w:lang w:eastAsia="en-US"/>
        </w:rPr>
        <w:t xml:space="preserve">In the </w:t>
      </w:r>
      <w:hyperlink r:id="rId26" w:history="1">
        <w:r w:rsidRPr="0087254A">
          <w:rPr>
            <w:rStyle w:val="Hyperlink"/>
            <w:lang w:eastAsia="en-US"/>
          </w:rPr>
          <w:t>2006</w:t>
        </w:r>
        <w:r>
          <w:rPr>
            <w:rStyle w:val="Hyperlink"/>
            <w:lang w:eastAsia="en-US"/>
          </w:rPr>
          <w:t>–</w:t>
        </w:r>
        <w:r w:rsidRPr="0087254A">
          <w:rPr>
            <w:rStyle w:val="Hyperlink"/>
            <w:lang w:eastAsia="en-US"/>
          </w:rPr>
          <w:t>07 Budget</w:t>
        </w:r>
      </w:hyperlink>
      <w:r w:rsidRPr="00A87B82">
        <w:rPr>
          <w:lang w:eastAsia="en-US"/>
        </w:rPr>
        <w:t xml:space="preserve">, the </w:t>
      </w:r>
      <w:r>
        <w:rPr>
          <w:lang w:eastAsia="en-US"/>
        </w:rPr>
        <w:t>g</w:t>
      </w:r>
      <w:r w:rsidRPr="00A87B82">
        <w:rPr>
          <w:lang w:eastAsia="en-US"/>
        </w:rPr>
        <w:t xml:space="preserve">overnment provided $33.1 million over four years </w:t>
      </w:r>
      <w:r>
        <w:rPr>
          <w:lang w:eastAsia="en-US"/>
        </w:rPr>
        <w:t xml:space="preserve">(and ongoing for forward years) </w:t>
      </w:r>
      <w:r w:rsidRPr="00FB003D">
        <w:rPr>
          <w:lang w:eastAsia="en-US"/>
        </w:rPr>
        <w:t>to establish and maintain a Do Not Call Register containing</w:t>
      </w:r>
      <w:r>
        <w:rPr>
          <w:lang w:eastAsia="en-US"/>
        </w:rPr>
        <w:t xml:space="preserve"> numbers </w:t>
      </w:r>
      <w:r w:rsidRPr="00A87B82">
        <w:rPr>
          <w:lang w:eastAsia="en-US"/>
        </w:rPr>
        <w:t xml:space="preserve">telemarketers </w:t>
      </w:r>
      <w:r>
        <w:rPr>
          <w:lang w:eastAsia="en-US"/>
        </w:rPr>
        <w:t>must not contact</w:t>
      </w:r>
      <w:r w:rsidRPr="00A87B82">
        <w:rPr>
          <w:lang w:eastAsia="en-US"/>
        </w:rPr>
        <w:t xml:space="preserve">, </w:t>
      </w:r>
      <w:r>
        <w:rPr>
          <w:lang w:eastAsia="en-US"/>
        </w:rPr>
        <w:t>with certain exceptions</w:t>
      </w:r>
      <w:r w:rsidRPr="00A87B82">
        <w:rPr>
          <w:lang w:eastAsia="en-US"/>
        </w:rPr>
        <w:t xml:space="preserve">. The register </w:t>
      </w:r>
      <w:r>
        <w:rPr>
          <w:lang w:eastAsia="en-US"/>
        </w:rPr>
        <w:t xml:space="preserve">operations were established </w:t>
      </w:r>
      <w:r w:rsidRPr="00A87B82">
        <w:rPr>
          <w:lang w:eastAsia="en-US"/>
        </w:rPr>
        <w:t xml:space="preserve">through a competitive tender process </w:t>
      </w:r>
      <w:r>
        <w:rPr>
          <w:lang w:eastAsia="en-US"/>
        </w:rPr>
        <w:t>to appoint a service provider</w:t>
      </w:r>
      <w:r w:rsidR="00B51080">
        <w:rPr>
          <w:lang w:eastAsia="en-US"/>
        </w:rPr>
        <w:t>, with t</w:t>
      </w:r>
      <w:r>
        <w:rPr>
          <w:lang w:eastAsia="en-US"/>
        </w:rPr>
        <w:t xml:space="preserve">he ACMA responsible for </w:t>
      </w:r>
      <w:r w:rsidRPr="00A87B82">
        <w:rPr>
          <w:lang w:eastAsia="en-US"/>
        </w:rPr>
        <w:t>oversee</w:t>
      </w:r>
      <w:r>
        <w:rPr>
          <w:lang w:eastAsia="en-US"/>
        </w:rPr>
        <w:t>ing</w:t>
      </w:r>
      <w:r w:rsidRPr="00A87B82">
        <w:rPr>
          <w:lang w:eastAsia="en-US"/>
        </w:rPr>
        <w:t xml:space="preserve"> </w:t>
      </w:r>
      <w:r>
        <w:rPr>
          <w:lang w:eastAsia="en-US"/>
        </w:rPr>
        <w:t>the operations and enforcing</w:t>
      </w:r>
      <w:r w:rsidRPr="00A87B82">
        <w:rPr>
          <w:lang w:eastAsia="en-US"/>
        </w:rPr>
        <w:t xml:space="preserve"> the register</w:t>
      </w:r>
      <w:r>
        <w:rPr>
          <w:lang w:eastAsia="en-US"/>
        </w:rPr>
        <w:t xml:space="preserve"> legislation</w:t>
      </w:r>
      <w:r w:rsidRPr="00A87B82">
        <w:rPr>
          <w:lang w:eastAsia="en-US"/>
        </w:rPr>
        <w:t xml:space="preserve">. </w:t>
      </w:r>
    </w:p>
    <w:p w14:paraId="7E2F64FE" w14:textId="77777777" w:rsidR="00510E9F" w:rsidRPr="00A87B82" w:rsidRDefault="00510E9F" w:rsidP="00510E9F">
      <w:r w:rsidRPr="00FB003D">
        <w:rPr>
          <w:lang w:eastAsia="en-US"/>
        </w:rPr>
        <w:t>It was anticipated that approximately $15.9 million of this allocation would be recovered over four years (and ongoing over forward years) from the</w:t>
      </w:r>
      <w:r w:rsidRPr="00726FDE">
        <w:t xml:space="preserve"> telemarketing industry through the payment of fees to access the </w:t>
      </w:r>
      <w:r>
        <w:t>r</w:t>
      </w:r>
      <w:r w:rsidRPr="00726FDE">
        <w:t xml:space="preserve">egister. </w:t>
      </w:r>
    </w:p>
    <w:p w14:paraId="7B425D94" w14:textId="77777777" w:rsidR="00510E9F" w:rsidRPr="004C0623" w:rsidRDefault="00510E9F" w:rsidP="00693DC6">
      <w:pPr>
        <w:pStyle w:val="Heading3"/>
      </w:pPr>
      <w:bookmarkStart w:id="28" w:name="_Toc395017237"/>
      <w:r w:rsidRPr="004C0623">
        <w:t>2008–09 Budget paper No. 2</w:t>
      </w:r>
      <w:bookmarkEnd w:id="28"/>
      <w:r w:rsidRPr="004C0623">
        <w:t xml:space="preserve"> </w:t>
      </w:r>
    </w:p>
    <w:p w14:paraId="3C0CF9F7" w14:textId="77777777" w:rsidR="00510E9F" w:rsidRPr="00FB003D" w:rsidRDefault="00510E9F" w:rsidP="00510E9F">
      <w:r w:rsidRPr="002926BB">
        <w:t xml:space="preserve">In the </w:t>
      </w:r>
      <w:hyperlink r:id="rId27" w:history="1">
        <w:r w:rsidRPr="0087254A">
          <w:rPr>
            <w:rStyle w:val="Hyperlink"/>
          </w:rPr>
          <w:t>2008</w:t>
        </w:r>
        <w:r>
          <w:rPr>
            <w:rStyle w:val="Hyperlink"/>
          </w:rPr>
          <w:t>–</w:t>
        </w:r>
        <w:r w:rsidRPr="0087254A">
          <w:rPr>
            <w:rStyle w:val="Hyperlink"/>
          </w:rPr>
          <w:t>09 Budget</w:t>
        </w:r>
      </w:hyperlink>
      <w:r w:rsidRPr="002926BB">
        <w:t xml:space="preserve">, the </w:t>
      </w:r>
      <w:r>
        <w:t>g</w:t>
      </w:r>
      <w:r w:rsidRPr="002926BB">
        <w:t xml:space="preserve">overnment agreed that the telemarketing industry </w:t>
      </w:r>
      <w:r>
        <w:t>would</w:t>
      </w:r>
      <w:r w:rsidRPr="002926BB">
        <w:t xml:space="preserve"> be required to fund </w:t>
      </w:r>
      <w:r w:rsidRPr="002926BB">
        <w:rPr>
          <w:iCs/>
          <w:lang w:eastAsia="en-US"/>
        </w:rPr>
        <w:t>the full operational costs of the</w:t>
      </w:r>
      <w:r w:rsidRPr="002926BB">
        <w:rPr>
          <w:rFonts w:ascii="BookAntiqua" w:hAnsi="BookAntiqua" w:cs="BookAntiqua"/>
          <w:szCs w:val="20"/>
        </w:rPr>
        <w:t xml:space="preserve"> </w:t>
      </w:r>
      <w:r w:rsidRPr="002926BB">
        <w:t>register by increasing annual subscription fees from 1 July 2008. Previously, the telemarketing industry was only required to fund part of the direct operating costs of the register. This would provide savings of $4.2 million over four years.</w:t>
      </w:r>
    </w:p>
    <w:p w14:paraId="58DE54AB" w14:textId="77777777" w:rsidR="00510E9F" w:rsidRPr="004C0623" w:rsidRDefault="00510E9F" w:rsidP="00693DC6">
      <w:pPr>
        <w:pStyle w:val="Heading3"/>
      </w:pPr>
      <w:bookmarkStart w:id="29" w:name="_Toc395017238"/>
      <w:r w:rsidRPr="004C0623">
        <w:t>2009–10 Budget paper No.2</w:t>
      </w:r>
      <w:bookmarkEnd w:id="29"/>
    </w:p>
    <w:p w14:paraId="6462F916" w14:textId="77777777" w:rsidR="00510E9F" w:rsidRPr="004A274D" w:rsidRDefault="00510E9F" w:rsidP="00510E9F">
      <w:r w:rsidRPr="004A274D">
        <w:t xml:space="preserve">In the </w:t>
      </w:r>
      <w:hyperlink r:id="rId28" w:history="1">
        <w:r w:rsidRPr="0087254A">
          <w:rPr>
            <w:rStyle w:val="Hyperlink"/>
          </w:rPr>
          <w:t>2009–10 Budget</w:t>
        </w:r>
      </w:hyperlink>
      <w:r w:rsidRPr="004A274D">
        <w:t xml:space="preserve">, the </w:t>
      </w:r>
      <w:r>
        <w:t>g</w:t>
      </w:r>
      <w:r w:rsidRPr="004A274D">
        <w:t xml:space="preserve">overnment </w:t>
      </w:r>
      <w:r w:rsidRPr="00FB003D">
        <w:t>provided</w:t>
      </w:r>
      <w:r>
        <w:t xml:space="preserve"> </w:t>
      </w:r>
      <w:r w:rsidRPr="004A274D">
        <w:t xml:space="preserve">$4.7 million over four years </w:t>
      </w:r>
      <w:r>
        <w:t xml:space="preserve">(and ongoing for forward years) </w:t>
      </w:r>
      <w:r w:rsidRPr="004A274D">
        <w:t xml:space="preserve">to </w:t>
      </w:r>
      <w:r w:rsidRPr="00FB003D">
        <w:t>extend the register and</w:t>
      </w:r>
      <w:r>
        <w:t xml:space="preserve"> </w:t>
      </w:r>
      <w:r w:rsidRPr="004A274D">
        <w:t xml:space="preserve">allow the registration of </w:t>
      </w:r>
      <w:r w:rsidRPr="00FB003D">
        <w:t>all</w:t>
      </w:r>
      <w:r>
        <w:t xml:space="preserve"> </w:t>
      </w:r>
      <w:r w:rsidRPr="004A274D">
        <w:t xml:space="preserve">Australian </w:t>
      </w:r>
      <w:r w:rsidRPr="00FB003D">
        <w:t>telephone (excluding business numbers) and</w:t>
      </w:r>
      <w:r>
        <w:t xml:space="preserve"> </w:t>
      </w:r>
      <w:r w:rsidRPr="004A274D">
        <w:t xml:space="preserve">fax numbers on the register. </w:t>
      </w:r>
      <w:r w:rsidRPr="00712C83">
        <w:t xml:space="preserve">Of this amount, $3.5 million over four years </w:t>
      </w:r>
      <w:r w:rsidRPr="00FB003D">
        <w:t xml:space="preserve">(and ongoing over forward years) </w:t>
      </w:r>
      <w:r>
        <w:t>would</w:t>
      </w:r>
      <w:r w:rsidRPr="00712C83">
        <w:t xml:space="preserve"> be recovered from the telemarketing and fax marketing industries.</w:t>
      </w:r>
      <w:r>
        <w:t xml:space="preserve"> </w:t>
      </w:r>
    </w:p>
    <w:p w14:paraId="43FAC072" w14:textId="77777777" w:rsidR="00510E9F" w:rsidRPr="004C0623" w:rsidRDefault="00510E9F" w:rsidP="00510E9F">
      <w:pPr>
        <w:pStyle w:val="Heading2"/>
        <w:numPr>
          <w:ilvl w:val="1"/>
          <w:numId w:val="16"/>
        </w:numPr>
        <w:spacing w:before="120" w:after="120"/>
        <w:ind w:left="360"/>
      </w:pPr>
      <w:bookmarkStart w:id="30" w:name="_Toc355953988"/>
      <w:bookmarkStart w:id="31" w:name="_Toc385256317"/>
      <w:bookmarkStart w:id="32" w:name="_Toc482346590"/>
      <w:bookmarkStart w:id="33" w:name="_Toc518999098"/>
      <w:r w:rsidRPr="004C0623">
        <w:t xml:space="preserve">Statutory authority to impose </w:t>
      </w:r>
      <w:bookmarkEnd w:id="30"/>
      <w:r w:rsidRPr="004C0623">
        <w:t>cost recovery charges</w:t>
      </w:r>
      <w:bookmarkEnd w:id="31"/>
      <w:bookmarkEnd w:id="32"/>
      <w:bookmarkEnd w:id="33"/>
    </w:p>
    <w:p w14:paraId="05B5AE22" w14:textId="417CD3AE" w:rsidR="00510E9F" w:rsidRPr="008112CD" w:rsidRDefault="00510E9F" w:rsidP="00BF751B">
      <w:r w:rsidRPr="00266D6B">
        <w:t xml:space="preserve">The </w:t>
      </w:r>
      <w:hyperlink r:id="rId29" w:history="1">
        <w:r w:rsidRPr="008B0B1A">
          <w:rPr>
            <w:rStyle w:val="Hyperlink"/>
            <w:snapToGrid w:val="0"/>
          </w:rPr>
          <w:t>Do Not Call Register (Access Fees) Amendment Determination 2017</w:t>
        </w:r>
      </w:hyperlink>
      <w:r>
        <w:rPr>
          <w:snapToGrid w:val="0"/>
        </w:rPr>
        <w:t xml:space="preserve"> </w:t>
      </w:r>
      <w:r w:rsidR="00F9079C">
        <w:t xml:space="preserve">is </w:t>
      </w:r>
      <w:r w:rsidRPr="00266D6B">
        <w:t>made under subsection 21(1) of the Act</w:t>
      </w:r>
      <w:r w:rsidR="00F9079C">
        <w:t>. It</w:t>
      </w:r>
      <w:r w:rsidR="00BC77AA">
        <w:t xml:space="preserve"> </w:t>
      </w:r>
      <w:r w:rsidRPr="00266D6B">
        <w:t xml:space="preserve">sets </w:t>
      </w:r>
      <w:r w:rsidR="00F9079C">
        <w:t>the</w:t>
      </w:r>
      <w:r w:rsidRPr="00266D6B">
        <w:t xml:space="preserve"> fees payable by access</w:t>
      </w:r>
      <w:r w:rsidR="00322A66">
        <w:t xml:space="preserve"> </w:t>
      </w:r>
      <w:r w:rsidRPr="00266D6B">
        <w:t xml:space="preserve">seekers to the register and how those fees are to be paid. The fees payable are </w:t>
      </w:r>
      <w:r w:rsidR="001601E3">
        <w:t>consistent with</w:t>
      </w:r>
      <w:r>
        <w:t xml:space="preserve"> </w:t>
      </w:r>
      <w:r w:rsidRPr="00266D6B">
        <w:t xml:space="preserve">the </w:t>
      </w:r>
      <w:hyperlink r:id="rId30" w:history="1">
        <w:r w:rsidRPr="00266D6B">
          <w:rPr>
            <w:color w:val="0000FF"/>
            <w:u w:val="single"/>
          </w:rPr>
          <w:t>Australian Government Cost Recovery Guidelines</w:t>
        </w:r>
      </w:hyperlink>
      <w:r w:rsidRPr="00266D6B">
        <w:t xml:space="preserve">. </w:t>
      </w:r>
    </w:p>
    <w:p w14:paraId="25E6043A" w14:textId="313626F5" w:rsidR="00510E9F" w:rsidRPr="00CC3F4B" w:rsidRDefault="00510E9F" w:rsidP="00510E9F">
      <w:pPr>
        <w:pStyle w:val="Heading1"/>
        <w:numPr>
          <w:ilvl w:val="0"/>
          <w:numId w:val="16"/>
        </w:numPr>
      </w:pPr>
      <w:bookmarkStart w:id="34" w:name="_Toc355953989"/>
      <w:bookmarkStart w:id="35" w:name="_Toc385256318"/>
      <w:bookmarkStart w:id="36" w:name="_Toc482346591"/>
      <w:bookmarkStart w:id="37" w:name="_Toc518999099"/>
      <w:r w:rsidRPr="00CC3F4B">
        <w:lastRenderedPageBreak/>
        <w:t>C</w:t>
      </w:r>
      <w:r>
        <w:t>ost recovery</w:t>
      </w:r>
      <w:r w:rsidRPr="00CC3F4B">
        <w:t xml:space="preserve"> </w:t>
      </w:r>
      <w:bookmarkEnd w:id="34"/>
      <w:bookmarkEnd w:id="35"/>
      <w:r>
        <w:t>model</w:t>
      </w:r>
      <w:bookmarkEnd w:id="36"/>
      <w:bookmarkEnd w:id="37"/>
    </w:p>
    <w:p w14:paraId="043CEF8E" w14:textId="77777777" w:rsidR="00510E9F" w:rsidRPr="00C320F6" w:rsidRDefault="00510E9F" w:rsidP="00510E9F">
      <w:pPr>
        <w:pStyle w:val="Heading2"/>
        <w:numPr>
          <w:ilvl w:val="1"/>
          <w:numId w:val="16"/>
        </w:numPr>
        <w:spacing w:before="120" w:after="120"/>
        <w:ind w:left="360"/>
      </w:pPr>
      <w:bookmarkStart w:id="38" w:name="_Toc482346592"/>
      <w:bookmarkStart w:id="39" w:name="_Toc518999100"/>
      <w:bookmarkStart w:id="40" w:name="basisorcharging"/>
      <w:r>
        <w:t>Outputs and business processes of the activity</w:t>
      </w:r>
      <w:bookmarkEnd w:id="38"/>
      <w:bookmarkEnd w:id="39"/>
    </w:p>
    <w:p w14:paraId="30BEBCD4" w14:textId="78B543FB" w:rsidR="00510E9F" w:rsidRPr="008112CD" w:rsidRDefault="00A222BE" w:rsidP="00BC77AA">
      <w:pPr>
        <w:rPr>
          <w:snapToGrid w:val="0"/>
        </w:rPr>
      </w:pPr>
      <w:r>
        <w:rPr>
          <w:snapToGrid w:val="0"/>
        </w:rPr>
        <w:t>As noted, t</w:t>
      </w:r>
      <w:r w:rsidR="00510E9F" w:rsidRPr="00C44F8A">
        <w:rPr>
          <w:snapToGrid w:val="0"/>
        </w:rPr>
        <w:t xml:space="preserve">he register provides a service for those making unsolicited telemarketing calls or sending unsolicited marketing faxes to check or </w:t>
      </w:r>
      <w:r w:rsidR="00510E9F" w:rsidRPr="00C44F8A">
        <w:rPr>
          <w:rFonts w:hint="eastAsia"/>
          <w:snapToGrid w:val="0"/>
        </w:rPr>
        <w:t>‘</w:t>
      </w:r>
      <w:r w:rsidR="00510E9F" w:rsidRPr="00C44F8A">
        <w:rPr>
          <w:snapToGrid w:val="0"/>
        </w:rPr>
        <w:t>wash</w:t>
      </w:r>
      <w:r w:rsidR="00510E9F" w:rsidRPr="00C44F8A">
        <w:rPr>
          <w:rFonts w:hint="eastAsia"/>
          <w:snapToGrid w:val="0"/>
        </w:rPr>
        <w:t>’</w:t>
      </w:r>
      <w:r w:rsidR="00510E9F" w:rsidRPr="00C44F8A">
        <w:rPr>
          <w:snapToGrid w:val="0"/>
        </w:rPr>
        <w:t xml:space="preserve"> their</w:t>
      </w:r>
      <w:r w:rsidR="00510E9F" w:rsidRPr="00C44F8A">
        <w:rPr>
          <w:rFonts w:hint="eastAsia"/>
          <w:snapToGrid w:val="0"/>
        </w:rPr>
        <w:t> </w:t>
      </w:r>
      <w:r w:rsidR="00510E9F" w:rsidRPr="00C44F8A">
        <w:rPr>
          <w:snapToGrid w:val="0"/>
        </w:rPr>
        <w:t>number lists against the register. The washed list is returned with registered numbers identified</w:t>
      </w:r>
      <w:r w:rsidR="00510E9F">
        <w:rPr>
          <w:snapToGrid w:val="0"/>
        </w:rPr>
        <w:t>.</w:t>
      </w:r>
    </w:p>
    <w:p w14:paraId="205EEB3B" w14:textId="6CD188CF" w:rsidR="00510E9F" w:rsidRPr="00C44F8A" w:rsidRDefault="00510E9F" w:rsidP="00510E9F">
      <w:pPr>
        <w:spacing w:after="80"/>
      </w:pPr>
      <w:r w:rsidRPr="00C44F8A">
        <w:t xml:space="preserve">The </w:t>
      </w:r>
      <w:r>
        <w:t xml:space="preserve">register </w:t>
      </w:r>
      <w:r w:rsidR="00E47512">
        <w:t>is a secure database of registered numbers</w:t>
      </w:r>
      <w:r w:rsidR="00197CEF">
        <w:t>. S</w:t>
      </w:r>
      <w:r w:rsidR="00E47512">
        <w:t xml:space="preserve">ervices </w:t>
      </w:r>
      <w:r w:rsidR="00B51080">
        <w:t xml:space="preserve">that </w:t>
      </w:r>
      <w:r w:rsidR="00E47512">
        <w:t>support</w:t>
      </w:r>
      <w:r w:rsidR="00197CEF">
        <w:t xml:space="preserve"> </w:t>
      </w:r>
      <w:r w:rsidR="00A222BE">
        <w:t xml:space="preserve">its </w:t>
      </w:r>
      <w:r w:rsidR="00E47512">
        <w:t>operation</w:t>
      </w:r>
      <w:r w:rsidR="00197CEF">
        <w:t xml:space="preserve"> </w:t>
      </w:r>
      <w:r w:rsidR="00E47512">
        <w:t>include:</w:t>
      </w:r>
    </w:p>
    <w:p w14:paraId="7B83B346" w14:textId="77777777" w:rsidR="00510E9F" w:rsidRPr="008112CD" w:rsidRDefault="00510E9F" w:rsidP="008112CD">
      <w:pPr>
        <w:pStyle w:val="ListBullet"/>
      </w:pPr>
      <w:r w:rsidRPr="008112CD">
        <w:t>a call centre with IT support</w:t>
      </w:r>
    </w:p>
    <w:p w14:paraId="06817B0C" w14:textId="77777777" w:rsidR="00510E9F" w:rsidRPr="008112CD" w:rsidRDefault="00510E9F" w:rsidP="008112CD">
      <w:pPr>
        <w:pStyle w:val="ListBullet"/>
      </w:pPr>
      <w:r w:rsidRPr="008112CD">
        <w:t>a customer management system</w:t>
      </w:r>
    </w:p>
    <w:p w14:paraId="305A1D27" w14:textId="77777777" w:rsidR="00510E9F" w:rsidRPr="008112CD" w:rsidRDefault="00510E9F" w:rsidP="008112CD">
      <w:pPr>
        <w:pStyle w:val="ListBullet"/>
      </w:pPr>
      <w:r w:rsidRPr="008112CD">
        <w:t>a dedicated website</w:t>
      </w:r>
    </w:p>
    <w:p w14:paraId="0C1D37F0" w14:textId="77777777" w:rsidR="00510E9F" w:rsidRPr="00C44F8A" w:rsidRDefault="00510E9F" w:rsidP="008112CD">
      <w:pPr>
        <w:pStyle w:val="ListBullet"/>
      </w:pPr>
      <w:r w:rsidRPr="008112CD">
        <w:t>a financial system</w:t>
      </w:r>
      <w:r w:rsidRPr="00C44F8A">
        <w:t xml:space="preserve"> for account management</w:t>
      </w:r>
    </w:p>
    <w:p w14:paraId="57F7B2B3" w14:textId="77777777" w:rsidR="00510E9F" w:rsidRDefault="00510E9F" w:rsidP="008112CD">
      <w:pPr>
        <w:pStyle w:val="ListBulletLast"/>
      </w:pPr>
      <w:r w:rsidRPr="00C44F8A">
        <w:t xml:space="preserve">four washing </w:t>
      </w:r>
      <w:r>
        <w:t>channel</w:t>
      </w:r>
      <w:r w:rsidRPr="00C44F8A">
        <w:t>s</w:t>
      </w:r>
      <w:r>
        <w:t>.</w:t>
      </w:r>
      <w:r w:rsidRPr="00C44F8A">
        <w:t xml:space="preserve"> </w:t>
      </w:r>
    </w:p>
    <w:p w14:paraId="548F65ED" w14:textId="77777777" w:rsidR="00510E9F" w:rsidRDefault="00510E9F" w:rsidP="00510E9F">
      <w:pPr>
        <w:pStyle w:val="Heading2"/>
        <w:numPr>
          <w:ilvl w:val="1"/>
          <w:numId w:val="16"/>
        </w:numPr>
        <w:spacing w:before="120" w:after="120"/>
        <w:ind w:left="360"/>
      </w:pPr>
      <w:bookmarkStart w:id="41" w:name="_Toc482346593"/>
      <w:bookmarkStart w:id="42" w:name="_Toc518999101"/>
      <w:r>
        <w:t>Methodology</w:t>
      </w:r>
      <w:bookmarkEnd w:id="41"/>
      <w:bookmarkEnd w:id="42"/>
      <w:r>
        <w:t xml:space="preserve"> </w:t>
      </w:r>
    </w:p>
    <w:p w14:paraId="1C461A54" w14:textId="2C953E7C" w:rsidR="00510E9F" w:rsidRDefault="00510E9F" w:rsidP="00510E9F">
      <w:r>
        <w:t xml:space="preserve">In 2009, the Australian National Audit Office assessed whether the fees and charges were appropriately set and collected to recover the costs of the register in accordance with government policy. The audit confirmed that the methodology used was appropriate. </w:t>
      </w:r>
    </w:p>
    <w:p w14:paraId="486CCB34" w14:textId="3D7A5BCB" w:rsidR="00510E9F" w:rsidRPr="00526EC1" w:rsidRDefault="00510E9F" w:rsidP="0072094F">
      <w:r>
        <w:t xml:space="preserve">In reviewing the modelling, the ACMA has </w:t>
      </w:r>
      <w:proofErr w:type="gramStart"/>
      <w:r>
        <w:t>taken into account</w:t>
      </w:r>
      <w:proofErr w:type="gramEnd"/>
      <w:r>
        <w:t xml:space="preserve"> the current cost</w:t>
      </w:r>
      <w:r w:rsidR="00C04684">
        <w:t>-</w:t>
      </w:r>
      <w:r>
        <w:t xml:space="preserve">recovery policy of promoting </w:t>
      </w:r>
      <w:r w:rsidRPr="00D90DDE">
        <w:t>consistent, transparent and</w:t>
      </w:r>
      <w:r>
        <w:t xml:space="preserve"> </w:t>
      </w:r>
      <w:r w:rsidRPr="00D90DDE">
        <w:t>accountable charging for government activities and the</w:t>
      </w:r>
      <w:r>
        <w:t xml:space="preserve"> </w:t>
      </w:r>
      <w:r w:rsidRPr="00D90DDE">
        <w:t>proper use of public resources.</w:t>
      </w:r>
      <w:r>
        <w:t xml:space="preserve"> </w:t>
      </w:r>
      <w:r w:rsidRPr="00A84CBD">
        <w:t xml:space="preserve">There has been no change in the methodology used </w:t>
      </w:r>
      <w:r>
        <w:t xml:space="preserve">as the model </w:t>
      </w:r>
      <w:r w:rsidR="00197CEF">
        <w:t>is consistent with</w:t>
      </w:r>
      <w:r>
        <w:t xml:space="preserve"> the </w:t>
      </w:r>
      <w:hyperlink r:id="rId31" w:history="1">
        <w:r w:rsidRPr="00602485">
          <w:rPr>
            <w:rStyle w:val="Hyperlink"/>
          </w:rPr>
          <w:t>Australian Government Cost Recovery Guidelines</w:t>
        </w:r>
      </w:hyperlink>
      <w:r w:rsidRPr="00146FAF">
        <w:t xml:space="preserve"> and the </w:t>
      </w:r>
      <w:hyperlink r:id="rId32" w:history="1">
        <w:r w:rsidRPr="00602485">
          <w:rPr>
            <w:rStyle w:val="Hyperlink"/>
          </w:rPr>
          <w:t>Australian Government Charging Framework</w:t>
        </w:r>
      </w:hyperlink>
      <w:r w:rsidRPr="00146FAF">
        <w:t>.</w:t>
      </w:r>
      <w:r>
        <w:t xml:space="preserve"> </w:t>
      </w:r>
    </w:p>
    <w:p w14:paraId="10BC56B2" w14:textId="77777777" w:rsidR="00510E9F" w:rsidRPr="00C320F6" w:rsidRDefault="00510E9F" w:rsidP="00510E9F">
      <w:pPr>
        <w:pStyle w:val="Heading2"/>
        <w:numPr>
          <w:ilvl w:val="1"/>
          <w:numId w:val="16"/>
        </w:numPr>
        <w:spacing w:before="120" w:after="120"/>
        <w:ind w:left="360"/>
      </w:pPr>
      <w:bookmarkStart w:id="43" w:name="_Toc482346594"/>
      <w:bookmarkStart w:id="44" w:name="_Toc518999102"/>
      <w:r w:rsidRPr="00C320F6">
        <w:t xml:space="preserve">Costs </w:t>
      </w:r>
      <w:r>
        <w:t>of the activity</w:t>
      </w:r>
      <w:bookmarkEnd w:id="43"/>
      <w:bookmarkEnd w:id="44"/>
    </w:p>
    <w:p w14:paraId="2456A51C" w14:textId="77DA32EC" w:rsidR="00510E9F" w:rsidRPr="008112CD" w:rsidRDefault="00510E9F" w:rsidP="005804DA">
      <w:pPr>
        <w:rPr>
          <w:snapToGrid w:val="0"/>
        </w:rPr>
      </w:pPr>
      <w:r w:rsidRPr="00C8209B">
        <w:rPr>
          <w:snapToGrid w:val="0"/>
        </w:rPr>
        <w:t xml:space="preserve">The ACMA maintains </w:t>
      </w:r>
      <w:r>
        <w:rPr>
          <w:snapToGrid w:val="0"/>
        </w:rPr>
        <w:t xml:space="preserve">separate </w:t>
      </w:r>
      <w:r w:rsidRPr="00C8209B">
        <w:rPr>
          <w:snapToGrid w:val="0"/>
        </w:rPr>
        <w:t xml:space="preserve">financial records </w:t>
      </w:r>
      <w:r>
        <w:rPr>
          <w:snapToGrid w:val="0"/>
        </w:rPr>
        <w:t>for</w:t>
      </w:r>
      <w:r w:rsidRPr="00C8209B">
        <w:rPr>
          <w:snapToGrid w:val="0"/>
        </w:rPr>
        <w:t xml:space="preserve"> the register to identify the direct costs associated with </w:t>
      </w:r>
      <w:r>
        <w:rPr>
          <w:snapToGrid w:val="0"/>
        </w:rPr>
        <w:t xml:space="preserve">its </w:t>
      </w:r>
      <w:r w:rsidRPr="00C8209B">
        <w:rPr>
          <w:snapToGrid w:val="0"/>
        </w:rPr>
        <w:t>operati</w:t>
      </w:r>
      <w:r>
        <w:rPr>
          <w:snapToGrid w:val="0"/>
        </w:rPr>
        <w:t>on</w:t>
      </w:r>
      <w:r w:rsidRPr="00C8209B">
        <w:rPr>
          <w:snapToGrid w:val="0"/>
        </w:rPr>
        <w:t>.</w:t>
      </w:r>
      <w:r w:rsidRPr="00C44F8A">
        <w:t xml:space="preserve"> </w:t>
      </w:r>
      <w:r w:rsidR="005804DA">
        <w:t>D</w:t>
      </w:r>
      <w:r w:rsidRPr="00F75B92">
        <w:t xml:space="preserve">irect costs to be recovered </w:t>
      </w:r>
      <w:r w:rsidR="005804DA">
        <w:t>are calculated using</w:t>
      </w:r>
      <w:r w:rsidRPr="00F75B92">
        <w:t xml:space="preserve"> a costing model specifically for this purpose.</w:t>
      </w:r>
    </w:p>
    <w:p w14:paraId="2B08F0B9" w14:textId="08E087B7" w:rsidR="00510E9F" w:rsidRPr="003F1AB2" w:rsidRDefault="00510E9F" w:rsidP="00510E9F">
      <w:pPr>
        <w:spacing w:after="80"/>
        <w:rPr>
          <w:rFonts w:cs="Arial"/>
          <w:iCs/>
        </w:rPr>
      </w:pPr>
      <w:r w:rsidRPr="003F1AB2">
        <w:t>In calculating the total estimated direct cost</w:t>
      </w:r>
      <w:r w:rsidR="00C04684">
        <w:t>-</w:t>
      </w:r>
      <w:r>
        <w:t xml:space="preserve">recoverable </w:t>
      </w:r>
      <w:r w:rsidRPr="003F1AB2">
        <w:t xml:space="preserve">figure, the following </w:t>
      </w:r>
      <w:r w:rsidR="00A222BE">
        <w:t xml:space="preserve">are </w:t>
      </w:r>
      <w:r w:rsidRPr="003F1AB2">
        <w:t>excluded:</w:t>
      </w:r>
    </w:p>
    <w:p w14:paraId="1107C2F9" w14:textId="63B83AA3" w:rsidR="00510E9F" w:rsidRPr="008112CD" w:rsidRDefault="00510E9F" w:rsidP="008112CD">
      <w:pPr>
        <w:pStyle w:val="ListBullet"/>
      </w:pPr>
      <w:r w:rsidRPr="008112CD">
        <w:t>procurement of a new register operator and transition from the former operator (totalling $1.0 million</w:t>
      </w:r>
      <w:r w:rsidR="003973C3">
        <w:t xml:space="preserve"> incurred </w:t>
      </w:r>
      <w:r w:rsidR="00DB05D3">
        <w:t>across</w:t>
      </w:r>
      <w:r w:rsidR="003973C3">
        <w:t xml:space="preserve"> </w:t>
      </w:r>
      <w:r w:rsidR="00DB05D3">
        <w:t>2014</w:t>
      </w:r>
      <w:r w:rsidR="005804DA">
        <w:t>–</w:t>
      </w:r>
      <w:r w:rsidR="00DB05D3">
        <w:t xml:space="preserve">15 and </w:t>
      </w:r>
      <w:r w:rsidR="003973C3">
        <w:t>201</w:t>
      </w:r>
      <w:r w:rsidR="00DB05D3">
        <w:t>5</w:t>
      </w:r>
      <w:r w:rsidR="005804DA">
        <w:t>–</w:t>
      </w:r>
      <w:r w:rsidR="003973C3">
        <w:t>1</w:t>
      </w:r>
      <w:r w:rsidR="00DB05D3">
        <w:t>6</w:t>
      </w:r>
      <w:r w:rsidRPr="008112CD">
        <w:t>)</w:t>
      </w:r>
    </w:p>
    <w:p w14:paraId="71CF9528" w14:textId="794271BC" w:rsidR="00510E9F" w:rsidRPr="008112CD" w:rsidRDefault="00510E9F" w:rsidP="008112CD">
      <w:pPr>
        <w:pStyle w:val="ListBullet"/>
      </w:pPr>
      <w:r w:rsidRPr="008112CD">
        <w:t>establishment costs for the new register operator to build its register systems</w:t>
      </w:r>
      <w:r w:rsidR="00C04684">
        <w:t xml:space="preserve"> </w:t>
      </w:r>
      <w:r w:rsidR="00C04684" w:rsidRPr="008112CD">
        <w:t>(totalling $3.6 million</w:t>
      </w:r>
      <w:r w:rsidR="00C04684">
        <w:t xml:space="preserve"> incurred across 2014–15 and 2015–16</w:t>
      </w:r>
      <w:r w:rsidR="00C04684" w:rsidRPr="008112CD">
        <w:t>)</w:t>
      </w:r>
    </w:p>
    <w:p w14:paraId="439A2368" w14:textId="23F04659" w:rsidR="00510E9F" w:rsidRPr="008112CD" w:rsidRDefault="00510E9F" w:rsidP="008112CD">
      <w:pPr>
        <w:pStyle w:val="ListBullet"/>
      </w:pPr>
      <w:r w:rsidRPr="008112CD">
        <w:t xml:space="preserve">the ACMA’s staff costs </w:t>
      </w:r>
      <w:r w:rsidR="00DB05D3">
        <w:t>incurred across 2014</w:t>
      </w:r>
      <w:r w:rsidR="005804DA">
        <w:t>–</w:t>
      </w:r>
      <w:r w:rsidR="00DB05D3">
        <w:t>15 and 2015</w:t>
      </w:r>
      <w:r w:rsidR="005804DA">
        <w:t>–</w:t>
      </w:r>
      <w:r w:rsidR="00DB05D3">
        <w:t>16</w:t>
      </w:r>
      <w:r w:rsidR="003973C3">
        <w:t xml:space="preserve"> </w:t>
      </w:r>
      <w:r w:rsidRPr="008112CD">
        <w:t>for procurement and transition to a new register operator and the establishment of a new register</w:t>
      </w:r>
    </w:p>
    <w:p w14:paraId="0B4D1AA3" w14:textId="53C78046" w:rsidR="00510E9F" w:rsidRPr="008112CD" w:rsidRDefault="00510E9F" w:rsidP="008112CD">
      <w:pPr>
        <w:pStyle w:val="ListBullet"/>
      </w:pPr>
      <w:r w:rsidRPr="008112CD">
        <w:t>the ACMA’s regulatory functions in monitoring and enforcing compliance with the Act</w:t>
      </w:r>
      <w:r w:rsidR="005804DA">
        <w:t>;</w:t>
      </w:r>
      <w:r w:rsidRPr="008112CD">
        <w:t xml:space="preserve"> for example, the costs involved in investigating complaints or taking enforcement action </w:t>
      </w:r>
    </w:p>
    <w:p w14:paraId="28038821" w14:textId="2B1BC2AC" w:rsidR="00510E9F" w:rsidRPr="003F1AB2" w:rsidRDefault="00510E9F" w:rsidP="008112CD">
      <w:pPr>
        <w:pStyle w:val="ListBulletLast"/>
      </w:pPr>
      <w:r>
        <w:t>t</w:t>
      </w:r>
      <w:r w:rsidRPr="003F1AB2">
        <w:t xml:space="preserve">he </w:t>
      </w:r>
      <w:r w:rsidR="00602485">
        <w:t>cost of consumer education activities related to</w:t>
      </w:r>
      <w:r w:rsidRPr="003F1AB2">
        <w:t xml:space="preserve"> the register</w:t>
      </w:r>
      <w:r>
        <w:t>.</w:t>
      </w:r>
    </w:p>
    <w:p w14:paraId="2A8A1436" w14:textId="77777777" w:rsidR="00510E9F" w:rsidRDefault="00510E9F" w:rsidP="00510E9F">
      <w:pPr>
        <w:spacing w:before="240"/>
      </w:pPr>
      <w:r w:rsidRPr="003F1AB2">
        <w:rPr>
          <w:rFonts w:cs="Arial"/>
          <w:iCs/>
        </w:rPr>
        <w:t xml:space="preserve">The cost for these activities </w:t>
      </w:r>
      <w:r>
        <w:rPr>
          <w:rFonts w:cs="Arial"/>
          <w:iCs/>
        </w:rPr>
        <w:t>is</w:t>
      </w:r>
      <w:r w:rsidRPr="003F1AB2">
        <w:rPr>
          <w:rFonts w:cs="Arial"/>
          <w:iCs/>
        </w:rPr>
        <w:t xml:space="preserve"> met through </w:t>
      </w:r>
      <w:r>
        <w:rPr>
          <w:rFonts w:cs="Arial"/>
          <w:iCs/>
        </w:rPr>
        <w:t xml:space="preserve">central </w:t>
      </w:r>
      <w:r w:rsidRPr="003F1AB2">
        <w:rPr>
          <w:rFonts w:cs="Arial"/>
          <w:iCs/>
        </w:rPr>
        <w:t>budget funding</w:t>
      </w:r>
      <w:r>
        <w:rPr>
          <w:rFonts w:cs="Arial"/>
          <w:iCs/>
        </w:rPr>
        <w:t>.</w:t>
      </w:r>
    </w:p>
    <w:p w14:paraId="0E361444" w14:textId="54F72BB8" w:rsidR="00510E9F" w:rsidRDefault="00510E9F" w:rsidP="008112CD">
      <w:r>
        <w:rPr>
          <w:snapToGrid w:val="0"/>
        </w:rPr>
        <w:lastRenderedPageBreak/>
        <w:t xml:space="preserve">Table </w:t>
      </w:r>
      <w:r w:rsidR="00BC77AA">
        <w:rPr>
          <w:snapToGrid w:val="0"/>
        </w:rPr>
        <w:t xml:space="preserve">1 </w:t>
      </w:r>
      <w:r>
        <w:rPr>
          <w:snapToGrid w:val="0"/>
        </w:rPr>
        <w:t>summarises the actual and estimated di</w:t>
      </w:r>
      <w:r w:rsidRPr="00CA36D0">
        <w:rPr>
          <w:snapToGrid w:val="0"/>
        </w:rPr>
        <w:t>rect cost</w:t>
      </w:r>
      <w:r>
        <w:rPr>
          <w:snapToGrid w:val="0"/>
        </w:rPr>
        <w:t>s associated with o</w:t>
      </w:r>
      <w:r w:rsidRPr="00CA36D0">
        <w:rPr>
          <w:snapToGrid w:val="0"/>
        </w:rPr>
        <w:t>perating the register</w:t>
      </w:r>
      <w:r>
        <w:rPr>
          <w:snapToGrid w:val="0"/>
        </w:rPr>
        <w:t xml:space="preserve"> between 2014–15 and 201</w:t>
      </w:r>
      <w:r w:rsidR="00E47512">
        <w:rPr>
          <w:snapToGrid w:val="0"/>
        </w:rPr>
        <w:t>8</w:t>
      </w:r>
      <w:r>
        <w:rPr>
          <w:snapToGrid w:val="0"/>
        </w:rPr>
        <w:t>–1</w:t>
      </w:r>
      <w:r w:rsidR="00E47512">
        <w:rPr>
          <w:snapToGrid w:val="0"/>
        </w:rPr>
        <w:t>9</w:t>
      </w:r>
      <w:r>
        <w:rPr>
          <w:snapToGrid w:val="0"/>
        </w:rPr>
        <w:t>.</w:t>
      </w:r>
      <w:r>
        <w:t xml:space="preserve"> </w:t>
      </w:r>
    </w:p>
    <w:p w14:paraId="4BB43477" w14:textId="2E653DCC" w:rsidR="008112CD" w:rsidRDefault="008112CD" w:rsidP="008112CD">
      <w:pPr>
        <w:pStyle w:val="ACMATableHeader"/>
      </w:pPr>
      <w:r w:rsidRPr="00F77386">
        <w:t>Direct operating costs of the register</w:t>
      </w:r>
    </w:p>
    <w:tbl>
      <w:tblPr>
        <w:tblStyle w:val="TableGrid"/>
        <w:tblW w:w="0" w:type="auto"/>
        <w:tblLayout w:type="fixed"/>
        <w:tblCellMar>
          <w:top w:w="57" w:type="dxa"/>
          <w:left w:w="57" w:type="dxa"/>
          <w:bottom w:w="57" w:type="dxa"/>
          <w:right w:w="57" w:type="dxa"/>
        </w:tblCellMar>
        <w:tblLook w:val="04A0" w:firstRow="1" w:lastRow="0" w:firstColumn="1" w:lastColumn="0" w:noHBand="0" w:noVBand="1"/>
      </w:tblPr>
      <w:tblGrid>
        <w:gridCol w:w="1271"/>
        <w:gridCol w:w="1278"/>
        <w:gridCol w:w="1278"/>
        <w:gridCol w:w="1278"/>
        <w:gridCol w:w="1278"/>
        <w:gridCol w:w="1278"/>
      </w:tblGrid>
      <w:tr w:rsidR="005804DA" w14:paraId="05DD6FFF" w14:textId="77777777" w:rsidTr="00154E21">
        <w:tc>
          <w:tcPr>
            <w:tcW w:w="1271" w:type="dxa"/>
            <w:shd w:val="clear" w:color="auto" w:fill="404040" w:themeFill="text1" w:themeFillTint="BF"/>
          </w:tcPr>
          <w:p w14:paraId="5E8209AA" w14:textId="4D20692C" w:rsidR="005804DA" w:rsidRPr="005804DA" w:rsidRDefault="005804DA" w:rsidP="005804DA">
            <w:pPr>
              <w:pStyle w:val="TableHeading"/>
              <w:rPr>
                <w:color w:val="FFFFFF" w:themeColor="background1"/>
              </w:rPr>
            </w:pPr>
            <w:r w:rsidRPr="005804DA">
              <w:rPr>
                <w:color w:val="FFFFFF" w:themeColor="background1"/>
              </w:rPr>
              <w:t>Direct costs</w:t>
            </w:r>
          </w:p>
        </w:tc>
        <w:tc>
          <w:tcPr>
            <w:tcW w:w="1278" w:type="dxa"/>
            <w:shd w:val="clear" w:color="auto" w:fill="404040" w:themeFill="text1" w:themeFillTint="BF"/>
          </w:tcPr>
          <w:p w14:paraId="3DB9B059" w14:textId="6F6FAA3A" w:rsidR="005804DA" w:rsidRPr="005804DA" w:rsidRDefault="005804DA" w:rsidP="005804DA">
            <w:pPr>
              <w:pStyle w:val="TableHeading"/>
              <w:rPr>
                <w:color w:val="FFFFFF" w:themeColor="background1"/>
              </w:rPr>
            </w:pPr>
            <w:r w:rsidRPr="005804DA">
              <w:rPr>
                <w:color w:val="FFFFFF" w:themeColor="background1"/>
              </w:rPr>
              <w:t>Actual 2014–15 ($m)</w:t>
            </w:r>
          </w:p>
        </w:tc>
        <w:tc>
          <w:tcPr>
            <w:tcW w:w="1278" w:type="dxa"/>
            <w:shd w:val="clear" w:color="auto" w:fill="404040" w:themeFill="text1" w:themeFillTint="BF"/>
          </w:tcPr>
          <w:p w14:paraId="17AF2E43" w14:textId="29E26CD5" w:rsidR="005804DA" w:rsidRPr="005804DA" w:rsidRDefault="005804DA" w:rsidP="005804DA">
            <w:pPr>
              <w:pStyle w:val="TableHeading"/>
              <w:rPr>
                <w:color w:val="FFFFFF" w:themeColor="background1"/>
              </w:rPr>
            </w:pPr>
            <w:r w:rsidRPr="005804DA">
              <w:rPr>
                <w:color w:val="FFFFFF" w:themeColor="background1"/>
              </w:rPr>
              <w:t>Actual 2015–16</w:t>
            </w:r>
            <w:r w:rsidRPr="005804DA">
              <w:rPr>
                <w:color w:val="FFFFFF" w:themeColor="background1"/>
              </w:rPr>
              <w:br/>
              <w:t>($m)</w:t>
            </w:r>
          </w:p>
        </w:tc>
        <w:tc>
          <w:tcPr>
            <w:tcW w:w="1278" w:type="dxa"/>
            <w:shd w:val="clear" w:color="auto" w:fill="404040" w:themeFill="text1" w:themeFillTint="BF"/>
          </w:tcPr>
          <w:p w14:paraId="368E7158" w14:textId="6E75E14C" w:rsidR="005804DA" w:rsidRPr="005804DA" w:rsidRDefault="005804DA" w:rsidP="005804DA">
            <w:pPr>
              <w:pStyle w:val="TableHeading"/>
              <w:rPr>
                <w:color w:val="FFFFFF" w:themeColor="background1"/>
              </w:rPr>
            </w:pPr>
            <w:r w:rsidRPr="005804DA">
              <w:rPr>
                <w:color w:val="FFFFFF" w:themeColor="background1"/>
              </w:rPr>
              <w:t>Actual 2016–17 ($m)</w:t>
            </w:r>
          </w:p>
        </w:tc>
        <w:tc>
          <w:tcPr>
            <w:tcW w:w="1278" w:type="dxa"/>
            <w:shd w:val="clear" w:color="auto" w:fill="404040" w:themeFill="text1" w:themeFillTint="BF"/>
          </w:tcPr>
          <w:p w14:paraId="119F0EDE" w14:textId="2790E342" w:rsidR="005804DA" w:rsidRPr="005804DA" w:rsidRDefault="005804DA" w:rsidP="005804DA">
            <w:pPr>
              <w:pStyle w:val="TableHeading"/>
              <w:rPr>
                <w:color w:val="FFFFFF" w:themeColor="background1"/>
              </w:rPr>
            </w:pPr>
            <w:r w:rsidRPr="005804DA">
              <w:rPr>
                <w:color w:val="FFFFFF" w:themeColor="background1"/>
              </w:rPr>
              <w:t>Actual and estimate* 2017–18 ($m)</w:t>
            </w:r>
          </w:p>
        </w:tc>
        <w:tc>
          <w:tcPr>
            <w:tcW w:w="1278" w:type="dxa"/>
            <w:shd w:val="clear" w:color="auto" w:fill="404040" w:themeFill="text1" w:themeFillTint="BF"/>
          </w:tcPr>
          <w:p w14:paraId="1E0A2295" w14:textId="2EFDA46C" w:rsidR="005804DA" w:rsidRPr="005804DA" w:rsidRDefault="005804DA" w:rsidP="005804DA">
            <w:pPr>
              <w:pStyle w:val="TableHeading"/>
              <w:rPr>
                <w:color w:val="FFFFFF" w:themeColor="background1"/>
              </w:rPr>
            </w:pPr>
            <w:r w:rsidRPr="005804DA">
              <w:rPr>
                <w:color w:val="FFFFFF" w:themeColor="background1"/>
              </w:rPr>
              <w:t>Estimate 2018–19 ($m)</w:t>
            </w:r>
          </w:p>
        </w:tc>
      </w:tr>
      <w:tr w:rsidR="005804DA" w14:paraId="127F751A" w14:textId="77777777" w:rsidTr="00154E21">
        <w:tc>
          <w:tcPr>
            <w:tcW w:w="1271" w:type="dxa"/>
            <w:vAlign w:val="center"/>
          </w:tcPr>
          <w:p w14:paraId="1B1E3027" w14:textId="7C6B2F0B" w:rsidR="005804DA" w:rsidRDefault="005804DA" w:rsidP="005804DA">
            <w:pPr>
              <w:spacing w:after="0"/>
            </w:pPr>
            <w:r w:rsidRPr="00137214">
              <w:rPr>
                <w:rFonts w:cs="Arial"/>
                <w:color w:val="000000"/>
                <w:szCs w:val="20"/>
              </w:rPr>
              <w:t>Contractors</w:t>
            </w:r>
          </w:p>
        </w:tc>
        <w:tc>
          <w:tcPr>
            <w:tcW w:w="1278" w:type="dxa"/>
            <w:vAlign w:val="center"/>
          </w:tcPr>
          <w:p w14:paraId="702A0994" w14:textId="3BA6FBD2" w:rsidR="005804DA" w:rsidRDefault="005804DA" w:rsidP="005804DA">
            <w:pPr>
              <w:spacing w:after="0"/>
            </w:pPr>
            <w:r w:rsidRPr="00137214">
              <w:rPr>
                <w:rFonts w:cs="Arial"/>
                <w:color w:val="000000"/>
                <w:szCs w:val="20"/>
              </w:rPr>
              <w:t>1.94</w:t>
            </w:r>
          </w:p>
        </w:tc>
        <w:tc>
          <w:tcPr>
            <w:tcW w:w="1278" w:type="dxa"/>
            <w:vAlign w:val="center"/>
          </w:tcPr>
          <w:p w14:paraId="17BE6290" w14:textId="101784BA" w:rsidR="005804DA" w:rsidRDefault="005804DA" w:rsidP="005804DA">
            <w:pPr>
              <w:spacing w:after="0"/>
            </w:pPr>
            <w:r w:rsidRPr="00137214">
              <w:rPr>
                <w:rFonts w:cs="Arial"/>
                <w:color w:val="000000"/>
                <w:szCs w:val="20"/>
              </w:rPr>
              <w:t>1.75</w:t>
            </w:r>
          </w:p>
        </w:tc>
        <w:tc>
          <w:tcPr>
            <w:tcW w:w="1278" w:type="dxa"/>
            <w:vAlign w:val="center"/>
          </w:tcPr>
          <w:p w14:paraId="7DD7E216" w14:textId="714B9A73" w:rsidR="005804DA" w:rsidRDefault="005804DA" w:rsidP="005804DA">
            <w:pPr>
              <w:spacing w:after="0"/>
            </w:pPr>
            <w:r w:rsidRPr="00137214">
              <w:rPr>
                <w:rFonts w:cs="Arial"/>
                <w:color w:val="000000"/>
                <w:szCs w:val="20"/>
              </w:rPr>
              <w:t>1.70</w:t>
            </w:r>
          </w:p>
        </w:tc>
        <w:tc>
          <w:tcPr>
            <w:tcW w:w="1278" w:type="dxa"/>
            <w:vAlign w:val="center"/>
          </w:tcPr>
          <w:p w14:paraId="5E095389" w14:textId="7C712788" w:rsidR="005804DA" w:rsidRDefault="005804DA" w:rsidP="005804DA">
            <w:pPr>
              <w:spacing w:after="0"/>
            </w:pPr>
            <w:r w:rsidRPr="00137214">
              <w:rPr>
                <w:rFonts w:cs="Arial"/>
                <w:color w:val="000000"/>
                <w:szCs w:val="20"/>
              </w:rPr>
              <w:t>1.69</w:t>
            </w:r>
          </w:p>
        </w:tc>
        <w:tc>
          <w:tcPr>
            <w:tcW w:w="1278" w:type="dxa"/>
            <w:vAlign w:val="center"/>
          </w:tcPr>
          <w:p w14:paraId="26D69E31" w14:textId="1C06930E" w:rsidR="005804DA" w:rsidRDefault="005804DA" w:rsidP="005804DA">
            <w:pPr>
              <w:spacing w:after="0"/>
            </w:pPr>
            <w:r w:rsidRPr="00137214">
              <w:rPr>
                <w:rFonts w:cs="Arial"/>
                <w:color w:val="000000"/>
                <w:szCs w:val="20"/>
              </w:rPr>
              <w:t>1.73</w:t>
            </w:r>
            <w:r w:rsidRPr="00602485">
              <w:rPr>
                <w:rFonts w:cs="Arial"/>
                <w:color w:val="000000"/>
                <w:szCs w:val="20"/>
                <w:vertAlign w:val="superscript"/>
              </w:rPr>
              <w:t>†</w:t>
            </w:r>
          </w:p>
        </w:tc>
      </w:tr>
      <w:tr w:rsidR="005804DA" w14:paraId="28F8D44F" w14:textId="77777777" w:rsidTr="00154E21">
        <w:tc>
          <w:tcPr>
            <w:tcW w:w="1271" w:type="dxa"/>
            <w:vAlign w:val="center"/>
          </w:tcPr>
          <w:p w14:paraId="3EBC1BDF" w14:textId="36F8B18E" w:rsidR="005804DA" w:rsidRDefault="005804DA" w:rsidP="005804DA">
            <w:pPr>
              <w:spacing w:after="0"/>
            </w:pPr>
            <w:r w:rsidRPr="00137214">
              <w:rPr>
                <w:rFonts w:cs="Arial"/>
                <w:color w:val="000000"/>
                <w:szCs w:val="20"/>
              </w:rPr>
              <w:t>Staff</w:t>
            </w:r>
          </w:p>
        </w:tc>
        <w:tc>
          <w:tcPr>
            <w:tcW w:w="1278" w:type="dxa"/>
            <w:vAlign w:val="center"/>
          </w:tcPr>
          <w:p w14:paraId="5186010B" w14:textId="2CD691D4" w:rsidR="005804DA" w:rsidRDefault="005804DA" w:rsidP="005804DA">
            <w:pPr>
              <w:spacing w:after="0"/>
            </w:pPr>
            <w:r w:rsidRPr="00137214">
              <w:rPr>
                <w:rFonts w:cs="Arial"/>
                <w:color w:val="000000"/>
                <w:szCs w:val="20"/>
              </w:rPr>
              <w:t>0.56</w:t>
            </w:r>
          </w:p>
        </w:tc>
        <w:tc>
          <w:tcPr>
            <w:tcW w:w="1278" w:type="dxa"/>
            <w:vAlign w:val="center"/>
          </w:tcPr>
          <w:p w14:paraId="1CE2E455" w14:textId="3EA535FA" w:rsidR="005804DA" w:rsidRDefault="005804DA" w:rsidP="005804DA">
            <w:pPr>
              <w:spacing w:after="0"/>
            </w:pPr>
            <w:r w:rsidRPr="00137214">
              <w:rPr>
                <w:rFonts w:cs="Arial"/>
                <w:color w:val="000000"/>
                <w:szCs w:val="20"/>
              </w:rPr>
              <w:t>0.55</w:t>
            </w:r>
          </w:p>
        </w:tc>
        <w:tc>
          <w:tcPr>
            <w:tcW w:w="1278" w:type="dxa"/>
            <w:vAlign w:val="center"/>
          </w:tcPr>
          <w:p w14:paraId="475E427B" w14:textId="631487FE" w:rsidR="005804DA" w:rsidRDefault="005804DA" w:rsidP="005804DA">
            <w:pPr>
              <w:spacing w:after="0"/>
            </w:pPr>
            <w:r w:rsidRPr="00137214">
              <w:rPr>
                <w:rFonts w:cs="Arial"/>
                <w:color w:val="000000"/>
                <w:szCs w:val="20"/>
              </w:rPr>
              <w:t>0.58</w:t>
            </w:r>
          </w:p>
        </w:tc>
        <w:tc>
          <w:tcPr>
            <w:tcW w:w="1278" w:type="dxa"/>
            <w:vAlign w:val="center"/>
          </w:tcPr>
          <w:p w14:paraId="06294BF8" w14:textId="25B202C0" w:rsidR="005804DA" w:rsidRDefault="005804DA" w:rsidP="005804DA">
            <w:pPr>
              <w:spacing w:after="0"/>
            </w:pPr>
            <w:r w:rsidRPr="00137214">
              <w:rPr>
                <w:rFonts w:cs="Arial"/>
                <w:color w:val="000000"/>
                <w:szCs w:val="20"/>
              </w:rPr>
              <w:t>0.38</w:t>
            </w:r>
          </w:p>
        </w:tc>
        <w:tc>
          <w:tcPr>
            <w:tcW w:w="1278" w:type="dxa"/>
            <w:vAlign w:val="center"/>
          </w:tcPr>
          <w:p w14:paraId="7954100E" w14:textId="392053AC" w:rsidR="005804DA" w:rsidRDefault="005804DA" w:rsidP="005804DA">
            <w:pPr>
              <w:spacing w:after="0"/>
            </w:pPr>
            <w:r w:rsidRPr="00137214">
              <w:rPr>
                <w:rFonts w:cs="Arial"/>
                <w:color w:val="000000"/>
                <w:szCs w:val="20"/>
              </w:rPr>
              <w:t>0.38</w:t>
            </w:r>
          </w:p>
        </w:tc>
      </w:tr>
      <w:tr w:rsidR="005804DA" w14:paraId="748A72E6" w14:textId="77777777" w:rsidTr="00154E21">
        <w:tc>
          <w:tcPr>
            <w:tcW w:w="1271" w:type="dxa"/>
            <w:vAlign w:val="center"/>
          </w:tcPr>
          <w:p w14:paraId="6CF5B1D7" w14:textId="7DC07876" w:rsidR="005804DA" w:rsidRDefault="005804DA" w:rsidP="005804DA">
            <w:pPr>
              <w:spacing w:after="0"/>
            </w:pPr>
            <w:r w:rsidRPr="00137214">
              <w:rPr>
                <w:rFonts w:cs="Arial"/>
                <w:color w:val="000000"/>
                <w:szCs w:val="20"/>
              </w:rPr>
              <w:t>Consultants</w:t>
            </w:r>
          </w:p>
        </w:tc>
        <w:tc>
          <w:tcPr>
            <w:tcW w:w="1278" w:type="dxa"/>
            <w:vAlign w:val="center"/>
          </w:tcPr>
          <w:p w14:paraId="28B46876" w14:textId="554DB212" w:rsidR="005804DA" w:rsidRDefault="005804DA" w:rsidP="005804DA">
            <w:pPr>
              <w:spacing w:after="0"/>
            </w:pPr>
            <w:r w:rsidRPr="00137214">
              <w:rPr>
                <w:rFonts w:cs="Arial"/>
                <w:color w:val="000000"/>
                <w:szCs w:val="20"/>
              </w:rPr>
              <w:t>0.01</w:t>
            </w:r>
          </w:p>
        </w:tc>
        <w:tc>
          <w:tcPr>
            <w:tcW w:w="1278" w:type="dxa"/>
            <w:vAlign w:val="center"/>
          </w:tcPr>
          <w:p w14:paraId="2C184B50" w14:textId="20B53388" w:rsidR="005804DA" w:rsidRDefault="005804DA" w:rsidP="005804DA">
            <w:pPr>
              <w:spacing w:after="0"/>
            </w:pPr>
            <w:r w:rsidRPr="00137214">
              <w:rPr>
                <w:rFonts w:cs="Arial"/>
                <w:color w:val="000000"/>
                <w:szCs w:val="20"/>
              </w:rPr>
              <w:t>0.01</w:t>
            </w:r>
          </w:p>
        </w:tc>
        <w:tc>
          <w:tcPr>
            <w:tcW w:w="1278" w:type="dxa"/>
            <w:vAlign w:val="center"/>
          </w:tcPr>
          <w:p w14:paraId="3B0E0ABD" w14:textId="6286BDD3" w:rsidR="005804DA" w:rsidRDefault="005804DA" w:rsidP="005804DA">
            <w:pPr>
              <w:spacing w:after="0"/>
            </w:pPr>
            <w:r w:rsidRPr="00137214">
              <w:rPr>
                <w:rFonts w:cs="Arial"/>
                <w:color w:val="000000"/>
                <w:szCs w:val="20"/>
              </w:rPr>
              <w:t>0.02</w:t>
            </w:r>
          </w:p>
        </w:tc>
        <w:tc>
          <w:tcPr>
            <w:tcW w:w="1278" w:type="dxa"/>
            <w:vAlign w:val="center"/>
          </w:tcPr>
          <w:p w14:paraId="24BEC3DD" w14:textId="662D2430" w:rsidR="005804DA" w:rsidRDefault="005804DA" w:rsidP="005804DA">
            <w:pPr>
              <w:spacing w:after="0"/>
            </w:pPr>
            <w:r w:rsidRPr="00137214">
              <w:rPr>
                <w:rFonts w:cs="Arial"/>
                <w:color w:val="000000"/>
                <w:szCs w:val="20"/>
              </w:rPr>
              <w:t>0.01</w:t>
            </w:r>
          </w:p>
        </w:tc>
        <w:tc>
          <w:tcPr>
            <w:tcW w:w="1278" w:type="dxa"/>
            <w:vAlign w:val="center"/>
          </w:tcPr>
          <w:p w14:paraId="456CA889" w14:textId="6CD22BCA" w:rsidR="005804DA" w:rsidRDefault="005804DA" w:rsidP="005804DA">
            <w:pPr>
              <w:spacing w:after="0"/>
            </w:pPr>
            <w:r w:rsidRPr="00137214">
              <w:rPr>
                <w:rFonts w:cs="Arial"/>
                <w:color w:val="000000"/>
                <w:szCs w:val="20"/>
              </w:rPr>
              <w:t>0.01</w:t>
            </w:r>
          </w:p>
        </w:tc>
      </w:tr>
      <w:tr w:rsidR="005804DA" w14:paraId="5CE71AD9" w14:textId="77777777" w:rsidTr="00154E21">
        <w:tc>
          <w:tcPr>
            <w:tcW w:w="1271" w:type="dxa"/>
            <w:vAlign w:val="center"/>
          </w:tcPr>
          <w:p w14:paraId="7E66C74E" w14:textId="5BDA4BF0" w:rsidR="005804DA" w:rsidRDefault="005804DA" w:rsidP="005804DA">
            <w:pPr>
              <w:spacing w:after="0"/>
            </w:pPr>
            <w:r w:rsidRPr="00137214">
              <w:rPr>
                <w:rFonts w:cs="Arial"/>
                <w:color w:val="000000"/>
                <w:szCs w:val="20"/>
              </w:rPr>
              <w:t>Other</w:t>
            </w:r>
          </w:p>
        </w:tc>
        <w:tc>
          <w:tcPr>
            <w:tcW w:w="1278" w:type="dxa"/>
            <w:vAlign w:val="center"/>
          </w:tcPr>
          <w:p w14:paraId="47F8EEF3" w14:textId="10CE9A70" w:rsidR="005804DA" w:rsidRDefault="005804DA" w:rsidP="005804DA">
            <w:pPr>
              <w:spacing w:after="0"/>
            </w:pPr>
            <w:r w:rsidRPr="00137214">
              <w:rPr>
                <w:rFonts w:cs="Arial"/>
                <w:color w:val="000000"/>
                <w:szCs w:val="20"/>
              </w:rPr>
              <w:t>0.03</w:t>
            </w:r>
          </w:p>
        </w:tc>
        <w:tc>
          <w:tcPr>
            <w:tcW w:w="1278" w:type="dxa"/>
            <w:vAlign w:val="center"/>
          </w:tcPr>
          <w:p w14:paraId="33F3C49B" w14:textId="610781B8" w:rsidR="005804DA" w:rsidRDefault="005804DA" w:rsidP="005804DA">
            <w:pPr>
              <w:spacing w:after="0"/>
            </w:pPr>
            <w:r w:rsidRPr="00137214">
              <w:rPr>
                <w:rFonts w:cs="Arial"/>
                <w:color w:val="000000"/>
                <w:szCs w:val="20"/>
              </w:rPr>
              <w:t>0.03</w:t>
            </w:r>
          </w:p>
        </w:tc>
        <w:tc>
          <w:tcPr>
            <w:tcW w:w="1278" w:type="dxa"/>
            <w:vAlign w:val="center"/>
          </w:tcPr>
          <w:p w14:paraId="29CA5077" w14:textId="7808512C" w:rsidR="005804DA" w:rsidRDefault="005804DA" w:rsidP="005804DA">
            <w:pPr>
              <w:spacing w:after="0"/>
            </w:pPr>
            <w:r w:rsidRPr="00137214">
              <w:rPr>
                <w:rFonts w:cs="Arial"/>
                <w:color w:val="000000"/>
                <w:szCs w:val="20"/>
              </w:rPr>
              <w:t>0.03</w:t>
            </w:r>
          </w:p>
        </w:tc>
        <w:tc>
          <w:tcPr>
            <w:tcW w:w="1278" w:type="dxa"/>
            <w:vAlign w:val="center"/>
          </w:tcPr>
          <w:p w14:paraId="517DBD1F" w14:textId="721F0350" w:rsidR="005804DA" w:rsidRDefault="005804DA" w:rsidP="005804DA">
            <w:pPr>
              <w:spacing w:after="0"/>
            </w:pPr>
            <w:r w:rsidRPr="00137214">
              <w:rPr>
                <w:rFonts w:cs="Arial"/>
                <w:color w:val="000000"/>
                <w:szCs w:val="20"/>
              </w:rPr>
              <w:t>0.03</w:t>
            </w:r>
          </w:p>
        </w:tc>
        <w:tc>
          <w:tcPr>
            <w:tcW w:w="1278" w:type="dxa"/>
            <w:vAlign w:val="center"/>
          </w:tcPr>
          <w:p w14:paraId="5FCD2A92" w14:textId="2ACEF77E" w:rsidR="005804DA" w:rsidRDefault="005804DA" w:rsidP="005804DA">
            <w:pPr>
              <w:spacing w:after="0"/>
            </w:pPr>
            <w:r w:rsidRPr="00137214">
              <w:rPr>
                <w:rFonts w:cs="Arial"/>
                <w:color w:val="000000"/>
                <w:szCs w:val="20"/>
              </w:rPr>
              <w:t>0.03</w:t>
            </w:r>
          </w:p>
        </w:tc>
      </w:tr>
      <w:tr w:rsidR="005804DA" w14:paraId="02EA8C1C" w14:textId="77777777" w:rsidTr="00154E21">
        <w:tc>
          <w:tcPr>
            <w:tcW w:w="1271" w:type="dxa"/>
            <w:shd w:val="clear" w:color="auto" w:fill="F2F2F2" w:themeFill="background1" w:themeFillShade="F2"/>
            <w:vAlign w:val="center"/>
          </w:tcPr>
          <w:p w14:paraId="28FDE1AE" w14:textId="60F9781C" w:rsidR="005804DA" w:rsidRDefault="005804DA" w:rsidP="005804DA">
            <w:pPr>
              <w:spacing w:after="0"/>
            </w:pPr>
            <w:r w:rsidRPr="00137214">
              <w:rPr>
                <w:rFonts w:cs="Arial"/>
                <w:b/>
                <w:bCs/>
                <w:color w:val="000000"/>
                <w:szCs w:val="20"/>
              </w:rPr>
              <w:t>Total</w:t>
            </w:r>
          </w:p>
        </w:tc>
        <w:tc>
          <w:tcPr>
            <w:tcW w:w="1278" w:type="dxa"/>
            <w:shd w:val="clear" w:color="auto" w:fill="F2F2F2" w:themeFill="background1" w:themeFillShade="F2"/>
            <w:vAlign w:val="center"/>
          </w:tcPr>
          <w:p w14:paraId="2EC7AACD" w14:textId="5D81B41E" w:rsidR="005804DA" w:rsidRDefault="005804DA" w:rsidP="005804DA">
            <w:pPr>
              <w:spacing w:after="0"/>
            </w:pPr>
            <w:r w:rsidRPr="00137214">
              <w:rPr>
                <w:rFonts w:cs="Arial"/>
                <w:color w:val="000000"/>
                <w:szCs w:val="20"/>
              </w:rPr>
              <w:t>2.54</w:t>
            </w:r>
          </w:p>
        </w:tc>
        <w:tc>
          <w:tcPr>
            <w:tcW w:w="1278" w:type="dxa"/>
            <w:shd w:val="clear" w:color="auto" w:fill="F2F2F2" w:themeFill="background1" w:themeFillShade="F2"/>
            <w:vAlign w:val="center"/>
          </w:tcPr>
          <w:p w14:paraId="3CF0451A" w14:textId="53E7DCF5" w:rsidR="005804DA" w:rsidRDefault="005804DA" w:rsidP="005804DA">
            <w:pPr>
              <w:spacing w:after="0"/>
            </w:pPr>
            <w:r w:rsidRPr="00137214">
              <w:rPr>
                <w:rFonts w:cs="Arial"/>
                <w:color w:val="000000"/>
                <w:szCs w:val="20"/>
              </w:rPr>
              <w:t>2.34</w:t>
            </w:r>
          </w:p>
        </w:tc>
        <w:tc>
          <w:tcPr>
            <w:tcW w:w="1278" w:type="dxa"/>
            <w:shd w:val="clear" w:color="auto" w:fill="F2F2F2" w:themeFill="background1" w:themeFillShade="F2"/>
            <w:vAlign w:val="center"/>
          </w:tcPr>
          <w:p w14:paraId="6897CCFC" w14:textId="011478BA" w:rsidR="005804DA" w:rsidRDefault="005804DA" w:rsidP="005804DA">
            <w:pPr>
              <w:spacing w:after="0"/>
            </w:pPr>
            <w:r w:rsidRPr="00137214">
              <w:rPr>
                <w:rFonts w:cs="Arial"/>
                <w:color w:val="000000"/>
                <w:szCs w:val="20"/>
              </w:rPr>
              <w:t>2.32</w:t>
            </w:r>
          </w:p>
        </w:tc>
        <w:tc>
          <w:tcPr>
            <w:tcW w:w="1278" w:type="dxa"/>
            <w:shd w:val="clear" w:color="auto" w:fill="F2F2F2" w:themeFill="background1" w:themeFillShade="F2"/>
            <w:vAlign w:val="center"/>
          </w:tcPr>
          <w:p w14:paraId="229FD7E2" w14:textId="09682342" w:rsidR="005804DA" w:rsidRDefault="005804DA" w:rsidP="005804DA">
            <w:pPr>
              <w:spacing w:after="0"/>
            </w:pPr>
            <w:r w:rsidRPr="00137214">
              <w:rPr>
                <w:rFonts w:cs="Arial"/>
                <w:color w:val="000000"/>
                <w:szCs w:val="20"/>
              </w:rPr>
              <w:t>2.11</w:t>
            </w:r>
          </w:p>
        </w:tc>
        <w:tc>
          <w:tcPr>
            <w:tcW w:w="1278" w:type="dxa"/>
            <w:shd w:val="clear" w:color="auto" w:fill="F2F2F2" w:themeFill="background1" w:themeFillShade="F2"/>
            <w:vAlign w:val="center"/>
          </w:tcPr>
          <w:p w14:paraId="6929C800" w14:textId="7B1D4A7B" w:rsidR="005804DA" w:rsidRDefault="005804DA" w:rsidP="005804DA">
            <w:pPr>
              <w:spacing w:after="0"/>
            </w:pPr>
            <w:r w:rsidRPr="00137214">
              <w:rPr>
                <w:rFonts w:cs="Arial"/>
                <w:color w:val="000000"/>
                <w:szCs w:val="20"/>
              </w:rPr>
              <w:t>2.14</w:t>
            </w:r>
          </w:p>
        </w:tc>
      </w:tr>
    </w:tbl>
    <w:p w14:paraId="28A59D6F" w14:textId="69049D83" w:rsidR="005804DA" w:rsidRDefault="005804DA" w:rsidP="00693DC6">
      <w:pPr>
        <w:pStyle w:val="ACMANotes"/>
      </w:pPr>
      <w:r w:rsidRPr="00137214">
        <w:t>* Estimates for 2017–18 are based on year-to-date actuals to 31 March 2018</w:t>
      </w:r>
      <w:r>
        <w:t xml:space="preserve">. </w:t>
      </w:r>
      <w:r w:rsidRPr="00137214">
        <w:t>Totals may not add up due to rounding of decimals</w:t>
      </w:r>
      <w:r>
        <w:t>.</w:t>
      </w:r>
    </w:p>
    <w:p w14:paraId="732A598E" w14:textId="6D35FC49" w:rsidR="005804DA" w:rsidRPr="00F77386" w:rsidRDefault="005804DA" w:rsidP="005804DA">
      <w:pPr>
        <w:pStyle w:val="ACMANotes"/>
        <w:spacing w:after="240"/>
      </w:pPr>
      <w:r w:rsidRPr="00602485">
        <w:rPr>
          <w:vertAlign w:val="superscript"/>
        </w:rPr>
        <w:t>†</w:t>
      </w:r>
      <w:r w:rsidRPr="00602485">
        <w:t xml:space="preserve"> Contract costs</w:t>
      </w:r>
      <w:r>
        <w:t xml:space="preserve"> are forecast to increase in line with any increase in the annual consumer price index (CPI) figure.</w:t>
      </w:r>
    </w:p>
    <w:p w14:paraId="1028E98C" w14:textId="77777777" w:rsidR="00510E9F" w:rsidRPr="004C0623" w:rsidRDefault="00510E9F" w:rsidP="00693DC6">
      <w:pPr>
        <w:pStyle w:val="Heading3"/>
      </w:pPr>
      <w:r w:rsidRPr="004C0623">
        <w:t>Calculation of costs</w:t>
      </w:r>
    </w:p>
    <w:p w14:paraId="0C944A1F" w14:textId="72D35AA1" w:rsidR="00510E9F" w:rsidRPr="00FB003D" w:rsidRDefault="00510E9F" w:rsidP="00BC77AA">
      <w:r w:rsidRPr="00427B3B">
        <w:t>The estimated contractor costs for 201</w:t>
      </w:r>
      <w:r w:rsidR="009A4D66" w:rsidRPr="00427B3B">
        <w:t>7</w:t>
      </w:r>
      <w:r w:rsidRPr="00427B3B">
        <w:t>–1</w:t>
      </w:r>
      <w:r w:rsidR="009A4D66" w:rsidRPr="00427B3B">
        <w:t>8</w:t>
      </w:r>
      <w:r w:rsidRPr="00427B3B">
        <w:t xml:space="preserve"> are </w:t>
      </w:r>
      <w:r w:rsidR="00D92EA8">
        <w:t>for</w:t>
      </w:r>
      <w:r w:rsidRPr="00427B3B">
        <w:t xml:space="preserve"> contract fees of approximately $1.</w:t>
      </w:r>
      <w:r w:rsidR="009A4D66" w:rsidRPr="00427B3B">
        <w:t>69</w:t>
      </w:r>
      <w:r w:rsidRPr="00427B3B">
        <w:t xml:space="preserve"> million for service</w:t>
      </w:r>
      <w:r w:rsidR="00D92EA8">
        <w:t>s</w:t>
      </w:r>
      <w:r w:rsidRPr="00427B3B">
        <w:t xml:space="preserve"> provided </w:t>
      </w:r>
      <w:r w:rsidR="00E35C95" w:rsidRPr="00427B3B">
        <w:t>under</w:t>
      </w:r>
      <w:r w:rsidRPr="00427B3B">
        <w:t xml:space="preserve"> contract by Salmat Digital Pty Ltd </w:t>
      </w:r>
      <w:r w:rsidR="004B5BAF">
        <w:t>(</w:t>
      </w:r>
      <w:r w:rsidR="00C04684">
        <w:t>t</w:t>
      </w:r>
      <w:r w:rsidRPr="00427B3B">
        <w:t xml:space="preserve">he </w:t>
      </w:r>
      <w:proofErr w:type="spellStart"/>
      <w:r w:rsidRPr="00427B3B">
        <w:t>AusTender</w:t>
      </w:r>
      <w:proofErr w:type="spellEnd"/>
      <w:r w:rsidRPr="00427B3B">
        <w:t xml:space="preserve"> process was used to competitively award this contract </w:t>
      </w:r>
      <w:r w:rsidR="00FE59D0" w:rsidRPr="00427B3B">
        <w:t xml:space="preserve">on </w:t>
      </w:r>
      <w:r w:rsidR="00427B3B" w:rsidRPr="00427B3B">
        <w:t>17 September 2014</w:t>
      </w:r>
      <w:r w:rsidR="004B5BAF">
        <w:t>)</w:t>
      </w:r>
      <w:r w:rsidR="00C04684">
        <w:t>.</w:t>
      </w:r>
    </w:p>
    <w:p w14:paraId="2FEC4BD3" w14:textId="3148D40A" w:rsidR="00510E9F" w:rsidRPr="002A4AB8" w:rsidRDefault="00510E9F" w:rsidP="008112CD">
      <w:r w:rsidRPr="00B45019">
        <w:t xml:space="preserve">Time is used as </w:t>
      </w:r>
      <w:r>
        <w:t>the</w:t>
      </w:r>
      <w:r w:rsidRPr="00B45019">
        <w:t xml:space="preserve"> primary means for allocating costs to activities performed</w:t>
      </w:r>
      <w:r w:rsidRPr="00FB003D">
        <w:t xml:space="preserve"> by ACMA staff. The relevant hourly rate for the calculation of staff costs is published in the </w:t>
      </w:r>
      <w:r w:rsidRPr="006A05C7">
        <w:t>Telecommunications (Charges) Determination 2017.</w:t>
      </w:r>
      <w:r w:rsidRPr="000F3D6E">
        <w:t xml:space="preserve"> </w:t>
      </w:r>
      <w:r>
        <w:t xml:space="preserve">The hourly rate from 1 July 2012 to 31 March 2017 was $197. The hourly rate from 1 April 2017 </w:t>
      </w:r>
      <w:r w:rsidRPr="009C1613">
        <w:t>is $202.</w:t>
      </w:r>
    </w:p>
    <w:p w14:paraId="1ABAB8A6" w14:textId="18F0314C" w:rsidR="00510E9F" w:rsidRPr="00A709EF" w:rsidRDefault="001E2B4F" w:rsidP="00B448D3">
      <w:pPr>
        <w:rPr>
          <w:snapToGrid w:val="0"/>
        </w:rPr>
      </w:pPr>
      <w:r w:rsidRPr="00DB05D3">
        <w:rPr>
          <w:snapToGrid w:val="0"/>
        </w:rPr>
        <w:t>In 2017</w:t>
      </w:r>
      <w:r w:rsidR="00D92EA8">
        <w:rPr>
          <w:snapToGrid w:val="0"/>
        </w:rPr>
        <w:t>–</w:t>
      </w:r>
      <w:r w:rsidRPr="00DB05D3">
        <w:rPr>
          <w:snapToGrid w:val="0"/>
        </w:rPr>
        <w:t xml:space="preserve">18, it is forecast that </w:t>
      </w:r>
      <w:r w:rsidRPr="006255C5">
        <w:rPr>
          <w:snapToGrid w:val="0"/>
        </w:rPr>
        <w:t>the full</w:t>
      </w:r>
      <w:r w:rsidR="004D70D9" w:rsidRPr="006255C5">
        <w:rPr>
          <w:snapToGrid w:val="0"/>
        </w:rPr>
        <w:t>-</w:t>
      </w:r>
      <w:r w:rsidRPr="006255C5">
        <w:rPr>
          <w:snapToGrid w:val="0"/>
        </w:rPr>
        <w:t>year</w:t>
      </w:r>
      <w:r w:rsidR="009A4D66" w:rsidRPr="006255C5">
        <w:rPr>
          <w:snapToGrid w:val="0"/>
        </w:rPr>
        <w:t xml:space="preserve"> cost</w:t>
      </w:r>
      <w:r w:rsidR="004D70D9" w:rsidRPr="00154E21">
        <w:rPr>
          <w:snapToGrid w:val="0"/>
        </w:rPr>
        <w:t>-</w:t>
      </w:r>
      <w:r w:rsidR="009A4D66" w:rsidRPr="006255C5">
        <w:rPr>
          <w:snapToGrid w:val="0"/>
        </w:rPr>
        <w:t>recoverable</w:t>
      </w:r>
      <w:r w:rsidR="009A4D66" w:rsidRPr="00DB05D3">
        <w:rPr>
          <w:snapToGrid w:val="0"/>
        </w:rPr>
        <w:t xml:space="preserve"> average staffing level (ASL) </w:t>
      </w:r>
      <w:r w:rsidRPr="00DB05D3">
        <w:rPr>
          <w:snapToGrid w:val="0"/>
        </w:rPr>
        <w:t>will be 1.</w:t>
      </w:r>
      <w:r w:rsidR="00DB05D3" w:rsidRPr="00DB05D3">
        <w:rPr>
          <w:snapToGrid w:val="0"/>
        </w:rPr>
        <w:t>29</w:t>
      </w:r>
      <w:r w:rsidRPr="00DB05D3">
        <w:rPr>
          <w:snapToGrid w:val="0"/>
        </w:rPr>
        <w:t>. In 2016</w:t>
      </w:r>
      <w:r w:rsidR="00D92EA8">
        <w:rPr>
          <w:snapToGrid w:val="0"/>
        </w:rPr>
        <w:t>–</w:t>
      </w:r>
      <w:r w:rsidRPr="00DB05D3">
        <w:rPr>
          <w:snapToGrid w:val="0"/>
        </w:rPr>
        <w:t xml:space="preserve">17, this </w:t>
      </w:r>
      <w:r w:rsidR="009A4D66" w:rsidRPr="00DB05D3">
        <w:rPr>
          <w:snapToGrid w:val="0"/>
        </w:rPr>
        <w:t>was 2.0</w:t>
      </w:r>
      <w:r w:rsidR="00427B3B">
        <w:rPr>
          <w:snapToGrid w:val="0"/>
        </w:rPr>
        <w:t>1</w:t>
      </w:r>
      <w:r w:rsidRPr="00DB05D3">
        <w:rPr>
          <w:snapToGrid w:val="0"/>
        </w:rPr>
        <w:t xml:space="preserve">. </w:t>
      </w:r>
      <w:r w:rsidR="00510E9F" w:rsidRPr="00DB05D3">
        <w:rPr>
          <w:snapToGrid w:val="0"/>
        </w:rPr>
        <w:t>In 201</w:t>
      </w:r>
      <w:r w:rsidRPr="00DB05D3">
        <w:rPr>
          <w:snapToGrid w:val="0"/>
        </w:rPr>
        <w:t>7</w:t>
      </w:r>
      <w:r w:rsidR="00BC77AA" w:rsidRPr="00DB05D3">
        <w:rPr>
          <w:snapToGrid w:val="0"/>
        </w:rPr>
        <w:t>–</w:t>
      </w:r>
      <w:r w:rsidR="00510E9F" w:rsidRPr="00DB05D3">
        <w:rPr>
          <w:snapToGrid w:val="0"/>
        </w:rPr>
        <w:t>1</w:t>
      </w:r>
      <w:r w:rsidRPr="00DB05D3">
        <w:rPr>
          <w:snapToGrid w:val="0"/>
        </w:rPr>
        <w:t>8</w:t>
      </w:r>
      <w:r w:rsidR="00510E9F" w:rsidRPr="00DB05D3">
        <w:rPr>
          <w:snapToGrid w:val="0"/>
        </w:rPr>
        <w:t xml:space="preserve">, </w:t>
      </w:r>
      <w:r w:rsidRPr="00DB05D3">
        <w:rPr>
          <w:snapToGrid w:val="0"/>
        </w:rPr>
        <w:t>cost</w:t>
      </w:r>
      <w:r w:rsidR="006255C5">
        <w:rPr>
          <w:snapToGrid w:val="0"/>
        </w:rPr>
        <w:t>-</w:t>
      </w:r>
      <w:r w:rsidRPr="00DB05D3">
        <w:rPr>
          <w:snapToGrid w:val="0"/>
        </w:rPr>
        <w:t xml:space="preserve">recoverable activities performed by </w:t>
      </w:r>
      <w:r w:rsidR="00510E9F" w:rsidRPr="00DB05D3">
        <w:rPr>
          <w:snapToGrid w:val="0"/>
        </w:rPr>
        <w:t xml:space="preserve">ACMA staff </w:t>
      </w:r>
      <w:r w:rsidRPr="00DB05D3">
        <w:rPr>
          <w:snapToGrid w:val="0"/>
        </w:rPr>
        <w:t>include</w:t>
      </w:r>
      <w:r w:rsidR="00510E9F" w:rsidRPr="00DB05D3">
        <w:rPr>
          <w:snapToGrid w:val="0"/>
        </w:rPr>
        <w:t xml:space="preserve"> the tasks</w:t>
      </w:r>
      <w:r w:rsidR="00510E9F" w:rsidRPr="00A709EF">
        <w:rPr>
          <w:snapToGrid w:val="0"/>
        </w:rPr>
        <w:t xml:space="preserve"> set out in Table 2.</w:t>
      </w:r>
      <w:r w:rsidR="000D7CBD" w:rsidRPr="00A709EF">
        <w:rPr>
          <w:snapToGrid w:val="0"/>
        </w:rPr>
        <w:t xml:space="preserve"> </w:t>
      </w:r>
    </w:p>
    <w:p w14:paraId="084A77EC" w14:textId="77777777" w:rsidR="008112CD" w:rsidRDefault="008112CD" w:rsidP="00A709EF">
      <w:pPr>
        <w:pStyle w:val="ACMATableHeader"/>
        <w:keepNext/>
        <w:keepLines/>
      </w:pPr>
      <w:r>
        <w:t>Register activities completed by ACMA staff</w:t>
      </w:r>
    </w:p>
    <w:tbl>
      <w:tblPr>
        <w:tblW w:w="8363" w:type="dxa"/>
        <w:tblInd w:w="-5" w:type="dxa"/>
        <w:tblCellMar>
          <w:top w:w="57" w:type="dxa"/>
          <w:left w:w="57" w:type="dxa"/>
          <w:bottom w:w="57" w:type="dxa"/>
          <w:right w:w="57" w:type="dxa"/>
        </w:tblCellMar>
        <w:tblLook w:val="04A0" w:firstRow="1" w:lastRow="0" w:firstColumn="1" w:lastColumn="0" w:noHBand="0" w:noVBand="1"/>
      </w:tblPr>
      <w:tblGrid>
        <w:gridCol w:w="2491"/>
        <w:gridCol w:w="5872"/>
      </w:tblGrid>
      <w:tr w:rsidR="00510E9F" w:rsidRPr="00131D7B" w14:paraId="6FF8575A" w14:textId="77777777" w:rsidTr="00154E21">
        <w:trPr>
          <w:trHeight w:val="300"/>
        </w:trPr>
        <w:tc>
          <w:tcPr>
            <w:tcW w:w="2491" w:type="dxa"/>
            <w:tcBorders>
              <w:top w:val="single" w:sz="4" w:space="0" w:color="auto"/>
              <w:left w:val="single" w:sz="4" w:space="0" w:color="auto"/>
              <w:bottom w:val="single" w:sz="4" w:space="0" w:color="auto"/>
              <w:right w:val="single" w:sz="4" w:space="0" w:color="auto"/>
            </w:tcBorders>
            <w:shd w:val="clear" w:color="auto" w:fill="404040" w:themeFill="text1" w:themeFillTint="BF"/>
            <w:noWrap/>
            <w:hideMark/>
          </w:tcPr>
          <w:p w14:paraId="2BE75461" w14:textId="77777777" w:rsidR="00510E9F" w:rsidRPr="0072094F" w:rsidRDefault="00510E9F" w:rsidP="00A709EF">
            <w:pPr>
              <w:pStyle w:val="TableHeading"/>
              <w:keepNext/>
              <w:keepLines/>
              <w:rPr>
                <w:color w:val="FFFFFF" w:themeColor="background1"/>
              </w:rPr>
            </w:pPr>
            <w:r w:rsidRPr="00BF751B">
              <w:rPr>
                <w:color w:val="FFFFFF" w:themeColor="background1"/>
              </w:rPr>
              <w:t>Task</w:t>
            </w:r>
          </w:p>
        </w:tc>
        <w:tc>
          <w:tcPr>
            <w:tcW w:w="5872" w:type="dxa"/>
            <w:tcBorders>
              <w:top w:val="single" w:sz="4" w:space="0" w:color="auto"/>
              <w:left w:val="nil"/>
              <w:bottom w:val="single" w:sz="4" w:space="0" w:color="auto"/>
              <w:right w:val="single" w:sz="4" w:space="0" w:color="auto"/>
            </w:tcBorders>
            <w:shd w:val="clear" w:color="auto" w:fill="404040" w:themeFill="text1" w:themeFillTint="BF"/>
          </w:tcPr>
          <w:p w14:paraId="649CD731" w14:textId="77777777" w:rsidR="00510E9F" w:rsidRPr="0072094F" w:rsidRDefault="00510E9F" w:rsidP="00A709EF">
            <w:pPr>
              <w:pStyle w:val="TableHeading"/>
              <w:keepNext/>
              <w:keepLines/>
              <w:rPr>
                <w:color w:val="FFFFFF" w:themeColor="background1"/>
              </w:rPr>
            </w:pPr>
            <w:r w:rsidRPr="00BF751B">
              <w:rPr>
                <w:color w:val="FFFFFF" w:themeColor="background1"/>
              </w:rPr>
              <w:t>Description</w:t>
            </w:r>
          </w:p>
        </w:tc>
      </w:tr>
      <w:tr w:rsidR="00510E9F" w:rsidRPr="00131D7B" w14:paraId="34B687AC" w14:textId="77777777" w:rsidTr="00154E21">
        <w:trPr>
          <w:trHeight w:val="300"/>
        </w:trPr>
        <w:tc>
          <w:tcPr>
            <w:tcW w:w="2491" w:type="dxa"/>
            <w:tcBorders>
              <w:top w:val="single" w:sz="4" w:space="0" w:color="auto"/>
              <w:left w:val="single" w:sz="4" w:space="0" w:color="auto"/>
              <w:bottom w:val="single" w:sz="4" w:space="0" w:color="auto"/>
              <w:right w:val="single" w:sz="4" w:space="0" w:color="auto"/>
            </w:tcBorders>
            <w:shd w:val="clear" w:color="000000" w:fill="FFFFFF"/>
            <w:noWrap/>
            <w:hideMark/>
          </w:tcPr>
          <w:p w14:paraId="253C0EC2" w14:textId="144AFD21" w:rsidR="00510E9F" w:rsidRPr="00CA614B" w:rsidRDefault="00510E9F" w:rsidP="00A709EF">
            <w:pPr>
              <w:keepNext/>
              <w:keepLines/>
              <w:spacing w:after="0" w:line="240" w:lineRule="auto"/>
              <w:rPr>
                <w:rFonts w:cs="Arial"/>
                <w:color w:val="000000"/>
                <w:szCs w:val="20"/>
              </w:rPr>
            </w:pPr>
            <w:r w:rsidRPr="00CA614B">
              <w:rPr>
                <w:rFonts w:cs="Arial"/>
                <w:color w:val="000000"/>
                <w:szCs w:val="20"/>
              </w:rPr>
              <w:t xml:space="preserve">Contract </w:t>
            </w:r>
            <w:r w:rsidR="00BC77AA">
              <w:rPr>
                <w:rFonts w:cs="Arial"/>
                <w:color w:val="000000"/>
                <w:szCs w:val="20"/>
              </w:rPr>
              <w:t>m</w:t>
            </w:r>
            <w:r w:rsidRPr="00CA614B">
              <w:rPr>
                <w:rFonts w:cs="Arial"/>
                <w:color w:val="000000"/>
                <w:szCs w:val="20"/>
              </w:rPr>
              <w:t>an</w:t>
            </w:r>
            <w:r>
              <w:rPr>
                <w:rFonts w:cs="Arial"/>
                <w:color w:val="000000"/>
                <w:szCs w:val="20"/>
              </w:rPr>
              <w:t>a</w:t>
            </w:r>
            <w:r w:rsidRPr="00CA614B">
              <w:rPr>
                <w:rFonts w:cs="Arial"/>
                <w:color w:val="000000"/>
                <w:szCs w:val="20"/>
              </w:rPr>
              <w:t>ge</w:t>
            </w:r>
            <w:r>
              <w:rPr>
                <w:rFonts w:cs="Arial"/>
                <w:color w:val="000000"/>
                <w:szCs w:val="20"/>
              </w:rPr>
              <w:t>ment</w:t>
            </w:r>
          </w:p>
        </w:tc>
        <w:tc>
          <w:tcPr>
            <w:tcW w:w="5872" w:type="dxa"/>
            <w:tcBorders>
              <w:top w:val="single" w:sz="4" w:space="0" w:color="auto"/>
              <w:left w:val="nil"/>
              <w:bottom w:val="single" w:sz="4" w:space="0" w:color="auto"/>
              <w:right w:val="single" w:sz="4" w:space="0" w:color="auto"/>
            </w:tcBorders>
          </w:tcPr>
          <w:p w14:paraId="0C0EF415" w14:textId="100330C0" w:rsidR="00510E9F" w:rsidRPr="00CA614B" w:rsidRDefault="00510E9F" w:rsidP="00A709EF">
            <w:pPr>
              <w:keepNext/>
              <w:keepLines/>
              <w:spacing w:after="0" w:line="240" w:lineRule="auto"/>
              <w:rPr>
                <w:rFonts w:cs="Arial"/>
                <w:color w:val="000000"/>
                <w:szCs w:val="20"/>
              </w:rPr>
            </w:pPr>
            <w:r w:rsidRPr="00CA614B">
              <w:rPr>
                <w:rFonts w:cs="Arial"/>
                <w:color w:val="000000"/>
                <w:szCs w:val="20"/>
              </w:rPr>
              <w:t xml:space="preserve">Management of </w:t>
            </w:r>
            <w:r w:rsidR="001E2B4F">
              <w:rPr>
                <w:rFonts w:cs="Arial"/>
                <w:color w:val="000000"/>
                <w:szCs w:val="20"/>
              </w:rPr>
              <w:t xml:space="preserve">the </w:t>
            </w:r>
            <w:r w:rsidRPr="00CA614B">
              <w:rPr>
                <w:rFonts w:cs="Arial"/>
                <w:color w:val="000000"/>
                <w:szCs w:val="20"/>
              </w:rPr>
              <w:t>contract</w:t>
            </w:r>
            <w:r w:rsidR="001E2B4F">
              <w:rPr>
                <w:rFonts w:cs="Arial"/>
                <w:color w:val="000000"/>
                <w:szCs w:val="20"/>
              </w:rPr>
              <w:t xml:space="preserve"> with </w:t>
            </w:r>
            <w:r w:rsidRPr="00CA614B">
              <w:rPr>
                <w:rFonts w:cs="Arial"/>
                <w:color w:val="000000"/>
                <w:szCs w:val="20"/>
              </w:rPr>
              <w:t>the register service provider</w:t>
            </w:r>
            <w:r>
              <w:rPr>
                <w:rFonts w:cs="Arial"/>
                <w:color w:val="000000"/>
                <w:szCs w:val="20"/>
              </w:rPr>
              <w:t>.</w:t>
            </w:r>
            <w:r w:rsidRPr="00CA614B" w:rsidDel="00EB5686">
              <w:rPr>
                <w:rFonts w:cs="Arial"/>
                <w:color w:val="000000"/>
                <w:szCs w:val="20"/>
              </w:rPr>
              <w:t xml:space="preserve"> </w:t>
            </w:r>
          </w:p>
        </w:tc>
      </w:tr>
      <w:tr w:rsidR="00510E9F" w:rsidRPr="00131D7B" w14:paraId="21C3F1B8" w14:textId="77777777" w:rsidTr="00154E21">
        <w:trPr>
          <w:trHeight w:val="300"/>
        </w:trPr>
        <w:tc>
          <w:tcPr>
            <w:tcW w:w="2491" w:type="dxa"/>
            <w:tcBorders>
              <w:top w:val="nil"/>
              <w:left w:val="single" w:sz="4" w:space="0" w:color="auto"/>
              <w:bottom w:val="single" w:sz="4" w:space="0" w:color="auto"/>
              <w:right w:val="single" w:sz="4" w:space="0" w:color="auto"/>
            </w:tcBorders>
            <w:shd w:val="clear" w:color="000000" w:fill="FFFFFF"/>
            <w:noWrap/>
            <w:hideMark/>
          </w:tcPr>
          <w:p w14:paraId="597F943F" w14:textId="1BDD9F66" w:rsidR="00510E9F" w:rsidRPr="00CA614B" w:rsidRDefault="00510E9F" w:rsidP="00A709EF">
            <w:pPr>
              <w:keepNext/>
              <w:keepLines/>
              <w:spacing w:after="0" w:line="240" w:lineRule="auto"/>
              <w:rPr>
                <w:rFonts w:cs="Arial"/>
                <w:color w:val="000000"/>
                <w:szCs w:val="20"/>
              </w:rPr>
            </w:pPr>
            <w:r w:rsidRPr="00CA614B">
              <w:rPr>
                <w:rFonts w:cs="Arial"/>
                <w:color w:val="000000"/>
                <w:szCs w:val="20"/>
              </w:rPr>
              <w:t xml:space="preserve">Project </w:t>
            </w:r>
            <w:r w:rsidR="00BC77AA">
              <w:rPr>
                <w:rFonts w:cs="Arial"/>
                <w:color w:val="000000"/>
                <w:szCs w:val="20"/>
              </w:rPr>
              <w:t>m</w:t>
            </w:r>
            <w:r w:rsidRPr="00CA614B">
              <w:rPr>
                <w:rFonts w:cs="Arial"/>
                <w:color w:val="000000"/>
                <w:szCs w:val="20"/>
              </w:rPr>
              <w:t>anage</w:t>
            </w:r>
            <w:r>
              <w:rPr>
                <w:rFonts w:cs="Arial"/>
                <w:color w:val="000000"/>
                <w:szCs w:val="20"/>
              </w:rPr>
              <w:t>ment</w:t>
            </w:r>
          </w:p>
        </w:tc>
        <w:tc>
          <w:tcPr>
            <w:tcW w:w="5872" w:type="dxa"/>
            <w:tcBorders>
              <w:top w:val="nil"/>
              <w:left w:val="nil"/>
              <w:bottom w:val="single" w:sz="4" w:space="0" w:color="auto"/>
              <w:right w:val="single" w:sz="4" w:space="0" w:color="auto"/>
            </w:tcBorders>
          </w:tcPr>
          <w:p w14:paraId="0E6708A9" w14:textId="7D03DCE9" w:rsidR="00510E9F" w:rsidRPr="00CA614B" w:rsidRDefault="00510E9F" w:rsidP="00A709EF">
            <w:pPr>
              <w:keepNext/>
              <w:keepLines/>
              <w:spacing w:after="0" w:line="240" w:lineRule="auto"/>
              <w:rPr>
                <w:rFonts w:cs="Arial"/>
                <w:color w:val="000000"/>
                <w:szCs w:val="20"/>
              </w:rPr>
            </w:pPr>
            <w:r w:rsidRPr="00CA614B">
              <w:rPr>
                <w:rFonts w:cs="Arial"/>
                <w:color w:val="000000"/>
                <w:szCs w:val="20"/>
              </w:rPr>
              <w:t xml:space="preserve">Project management of any changes to IT </w:t>
            </w:r>
            <w:r>
              <w:rPr>
                <w:rFonts w:cs="Arial"/>
                <w:color w:val="000000"/>
                <w:szCs w:val="20"/>
              </w:rPr>
              <w:t xml:space="preserve">and/or </w:t>
            </w:r>
            <w:r w:rsidRPr="00CA614B">
              <w:rPr>
                <w:rFonts w:cs="Arial"/>
                <w:color w:val="000000"/>
                <w:szCs w:val="20"/>
              </w:rPr>
              <w:t>register services</w:t>
            </w:r>
            <w:r>
              <w:rPr>
                <w:rFonts w:cs="Arial"/>
                <w:color w:val="000000"/>
                <w:szCs w:val="20"/>
              </w:rPr>
              <w:t xml:space="preserve">, development and implementation of </w:t>
            </w:r>
            <w:r w:rsidRPr="00CA614B">
              <w:rPr>
                <w:rFonts w:cs="Arial"/>
                <w:color w:val="000000"/>
                <w:szCs w:val="20"/>
              </w:rPr>
              <w:t xml:space="preserve">communications, </w:t>
            </w:r>
            <w:r w:rsidR="00D92EA8">
              <w:rPr>
                <w:rFonts w:cs="Arial"/>
                <w:color w:val="000000"/>
                <w:szCs w:val="20"/>
              </w:rPr>
              <w:t>development and review of</w:t>
            </w:r>
            <w:r>
              <w:rPr>
                <w:rFonts w:cs="Arial"/>
                <w:color w:val="000000"/>
                <w:szCs w:val="20"/>
              </w:rPr>
              <w:t xml:space="preserve"> register </w:t>
            </w:r>
            <w:r w:rsidRPr="00CA614B">
              <w:rPr>
                <w:rFonts w:cs="Arial"/>
                <w:color w:val="000000"/>
                <w:szCs w:val="20"/>
              </w:rPr>
              <w:t xml:space="preserve">website content, </w:t>
            </w:r>
            <w:r>
              <w:rPr>
                <w:rFonts w:cs="Arial"/>
                <w:color w:val="000000"/>
                <w:szCs w:val="20"/>
              </w:rPr>
              <w:t xml:space="preserve">management of </w:t>
            </w:r>
            <w:r w:rsidRPr="00CA614B">
              <w:rPr>
                <w:rFonts w:cs="Arial"/>
                <w:color w:val="000000"/>
                <w:szCs w:val="20"/>
              </w:rPr>
              <w:t>budgets and cost recovery</w:t>
            </w:r>
            <w:r>
              <w:rPr>
                <w:rFonts w:cs="Arial"/>
                <w:color w:val="000000"/>
                <w:szCs w:val="20"/>
              </w:rPr>
              <w:t>.</w:t>
            </w:r>
          </w:p>
        </w:tc>
      </w:tr>
      <w:tr w:rsidR="00510E9F" w:rsidRPr="00131D7B" w14:paraId="64C005BC" w14:textId="77777777" w:rsidTr="00154E21">
        <w:trPr>
          <w:trHeight w:val="300"/>
        </w:trPr>
        <w:tc>
          <w:tcPr>
            <w:tcW w:w="2491" w:type="dxa"/>
            <w:tcBorders>
              <w:top w:val="single" w:sz="4" w:space="0" w:color="auto"/>
              <w:left w:val="single" w:sz="4" w:space="0" w:color="auto"/>
              <w:bottom w:val="single" w:sz="4" w:space="0" w:color="auto"/>
              <w:right w:val="single" w:sz="4" w:space="0" w:color="auto"/>
            </w:tcBorders>
            <w:shd w:val="clear" w:color="000000" w:fill="FFFFFF"/>
            <w:noWrap/>
            <w:hideMark/>
          </w:tcPr>
          <w:p w14:paraId="751CEDC4" w14:textId="77777777" w:rsidR="00510E9F" w:rsidRPr="0048343D" w:rsidRDefault="00510E9F" w:rsidP="00A709EF">
            <w:pPr>
              <w:keepNext/>
              <w:keepLines/>
              <w:spacing w:after="0" w:line="240" w:lineRule="auto"/>
              <w:rPr>
                <w:rFonts w:cs="Arial"/>
                <w:color w:val="000000"/>
                <w:szCs w:val="20"/>
              </w:rPr>
            </w:pPr>
            <w:r w:rsidRPr="0048343D">
              <w:rPr>
                <w:rFonts w:cs="Arial"/>
                <w:color w:val="000000"/>
                <w:szCs w:val="20"/>
              </w:rPr>
              <w:t xml:space="preserve">Administration </w:t>
            </w:r>
          </w:p>
        </w:tc>
        <w:tc>
          <w:tcPr>
            <w:tcW w:w="5872" w:type="dxa"/>
            <w:tcBorders>
              <w:top w:val="single" w:sz="4" w:space="0" w:color="auto"/>
              <w:left w:val="nil"/>
              <w:bottom w:val="single" w:sz="4" w:space="0" w:color="auto"/>
              <w:right w:val="single" w:sz="4" w:space="0" w:color="auto"/>
            </w:tcBorders>
          </w:tcPr>
          <w:p w14:paraId="71DA74CE" w14:textId="47BB8170" w:rsidR="00510E9F" w:rsidRPr="00131D7B" w:rsidRDefault="00510E9F" w:rsidP="00A709EF">
            <w:pPr>
              <w:keepNext/>
              <w:keepLines/>
              <w:spacing w:after="0" w:line="240" w:lineRule="auto"/>
              <w:rPr>
                <w:rFonts w:ascii="Calibri" w:hAnsi="Calibri"/>
                <w:color w:val="000000"/>
                <w:sz w:val="22"/>
                <w:szCs w:val="22"/>
              </w:rPr>
            </w:pPr>
            <w:r>
              <w:rPr>
                <w:rFonts w:cs="Arial"/>
                <w:color w:val="000000"/>
                <w:szCs w:val="20"/>
              </w:rPr>
              <w:t>Management of</w:t>
            </w:r>
            <w:r w:rsidRPr="00CA614B">
              <w:rPr>
                <w:rFonts w:cs="Arial"/>
                <w:color w:val="000000"/>
                <w:szCs w:val="20"/>
              </w:rPr>
              <w:t xml:space="preserve"> </w:t>
            </w:r>
            <w:r>
              <w:rPr>
                <w:rFonts w:cs="Arial"/>
                <w:color w:val="000000"/>
                <w:szCs w:val="20"/>
              </w:rPr>
              <w:t xml:space="preserve">register activities including </w:t>
            </w:r>
            <w:r w:rsidRPr="00CA614B">
              <w:rPr>
                <w:rFonts w:cs="Arial"/>
                <w:color w:val="000000"/>
                <w:szCs w:val="20"/>
              </w:rPr>
              <w:t>the administration of access seeker</w:t>
            </w:r>
            <w:r>
              <w:rPr>
                <w:rFonts w:cs="Arial"/>
                <w:color w:val="000000"/>
                <w:szCs w:val="20"/>
              </w:rPr>
              <w:t xml:space="preserve"> accounts,</w:t>
            </w:r>
            <w:r w:rsidRPr="00CA614B">
              <w:rPr>
                <w:rFonts w:cs="Arial"/>
                <w:color w:val="000000"/>
                <w:szCs w:val="20"/>
              </w:rPr>
              <w:t xml:space="preserve"> invoices</w:t>
            </w:r>
            <w:r>
              <w:rPr>
                <w:rFonts w:cs="Arial"/>
                <w:color w:val="000000"/>
                <w:szCs w:val="20"/>
              </w:rPr>
              <w:t>,</w:t>
            </w:r>
            <w:r w:rsidRPr="00CA614B">
              <w:rPr>
                <w:rFonts w:cs="Arial"/>
                <w:color w:val="000000"/>
                <w:szCs w:val="20"/>
              </w:rPr>
              <w:t xml:space="preserve"> payments</w:t>
            </w:r>
            <w:r>
              <w:rPr>
                <w:rFonts w:cs="Arial"/>
                <w:color w:val="000000"/>
                <w:szCs w:val="20"/>
              </w:rPr>
              <w:t>,</w:t>
            </w:r>
            <w:r>
              <w:rPr>
                <w:rFonts w:ascii="Calibri" w:hAnsi="Calibri"/>
                <w:color w:val="000000"/>
                <w:sz w:val="22"/>
                <w:szCs w:val="22"/>
              </w:rPr>
              <w:t xml:space="preserve"> </w:t>
            </w:r>
            <w:r w:rsidRPr="00CA614B">
              <w:rPr>
                <w:rFonts w:cs="Arial"/>
                <w:color w:val="000000"/>
                <w:szCs w:val="20"/>
              </w:rPr>
              <w:t>refunds</w:t>
            </w:r>
            <w:r>
              <w:rPr>
                <w:rFonts w:cs="Arial"/>
                <w:color w:val="000000"/>
                <w:szCs w:val="20"/>
              </w:rPr>
              <w:t>,</w:t>
            </w:r>
            <w:r w:rsidRPr="00CA614B">
              <w:rPr>
                <w:rFonts w:cs="Arial"/>
                <w:color w:val="000000"/>
                <w:szCs w:val="20"/>
              </w:rPr>
              <w:t xml:space="preserve"> enquiries</w:t>
            </w:r>
            <w:r>
              <w:rPr>
                <w:rFonts w:cs="Arial"/>
                <w:color w:val="000000"/>
                <w:szCs w:val="20"/>
              </w:rPr>
              <w:t>,</w:t>
            </w:r>
            <w:r w:rsidRPr="00CA614B">
              <w:rPr>
                <w:rFonts w:cs="Arial"/>
                <w:color w:val="000000"/>
                <w:szCs w:val="20"/>
              </w:rPr>
              <w:t xml:space="preserve"> data analysis</w:t>
            </w:r>
            <w:r>
              <w:rPr>
                <w:rFonts w:cs="Arial"/>
                <w:color w:val="000000"/>
                <w:szCs w:val="20"/>
              </w:rPr>
              <w:t xml:space="preserve"> and washing</w:t>
            </w:r>
            <w:r w:rsidR="00D92EA8">
              <w:rPr>
                <w:rFonts w:cs="Arial"/>
                <w:color w:val="000000"/>
                <w:szCs w:val="20"/>
              </w:rPr>
              <w:t>; o</w:t>
            </w:r>
            <w:r w:rsidRPr="00CC52E4">
              <w:rPr>
                <w:rFonts w:cs="Arial"/>
                <w:color w:val="000000"/>
                <w:szCs w:val="20"/>
              </w:rPr>
              <w:t>vers</w:t>
            </w:r>
            <w:r w:rsidR="00D92EA8">
              <w:rPr>
                <w:rFonts w:cs="Arial"/>
                <w:color w:val="000000"/>
                <w:szCs w:val="20"/>
              </w:rPr>
              <w:t>ight of</w:t>
            </w:r>
            <w:r>
              <w:rPr>
                <w:rFonts w:ascii="Calibri" w:hAnsi="Calibri"/>
                <w:color w:val="000000"/>
                <w:sz w:val="22"/>
                <w:szCs w:val="22"/>
              </w:rPr>
              <w:t xml:space="preserve"> f</w:t>
            </w:r>
            <w:r>
              <w:rPr>
                <w:rFonts w:cs="Arial"/>
                <w:color w:val="000000"/>
                <w:szCs w:val="20"/>
              </w:rPr>
              <w:t xml:space="preserve">inancial delegations and other </w:t>
            </w:r>
            <w:r w:rsidR="001E2B4F">
              <w:rPr>
                <w:rFonts w:cs="Arial"/>
                <w:color w:val="000000"/>
                <w:szCs w:val="20"/>
              </w:rPr>
              <w:t>register</w:t>
            </w:r>
            <w:r w:rsidR="00D92EA8">
              <w:rPr>
                <w:rFonts w:cs="Arial"/>
                <w:color w:val="000000"/>
                <w:szCs w:val="20"/>
              </w:rPr>
              <w:t>-</w:t>
            </w:r>
            <w:r>
              <w:rPr>
                <w:rFonts w:cs="Arial"/>
                <w:color w:val="000000"/>
                <w:szCs w:val="20"/>
              </w:rPr>
              <w:t>related finance activities.</w:t>
            </w:r>
            <w:r w:rsidRPr="00CA614B">
              <w:rPr>
                <w:rFonts w:cs="Arial"/>
                <w:color w:val="000000"/>
                <w:szCs w:val="20"/>
              </w:rPr>
              <w:t xml:space="preserve"> </w:t>
            </w:r>
          </w:p>
        </w:tc>
      </w:tr>
    </w:tbl>
    <w:p w14:paraId="35A8E3BA" w14:textId="77777777" w:rsidR="00510E9F" w:rsidRPr="00D92EA8" w:rsidRDefault="00510E9F" w:rsidP="00D92EA8">
      <w:pPr>
        <w:pStyle w:val="ACMASpaceaftertable"/>
      </w:pPr>
    </w:p>
    <w:p w14:paraId="2B3515A9" w14:textId="4889FB2A" w:rsidR="00510E9F" w:rsidRPr="00204879" w:rsidRDefault="00510E9F" w:rsidP="008112CD">
      <w:r w:rsidRPr="00F77386">
        <w:t>ASL associated with contract management</w:t>
      </w:r>
      <w:r w:rsidR="00D92EA8">
        <w:t xml:space="preserve"> and </w:t>
      </w:r>
      <w:r w:rsidRPr="00F77386">
        <w:t xml:space="preserve">administrative, financial and communication </w:t>
      </w:r>
      <w:r w:rsidR="00BC77AA" w:rsidRPr="004D737D">
        <w:t xml:space="preserve">functions </w:t>
      </w:r>
      <w:r w:rsidRPr="001D329D">
        <w:t>is required year</w:t>
      </w:r>
      <w:r w:rsidR="00BC77AA" w:rsidRPr="001D329D">
        <w:t>-</w:t>
      </w:r>
      <w:r w:rsidRPr="001D329D">
        <w:t>on</w:t>
      </w:r>
      <w:r w:rsidR="00BC77AA" w:rsidRPr="001D329D">
        <w:t>-</w:t>
      </w:r>
      <w:r w:rsidRPr="001D329D">
        <w:t xml:space="preserve">year as these are ongoing register tasks. </w:t>
      </w:r>
      <w:r w:rsidR="00795907" w:rsidRPr="001D329D">
        <w:t>H</w:t>
      </w:r>
      <w:r w:rsidRPr="001D329D">
        <w:t>owever</w:t>
      </w:r>
      <w:r w:rsidR="002252DD">
        <w:t>,</w:t>
      </w:r>
      <w:r w:rsidRPr="001D329D">
        <w:t xml:space="preserve"> ASL costs have decreased</w:t>
      </w:r>
      <w:r w:rsidRPr="00F77386">
        <w:t xml:space="preserve"> </w:t>
      </w:r>
      <w:r w:rsidR="000D7CBD">
        <w:t xml:space="preserve">by approximately </w:t>
      </w:r>
      <w:r w:rsidR="00D92EA8">
        <w:t>35</w:t>
      </w:r>
      <w:r w:rsidR="002252DD">
        <w:t xml:space="preserve"> per cent </w:t>
      </w:r>
      <w:r w:rsidRPr="00F77386">
        <w:t xml:space="preserve">as </w:t>
      </w:r>
      <w:r w:rsidRPr="004D737D">
        <w:t>register operations have matured</w:t>
      </w:r>
      <w:r w:rsidR="007E4D81">
        <w:t xml:space="preserve"> and </w:t>
      </w:r>
      <w:r w:rsidR="002252DD">
        <w:t xml:space="preserve">have required less </w:t>
      </w:r>
      <w:r w:rsidR="007E4D81">
        <w:t xml:space="preserve">staff </w:t>
      </w:r>
      <w:r w:rsidR="002252DD">
        <w:t>oversight</w:t>
      </w:r>
      <w:r w:rsidR="007E4D81">
        <w:t xml:space="preserve">. </w:t>
      </w:r>
      <w:r w:rsidR="006255C5">
        <w:t>For</w:t>
      </w:r>
      <w:r w:rsidR="007E4D81">
        <w:t xml:space="preserve"> example, </w:t>
      </w:r>
      <w:r w:rsidR="00D92EA8">
        <w:t>in 2016–17</w:t>
      </w:r>
      <w:r w:rsidR="00A51227">
        <w:t>, time</w:t>
      </w:r>
      <w:r w:rsidR="00D92EA8">
        <w:t xml:space="preserve"> was required for</w:t>
      </w:r>
      <w:r w:rsidR="007E4D81">
        <w:t xml:space="preserve"> </w:t>
      </w:r>
      <w:r w:rsidR="005B6009">
        <w:t xml:space="preserve">post-transition </w:t>
      </w:r>
      <w:r w:rsidR="007E4D81">
        <w:t xml:space="preserve">activities related to the </w:t>
      </w:r>
      <w:r w:rsidR="005B6009">
        <w:t xml:space="preserve">change </w:t>
      </w:r>
      <w:r w:rsidR="007E4D81">
        <w:t xml:space="preserve">to the </w:t>
      </w:r>
      <w:r w:rsidR="007E4D81">
        <w:lastRenderedPageBreak/>
        <w:t>register operated by Salmat</w:t>
      </w:r>
      <w:r w:rsidR="005B6009">
        <w:t xml:space="preserve"> Digital</w:t>
      </w:r>
      <w:r w:rsidR="007E4D81">
        <w:t xml:space="preserve"> (post-deployment system changes and process development). The scale of these activities has reduced in 2017</w:t>
      </w:r>
      <w:r w:rsidR="00A51227">
        <w:t>–</w:t>
      </w:r>
      <w:r w:rsidR="007E4D81">
        <w:t>18.</w:t>
      </w:r>
    </w:p>
    <w:p w14:paraId="2E8CCBFD" w14:textId="70756062" w:rsidR="00510E9F" w:rsidRPr="00FB003D" w:rsidRDefault="008F1FDF" w:rsidP="008112CD">
      <w:r w:rsidRPr="00FB003D">
        <w:t xml:space="preserve">The consultant costs represent </w:t>
      </w:r>
      <w:r w:rsidR="00CC0E9C">
        <w:t>subscription fee</w:t>
      </w:r>
      <w:r w:rsidR="002252DD">
        <w:t xml:space="preserve"> </w:t>
      </w:r>
      <w:r>
        <w:t xml:space="preserve">modelling </w:t>
      </w:r>
      <w:r w:rsidRPr="00FB003D">
        <w:t xml:space="preserve">services provided by </w:t>
      </w:r>
      <w:r>
        <w:t>ACIL Allen Consulting for the 2017</w:t>
      </w:r>
      <w:r w:rsidR="00A51227">
        <w:t>–</w:t>
      </w:r>
      <w:r>
        <w:t>18 financial year.</w:t>
      </w:r>
      <w:r w:rsidR="00510E9F" w:rsidRPr="00FB003D">
        <w:t xml:space="preserve"> </w:t>
      </w:r>
    </w:p>
    <w:p w14:paraId="6A7A6959" w14:textId="2ABF875B" w:rsidR="00510E9F" w:rsidRPr="00FB003D" w:rsidRDefault="00510E9F" w:rsidP="008112CD">
      <w:r w:rsidRPr="00FB003D">
        <w:t>Other costs relate primarily to</w:t>
      </w:r>
      <w:r w:rsidR="005B2F5A">
        <w:t xml:space="preserve"> the payment system,</w:t>
      </w:r>
      <w:r w:rsidRPr="00FB003D">
        <w:t xml:space="preserve"> </w:t>
      </w:r>
      <w:r>
        <w:t>bank</w:t>
      </w:r>
      <w:r w:rsidR="005B2F5A">
        <w:t xml:space="preserve">ing gateway, domain names and certificates, </w:t>
      </w:r>
      <w:r w:rsidR="00374AB2">
        <w:t>post office box</w:t>
      </w:r>
      <w:r w:rsidR="005B2F5A">
        <w:t xml:space="preserve"> and phone line rental</w:t>
      </w:r>
      <w:r w:rsidRPr="00FB003D">
        <w:t>.</w:t>
      </w:r>
      <w:r>
        <w:t xml:space="preserve"> </w:t>
      </w:r>
    </w:p>
    <w:p w14:paraId="75285D43" w14:textId="77777777" w:rsidR="00510E9F" w:rsidRPr="00C320F6" w:rsidRDefault="00510E9F" w:rsidP="00510E9F">
      <w:pPr>
        <w:pStyle w:val="Heading2"/>
        <w:numPr>
          <w:ilvl w:val="1"/>
          <w:numId w:val="16"/>
        </w:numPr>
        <w:spacing w:before="120" w:after="120"/>
        <w:ind w:left="360"/>
      </w:pPr>
      <w:bookmarkStart w:id="45" w:name="_Structure_of_the"/>
      <w:bookmarkStart w:id="46" w:name="_Toc355953991"/>
      <w:bookmarkStart w:id="47" w:name="_Toc385256320"/>
      <w:bookmarkStart w:id="48" w:name="_Toc482346595"/>
      <w:bookmarkStart w:id="49" w:name="_Toc518999103"/>
      <w:bookmarkStart w:id="50" w:name="calculationofcosts"/>
      <w:bookmarkEnd w:id="40"/>
      <w:bookmarkEnd w:id="45"/>
      <w:r w:rsidRPr="00C320F6">
        <w:t xml:space="preserve">Structure of the </w:t>
      </w:r>
      <w:r>
        <w:t>c</w:t>
      </w:r>
      <w:bookmarkEnd w:id="46"/>
      <w:bookmarkEnd w:id="47"/>
      <w:r>
        <w:t>harges</w:t>
      </w:r>
      <w:bookmarkEnd w:id="48"/>
      <w:bookmarkEnd w:id="49"/>
    </w:p>
    <w:p w14:paraId="288EBCB1" w14:textId="63F477F3" w:rsidR="00510E9F" w:rsidRPr="00702F49" w:rsidRDefault="00510E9F" w:rsidP="00510E9F">
      <w:bookmarkStart w:id="51" w:name="OLE_LINK13"/>
      <w:bookmarkStart w:id="52" w:name="OLE_LINK14"/>
      <w:r w:rsidRPr="00702F49">
        <w:t xml:space="preserve">The costs of </w:t>
      </w:r>
      <w:r>
        <w:t xml:space="preserve">maintaining </w:t>
      </w:r>
      <w:r w:rsidRPr="00702F49">
        <w:t xml:space="preserve">the register are directly related to the service being provided to </w:t>
      </w:r>
      <w:r w:rsidR="004B5BAF">
        <w:t>those</w:t>
      </w:r>
      <w:r w:rsidRPr="00702F49">
        <w:t xml:space="preserve"> wanting to check numbers against the register. For this reason</w:t>
      </w:r>
      <w:r>
        <w:t>,</w:t>
      </w:r>
      <w:r w:rsidRPr="00702F49">
        <w:t xml:space="preserve"> </w:t>
      </w:r>
      <w:r>
        <w:t xml:space="preserve">subscription </w:t>
      </w:r>
      <w:r w:rsidRPr="00702F49">
        <w:t xml:space="preserve">fees </w:t>
      </w:r>
      <w:r>
        <w:t>are</w:t>
      </w:r>
      <w:r w:rsidRPr="00702F49">
        <w:t xml:space="preserve"> </w:t>
      </w:r>
      <w:r>
        <w:t>set</w:t>
      </w:r>
      <w:r w:rsidRPr="00702F49">
        <w:t xml:space="preserve"> to recover the direct costs of </w:t>
      </w:r>
      <w:r>
        <w:t xml:space="preserve">operating </w:t>
      </w:r>
      <w:r w:rsidRPr="00702F49">
        <w:t xml:space="preserve">the register. </w:t>
      </w:r>
    </w:p>
    <w:p w14:paraId="06E994C4" w14:textId="7CDB17A8" w:rsidR="00510E9F" w:rsidRDefault="00510E9F" w:rsidP="00510E9F">
      <w:pPr>
        <w:rPr>
          <w:rFonts w:cs="Arial"/>
          <w:iCs/>
        </w:rPr>
      </w:pPr>
      <w:r>
        <w:rPr>
          <w:rFonts w:eastAsia="SimSun"/>
        </w:rPr>
        <w:t>In 2006, t</w:t>
      </w:r>
      <w:r w:rsidRPr="0038666F">
        <w:rPr>
          <w:rFonts w:eastAsia="SimSun"/>
        </w:rPr>
        <w:t xml:space="preserve">he ACMA engaged Access Economics (an independent consultancy organisation) to </w:t>
      </w:r>
      <w:r>
        <w:rPr>
          <w:rFonts w:eastAsia="SimSun"/>
        </w:rPr>
        <w:t>assist with the</w:t>
      </w:r>
      <w:r w:rsidRPr="0038666F">
        <w:rPr>
          <w:rFonts w:eastAsia="SimSun"/>
        </w:rPr>
        <w:t xml:space="preserve"> develop</w:t>
      </w:r>
      <w:r>
        <w:rPr>
          <w:rFonts w:eastAsia="SimSun"/>
        </w:rPr>
        <w:t>ment of</w:t>
      </w:r>
      <w:r w:rsidRPr="0038666F">
        <w:rPr>
          <w:rFonts w:eastAsia="SimSun"/>
        </w:rPr>
        <w:t xml:space="preserve"> the </w:t>
      </w:r>
      <w:r>
        <w:rPr>
          <w:rFonts w:eastAsia="SimSun"/>
        </w:rPr>
        <w:t xml:space="preserve">original </w:t>
      </w:r>
      <w:r w:rsidR="00A51227">
        <w:rPr>
          <w:rFonts w:eastAsia="SimSun"/>
        </w:rPr>
        <w:t>s</w:t>
      </w:r>
      <w:r w:rsidRPr="0038666F">
        <w:rPr>
          <w:rFonts w:eastAsia="SimSun"/>
        </w:rPr>
        <w:t xml:space="preserve">ubscription </w:t>
      </w:r>
      <w:r w:rsidR="00A51227">
        <w:rPr>
          <w:rFonts w:eastAsia="SimSun"/>
        </w:rPr>
        <w:t>f</w:t>
      </w:r>
      <w:r w:rsidRPr="0038666F">
        <w:rPr>
          <w:rFonts w:eastAsia="SimSun"/>
        </w:rPr>
        <w:t xml:space="preserve">ee </w:t>
      </w:r>
      <w:r w:rsidR="00A51227">
        <w:rPr>
          <w:rFonts w:eastAsia="SimSun"/>
        </w:rPr>
        <w:t>m</w:t>
      </w:r>
      <w:r w:rsidRPr="0038666F">
        <w:rPr>
          <w:rFonts w:eastAsia="SimSun"/>
        </w:rPr>
        <w:t>odel.</w:t>
      </w:r>
      <w:r>
        <w:rPr>
          <w:rFonts w:eastAsia="SimSun"/>
        </w:rPr>
        <w:t xml:space="preserve"> </w:t>
      </w:r>
      <w:r w:rsidRPr="0038666F">
        <w:rPr>
          <w:rFonts w:eastAsia="SimSun"/>
        </w:rPr>
        <w:t>Under th</w:t>
      </w:r>
      <w:r>
        <w:rPr>
          <w:rFonts w:eastAsia="SimSun"/>
        </w:rPr>
        <w:t>is</w:t>
      </w:r>
      <w:r w:rsidRPr="0038666F">
        <w:rPr>
          <w:rFonts w:eastAsia="SimSun"/>
        </w:rPr>
        <w:t xml:space="preserve"> model, there are eight annual subscription types to choose from (</w:t>
      </w:r>
      <w:r w:rsidR="00795907">
        <w:rPr>
          <w:rFonts w:eastAsia="SimSun"/>
        </w:rPr>
        <w:t>see</w:t>
      </w:r>
      <w:r w:rsidRPr="0038666F">
        <w:rPr>
          <w:rFonts w:eastAsia="SimSun"/>
        </w:rPr>
        <w:t xml:space="preserve"> </w:t>
      </w:r>
      <w:r w:rsidR="004D70D9" w:rsidRPr="00FD6FF3">
        <w:rPr>
          <w:rFonts w:eastAsia="SimSun"/>
        </w:rPr>
        <w:t>Table</w:t>
      </w:r>
      <w:r w:rsidR="004D70D9">
        <w:rPr>
          <w:rFonts w:eastAsia="SimSun"/>
        </w:rPr>
        <w:t> </w:t>
      </w:r>
      <w:r>
        <w:rPr>
          <w:rFonts w:eastAsia="SimSun"/>
        </w:rPr>
        <w:t>3</w:t>
      </w:r>
      <w:r w:rsidRPr="0038666F">
        <w:rPr>
          <w:rFonts w:eastAsia="SimSun"/>
        </w:rPr>
        <w:t xml:space="preserve">). </w:t>
      </w:r>
      <w:r w:rsidRPr="0038666F">
        <w:rPr>
          <w:rFonts w:cs="Arial"/>
          <w:iCs/>
        </w:rPr>
        <w:t xml:space="preserve">The type of subscription </w:t>
      </w:r>
      <w:r>
        <w:rPr>
          <w:rFonts w:cs="Arial"/>
          <w:iCs/>
        </w:rPr>
        <w:t>purchased</w:t>
      </w:r>
      <w:r w:rsidRPr="0038666F">
        <w:rPr>
          <w:rFonts w:cs="Arial"/>
          <w:iCs/>
        </w:rPr>
        <w:t xml:space="preserve"> entitles the telemarketer or fax marketer to submit a specified maximum quantity of numbers</w:t>
      </w:r>
      <w:r w:rsidR="00AA7609">
        <w:rPr>
          <w:rFonts w:cs="Arial"/>
          <w:iCs/>
        </w:rPr>
        <w:t>—</w:t>
      </w:r>
      <w:r w:rsidRPr="0038666F">
        <w:rPr>
          <w:rFonts w:cs="Arial"/>
          <w:iCs/>
        </w:rPr>
        <w:t>from 500 to 100</w:t>
      </w:r>
      <w:r>
        <w:rPr>
          <w:rFonts w:cs="Arial"/>
          <w:iCs/>
        </w:rPr>
        <w:t> </w:t>
      </w:r>
      <w:r w:rsidRPr="0038666F">
        <w:rPr>
          <w:rFonts w:cs="Arial"/>
          <w:iCs/>
        </w:rPr>
        <w:t>million</w:t>
      </w:r>
      <w:r w:rsidR="004B5BAF">
        <w:rPr>
          <w:rFonts w:cs="Arial"/>
          <w:iCs/>
        </w:rPr>
        <w:t xml:space="preserve"> numbers</w:t>
      </w:r>
      <w:r w:rsidR="00AA7609">
        <w:rPr>
          <w:rFonts w:cs="Arial"/>
          <w:iCs/>
        </w:rPr>
        <w:t>—</w:t>
      </w:r>
      <w:r w:rsidRPr="0038666F">
        <w:rPr>
          <w:rFonts w:cs="Arial"/>
          <w:iCs/>
        </w:rPr>
        <w:t xml:space="preserve">for checking against the register during a </w:t>
      </w:r>
      <w:r>
        <w:rPr>
          <w:rFonts w:cs="Arial"/>
          <w:iCs/>
        </w:rPr>
        <w:t>12</w:t>
      </w:r>
      <w:r w:rsidRPr="0038666F">
        <w:rPr>
          <w:rFonts w:cs="Arial"/>
          <w:iCs/>
        </w:rPr>
        <w:t>-month period.</w:t>
      </w:r>
    </w:p>
    <w:p w14:paraId="49FCDB19" w14:textId="4A58E11D" w:rsidR="00510E9F" w:rsidRDefault="00510E9F" w:rsidP="008112CD">
      <w:pPr>
        <w:spacing w:after="80"/>
        <w:rPr>
          <w:rFonts w:eastAsia="SimSun"/>
        </w:rPr>
      </w:pPr>
      <w:r w:rsidRPr="00976E25">
        <w:rPr>
          <w:rFonts w:eastAsia="SimSun"/>
        </w:rPr>
        <w:t xml:space="preserve">In determining the subscription fees, the likely demand for subscriptions </w:t>
      </w:r>
      <w:r>
        <w:rPr>
          <w:rFonts w:eastAsia="SimSun"/>
        </w:rPr>
        <w:t xml:space="preserve">is forecast </w:t>
      </w:r>
      <w:r w:rsidR="00AA7609">
        <w:rPr>
          <w:rFonts w:eastAsia="SimSun"/>
        </w:rPr>
        <w:t>using</w:t>
      </w:r>
      <w:r>
        <w:rPr>
          <w:rFonts w:eastAsia="SimSun"/>
        </w:rPr>
        <w:t xml:space="preserve"> two components:</w:t>
      </w:r>
    </w:p>
    <w:p w14:paraId="046E3B42" w14:textId="77777777" w:rsidR="00510E9F" w:rsidRPr="00C44F8A" w:rsidRDefault="00510E9F" w:rsidP="008112CD">
      <w:pPr>
        <w:pStyle w:val="ListBullet"/>
      </w:pPr>
      <w:r>
        <w:t>t</w:t>
      </w:r>
      <w:r w:rsidRPr="00C44F8A">
        <w:t>rend analysis from the historical data to a defined period</w:t>
      </w:r>
    </w:p>
    <w:p w14:paraId="13E3F90B" w14:textId="77777777" w:rsidR="00510E9F" w:rsidRDefault="00510E9F" w:rsidP="008112CD">
      <w:pPr>
        <w:pStyle w:val="ListBulletLast"/>
      </w:pPr>
      <w:r w:rsidRPr="00B927E0">
        <w:t>a simple growth rate across each subscription type for each month thereafter</w:t>
      </w:r>
      <w:r>
        <w:t>.</w:t>
      </w:r>
    </w:p>
    <w:p w14:paraId="2BD5D8F7" w14:textId="1E6B0DC9" w:rsidR="00510E9F" w:rsidRDefault="00510E9F" w:rsidP="00510E9F">
      <w:pPr>
        <w:rPr>
          <w:rFonts w:eastAsia="SimSun"/>
        </w:rPr>
      </w:pPr>
      <w:r w:rsidRPr="00AD7D8D">
        <w:rPr>
          <w:rFonts w:eastAsia="SimSun"/>
        </w:rPr>
        <w:t xml:space="preserve">The likely demand for subscriptions and the total cost to recover from industry are then inserted into the </w:t>
      </w:r>
      <w:r w:rsidR="00AA7609">
        <w:rPr>
          <w:rFonts w:eastAsia="SimSun"/>
        </w:rPr>
        <w:t>s</w:t>
      </w:r>
      <w:r w:rsidRPr="00AD7D8D">
        <w:rPr>
          <w:rFonts w:eastAsia="SimSun"/>
        </w:rPr>
        <w:t xml:space="preserve">ubscription </w:t>
      </w:r>
      <w:r w:rsidR="00AA7609">
        <w:rPr>
          <w:rFonts w:eastAsia="SimSun"/>
        </w:rPr>
        <w:t>f</w:t>
      </w:r>
      <w:r w:rsidRPr="00AD7D8D">
        <w:rPr>
          <w:rFonts w:eastAsia="SimSun"/>
        </w:rPr>
        <w:t xml:space="preserve">ee </w:t>
      </w:r>
      <w:r w:rsidR="00AA7609">
        <w:rPr>
          <w:rFonts w:eastAsia="SimSun"/>
        </w:rPr>
        <w:t>m</w:t>
      </w:r>
      <w:r w:rsidRPr="00AD7D8D">
        <w:rPr>
          <w:rFonts w:eastAsia="SimSun"/>
        </w:rPr>
        <w:t xml:space="preserve">odel. </w:t>
      </w:r>
      <w:r>
        <w:rPr>
          <w:rFonts w:eastAsia="SimSun"/>
        </w:rPr>
        <w:t>T</w:t>
      </w:r>
      <w:r w:rsidRPr="00AD7D8D">
        <w:rPr>
          <w:rFonts w:eastAsia="SimSun"/>
        </w:rPr>
        <w:t xml:space="preserve">he model determines the amounts the subscription fees must be set at (by type) in order to generate sufficient subscription fee revenue to cover the </w:t>
      </w:r>
      <w:r>
        <w:rPr>
          <w:rFonts w:eastAsia="SimSun"/>
        </w:rPr>
        <w:t xml:space="preserve">direct operating </w:t>
      </w:r>
      <w:r w:rsidRPr="00AD7D8D">
        <w:rPr>
          <w:rFonts w:eastAsia="SimSun"/>
        </w:rPr>
        <w:t xml:space="preserve">costs </w:t>
      </w:r>
      <w:r>
        <w:rPr>
          <w:rFonts w:eastAsia="SimSun"/>
        </w:rPr>
        <w:t xml:space="preserve">of the register </w:t>
      </w:r>
      <w:r w:rsidRPr="00AD7D8D">
        <w:rPr>
          <w:rFonts w:eastAsia="SimSun"/>
        </w:rPr>
        <w:t>from industry</w:t>
      </w:r>
      <w:r w:rsidR="004B5BAF">
        <w:rPr>
          <w:rFonts w:eastAsia="SimSun"/>
        </w:rPr>
        <w:t xml:space="preserve"> subscribers</w:t>
      </w:r>
      <w:r w:rsidRPr="00AD7D8D">
        <w:rPr>
          <w:rFonts w:eastAsia="SimSun"/>
        </w:rPr>
        <w:t>.</w:t>
      </w:r>
      <w:r>
        <w:rPr>
          <w:rFonts w:eastAsia="SimSun"/>
        </w:rPr>
        <w:t xml:space="preserve"> </w:t>
      </w:r>
    </w:p>
    <w:p w14:paraId="45F13786" w14:textId="0E6E2054" w:rsidR="00510E9F" w:rsidRDefault="00510E9F" w:rsidP="00795907">
      <w:pPr>
        <w:rPr>
          <w:rFonts w:eastAsia="SimSun"/>
        </w:rPr>
      </w:pPr>
      <w:r>
        <w:rPr>
          <w:rFonts w:eastAsia="SimSun"/>
        </w:rPr>
        <w:t>Where applicable, over</w:t>
      </w:r>
      <w:r w:rsidR="00CF630C">
        <w:rPr>
          <w:rFonts w:eastAsia="SimSun"/>
        </w:rPr>
        <w:t>-</w:t>
      </w:r>
      <w:r>
        <w:rPr>
          <w:rFonts w:eastAsia="SimSun"/>
        </w:rPr>
        <w:t xml:space="preserve"> or under</w:t>
      </w:r>
      <w:r w:rsidR="00CF630C">
        <w:rPr>
          <w:rFonts w:eastAsia="SimSun"/>
        </w:rPr>
        <w:t>-</w:t>
      </w:r>
      <w:r>
        <w:rPr>
          <w:rFonts w:eastAsia="SimSun"/>
        </w:rPr>
        <w:t>recovery of costs from previous periods are also considered when determining the subscription fees.</w:t>
      </w:r>
    </w:p>
    <w:p w14:paraId="51EBE792" w14:textId="0BFC929E" w:rsidR="00510E9F" w:rsidRDefault="00D07D9E" w:rsidP="00510E9F">
      <w:pPr>
        <w:pStyle w:val="ListBullet"/>
        <w:numPr>
          <w:ilvl w:val="0"/>
          <w:numId w:val="0"/>
        </w:numPr>
        <w:spacing w:after="240"/>
      </w:pPr>
      <w:r>
        <w:rPr>
          <w:rFonts w:eastAsia="SimSun"/>
        </w:rPr>
        <w:t>Table 3 shows that t</w:t>
      </w:r>
      <w:r w:rsidR="00510E9F" w:rsidRPr="00FB003D">
        <w:rPr>
          <w:rFonts w:eastAsia="SimSun"/>
        </w:rPr>
        <w:t xml:space="preserve">he demand for subscriptions </w:t>
      </w:r>
      <w:r>
        <w:rPr>
          <w:rFonts w:eastAsia="SimSun"/>
        </w:rPr>
        <w:t xml:space="preserve">in 2017 fell </w:t>
      </w:r>
      <w:r w:rsidR="004C11A8">
        <w:rPr>
          <w:rFonts w:eastAsia="SimSun"/>
        </w:rPr>
        <w:t>for</w:t>
      </w:r>
      <w:r>
        <w:rPr>
          <w:rFonts w:eastAsia="SimSun"/>
        </w:rPr>
        <w:t xml:space="preserve"> all paid subscription types when compared with previous periods.</w:t>
      </w:r>
      <w:r w:rsidR="004C11A8">
        <w:rPr>
          <w:rFonts w:eastAsia="SimSun"/>
        </w:rPr>
        <w:t xml:space="preserve"> </w:t>
      </w:r>
      <w:r w:rsidR="00510E9F">
        <w:t>The estimates f</w:t>
      </w:r>
      <w:r>
        <w:t>or</w:t>
      </w:r>
      <w:r w:rsidR="00510E9F">
        <w:t xml:space="preserve"> 201</w:t>
      </w:r>
      <w:r w:rsidR="00923A4B">
        <w:t>8</w:t>
      </w:r>
      <w:r w:rsidR="006255C5">
        <w:t>–</w:t>
      </w:r>
      <w:r>
        <w:t>19</w:t>
      </w:r>
      <w:r w:rsidR="00923A4B">
        <w:t xml:space="preserve"> onwards</w:t>
      </w:r>
      <w:r w:rsidR="00510E9F">
        <w:t xml:space="preserve"> have been forecast by applying simple growth rates</w:t>
      </w:r>
      <w:r>
        <w:t xml:space="preserve"> (</w:t>
      </w:r>
      <w:r w:rsidRPr="00FB003D">
        <w:rPr>
          <w:rFonts w:eastAsia="SimSun"/>
        </w:rPr>
        <w:t xml:space="preserve">based on </w:t>
      </w:r>
      <w:r>
        <w:rPr>
          <w:rFonts w:eastAsia="SimSun"/>
        </w:rPr>
        <w:t>nine</w:t>
      </w:r>
      <w:r w:rsidRPr="00FB003D">
        <w:rPr>
          <w:rFonts w:eastAsia="SimSun"/>
        </w:rPr>
        <w:t xml:space="preserve"> months of </w:t>
      </w:r>
      <w:r>
        <w:rPr>
          <w:rFonts w:eastAsia="SimSun"/>
        </w:rPr>
        <w:t xml:space="preserve">subscription purchases from 1 July 2017 </w:t>
      </w:r>
      <w:r w:rsidRPr="00FB003D">
        <w:rPr>
          <w:rFonts w:eastAsia="SimSun"/>
        </w:rPr>
        <w:t xml:space="preserve">to </w:t>
      </w:r>
      <w:r>
        <w:rPr>
          <w:rFonts w:eastAsia="SimSun"/>
        </w:rPr>
        <w:t>31 March</w:t>
      </w:r>
      <w:r w:rsidRPr="00FB003D">
        <w:rPr>
          <w:rFonts w:eastAsia="SimSun"/>
        </w:rPr>
        <w:t xml:space="preserve"> 201</w:t>
      </w:r>
      <w:r>
        <w:rPr>
          <w:rFonts w:eastAsia="SimSun"/>
        </w:rPr>
        <w:t>8</w:t>
      </w:r>
      <w:r w:rsidRPr="00FB003D">
        <w:rPr>
          <w:rFonts w:eastAsia="SimSun"/>
        </w:rPr>
        <w:t>)</w:t>
      </w:r>
      <w:r w:rsidR="00510E9F">
        <w:t>.</w:t>
      </w:r>
    </w:p>
    <w:p w14:paraId="621FA859" w14:textId="6E3C506A" w:rsidR="00510E9F" w:rsidRDefault="008112CD" w:rsidP="00AA7609">
      <w:pPr>
        <w:pStyle w:val="ACMATableHeader"/>
        <w:keepNext/>
        <w:keepLines/>
      </w:pPr>
      <w:r>
        <w:lastRenderedPageBreak/>
        <w:t>Historical growth and forecast growth rate</w:t>
      </w:r>
    </w:p>
    <w:tbl>
      <w:tblPr>
        <w:tblStyle w:val="TableGrid"/>
        <w:tblW w:w="7792" w:type="dxa"/>
        <w:tblCellMar>
          <w:top w:w="57" w:type="dxa"/>
          <w:left w:w="57" w:type="dxa"/>
          <w:bottom w:w="57" w:type="dxa"/>
          <w:right w:w="57" w:type="dxa"/>
        </w:tblCellMar>
        <w:tblLook w:val="04A0" w:firstRow="1" w:lastRow="0" w:firstColumn="1" w:lastColumn="0" w:noHBand="0" w:noVBand="1"/>
      </w:tblPr>
      <w:tblGrid>
        <w:gridCol w:w="3114"/>
        <w:gridCol w:w="2273"/>
        <w:gridCol w:w="2405"/>
      </w:tblGrid>
      <w:tr w:rsidR="00AA7609" w14:paraId="6FE86EE6" w14:textId="77777777" w:rsidTr="00AA7609">
        <w:tc>
          <w:tcPr>
            <w:tcW w:w="3114" w:type="dxa"/>
            <w:shd w:val="clear" w:color="auto" w:fill="404040" w:themeFill="text1" w:themeFillTint="BF"/>
          </w:tcPr>
          <w:p w14:paraId="1300A94B" w14:textId="65258C0B" w:rsidR="00AA7609" w:rsidRPr="00AA7609" w:rsidRDefault="00AA7609" w:rsidP="00AA7609">
            <w:pPr>
              <w:pStyle w:val="TableHeading"/>
              <w:keepNext/>
              <w:keepLines/>
              <w:rPr>
                <w:color w:val="FFFFFF" w:themeColor="background1"/>
              </w:rPr>
            </w:pPr>
            <w:r w:rsidRPr="00AA7609">
              <w:rPr>
                <w:color w:val="FFFFFF" w:themeColor="background1"/>
              </w:rPr>
              <w:t>Subscription type</w:t>
            </w:r>
          </w:p>
        </w:tc>
        <w:tc>
          <w:tcPr>
            <w:tcW w:w="2273" w:type="dxa"/>
            <w:shd w:val="clear" w:color="auto" w:fill="404040" w:themeFill="text1" w:themeFillTint="BF"/>
          </w:tcPr>
          <w:p w14:paraId="1B6B6862" w14:textId="6C7A643A" w:rsidR="00AA7609" w:rsidRPr="00AA7609" w:rsidRDefault="00AA7609" w:rsidP="00AA7609">
            <w:pPr>
              <w:pStyle w:val="TableHeading"/>
              <w:keepNext/>
              <w:keepLines/>
              <w:rPr>
                <w:color w:val="FFFFFF" w:themeColor="background1"/>
              </w:rPr>
            </w:pPr>
            <w:r w:rsidRPr="00AA7609">
              <w:rPr>
                <w:color w:val="FFFFFF" w:themeColor="background1"/>
              </w:rPr>
              <w:t>Historical growth</w:t>
            </w:r>
            <w:r w:rsidRPr="00AA7609">
              <w:rPr>
                <w:color w:val="FFFFFF" w:themeColor="background1"/>
              </w:rPr>
              <w:br/>
              <w:t>(Jan 2017 to Dec 2017)</w:t>
            </w:r>
          </w:p>
        </w:tc>
        <w:tc>
          <w:tcPr>
            <w:tcW w:w="2405" w:type="dxa"/>
            <w:shd w:val="clear" w:color="auto" w:fill="404040" w:themeFill="text1" w:themeFillTint="BF"/>
          </w:tcPr>
          <w:p w14:paraId="02902BAE" w14:textId="2E63E3EE" w:rsidR="00AA7609" w:rsidRPr="00AA7609" w:rsidRDefault="00AA7609" w:rsidP="00AA7609">
            <w:pPr>
              <w:pStyle w:val="TableHeading"/>
              <w:keepNext/>
              <w:keepLines/>
              <w:rPr>
                <w:color w:val="FFFFFF" w:themeColor="background1"/>
              </w:rPr>
            </w:pPr>
            <w:r w:rsidRPr="00AA7609">
              <w:rPr>
                <w:color w:val="FFFFFF" w:themeColor="background1"/>
              </w:rPr>
              <w:t>Growth rate</w:t>
            </w:r>
            <w:r w:rsidRPr="00AA7609">
              <w:rPr>
                <w:color w:val="FFFFFF" w:themeColor="background1"/>
              </w:rPr>
              <w:br/>
              <w:t>(annual from July 2018)</w:t>
            </w:r>
          </w:p>
        </w:tc>
      </w:tr>
      <w:tr w:rsidR="00AA7609" w14:paraId="69A81706" w14:textId="77777777" w:rsidTr="00AA7609">
        <w:tc>
          <w:tcPr>
            <w:tcW w:w="3114" w:type="dxa"/>
          </w:tcPr>
          <w:p w14:paraId="7A6F4DC7" w14:textId="405C2FEE" w:rsidR="00AA7609" w:rsidRDefault="00AA7609" w:rsidP="00AA7609">
            <w:pPr>
              <w:keepNext/>
              <w:keepLines/>
              <w:spacing w:after="0"/>
            </w:pPr>
            <w:r w:rsidRPr="00137214">
              <w:rPr>
                <w:rFonts w:cs="Arial"/>
                <w:b/>
                <w:bCs/>
                <w:color w:val="000000"/>
                <w:sz w:val="18"/>
                <w:szCs w:val="18"/>
              </w:rPr>
              <w:t>Type A (500 washes)</w:t>
            </w:r>
          </w:p>
        </w:tc>
        <w:tc>
          <w:tcPr>
            <w:tcW w:w="2273" w:type="dxa"/>
          </w:tcPr>
          <w:p w14:paraId="1B07D098" w14:textId="2BA795BA" w:rsidR="00AA7609" w:rsidRDefault="00AA7609" w:rsidP="00AA7609">
            <w:pPr>
              <w:keepNext/>
              <w:keepLines/>
              <w:spacing w:after="0"/>
              <w:jc w:val="right"/>
            </w:pPr>
            <w:r w:rsidRPr="00137214">
              <w:rPr>
                <w:rFonts w:cs="Arial"/>
                <w:color w:val="000100"/>
                <w:szCs w:val="20"/>
              </w:rPr>
              <w:t>184%</w:t>
            </w:r>
          </w:p>
        </w:tc>
        <w:tc>
          <w:tcPr>
            <w:tcW w:w="2405" w:type="dxa"/>
          </w:tcPr>
          <w:p w14:paraId="15DA1018" w14:textId="5727D95C" w:rsidR="00AA7609" w:rsidRDefault="00AA7609" w:rsidP="00AA7609">
            <w:pPr>
              <w:keepNext/>
              <w:keepLines/>
              <w:spacing w:after="0"/>
              <w:jc w:val="right"/>
            </w:pPr>
            <w:r w:rsidRPr="00137214">
              <w:rPr>
                <w:rFonts w:cs="Arial"/>
                <w:color w:val="000100"/>
                <w:szCs w:val="20"/>
              </w:rPr>
              <w:t>0%*</w:t>
            </w:r>
          </w:p>
        </w:tc>
      </w:tr>
      <w:tr w:rsidR="00AA7609" w14:paraId="79B19A34" w14:textId="77777777" w:rsidTr="00AA7609">
        <w:tc>
          <w:tcPr>
            <w:tcW w:w="3114" w:type="dxa"/>
          </w:tcPr>
          <w:p w14:paraId="42F372B4" w14:textId="2ECA81A1" w:rsidR="00AA7609" w:rsidRDefault="00AA7609" w:rsidP="00AA7609">
            <w:pPr>
              <w:keepNext/>
              <w:keepLines/>
              <w:spacing w:after="0"/>
            </w:pPr>
            <w:r w:rsidRPr="00137214">
              <w:rPr>
                <w:rFonts w:cs="Arial"/>
                <w:b/>
                <w:bCs/>
                <w:color w:val="000000"/>
                <w:sz w:val="18"/>
                <w:szCs w:val="18"/>
              </w:rPr>
              <w:t>Type B (20,000 washes)</w:t>
            </w:r>
          </w:p>
        </w:tc>
        <w:tc>
          <w:tcPr>
            <w:tcW w:w="2273" w:type="dxa"/>
          </w:tcPr>
          <w:p w14:paraId="10844B9E" w14:textId="73916C85" w:rsidR="00AA7609" w:rsidRDefault="00AA7609" w:rsidP="00AA7609">
            <w:pPr>
              <w:keepNext/>
              <w:keepLines/>
              <w:spacing w:after="0"/>
              <w:jc w:val="right"/>
            </w:pPr>
            <w:r>
              <w:rPr>
                <w:rFonts w:cs="Arial"/>
                <w:color w:val="000100"/>
                <w:szCs w:val="20"/>
              </w:rPr>
              <w:t>–</w:t>
            </w:r>
            <w:r w:rsidRPr="00137214">
              <w:rPr>
                <w:rFonts w:cs="Arial"/>
                <w:color w:val="000100"/>
                <w:szCs w:val="20"/>
              </w:rPr>
              <w:t>12%</w:t>
            </w:r>
          </w:p>
        </w:tc>
        <w:tc>
          <w:tcPr>
            <w:tcW w:w="2405" w:type="dxa"/>
          </w:tcPr>
          <w:p w14:paraId="3E55B946" w14:textId="2CFD2234" w:rsidR="00AA7609" w:rsidRDefault="00AA7609" w:rsidP="00AA7609">
            <w:pPr>
              <w:keepNext/>
              <w:keepLines/>
              <w:spacing w:after="0"/>
              <w:jc w:val="right"/>
            </w:pPr>
            <w:r>
              <w:rPr>
                <w:rFonts w:cs="Arial"/>
                <w:color w:val="000100"/>
                <w:szCs w:val="20"/>
              </w:rPr>
              <w:t>–</w:t>
            </w:r>
            <w:r w:rsidRPr="00137214">
              <w:rPr>
                <w:rFonts w:cs="Arial"/>
                <w:color w:val="000100"/>
                <w:szCs w:val="20"/>
              </w:rPr>
              <w:t>20%</w:t>
            </w:r>
          </w:p>
        </w:tc>
      </w:tr>
      <w:tr w:rsidR="00AA7609" w14:paraId="5DB410A9" w14:textId="77777777" w:rsidTr="00AA7609">
        <w:tc>
          <w:tcPr>
            <w:tcW w:w="3114" w:type="dxa"/>
          </w:tcPr>
          <w:p w14:paraId="2D75ACAF" w14:textId="4D921641" w:rsidR="00AA7609" w:rsidRDefault="00AA7609" w:rsidP="00AA7609">
            <w:pPr>
              <w:keepNext/>
              <w:keepLines/>
              <w:spacing w:after="0"/>
            </w:pPr>
            <w:r w:rsidRPr="00137214">
              <w:rPr>
                <w:rFonts w:cs="Arial"/>
                <w:b/>
                <w:bCs/>
                <w:color w:val="000000"/>
                <w:sz w:val="18"/>
                <w:szCs w:val="18"/>
              </w:rPr>
              <w:t>Type C (100,000 washes)</w:t>
            </w:r>
          </w:p>
        </w:tc>
        <w:tc>
          <w:tcPr>
            <w:tcW w:w="2273" w:type="dxa"/>
          </w:tcPr>
          <w:p w14:paraId="166E8FB7" w14:textId="0615F059" w:rsidR="00AA7609" w:rsidRDefault="00AA7609" w:rsidP="00AA7609">
            <w:pPr>
              <w:keepNext/>
              <w:keepLines/>
              <w:spacing w:after="0"/>
              <w:jc w:val="right"/>
            </w:pPr>
            <w:r>
              <w:rPr>
                <w:rFonts w:cs="Arial"/>
                <w:color w:val="000100"/>
                <w:szCs w:val="20"/>
              </w:rPr>
              <w:t>–</w:t>
            </w:r>
            <w:r w:rsidRPr="00137214">
              <w:rPr>
                <w:rFonts w:cs="Arial"/>
                <w:color w:val="000100"/>
                <w:szCs w:val="20"/>
              </w:rPr>
              <w:t>25%</w:t>
            </w:r>
          </w:p>
        </w:tc>
        <w:tc>
          <w:tcPr>
            <w:tcW w:w="2405" w:type="dxa"/>
          </w:tcPr>
          <w:p w14:paraId="2A8C26AA" w14:textId="12B23670" w:rsidR="00AA7609" w:rsidRDefault="00AA7609" w:rsidP="00AA7609">
            <w:pPr>
              <w:keepNext/>
              <w:keepLines/>
              <w:spacing w:after="0"/>
              <w:jc w:val="right"/>
            </w:pPr>
            <w:r>
              <w:rPr>
                <w:rFonts w:cs="Arial"/>
                <w:color w:val="000100"/>
                <w:szCs w:val="20"/>
              </w:rPr>
              <w:t>–</w:t>
            </w:r>
            <w:r w:rsidRPr="00137214">
              <w:rPr>
                <w:rFonts w:cs="Arial"/>
                <w:color w:val="000100"/>
                <w:szCs w:val="20"/>
              </w:rPr>
              <w:t>20%</w:t>
            </w:r>
          </w:p>
        </w:tc>
      </w:tr>
      <w:tr w:rsidR="00AA7609" w14:paraId="178A2A38" w14:textId="77777777" w:rsidTr="00AA7609">
        <w:tc>
          <w:tcPr>
            <w:tcW w:w="3114" w:type="dxa"/>
          </w:tcPr>
          <w:p w14:paraId="5FF0197B" w14:textId="258673FD" w:rsidR="00AA7609" w:rsidRDefault="00AA7609" w:rsidP="00AA7609">
            <w:pPr>
              <w:keepNext/>
              <w:keepLines/>
              <w:spacing w:after="0"/>
            </w:pPr>
            <w:r w:rsidRPr="00137214">
              <w:rPr>
                <w:rFonts w:cs="Arial"/>
                <w:b/>
                <w:bCs/>
                <w:color w:val="000000"/>
                <w:sz w:val="18"/>
                <w:szCs w:val="18"/>
              </w:rPr>
              <w:t>Type D (1,000,000 washes)</w:t>
            </w:r>
          </w:p>
        </w:tc>
        <w:tc>
          <w:tcPr>
            <w:tcW w:w="2273" w:type="dxa"/>
          </w:tcPr>
          <w:p w14:paraId="190E67B7" w14:textId="59DF31B1" w:rsidR="00AA7609" w:rsidRDefault="00AA7609" w:rsidP="00AA7609">
            <w:pPr>
              <w:keepNext/>
              <w:keepLines/>
              <w:spacing w:after="0"/>
              <w:jc w:val="right"/>
            </w:pPr>
            <w:r>
              <w:rPr>
                <w:rFonts w:cs="Arial"/>
                <w:color w:val="000100"/>
                <w:szCs w:val="20"/>
              </w:rPr>
              <w:t>–</w:t>
            </w:r>
            <w:r w:rsidRPr="00137214">
              <w:rPr>
                <w:rFonts w:cs="Arial"/>
                <w:color w:val="000100"/>
                <w:szCs w:val="20"/>
              </w:rPr>
              <w:t>20%</w:t>
            </w:r>
          </w:p>
        </w:tc>
        <w:tc>
          <w:tcPr>
            <w:tcW w:w="2405" w:type="dxa"/>
          </w:tcPr>
          <w:p w14:paraId="58AD9DC3" w14:textId="62822652" w:rsidR="00AA7609" w:rsidRDefault="00AA7609" w:rsidP="00AA7609">
            <w:pPr>
              <w:keepNext/>
              <w:keepLines/>
              <w:spacing w:after="0"/>
              <w:jc w:val="right"/>
            </w:pPr>
            <w:r>
              <w:rPr>
                <w:rFonts w:cs="Arial"/>
                <w:color w:val="000100"/>
                <w:szCs w:val="20"/>
              </w:rPr>
              <w:t>–</w:t>
            </w:r>
            <w:r w:rsidRPr="00137214">
              <w:rPr>
                <w:rFonts w:cs="Arial"/>
                <w:color w:val="000100"/>
                <w:szCs w:val="20"/>
              </w:rPr>
              <w:t>20%</w:t>
            </w:r>
          </w:p>
        </w:tc>
      </w:tr>
      <w:tr w:rsidR="00AA7609" w14:paraId="0BDB1F57" w14:textId="77777777" w:rsidTr="00AA7609">
        <w:tc>
          <w:tcPr>
            <w:tcW w:w="3114" w:type="dxa"/>
          </w:tcPr>
          <w:p w14:paraId="2A825ACC" w14:textId="3F83599D" w:rsidR="00AA7609" w:rsidRDefault="00AA7609" w:rsidP="00AA7609">
            <w:pPr>
              <w:keepNext/>
              <w:keepLines/>
              <w:spacing w:after="0"/>
            </w:pPr>
            <w:r w:rsidRPr="00137214">
              <w:rPr>
                <w:rFonts w:cs="Arial"/>
                <w:b/>
                <w:bCs/>
                <w:color w:val="000000"/>
                <w:sz w:val="18"/>
                <w:szCs w:val="18"/>
              </w:rPr>
              <w:t>Type E (10,000,000 washes)</w:t>
            </w:r>
          </w:p>
        </w:tc>
        <w:tc>
          <w:tcPr>
            <w:tcW w:w="2273" w:type="dxa"/>
          </w:tcPr>
          <w:p w14:paraId="65E1FD47" w14:textId="3604FB85" w:rsidR="00AA7609" w:rsidRDefault="00AA7609" w:rsidP="00AA7609">
            <w:pPr>
              <w:keepNext/>
              <w:keepLines/>
              <w:spacing w:after="0"/>
              <w:jc w:val="right"/>
            </w:pPr>
            <w:r>
              <w:rPr>
                <w:rFonts w:cs="Arial"/>
                <w:color w:val="000100"/>
                <w:szCs w:val="20"/>
              </w:rPr>
              <w:t>–</w:t>
            </w:r>
            <w:r w:rsidRPr="00137214">
              <w:rPr>
                <w:rFonts w:cs="Arial"/>
                <w:color w:val="000100"/>
                <w:szCs w:val="20"/>
              </w:rPr>
              <w:t>29%</w:t>
            </w:r>
          </w:p>
        </w:tc>
        <w:tc>
          <w:tcPr>
            <w:tcW w:w="2405" w:type="dxa"/>
          </w:tcPr>
          <w:p w14:paraId="29BE7D56" w14:textId="7831EE16" w:rsidR="00AA7609" w:rsidRDefault="00AA7609" w:rsidP="00AA7609">
            <w:pPr>
              <w:keepNext/>
              <w:keepLines/>
              <w:spacing w:after="0"/>
              <w:jc w:val="right"/>
            </w:pPr>
            <w:r>
              <w:rPr>
                <w:rFonts w:cs="Arial"/>
                <w:color w:val="000100"/>
                <w:szCs w:val="20"/>
              </w:rPr>
              <w:t>–</w:t>
            </w:r>
            <w:r w:rsidRPr="00137214">
              <w:rPr>
                <w:rFonts w:cs="Arial"/>
                <w:color w:val="000100"/>
                <w:szCs w:val="20"/>
              </w:rPr>
              <w:t>20%</w:t>
            </w:r>
          </w:p>
        </w:tc>
      </w:tr>
      <w:tr w:rsidR="00AA7609" w14:paraId="6B280193" w14:textId="77777777" w:rsidTr="00AA7609">
        <w:tc>
          <w:tcPr>
            <w:tcW w:w="3114" w:type="dxa"/>
          </w:tcPr>
          <w:p w14:paraId="704E10F0" w14:textId="5FEA80B4" w:rsidR="00AA7609" w:rsidRDefault="00AA7609" w:rsidP="00AA7609">
            <w:pPr>
              <w:keepNext/>
              <w:keepLines/>
              <w:spacing w:after="0"/>
            </w:pPr>
            <w:r w:rsidRPr="00137214">
              <w:rPr>
                <w:rFonts w:cs="Arial"/>
                <w:b/>
                <w:bCs/>
                <w:color w:val="000000"/>
                <w:sz w:val="18"/>
                <w:szCs w:val="18"/>
              </w:rPr>
              <w:t>Type F (20,000,000 washes)</w:t>
            </w:r>
          </w:p>
        </w:tc>
        <w:tc>
          <w:tcPr>
            <w:tcW w:w="2273" w:type="dxa"/>
          </w:tcPr>
          <w:p w14:paraId="7DECBA33" w14:textId="2E87BADA" w:rsidR="00AA7609" w:rsidRDefault="00AA7609" w:rsidP="00AA7609">
            <w:pPr>
              <w:keepNext/>
              <w:keepLines/>
              <w:spacing w:after="0"/>
              <w:jc w:val="right"/>
            </w:pPr>
            <w:r>
              <w:rPr>
                <w:rFonts w:cs="Arial"/>
                <w:color w:val="000100"/>
                <w:szCs w:val="20"/>
              </w:rPr>
              <w:t>–</w:t>
            </w:r>
            <w:r w:rsidRPr="00137214">
              <w:rPr>
                <w:rFonts w:cs="Arial"/>
                <w:color w:val="000100"/>
                <w:szCs w:val="20"/>
              </w:rPr>
              <w:t>100%</w:t>
            </w:r>
          </w:p>
        </w:tc>
        <w:tc>
          <w:tcPr>
            <w:tcW w:w="2405" w:type="dxa"/>
          </w:tcPr>
          <w:p w14:paraId="7DB02FD5" w14:textId="28181696" w:rsidR="00AA7609" w:rsidRDefault="00AA7609" w:rsidP="00AA7609">
            <w:pPr>
              <w:keepNext/>
              <w:keepLines/>
              <w:spacing w:after="0"/>
              <w:jc w:val="right"/>
            </w:pPr>
            <w:r>
              <w:rPr>
                <w:rFonts w:cs="Arial"/>
                <w:color w:val="000100"/>
                <w:szCs w:val="20"/>
              </w:rPr>
              <w:t>–</w:t>
            </w:r>
            <w:r w:rsidRPr="00137214">
              <w:rPr>
                <w:rFonts w:cs="Arial"/>
                <w:color w:val="000100"/>
                <w:szCs w:val="20"/>
              </w:rPr>
              <w:t>20%</w:t>
            </w:r>
          </w:p>
        </w:tc>
      </w:tr>
      <w:tr w:rsidR="00AA7609" w14:paraId="43405A11" w14:textId="77777777" w:rsidTr="00AA7609">
        <w:tc>
          <w:tcPr>
            <w:tcW w:w="3114" w:type="dxa"/>
          </w:tcPr>
          <w:p w14:paraId="78D166B3" w14:textId="26EA3AEF" w:rsidR="00AA7609" w:rsidRDefault="00AA7609" w:rsidP="00AA7609">
            <w:pPr>
              <w:keepNext/>
              <w:keepLines/>
              <w:spacing w:after="0"/>
            </w:pPr>
            <w:r w:rsidRPr="00137214">
              <w:rPr>
                <w:rFonts w:cs="Arial"/>
                <w:b/>
                <w:bCs/>
                <w:color w:val="000000"/>
                <w:sz w:val="18"/>
                <w:szCs w:val="18"/>
              </w:rPr>
              <w:t>Type G (50,000,000 washes)</w:t>
            </w:r>
          </w:p>
        </w:tc>
        <w:tc>
          <w:tcPr>
            <w:tcW w:w="2273" w:type="dxa"/>
          </w:tcPr>
          <w:p w14:paraId="145DDC70" w14:textId="3F2746B8" w:rsidR="00AA7609" w:rsidRDefault="00AA7609" w:rsidP="00AA7609">
            <w:pPr>
              <w:keepNext/>
              <w:keepLines/>
              <w:spacing w:after="0"/>
              <w:jc w:val="right"/>
            </w:pPr>
            <w:r>
              <w:rPr>
                <w:rFonts w:cs="Arial"/>
                <w:color w:val="000100"/>
                <w:szCs w:val="20"/>
              </w:rPr>
              <w:t>–</w:t>
            </w:r>
            <w:r w:rsidRPr="00137214">
              <w:rPr>
                <w:rFonts w:cs="Arial"/>
                <w:color w:val="000100"/>
                <w:szCs w:val="20"/>
              </w:rPr>
              <w:t>100%</w:t>
            </w:r>
          </w:p>
        </w:tc>
        <w:tc>
          <w:tcPr>
            <w:tcW w:w="2405" w:type="dxa"/>
          </w:tcPr>
          <w:p w14:paraId="6FDE6E74" w14:textId="60D0CC98" w:rsidR="00AA7609" w:rsidRDefault="00AA7609" w:rsidP="00AA7609">
            <w:pPr>
              <w:keepNext/>
              <w:keepLines/>
              <w:spacing w:after="0"/>
              <w:jc w:val="right"/>
            </w:pPr>
            <w:r>
              <w:rPr>
                <w:rFonts w:cs="Arial"/>
                <w:color w:val="000100"/>
                <w:szCs w:val="20"/>
              </w:rPr>
              <w:t>–</w:t>
            </w:r>
            <w:r w:rsidRPr="00137214">
              <w:rPr>
                <w:rFonts w:cs="Arial"/>
                <w:color w:val="000100"/>
                <w:szCs w:val="20"/>
              </w:rPr>
              <w:t>20%</w:t>
            </w:r>
          </w:p>
        </w:tc>
      </w:tr>
      <w:tr w:rsidR="00AA7609" w14:paraId="0173D070" w14:textId="77777777" w:rsidTr="00AA7609">
        <w:tc>
          <w:tcPr>
            <w:tcW w:w="3114" w:type="dxa"/>
          </w:tcPr>
          <w:p w14:paraId="16CC16D2" w14:textId="2F29CFE2" w:rsidR="00AA7609" w:rsidRDefault="00AA7609" w:rsidP="00AA7609">
            <w:pPr>
              <w:keepNext/>
              <w:keepLines/>
              <w:spacing w:after="0"/>
            </w:pPr>
            <w:r w:rsidRPr="00137214">
              <w:rPr>
                <w:rFonts w:cs="Arial"/>
                <w:b/>
                <w:bCs/>
                <w:color w:val="000000"/>
                <w:sz w:val="18"/>
                <w:szCs w:val="18"/>
              </w:rPr>
              <w:t>Type H (100,000,000 washes)</w:t>
            </w:r>
          </w:p>
        </w:tc>
        <w:tc>
          <w:tcPr>
            <w:tcW w:w="2273" w:type="dxa"/>
          </w:tcPr>
          <w:p w14:paraId="2E942532" w14:textId="7218E624" w:rsidR="00AA7609" w:rsidRDefault="00AA7609" w:rsidP="00AA7609">
            <w:pPr>
              <w:keepNext/>
              <w:keepLines/>
              <w:spacing w:after="0"/>
              <w:jc w:val="right"/>
            </w:pPr>
            <w:r w:rsidRPr="00137214">
              <w:rPr>
                <w:rFonts w:cs="Arial"/>
                <w:color w:val="000100"/>
                <w:szCs w:val="20"/>
              </w:rPr>
              <w:t>0%</w:t>
            </w:r>
          </w:p>
        </w:tc>
        <w:tc>
          <w:tcPr>
            <w:tcW w:w="2405" w:type="dxa"/>
          </w:tcPr>
          <w:p w14:paraId="0463BDC5" w14:textId="4545D58F" w:rsidR="00AA7609" w:rsidRDefault="00AA7609" w:rsidP="00AA7609">
            <w:pPr>
              <w:keepNext/>
              <w:keepLines/>
              <w:spacing w:after="0"/>
              <w:jc w:val="right"/>
            </w:pPr>
            <w:r>
              <w:rPr>
                <w:rFonts w:cs="Arial"/>
                <w:color w:val="000100"/>
                <w:szCs w:val="20"/>
              </w:rPr>
              <w:t>–</w:t>
            </w:r>
            <w:r w:rsidRPr="00137214">
              <w:rPr>
                <w:rFonts w:cs="Arial"/>
                <w:color w:val="000100"/>
                <w:szCs w:val="20"/>
              </w:rPr>
              <w:t>20%</w:t>
            </w:r>
          </w:p>
        </w:tc>
      </w:tr>
    </w:tbl>
    <w:p w14:paraId="1AE5D232" w14:textId="231EAFD5" w:rsidR="00AA7609" w:rsidRDefault="00AA7609" w:rsidP="00AA7609">
      <w:pPr>
        <w:pStyle w:val="ACMANotes"/>
        <w:keepNext/>
        <w:keepLines/>
        <w:spacing w:after="240"/>
      </w:pPr>
      <w:r w:rsidRPr="00137214">
        <w:t xml:space="preserve">*0 per cent growth rate applied as no charges are currently applied for </w:t>
      </w:r>
      <w:r w:rsidR="004D70D9">
        <w:t>T</w:t>
      </w:r>
      <w:r w:rsidRPr="00137214">
        <w:t xml:space="preserve">ype </w:t>
      </w:r>
      <w:r>
        <w:t>A</w:t>
      </w:r>
      <w:r w:rsidRPr="00137214">
        <w:t xml:space="preserve"> subscriptions</w:t>
      </w:r>
      <w:r w:rsidR="006255C5">
        <w:t>.</w:t>
      </w:r>
      <w:r w:rsidRPr="00137214">
        <w:br/>
        <w:t>Source: ACIL Allen Consulting.</w:t>
      </w:r>
    </w:p>
    <w:p w14:paraId="1BB53A97" w14:textId="3102D786" w:rsidR="000A4A2F" w:rsidRDefault="000A4A2F" w:rsidP="000C3A96">
      <w:pPr>
        <w:rPr>
          <w:rFonts w:eastAsia="SimSun"/>
        </w:rPr>
      </w:pPr>
      <w:r>
        <w:rPr>
          <w:rFonts w:eastAsia="SimSun"/>
        </w:rPr>
        <w:t xml:space="preserve">The growth rate of </w:t>
      </w:r>
      <w:r w:rsidR="00AA7609">
        <w:rPr>
          <w:rFonts w:eastAsia="SimSun"/>
        </w:rPr>
        <w:t xml:space="preserve">–20 </w:t>
      </w:r>
      <w:r>
        <w:rPr>
          <w:rFonts w:eastAsia="SimSun"/>
        </w:rPr>
        <w:t xml:space="preserve">per cent for future periods has been </w:t>
      </w:r>
      <w:r w:rsidR="002252DD">
        <w:rPr>
          <w:rFonts w:eastAsia="SimSun"/>
        </w:rPr>
        <w:t>predicted</w:t>
      </w:r>
      <w:r>
        <w:rPr>
          <w:rFonts w:eastAsia="SimSun"/>
        </w:rPr>
        <w:t xml:space="preserve"> by ACIL Allen based on the long-term decline in the number of </w:t>
      </w:r>
      <w:r w:rsidR="00AA7609">
        <w:rPr>
          <w:rFonts w:eastAsia="SimSun"/>
        </w:rPr>
        <w:t>t</w:t>
      </w:r>
      <w:r>
        <w:rPr>
          <w:rFonts w:eastAsia="SimSun"/>
        </w:rPr>
        <w:t>ype B, C and D subscriptions purchased between 2013 and March 2018</w:t>
      </w:r>
      <w:r w:rsidR="002252DD">
        <w:rPr>
          <w:rFonts w:eastAsia="SimSun"/>
        </w:rPr>
        <w:t xml:space="preserve"> (see</w:t>
      </w:r>
      <w:r>
        <w:rPr>
          <w:rFonts w:eastAsia="SimSun"/>
        </w:rPr>
        <w:t xml:space="preserve"> Table 4</w:t>
      </w:r>
      <w:r w:rsidR="002252DD">
        <w:rPr>
          <w:rFonts w:eastAsia="SimSun"/>
        </w:rPr>
        <w:t xml:space="preserve"> below</w:t>
      </w:r>
      <w:r w:rsidR="009E39C5">
        <w:rPr>
          <w:rFonts w:eastAsia="SimSun"/>
        </w:rPr>
        <w:t>)</w:t>
      </w:r>
      <w:r>
        <w:rPr>
          <w:rFonts w:eastAsia="SimSun"/>
        </w:rPr>
        <w:t>.</w:t>
      </w:r>
      <w:r w:rsidR="009E39C5">
        <w:rPr>
          <w:rFonts w:eastAsia="SimSun"/>
        </w:rPr>
        <w:t xml:space="preserve"> The current and previous subscription fee amounts are set out in Table 5. </w:t>
      </w:r>
    </w:p>
    <w:p w14:paraId="4EAF8F4D" w14:textId="28AB29A6" w:rsidR="002252DD" w:rsidRDefault="002252DD">
      <w:pPr>
        <w:spacing w:after="0" w:line="240" w:lineRule="auto"/>
        <w:rPr>
          <w:rFonts w:eastAsia="SimSun"/>
        </w:rPr>
      </w:pPr>
      <w:r>
        <w:rPr>
          <w:rFonts w:eastAsia="SimSun"/>
        </w:rPr>
        <w:br w:type="page"/>
      </w:r>
    </w:p>
    <w:p w14:paraId="591C427B" w14:textId="37762D63" w:rsidR="002252DD" w:rsidRPr="00AA7609" w:rsidRDefault="002252DD" w:rsidP="002252DD">
      <w:pPr>
        <w:pStyle w:val="ACMATableHeader"/>
        <w:keepNext/>
        <w:keepLines/>
        <w:rPr>
          <w:rFonts w:eastAsia="SimSun"/>
        </w:rPr>
      </w:pPr>
      <w:r>
        <w:lastRenderedPageBreak/>
        <w:t>Su</w:t>
      </w:r>
      <w:r w:rsidRPr="00A82AB6">
        <w:t>mmary of actual and estimated subscription demand for the period</w:t>
      </w:r>
      <w:r>
        <w:t>s</w:t>
      </w:r>
      <w:r w:rsidRPr="00A82AB6">
        <w:t xml:space="preserve"> 2014–15 to 201</w:t>
      </w:r>
      <w:r>
        <w:t>9</w:t>
      </w:r>
      <w:r w:rsidRPr="00A82AB6">
        <w:t>–</w:t>
      </w:r>
      <w:r>
        <w:t>20</w:t>
      </w:r>
    </w:p>
    <w:tbl>
      <w:tblPr>
        <w:tblStyle w:val="TableGrid"/>
        <w:tblW w:w="9251" w:type="dxa"/>
        <w:tblLayout w:type="fixed"/>
        <w:tblCellMar>
          <w:top w:w="57" w:type="dxa"/>
          <w:left w:w="57" w:type="dxa"/>
          <w:bottom w:w="57" w:type="dxa"/>
          <w:right w:w="57" w:type="dxa"/>
        </w:tblCellMar>
        <w:tblLook w:val="04A0" w:firstRow="1" w:lastRow="0" w:firstColumn="1" w:lastColumn="0" w:noHBand="0" w:noVBand="1"/>
      </w:tblPr>
      <w:tblGrid>
        <w:gridCol w:w="888"/>
        <w:gridCol w:w="1276"/>
        <w:gridCol w:w="1181"/>
        <w:gridCol w:w="1181"/>
        <w:gridCol w:w="1181"/>
        <w:gridCol w:w="1181"/>
        <w:gridCol w:w="1181"/>
        <w:gridCol w:w="1182"/>
      </w:tblGrid>
      <w:tr w:rsidR="00BC6158" w14:paraId="6BF76AAC" w14:textId="77777777" w:rsidTr="00BC6158">
        <w:tc>
          <w:tcPr>
            <w:tcW w:w="888" w:type="dxa"/>
            <w:vMerge w:val="restart"/>
            <w:shd w:val="clear" w:color="auto" w:fill="404040" w:themeFill="text1" w:themeFillTint="BF"/>
            <w:vAlign w:val="center"/>
          </w:tcPr>
          <w:p w14:paraId="060FDBC4" w14:textId="7B836C08" w:rsidR="00BC6158" w:rsidRPr="00BC6158" w:rsidRDefault="00BC6158" w:rsidP="00444411">
            <w:pPr>
              <w:pStyle w:val="TableHeading"/>
              <w:rPr>
                <w:rFonts w:eastAsia="SimSun"/>
                <w:color w:val="FFFFFF" w:themeColor="background1"/>
              </w:rPr>
            </w:pPr>
            <w:r w:rsidRPr="00BC6158">
              <w:rPr>
                <w:color w:val="FFFFFF" w:themeColor="background1"/>
              </w:rPr>
              <w:t>Type</w:t>
            </w:r>
          </w:p>
        </w:tc>
        <w:tc>
          <w:tcPr>
            <w:tcW w:w="1276" w:type="dxa"/>
            <w:vMerge w:val="restart"/>
            <w:shd w:val="clear" w:color="auto" w:fill="404040" w:themeFill="text1" w:themeFillTint="BF"/>
            <w:vAlign w:val="center"/>
          </w:tcPr>
          <w:p w14:paraId="296E9312" w14:textId="7BD47A0B" w:rsidR="00BC6158" w:rsidRPr="00BC6158" w:rsidRDefault="00BC6158" w:rsidP="00BC6158">
            <w:pPr>
              <w:pStyle w:val="TableHeading"/>
              <w:jc w:val="right"/>
              <w:rPr>
                <w:rFonts w:eastAsia="SimSun"/>
                <w:color w:val="FFFFFF" w:themeColor="background1"/>
              </w:rPr>
            </w:pPr>
            <w:r w:rsidRPr="00BC6158">
              <w:rPr>
                <w:color w:val="FFFFFF" w:themeColor="background1"/>
              </w:rPr>
              <w:t>No. of washes</w:t>
            </w:r>
          </w:p>
        </w:tc>
        <w:tc>
          <w:tcPr>
            <w:tcW w:w="7087" w:type="dxa"/>
            <w:gridSpan w:val="6"/>
            <w:shd w:val="clear" w:color="auto" w:fill="404040" w:themeFill="text1" w:themeFillTint="BF"/>
          </w:tcPr>
          <w:p w14:paraId="0195D41F" w14:textId="2C5438B3" w:rsidR="00BC6158" w:rsidRPr="00BC6158" w:rsidRDefault="00BC6158" w:rsidP="00BC6158">
            <w:pPr>
              <w:pStyle w:val="TableHeading"/>
              <w:jc w:val="center"/>
              <w:rPr>
                <w:rFonts w:eastAsia="SimSun"/>
                <w:color w:val="FFFFFF" w:themeColor="background1"/>
              </w:rPr>
            </w:pPr>
            <w:r w:rsidRPr="00BC6158">
              <w:rPr>
                <w:color w:val="FFFFFF" w:themeColor="background1"/>
              </w:rPr>
              <w:t>Demand</w:t>
            </w:r>
          </w:p>
        </w:tc>
      </w:tr>
      <w:tr w:rsidR="00BC6158" w14:paraId="18F66B8C" w14:textId="77777777" w:rsidTr="00BC6158">
        <w:tc>
          <w:tcPr>
            <w:tcW w:w="888" w:type="dxa"/>
            <w:vMerge/>
            <w:shd w:val="clear" w:color="auto" w:fill="404040" w:themeFill="text1" w:themeFillTint="BF"/>
          </w:tcPr>
          <w:p w14:paraId="0DC43848" w14:textId="77777777" w:rsidR="00BC6158" w:rsidRPr="00BC6158" w:rsidRDefault="00BC6158" w:rsidP="00444411">
            <w:pPr>
              <w:pStyle w:val="TableHeading"/>
              <w:rPr>
                <w:rFonts w:eastAsia="SimSun"/>
                <w:color w:val="FFFFFF" w:themeColor="background1"/>
              </w:rPr>
            </w:pPr>
          </w:p>
        </w:tc>
        <w:tc>
          <w:tcPr>
            <w:tcW w:w="1276" w:type="dxa"/>
            <w:vMerge/>
            <w:shd w:val="clear" w:color="auto" w:fill="404040" w:themeFill="text1" w:themeFillTint="BF"/>
          </w:tcPr>
          <w:p w14:paraId="3BAFE179" w14:textId="77777777" w:rsidR="00BC6158" w:rsidRPr="00BC6158" w:rsidRDefault="00BC6158" w:rsidP="00BC6158">
            <w:pPr>
              <w:pStyle w:val="TableHeading"/>
              <w:jc w:val="right"/>
              <w:rPr>
                <w:rFonts w:eastAsia="SimSun"/>
                <w:color w:val="FFFFFF" w:themeColor="background1"/>
              </w:rPr>
            </w:pPr>
          </w:p>
        </w:tc>
        <w:tc>
          <w:tcPr>
            <w:tcW w:w="1181" w:type="dxa"/>
            <w:shd w:val="clear" w:color="auto" w:fill="404040" w:themeFill="text1" w:themeFillTint="BF"/>
            <w:vAlign w:val="center"/>
          </w:tcPr>
          <w:p w14:paraId="6569A517" w14:textId="5DDD277E" w:rsidR="00BC6158" w:rsidRPr="00BC6158" w:rsidRDefault="00BC6158" w:rsidP="00BC6158">
            <w:pPr>
              <w:pStyle w:val="TableHeading"/>
              <w:jc w:val="right"/>
              <w:rPr>
                <w:rFonts w:eastAsia="SimSun"/>
                <w:color w:val="FFFFFF" w:themeColor="background1"/>
              </w:rPr>
            </w:pPr>
            <w:r w:rsidRPr="00BC6158">
              <w:rPr>
                <w:color w:val="FFFFFF" w:themeColor="background1"/>
              </w:rPr>
              <w:t>2014–15 (actual)</w:t>
            </w:r>
          </w:p>
        </w:tc>
        <w:tc>
          <w:tcPr>
            <w:tcW w:w="1181" w:type="dxa"/>
            <w:shd w:val="clear" w:color="auto" w:fill="404040" w:themeFill="text1" w:themeFillTint="BF"/>
            <w:vAlign w:val="center"/>
          </w:tcPr>
          <w:p w14:paraId="20EF3DCC" w14:textId="0840E737" w:rsidR="00BC6158" w:rsidRPr="00BC6158" w:rsidRDefault="00BC6158" w:rsidP="00BC6158">
            <w:pPr>
              <w:pStyle w:val="TableHeading"/>
              <w:jc w:val="right"/>
              <w:rPr>
                <w:rFonts w:eastAsia="SimSun"/>
                <w:color w:val="FFFFFF" w:themeColor="background1"/>
              </w:rPr>
            </w:pPr>
            <w:r w:rsidRPr="00BC6158">
              <w:rPr>
                <w:color w:val="FFFFFF" w:themeColor="background1"/>
              </w:rPr>
              <w:t>2015–16 (actual)</w:t>
            </w:r>
          </w:p>
        </w:tc>
        <w:tc>
          <w:tcPr>
            <w:tcW w:w="1181" w:type="dxa"/>
            <w:shd w:val="clear" w:color="auto" w:fill="404040" w:themeFill="text1" w:themeFillTint="BF"/>
            <w:vAlign w:val="center"/>
          </w:tcPr>
          <w:p w14:paraId="152277CE" w14:textId="3CF2E5AC" w:rsidR="00BC6158" w:rsidRPr="00BC6158" w:rsidRDefault="00BC6158" w:rsidP="00BC6158">
            <w:pPr>
              <w:pStyle w:val="TableHeading"/>
              <w:jc w:val="right"/>
              <w:rPr>
                <w:rFonts w:eastAsia="SimSun"/>
                <w:color w:val="FFFFFF" w:themeColor="background1"/>
              </w:rPr>
            </w:pPr>
            <w:r w:rsidRPr="00BC6158">
              <w:rPr>
                <w:color w:val="FFFFFF" w:themeColor="background1"/>
              </w:rPr>
              <w:t>2016–17 (actual)</w:t>
            </w:r>
          </w:p>
        </w:tc>
        <w:tc>
          <w:tcPr>
            <w:tcW w:w="1181" w:type="dxa"/>
            <w:shd w:val="clear" w:color="auto" w:fill="404040" w:themeFill="text1" w:themeFillTint="BF"/>
            <w:vAlign w:val="center"/>
          </w:tcPr>
          <w:p w14:paraId="665AD241" w14:textId="4D61D645" w:rsidR="00BC6158" w:rsidRPr="00BC6158" w:rsidRDefault="00BC6158" w:rsidP="00BC6158">
            <w:pPr>
              <w:pStyle w:val="TableHeading"/>
              <w:jc w:val="right"/>
              <w:rPr>
                <w:rFonts w:eastAsia="SimSun"/>
                <w:color w:val="FFFFFF" w:themeColor="background1"/>
              </w:rPr>
            </w:pPr>
            <w:r w:rsidRPr="00BC6158">
              <w:rPr>
                <w:color w:val="FFFFFF" w:themeColor="background1"/>
              </w:rPr>
              <w:t>2017–18 (actual &amp; estimate)</w:t>
            </w:r>
          </w:p>
        </w:tc>
        <w:tc>
          <w:tcPr>
            <w:tcW w:w="1181" w:type="dxa"/>
            <w:shd w:val="clear" w:color="auto" w:fill="404040" w:themeFill="text1" w:themeFillTint="BF"/>
            <w:vAlign w:val="center"/>
          </w:tcPr>
          <w:p w14:paraId="4540FF33" w14:textId="3D65E64A" w:rsidR="00BC6158" w:rsidRPr="00BC6158" w:rsidRDefault="00BC6158" w:rsidP="00BC6158">
            <w:pPr>
              <w:pStyle w:val="TableHeading"/>
              <w:jc w:val="right"/>
              <w:rPr>
                <w:rFonts w:eastAsia="SimSun"/>
                <w:color w:val="FFFFFF" w:themeColor="background1"/>
              </w:rPr>
            </w:pPr>
            <w:r w:rsidRPr="00BC6158">
              <w:rPr>
                <w:color w:val="FFFFFF" w:themeColor="background1"/>
              </w:rPr>
              <w:t>2018–19 (estimate)</w:t>
            </w:r>
          </w:p>
        </w:tc>
        <w:tc>
          <w:tcPr>
            <w:tcW w:w="1182" w:type="dxa"/>
            <w:shd w:val="clear" w:color="auto" w:fill="404040" w:themeFill="text1" w:themeFillTint="BF"/>
            <w:vAlign w:val="center"/>
          </w:tcPr>
          <w:p w14:paraId="698B1D78" w14:textId="09407AD4" w:rsidR="00BC6158" w:rsidRPr="00BC6158" w:rsidRDefault="00BC6158" w:rsidP="00BC6158">
            <w:pPr>
              <w:pStyle w:val="TableHeading"/>
              <w:jc w:val="right"/>
              <w:rPr>
                <w:rFonts w:eastAsia="SimSun"/>
                <w:color w:val="FFFFFF" w:themeColor="background1"/>
              </w:rPr>
            </w:pPr>
            <w:r w:rsidRPr="00BC6158">
              <w:rPr>
                <w:color w:val="FFFFFF" w:themeColor="background1"/>
              </w:rPr>
              <w:t>2019–20 (estimate)</w:t>
            </w:r>
          </w:p>
        </w:tc>
      </w:tr>
      <w:tr w:rsidR="00444411" w14:paraId="42C4FFF1" w14:textId="77777777" w:rsidTr="00BC6158">
        <w:tc>
          <w:tcPr>
            <w:tcW w:w="888" w:type="dxa"/>
            <w:vAlign w:val="center"/>
          </w:tcPr>
          <w:p w14:paraId="4088A35D" w14:textId="374DD5CF" w:rsidR="00444411" w:rsidRDefault="00444411" w:rsidP="00BC6158">
            <w:pPr>
              <w:spacing w:after="0"/>
              <w:rPr>
                <w:rFonts w:eastAsia="SimSun"/>
              </w:rPr>
            </w:pPr>
            <w:r w:rsidRPr="00137214">
              <w:rPr>
                <w:rFonts w:cs="Arial"/>
                <w:b/>
                <w:bCs/>
                <w:color w:val="000000"/>
                <w:sz w:val="18"/>
                <w:szCs w:val="18"/>
              </w:rPr>
              <w:t>Type A</w:t>
            </w:r>
          </w:p>
        </w:tc>
        <w:tc>
          <w:tcPr>
            <w:tcW w:w="1276" w:type="dxa"/>
            <w:vAlign w:val="center"/>
          </w:tcPr>
          <w:p w14:paraId="54F007E4" w14:textId="401025E3" w:rsidR="00444411" w:rsidRDefault="00444411" w:rsidP="00BC6158">
            <w:pPr>
              <w:spacing w:after="0"/>
              <w:jc w:val="right"/>
              <w:rPr>
                <w:rFonts w:eastAsia="SimSun"/>
              </w:rPr>
            </w:pPr>
            <w:r w:rsidRPr="00137214">
              <w:rPr>
                <w:rFonts w:cs="Arial"/>
                <w:color w:val="000000"/>
                <w:sz w:val="18"/>
                <w:szCs w:val="18"/>
              </w:rPr>
              <w:t>500</w:t>
            </w:r>
          </w:p>
        </w:tc>
        <w:tc>
          <w:tcPr>
            <w:tcW w:w="1181" w:type="dxa"/>
            <w:vAlign w:val="center"/>
          </w:tcPr>
          <w:p w14:paraId="176B9F41" w14:textId="468A5E70" w:rsidR="00444411" w:rsidRDefault="00444411" w:rsidP="00BC6158">
            <w:pPr>
              <w:spacing w:after="0"/>
              <w:jc w:val="right"/>
              <w:rPr>
                <w:rFonts w:eastAsia="SimSun"/>
              </w:rPr>
            </w:pPr>
            <w:r>
              <w:rPr>
                <w:rFonts w:cs="Arial"/>
                <w:color w:val="000000"/>
                <w:sz w:val="18"/>
                <w:szCs w:val="18"/>
              </w:rPr>
              <w:t>415</w:t>
            </w:r>
          </w:p>
        </w:tc>
        <w:tc>
          <w:tcPr>
            <w:tcW w:w="1181" w:type="dxa"/>
            <w:vAlign w:val="center"/>
          </w:tcPr>
          <w:p w14:paraId="16C949E5" w14:textId="4555DAE2" w:rsidR="00444411" w:rsidRDefault="00444411" w:rsidP="00BC6158">
            <w:pPr>
              <w:spacing w:after="0"/>
              <w:jc w:val="right"/>
              <w:rPr>
                <w:rFonts w:eastAsia="SimSun"/>
              </w:rPr>
            </w:pPr>
            <w:r>
              <w:rPr>
                <w:rFonts w:cs="Arial"/>
                <w:color w:val="000000"/>
                <w:sz w:val="18"/>
                <w:szCs w:val="18"/>
              </w:rPr>
              <w:t>413</w:t>
            </w:r>
          </w:p>
        </w:tc>
        <w:tc>
          <w:tcPr>
            <w:tcW w:w="1181" w:type="dxa"/>
            <w:vAlign w:val="center"/>
          </w:tcPr>
          <w:p w14:paraId="4324A265" w14:textId="09BAF509" w:rsidR="00444411" w:rsidRDefault="00444411" w:rsidP="00BC6158">
            <w:pPr>
              <w:spacing w:after="0"/>
              <w:jc w:val="right"/>
              <w:rPr>
                <w:rFonts w:eastAsia="SimSun"/>
              </w:rPr>
            </w:pPr>
            <w:r>
              <w:rPr>
                <w:rFonts w:cs="Arial"/>
                <w:color w:val="000000"/>
                <w:sz w:val="18"/>
                <w:szCs w:val="18"/>
              </w:rPr>
              <w:t>2,409*</w:t>
            </w:r>
          </w:p>
        </w:tc>
        <w:tc>
          <w:tcPr>
            <w:tcW w:w="1181" w:type="dxa"/>
            <w:vAlign w:val="center"/>
          </w:tcPr>
          <w:p w14:paraId="6F76CC1D" w14:textId="64570115" w:rsidR="00444411" w:rsidRDefault="00444411" w:rsidP="00BC6158">
            <w:pPr>
              <w:spacing w:after="0"/>
              <w:jc w:val="right"/>
              <w:rPr>
                <w:rFonts w:eastAsia="SimSun"/>
              </w:rPr>
            </w:pPr>
            <w:r>
              <w:rPr>
                <w:rFonts w:cs="Arial"/>
                <w:color w:val="000000"/>
                <w:sz w:val="18"/>
                <w:szCs w:val="18"/>
              </w:rPr>
              <w:t>1,238*</w:t>
            </w:r>
          </w:p>
        </w:tc>
        <w:tc>
          <w:tcPr>
            <w:tcW w:w="1181" w:type="dxa"/>
            <w:vAlign w:val="center"/>
          </w:tcPr>
          <w:p w14:paraId="3B81630E" w14:textId="78D15FE9" w:rsidR="00444411" w:rsidRDefault="00444411" w:rsidP="00BC6158">
            <w:pPr>
              <w:spacing w:after="0"/>
              <w:jc w:val="right"/>
              <w:rPr>
                <w:rFonts w:eastAsia="SimSun"/>
              </w:rPr>
            </w:pPr>
            <w:r>
              <w:rPr>
                <w:rFonts w:cs="Arial"/>
                <w:color w:val="000000"/>
                <w:sz w:val="18"/>
                <w:szCs w:val="18"/>
              </w:rPr>
              <w:t>541</w:t>
            </w:r>
          </w:p>
        </w:tc>
        <w:tc>
          <w:tcPr>
            <w:tcW w:w="1182" w:type="dxa"/>
            <w:vAlign w:val="center"/>
          </w:tcPr>
          <w:p w14:paraId="6DC1E6ED" w14:textId="13597352" w:rsidR="00444411" w:rsidRDefault="00444411" w:rsidP="00BC6158">
            <w:pPr>
              <w:spacing w:after="0"/>
              <w:jc w:val="right"/>
              <w:rPr>
                <w:rFonts w:eastAsia="SimSun"/>
              </w:rPr>
            </w:pPr>
            <w:r>
              <w:rPr>
                <w:rFonts w:cs="Arial"/>
                <w:color w:val="000000"/>
                <w:sz w:val="18"/>
                <w:szCs w:val="18"/>
              </w:rPr>
              <w:t>541</w:t>
            </w:r>
          </w:p>
        </w:tc>
      </w:tr>
      <w:tr w:rsidR="00444411" w14:paraId="4BE31E32" w14:textId="77777777" w:rsidTr="00BC6158">
        <w:tc>
          <w:tcPr>
            <w:tcW w:w="888" w:type="dxa"/>
            <w:vAlign w:val="center"/>
          </w:tcPr>
          <w:p w14:paraId="1A9BA57B" w14:textId="69A9C610" w:rsidR="00444411" w:rsidRDefault="00444411" w:rsidP="00BC6158">
            <w:pPr>
              <w:spacing w:after="0"/>
              <w:rPr>
                <w:rFonts w:eastAsia="SimSun"/>
              </w:rPr>
            </w:pPr>
            <w:r w:rsidRPr="00137214">
              <w:rPr>
                <w:rFonts w:cs="Arial"/>
                <w:b/>
                <w:bCs/>
                <w:color w:val="000000"/>
                <w:sz w:val="18"/>
                <w:szCs w:val="18"/>
              </w:rPr>
              <w:t>Type B</w:t>
            </w:r>
          </w:p>
        </w:tc>
        <w:tc>
          <w:tcPr>
            <w:tcW w:w="1276" w:type="dxa"/>
            <w:vAlign w:val="center"/>
          </w:tcPr>
          <w:p w14:paraId="60282CDC" w14:textId="31203346" w:rsidR="00444411" w:rsidRDefault="00444411" w:rsidP="00BC6158">
            <w:pPr>
              <w:spacing w:after="0"/>
              <w:jc w:val="right"/>
              <w:rPr>
                <w:rFonts w:eastAsia="SimSun"/>
              </w:rPr>
            </w:pPr>
            <w:r w:rsidRPr="00137214">
              <w:rPr>
                <w:rFonts w:cs="Arial"/>
                <w:color w:val="000000"/>
                <w:sz w:val="18"/>
                <w:szCs w:val="18"/>
              </w:rPr>
              <w:t>20,000</w:t>
            </w:r>
          </w:p>
        </w:tc>
        <w:tc>
          <w:tcPr>
            <w:tcW w:w="1181" w:type="dxa"/>
            <w:vAlign w:val="center"/>
          </w:tcPr>
          <w:p w14:paraId="004DD136" w14:textId="3B5BC7A4" w:rsidR="00444411" w:rsidRDefault="00444411" w:rsidP="00BC6158">
            <w:pPr>
              <w:spacing w:after="0"/>
              <w:jc w:val="right"/>
              <w:rPr>
                <w:rFonts w:eastAsia="SimSun"/>
              </w:rPr>
            </w:pPr>
            <w:r>
              <w:rPr>
                <w:rFonts w:cs="Arial"/>
                <w:color w:val="000000"/>
                <w:sz w:val="18"/>
                <w:szCs w:val="18"/>
              </w:rPr>
              <w:t>1,425</w:t>
            </w:r>
          </w:p>
        </w:tc>
        <w:tc>
          <w:tcPr>
            <w:tcW w:w="1181" w:type="dxa"/>
            <w:vAlign w:val="center"/>
          </w:tcPr>
          <w:p w14:paraId="445FBD90" w14:textId="4B06B5CB" w:rsidR="00444411" w:rsidRDefault="00444411" w:rsidP="00BC6158">
            <w:pPr>
              <w:spacing w:after="0"/>
              <w:jc w:val="right"/>
              <w:rPr>
                <w:rFonts w:eastAsia="SimSun"/>
              </w:rPr>
            </w:pPr>
            <w:r>
              <w:rPr>
                <w:rFonts w:cs="Arial"/>
                <w:color w:val="000000"/>
                <w:sz w:val="18"/>
                <w:szCs w:val="18"/>
              </w:rPr>
              <w:t>997</w:t>
            </w:r>
          </w:p>
        </w:tc>
        <w:tc>
          <w:tcPr>
            <w:tcW w:w="1181" w:type="dxa"/>
            <w:vAlign w:val="center"/>
          </w:tcPr>
          <w:p w14:paraId="27F818F4" w14:textId="5B791711" w:rsidR="00444411" w:rsidRDefault="00444411" w:rsidP="00BC6158">
            <w:pPr>
              <w:spacing w:after="0"/>
              <w:jc w:val="right"/>
              <w:rPr>
                <w:rFonts w:eastAsia="SimSun"/>
              </w:rPr>
            </w:pPr>
            <w:r>
              <w:rPr>
                <w:rFonts w:cs="Arial"/>
                <w:color w:val="000000"/>
                <w:sz w:val="18"/>
                <w:szCs w:val="18"/>
              </w:rPr>
              <w:t>1,029</w:t>
            </w:r>
          </w:p>
        </w:tc>
        <w:tc>
          <w:tcPr>
            <w:tcW w:w="1181" w:type="dxa"/>
            <w:vAlign w:val="center"/>
          </w:tcPr>
          <w:p w14:paraId="73E2101F" w14:textId="4F76DDB6" w:rsidR="00444411" w:rsidRDefault="00444411" w:rsidP="00BC6158">
            <w:pPr>
              <w:spacing w:after="0"/>
              <w:jc w:val="right"/>
              <w:rPr>
                <w:rFonts w:eastAsia="SimSun"/>
              </w:rPr>
            </w:pPr>
            <w:r>
              <w:rPr>
                <w:rFonts w:cs="Arial"/>
                <w:color w:val="000000"/>
                <w:sz w:val="18"/>
                <w:szCs w:val="18"/>
              </w:rPr>
              <w:t>884</w:t>
            </w:r>
          </w:p>
        </w:tc>
        <w:tc>
          <w:tcPr>
            <w:tcW w:w="1181" w:type="dxa"/>
            <w:vAlign w:val="center"/>
          </w:tcPr>
          <w:p w14:paraId="42915A0A" w14:textId="1E247698" w:rsidR="00444411" w:rsidRDefault="00444411" w:rsidP="00BC6158">
            <w:pPr>
              <w:spacing w:after="0"/>
              <w:jc w:val="right"/>
              <w:rPr>
                <w:rFonts w:eastAsia="SimSun"/>
              </w:rPr>
            </w:pPr>
            <w:r>
              <w:rPr>
                <w:rFonts w:cs="Arial"/>
                <w:color w:val="000000"/>
                <w:sz w:val="18"/>
                <w:szCs w:val="18"/>
              </w:rPr>
              <w:t>710</w:t>
            </w:r>
          </w:p>
        </w:tc>
        <w:tc>
          <w:tcPr>
            <w:tcW w:w="1182" w:type="dxa"/>
            <w:vAlign w:val="center"/>
          </w:tcPr>
          <w:p w14:paraId="5D38174F" w14:textId="77E67923" w:rsidR="00444411" w:rsidRDefault="00444411" w:rsidP="00BC6158">
            <w:pPr>
              <w:spacing w:after="0"/>
              <w:jc w:val="right"/>
              <w:rPr>
                <w:rFonts w:eastAsia="SimSun"/>
              </w:rPr>
            </w:pPr>
            <w:r>
              <w:rPr>
                <w:rFonts w:cs="Arial"/>
                <w:color w:val="000000"/>
                <w:sz w:val="18"/>
                <w:szCs w:val="18"/>
              </w:rPr>
              <w:t>569</w:t>
            </w:r>
          </w:p>
        </w:tc>
      </w:tr>
      <w:tr w:rsidR="00444411" w14:paraId="4C0CC96F" w14:textId="77777777" w:rsidTr="00BC6158">
        <w:tc>
          <w:tcPr>
            <w:tcW w:w="888" w:type="dxa"/>
            <w:vAlign w:val="center"/>
          </w:tcPr>
          <w:p w14:paraId="630A3E9A" w14:textId="5FC21E56" w:rsidR="00444411" w:rsidRDefault="00444411" w:rsidP="00BC6158">
            <w:pPr>
              <w:spacing w:after="0"/>
              <w:rPr>
                <w:rFonts w:eastAsia="SimSun"/>
              </w:rPr>
            </w:pPr>
            <w:r w:rsidRPr="00137214">
              <w:rPr>
                <w:rFonts w:cs="Arial"/>
                <w:b/>
                <w:bCs/>
                <w:color w:val="000000"/>
                <w:sz w:val="18"/>
                <w:szCs w:val="18"/>
              </w:rPr>
              <w:t>Type C</w:t>
            </w:r>
          </w:p>
        </w:tc>
        <w:tc>
          <w:tcPr>
            <w:tcW w:w="1276" w:type="dxa"/>
            <w:vAlign w:val="center"/>
          </w:tcPr>
          <w:p w14:paraId="1B107D01" w14:textId="3512B55D" w:rsidR="00444411" w:rsidRDefault="00444411" w:rsidP="00BC6158">
            <w:pPr>
              <w:spacing w:after="0"/>
              <w:jc w:val="right"/>
              <w:rPr>
                <w:rFonts w:eastAsia="SimSun"/>
              </w:rPr>
            </w:pPr>
            <w:r w:rsidRPr="00137214">
              <w:rPr>
                <w:rFonts w:cs="Arial"/>
                <w:color w:val="000000"/>
                <w:sz w:val="18"/>
                <w:szCs w:val="18"/>
              </w:rPr>
              <w:t>100,000</w:t>
            </w:r>
          </w:p>
        </w:tc>
        <w:tc>
          <w:tcPr>
            <w:tcW w:w="1181" w:type="dxa"/>
            <w:vAlign w:val="center"/>
          </w:tcPr>
          <w:p w14:paraId="629847C8" w14:textId="29C48EBF" w:rsidR="00444411" w:rsidRDefault="00444411" w:rsidP="00BC6158">
            <w:pPr>
              <w:spacing w:after="0"/>
              <w:jc w:val="right"/>
              <w:rPr>
                <w:rFonts w:eastAsia="SimSun"/>
              </w:rPr>
            </w:pPr>
            <w:r>
              <w:rPr>
                <w:rFonts w:cs="Arial"/>
                <w:color w:val="000000"/>
                <w:sz w:val="18"/>
                <w:szCs w:val="18"/>
              </w:rPr>
              <w:t>1,319</w:t>
            </w:r>
          </w:p>
        </w:tc>
        <w:tc>
          <w:tcPr>
            <w:tcW w:w="1181" w:type="dxa"/>
            <w:vAlign w:val="center"/>
          </w:tcPr>
          <w:p w14:paraId="0706BB3F" w14:textId="74A506AE" w:rsidR="00444411" w:rsidRDefault="00444411" w:rsidP="00BC6158">
            <w:pPr>
              <w:spacing w:after="0"/>
              <w:jc w:val="right"/>
              <w:rPr>
                <w:rFonts w:eastAsia="SimSun"/>
              </w:rPr>
            </w:pPr>
            <w:r>
              <w:rPr>
                <w:rFonts w:cs="Arial"/>
                <w:color w:val="000000"/>
                <w:sz w:val="18"/>
                <w:szCs w:val="18"/>
              </w:rPr>
              <w:t>1,203</w:t>
            </w:r>
          </w:p>
        </w:tc>
        <w:tc>
          <w:tcPr>
            <w:tcW w:w="1181" w:type="dxa"/>
            <w:vAlign w:val="center"/>
          </w:tcPr>
          <w:p w14:paraId="284A0F78" w14:textId="79FE447B" w:rsidR="00444411" w:rsidRDefault="00444411" w:rsidP="00BC6158">
            <w:pPr>
              <w:spacing w:after="0"/>
              <w:jc w:val="right"/>
              <w:rPr>
                <w:rFonts w:eastAsia="SimSun"/>
              </w:rPr>
            </w:pPr>
            <w:r>
              <w:rPr>
                <w:rFonts w:cs="Arial"/>
                <w:color w:val="000000"/>
                <w:sz w:val="18"/>
                <w:szCs w:val="18"/>
              </w:rPr>
              <w:t>1,117</w:t>
            </w:r>
          </w:p>
        </w:tc>
        <w:tc>
          <w:tcPr>
            <w:tcW w:w="1181" w:type="dxa"/>
            <w:vAlign w:val="center"/>
          </w:tcPr>
          <w:p w14:paraId="3C402F2F" w14:textId="2A962BE1" w:rsidR="00444411" w:rsidRDefault="00444411" w:rsidP="00BC6158">
            <w:pPr>
              <w:spacing w:after="0"/>
              <w:jc w:val="right"/>
              <w:rPr>
                <w:rFonts w:eastAsia="SimSun"/>
              </w:rPr>
            </w:pPr>
            <w:r>
              <w:rPr>
                <w:rFonts w:cs="Arial"/>
                <w:color w:val="000000"/>
                <w:sz w:val="18"/>
                <w:szCs w:val="18"/>
              </w:rPr>
              <w:t>792</w:t>
            </w:r>
          </w:p>
        </w:tc>
        <w:tc>
          <w:tcPr>
            <w:tcW w:w="1181" w:type="dxa"/>
            <w:vAlign w:val="center"/>
          </w:tcPr>
          <w:p w14:paraId="055EE795" w14:textId="5E1E20B1" w:rsidR="00444411" w:rsidRDefault="00444411" w:rsidP="00BC6158">
            <w:pPr>
              <w:spacing w:after="0"/>
              <w:jc w:val="right"/>
              <w:rPr>
                <w:rFonts w:eastAsia="SimSun"/>
              </w:rPr>
            </w:pPr>
            <w:r>
              <w:rPr>
                <w:rFonts w:cs="Arial"/>
                <w:color w:val="000000"/>
                <w:sz w:val="18"/>
                <w:szCs w:val="18"/>
              </w:rPr>
              <w:t>641</w:t>
            </w:r>
          </w:p>
        </w:tc>
        <w:tc>
          <w:tcPr>
            <w:tcW w:w="1182" w:type="dxa"/>
            <w:vAlign w:val="center"/>
          </w:tcPr>
          <w:p w14:paraId="24E6F9E0" w14:textId="44D90ADB" w:rsidR="00444411" w:rsidRDefault="00444411" w:rsidP="00BC6158">
            <w:pPr>
              <w:spacing w:after="0"/>
              <w:jc w:val="right"/>
              <w:rPr>
                <w:rFonts w:eastAsia="SimSun"/>
              </w:rPr>
            </w:pPr>
            <w:r>
              <w:rPr>
                <w:rFonts w:cs="Arial"/>
                <w:color w:val="000000"/>
                <w:sz w:val="18"/>
                <w:szCs w:val="18"/>
              </w:rPr>
              <w:t>513</w:t>
            </w:r>
          </w:p>
        </w:tc>
      </w:tr>
      <w:tr w:rsidR="00444411" w14:paraId="6B22A701" w14:textId="77777777" w:rsidTr="00BC6158">
        <w:tc>
          <w:tcPr>
            <w:tcW w:w="888" w:type="dxa"/>
            <w:vAlign w:val="center"/>
          </w:tcPr>
          <w:p w14:paraId="219896F8" w14:textId="55824441" w:rsidR="00444411" w:rsidRDefault="00444411" w:rsidP="00BC6158">
            <w:pPr>
              <w:spacing w:after="0"/>
              <w:rPr>
                <w:rFonts w:eastAsia="SimSun"/>
              </w:rPr>
            </w:pPr>
            <w:r w:rsidRPr="00137214">
              <w:rPr>
                <w:rFonts w:cs="Arial"/>
                <w:b/>
                <w:bCs/>
                <w:color w:val="000000"/>
                <w:sz w:val="18"/>
                <w:szCs w:val="18"/>
              </w:rPr>
              <w:t>Type D</w:t>
            </w:r>
          </w:p>
        </w:tc>
        <w:tc>
          <w:tcPr>
            <w:tcW w:w="1276" w:type="dxa"/>
            <w:vAlign w:val="center"/>
          </w:tcPr>
          <w:p w14:paraId="75E4744B" w14:textId="01816382" w:rsidR="00444411" w:rsidRDefault="00444411" w:rsidP="00BC6158">
            <w:pPr>
              <w:spacing w:after="0"/>
              <w:jc w:val="right"/>
              <w:rPr>
                <w:rFonts w:eastAsia="SimSun"/>
              </w:rPr>
            </w:pPr>
            <w:r w:rsidRPr="00137214">
              <w:rPr>
                <w:rFonts w:cs="Arial"/>
                <w:color w:val="000000"/>
                <w:sz w:val="18"/>
                <w:szCs w:val="18"/>
              </w:rPr>
              <w:t>1,000,000</w:t>
            </w:r>
          </w:p>
        </w:tc>
        <w:tc>
          <w:tcPr>
            <w:tcW w:w="1181" w:type="dxa"/>
            <w:vAlign w:val="center"/>
          </w:tcPr>
          <w:p w14:paraId="584E5708" w14:textId="5BD3294C" w:rsidR="00444411" w:rsidRDefault="00444411" w:rsidP="00BC6158">
            <w:pPr>
              <w:spacing w:after="0"/>
              <w:jc w:val="right"/>
              <w:rPr>
                <w:rFonts w:eastAsia="SimSun"/>
              </w:rPr>
            </w:pPr>
            <w:r>
              <w:rPr>
                <w:rFonts w:cs="Arial"/>
                <w:color w:val="000000"/>
                <w:sz w:val="18"/>
                <w:szCs w:val="18"/>
              </w:rPr>
              <w:t>388</w:t>
            </w:r>
          </w:p>
        </w:tc>
        <w:tc>
          <w:tcPr>
            <w:tcW w:w="1181" w:type="dxa"/>
            <w:vAlign w:val="center"/>
          </w:tcPr>
          <w:p w14:paraId="506DBC6D" w14:textId="4EE435DB" w:rsidR="00444411" w:rsidRDefault="00444411" w:rsidP="00BC6158">
            <w:pPr>
              <w:spacing w:after="0"/>
              <w:jc w:val="right"/>
              <w:rPr>
                <w:rFonts w:eastAsia="SimSun"/>
              </w:rPr>
            </w:pPr>
            <w:r>
              <w:rPr>
                <w:rFonts w:cs="Arial"/>
                <w:color w:val="000000"/>
                <w:sz w:val="18"/>
                <w:szCs w:val="18"/>
              </w:rPr>
              <w:t>286</w:t>
            </w:r>
          </w:p>
        </w:tc>
        <w:tc>
          <w:tcPr>
            <w:tcW w:w="1181" w:type="dxa"/>
            <w:vAlign w:val="center"/>
          </w:tcPr>
          <w:p w14:paraId="1CE2785E" w14:textId="23F2F16B" w:rsidR="00444411" w:rsidRDefault="00444411" w:rsidP="00BC6158">
            <w:pPr>
              <w:spacing w:after="0"/>
              <w:jc w:val="right"/>
              <w:rPr>
                <w:rFonts w:eastAsia="SimSun"/>
              </w:rPr>
            </w:pPr>
            <w:r>
              <w:rPr>
                <w:rFonts w:cs="Arial"/>
                <w:color w:val="000000"/>
                <w:sz w:val="18"/>
                <w:szCs w:val="18"/>
              </w:rPr>
              <w:t>261</w:t>
            </w:r>
          </w:p>
        </w:tc>
        <w:tc>
          <w:tcPr>
            <w:tcW w:w="1181" w:type="dxa"/>
            <w:vAlign w:val="center"/>
          </w:tcPr>
          <w:p w14:paraId="37306EAA" w14:textId="3A246E10" w:rsidR="00444411" w:rsidRDefault="00444411" w:rsidP="00BC6158">
            <w:pPr>
              <w:spacing w:after="0"/>
              <w:jc w:val="right"/>
              <w:rPr>
                <w:rFonts w:eastAsia="SimSun"/>
              </w:rPr>
            </w:pPr>
            <w:r>
              <w:rPr>
                <w:rFonts w:cs="Arial"/>
                <w:color w:val="000000"/>
                <w:sz w:val="18"/>
                <w:szCs w:val="18"/>
              </w:rPr>
              <w:t>213</w:t>
            </w:r>
          </w:p>
        </w:tc>
        <w:tc>
          <w:tcPr>
            <w:tcW w:w="1181" w:type="dxa"/>
            <w:vAlign w:val="center"/>
          </w:tcPr>
          <w:p w14:paraId="5812324B" w14:textId="229F2DA3" w:rsidR="00444411" w:rsidRDefault="00444411" w:rsidP="00BC6158">
            <w:pPr>
              <w:spacing w:after="0"/>
              <w:jc w:val="right"/>
              <w:rPr>
                <w:rFonts w:eastAsia="SimSun"/>
              </w:rPr>
            </w:pPr>
            <w:r>
              <w:rPr>
                <w:rFonts w:cs="Arial"/>
                <w:color w:val="000000"/>
                <w:sz w:val="18"/>
                <w:szCs w:val="18"/>
              </w:rPr>
              <w:t>166</w:t>
            </w:r>
          </w:p>
        </w:tc>
        <w:tc>
          <w:tcPr>
            <w:tcW w:w="1182" w:type="dxa"/>
            <w:vAlign w:val="center"/>
          </w:tcPr>
          <w:p w14:paraId="4D204C79" w14:textId="4FA6872D" w:rsidR="00444411" w:rsidRDefault="00444411" w:rsidP="00BC6158">
            <w:pPr>
              <w:spacing w:after="0"/>
              <w:jc w:val="right"/>
              <w:rPr>
                <w:rFonts w:eastAsia="SimSun"/>
              </w:rPr>
            </w:pPr>
            <w:r>
              <w:rPr>
                <w:rFonts w:cs="Arial"/>
                <w:color w:val="000000"/>
                <w:sz w:val="18"/>
                <w:szCs w:val="18"/>
              </w:rPr>
              <w:t>133</w:t>
            </w:r>
          </w:p>
        </w:tc>
      </w:tr>
      <w:tr w:rsidR="00444411" w14:paraId="0D4264B8" w14:textId="77777777" w:rsidTr="00BC6158">
        <w:tc>
          <w:tcPr>
            <w:tcW w:w="888" w:type="dxa"/>
            <w:vAlign w:val="center"/>
          </w:tcPr>
          <w:p w14:paraId="2B6DC488" w14:textId="429CB5B2" w:rsidR="00444411" w:rsidRDefault="00444411" w:rsidP="00BC6158">
            <w:pPr>
              <w:spacing w:after="0"/>
              <w:rPr>
                <w:rFonts w:eastAsia="SimSun"/>
              </w:rPr>
            </w:pPr>
            <w:r w:rsidRPr="00137214">
              <w:rPr>
                <w:rFonts w:cs="Arial"/>
                <w:b/>
                <w:bCs/>
                <w:color w:val="000000"/>
                <w:sz w:val="18"/>
                <w:szCs w:val="18"/>
              </w:rPr>
              <w:t>Type E</w:t>
            </w:r>
          </w:p>
        </w:tc>
        <w:tc>
          <w:tcPr>
            <w:tcW w:w="1276" w:type="dxa"/>
            <w:vAlign w:val="center"/>
          </w:tcPr>
          <w:p w14:paraId="2D194FED" w14:textId="10F33A2B" w:rsidR="00444411" w:rsidRDefault="00444411" w:rsidP="00BC6158">
            <w:pPr>
              <w:spacing w:after="0"/>
              <w:jc w:val="right"/>
              <w:rPr>
                <w:rFonts w:eastAsia="SimSun"/>
              </w:rPr>
            </w:pPr>
            <w:r w:rsidRPr="00137214">
              <w:rPr>
                <w:rFonts w:cs="Arial"/>
                <w:color w:val="000000"/>
                <w:sz w:val="18"/>
                <w:szCs w:val="18"/>
              </w:rPr>
              <w:t>10,000,000</w:t>
            </w:r>
          </w:p>
        </w:tc>
        <w:tc>
          <w:tcPr>
            <w:tcW w:w="1181" w:type="dxa"/>
            <w:vAlign w:val="center"/>
          </w:tcPr>
          <w:p w14:paraId="3F1C0B9E" w14:textId="5E0B488E" w:rsidR="00444411" w:rsidRDefault="00444411" w:rsidP="00BC6158">
            <w:pPr>
              <w:spacing w:after="0"/>
              <w:jc w:val="right"/>
              <w:rPr>
                <w:rFonts w:eastAsia="SimSun"/>
              </w:rPr>
            </w:pPr>
            <w:r>
              <w:rPr>
                <w:rFonts w:cs="Arial"/>
                <w:color w:val="000000"/>
                <w:sz w:val="18"/>
                <w:szCs w:val="18"/>
              </w:rPr>
              <w:t>11</w:t>
            </w:r>
          </w:p>
        </w:tc>
        <w:tc>
          <w:tcPr>
            <w:tcW w:w="1181" w:type="dxa"/>
            <w:vAlign w:val="center"/>
          </w:tcPr>
          <w:p w14:paraId="31F6820B" w14:textId="71EB4D9E" w:rsidR="00444411" w:rsidRDefault="00444411" w:rsidP="00BC6158">
            <w:pPr>
              <w:spacing w:after="0"/>
              <w:jc w:val="right"/>
              <w:rPr>
                <w:rFonts w:eastAsia="SimSun"/>
              </w:rPr>
            </w:pPr>
            <w:r>
              <w:rPr>
                <w:rFonts w:cs="Arial"/>
                <w:color w:val="000000"/>
                <w:sz w:val="18"/>
                <w:szCs w:val="18"/>
              </w:rPr>
              <w:t>8</w:t>
            </w:r>
          </w:p>
        </w:tc>
        <w:tc>
          <w:tcPr>
            <w:tcW w:w="1181" w:type="dxa"/>
            <w:vAlign w:val="center"/>
          </w:tcPr>
          <w:p w14:paraId="58E7AB13" w14:textId="6B0DA506" w:rsidR="00444411" w:rsidRDefault="00444411" w:rsidP="00BC6158">
            <w:pPr>
              <w:spacing w:after="0"/>
              <w:jc w:val="right"/>
              <w:rPr>
                <w:rFonts w:eastAsia="SimSun"/>
              </w:rPr>
            </w:pPr>
            <w:r>
              <w:rPr>
                <w:rFonts w:cs="Arial"/>
                <w:color w:val="000000"/>
                <w:sz w:val="18"/>
                <w:szCs w:val="18"/>
              </w:rPr>
              <w:t>9</w:t>
            </w:r>
          </w:p>
        </w:tc>
        <w:tc>
          <w:tcPr>
            <w:tcW w:w="1181" w:type="dxa"/>
            <w:vAlign w:val="center"/>
          </w:tcPr>
          <w:p w14:paraId="4A9AD1E4" w14:textId="0580D67D" w:rsidR="00444411" w:rsidRDefault="00444411" w:rsidP="00BC6158">
            <w:pPr>
              <w:spacing w:after="0"/>
              <w:jc w:val="right"/>
              <w:rPr>
                <w:rFonts w:eastAsia="SimSun"/>
              </w:rPr>
            </w:pPr>
            <w:r>
              <w:rPr>
                <w:rFonts w:cs="Arial"/>
                <w:color w:val="000000"/>
                <w:sz w:val="18"/>
                <w:szCs w:val="18"/>
              </w:rPr>
              <w:t>5</w:t>
            </w:r>
          </w:p>
        </w:tc>
        <w:tc>
          <w:tcPr>
            <w:tcW w:w="1181" w:type="dxa"/>
            <w:vAlign w:val="center"/>
          </w:tcPr>
          <w:p w14:paraId="3072F770" w14:textId="3AB11DE7" w:rsidR="00444411" w:rsidRDefault="00444411" w:rsidP="00BC6158">
            <w:pPr>
              <w:spacing w:after="0"/>
              <w:jc w:val="right"/>
              <w:rPr>
                <w:rFonts w:eastAsia="SimSun"/>
              </w:rPr>
            </w:pPr>
            <w:r>
              <w:rPr>
                <w:rFonts w:cs="Arial"/>
                <w:color w:val="000000"/>
                <w:sz w:val="18"/>
                <w:szCs w:val="18"/>
              </w:rPr>
              <w:t>5</w:t>
            </w:r>
          </w:p>
        </w:tc>
        <w:tc>
          <w:tcPr>
            <w:tcW w:w="1182" w:type="dxa"/>
            <w:vAlign w:val="center"/>
          </w:tcPr>
          <w:p w14:paraId="458B54D6" w14:textId="37D4EC01" w:rsidR="00444411" w:rsidRDefault="00444411" w:rsidP="00BC6158">
            <w:pPr>
              <w:spacing w:after="0"/>
              <w:jc w:val="right"/>
              <w:rPr>
                <w:rFonts w:eastAsia="SimSun"/>
              </w:rPr>
            </w:pPr>
            <w:r>
              <w:rPr>
                <w:rFonts w:cs="Arial"/>
                <w:color w:val="000000"/>
                <w:sz w:val="18"/>
                <w:szCs w:val="18"/>
              </w:rPr>
              <w:t>4</w:t>
            </w:r>
          </w:p>
        </w:tc>
      </w:tr>
      <w:tr w:rsidR="00444411" w14:paraId="3ADDBA67" w14:textId="77777777" w:rsidTr="00BC6158">
        <w:tc>
          <w:tcPr>
            <w:tcW w:w="888" w:type="dxa"/>
            <w:vAlign w:val="center"/>
          </w:tcPr>
          <w:p w14:paraId="471EAB8E" w14:textId="7E6EA7F8" w:rsidR="00444411" w:rsidRDefault="00444411" w:rsidP="00BC6158">
            <w:pPr>
              <w:spacing w:after="0"/>
              <w:rPr>
                <w:rFonts w:eastAsia="SimSun"/>
              </w:rPr>
            </w:pPr>
            <w:r w:rsidRPr="00137214">
              <w:rPr>
                <w:rFonts w:cs="Arial"/>
                <w:b/>
                <w:bCs/>
                <w:color w:val="000000"/>
                <w:sz w:val="18"/>
                <w:szCs w:val="18"/>
              </w:rPr>
              <w:t>Type F</w:t>
            </w:r>
          </w:p>
        </w:tc>
        <w:tc>
          <w:tcPr>
            <w:tcW w:w="1276" w:type="dxa"/>
            <w:vAlign w:val="center"/>
          </w:tcPr>
          <w:p w14:paraId="7EA82FB6" w14:textId="762ECB7A" w:rsidR="00444411" w:rsidRDefault="00444411" w:rsidP="00BC6158">
            <w:pPr>
              <w:spacing w:after="0"/>
              <w:jc w:val="right"/>
              <w:rPr>
                <w:rFonts w:eastAsia="SimSun"/>
              </w:rPr>
            </w:pPr>
            <w:r w:rsidRPr="00137214">
              <w:rPr>
                <w:rFonts w:cs="Arial"/>
                <w:color w:val="000000"/>
                <w:sz w:val="18"/>
                <w:szCs w:val="18"/>
              </w:rPr>
              <w:t>20,000,000</w:t>
            </w:r>
          </w:p>
        </w:tc>
        <w:tc>
          <w:tcPr>
            <w:tcW w:w="1181" w:type="dxa"/>
            <w:vAlign w:val="center"/>
          </w:tcPr>
          <w:p w14:paraId="153B641D" w14:textId="06EF9211" w:rsidR="00444411" w:rsidRDefault="00BC6158" w:rsidP="00BC6158">
            <w:pPr>
              <w:spacing w:after="0"/>
              <w:jc w:val="right"/>
              <w:rPr>
                <w:rFonts w:eastAsia="SimSun"/>
              </w:rPr>
            </w:pPr>
            <w:r>
              <w:rPr>
                <w:rFonts w:cs="Arial"/>
                <w:color w:val="000000"/>
                <w:sz w:val="18"/>
                <w:szCs w:val="18"/>
              </w:rPr>
              <w:t>–</w:t>
            </w:r>
          </w:p>
        </w:tc>
        <w:tc>
          <w:tcPr>
            <w:tcW w:w="1181" w:type="dxa"/>
            <w:vAlign w:val="center"/>
          </w:tcPr>
          <w:p w14:paraId="227C5DEA" w14:textId="65BEF1F1" w:rsidR="00444411" w:rsidRDefault="00444411" w:rsidP="00BC6158">
            <w:pPr>
              <w:spacing w:after="0"/>
              <w:jc w:val="right"/>
              <w:rPr>
                <w:rFonts w:eastAsia="SimSun"/>
              </w:rPr>
            </w:pPr>
            <w:r>
              <w:rPr>
                <w:rFonts w:cs="Arial"/>
                <w:color w:val="000000"/>
                <w:sz w:val="18"/>
                <w:szCs w:val="18"/>
              </w:rPr>
              <w:t>1</w:t>
            </w:r>
          </w:p>
        </w:tc>
        <w:tc>
          <w:tcPr>
            <w:tcW w:w="1181" w:type="dxa"/>
            <w:vAlign w:val="center"/>
          </w:tcPr>
          <w:p w14:paraId="182BA863" w14:textId="69549B77" w:rsidR="00444411" w:rsidRDefault="00444411" w:rsidP="00BC6158">
            <w:pPr>
              <w:spacing w:after="0"/>
              <w:jc w:val="right"/>
              <w:rPr>
                <w:rFonts w:eastAsia="SimSun"/>
              </w:rPr>
            </w:pPr>
            <w:r>
              <w:rPr>
                <w:rFonts w:cs="Arial"/>
                <w:color w:val="000000"/>
                <w:sz w:val="18"/>
                <w:szCs w:val="18"/>
              </w:rPr>
              <w:t>1</w:t>
            </w:r>
          </w:p>
        </w:tc>
        <w:tc>
          <w:tcPr>
            <w:tcW w:w="1181" w:type="dxa"/>
            <w:vAlign w:val="center"/>
          </w:tcPr>
          <w:p w14:paraId="5DE7914A" w14:textId="2FC34921" w:rsidR="00444411" w:rsidRDefault="00BC6158" w:rsidP="00BC6158">
            <w:pPr>
              <w:spacing w:after="0"/>
              <w:jc w:val="right"/>
              <w:rPr>
                <w:rFonts w:eastAsia="SimSun"/>
              </w:rPr>
            </w:pPr>
            <w:r>
              <w:rPr>
                <w:rFonts w:cs="Arial"/>
                <w:color w:val="000000"/>
                <w:sz w:val="18"/>
                <w:szCs w:val="18"/>
              </w:rPr>
              <w:t>–</w:t>
            </w:r>
          </w:p>
        </w:tc>
        <w:tc>
          <w:tcPr>
            <w:tcW w:w="1181" w:type="dxa"/>
            <w:vAlign w:val="center"/>
          </w:tcPr>
          <w:p w14:paraId="17BDADFC" w14:textId="71D93E3E" w:rsidR="00444411" w:rsidRDefault="00BC6158" w:rsidP="00BC6158">
            <w:pPr>
              <w:spacing w:after="0"/>
              <w:jc w:val="right"/>
              <w:rPr>
                <w:rFonts w:eastAsia="SimSun"/>
              </w:rPr>
            </w:pPr>
            <w:r>
              <w:rPr>
                <w:rFonts w:cs="Arial"/>
                <w:color w:val="000000"/>
                <w:sz w:val="18"/>
                <w:szCs w:val="18"/>
              </w:rPr>
              <w:t>–</w:t>
            </w:r>
          </w:p>
        </w:tc>
        <w:tc>
          <w:tcPr>
            <w:tcW w:w="1182" w:type="dxa"/>
            <w:vAlign w:val="center"/>
          </w:tcPr>
          <w:p w14:paraId="62C857D0" w14:textId="3635C6C3" w:rsidR="00444411" w:rsidRDefault="00BC6158" w:rsidP="00BC6158">
            <w:pPr>
              <w:spacing w:after="0"/>
              <w:jc w:val="right"/>
              <w:rPr>
                <w:rFonts w:eastAsia="SimSun"/>
              </w:rPr>
            </w:pPr>
            <w:r>
              <w:rPr>
                <w:rFonts w:cs="Arial"/>
                <w:color w:val="000000"/>
                <w:sz w:val="18"/>
                <w:szCs w:val="18"/>
              </w:rPr>
              <w:t>–</w:t>
            </w:r>
          </w:p>
        </w:tc>
      </w:tr>
      <w:tr w:rsidR="00444411" w14:paraId="3F2DF7F0" w14:textId="77777777" w:rsidTr="00BC6158">
        <w:tc>
          <w:tcPr>
            <w:tcW w:w="888" w:type="dxa"/>
            <w:vAlign w:val="center"/>
          </w:tcPr>
          <w:p w14:paraId="6744D436" w14:textId="379E9DDC" w:rsidR="00444411" w:rsidRDefault="00444411" w:rsidP="00BC6158">
            <w:pPr>
              <w:spacing w:after="0"/>
              <w:rPr>
                <w:rFonts w:eastAsia="SimSun"/>
              </w:rPr>
            </w:pPr>
            <w:r w:rsidRPr="00137214">
              <w:rPr>
                <w:rFonts w:cs="Arial"/>
                <w:b/>
                <w:bCs/>
                <w:color w:val="000000"/>
                <w:sz w:val="18"/>
                <w:szCs w:val="18"/>
              </w:rPr>
              <w:t>Type G</w:t>
            </w:r>
          </w:p>
        </w:tc>
        <w:tc>
          <w:tcPr>
            <w:tcW w:w="1276" w:type="dxa"/>
            <w:vAlign w:val="center"/>
          </w:tcPr>
          <w:p w14:paraId="568E10CE" w14:textId="5B1ADEA8" w:rsidR="00444411" w:rsidRDefault="00444411" w:rsidP="00BC6158">
            <w:pPr>
              <w:spacing w:after="0"/>
              <w:jc w:val="right"/>
              <w:rPr>
                <w:rFonts w:eastAsia="SimSun"/>
              </w:rPr>
            </w:pPr>
            <w:r w:rsidRPr="00137214">
              <w:rPr>
                <w:rFonts w:cs="Arial"/>
                <w:color w:val="000000"/>
                <w:sz w:val="18"/>
                <w:szCs w:val="18"/>
              </w:rPr>
              <w:t>50,000,000</w:t>
            </w:r>
          </w:p>
        </w:tc>
        <w:tc>
          <w:tcPr>
            <w:tcW w:w="1181" w:type="dxa"/>
            <w:vAlign w:val="center"/>
          </w:tcPr>
          <w:p w14:paraId="23278BF9" w14:textId="30DCB5CA" w:rsidR="00444411" w:rsidRDefault="00444411" w:rsidP="00BC6158">
            <w:pPr>
              <w:spacing w:after="0"/>
              <w:jc w:val="right"/>
              <w:rPr>
                <w:rFonts w:eastAsia="SimSun"/>
              </w:rPr>
            </w:pPr>
            <w:r>
              <w:rPr>
                <w:rFonts w:cs="Arial"/>
                <w:color w:val="000000"/>
                <w:sz w:val="18"/>
                <w:szCs w:val="18"/>
              </w:rPr>
              <w:t>2</w:t>
            </w:r>
          </w:p>
        </w:tc>
        <w:tc>
          <w:tcPr>
            <w:tcW w:w="1181" w:type="dxa"/>
            <w:vAlign w:val="center"/>
          </w:tcPr>
          <w:p w14:paraId="3F31A0D4" w14:textId="1E36C94C" w:rsidR="00444411" w:rsidRDefault="00444411" w:rsidP="00BC6158">
            <w:pPr>
              <w:spacing w:after="0"/>
              <w:jc w:val="right"/>
              <w:rPr>
                <w:rFonts w:eastAsia="SimSun"/>
              </w:rPr>
            </w:pPr>
            <w:r>
              <w:rPr>
                <w:rFonts w:cs="Arial"/>
                <w:color w:val="000000"/>
                <w:sz w:val="18"/>
                <w:szCs w:val="18"/>
              </w:rPr>
              <w:t>2</w:t>
            </w:r>
          </w:p>
        </w:tc>
        <w:tc>
          <w:tcPr>
            <w:tcW w:w="1181" w:type="dxa"/>
            <w:vAlign w:val="center"/>
          </w:tcPr>
          <w:p w14:paraId="6DF3C8E4" w14:textId="36D523F4" w:rsidR="00444411" w:rsidRDefault="00444411" w:rsidP="00BC6158">
            <w:pPr>
              <w:spacing w:after="0"/>
              <w:jc w:val="right"/>
              <w:rPr>
                <w:rFonts w:eastAsia="SimSun"/>
              </w:rPr>
            </w:pPr>
            <w:r>
              <w:rPr>
                <w:rFonts w:cs="Arial"/>
                <w:color w:val="000000"/>
                <w:sz w:val="18"/>
                <w:szCs w:val="18"/>
              </w:rPr>
              <w:t>2</w:t>
            </w:r>
          </w:p>
        </w:tc>
        <w:tc>
          <w:tcPr>
            <w:tcW w:w="1181" w:type="dxa"/>
            <w:vAlign w:val="center"/>
          </w:tcPr>
          <w:p w14:paraId="3C6ED7E7" w14:textId="4816F298" w:rsidR="00444411" w:rsidRDefault="00BC6158" w:rsidP="00BC6158">
            <w:pPr>
              <w:spacing w:after="0"/>
              <w:jc w:val="right"/>
              <w:rPr>
                <w:rFonts w:eastAsia="SimSun"/>
              </w:rPr>
            </w:pPr>
            <w:r>
              <w:rPr>
                <w:rFonts w:cs="Arial"/>
                <w:color w:val="000000"/>
                <w:sz w:val="18"/>
                <w:szCs w:val="18"/>
              </w:rPr>
              <w:t>–</w:t>
            </w:r>
          </w:p>
        </w:tc>
        <w:tc>
          <w:tcPr>
            <w:tcW w:w="1181" w:type="dxa"/>
            <w:vAlign w:val="center"/>
          </w:tcPr>
          <w:p w14:paraId="035D832D" w14:textId="33657D32" w:rsidR="00444411" w:rsidRDefault="00BC6158" w:rsidP="00BC6158">
            <w:pPr>
              <w:spacing w:after="0"/>
              <w:jc w:val="right"/>
              <w:rPr>
                <w:rFonts w:eastAsia="SimSun"/>
              </w:rPr>
            </w:pPr>
            <w:r>
              <w:rPr>
                <w:rFonts w:cs="Arial"/>
                <w:color w:val="000000"/>
                <w:sz w:val="18"/>
                <w:szCs w:val="18"/>
              </w:rPr>
              <w:t>–</w:t>
            </w:r>
          </w:p>
        </w:tc>
        <w:tc>
          <w:tcPr>
            <w:tcW w:w="1182" w:type="dxa"/>
            <w:vAlign w:val="center"/>
          </w:tcPr>
          <w:p w14:paraId="357E090D" w14:textId="5780C80C" w:rsidR="00444411" w:rsidRDefault="00BC6158" w:rsidP="00BC6158">
            <w:pPr>
              <w:spacing w:after="0"/>
              <w:jc w:val="right"/>
              <w:rPr>
                <w:rFonts w:eastAsia="SimSun"/>
              </w:rPr>
            </w:pPr>
            <w:r>
              <w:rPr>
                <w:rFonts w:cs="Arial"/>
                <w:color w:val="000000"/>
                <w:sz w:val="18"/>
                <w:szCs w:val="18"/>
              </w:rPr>
              <w:t>–</w:t>
            </w:r>
          </w:p>
        </w:tc>
      </w:tr>
      <w:tr w:rsidR="00444411" w14:paraId="65DDA749" w14:textId="77777777" w:rsidTr="00BC6158">
        <w:tc>
          <w:tcPr>
            <w:tcW w:w="888" w:type="dxa"/>
            <w:vAlign w:val="center"/>
          </w:tcPr>
          <w:p w14:paraId="618D7F36" w14:textId="78556C66" w:rsidR="00444411" w:rsidRDefault="00444411" w:rsidP="00BC6158">
            <w:pPr>
              <w:spacing w:after="0"/>
              <w:rPr>
                <w:rFonts w:eastAsia="SimSun"/>
              </w:rPr>
            </w:pPr>
            <w:r w:rsidRPr="00137214">
              <w:rPr>
                <w:rFonts w:cs="Arial"/>
                <w:b/>
                <w:bCs/>
                <w:color w:val="000000"/>
                <w:sz w:val="18"/>
                <w:szCs w:val="18"/>
              </w:rPr>
              <w:t>Type H</w:t>
            </w:r>
          </w:p>
        </w:tc>
        <w:tc>
          <w:tcPr>
            <w:tcW w:w="1276" w:type="dxa"/>
            <w:vAlign w:val="center"/>
          </w:tcPr>
          <w:p w14:paraId="0C563055" w14:textId="002C8E8D" w:rsidR="00444411" w:rsidRDefault="00444411" w:rsidP="00BC6158">
            <w:pPr>
              <w:spacing w:after="0"/>
              <w:jc w:val="right"/>
              <w:rPr>
                <w:rFonts w:eastAsia="SimSun"/>
              </w:rPr>
            </w:pPr>
            <w:r w:rsidRPr="00137214">
              <w:rPr>
                <w:rFonts w:cs="Arial"/>
                <w:color w:val="000000"/>
                <w:sz w:val="18"/>
                <w:szCs w:val="18"/>
              </w:rPr>
              <w:t>100,000,000</w:t>
            </w:r>
          </w:p>
        </w:tc>
        <w:tc>
          <w:tcPr>
            <w:tcW w:w="1181" w:type="dxa"/>
            <w:vAlign w:val="center"/>
          </w:tcPr>
          <w:p w14:paraId="6188EE11" w14:textId="486576B0" w:rsidR="00444411" w:rsidRDefault="00444411" w:rsidP="00BC6158">
            <w:pPr>
              <w:spacing w:after="0"/>
              <w:jc w:val="right"/>
              <w:rPr>
                <w:rFonts w:eastAsia="SimSun"/>
              </w:rPr>
            </w:pPr>
            <w:r>
              <w:rPr>
                <w:rFonts w:cs="Arial"/>
                <w:color w:val="000000"/>
                <w:sz w:val="18"/>
                <w:szCs w:val="18"/>
              </w:rPr>
              <w:t>2</w:t>
            </w:r>
          </w:p>
        </w:tc>
        <w:tc>
          <w:tcPr>
            <w:tcW w:w="1181" w:type="dxa"/>
            <w:vAlign w:val="center"/>
          </w:tcPr>
          <w:p w14:paraId="5D21DD10" w14:textId="77871201" w:rsidR="00444411" w:rsidRDefault="00444411" w:rsidP="00BC6158">
            <w:pPr>
              <w:spacing w:after="0"/>
              <w:jc w:val="right"/>
              <w:rPr>
                <w:rFonts w:eastAsia="SimSun"/>
              </w:rPr>
            </w:pPr>
            <w:r>
              <w:rPr>
                <w:rFonts w:cs="Arial"/>
                <w:color w:val="000000"/>
                <w:sz w:val="18"/>
                <w:szCs w:val="18"/>
              </w:rPr>
              <w:t>3</w:t>
            </w:r>
          </w:p>
        </w:tc>
        <w:tc>
          <w:tcPr>
            <w:tcW w:w="1181" w:type="dxa"/>
            <w:vAlign w:val="center"/>
          </w:tcPr>
          <w:p w14:paraId="772A9550" w14:textId="13CAB750" w:rsidR="00444411" w:rsidRDefault="00444411" w:rsidP="00BC6158">
            <w:pPr>
              <w:spacing w:after="0"/>
              <w:jc w:val="right"/>
              <w:rPr>
                <w:rFonts w:eastAsia="SimSun"/>
              </w:rPr>
            </w:pPr>
            <w:r>
              <w:rPr>
                <w:rFonts w:cs="Arial"/>
                <w:color w:val="000000"/>
                <w:sz w:val="18"/>
                <w:szCs w:val="18"/>
              </w:rPr>
              <w:t>2</w:t>
            </w:r>
          </w:p>
        </w:tc>
        <w:tc>
          <w:tcPr>
            <w:tcW w:w="1181" w:type="dxa"/>
            <w:vAlign w:val="center"/>
          </w:tcPr>
          <w:p w14:paraId="37AF0A7C" w14:textId="62E730C8" w:rsidR="00444411" w:rsidRDefault="00444411" w:rsidP="00BC6158">
            <w:pPr>
              <w:spacing w:after="0"/>
              <w:jc w:val="right"/>
              <w:rPr>
                <w:rFonts w:eastAsia="SimSun"/>
              </w:rPr>
            </w:pPr>
            <w:r>
              <w:rPr>
                <w:rFonts w:cs="Arial"/>
                <w:color w:val="000000"/>
                <w:sz w:val="18"/>
                <w:szCs w:val="18"/>
              </w:rPr>
              <w:t>3</w:t>
            </w:r>
          </w:p>
        </w:tc>
        <w:tc>
          <w:tcPr>
            <w:tcW w:w="1181" w:type="dxa"/>
            <w:vAlign w:val="center"/>
          </w:tcPr>
          <w:p w14:paraId="51320A97" w14:textId="5A4755C0" w:rsidR="00444411" w:rsidRDefault="00444411" w:rsidP="00BC6158">
            <w:pPr>
              <w:spacing w:after="0"/>
              <w:jc w:val="right"/>
              <w:rPr>
                <w:rFonts w:eastAsia="SimSun"/>
              </w:rPr>
            </w:pPr>
            <w:r>
              <w:rPr>
                <w:rFonts w:cs="Arial"/>
                <w:color w:val="000000"/>
                <w:sz w:val="18"/>
                <w:szCs w:val="18"/>
              </w:rPr>
              <w:t>2</w:t>
            </w:r>
          </w:p>
        </w:tc>
        <w:tc>
          <w:tcPr>
            <w:tcW w:w="1182" w:type="dxa"/>
            <w:vAlign w:val="center"/>
          </w:tcPr>
          <w:p w14:paraId="07CD3101" w14:textId="7DB19292" w:rsidR="00444411" w:rsidRDefault="00444411" w:rsidP="00BC6158">
            <w:pPr>
              <w:spacing w:after="0"/>
              <w:jc w:val="right"/>
              <w:rPr>
                <w:rFonts w:eastAsia="SimSun"/>
              </w:rPr>
            </w:pPr>
            <w:r>
              <w:rPr>
                <w:rFonts w:cs="Arial"/>
                <w:color w:val="000000"/>
                <w:sz w:val="18"/>
                <w:szCs w:val="18"/>
              </w:rPr>
              <w:t>2</w:t>
            </w:r>
          </w:p>
        </w:tc>
      </w:tr>
      <w:tr w:rsidR="00BC6158" w14:paraId="090C3E83" w14:textId="77777777" w:rsidTr="00BC6158">
        <w:tc>
          <w:tcPr>
            <w:tcW w:w="2164" w:type="dxa"/>
            <w:gridSpan w:val="2"/>
            <w:shd w:val="clear" w:color="auto" w:fill="F2F2F2" w:themeFill="background1" w:themeFillShade="F2"/>
          </w:tcPr>
          <w:p w14:paraId="3818C207" w14:textId="3B71495F" w:rsidR="00BC6158" w:rsidRDefault="00BC6158" w:rsidP="00BC6158">
            <w:pPr>
              <w:spacing w:after="0"/>
              <w:rPr>
                <w:rFonts w:eastAsia="SimSun"/>
              </w:rPr>
            </w:pPr>
            <w:r w:rsidRPr="00444411">
              <w:rPr>
                <w:rFonts w:eastAsia="SimSun"/>
                <w:b/>
              </w:rPr>
              <w:t>Total</w:t>
            </w:r>
          </w:p>
        </w:tc>
        <w:tc>
          <w:tcPr>
            <w:tcW w:w="1181" w:type="dxa"/>
            <w:shd w:val="clear" w:color="auto" w:fill="F2F2F2" w:themeFill="background1" w:themeFillShade="F2"/>
            <w:vAlign w:val="center"/>
          </w:tcPr>
          <w:p w14:paraId="28D85705" w14:textId="3647BAA2" w:rsidR="00BC6158" w:rsidRDefault="00BC6158" w:rsidP="00BC6158">
            <w:pPr>
              <w:spacing w:after="0"/>
              <w:jc w:val="right"/>
              <w:rPr>
                <w:rFonts w:eastAsia="SimSun"/>
              </w:rPr>
            </w:pPr>
            <w:r>
              <w:rPr>
                <w:rFonts w:cs="Arial"/>
                <w:b/>
                <w:bCs/>
                <w:color w:val="000000"/>
                <w:sz w:val="18"/>
                <w:szCs w:val="18"/>
              </w:rPr>
              <w:t>3,562</w:t>
            </w:r>
          </w:p>
        </w:tc>
        <w:tc>
          <w:tcPr>
            <w:tcW w:w="1181" w:type="dxa"/>
            <w:shd w:val="clear" w:color="auto" w:fill="F2F2F2" w:themeFill="background1" w:themeFillShade="F2"/>
            <w:vAlign w:val="center"/>
          </w:tcPr>
          <w:p w14:paraId="0E8F1171" w14:textId="78CFBBC1" w:rsidR="00BC6158" w:rsidRDefault="00BC6158" w:rsidP="00BC6158">
            <w:pPr>
              <w:spacing w:after="0"/>
              <w:jc w:val="right"/>
              <w:rPr>
                <w:rFonts w:eastAsia="SimSun"/>
              </w:rPr>
            </w:pPr>
            <w:r>
              <w:rPr>
                <w:rFonts w:cs="Arial"/>
                <w:b/>
                <w:bCs/>
                <w:color w:val="000000"/>
                <w:sz w:val="18"/>
                <w:szCs w:val="18"/>
              </w:rPr>
              <w:t>2,913</w:t>
            </w:r>
          </w:p>
        </w:tc>
        <w:tc>
          <w:tcPr>
            <w:tcW w:w="1181" w:type="dxa"/>
            <w:shd w:val="clear" w:color="auto" w:fill="F2F2F2" w:themeFill="background1" w:themeFillShade="F2"/>
            <w:vAlign w:val="center"/>
          </w:tcPr>
          <w:p w14:paraId="219CDF7D" w14:textId="5462D253" w:rsidR="00BC6158" w:rsidRDefault="00BC6158" w:rsidP="00BC6158">
            <w:pPr>
              <w:spacing w:after="0"/>
              <w:jc w:val="right"/>
              <w:rPr>
                <w:rFonts w:eastAsia="SimSun"/>
              </w:rPr>
            </w:pPr>
            <w:r>
              <w:rPr>
                <w:rFonts w:cs="Arial"/>
                <w:b/>
                <w:bCs/>
                <w:color w:val="000000"/>
                <w:sz w:val="18"/>
                <w:szCs w:val="18"/>
              </w:rPr>
              <w:t>4,830</w:t>
            </w:r>
          </w:p>
        </w:tc>
        <w:tc>
          <w:tcPr>
            <w:tcW w:w="1181" w:type="dxa"/>
            <w:shd w:val="clear" w:color="auto" w:fill="F2F2F2" w:themeFill="background1" w:themeFillShade="F2"/>
            <w:vAlign w:val="center"/>
          </w:tcPr>
          <w:p w14:paraId="1A36842C" w14:textId="6E2B93B0" w:rsidR="00BC6158" w:rsidRDefault="00BC6158" w:rsidP="00BC6158">
            <w:pPr>
              <w:spacing w:after="0"/>
              <w:jc w:val="right"/>
              <w:rPr>
                <w:rFonts w:eastAsia="SimSun"/>
              </w:rPr>
            </w:pPr>
            <w:r>
              <w:rPr>
                <w:rFonts w:cs="Arial"/>
                <w:color w:val="000000"/>
                <w:sz w:val="18"/>
                <w:szCs w:val="18"/>
              </w:rPr>
              <w:t>3,135</w:t>
            </w:r>
          </w:p>
        </w:tc>
        <w:tc>
          <w:tcPr>
            <w:tcW w:w="1181" w:type="dxa"/>
            <w:shd w:val="clear" w:color="auto" w:fill="F2F2F2" w:themeFill="background1" w:themeFillShade="F2"/>
            <w:vAlign w:val="center"/>
          </w:tcPr>
          <w:p w14:paraId="38794395" w14:textId="18CDC977" w:rsidR="00BC6158" w:rsidRDefault="00BC6158" w:rsidP="00BC6158">
            <w:pPr>
              <w:spacing w:after="0"/>
              <w:jc w:val="right"/>
              <w:rPr>
                <w:rFonts w:eastAsia="SimSun"/>
              </w:rPr>
            </w:pPr>
            <w:r>
              <w:rPr>
                <w:rFonts w:cs="Arial"/>
                <w:color w:val="000000"/>
                <w:sz w:val="18"/>
                <w:szCs w:val="18"/>
              </w:rPr>
              <w:t>2,065</w:t>
            </w:r>
          </w:p>
        </w:tc>
        <w:tc>
          <w:tcPr>
            <w:tcW w:w="1182" w:type="dxa"/>
            <w:shd w:val="clear" w:color="auto" w:fill="F2F2F2" w:themeFill="background1" w:themeFillShade="F2"/>
            <w:vAlign w:val="center"/>
          </w:tcPr>
          <w:p w14:paraId="1F227C6E" w14:textId="29B69DE4" w:rsidR="00BC6158" w:rsidRDefault="00BC6158" w:rsidP="00BC6158">
            <w:pPr>
              <w:spacing w:after="0"/>
              <w:jc w:val="right"/>
              <w:rPr>
                <w:rFonts w:eastAsia="SimSun"/>
              </w:rPr>
            </w:pPr>
            <w:r>
              <w:rPr>
                <w:rFonts w:cs="Arial"/>
                <w:color w:val="000000"/>
                <w:sz w:val="18"/>
                <w:szCs w:val="18"/>
              </w:rPr>
              <w:t>1,762</w:t>
            </w:r>
          </w:p>
        </w:tc>
      </w:tr>
      <w:tr w:rsidR="00BC6158" w14:paraId="2C6599DB" w14:textId="77777777" w:rsidTr="00BC6158">
        <w:tc>
          <w:tcPr>
            <w:tcW w:w="2164" w:type="dxa"/>
            <w:gridSpan w:val="2"/>
            <w:shd w:val="clear" w:color="auto" w:fill="F2F2F2" w:themeFill="background1" w:themeFillShade="F2"/>
          </w:tcPr>
          <w:p w14:paraId="2A27DD55" w14:textId="028748E2" w:rsidR="00BC6158" w:rsidRDefault="00BC6158" w:rsidP="00BC6158">
            <w:pPr>
              <w:spacing w:after="0"/>
              <w:rPr>
                <w:rFonts w:eastAsia="SimSun"/>
              </w:rPr>
            </w:pPr>
            <w:r w:rsidRPr="00444411">
              <w:rPr>
                <w:rFonts w:eastAsia="SimSun"/>
                <w:b/>
              </w:rPr>
              <w:t>Total less Type A</w:t>
            </w:r>
          </w:p>
        </w:tc>
        <w:tc>
          <w:tcPr>
            <w:tcW w:w="1181" w:type="dxa"/>
            <w:shd w:val="clear" w:color="auto" w:fill="F2F2F2" w:themeFill="background1" w:themeFillShade="F2"/>
            <w:vAlign w:val="center"/>
          </w:tcPr>
          <w:p w14:paraId="5662BD1A" w14:textId="5DD40E7D" w:rsidR="00BC6158" w:rsidRDefault="00BC6158" w:rsidP="00BC6158">
            <w:pPr>
              <w:spacing w:after="0"/>
              <w:jc w:val="right"/>
              <w:rPr>
                <w:rFonts w:eastAsia="SimSun"/>
              </w:rPr>
            </w:pPr>
            <w:r>
              <w:rPr>
                <w:rFonts w:cs="Arial"/>
                <w:b/>
                <w:bCs/>
                <w:color w:val="000000"/>
                <w:sz w:val="18"/>
                <w:szCs w:val="18"/>
              </w:rPr>
              <w:t>3,147</w:t>
            </w:r>
          </w:p>
        </w:tc>
        <w:tc>
          <w:tcPr>
            <w:tcW w:w="1181" w:type="dxa"/>
            <w:shd w:val="clear" w:color="auto" w:fill="F2F2F2" w:themeFill="background1" w:themeFillShade="F2"/>
            <w:vAlign w:val="center"/>
          </w:tcPr>
          <w:p w14:paraId="24FD6344" w14:textId="2B3CC95F" w:rsidR="00BC6158" w:rsidRDefault="00BC6158" w:rsidP="00BC6158">
            <w:pPr>
              <w:spacing w:after="0"/>
              <w:jc w:val="right"/>
              <w:rPr>
                <w:rFonts w:eastAsia="SimSun"/>
              </w:rPr>
            </w:pPr>
            <w:r>
              <w:rPr>
                <w:rFonts w:cs="Arial"/>
                <w:b/>
                <w:bCs/>
                <w:color w:val="000000"/>
                <w:sz w:val="18"/>
                <w:szCs w:val="18"/>
              </w:rPr>
              <w:t>2,500</w:t>
            </w:r>
          </w:p>
        </w:tc>
        <w:tc>
          <w:tcPr>
            <w:tcW w:w="1181" w:type="dxa"/>
            <w:shd w:val="clear" w:color="auto" w:fill="F2F2F2" w:themeFill="background1" w:themeFillShade="F2"/>
            <w:vAlign w:val="center"/>
          </w:tcPr>
          <w:p w14:paraId="27D5F2DC" w14:textId="560613EF" w:rsidR="00BC6158" w:rsidRDefault="00BC6158" w:rsidP="00BC6158">
            <w:pPr>
              <w:spacing w:after="0"/>
              <w:jc w:val="right"/>
              <w:rPr>
                <w:rFonts w:eastAsia="SimSun"/>
              </w:rPr>
            </w:pPr>
            <w:r>
              <w:rPr>
                <w:rFonts w:cs="Arial"/>
                <w:b/>
                <w:bCs/>
                <w:color w:val="000000"/>
                <w:sz w:val="18"/>
                <w:szCs w:val="18"/>
              </w:rPr>
              <w:t>2,421</w:t>
            </w:r>
          </w:p>
        </w:tc>
        <w:tc>
          <w:tcPr>
            <w:tcW w:w="1181" w:type="dxa"/>
            <w:shd w:val="clear" w:color="auto" w:fill="F2F2F2" w:themeFill="background1" w:themeFillShade="F2"/>
            <w:vAlign w:val="center"/>
          </w:tcPr>
          <w:p w14:paraId="55D29C84" w14:textId="42378A2C" w:rsidR="00BC6158" w:rsidRDefault="00BC6158" w:rsidP="00BC6158">
            <w:pPr>
              <w:spacing w:after="0"/>
              <w:jc w:val="right"/>
              <w:rPr>
                <w:rFonts w:eastAsia="SimSun"/>
              </w:rPr>
            </w:pPr>
            <w:r>
              <w:rPr>
                <w:rFonts w:cs="Arial"/>
                <w:color w:val="000000"/>
                <w:sz w:val="18"/>
                <w:szCs w:val="18"/>
              </w:rPr>
              <w:t>1,897</w:t>
            </w:r>
          </w:p>
        </w:tc>
        <w:tc>
          <w:tcPr>
            <w:tcW w:w="1181" w:type="dxa"/>
            <w:shd w:val="clear" w:color="auto" w:fill="F2F2F2" w:themeFill="background1" w:themeFillShade="F2"/>
            <w:vAlign w:val="center"/>
          </w:tcPr>
          <w:p w14:paraId="0BCB4F72" w14:textId="67BC855C" w:rsidR="00BC6158" w:rsidRDefault="00BC6158" w:rsidP="00BC6158">
            <w:pPr>
              <w:spacing w:after="0"/>
              <w:jc w:val="right"/>
              <w:rPr>
                <w:rFonts w:eastAsia="SimSun"/>
              </w:rPr>
            </w:pPr>
            <w:r>
              <w:rPr>
                <w:rFonts w:cs="Arial"/>
                <w:color w:val="000000"/>
                <w:sz w:val="18"/>
                <w:szCs w:val="18"/>
              </w:rPr>
              <w:t>1,524</w:t>
            </w:r>
          </w:p>
        </w:tc>
        <w:tc>
          <w:tcPr>
            <w:tcW w:w="1182" w:type="dxa"/>
            <w:shd w:val="clear" w:color="auto" w:fill="F2F2F2" w:themeFill="background1" w:themeFillShade="F2"/>
            <w:vAlign w:val="center"/>
          </w:tcPr>
          <w:p w14:paraId="11B37393" w14:textId="46551049" w:rsidR="00BC6158" w:rsidRDefault="00BC6158" w:rsidP="00BC6158">
            <w:pPr>
              <w:spacing w:after="0"/>
              <w:jc w:val="right"/>
              <w:rPr>
                <w:rFonts w:eastAsia="SimSun"/>
              </w:rPr>
            </w:pPr>
            <w:r>
              <w:rPr>
                <w:rFonts w:cs="Arial"/>
                <w:color w:val="000000"/>
                <w:sz w:val="18"/>
                <w:szCs w:val="18"/>
              </w:rPr>
              <w:t>1,221</w:t>
            </w:r>
          </w:p>
        </w:tc>
      </w:tr>
    </w:tbl>
    <w:p w14:paraId="4DFDF8CE" w14:textId="1B03B562" w:rsidR="009E39C5" w:rsidRPr="00BC6158" w:rsidRDefault="00444411" w:rsidP="00BC6158">
      <w:pPr>
        <w:pStyle w:val="ACMANotes"/>
        <w:spacing w:after="240"/>
      </w:pPr>
      <w:r w:rsidRPr="00137214">
        <w:t>*</w:t>
      </w:r>
      <w:r>
        <w:t xml:space="preserve"> A sharp increase in the number of Type A subscriptions activated occurred between December 2016 and August 2017 due to a user or users activating multiple Type A subscriptions within 12 months. A system change and new review process </w:t>
      </w:r>
      <w:r w:rsidR="006255C5">
        <w:t xml:space="preserve">have </w:t>
      </w:r>
      <w:r>
        <w:t>significantly reduced this activity.</w:t>
      </w:r>
    </w:p>
    <w:p w14:paraId="0CFE9962" w14:textId="55CB3C4B" w:rsidR="009E39C5" w:rsidRPr="00BC6158" w:rsidRDefault="009E39C5" w:rsidP="009E39C5">
      <w:pPr>
        <w:pStyle w:val="ACMATableHeader"/>
        <w:keepNext/>
        <w:keepLines/>
        <w:rPr>
          <w:rFonts w:eastAsia="SimSun"/>
        </w:rPr>
      </w:pPr>
      <w:r>
        <w:t>S</w:t>
      </w:r>
      <w:r w:rsidRPr="00A82AB6">
        <w:t>ubscription fees for the period</w:t>
      </w:r>
      <w:r>
        <w:t>s</w:t>
      </w:r>
      <w:r w:rsidRPr="00A82AB6">
        <w:t xml:space="preserve"> </w:t>
      </w:r>
      <w:r>
        <w:t>201</w:t>
      </w:r>
      <w:r w:rsidR="00AA0FA4">
        <w:t>0</w:t>
      </w:r>
      <w:r w:rsidR="00BC6158">
        <w:t>–</w:t>
      </w:r>
      <w:r w:rsidR="00AA0FA4">
        <w:t>11 to 2016</w:t>
      </w:r>
      <w:r w:rsidR="00BC6158">
        <w:t>–</w:t>
      </w:r>
      <w:r>
        <w:t>17</w:t>
      </w:r>
      <w:r w:rsidR="00BC6158">
        <w:t>,</w:t>
      </w:r>
      <w:r>
        <w:t xml:space="preserve"> </w:t>
      </w:r>
      <w:r w:rsidR="00BC6158">
        <w:br/>
      </w:r>
      <w:r>
        <w:t>and 2017</w:t>
      </w:r>
      <w:r w:rsidR="00BC6158">
        <w:t>–</w:t>
      </w:r>
      <w:r w:rsidR="00AA0FA4">
        <w:t>18 to 2018</w:t>
      </w:r>
      <w:r w:rsidR="00BC6158">
        <w:t>–</w:t>
      </w:r>
      <w:r>
        <w:t>19</w:t>
      </w:r>
    </w:p>
    <w:tbl>
      <w:tblPr>
        <w:tblStyle w:val="TableGrid"/>
        <w:tblW w:w="0" w:type="auto"/>
        <w:tblLook w:val="04A0" w:firstRow="1" w:lastRow="0" w:firstColumn="1" w:lastColumn="0" w:noHBand="0" w:noVBand="1"/>
      </w:tblPr>
      <w:tblGrid>
        <w:gridCol w:w="1147"/>
        <w:gridCol w:w="2126"/>
        <w:gridCol w:w="2268"/>
        <w:gridCol w:w="2120"/>
      </w:tblGrid>
      <w:tr w:rsidR="003C133B" w14:paraId="17960C88" w14:textId="77777777" w:rsidTr="003C133B">
        <w:tc>
          <w:tcPr>
            <w:tcW w:w="1147" w:type="dxa"/>
            <w:vMerge w:val="restart"/>
            <w:shd w:val="clear" w:color="auto" w:fill="404040" w:themeFill="text1" w:themeFillTint="BF"/>
            <w:vAlign w:val="center"/>
          </w:tcPr>
          <w:p w14:paraId="7D4DCC2A" w14:textId="67B6B333" w:rsidR="003C133B" w:rsidRPr="003C133B" w:rsidRDefault="003C133B" w:rsidP="00BC6158">
            <w:pPr>
              <w:pStyle w:val="TableHeading"/>
              <w:rPr>
                <w:rFonts w:eastAsia="SimSun"/>
                <w:color w:val="FFFFFF" w:themeColor="background1"/>
              </w:rPr>
            </w:pPr>
            <w:r w:rsidRPr="003C133B">
              <w:rPr>
                <w:color w:val="FFFFFF" w:themeColor="background1"/>
              </w:rPr>
              <w:t>Type</w:t>
            </w:r>
          </w:p>
        </w:tc>
        <w:tc>
          <w:tcPr>
            <w:tcW w:w="2126" w:type="dxa"/>
            <w:vMerge w:val="restart"/>
            <w:shd w:val="clear" w:color="auto" w:fill="404040" w:themeFill="text1" w:themeFillTint="BF"/>
            <w:vAlign w:val="center"/>
          </w:tcPr>
          <w:p w14:paraId="2C9E58DA" w14:textId="67058A29" w:rsidR="003C133B" w:rsidRPr="003C133B" w:rsidRDefault="003C133B" w:rsidP="003C133B">
            <w:pPr>
              <w:pStyle w:val="TableHeading"/>
              <w:jc w:val="right"/>
              <w:rPr>
                <w:rFonts w:eastAsia="SimSun"/>
                <w:color w:val="FFFFFF" w:themeColor="background1"/>
              </w:rPr>
            </w:pPr>
            <w:r w:rsidRPr="003C133B">
              <w:rPr>
                <w:color w:val="FFFFFF" w:themeColor="background1"/>
              </w:rPr>
              <w:t>No. of washes</w:t>
            </w:r>
          </w:p>
        </w:tc>
        <w:tc>
          <w:tcPr>
            <w:tcW w:w="4388" w:type="dxa"/>
            <w:gridSpan w:val="2"/>
            <w:shd w:val="clear" w:color="auto" w:fill="404040" w:themeFill="text1" w:themeFillTint="BF"/>
          </w:tcPr>
          <w:p w14:paraId="51B7E9ED" w14:textId="403C2771" w:rsidR="003C133B" w:rsidRPr="003C133B" w:rsidRDefault="003C133B" w:rsidP="003C133B">
            <w:pPr>
              <w:pStyle w:val="TableHeading"/>
              <w:jc w:val="center"/>
              <w:rPr>
                <w:rFonts w:eastAsia="SimSun"/>
                <w:color w:val="FFFFFF" w:themeColor="background1"/>
              </w:rPr>
            </w:pPr>
            <w:r w:rsidRPr="003C133B">
              <w:rPr>
                <w:rFonts w:eastAsia="SimSun"/>
                <w:color w:val="FFFFFF" w:themeColor="background1"/>
              </w:rPr>
              <w:t>Fees</w:t>
            </w:r>
          </w:p>
        </w:tc>
      </w:tr>
      <w:tr w:rsidR="003C133B" w14:paraId="6DECCB1B" w14:textId="77777777" w:rsidTr="003C133B">
        <w:tc>
          <w:tcPr>
            <w:tcW w:w="1147" w:type="dxa"/>
            <w:vMerge/>
            <w:shd w:val="clear" w:color="auto" w:fill="404040" w:themeFill="text1" w:themeFillTint="BF"/>
          </w:tcPr>
          <w:p w14:paraId="726B724E" w14:textId="77777777" w:rsidR="003C133B" w:rsidRPr="003C133B" w:rsidRDefault="003C133B" w:rsidP="00BC6158">
            <w:pPr>
              <w:pStyle w:val="TableHeading"/>
              <w:rPr>
                <w:rFonts w:eastAsia="SimSun"/>
                <w:color w:val="FFFFFF" w:themeColor="background1"/>
              </w:rPr>
            </w:pPr>
          </w:p>
        </w:tc>
        <w:tc>
          <w:tcPr>
            <w:tcW w:w="2126" w:type="dxa"/>
            <w:vMerge/>
            <w:shd w:val="clear" w:color="auto" w:fill="404040" w:themeFill="text1" w:themeFillTint="BF"/>
          </w:tcPr>
          <w:p w14:paraId="1F0CFD52" w14:textId="77777777" w:rsidR="003C133B" w:rsidRPr="003C133B" w:rsidRDefault="003C133B" w:rsidP="003C133B">
            <w:pPr>
              <w:pStyle w:val="TableHeading"/>
              <w:jc w:val="right"/>
              <w:rPr>
                <w:rFonts w:eastAsia="SimSun"/>
                <w:color w:val="FFFFFF" w:themeColor="background1"/>
              </w:rPr>
            </w:pPr>
          </w:p>
        </w:tc>
        <w:tc>
          <w:tcPr>
            <w:tcW w:w="2268" w:type="dxa"/>
            <w:shd w:val="clear" w:color="auto" w:fill="404040" w:themeFill="text1" w:themeFillTint="BF"/>
            <w:vAlign w:val="center"/>
          </w:tcPr>
          <w:p w14:paraId="505EE451" w14:textId="363A6513" w:rsidR="003C133B" w:rsidRPr="003C133B" w:rsidRDefault="003C133B" w:rsidP="003C133B">
            <w:pPr>
              <w:pStyle w:val="TableHeading"/>
              <w:jc w:val="right"/>
              <w:rPr>
                <w:rFonts w:eastAsia="SimSun"/>
                <w:color w:val="FFFFFF" w:themeColor="background1"/>
              </w:rPr>
            </w:pPr>
            <w:r w:rsidRPr="003C133B">
              <w:rPr>
                <w:color w:val="FFFFFF" w:themeColor="background1"/>
              </w:rPr>
              <w:t>20</w:t>
            </w:r>
            <w:r w:rsidR="008A3ADE">
              <w:rPr>
                <w:color w:val="FFFFFF" w:themeColor="background1"/>
              </w:rPr>
              <w:t>10–</w:t>
            </w:r>
            <w:r w:rsidRPr="003C133B">
              <w:rPr>
                <w:color w:val="FFFFFF" w:themeColor="background1"/>
              </w:rPr>
              <w:t>11 to 2016</w:t>
            </w:r>
            <w:r w:rsidR="008A3ADE">
              <w:rPr>
                <w:color w:val="FFFFFF" w:themeColor="background1"/>
              </w:rPr>
              <w:t>–</w:t>
            </w:r>
            <w:r w:rsidRPr="003C133B">
              <w:rPr>
                <w:color w:val="FFFFFF" w:themeColor="background1"/>
              </w:rPr>
              <w:t>17*</w:t>
            </w:r>
          </w:p>
        </w:tc>
        <w:tc>
          <w:tcPr>
            <w:tcW w:w="2120" w:type="dxa"/>
            <w:shd w:val="clear" w:color="auto" w:fill="404040" w:themeFill="text1" w:themeFillTint="BF"/>
            <w:vAlign w:val="center"/>
          </w:tcPr>
          <w:p w14:paraId="6369D3BC" w14:textId="4C99E564" w:rsidR="003C133B" w:rsidRPr="003C133B" w:rsidRDefault="003C133B" w:rsidP="003C133B">
            <w:pPr>
              <w:pStyle w:val="TableHeading"/>
              <w:jc w:val="right"/>
              <w:rPr>
                <w:rFonts w:eastAsia="SimSun"/>
                <w:color w:val="FFFFFF" w:themeColor="background1"/>
              </w:rPr>
            </w:pPr>
            <w:r w:rsidRPr="003C133B">
              <w:rPr>
                <w:color w:val="FFFFFF" w:themeColor="background1"/>
              </w:rPr>
              <w:t>2017</w:t>
            </w:r>
            <w:r w:rsidR="008A3ADE">
              <w:rPr>
                <w:color w:val="FFFFFF" w:themeColor="background1"/>
              </w:rPr>
              <w:t>–</w:t>
            </w:r>
            <w:r w:rsidRPr="003C133B">
              <w:rPr>
                <w:color w:val="FFFFFF" w:themeColor="background1"/>
              </w:rPr>
              <w:t>18 to 2018</w:t>
            </w:r>
            <w:r w:rsidR="008A3ADE">
              <w:rPr>
                <w:color w:val="FFFFFF" w:themeColor="background1"/>
              </w:rPr>
              <w:t>–</w:t>
            </w:r>
            <w:r w:rsidRPr="003C133B">
              <w:rPr>
                <w:color w:val="FFFFFF" w:themeColor="background1"/>
              </w:rPr>
              <w:t>19</w:t>
            </w:r>
          </w:p>
        </w:tc>
      </w:tr>
      <w:tr w:rsidR="003C133B" w14:paraId="27C91D64" w14:textId="77777777" w:rsidTr="003C133B">
        <w:tc>
          <w:tcPr>
            <w:tcW w:w="1147" w:type="dxa"/>
            <w:vAlign w:val="center"/>
          </w:tcPr>
          <w:p w14:paraId="3038B5A8" w14:textId="2F97E42E" w:rsidR="003C133B" w:rsidRDefault="003C133B" w:rsidP="003C133B">
            <w:pPr>
              <w:spacing w:after="0"/>
              <w:rPr>
                <w:rFonts w:eastAsia="SimSun"/>
              </w:rPr>
            </w:pPr>
            <w:r w:rsidRPr="00137214">
              <w:rPr>
                <w:rFonts w:cs="Arial"/>
                <w:b/>
                <w:bCs/>
                <w:color w:val="000000"/>
                <w:sz w:val="18"/>
                <w:szCs w:val="18"/>
              </w:rPr>
              <w:t>Type A</w:t>
            </w:r>
          </w:p>
        </w:tc>
        <w:tc>
          <w:tcPr>
            <w:tcW w:w="2126" w:type="dxa"/>
            <w:vAlign w:val="center"/>
          </w:tcPr>
          <w:p w14:paraId="0A9DC8C6" w14:textId="71198A88" w:rsidR="003C133B" w:rsidRDefault="003C133B" w:rsidP="003C133B">
            <w:pPr>
              <w:spacing w:after="0"/>
              <w:jc w:val="right"/>
              <w:rPr>
                <w:rFonts w:eastAsia="SimSun"/>
              </w:rPr>
            </w:pPr>
            <w:r w:rsidRPr="00137214">
              <w:rPr>
                <w:rFonts w:cs="Arial"/>
                <w:color w:val="000000"/>
                <w:sz w:val="18"/>
                <w:szCs w:val="18"/>
              </w:rPr>
              <w:t>500</w:t>
            </w:r>
          </w:p>
        </w:tc>
        <w:tc>
          <w:tcPr>
            <w:tcW w:w="2268" w:type="dxa"/>
            <w:vAlign w:val="center"/>
          </w:tcPr>
          <w:p w14:paraId="622C0621" w14:textId="7BE46ABB" w:rsidR="003C133B" w:rsidRDefault="003C133B" w:rsidP="003C133B">
            <w:pPr>
              <w:spacing w:after="0"/>
              <w:jc w:val="right"/>
              <w:rPr>
                <w:rFonts w:eastAsia="SimSun"/>
              </w:rPr>
            </w:pPr>
            <w:r w:rsidRPr="00137214">
              <w:rPr>
                <w:rFonts w:cs="Arial"/>
                <w:color w:val="000000"/>
                <w:sz w:val="18"/>
                <w:szCs w:val="18"/>
              </w:rPr>
              <w:t>$0</w:t>
            </w:r>
          </w:p>
        </w:tc>
        <w:tc>
          <w:tcPr>
            <w:tcW w:w="2120" w:type="dxa"/>
            <w:vAlign w:val="center"/>
          </w:tcPr>
          <w:p w14:paraId="4DF414A7" w14:textId="04DF745C" w:rsidR="003C133B" w:rsidRDefault="003C133B" w:rsidP="003C133B">
            <w:pPr>
              <w:spacing w:after="0"/>
              <w:jc w:val="right"/>
              <w:rPr>
                <w:rFonts w:eastAsia="SimSun"/>
              </w:rPr>
            </w:pPr>
            <w:r w:rsidRPr="00137214">
              <w:rPr>
                <w:rFonts w:cs="Arial"/>
                <w:color w:val="000000"/>
                <w:sz w:val="18"/>
                <w:szCs w:val="18"/>
              </w:rPr>
              <w:t>$0</w:t>
            </w:r>
          </w:p>
        </w:tc>
      </w:tr>
      <w:tr w:rsidR="003C133B" w14:paraId="5DCE451D" w14:textId="77777777" w:rsidTr="003C133B">
        <w:tc>
          <w:tcPr>
            <w:tcW w:w="1147" w:type="dxa"/>
            <w:vAlign w:val="center"/>
          </w:tcPr>
          <w:p w14:paraId="69794D2F" w14:textId="0B7F9A9B" w:rsidR="003C133B" w:rsidRDefault="003C133B" w:rsidP="003C133B">
            <w:pPr>
              <w:spacing w:after="0"/>
              <w:rPr>
                <w:rFonts w:eastAsia="SimSun"/>
              </w:rPr>
            </w:pPr>
            <w:r w:rsidRPr="00137214">
              <w:rPr>
                <w:rFonts w:cs="Arial"/>
                <w:b/>
                <w:bCs/>
                <w:color w:val="000000"/>
                <w:sz w:val="18"/>
                <w:szCs w:val="18"/>
              </w:rPr>
              <w:t>Type B</w:t>
            </w:r>
          </w:p>
        </w:tc>
        <w:tc>
          <w:tcPr>
            <w:tcW w:w="2126" w:type="dxa"/>
            <w:vAlign w:val="center"/>
          </w:tcPr>
          <w:p w14:paraId="6D92E554" w14:textId="395AF417" w:rsidR="003C133B" w:rsidRDefault="003C133B" w:rsidP="003C133B">
            <w:pPr>
              <w:spacing w:after="0"/>
              <w:jc w:val="right"/>
              <w:rPr>
                <w:rFonts w:eastAsia="SimSun"/>
              </w:rPr>
            </w:pPr>
            <w:r w:rsidRPr="00137214">
              <w:rPr>
                <w:rFonts w:cs="Arial"/>
                <w:color w:val="000000"/>
                <w:sz w:val="18"/>
                <w:szCs w:val="18"/>
              </w:rPr>
              <w:t>20,000</w:t>
            </w:r>
          </w:p>
        </w:tc>
        <w:tc>
          <w:tcPr>
            <w:tcW w:w="2268" w:type="dxa"/>
            <w:vAlign w:val="center"/>
          </w:tcPr>
          <w:p w14:paraId="3774BEE1" w14:textId="7152F0A4" w:rsidR="003C133B" w:rsidRDefault="003C133B" w:rsidP="003C133B">
            <w:pPr>
              <w:spacing w:after="0"/>
              <w:jc w:val="right"/>
              <w:rPr>
                <w:rFonts w:eastAsia="SimSun"/>
              </w:rPr>
            </w:pPr>
            <w:r w:rsidRPr="00137214">
              <w:rPr>
                <w:rFonts w:cs="Arial"/>
                <w:color w:val="000000"/>
                <w:sz w:val="18"/>
                <w:szCs w:val="18"/>
              </w:rPr>
              <w:t>$79</w:t>
            </w:r>
          </w:p>
        </w:tc>
        <w:tc>
          <w:tcPr>
            <w:tcW w:w="2120" w:type="dxa"/>
            <w:vAlign w:val="center"/>
          </w:tcPr>
          <w:p w14:paraId="14CB7EDB" w14:textId="15E6BF10" w:rsidR="003C133B" w:rsidRDefault="003C133B" w:rsidP="003C133B">
            <w:pPr>
              <w:spacing w:after="0"/>
              <w:jc w:val="right"/>
              <w:rPr>
                <w:rFonts w:eastAsia="SimSun"/>
              </w:rPr>
            </w:pPr>
            <w:r w:rsidRPr="00137214">
              <w:rPr>
                <w:rFonts w:cs="Arial"/>
                <w:color w:val="000000"/>
                <w:sz w:val="18"/>
                <w:szCs w:val="18"/>
              </w:rPr>
              <w:t>$113</w:t>
            </w:r>
          </w:p>
        </w:tc>
      </w:tr>
      <w:tr w:rsidR="003C133B" w14:paraId="2604429A" w14:textId="77777777" w:rsidTr="003C133B">
        <w:tc>
          <w:tcPr>
            <w:tcW w:w="1147" w:type="dxa"/>
            <w:vAlign w:val="center"/>
          </w:tcPr>
          <w:p w14:paraId="4D3E5428" w14:textId="503C897A" w:rsidR="003C133B" w:rsidRDefault="003C133B" w:rsidP="003C133B">
            <w:pPr>
              <w:spacing w:after="0"/>
              <w:rPr>
                <w:rFonts w:eastAsia="SimSun"/>
              </w:rPr>
            </w:pPr>
            <w:r w:rsidRPr="00137214">
              <w:rPr>
                <w:rFonts w:cs="Arial"/>
                <w:b/>
                <w:bCs/>
                <w:color w:val="000000"/>
                <w:sz w:val="18"/>
                <w:szCs w:val="18"/>
              </w:rPr>
              <w:t>Type C</w:t>
            </w:r>
          </w:p>
        </w:tc>
        <w:tc>
          <w:tcPr>
            <w:tcW w:w="2126" w:type="dxa"/>
            <w:vAlign w:val="center"/>
          </w:tcPr>
          <w:p w14:paraId="6B2F6E93" w14:textId="3D72DDCB" w:rsidR="003C133B" w:rsidRDefault="003C133B" w:rsidP="003C133B">
            <w:pPr>
              <w:spacing w:after="0"/>
              <w:jc w:val="right"/>
              <w:rPr>
                <w:rFonts w:eastAsia="SimSun"/>
              </w:rPr>
            </w:pPr>
            <w:r w:rsidRPr="00137214">
              <w:rPr>
                <w:rFonts w:cs="Arial"/>
                <w:color w:val="000000"/>
                <w:sz w:val="18"/>
                <w:szCs w:val="18"/>
              </w:rPr>
              <w:t>100,000</w:t>
            </w:r>
          </w:p>
        </w:tc>
        <w:tc>
          <w:tcPr>
            <w:tcW w:w="2268" w:type="dxa"/>
            <w:vAlign w:val="center"/>
          </w:tcPr>
          <w:p w14:paraId="15B1FAC3" w14:textId="7AB391BB" w:rsidR="003C133B" w:rsidRDefault="003C133B" w:rsidP="003C133B">
            <w:pPr>
              <w:spacing w:after="0"/>
              <w:jc w:val="right"/>
              <w:rPr>
                <w:rFonts w:eastAsia="SimSun"/>
              </w:rPr>
            </w:pPr>
            <w:r w:rsidRPr="00137214">
              <w:rPr>
                <w:rFonts w:cs="Arial"/>
                <w:color w:val="000000"/>
                <w:sz w:val="18"/>
                <w:szCs w:val="18"/>
              </w:rPr>
              <w:t>$370</w:t>
            </w:r>
          </w:p>
        </w:tc>
        <w:tc>
          <w:tcPr>
            <w:tcW w:w="2120" w:type="dxa"/>
            <w:vAlign w:val="center"/>
          </w:tcPr>
          <w:p w14:paraId="67EDB9F8" w14:textId="55EA9CBB" w:rsidR="003C133B" w:rsidRDefault="003C133B" w:rsidP="003C133B">
            <w:pPr>
              <w:spacing w:after="0"/>
              <w:jc w:val="right"/>
              <w:rPr>
                <w:rFonts w:eastAsia="SimSun"/>
              </w:rPr>
            </w:pPr>
            <w:r w:rsidRPr="00137214">
              <w:rPr>
                <w:rFonts w:cs="Arial"/>
                <w:color w:val="000000"/>
                <w:sz w:val="18"/>
                <w:szCs w:val="18"/>
              </w:rPr>
              <w:t>$525</w:t>
            </w:r>
          </w:p>
        </w:tc>
      </w:tr>
      <w:tr w:rsidR="003C133B" w14:paraId="060DE533" w14:textId="77777777" w:rsidTr="003C133B">
        <w:tc>
          <w:tcPr>
            <w:tcW w:w="1147" w:type="dxa"/>
            <w:vAlign w:val="center"/>
          </w:tcPr>
          <w:p w14:paraId="0C7BC9D1" w14:textId="248B9E0F" w:rsidR="003C133B" w:rsidRDefault="003C133B" w:rsidP="003C133B">
            <w:pPr>
              <w:spacing w:after="0"/>
              <w:rPr>
                <w:rFonts w:eastAsia="SimSun"/>
              </w:rPr>
            </w:pPr>
            <w:r w:rsidRPr="00137214">
              <w:rPr>
                <w:rFonts w:cs="Arial"/>
                <w:b/>
                <w:bCs/>
                <w:color w:val="000000"/>
                <w:sz w:val="18"/>
                <w:szCs w:val="18"/>
              </w:rPr>
              <w:t>Type D</w:t>
            </w:r>
          </w:p>
        </w:tc>
        <w:tc>
          <w:tcPr>
            <w:tcW w:w="2126" w:type="dxa"/>
            <w:vAlign w:val="center"/>
          </w:tcPr>
          <w:p w14:paraId="03FA0F6D" w14:textId="1B3B5D0C" w:rsidR="003C133B" w:rsidRDefault="003C133B" w:rsidP="003C133B">
            <w:pPr>
              <w:spacing w:after="0"/>
              <w:jc w:val="right"/>
              <w:rPr>
                <w:rFonts w:eastAsia="SimSun"/>
              </w:rPr>
            </w:pPr>
            <w:r w:rsidRPr="00137214">
              <w:rPr>
                <w:rFonts w:cs="Arial"/>
                <w:color w:val="000000"/>
                <w:sz w:val="18"/>
                <w:szCs w:val="18"/>
              </w:rPr>
              <w:t>1,000,000</w:t>
            </w:r>
          </w:p>
        </w:tc>
        <w:tc>
          <w:tcPr>
            <w:tcW w:w="2268" w:type="dxa"/>
            <w:vAlign w:val="center"/>
          </w:tcPr>
          <w:p w14:paraId="2B2E7A6D" w14:textId="4F6D66A8" w:rsidR="003C133B" w:rsidRDefault="003C133B" w:rsidP="003C133B">
            <w:pPr>
              <w:spacing w:after="0"/>
              <w:jc w:val="right"/>
              <w:rPr>
                <w:rFonts w:eastAsia="SimSun"/>
              </w:rPr>
            </w:pPr>
            <w:r w:rsidRPr="00137214">
              <w:rPr>
                <w:rFonts w:cs="Arial"/>
                <w:color w:val="000000"/>
                <w:sz w:val="18"/>
                <w:szCs w:val="18"/>
              </w:rPr>
              <w:t>$3,200</w:t>
            </w:r>
          </w:p>
        </w:tc>
        <w:tc>
          <w:tcPr>
            <w:tcW w:w="2120" w:type="dxa"/>
            <w:vAlign w:val="center"/>
          </w:tcPr>
          <w:p w14:paraId="311B796C" w14:textId="330817F2" w:rsidR="003C133B" w:rsidRDefault="003C133B" w:rsidP="003C133B">
            <w:pPr>
              <w:spacing w:after="0"/>
              <w:jc w:val="right"/>
              <w:rPr>
                <w:rFonts w:eastAsia="SimSun"/>
              </w:rPr>
            </w:pPr>
            <w:r w:rsidRPr="00137214">
              <w:rPr>
                <w:rFonts w:cs="Arial"/>
                <w:color w:val="000000"/>
                <w:sz w:val="18"/>
                <w:szCs w:val="18"/>
              </w:rPr>
              <w:t>$4,540</w:t>
            </w:r>
          </w:p>
        </w:tc>
      </w:tr>
      <w:tr w:rsidR="003C133B" w14:paraId="5E315BA8" w14:textId="77777777" w:rsidTr="003C133B">
        <w:tc>
          <w:tcPr>
            <w:tcW w:w="1147" w:type="dxa"/>
            <w:vAlign w:val="center"/>
          </w:tcPr>
          <w:p w14:paraId="5E1E9B82" w14:textId="588B5B61" w:rsidR="003C133B" w:rsidRDefault="003C133B" w:rsidP="003C133B">
            <w:pPr>
              <w:spacing w:after="0"/>
              <w:rPr>
                <w:rFonts w:eastAsia="SimSun"/>
              </w:rPr>
            </w:pPr>
            <w:r w:rsidRPr="00137214">
              <w:rPr>
                <w:rFonts w:cs="Arial"/>
                <w:b/>
                <w:bCs/>
                <w:color w:val="000000"/>
                <w:sz w:val="18"/>
                <w:szCs w:val="18"/>
              </w:rPr>
              <w:t>Type E</w:t>
            </w:r>
          </w:p>
        </w:tc>
        <w:tc>
          <w:tcPr>
            <w:tcW w:w="2126" w:type="dxa"/>
            <w:vAlign w:val="center"/>
          </w:tcPr>
          <w:p w14:paraId="5740BD17" w14:textId="753D887A" w:rsidR="003C133B" w:rsidRDefault="003C133B" w:rsidP="003C133B">
            <w:pPr>
              <w:spacing w:after="0"/>
              <w:jc w:val="right"/>
              <w:rPr>
                <w:rFonts w:eastAsia="SimSun"/>
              </w:rPr>
            </w:pPr>
            <w:r w:rsidRPr="00137214">
              <w:rPr>
                <w:rFonts w:cs="Arial"/>
                <w:color w:val="000000"/>
                <w:sz w:val="18"/>
                <w:szCs w:val="18"/>
              </w:rPr>
              <w:t>10,000,000</w:t>
            </w:r>
          </w:p>
        </w:tc>
        <w:tc>
          <w:tcPr>
            <w:tcW w:w="2268" w:type="dxa"/>
            <w:vAlign w:val="center"/>
          </w:tcPr>
          <w:p w14:paraId="69A306A7" w14:textId="54A9B445" w:rsidR="003C133B" w:rsidRDefault="003C133B" w:rsidP="003C133B">
            <w:pPr>
              <w:spacing w:after="0"/>
              <w:jc w:val="right"/>
              <w:rPr>
                <w:rFonts w:eastAsia="SimSun"/>
              </w:rPr>
            </w:pPr>
            <w:r w:rsidRPr="00137214">
              <w:rPr>
                <w:rFonts w:cs="Arial"/>
                <w:color w:val="000000"/>
                <w:sz w:val="18"/>
                <w:szCs w:val="18"/>
              </w:rPr>
              <w:t>$27,000</w:t>
            </w:r>
          </w:p>
        </w:tc>
        <w:tc>
          <w:tcPr>
            <w:tcW w:w="2120" w:type="dxa"/>
            <w:vAlign w:val="center"/>
          </w:tcPr>
          <w:p w14:paraId="2E4312B4" w14:textId="0D758FF7" w:rsidR="003C133B" w:rsidRDefault="003C133B" w:rsidP="003C133B">
            <w:pPr>
              <w:spacing w:after="0"/>
              <w:jc w:val="right"/>
              <w:rPr>
                <w:rFonts w:eastAsia="SimSun"/>
              </w:rPr>
            </w:pPr>
            <w:r w:rsidRPr="00137214">
              <w:rPr>
                <w:rFonts w:cs="Arial"/>
                <w:color w:val="000000"/>
                <w:sz w:val="18"/>
                <w:szCs w:val="18"/>
              </w:rPr>
              <w:t>$38,310</w:t>
            </w:r>
          </w:p>
        </w:tc>
      </w:tr>
      <w:tr w:rsidR="003C133B" w14:paraId="3A3D1B97" w14:textId="77777777" w:rsidTr="003C133B">
        <w:tc>
          <w:tcPr>
            <w:tcW w:w="1147" w:type="dxa"/>
            <w:vAlign w:val="center"/>
          </w:tcPr>
          <w:p w14:paraId="269614D3" w14:textId="7220A27C" w:rsidR="003C133B" w:rsidRDefault="003C133B" w:rsidP="003C133B">
            <w:pPr>
              <w:spacing w:after="0"/>
              <w:rPr>
                <w:rFonts w:eastAsia="SimSun"/>
              </w:rPr>
            </w:pPr>
            <w:r w:rsidRPr="00137214">
              <w:rPr>
                <w:rFonts w:cs="Arial"/>
                <w:b/>
                <w:bCs/>
                <w:color w:val="000000"/>
                <w:sz w:val="18"/>
                <w:szCs w:val="18"/>
              </w:rPr>
              <w:t>Type F</w:t>
            </w:r>
          </w:p>
        </w:tc>
        <w:tc>
          <w:tcPr>
            <w:tcW w:w="2126" w:type="dxa"/>
            <w:vAlign w:val="center"/>
          </w:tcPr>
          <w:p w14:paraId="66A99F7E" w14:textId="6906723E" w:rsidR="003C133B" w:rsidRDefault="003C133B" w:rsidP="003C133B">
            <w:pPr>
              <w:spacing w:after="0"/>
              <w:jc w:val="right"/>
              <w:rPr>
                <w:rFonts w:eastAsia="SimSun"/>
              </w:rPr>
            </w:pPr>
            <w:r w:rsidRPr="00137214">
              <w:rPr>
                <w:rFonts w:cs="Arial"/>
                <w:color w:val="000000"/>
                <w:sz w:val="18"/>
                <w:szCs w:val="18"/>
              </w:rPr>
              <w:t>20,000,000</w:t>
            </w:r>
          </w:p>
        </w:tc>
        <w:tc>
          <w:tcPr>
            <w:tcW w:w="2268" w:type="dxa"/>
            <w:vAlign w:val="center"/>
          </w:tcPr>
          <w:p w14:paraId="1458917F" w14:textId="3759B6D3" w:rsidR="003C133B" w:rsidRDefault="003C133B" w:rsidP="003C133B">
            <w:pPr>
              <w:spacing w:after="0"/>
              <w:jc w:val="right"/>
              <w:rPr>
                <w:rFonts w:eastAsia="SimSun"/>
              </w:rPr>
            </w:pPr>
            <w:r w:rsidRPr="00137214">
              <w:rPr>
                <w:rFonts w:cs="Arial"/>
                <w:color w:val="000000"/>
                <w:sz w:val="18"/>
                <w:szCs w:val="18"/>
              </w:rPr>
              <w:t>$45,000</w:t>
            </w:r>
          </w:p>
        </w:tc>
        <w:tc>
          <w:tcPr>
            <w:tcW w:w="2120" w:type="dxa"/>
            <w:vAlign w:val="center"/>
          </w:tcPr>
          <w:p w14:paraId="24D27E1E" w14:textId="07C791A0" w:rsidR="003C133B" w:rsidRDefault="003C133B" w:rsidP="003C133B">
            <w:pPr>
              <w:spacing w:after="0"/>
              <w:jc w:val="right"/>
              <w:rPr>
                <w:rFonts w:eastAsia="SimSun"/>
              </w:rPr>
            </w:pPr>
            <w:r w:rsidRPr="00137214">
              <w:rPr>
                <w:rFonts w:cs="Arial"/>
                <w:color w:val="000000"/>
                <w:sz w:val="18"/>
                <w:szCs w:val="18"/>
              </w:rPr>
              <w:t>$63,850</w:t>
            </w:r>
          </w:p>
        </w:tc>
      </w:tr>
      <w:tr w:rsidR="003C133B" w14:paraId="2B333BE9" w14:textId="77777777" w:rsidTr="003C133B">
        <w:tc>
          <w:tcPr>
            <w:tcW w:w="1147" w:type="dxa"/>
            <w:vAlign w:val="center"/>
          </w:tcPr>
          <w:p w14:paraId="55584FC3" w14:textId="0E2A59DB" w:rsidR="003C133B" w:rsidRDefault="003C133B" w:rsidP="003C133B">
            <w:pPr>
              <w:spacing w:after="0"/>
              <w:rPr>
                <w:rFonts w:eastAsia="SimSun"/>
              </w:rPr>
            </w:pPr>
            <w:r w:rsidRPr="00137214">
              <w:rPr>
                <w:rFonts w:cs="Arial"/>
                <w:b/>
                <w:bCs/>
                <w:color w:val="000000"/>
                <w:sz w:val="18"/>
                <w:szCs w:val="18"/>
              </w:rPr>
              <w:t>Type G</w:t>
            </w:r>
          </w:p>
        </w:tc>
        <w:tc>
          <w:tcPr>
            <w:tcW w:w="2126" w:type="dxa"/>
            <w:vAlign w:val="center"/>
          </w:tcPr>
          <w:p w14:paraId="37F8D8DC" w14:textId="09C5D8EA" w:rsidR="003C133B" w:rsidRDefault="003C133B" w:rsidP="003C133B">
            <w:pPr>
              <w:spacing w:after="0"/>
              <w:jc w:val="right"/>
              <w:rPr>
                <w:rFonts w:eastAsia="SimSun"/>
              </w:rPr>
            </w:pPr>
            <w:r w:rsidRPr="00137214">
              <w:rPr>
                <w:rFonts w:cs="Arial"/>
                <w:color w:val="000000"/>
                <w:sz w:val="18"/>
                <w:szCs w:val="18"/>
              </w:rPr>
              <w:t>50,000,000</w:t>
            </w:r>
          </w:p>
        </w:tc>
        <w:tc>
          <w:tcPr>
            <w:tcW w:w="2268" w:type="dxa"/>
            <w:vAlign w:val="center"/>
          </w:tcPr>
          <w:p w14:paraId="60A454C6" w14:textId="061F3EE3" w:rsidR="003C133B" w:rsidRDefault="003C133B" w:rsidP="003C133B">
            <w:pPr>
              <w:spacing w:after="0"/>
              <w:jc w:val="right"/>
              <w:rPr>
                <w:rFonts w:eastAsia="SimSun"/>
              </w:rPr>
            </w:pPr>
            <w:r w:rsidRPr="00137214">
              <w:rPr>
                <w:rFonts w:cs="Arial"/>
                <w:color w:val="000000"/>
                <w:sz w:val="18"/>
                <w:szCs w:val="18"/>
              </w:rPr>
              <w:t>$67,500</w:t>
            </w:r>
          </w:p>
        </w:tc>
        <w:tc>
          <w:tcPr>
            <w:tcW w:w="2120" w:type="dxa"/>
            <w:vAlign w:val="center"/>
          </w:tcPr>
          <w:p w14:paraId="1B551C81" w14:textId="77BC2E94" w:rsidR="003C133B" w:rsidRDefault="003C133B" w:rsidP="003C133B">
            <w:pPr>
              <w:spacing w:after="0"/>
              <w:jc w:val="right"/>
              <w:rPr>
                <w:rFonts w:eastAsia="SimSun"/>
              </w:rPr>
            </w:pPr>
            <w:r w:rsidRPr="00137214">
              <w:rPr>
                <w:rFonts w:cs="Arial"/>
                <w:color w:val="000000"/>
                <w:sz w:val="18"/>
                <w:szCs w:val="18"/>
              </w:rPr>
              <w:t>$95,775</w:t>
            </w:r>
          </w:p>
        </w:tc>
      </w:tr>
      <w:tr w:rsidR="003C133B" w14:paraId="0E7F2DA3" w14:textId="77777777" w:rsidTr="003C133B">
        <w:tc>
          <w:tcPr>
            <w:tcW w:w="1147" w:type="dxa"/>
            <w:vAlign w:val="center"/>
          </w:tcPr>
          <w:p w14:paraId="5C5F0007" w14:textId="0953D2BD" w:rsidR="003C133B" w:rsidRDefault="003C133B" w:rsidP="003C133B">
            <w:pPr>
              <w:spacing w:after="0"/>
              <w:rPr>
                <w:rFonts w:eastAsia="SimSun"/>
              </w:rPr>
            </w:pPr>
            <w:r w:rsidRPr="00137214">
              <w:rPr>
                <w:rFonts w:cs="Arial"/>
                <w:b/>
                <w:bCs/>
                <w:color w:val="000000"/>
                <w:sz w:val="18"/>
                <w:szCs w:val="18"/>
              </w:rPr>
              <w:t>Type H</w:t>
            </w:r>
          </w:p>
        </w:tc>
        <w:tc>
          <w:tcPr>
            <w:tcW w:w="2126" w:type="dxa"/>
            <w:vAlign w:val="center"/>
          </w:tcPr>
          <w:p w14:paraId="439104BA" w14:textId="6FC85095" w:rsidR="003C133B" w:rsidRDefault="003C133B" w:rsidP="003C133B">
            <w:pPr>
              <w:spacing w:after="0"/>
              <w:jc w:val="right"/>
              <w:rPr>
                <w:rFonts w:eastAsia="SimSun"/>
              </w:rPr>
            </w:pPr>
            <w:r w:rsidRPr="00137214">
              <w:rPr>
                <w:rFonts w:cs="Arial"/>
                <w:color w:val="000000"/>
                <w:sz w:val="18"/>
                <w:szCs w:val="18"/>
              </w:rPr>
              <w:t>100,000,000</w:t>
            </w:r>
          </w:p>
        </w:tc>
        <w:tc>
          <w:tcPr>
            <w:tcW w:w="2268" w:type="dxa"/>
            <w:vAlign w:val="center"/>
          </w:tcPr>
          <w:p w14:paraId="2D6F3AE6" w14:textId="72C85F9C" w:rsidR="003C133B" w:rsidRDefault="003C133B" w:rsidP="003C133B">
            <w:pPr>
              <w:spacing w:after="0"/>
              <w:jc w:val="right"/>
              <w:rPr>
                <w:rFonts w:eastAsia="SimSun"/>
              </w:rPr>
            </w:pPr>
            <w:r w:rsidRPr="00137214">
              <w:rPr>
                <w:rFonts w:cs="Arial"/>
                <w:color w:val="000000"/>
                <w:sz w:val="18"/>
                <w:szCs w:val="18"/>
              </w:rPr>
              <w:t>$90,000</w:t>
            </w:r>
          </w:p>
        </w:tc>
        <w:tc>
          <w:tcPr>
            <w:tcW w:w="2120" w:type="dxa"/>
            <w:vAlign w:val="center"/>
          </w:tcPr>
          <w:p w14:paraId="1F334F8A" w14:textId="0C08CAB4" w:rsidR="003C133B" w:rsidRDefault="003C133B" w:rsidP="003C133B">
            <w:pPr>
              <w:spacing w:after="0"/>
              <w:jc w:val="right"/>
              <w:rPr>
                <w:rFonts w:eastAsia="SimSun"/>
              </w:rPr>
            </w:pPr>
            <w:r w:rsidRPr="00137214">
              <w:rPr>
                <w:rFonts w:cs="Arial"/>
                <w:color w:val="000000"/>
                <w:sz w:val="18"/>
                <w:szCs w:val="18"/>
              </w:rPr>
              <w:t>$127,700</w:t>
            </w:r>
          </w:p>
        </w:tc>
      </w:tr>
    </w:tbl>
    <w:p w14:paraId="02787039" w14:textId="701DD4BC" w:rsidR="00BC6158" w:rsidRDefault="003C133B" w:rsidP="003C133B">
      <w:pPr>
        <w:pStyle w:val="ACMANotes"/>
        <w:spacing w:after="240"/>
        <w:rPr>
          <w:rFonts w:eastAsia="SimSun"/>
        </w:rPr>
      </w:pPr>
      <w:r w:rsidRPr="00137214">
        <w:t>*Previous fee increase occurred on 1 January 2011.</w:t>
      </w:r>
    </w:p>
    <w:p w14:paraId="784FD88F" w14:textId="4701F961" w:rsidR="00F77386" w:rsidRPr="00A709EF" w:rsidRDefault="00CF154B" w:rsidP="00F77386">
      <w:pPr>
        <w:rPr>
          <w:rFonts w:eastAsia="SimSun"/>
        </w:rPr>
      </w:pPr>
      <w:r w:rsidRPr="00A709EF">
        <w:rPr>
          <w:rFonts w:eastAsia="SimSun"/>
        </w:rPr>
        <w:t xml:space="preserve">As noted in the </w:t>
      </w:r>
      <w:hyperlink r:id="rId33" w:history="1">
        <w:r w:rsidR="00CC52E4">
          <w:rPr>
            <w:rStyle w:val="Hyperlink"/>
            <w:rFonts w:eastAsia="SimSun"/>
          </w:rPr>
          <w:t>20</w:t>
        </w:r>
        <w:r w:rsidRPr="00A709EF">
          <w:rPr>
            <w:rStyle w:val="Hyperlink"/>
            <w:rFonts w:eastAsia="SimSun"/>
          </w:rPr>
          <w:t>17</w:t>
        </w:r>
        <w:r w:rsidR="00F77386" w:rsidRPr="00A709EF">
          <w:rPr>
            <w:rStyle w:val="Hyperlink"/>
            <w:rFonts w:eastAsia="SimSun"/>
          </w:rPr>
          <w:t xml:space="preserve"> Do Not Call Register Cost Recovery Implementation Statement</w:t>
        </w:r>
      </w:hyperlink>
      <w:r w:rsidR="00F77386" w:rsidRPr="00A709EF">
        <w:rPr>
          <w:rFonts w:eastAsia="SimSun"/>
        </w:rPr>
        <w:t>, declining subscription demand and wash volumes has implications for the sustainability of cost</w:t>
      </w:r>
      <w:r w:rsidR="006255C5">
        <w:rPr>
          <w:rFonts w:eastAsia="SimSun"/>
        </w:rPr>
        <w:t>-</w:t>
      </w:r>
      <w:r w:rsidR="00F77386" w:rsidRPr="00A709EF">
        <w:rPr>
          <w:rFonts w:eastAsia="SimSun"/>
        </w:rPr>
        <w:t>recovery mechanisms.</w:t>
      </w:r>
    </w:p>
    <w:p w14:paraId="217C15A9" w14:textId="31C8E617" w:rsidR="00F77386" w:rsidRPr="00A709EF" w:rsidRDefault="00F77386" w:rsidP="00F77386">
      <w:pPr>
        <w:rPr>
          <w:rFonts w:eastAsia="SimSun"/>
        </w:rPr>
      </w:pPr>
      <w:r w:rsidRPr="00A709EF">
        <w:rPr>
          <w:rFonts w:eastAsia="SimSun"/>
        </w:rPr>
        <w:t xml:space="preserve">However, as the </w:t>
      </w:r>
      <w:r w:rsidR="00D07D9E">
        <w:rPr>
          <w:rFonts w:eastAsia="SimSun"/>
        </w:rPr>
        <w:t xml:space="preserve">cost recovery for the register is forecast to </w:t>
      </w:r>
      <w:r w:rsidRPr="00A709EF">
        <w:rPr>
          <w:rFonts w:eastAsia="SimSun"/>
        </w:rPr>
        <w:t>remain in cumulative over-recovery in 2017</w:t>
      </w:r>
      <w:r w:rsidR="008A3ADE">
        <w:rPr>
          <w:rFonts w:eastAsia="SimSun"/>
        </w:rPr>
        <w:t>–</w:t>
      </w:r>
      <w:r w:rsidRPr="00A709EF">
        <w:rPr>
          <w:rFonts w:eastAsia="SimSun"/>
        </w:rPr>
        <w:t xml:space="preserve">18, no change to subscription fees is </w:t>
      </w:r>
      <w:r w:rsidR="00D07D9E">
        <w:rPr>
          <w:rFonts w:eastAsia="SimSun"/>
        </w:rPr>
        <w:t>proposed</w:t>
      </w:r>
      <w:r w:rsidRPr="00A709EF">
        <w:rPr>
          <w:rFonts w:eastAsia="SimSun"/>
        </w:rPr>
        <w:t xml:space="preserve"> at this time.</w:t>
      </w:r>
    </w:p>
    <w:p w14:paraId="32DA8D9E" w14:textId="4AB80752" w:rsidR="00F77386" w:rsidRPr="00A709EF" w:rsidRDefault="00F77386" w:rsidP="00F77386">
      <w:pPr>
        <w:rPr>
          <w:rFonts w:eastAsia="SimSun"/>
        </w:rPr>
      </w:pPr>
      <w:r w:rsidRPr="00A709EF">
        <w:rPr>
          <w:rFonts w:eastAsia="SimSun"/>
        </w:rPr>
        <w:t xml:space="preserve">The ACMA continues to refine the </w:t>
      </w:r>
      <w:r w:rsidR="00757C55">
        <w:rPr>
          <w:rFonts w:eastAsia="SimSun"/>
        </w:rPr>
        <w:t xml:space="preserve">register </w:t>
      </w:r>
      <w:r w:rsidRPr="00A709EF">
        <w:rPr>
          <w:rFonts w:eastAsia="SimSun"/>
        </w:rPr>
        <w:t>cost</w:t>
      </w:r>
      <w:r w:rsidR="006255C5">
        <w:rPr>
          <w:rFonts w:eastAsia="SimSun"/>
        </w:rPr>
        <w:t>-</w:t>
      </w:r>
      <w:r w:rsidRPr="00A709EF">
        <w:rPr>
          <w:rFonts w:eastAsia="SimSun"/>
        </w:rPr>
        <w:t>recovery forecasting model to ensure it accurately assess</w:t>
      </w:r>
      <w:r w:rsidR="006255C5">
        <w:rPr>
          <w:rFonts w:eastAsia="SimSun"/>
        </w:rPr>
        <w:t>es</w:t>
      </w:r>
      <w:r w:rsidRPr="00A709EF">
        <w:rPr>
          <w:rFonts w:eastAsia="SimSun"/>
        </w:rPr>
        <w:t xml:space="preserve"> demand drivers.</w:t>
      </w:r>
    </w:p>
    <w:p w14:paraId="0577B6E0" w14:textId="7D5DAB7A" w:rsidR="00F77386" w:rsidRPr="00A709EF" w:rsidRDefault="00F77386" w:rsidP="00F77386">
      <w:pPr>
        <w:rPr>
          <w:rFonts w:eastAsia="SimSun"/>
        </w:rPr>
      </w:pPr>
      <w:r w:rsidRPr="00A709EF">
        <w:rPr>
          <w:rFonts w:eastAsia="SimSun"/>
        </w:rPr>
        <w:t>In 2018</w:t>
      </w:r>
      <w:r w:rsidR="008A3ADE">
        <w:rPr>
          <w:rFonts w:eastAsia="SimSun"/>
        </w:rPr>
        <w:t>–</w:t>
      </w:r>
      <w:r w:rsidRPr="00A709EF">
        <w:rPr>
          <w:rFonts w:eastAsia="SimSun"/>
        </w:rPr>
        <w:t>19, the ACMA</w:t>
      </w:r>
      <w:r w:rsidR="00B448D3">
        <w:rPr>
          <w:rFonts w:eastAsia="SimSun"/>
        </w:rPr>
        <w:t xml:space="preserve"> will further examine the register cost</w:t>
      </w:r>
      <w:r w:rsidR="006255C5">
        <w:rPr>
          <w:rFonts w:eastAsia="SimSun"/>
        </w:rPr>
        <w:t>-</w:t>
      </w:r>
      <w:r w:rsidR="00B448D3">
        <w:rPr>
          <w:rFonts w:eastAsia="SimSun"/>
        </w:rPr>
        <w:t>recovery model and</w:t>
      </w:r>
      <w:r w:rsidRPr="00A709EF">
        <w:rPr>
          <w:rFonts w:eastAsia="SimSun"/>
        </w:rPr>
        <w:t xml:space="preserve"> will work with </w:t>
      </w:r>
      <w:r w:rsidR="00AF1407">
        <w:rPr>
          <w:rFonts w:eastAsia="SimSun"/>
        </w:rPr>
        <w:t xml:space="preserve">government and </w:t>
      </w:r>
      <w:r w:rsidR="00D07D9E">
        <w:rPr>
          <w:rFonts w:eastAsia="SimSun"/>
        </w:rPr>
        <w:t xml:space="preserve">industry </w:t>
      </w:r>
      <w:r w:rsidR="00AF1407">
        <w:rPr>
          <w:rFonts w:eastAsia="SimSun"/>
        </w:rPr>
        <w:t xml:space="preserve">to improve the </w:t>
      </w:r>
      <w:r w:rsidR="00EA600C">
        <w:rPr>
          <w:rFonts w:eastAsia="SimSun"/>
        </w:rPr>
        <w:t xml:space="preserve">associated </w:t>
      </w:r>
      <w:r w:rsidR="00AF1407">
        <w:rPr>
          <w:rFonts w:eastAsia="SimSun"/>
        </w:rPr>
        <w:t>cost</w:t>
      </w:r>
      <w:r w:rsidR="006255C5">
        <w:rPr>
          <w:rFonts w:eastAsia="SimSun"/>
        </w:rPr>
        <w:t>-</w:t>
      </w:r>
      <w:r w:rsidR="00AF1407">
        <w:rPr>
          <w:rFonts w:eastAsia="SimSun"/>
        </w:rPr>
        <w:t xml:space="preserve">recovery </w:t>
      </w:r>
      <w:r w:rsidRPr="00A709EF">
        <w:rPr>
          <w:rFonts w:eastAsia="SimSun"/>
        </w:rPr>
        <w:t>arrangements.</w:t>
      </w:r>
    </w:p>
    <w:p w14:paraId="6BB048F5" w14:textId="41663A8D" w:rsidR="00510E9F" w:rsidRPr="00C44F8A" w:rsidRDefault="00510E9F" w:rsidP="00E63FC8">
      <w:r w:rsidRPr="00C44F8A">
        <w:lastRenderedPageBreak/>
        <w:t xml:space="preserve">Accrued revenue (for a subscription type) is used in the modelling. The annual </w:t>
      </w:r>
      <w:r w:rsidR="00911632">
        <w:t>subscription</w:t>
      </w:r>
      <w:r w:rsidR="007D585A">
        <w:t xml:space="preserve"> fees</w:t>
      </w:r>
      <w:r w:rsidRPr="00C44F8A">
        <w:t xml:space="preserve"> </w:t>
      </w:r>
      <w:r w:rsidR="00EA600C">
        <w:t>are</w:t>
      </w:r>
      <w:r w:rsidRPr="00C44F8A">
        <w:t xml:space="preserve"> spread equally over 12 months. This </w:t>
      </w:r>
      <w:r w:rsidR="00EA600C">
        <w:t xml:space="preserve">approach </w:t>
      </w:r>
      <w:r w:rsidRPr="00C44F8A">
        <w:t xml:space="preserve">has been </w:t>
      </w:r>
      <w:r w:rsidR="00EA600C">
        <w:t>adopted</w:t>
      </w:r>
      <w:r w:rsidR="00EA600C" w:rsidRPr="00C44F8A">
        <w:t xml:space="preserve"> </w:t>
      </w:r>
      <w:r w:rsidRPr="00C44F8A">
        <w:t>to reflect the typical usage profile of an annual list-washing subscription</w:t>
      </w:r>
      <w:r w:rsidR="00EA600C">
        <w:t xml:space="preserve"> (where a subscription can</w:t>
      </w:r>
      <w:r w:rsidR="008A3ADE">
        <w:t xml:space="preserve"> be</w:t>
      </w:r>
      <w:r w:rsidR="00EA600C">
        <w:t>, and is, accessed over a 12</w:t>
      </w:r>
      <w:r w:rsidR="008A3ADE">
        <w:t>-</w:t>
      </w:r>
      <w:r w:rsidR="00EA600C">
        <w:t>month period)</w:t>
      </w:r>
      <w:r w:rsidRPr="00C44F8A">
        <w:t>.</w:t>
      </w:r>
    </w:p>
    <w:p w14:paraId="64EBD3AA" w14:textId="477F961F" w:rsidR="00510E9F" w:rsidRPr="001A0148" w:rsidRDefault="00510E9F" w:rsidP="0072094F">
      <w:pPr>
        <w:keepNext/>
        <w:spacing w:after="80"/>
        <w:rPr>
          <w:rFonts w:eastAsia="SimSun"/>
          <w:highlight w:val="green"/>
        </w:rPr>
      </w:pPr>
      <w:r w:rsidRPr="00251F69">
        <w:rPr>
          <w:rFonts w:eastAsia="SimSun"/>
        </w:rPr>
        <w:t xml:space="preserve">The </w:t>
      </w:r>
      <w:r w:rsidR="008A3ADE">
        <w:rPr>
          <w:rFonts w:eastAsia="SimSun"/>
        </w:rPr>
        <w:t>s</w:t>
      </w:r>
      <w:r w:rsidRPr="00251F69">
        <w:rPr>
          <w:rFonts w:eastAsia="SimSun"/>
        </w:rPr>
        <w:t xml:space="preserve">ubscription </w:t>
      </w:r>
      <w:r w:rsidR="008A3ADE">
        <w:rPr>
          <w:rFonts w:eastAsia="SimSun"/>
        </w:rPr>
        <w:t>f</w:t>
      </w:r>
      <w:r w:rsidRPr="00251F69">
        <w:rPr>
          <w:rFonts w:eastAsia="SimSun"/>
        </w:rPr>
        <w:t xml:space="preserve">ee </w:t>
      </w:r>
      <w:r w:rsidR="008A3ADE">
        <w:rPr>
          <w:rFonts w:eastAsia="SimSun"/>
        </w:rPr>
        <w:t>m</w:t>
      </w:r>
      <w:r w:rsidRPr="00251F69">
        <w:rPr>
          <w:rFonts w:eastAsia="SimSun"/>
        </w:rPr>
        <w:t>odel adopt</w:t>
      </w:r>
      <w:r w:rsidR="00DD61B4">
        <w:rPr>
          <w:rFonts w:eastAsia="SimSun"/>
        </w:rPr>
        <w:t>s</w:t>
      </w:r>
      <w:r w:rsidRPr="00251F69">
        <w:rPr>
          <w:rFonts w:eastAsia="SimSun"/>
        </w:rPr>
        <w:t xml:space="preserve"> the following key </w:t>
      </w:r>
      <w:r>
        <w:rPr>
          <w:rFonts w:eastAsia="SimSun"/>
        </w:rPr>
        <w:t>charging</w:t>
      </w:r>
      <w:r w:rsidR="006255C5">
        <w:rPr>
          <w:rFonts w:eastAsia="SimSun"/>
        </w:rPr>
        <w:t xml:space="preserve"> </w:t>
      </w:r>
      <w:r w:rsidRPr="00251F69">
        <w:rPr>
          <w:rFonts w:eastAsia="SimSun"/>
        </w:rPr>
        <w:t xml:space="preserve">structure characteristics based on the full direct </w:t>
      </w:r>
      <w:r>
        <w:rPr>
          <w:rFonts w:eastAsia="SimSun"/>
        </w:rPr>
        <w:t>operating</w:t>
      </w:r>
      <w:r w:rsidR="006255C5">
        <w:rPr>
          <w:rFonts w:eastAsia="SimSun"/>
        </w:rPr>
        <w:t>-</w:t>
      </w:r>
      <w:r w:rsidRPr="00251F69">
        <w:rPr>
          <w:rFonts w:eastAsia="SimSun"/>
        </w:rPr>
        <w:t>cost</w:t>
      </w:r>
      <w:r w:rsidR="00CF630C">
        <w:rPr>
          <w:rFonts w:eastAsia="SimSun"/>
        </w:rPr>
        <w:t xml:space="preserve"> </w:t>
      </w:r>
      <w:r w:rsidRPr="00251F69">
        <w:rPr>
          <w:rFonts w:eastAsia="SimSun"/>
        </w:rPr>
        <w:t>recovery regime:</w:t>
      </w:r>
    </w:p>
    <w:p w14:paraId="462419EB" w14:textId="04AEF802" w:rsidR="00510E9F" w:rsidRPr="00D70F0E" w:rsidRDefault="00E63FC8" w:rsidP="00D70F0E">
      <w:pPr>
        <w:pStyle w:val="ListBullet"/>
        <w:rPr>
          <w:rFonts w:eastAsia="SimSun"/>
        </w:rPr>
      </w:pPr>
      <w:r>
        <w:rPr>
          <w:rFonts w:eastAsia="SimSun"/>
        </w:rPr>
        <w:t>T</w:t>
      </w:r>
      <w:r w:rsidR="00510E9F" w:rsidRPr="00251F69">
        <w:rPr>
          <w:rFonts w:eastAsia="SimSun"/>
        </w:rPr>
        <w:t xml:space="preserve">he pricing structure assumes a fixed subscription fee, which allows the telemarketer or fax </w:t>
      </w:r>
      <w:r w:rsidR="00510E9F" w:rsidRPr="00D70F0E">
        <w:rPr>
          <w:rFonts w:eastAsia="SimSun"/>
        </w:rPr>
        <w:t xml:space="preserve">marketer to check (wash) a certain quantity of numbers against the register. Any demand for washing above the maximum limit of the subscription will require another subscription to be </w:t>
      </w:r>
      <w:r w:rsidR="008A3ADE">
        <w:rPr>
          <w:rFonts w:eastAsia="SimSun"/>
        </w:rPr>
        <w:t>bought</w:t>
      </w:r>
      <w:r>
        <w:rPr>
          <w:rFonts w:eastAsia="SimSun"/>
        </w:rPr>
        <w:t>.</w:t>
      </w:r>
    </w:p>
    <w:p w14:paraId="72031B31" w14:textId="177D2F53" w:rsidR="00510E9F" w:rsidRPr="00E97A44" w:rsidRDefault="00E63FC8" w:rsidP="00D70F0E">
      <w:pPr>
        <w:pStyle w:val="ListBullet"/>
        <w:rPr>
          <w:rFonts w:eastAsia="SimSun"/>
        </w:rPr>
      </w:pPr>
      <w:r>
        <w:rPr>
          <w:rFonts w:eastAsia="SimSun"/>
        </w:rPr>
        <w:t>I</w:t>
      </w:r>
      <w:r w:rsidR="00510E9F" w:rsidRPr="00D70F0E">
        <w:rPr>
          <w:rFonts w:eastAsia="SimSun"/>
        </w:rPr>
        <w:t>ndividuals or businesses</w:t>
      </w:r>
      <w:r w:rsidR="00510E9F" w:rsidRPr="00E97A44">
        <w:rPr>
          <w:rFonts w:eastAsia="SimSun"/>
        </w:rPr>
        <w:t xml:space="preserve"> </w:t>
      </w:r>
      <w:r w:rsidR="006255C5">
        <w:rPr>
          <w:rFonts w:eastAsia="SimSun"/>
        </w:rPr>
        <w:t>that</w:t>
      </w:r>
      <w:r w:rsidR="006255C5" w:rsidRPr="00E97A44">
        <w:rPr>
          <w:rFonts w:eastAsia="SimSun"/>
        </w:rPr>
        <w:t xml:space="preserve"> </w:t>
      </w:r>
      <w:r w:rsidR="00510E9F" w:rsidRPr="00E97A44">
        <w:rPr>
          <w:rFonts w:eastAsia="SimSun"/>
        </w:rPr>
        <w:t xml:space="preserve">engage in telemarketing and/or fax marketing </w:t>
      </w:r>
      <w:r w:rsidR="00510E9F">
        <w:rPr>
          <w:rFonts w:eastAsia="SimSun"/>
        </w:rPr>
        <w:t>and</w:t>
      </w:r>
      <w:r w:rsidR="00510E9F" w:rsidRPr="00E97A44">
        <w:rPr>
          <w:rFonts w:eastAsia="SimSun"/>
        </w:rPr>
        <w:t xml:space="preserve"> would like to test the washing service before purchasing a subscription may take out a subscription Type A </w:t>
      </w:r>
      <w:r w:rsidR="00510E9F">
        <w:rPr>
          <w:rFonts w:eastAsia="SimSun"/>
        </w:rPr>
        <w:t xml:space="preserve">without </w:t>
      </w:r>
      <w:r w:rsidR="00510E9F" w:rsidRPr="00E97A44">
        <w:rPr>
          <w:rFonts w:eastAsia="SimSun"/>
        </w:rPr>
        <w:t>hav</w:t>
      </w:r>
      <w:r w:rsidR="00510E9F">
        <w:rPr>
          <w:rFonts w:eastAsia="SimSun"/>
        </w:rPr>
        <w:t>ing</w:t>
      </w:r>
      <w:r w:rsidR="00510E9F" w:rsidRPr="00E97A44">
        <w:rPr>
          <w:rFonts w:eastAsia="SimSun"/>
        </w:rPr>
        <w:t xml:space="preserve"> to pay a fee. This is a </w:t>
      </w:r>
      <w:r w:rsidR="0035174B">
        <w:rPr>
          <w:rFonts w:eastAsia="SimSun"/>
        </w:rPr>
        <w:t>minimal</w:t>
      </w:r>
      <w:r w:rsidR="0035174B" w:rsidRPr="00E97A44">
        <w:rPr>
          <w:rFonts w:eastAsia="SimSun"/>
        </w:rPr>
        <w:t xml:space="preserve"> </w:t>
      </w:r>
      <w:r w:rsidR="00510E9F" w:rsidRPr="00E97A44">
        <w:rPr>
          <w:rFonts w:eastAsia="SimSun"/>
        </w:rPr>
        <w:t xml:space="preserve">cost to the register operator and allows </w:t>
      </w:r>
      <w:r w:rsidR="00510E9F">
        <w:rPr>
          <w:rFonts w:eastAsia="SimSun"/>
        </w:rPr>
        <w:t xml:space="preserve">users to </w:t>
      </w:r>
      <w:r w:rsidR="00510E9F" w:rsidRPr="00E97A44">
        <w:rPr>
          <w:rFonts w:eastAsia="SimSun"/>
        </w:rPr>
        <w:t>‘try before they buy’ subscriptions</w:t>
      </w:r>
      <w:r>
        <w:rPr>
          <w:rFonts w:eastAsia="SimSun"/>
        </w:rPr>
        <w:t>.</w:t>
      </w:r>
    </w:p>
    <w:p w14:paraId="7C372A4C" w14:textId="388D31D5" w:rsidR="00510E9F" w:rsidRPr="00D70F0E" w:rsidRDefault="00E63FC8" w:rsidP="00D70F0E">
      <w:pPr>
        <w:pStyle w:val="ListBullet"/>
        <w:rPr>
          <w:rFonts w:eastAsia="SimSun"/>
        </w:rPr>
      </w:pPr>
      <w:r>
        <w:rPr>
          <w:rFonts w:eastAsia="SimSun"/>
        </w:rPr>
        <w:t>I</w:t>
      </w:r>
      <w:r w:rsidR="00510E9F" w:rsidRPr="001B7261">
        <w:rPr>
          <w:rFonts w:eastAsia="SimSun"/>
        </w:rPr>
        <w:t xml:space="preserve">f a </w:t>
      </w:r>
      <w:r w:rsidR="00510E9F" w:rsidRPr="00D70F0E">
        <w:rPr>
          <w:rFonts w:eastAsia="SimSun"/>
        </w:rPr>
        <w:t xml:space="preserve">telemarketer or fax marketer submits a contact list for washing and does not have sufficient remaining numbers available on its subscription, it will have to </w:t>
      </w:r>
      <w:r w:rsidR="008A3ADE">
        <w:rPr>
          <w:rFonts w:eastAsia="SimSun"/>
        </w:rPr>
        <w:t>buy</w:t>
      </w:r>
      <w:r w:rsidR="008A3ADE" w:rsidRPr="00D70F0E">
        <w:rPr>
          <w:rFonts w:eastAsia="SimSun"/>
        </w:rPr>
        <w:t xml:space="preserve"> </w:t>
      </w:r>
      <w:r w:rsidR="00510E9F" w:rsidRPr="00D70F0E">
        <w:rPr>
          <w:rFonts w:eastAsia="SimSun"/>
        </w:rPr>
        <w:t>a new annual subscription (other than Type A) before the washing transaction can be completed</w:t>
      </w:r>
      <w:r>
        <w:rPr>
          <w:rFonts w:eastAsia="SimSun"/>
        </w:rPr>
        <w:t>.</w:t>
      </w:r>
    </w:p>
    <w:p w14:paraId="6B5E9D6B" w14:textId="5A099E97" w:rsidR="00510E9F" w:rsidRPr="00D70F0E" w:rsidRDefault="00E63FC8" w:rsidP="00D70F0E">
      <w:pPr>
        <w:pStyle w:val="ListBullet"/>
        <w:rPr>
          <w:rFonts w:eastAsia="SimSun"/>
        </w:rPr>
      </w:pPr>
      <w:r>
        <w:rPr>
          <w:rFonts w:eastAsia="SimSun"/>
        </w:rPr>
        <w:t>W</w:t>
      </w:r>
      <w:r w:rsidR="00510E9F" w:rsidRPr="00D70F0E">
        <w:rPr>
          <w:rFonts w:eastAsia="SimSun"/>
        </w:rPr>
        <w:t xml:space="preserve">hen a telemarketer or fax marketer pays the subscription fee, it is entitled to </w:t>
      </w:r>
      <w:r w:rsidR="00EA600C">
        <w:rPr>
          <w:rFonts w:eastAsia="SimSun"/>
        </w:rPr>
        <w:t xml:space="preserve">have </w:t>
      </w:r>
      <w:r w:rsidR="00510E9F" w:rsidRPr="00D70F0E">
        <w:rPr>
          <w:rFonts w:eastAsia="SimSun"/>
        </w:rPr>
        <w:t>a quantity of numbers (depending on the subscription type) wash</w:t>
      </w:r>
      <w:r w:rsidR="00EA600C">
        <w:rPr>
          <w:rFonts w:eastAsia="SimSun"/>
        </w:rPr>
        <w:t>ed</w:t>
      </w:r>
      <w:r w:rsidR="00510E9F" w:rsidRPr="00D70F0E">
        <w:rPr>
          <w:rFonts w:eastAsia="SimSun"/>
        </w:rPr>
        <w:t xml:space="preserve"> during a 12</w:t>
      </w:r>
      <w:r>
        <w:rPr>
          <w:rFonts w:eastAsia="SimSun"/>
        </w:rPr>
        <w:t>-</w:t>
      </w:r>
      <w:r w:rsidR="00510E9F" w:rsidRPr="00D70F0E">
        <w:rPr>
          <w:rFonts w:eastAsia="SimSun"/>
        </w:rPr>
        <w:t>month period</w:t>
      </w:r>
      <w:r w:rsidR="008A3ADE">
        <w:rPr>
          <w:rFonts w:eastAsia="SimSun"/>
        </w:rPr>
        <w:t>.</w:t>
      </w:r>
    </w:p>
    <w:p w14:paraId="27C9FCCC" w14:textId="5F893100" w:rsidR="00510E9F" w:rsidRDefault="00E63FC8" w:rsidP="00D70F0E">
      <w:pPr>
        <w:pStyle w:val="ListBullet"/>
        <w:rPr>
          <w:rFonts w:eastAsia="SimSun"/>
        </w:rPr>
      </w:pPr>
      <w:r>
        <w:rPr>
          <w:rFonts w:eastAsia="SimSun"/>
        </w:rPr>
        <w:t>E</w:t>
      </w:r>
      <w:r w:rsidR="00510E9F" w:rsidRPr="00D70F0E">
        <w:rPr>
          <w:rFonts w:eastAsia="SimSun"/>
        </w:rPr>
        <w:t xml:space="preserve">ach of the subscription fees (apart from Type A) </w:t>
      </w:r>
      <w:r w:rsidR="00DD61B4">
        <w:rPr>
          <w:rFonts w:eastAsia="SimSun"/>
        </w:rPr>
        <w:t>is</w:t>
      </w:r>
      <w:r w:rsidR="00510E9F" w:rsidRPr="00D70F0E">
        <w:rPr>
          <w:rFonts w:eastAsia="SimSun"/>
        </w:rPr>
        <w:t xml:space="preserve"> determined using a combination of the following</w:t>
      </w:r>
      <w:r w:rsidR="00510E9F">
        <w:rPr>
          <w:rFonts w:eastAsia="SimSun"/>
        </w:rPr>
        <w:t xml:space="preserve"> factors:</w:t>
      </w:r>
    </w:p>
    <w:p w14:paraId="0AF3D962" w14:textId="617A24FD" w:rsidR="00510E9F" w:rsidRPr="00D70F0E" w:rsidRDefault="00510E9F" w:rsidP="00D70F0E">
      <w:pPr>
        <w:pStyle w:val="ListBullet2"/>
      </w:pPr>
      <w:r w:rsidRPr="00251F69">
        <w:t xml:space="preserve">the </w:t>
      </w:r>
      <w:r w:rsidR="00526EA6">
        <w:t xml:space="preserve">total number of wash credits </w:t>
      </w:r>
      <w:r w:rsidRPr="00D70F0E">
        <w:t>for each</w:t>
      </w:r>
      <w:r w:rsidR="009B2274">
        <w:t xml:space="preserve"> paid</w:t>
      </w:r>
      <w:r w:rsidRPr="00D70F0E">
        <w:t xml:space="preserve"> subscription type</w:t>
      </w:r>
    </w:p>
    <w:p w14:paraId="0A84DE48" w14:textId="1BBD9871" w:rsidR="00510E9F" w:rsidRPr="000C3A96" w:rsidRDefault="00510E9F" w:rsidP="00D70F0E">
      <w:pPr>
        <w:pStyle w:val="ListBullet2"/>
      </w:pPr>
      <w:r w:rsidRPr="000C3A96">
        <w:t xml:space="preserve">a </w:t>
      </w:r>
      <w:r w:rsidR="00526EA6">
        <w:t>discounted</w:t>
      </w:r>
      <w:r w:rsidRPr="000C3A96">
        <w:t xml:space="preserve"> per unit cost of washing for a user purchasing a higher</w:t>
      </w:r>
      <w:r w:rsidR="006255C5">
        <w:t>-</w:t>
      </w:r>
      <w:r w:rsidRPr="000C3A96">
        <w:t xml:space="preserve">level subscription type (to reflect </w:t>
      </w:r>
      <w:r w:rsidRPr="00A11F0D">
        <w:t>economies of scale</w:t>
      </w:r>
      <w:r w:rsidRPr="000C3A96">
        <w:t xml:space="preserve"> for the register operator)</w:t>
      </w:r>
    </w:p>
    <w:p w14:paraId="2650189F" w14:textId="033C07C6" w:rsidR="00510E9F" w:rsidRDefault="00510E9F" w:rsidP="00D70F0E">
      <w:pPr>
        <w:pStyle w:val="ListBullet2"/>
      </w:pPr>
      <w:r w:rsidRPr="009B2274">
        <w:t xml:space="preserve">for </w:t>
      </w:r>
      <w:r w:rsidR="008A3ADE">
        <w:t>T</w:t>
      </w:r>
      <w:r w:rsidRPr="009B2274">
        <w:t>ype B, rounding is up to the nearest $1; for Type C, up to the nearest</w:t>
      </w:r>
      <w:r w:rsidRPr="00D70F0E">
        <w:t xml:space="preserve"> $10; and</w:t>
      </w:r>
      <w:r>
        <w:t xml:space="preserve"> f</w:t>
      </w:r>
      <w:r w:rsidRPr="00251F69">
        <w:t xml:space="preserve">or </w:t>
      </w:r>
      <w:r w:rsidR="008A3ADE">
        <w:t>t</w:t>
      </w:r>
      <w:r w:rsidRPr="00251F69">
        <w:t xml:space="preserve">ypes D to H, up to the nearest $100.  </w:t>
      </w:r>
    </w:p>
    <w:p w14:paraId="69CD4288" w14:textId="2D29C869" w:rsidR="00510E9F" w:rsidRDefault="00E63FC8" w:rsidP="00D70F0E">
      <w:pPr>
        <w:pStyle w:val="ListBullet"/>
        <w:rPr>
          <w:rFonts w:eastAsia="SimSun"/>
        </w:rPr>
      </w:pPr>
      <w:r>
        <w:rPr>
          <w:rFonts w:eastAsia="SimSun"/>
        </w:rPr>
        <w:t>N</w:t>
      </w:r>
      <w:r w:rsidR="00510E9F" w:rsidRPr="00251F69">
        <w:rPr>
          <w:rFonts w:eastAsia="SimSun"/>
        </w:rPr>
        <w:t>o GST is payable on the subscription fees</w:t>
      </w:r>
      <w:r>
        <w:rPr>
          <w:rFonts w:eastAsia="SimSun"/>
        </w:rPr>
        <w:t>.</w:t>
      </w:r>
    </w:p>
    <w:p w14:paraId="027E5325" w14:textId="36FA1DD7" w:rsidR="00510E9F" w:rsidRDefault="00E63FC8" w:rsidP="00D70F0E">
      <w:pPr>
        <w:pStyle w:val="ListBulletLast"/>
        <w:rPr>
          <w:rFonts w:eastAsia="SimSun"/>
        </w:rPr>
      </w:pPr>
      <w:r>
        <w:rPr>
          <w:rFonts w:eastAsia="SimSun"/>
        </w:rPr>
        <w:t>E</w:t>
      </w:r>
      <w:r w:rsidR="00510E9F" w:rsidRPr="00251F69">
        <w:rPr>
          <w:rFonts w:eastAsia="SimSun"/>
        </w:rPr>
        <w:t xml:space="preserve">stimated subscription numbers are based on actual subscription numbers since the beginning of the register’s operation and subscription renewal rates.  </w:t>
      </w:r>
    </w:p>
    <w:p w14:paraId="43486FF5" w14:textId="73886421" w:rsidR="00510E9F" w:rsidRDefault="00510E9F" w:rsidP="00D70F0E">
      <w:pPr>
        <w:spacing w:after="80"/>
        <w:rPr>
          <w:rFonts w:eastAsia="SimSun"/>
        </w:rPr>
      </w:pPr>
      <w:r>
        <w:rPr>
          <w:rFonts w:eastAsia="SimSun"/>
        </w:rPr>
        <w:t>The model uses a ‘goal seek</w:t>
      </w:r>
      <w:r>
        <w:rPr>
          <w:rStyle w:val="FootnoteReference"/>
          <w:rFonts w:eastAsia="SimSun"/>
          <w:iCs/>
        </w:rPr>
        <w:footnoteReference w:id="2"/>
      </w:r>
      <w:r>
        <w:rPr>
          <w:rFonts w:eastAsia="SimSun"/>
        </w:rPr>
        <w:t>’ function to determine the subscription fees. There are four main inputs require</w:t>
      </w:r>
      <w:r w:rsidR="00E63FC8">
        <w:rPr>
          <w:rFonts w:eastAsia="SimSun"/>
        </w:rPr>
        <w:t>d</w:t>
      </w:r>
      <w:r>
        <w:rPr>
          <w:rFonts w:eastAsia="SimSun"/>
        </w:rPr>
        <w:t>:</w:t>
      </w:r>
    </w:p>
    <w:p w14:paraId="4CFBE8B7" w14:textId="55130A0B" w:rsidR="00510E9F" w:rsidRPr="00D70F0E" w:rsidRDefault="00510E9F" w:rsidP="00D70F0E">
      <w:pPr>
        <w:pStyle w:val="ListBullet"/>
      </w:pPr>
      <w:r>
        <w:t>t</w:t>
      </w:r>
      <w:r w:rsidRPr="00506AA0">
        <w:t xml:space="preserve">he </w:t>
      </w:r>
      <w:r w:rsidRPr="00D70F0E">
        <w:t>estimated demand for subscriptions by type</w:t>
      </w:r>
      <w:r w:rsidR="00CC33E1">
        <w:t xml:space="preserve"> (</w:t>
      </w:r>
      <w:r w:rsidR="008A3ADE">
        <w:t>that is, the</w:t>
      </w:r>
      <w:r w:rsidR="00CC33E1">
        <w:t xml:space="preserve"> growth rate)</w:t>
      </w:r>
    </w:p>
    <w:p w14:paraId="771B95BC" w14:textId="77777777" w:rsidR="00510E9F" w:rsidRPr="00D70F0E" w:rsidRDefault="00510E9F" w:rsidP="00D70F0E">
      <w:pPr>
        <w:pStyle w:val="ListBullet"/>
      </w:pPr>
      <w:r w:rsidRPr="00D70F0E">
        <w:t>the total direct operating costs to recover in a given financial year</w:t>
      </w:r>
    </w:p>
    <w:p w14:paraId="784C44A8" w14:textId="52764870" w:rsidR="00510E9F" w:rsidRDefault="00510E9F" w:rsidP="00D70F0E">
      <w:pPr>
        <w:pStyle w:val="ListBullet"/>
      </w:pPr>
      <w:r w:rsidRPr="00D70F0E">
        <w:t>an ‘economies</w:t>
      </w:r>
      <w:r>
        <w:t>-of-scale’ adjustment applicable to higher</w:t>
      </w:r>
      <w:r w:rsidR="00E63FC8">
        <w:t>-</w:t>
      </w:r>
      <w:r>
        <w:t>level subscription types</w:t>
      </w:r>
    </w:p>
    <w:p w14:paraId="20F2C882" w14:textId="77777777" w:rsidR="00510E9F" w:rsidRDefault="00510E9F" w:rsidP="00D70F0E">
      <w:pPr>
        <w:pStyle w:val="ListBulletLast"/>
      </w:pPr>
      <w:r>
        <w:t>t</w:t>
      </w:r>
      <w:r w:rsidRPr="00506AA0">
        <w:t>he rounding rules to apply</w:t>
      </w:r>
      <w:r>
        <w:t xml:space="preserve"> (by subscription type).</w:t>
      </w:r>
    </w:p>
    <w:p w14:paraId="1D02F739" w14:textId="4922810D" w:rsidR="00510E9F" w:rsidRPr="00D70F0E" w:rsidRDefault="00510E9F" w:rsidP="00510E9F">
      <w:pPr>
        <w:rPr>
          <w:rFonts w:eastAsia="SimSun"/>
          <w:iCs/>
        </w:rPr>
      </w:pPr>
      <w:r>
        <w:t>Based on the</w:t>
      </w:r>
      <w:r w:rsidR="00E63FC8">
        <w:t>se</w:t>
      </w:r>
      <w:r>
        <w:t xml:space="preserve"> four inputs, t</w:t>
      </w:r>
      <w:r w:rsidRPr="00506AA0">
        <w:t xml:space="preserve">he </w:t>
      </w:r>
      <w:r>
        <w:t>model identifies</w:t>
      </w:r>
      <w:r w:rsidRPr="00506AA0">
        <w:t xml:space="preserve"> a set of fees that, </w:t>
      </w:r>
      <w:r>
        <w:t xml:space="preserve">when applied to the estimated subscription demand, </w:t>
      </w:r>
      <w:r w:rsidR="0053291F">
        <w:t xml:space="preserve">gives </w:t>
      </w:r>
      <w:r>
        <w:t xml:space="preserve">a total subscription fee revenue amount (on an accrual basis) as close as possible to the total direct operating costs the ACMA is seeking to recover in </w:t>
      </w:r>
      <w:r w:rsidR="0053291F">
        <w:t xml:space="preserve">that </w:t>
      </w:r>
      <w:r>
        <w:t>financial year.</w:t>
      </w:r>
    </w:p>
    <w:p w14:paraId="15D310F0" w14:textId="460D8BC3" w:rsidR="00510E9F" w:rsidRDefault="00510E9F" w:rsidP="00510E9F">
      <w:r w:rsidRPr="00251F69">
        <w:rPr>
          <w:rFonts w:eastAsia="SimSun"/>
        </w:rPr>
        <w:lastRenderedPageBreak/>
        <w:t xml:space="preserve">Based on the above </w:t>
      </w:r>
      <w:r>
        <w:rPr>
          <w:rFonts w:eastAsia="SimSun"/>
        </w:rPr>
        <w:t>charging</w:t>
      </w:r>
      <w:r w:rsidRPr="00251F69">
        <w:rPr>
          <w:rFonts w:eastAsia="SimSun"/>
        </w:rPr>
        <w:t xml:space="preserve"> structure, the sub</w:t>
      </w:r>
      <w:r>
        <w:rPr>
          <w:rFonts w:eastAsia="SimSun"/>
        </w:rPr>
        <w:t xml:space="preserve">scription fees have been set at levels that </w:t>
      </w:r>
      <w:r w:rsidRPr="00251F69">
        <w:rPr>
          <w:rFonts w:cs="Arial"/>
        </w:rPr>
        <w:t xml:space="preserve">minimise the impact on </w:t>
      </w:r>
      <w:r w:rsidR="00EA600C">
        <w:rPr>
          <w:rFonts w:cs="Arial"/>
        </w:rPr>
        <w:t>those</w:t>
      </w:r>
      <w:r>
        <w:rPr>
          <w:rFonts w:cs="Arial"/>
        </w:rPr>
        <w:t xml:space="preserve"> </w:t>
      </w:r>
      <w:r w:rsidRPr="00251F69">
        <w:rPr>
          <w:rFonts w:cs="Arial"/>
        </w:rPr>
        <w:t xml:space="preserve">that use telemarketing and/or fax marketing on an </w:t>
      </w:r>
      <w:r w:rsidRPr="00693DC6">
        <w:rPr>
          <w:rFonts w:cs="Arial"/>
        </w:rPr>
        <w:t>ad hoc</w:t>
      </w:r>
      <w:r w:rsidRPr="00251F69">
        <w:rPr>
          <w:rFonts w:cs="Arial"/>
        </w:rPr>
        <w:t xml:space="preserve"> basis</w:t>
      </w:r>
      <w:r>
        <w:rPr>
          <w:rFonts w:cs="Arial"/>
        </w:rPr>
        <w:t xml:space="preserve"> (</w:t>
      </w:r>
      <w:r w:rsidRPr="00251F69">
        <w:rPr>
          <w:rFonts w:cs="Arial"/>
        </w:rPr>
        <w:t>and so do not require regular access to the register</w:t>
      </w:r>
      <w:r>
        <w:rPr>
          <w:rFonts w:cs="Arial"/>
        </w:rPr>
        <w:t>)</w:t>
      </w:r>
      <w:r w:rsidRPr="00251F69">
        <w:rPr>
          <w:rFonts w:cs="Arial"/>
        </w:rPr>
        <w:t xml:space="preserve"> and</w:t>
      </w:r>
      <w:r>
        <w:rPr>
          <w:rFonts w:cs="Arial"/>
        </w:rPr>
        <w:t xml:space="preserve"> </w:t>
      </w:r>
      <w:r w:rsidR="0053291F">
        <w:rPr>
          <w:rFonts w:cs="Arial"/>
        </w:rPr>
        <w:t xml:space="preserve">also </w:t>
      </w:r>
      <w:r w:rsidRPr="00251F69">
        <w:rPr>
          <w:rFonts w:cs="Arial"/>
        </w:rPr>
        <w:t xml:space="preserve">cater for larger users with significant demand for </w:t>
      </w:r>
      <w:r>
        <w:rPr>
          <w:rFonts w:cs="Arial"/>
        </w:rPr>
        <w:t>list-</w:t>
      </w:r>
      <w:r w:rsidRPr="00251F69">
        <w:rPr>
          <w:rFonts w:cs="Arial"/>
        </w:rPr>
        <w:t>washing services.</w:t>
      </w:r>
      <w:bookmarkEnd w:id="51"/>
      <w:bookmarkEnd w:id="52"/>
    </w:p>
    <w:p w14:paraId="5D3D88C0" w14:textId="77777777" w:rsidR="00510E9F" w:rsidRPr="00CC3F4B" w:rsidRDefault="00510E9F" w:rsidP="00510E9F">
      <w:pPr>
        <w:pStyle w:val="Heading1"/>
        <w:numPr>
          <w:ilvl w:val="0"/>
          <w:numId w:val="16"/>
        </w:numPr>
      </w:pPr>
      <w:bookmarkStart w:id="53" w:name="_Toc482346596"/>
      <w:bookmarkStart w:id="54" w:name="_Toc518999104"/>
      <w:r>
        <w:lastRenderedPageBreak/>
        <w:t>Risk assessment</w:t>
      </w:r>
      <w:bookmarkEnd w:id="53"/>
      <w:bookmarkEnd w:id="54"/>
    </w:p>
    <w:p w14:paraId="1CB4051E" w14:textId="10B78398" w:rsidR="00510E9F" w:rsidRDefault="00510E9F" w:rsidP="00D70F0E">
      <w:pPr>
        <w:spacing w:after="80"/>
      </w:pPr>
      <w:r>
        <w:t>The ACMA mitigates the risks associated with the management of the cost</w:t>
      </w:r>
      <w:r w:rsidR="0053291F">
        <w:t>-</w:t>
      </w:r>
      <w:r>
        <w:t xml:space="preserve">recovery activities applicable to the register </w:t>
      </w:r>
      <w:r w:rsidR="00C6541D">
        <w:t>by</w:t>
      </w:r>
      <w:r>
        <w:t>:</w:t>
      </w:r>
    </w:p>
    <w:p w14:paraId="413521CC" w14:textId="39519AEE" w:rsidR="00510E9F" w:rsidRDefault="00C6541D" w:rsidP="00D70F0E">
      <w:pPr>
        <w:pStyle w:val="ListBullet"/>
      </w:pPr>
      <w:r>
        <w:t xml:space="preserve">analysing </w:t>
      </w:r>
      <w:r w:rsidR="00510E9F">
        <w:t>risks</w:t>
      </w:r>
    </w:p>
    <w:p w14:paraId="2E5E570B" w14:textId="55B81246" w:rsidR="00510E9F" w:rsidRPr="006E39AF" w:rsidRDefault="00C6541D" w:rsidP="00D70F0E">
      <w:pPr>
        <w:pStyle w:val="ListBullet"/>
      </w:pPr>
      <w:r>
        <w:t xml:space="preserve">using </w:t>
      </w:r>
      <w:r w:rsidR="00510E9F">
        <w:t xml:space="preserve">appropriate </w:t>
      </w:r>
      <w:r w:rsidR="00510E9F" w:rsidRPr="006E39AF">
        <w:t xml:space="preserve">risk </w:t>
      </w:r>
      <w:r w:rsidR="00510E9F">
        <w:t>control</w:t>
      </w:r>
      <w:r w:rsidR="00510E9F" w:rsidRPr="006E39AF">
        <w:t xml:space="preserve"> strategies</w:t>
      </w:r>
    </w:p>
    <w:p w14:paraId="743E02DB" w14:textId="09858EAA" w:rsidR="00510E9F" w:rsidRPr="006E39AF" w:rsidRDefault="00C6541D" w:rsidP="00D70F0E">
      <w:pPr>
        <w:pStyle w:val="ListBullet"/>
      </w:pPr>
      <w:r w:rsidRPr="006E39AF">
        <w:t>review</w:t>
      </w:r>
      <w:r>
        <w:t>ing</w:t>
      </w:r>
      <w:r w:rsidRPr="006E39AF">
        <w:t xml:space="preserve"> </w:t>
      </w:r>
      <w:r w:rsidR="00510E9F" w:rsidRPr="006E39AF">
        <w:t>processes</w:t>
      </w:r>
      <w:r>
        <w:t xml:space="preserve"> regularly</w:t>
      </w:r>
    </w:p>
    <w:p w14:paraId="0A007ECD" w14:textId="77777777" w:rsidR="00510E9F" w:rsidRPr="00D70F0E" w:rsidRDefault="00C6541D" w:rsidP="00D70F0E">
      <w:pPr>
        <w:pStyle w:val="ListBulletLast"/>
      </w:pPr>
      <w:r>
        <w:t xml:space="preserve">taking </w:t>
      </w:r>
      <w:r w:rsidR="00510E9F" w:rsidRPr="006E39AF">
        <w:t>appropriate action as a result of those reviews.</w:t>
      </w:r>
    </w:p>
    <w:p w14:paraId="500D4009" w14:textId="640B2F57" w:rsidR="00510E9F" w:rsidRPr="00DB05D3" w:rsidRDefault="00510E9F" w:rsidP="00D70F0E">
      <w:pPr>
        <w:rPr>
          <w:rFonts w:cs="Arial"/>
          <w:szCs w:val="20"/>
        </w:rPr>
      </w:pPr>
      <w:r w:rsidRPr="007F4F97">
        <w:rPr>
          <w:rFonts w:cs="Arial"/>
          <w:szCs w:val="20"/>
        </w:rPr>
        <w:t xml:space="preserve">In accordance with the </w:t>
      </w:r>
      <w:r>
        <w:rPr>
          <w:rFonts w:cs="Arial"/>
          <w:szCs w:val="20"/>
        </w:rPr>
        <w:t>charging framework</w:t>
      </w:r>
      <w:r w:rsidRPr="007F4F97">
        <w:rPr>
          <w:rFonts w:cs="Arial"/>
          <w:szCs w:val="20"/>
        </w:rPr>
        <w:t xml:space="preserve">, </w:t>
      </w:r>
      <w:r>
        <w:rPr>
          <w:rFonts w:cs="Arial"/>
          <w:szCs w:val="20"/>
        </w:rPr>
        <w:t xml:space="preserve">the </w:t>
      </w:r>
      <w:r w:rsidRPr="007F4F97">
        <w:rPr>
          <w:rFonts w:cs="Arial"/>
          <w:szCs w:val="20"/>
        </w:rPr>
        <w:t>A</w:t>
      </w:r>
      <w:r>
        <w:rPr>
          <w:rFonts w:cs="Arial"/>
          <w:szCs w:val="20"/>
        </w:rPr>
        <w:t>CMA</w:t>
      </w:r>
      <w:r w:rsidRPr="007F4F97">
        <w:rPr>
          <w:rFonts w:cs="Arial"/>
          <w:szCs w:val="20"/>
        </w:rPr>
        <w:t xml:space="preserve"> has undertaken a </w:t>
      </w:r>
      <w:hyperlink r:id="rId34" w:history="1">
        <w:r w:rsidRPr="00DB05D3">
          <w:rPr>
            <w:rStyle w:val="Hyperlink"/>
          </w:rPr>
          <w:t>Charging Risk Assessment</w:t>
        </w:r>
      </w:hyperlink>
      <w:r w:rsidR="00C6541D" w:rsidRPr="00DB05D3">
        <w:rPr>
          <w:rStyle w:val="Hyperlink"/>
        </w:rPr>
        <w:t>,</w:t>
      </w:r>
      <w:r w:rsidRPr="00DB05D3">
        <w:t xml:space="preserve"> </w:t>
      </w:r>
      <w:r w:rsidRPr="00DB05D3">
        <w:rPr>
          <w:rFonts w:cs="Arial"/>
          <w:szCs w:val="20"/>
        </w:rPr>
        <w:t>resulting i</w:t>
      </w:r>
      <w:r w:rsidR="00C6541D" w:rsidRPr="00DB05D3">
        <w:rPr>
          <w:rFonts w:cs="Arial"/>
          <w:szCs w:val="20"/>
        </w:rPr>
        <w:t>n</w:t>
      </w:r>
      <w:r w:rsidRPr="00DB05D3">
        <w:rPr>
          <w:rFonts w:cs="Arial"/>
          <w:szCs w:val="20"/>
        </w:rPr>
        <w:t xml:space="preserve"> a risk rating of </w:t>
      </w:r>
      <w:r w:rsidRPr="00DB05D3">
        <w:rPr>
          <w:rFonts w:cs="Arial"/>
          <w:b/>
          <w:szCs w:val="20"/>
        </w:rPr>
        <w:t>‘</w:t>
      </w:r>
      <w:r w:rsidR="00AC3B88" w:rsidRPr="00DB05D3">
        <w:rPr>
          <w:rFonts w:cs="Arial"/>
          <w:b/>
          <w:szCs w:val="20"/>
        </w:rPr>
        <w:t>medium</w:t>
      </w:r>
      <w:r w:rsidR="00091AC6" w:rsidRPr="00DB05D3">
        <w:rPr>
          <w:rFonts w:cs="Arial"/>
          <w:szCs w:val="20"/>
        </w:rPr>
        <w:t>’</w:t>
      </w:r>
      <w:r w:rsidR="00091AC6" w:rsidRPr="00DB05D3">
        <w:rPr>
          <w:rFonts w:cs="Arial"/>
          <w:b/>
          <w:szCs w:val="20"/>
        </w:rPr>
        <w:t xml:space="preserve"> </w:t>
      </w:r>
      <w:r w:rsidRPr="00DB05D3">
        <w:rPr>
          <w:rFonts w:cs="Arial"/>
          <w:szCs w:val="20"/>
        </w:rPr>
        <w:t>for 201</w:t>
      </w:r>
      <w:r w:rsidR="00091AC6" w:rsidRPr="00DB05D3">
        <w:rPr>
          <w:rFonts w:cs="Arial"/>
          <w:szCs w:val="20"/>
        </w:rPr>
        <w:t>8</w:t>
      </w:r>
      <w:r w:rsidR="00C6541D" w:rsidRPr="00DB05D3">
        <w:rPr>
          <w:rFonts w:cs="Arial"/>
          <w:szCs w:val="20"/>
        </w:rPr>
        <w:t>–</w:t>
      </w:r>
      <w:r w:rsidRPr="00DB05D3">
        <w:rPr>
          <w:rFonts w:cs="Arial"/>
          <w:szCs w:val="20"/>
        </w:rPr>
        <w:t>1</w:t>
      </w:r>
      <w:r w:rsidR="00091AC6" w:rsidRPr="00DB05D3">
        <w:rPr>
          <w:rFonts w:cs="Arial"/>
          <w:szCs w:val="20"/>
        </w:rPr>
        <w:t>9</w:t>
      </w:r>
      <w:r w:rsidRPr="00DB05D3">
        <w:rPr>
          <w:rFonts w:cs="Arial"/>
          <w:szCs w:val="20"/>
        </w:rPr>
        <w:t>.</w:t>
      </w:r>
    </w:p>
    <w:p w14:paraId="275E70A3" w14:textId="1C2413BE" w:rsidR="00510E9F" w:rsidRPr="00DB05D3" w:rsidRDefault="00510E9F" w:rsidP="00510E9F">
      <w:pPr>
        <w:autoSpaceDE w:val="0"/>
        <w:autoSpaceDN w:val="0"/>
        <w:adjustRightInd w:val="0"/>
        <w:spacing w:before="240" w:after="120" w:line="240" w:lineRule="auto"/>
        <w:rPr>
          <w:rFonts w:cs="Arial"/>
          <w:color w:val="000000"/>
          <w:szCs w:val="20"/>
        </w:rPr>
      </w:pPr>
      <w:r w:rsidRPr="00DB05D3">
        <w:rPr>
          <w:rFonts w:cs="Arial"/>
          <w:color w:val="000000"/>
          <w:szCs w:val="20"/>
        </w:rPr>
        <w:t xml:space="preserve">The </w:t>
      </w:r>
      <w:r w:rsidR="00091AC6" w:rsidRPr="00DB05D3">
        <w:rPr>
          <w:rFonts w:cs="Arial"/>
          <w:color w:val="000000"/>
          <w:szCs w:val="20"/>
        </w:rPr>
        <w:t>’</w:t>
      </w:r>
      <w:r w:rsidR="000F5B97" w:rsidRPr="00DB05D3">
        <w:rPr>
          <w:rFonts w:cs="Arial"/>
          <w:color w:val="000000"/>
          <w:szCs w:val="20"/>
        </w:rPr>
        <w:t>medium</w:t>
      </w:r>
      <w:r w:rsidR="00091AC6" w:rsidRPr="00DB05D3">
        <w:rPr>
          <w:rFonts w:cs="Arial"/>
          <w:color w:val="000000"/>
          <w:szCs w:val="20"/>
        </w:rPr>
        <w:t xml:space="preserve">’ </w:t>
      </w:r>
      <w:r w:rsidRPr="00DB05D3">
        <w:rPr>
          <w:rFonts w:cs="Arial"/>
          <w:color w:val="000000"/>
          <w:szCs w:val="20"/>
        </w:rPr>
        <w:t>rating is based on an asse</w:t>
      </w:r>
      <w:r w:rsidRPr="00DB05D3">
        <w:t>s</w:t>
      </w:r>
      <w:r w:rsidRPr="00DB05D3">
        <w:rPr>
          <w:rFonts w:cs="Arial"/>
          <w:color w:val="000000"/>
          <w:szCs w:val="20"/>
        </w:rPr>
        <w:t>sment of a number of components</w:t>
      </w:r>
      <w:r w:rsidR="00C6541D" w:rsidRPr="00DB05D3">
        <w:rPr>
          <w:rFonts w:cs="Arial"/>
          <w:color w:val="000000"/>
          <w:szCs w:val="20"/>
        </w:rPr>
        <w:t>,</w:t>
      </w:r>
      <w:r w:rsidRPr="00DB05D3">
        <w:rPr>
          <w:rFonts w:cs="Arial"/>
          <w:color w:val="000000"/>
          <w:szCs w:val="20"/>
        </w:rPr>
        <w:t xml:space="preserve"> including: </w:t>
      </w:r>
    </w:p>
    <w:p w14:paraId="40669E32" w14:textId="61F21DF4" w:rsidR="00091AC6" w:rsidRPr="00DB05D3" w:rsidRDefault="000F5B97" w:rsidP="000C3A96">
      <w:pPr>
        <w:pStyle w:val="ListBullet"/>
        <w:numPr>
          <w:ilvl w:val="0"/>
          <w:numId w:val="22"/>
        </w:numPr>
      </w:pPr>
      <w:r w:rsidRPr="00693DC6">
        <w:rPr>
          <w:i/>
        </w:rPr>
        <w:t>medium</w:t>
      </w:r>
      <w:r w:rsidR="001D0223" w:rsidRPr="00DB05D3">
        <w:t xml:space="preserve"> risk for the change in cost recovery revenue</w:t>
      </w:r>
      <w:r w:rsidR="0053291F">
        <w:t>,</w:t>
      </w:r>
      <w:r w:rsidR="001D0223" w:rsidRPr="00DB05D3">
        <w:t xml:space="preserve"> as estimated cost</w:t>
      </w:r>
      <w:r w:rsidR="00373689">
        <w:t>-</w:t>
      </w:r>
      <w:r w:rsidR="001D0223" w:rsidRPr="00DB05D3">
        <w:t>recovery revenue required to meeting operating costs in 2018–19 i</w:t>
      </w:r>
      <w:r w:rsidR="006853E5" w:rsidRPr="00DB05D3">
        <w:t>s</w:t>
      </w:r>
      <w:r w:rsidR="001D0223" w:rsidRPr="00DB05D3">
        <w:t xml:space="preserve"> </w:t>
      </w:r>
      <w:r w:rsidRPr="00DB05D3">
        <w:t>expected to drop</w:t>
      </w:r>
      <w:r w:rsidR="001D0223" w:rsidRPr="00DB05D3">
        <w:t xml:space="preserve"> by </w:t>
      </w:r>
      <w:r w:rsidRPr="00DB05D3">
        <w:t>5</w:t>
      </w:r>
      <w:r w:rsidR="001D0223" w:rsidRPr="00DB05D3">
        <w:t>.</w:t>
      </w:r>
      <w:r w:rsidR="00373689" w:rsidRPr="00DB05D3">
        <w:t>7</w:t>
      </w:r>
      <w:r w:rsidR="00373689">
        <w:t> </w:t>
      </w:r>
      <w:r w:rsidR="001D0223" w:rsidRPr="00DB05D3">
        <w:t>per cent to $</w:t>
      </w:r>
      <w:r w:rsidRPr="00DB05D3">
        <w:t>1.82</w:t>
      </w:r>
      <w:r w:rsidR="0053291F">
        <w:t xml:space="preserve"> </w:t>
      </w:r>
      <w:r w:rsidR="006853E5" w:rsidRPr="00DB05D3">
        <w:t>million</w:t>
      </w:r>
    </w:p>
    <w:p w14:paraId="711DE282" w14:textId="2073F641" w:rsidR="00281D13" w:rsidRDefault="00281D13" w:rsidP="00281D13">
      <w:pPr>
        <w:pStyle w:val="ListBullet"/>
        <w:numPr>
          <w:ilvl w:val="0"/>
          <w:numId w:val="22"/>
        </w:numPr>
      </w:pPr>
      <w:r w:rsidRPr="00693DC6">
        <w:rPr>
          <w:i/>
        </w:rPr>
        <w:t>low</w:t>
      </w:r>
      <w:r w:rsidRPr="00C44F8A">
        <w:t xml:space="preserve"> risk for the level of cost recovery revenue</w:t>
      </w:r>
      <w:r>
        <w:t>s</w:t>
      </w:r>
      <w:r w:rsidR="0053291F">
        <w:t>,</w:t>
      </w:r>
      <w:r w:rsidRPr="007F4F97">
        <w:t xml:space="preserve"> </w:t>
      </w:r>
      <w:r>
        <w:t>as the total proposed annual cost</w:t>
      </w:r>
      <w:r w:rsidR="00373689">
        <w:t>-</w:t>
      </w:r>
      <w:r>
        <w:t>recovery revenue is less than $10 million ($</w:t>
      </w:r>
      <w:r w:rsidRPr="0026564D">
        <w:t>2.</w:t>
      </w:r>
      <w:r>
        <w:t>32 million in 2016–17)</w:t>
      </w:r>
    </w:p>
    <w:p w14:paraId="21887007" w14:textId="1BBAE293" w:rsidR="001D0223" w:rsidRDefault="001D0223" w:rsidP="000C3A96">
      <w:pPr>
        <w:pStyle w:val="ListBullet"/>
        <w:numPr>
          <w:ilvl w:val="0"/>
          <w:numId w:val="22"/>
        </w:numPr>
      </w:pPr>
      <w:r w:rsidRPr="00693DC6">
        <w:rPr>
          <w:i/>
        </w:rPr>
        <w:t>low</w:t>
      </w:r>
      <w:r>
        <w:t xml:space="preserve"> risk for the level of change in the activities</w:t>
      </w:r>
      <w:r w:rsidR="0053291F">
        <w:t>,</w:t>
      </w:r>
      <w:r>
        <w:t xml:space="preserve"> as no change is being proposed to the current fees or structure of the existing cost</w:t>
      </w:r>
      <w:r w:rsidR="0053291F">
        <w:t>-</w:t>
      </w:r>
      <w:r>
        <w:t>recovery arrangement</w:t>
      </w:r>
    </w:p>
    <w:p w14:paraId="6D13EF1C" w14:textId="06EFB39E" w:rsidR="00510E9F" w:rsidRDefault="00510E9F" w:rsidP="000C3A96">
      <w:pPr>
        <w:pStyle w:val="ListBullet"/>
        <w:numPr>
          <w:ilvl w:val="0"/>
          <w:numId w:val="22"/>
        </w:numPr>
      </w:pPr>
      <w:r w:rsidRPr="00693DC6">
        <w:rPr>
          <w:i/>
        </w:rPr>
        <w:t>medium</w:t>
      </w:r>
      <w:r w:rsidRPr="00C44F8A">
        <w:t xml:space="preserve"> risk for the complexity in the cost</w:t>
      </w:r>
      <w:r w:rsidR="00373689">
        <w:t>-</w:t>
      </w:r>
      <w:r w:rsidRPr="00C44F8A">
        <w:t>recovery arrangement</w:t>
      </w:r>
      <w:r w:rsidRPr="003E74E6">
        <w:t>s</w:t>
      </w:r>
      <w:r w:rsidR="0053291F">
        <w:t xml:space="preserve">, as </w:t>
      </w:r>
      <w:r>
        <w:t>the type of cost</w:t>
      </w:r>
      <w:r w:rsidR="00373689">
        <w:t>-</w:t>
      </w:r>
      <w:r>
        <w:t xml:space="preserve">recovery charges used are </w:t>
      </w:r>
      <w:r w:rsidRPr="003E74E6">
        <w:t>fees</w:t>
      </w:r>
    </w:p>
    <w:p w14:paraId="5217921C" w14:textId="542E25DA" w:rsidR="006853E5" w:rsidRPr="006E7C99" w:rsidRDefault="006853E5" w:rsidP="000C3A96">
      <w:pPr>
        <w:pStyle w:val="ListBullet"/>
        <w:numPr>
          <w:ilvl w:val="0"/>
          <w:numId w:val="22"/>
        </w:numPr>
      </w:pPr>
      <w:r w:rsidRPr="00693DC6">
        <w:rPr>
          <w:i/>
        </w:rPr>
        <w:t>low</w:t>
      </w:r>
      <w:r w:rsidRPr="006E7C99">
        <w:t xml:space="preserve"> risk for the level of change in legislative arrangements</w:t>
      </w:r>
      <w:r w:rsidR="0053291F">
        <w:t xml:space="preserve">, as </w:t>
      </w:r>
      <w:r>
        <w:t>there is no change</w:t>
      </w:r>
      <w:r w:rsidR="0053291F">
        <w:t xml:space="preserve"> to</w:t>
      </w:r>
      <w:r>
        <w:t xml:space="preserve"> the</w:t>
      </w:r>
      <w:r w:rsidRPr="006E7C99">
        <w:t xml:space="preserve"> </w:t>
      </w:r>
      <w:r w:rsidRPr="00966237">
        <w:t>Do Not Call Register (Access Fees) Determination 201</w:t>
      </w:r>
      <w:r>
        <w:t>7</w:t>
      </w:r>
    </w:p>
    <w:p w14:paraId="44389835" w14:textId="096EF00B" w:rsidR="006853E5" w:rsidRPr="00C44F8A" w:rsidRDefault="006853E5" w:rsidP="000C3A96">
      <w:pPr>
        <w:pStyle w:val="ListBullet"/>
        <w:numPr>
          <w:ilvl w:val="0"/>
          <w:numId w:val="22"/>
        </w:numPr>
      </w:pPr>
      <w:r w:rsidRPr="00693DC6">
        <w:rPr>
          <w:i/>
        </w:rPr>
        <w:t>low</w:t>
      </w:r>
      <w:r>
        <w:t xml:space="preserve"> risk for working with other government entities</w:t>
      </w:r>
      <w:r w:rsidR="0053291F">
        <w:t>,</w:t>
      </w:r>
      <w:r>
        <w:t xml:space="preserve"> as the cost</w:t>
      </w:r>
      <w:r w:rsidR="0053291F">
        <w:t>-</w:t>
      </w:r>
      <w:r>
        <w:t>recovery arrangements do not involve working with any other government entities</w:t>
      </w:r>
    </w:p>
    <w:p w14:paraId="405D5327" w14:textId="714E47AF" w:rsidR="006853E5" w:rsidRPr="00DB05D3" w:rsidRDefault="00510E9F" w:rsidP="00693DC6">
      <w:pPr>
        <w:pStyle w:val="ListBullet"/>
        <w:numPr>
          <w:ilvl w:val="0"/>
          <w:numId w:val="22"/>
        </w:numPr>
        <w:spacing w:after="240"/>
      </w:pPr>
      <w:r w:rsidRPr="00693DC6">
        <w:rPr>
          <w:i/>
        </w:rPr>
        <w:t>low</w:t>
      </w:r>
      <w:r w:rsidRPr="00DB05D3">
        <w:t xml:space="preserve"> risk for the level of impact of cost recovery on payers</w:t>
      </w:r>
      <w:r w:rsidR="0053291F">
        <w:t xml:space="preserve">, as </w:t>
      </w:r>
      <w:r w:rsidRPr="00DB05D3">
        <w:t>cost recovery was introduced to the industry in 2007</w:t>
      </w:r>
      <w:r w:rsidR="0053291F">
        <w:t>.</w:t>
      </w:r>
    </w:p>
    <w:p w14:paraId="62C0295D" w14:textId="632101A1" w:rsidR="00510E9F" w:rsidRPr="00DB05D3" w:rsidRDefault="007D585A" w:rsidP="00693DC6">
      <w:r w:rsidRPr="00DB05D3">
        <w:t>A</w:t>
      </w:r>
      <w:r w:rsidR="00481E7A" w:rsidRPr="00DB05D3">
        <w:t>s no changes are being proposed to the current fees and the structure of the cost</w:t>
      </w:r>
      <w:r w:rsidR="00373689">
        <w:t>-</w:t>
      </w:r>
      <w:r w:rsidR="00481E7A" w:rsidRPr="00DB05D3">
        <w:t>recovery arrangement</w:t>
      </w:r>
      <w:r w:rsidR="00757C55">
        <w:t>s</w:t>
      </w:r>
      <w:r w:rsidR="00481E7A" w:rsidRPr="00DB05D3">
        <w:t>, the ACMA did not undertake any consultation with stakeholders</w:t>
      </w:r>
      <w:r w:rsidR="00510E9F" w:rsidRPr="00DB05D3">
        <w:t>.</w:t>
      </w:r>
    </w:p>
    <w:p w14:paraId="00FFAFA4" w14:textId="77777777" w:rsidR="00510E9F" w:rsidRPr="00501169" w:rsidRDefault="00510E9F" w:rsidP="00693DC6">
      <w:pPr>
        <w:pStyle w:val="Heading3"/>
      </w:pPr>
      <w:r w:rsidRPr="00501169">
        <w:t>Forecasting</w:t>
      </w:r>
    </w:p>
    <w:p w14:paraId="6C01D016" w14:textId="04485D7A" w:rsidR="00510E9F" w:rsidRDefault="00510E9F" w:rsidP="00D70F0E">
      <w:r>
        <w:t>The ACMA can estimate the direct costs to operate the register with confidence</w:t>
      </w:r>
      <w:r w:rsidR="0053291F">
        <w:t>;</w:t>
      </w:r>
      <w:r>
        <w:t xml:space="preserve"> however</w:t>
      </w:r>
      <w:r w:rsidR="0053291F">
        <w:t>,</w:t>
      </w:r>
      <w:r>
        <w:t xml:space="preserve"> estimating future revenue over the longer term is considered a key risk.</w:t>
      </w:r>
    </w:p>
    <w:p w14:paraId="1C98CDF6" w14:textId="35A02959" w:rsidR="00510E9F" w:rsidRPr="00966237" w:rsidRDefault="00510E9F" w:rsidP="00D70F0E">
      <w:pPr>
        <w:rPr>
          <w:rFonts w:cs="Arial"/>
          <w:color w:val="000000"/>
          <w:szCs w:val="20"/>
        </w:rPr>
      </w:pPr>
      <w:r>
        <w:t>To manage this risk, t</w:t>
      </w:r>
      <w:r w:rsidRPr="00CA6831">
        <w:t>he ACMA</w:t>
      </w:r>
      <w:r>
        <w:t xml:space="preserve"> has engaged external economic expertise, </w:t>
      </w:r>
      <w:r w:rsidR="00B30EB6">
        <w:t xml:space="preserve">and </w:t>
      </w:r>
      <w:r>
        <w:t>will continue to monitor real-time demand on an ongoing basis.</w:t>
      </w:r>
    </w:p>
    <w:p w14:paraId="53A0D715" w14:textId="2BAEEDA8" w:rsidR="005872DE" w:rsidRDefault="00510E9F" w:rsidP="008F1FDF">
      <w:pPr>
        <w:pStyle w:val="Heading1"/>
        <w:numPr>
          <w:ilvl w:val="0"/>
          <w:numId w:val="16"/>
        </w:numPr>
      </w:pPr>
      <w:bookmarkStart w:id="55" w:name="_Toc417990963"/>
      <w:bookmarkStart w:id="56" w:name="_Toc424115071"/>
      <w:bookmarkStart w:id="57" w:name="_Toc482346597"/>
      <w:bookmarkStart w:id="58" w:name="_Toc518999105"/>
      <w:r w:rsidRPr="008B3CF2">
        <w:lastRenderedPageBreak/>
        <w:t>Stakeholder engagement</w:t>
      </w:r>
      <w:bookmarkEnd w:id="55"/>
      <w:bookmarkEnd w:id="56"/>
      <w:bookmarkEnd w:id="57"/>
      <w:bookmarkEnd w:id="58"/>
      <w:r w:rsidR="002504A5">
        <w:t xml:space="preserve"> </w:t>
      </w:r>
      <w:bookmarkStart w:id="59" w:name="_Toc417990964"/>
      <w:bookmarkStart w:id="60" w:name="_Toc424115072"/>
      <w:bookmarkStart w:id="61" w:name="_Toc482346598"/>
    </w:p>
    <w:p w14:paraId="644816B0" w14:textId="687E40DE" w:rsidR="005872DE" w:rsidRPr="005872DE" w:rsidRDefault="005872DE" w:rsidP="005872DE">
      <w:r w:rsidRPr="002504A5">
        <w:rPr>
          <w:rFonts w:eastAsia="SimSun"/>
          <w:szCs w:val="20"/>
        </w:rPr>
        <w:t>As no change</w:t>
      </w:r>
      <w:r w:rsidR="00C823CF">
        <w:rPr>
          <w:rFonts w:eastAsia="SimSun"/>
          <w:szCs w:val="20"/>
        </w:rPr>
        <w:t xml:space="preserve"> is</w:t>
      </w:r>
      <w:r w:rsidRPr="002504A5">
        <w:rPr>
          <w:rFonts w:eastAsia="SimSun"/>
          <w:szCs w:val="20"/>
        </w:rPr>
        <w:t xml:space="preserve"> being made to the current subscription model or fees, no stakeholder consultation </w:t>
      </w:r>
      <w:r w:rsidR="00EA600C">
        <w:rPr>
          <w:rFonts w:eastAsia="SimSun"/>
          <w:szCs w:val="20"/>
        </w:rPr>
        <w:t>has been</w:t>
      </w:r>
      <w:r w:rsidRPr="002504A5">
        <w:rPr>
          <w:rFonts w:eastAsia="SimSun"/>
          <w:szCs w:val="20"/>
        </w:rPr>
        <w:t xml:space="preserve"> </w:t>
      </w:r>
      <w:r w:rsidR="002334A1">
        <w:rPr>
          <w:rFonts w:eastAsia="SimSun"/>
          <w:szCs w:val="20"/>
        </w:rPr>
        <w:t>necessary</w:t>
      </w:r>
      <w:r w:rsidRPr="002504A5">
        <w:rPr>
          <w:rFonts w:eastAsia="SimSun"/>
          <w:szCs w:val="20"/>
        </w:rPr>
        <w:t xml:space="preserve">. However, after updating the actual direct costs of operating the register and </w:t>
      </w:r>
      <w:r>
        <w:rPr>
          <w:rFonts w:eastAsia="SimSun"/>
        </w:rPr>
        <w:t>further examination of the register cost</w:t>
      </w:r>
      <w:r w:rsidR="0053291F">
        <w:rPr>
          <w:rFonts w:eastAsia="SimSun"/>
        </w:rPr>
        <w:t>-</w:t>
      </w:r>
      <w:r>
        <w:rPr>
          <w:rFonts w:eastAsia="SimSun"/>
        </w:rPr>
        <w:t>recovery model in 2018</w:t>
      </w:r>
      <w:r w:rsidR="0053291F">
        <w:rPr>
          <w:rFonts w:eastAsia="SimSun"/>
        </w:rPr>
        <w:t>–</w:t>
      </w:r>
      <w:r>
        <w:rPr>
          <w:rFonts w:eastAsia="SimSun"/>
        </w:rPr>
        <w:t>19 (foreshadowed under section 3.4 above)</w:t>
      </w:r>
      <w:r w:rsidR="00DB05D3">
        <w:rPr>
          <w:rFonts w:eastAsia="SimSun"/>
        </w:rPr>
        <w:t>,</w:t>
      </w:r>
      <w:r>
        <w:rPr>
          <w:rFonts w:eastAsia="SimSun"/>
        </w:rPr>
        <w:t xml:space="preserve"> </w:t>
      </w:r>
      <w:r w:rsidR="00EA600C">
        <w:rPr>
          <w:rFonts w:eastAsia="SimSun"/>
        </w:rPr>
        <w:t xml:space="preserve">future </w:t>
      </w:r>
      <w:r>
        <w:rPr>
          <w:rFonts w:eastAsia="SimSun"/>
        </w:rPr>
        <w:t>consultation with government and industry is antic</w:t>
      </w:r>
      <w:r w:rsidR="00481E7A">
        <w:rPr>
          <w:rFonts w:eastAsia="SimSun"/>
        </w:rPr>
        <w:t>i</w:t>
      </w:r>
      <w:r>
        <w:rPr>
          <w:rFonts w:eastAsia="SimSun"/>
        </w:rPr>
        <w:t>pated</w:t>
      </w:r>
      <w:r>
        <w:rPr>
          <w:rFonts w:eastAsia="SimSun"/>
          <w:szCs w:val="20"/>
        </w:rPr>
        <w:t>.</w:t>
      </w:r>
    </w:p>
    <w:p w14:paraId="7EB09E09" w14:textId="02CB9F49" w:rsidR="00510E9F" w:rsidRPr="004C02CC" w:rsidRDefault="00510E9F" w:rsidP="002504A5">
      <w:pPr>
        <w:pStyle w:val="Heading1"/>
        <w:numPr>
          <w:ilvl w:val="0"/>
          <w:numId w:val="16"/>
        </w:numPr>
        <w:spacing w:after="120" w:line="240" w:lineRule="auto"/>
      </w:pPr>
      <w:bookmarkStart w:id="62" w:name="_Toc518999106"/>
      <w:r w:rsidRPr="004C02CC">
        <w:lastRenderedPageBreak/>
        <w:t>Financial estimates</w:t>
      </w:r>
      <w:bookmarkEnd w:id="59"/>
      <w:bookmarkEnd w:id="60"/>
      <w:bookmarkEnd w:id="61"/>
      <w:bookmarkEnd w:id="62"/>
    </w:p>
    <w:p w14:paraId="58ABC803" w14:textId="679D0C2B" w:rsidR="00510E9F" w:rsidRDefault="00510E9F" w:rsidP="00D70F0E">
      <w:r w:rsidRPr="004C02CC">
        <w:t xml:space="preserve">Financial estimates for the </w:t>
      </w:r>
      <w:r>
        <w:t xml:space="preserve">register operations </w:t>
      </w:r>
      <w:r w:rsidRPr="004C02CC">
        <w:t xml:space="preserve">for the financial year </w:t>
      </w:r>
      <w:r>
        <w:t>201</w:t>
      </w:r>
      <w:r w:rsidR="00EE48CA">
        <w:t>7</w:t>
      </w:r>
      <w:r w:rsidR="00C05FAD">
        <w:t>–</w:t>
      </w:r>
      <w:r>
        <w:t>1</w:t>
      </w:r>
      <w:r w:rsidR="00EE48CA">
        <w:t>8</w:t>
      </w:r>
      <w:r w:rsidRPr="004C02CC">
        <w:t xml:space="preserve"> and three forward years are </w:t>
      </w:r>
      <w:r>
        <w:t xml:space="preserve">provided in Table </w:t>
      </w:r>
      <w:r w:rsidR="00EE48CA">
        <w:t>6</w:t>
      </w:r>
      <w:r w:rsidRPr="004C02CC">
        <w:t xml:space="preserve">. </w:t>
      </w:r>
    </w:p>
    <w:p w14:paraId="512507F6" w14:textId="0EE8B70C" w:rsidR="00510E9F" w:rsidRDefault="00D70F0E" w:rsidP="00D70F0E">
      <w:pPr>
        <w:pStyle w:val="ACMATableHeader"/>
      </w:pPr>
      <w:r>
        <w:t>Financial estimates by activity</w:t>
      </w:r>
      <w:r w:rsidR="00C05FAD">
        <w:t>,</w:t>
      </w:r>
      <w:r>
        <w:t xml:space="preserve"> based </w:t>
      </w:r>
      <w:r w:rsidR="00E47512">
        <w:t>maintaining current fees and structure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696"/>
        <w:gridCol w:w="1491"/>
        <w:gridCol w:w="1491"/>
        <w:gridCol w:w="1491"/>
        <w:gridCol w:w="1492"/>
      </w:tblGrid>
      <w:tr w:rsidR="0053291F" w14:paraId="280184DE" w14:textId="77777777" w:rsidTr="00A11F0D">
        <w:tc>
          <w:tcPr>
            <w:tcW w:w="1696" w:type="dxa"/>
            <w:shd w:val="clear" w:color="auto" w:fill="404040" w:themeFill="text1" w:themeFillTint="BF"/>
          </w:tcPr>
          <w:p w14:paraId="25CF1E34" w14:textId="77777777" w:rsidR="0053291F" w:rsidRPr="0053291F" w:rsidRDefault="0053291F" w:rsidP="0053291F">
            <w:pPr>
              <w:rPr>
                <w:color w:val="FFFFFF" w:themeColor="background1"/>
              </w:rPr>
            </w:pPr>
          </w:p>
        </w:tc>
        <w:tc>
          <w:tcPr>
            <w:tcW w:w="1491" w:type="dxa"/>
            <w:shd w:val="clear" w:color="auto" w:fill="404040" w:themeFill="text1" w:themeFillTint="BF"/>
            <w:vAlign w:val="center"/>
          </w:tcPr>
          <w:p w14:paraId="15C67CA5" w14:textId="4E8B6288" w:rsidR="0053291F" w:rsidRPr="00A11F0D" w:rsidRDefault="0053291F" w:rsidP="00A11F0D">
            <w:pPr>
              <w:pStyle w:val="TableHeading"/>
              <w:jc w:val="right"/>
              <w:rPr>
                <w:color w:val="FFFFFF" w:themeColor="background1"/>
              </w:rPr>
            </w:pPr>
            <w:r w:rsidRPr="00A11F0D">
              <w:rPr>
                <w:color w:val="FFFFFF" w:themeColor="background1"/>
              </w:rPr>
              <w:t xml:space="preserve">2017–18 </w:t>
            </w:r>
            <w:r w:rsidR="00A11F0D">
              <w:rPr>
                <w:color w:val="FFFFFF" w:themeColor="background1"/>
              </w:rPr>
              <w:t>b</w:t>
            </w:r>
            <w:r w:rsidRPr="00A11F0D">
              <w:rPr>
                <w:color w:val="FFFFFF" w:themeColor="background1"/>
              </w:rPr>
              <w:t>udget ($m)</w:t>
            </w:r>
          </w:p>
        </w:tc>
        <w:tc>
          <w:tcPr>
            <w:tcW w:w="1491" w:type="dxa"/>
            <w:shd w:val="clear" w:color="auto" w:fill="404040" w:themeFill="text1" w:themeFillTint="BF"/>
            <w:vAlign w:val="center"/>
          </w:tcPr>
          <w:p w14:paraId="7AA891EA" w14:textId="544FEC19" w:rsidR="0053291F" w:rsidRPr="00A11F0D" w:rsidRDefault="0053291F" w:rsidP="00A11F0D">
            <w:pPr>
              <w:pStyle w:val="TableHeading"/>
              <w:jc w:val="right"/>
              <w:rPr>
                <w:color w:val="FFFFFF" w:themeColor="background1"/>
              </w:rPr>
            </w:pPr>
            <w:r w:rsidRPr="00A11F0D">
              <w:rPr>
                <w:color w:val="FFFFFF" w:themeColor="background1"/>
              </w:rPr>
              <w:t xml:space="preserve">2018–19 </w:t>
            </w:r>
            <w:r w:rsidR="00A11F0D">
              <w:rPr>
                <w:color w:val="FFFFFF" w:themeColor="background1"/>
              </w:rPr>
              <w:t>b</w:t>
            </w:r>
            <w:r w:rsidRPr="00A11F0D">
              <w:rPr>
                <w:color w:val="FFFFFF" w:themeColor="background1"/>
              </w:rPr>
              <w:t>udget ($m)</w:t>
            </w:r>
          </w:p>
        </w:tc>
        <w:tc>
          <w:tcPr>
            <w:tcW w:w="1491" w:type="dxa"/>
            <w:shd w:val="clear" w:color="auto" w:fill="404040" w:themeFill="text1" w:themeFillTint="BF"/>
            <w:vAlign w:val="center"/>
          </w:tcPr>
          <w:p w14:paraId="2FF2C541" w14:textId="19215C1E" w:rsidR="0053291F" w:rsidRPr="00A11F0D" w:rsidRDefault="0053291F" w:rsidP="00A11F0D">
            <w:pPr>
              <w:pStyle w:val="TableHeading"/>
              <w:jc w:val="right"/>
              <w:rPr>
                <w:color w:val="FFFFFF" w:themeColor="background1"/>
              </w:rPr>
            </w:pPr>
            <w:r w:rsidRPr="00A11F0D">
              <w:rPr>
                <w:color w:val="FFFFFF" w:themeColor="background1"/>
              </w:rPr>
              <w:t xml:space="preserve">2019–20 </w:t>
            </w:r>
            <w:r w:rsidR="00A11F0D">
              <w:rPr>
                <w:color w:val="FFFFFF" w:themeColor="background1"/>
              </w:rPr>
              <w:t>b</w:t>
            </w:r>
            <w:r w:rsidRPr="00A11F0D">
              <w:rPr>
                <w:color w:val="FFFFFF" w:themeColor="background1"/>
              </w:rPr>
              <w:t>udget ($m)</w:t>
            </w:r>
          </w:p>
        </w:tc>
        <w:tc>
          <w:tcPr>
            <w:tcW w:w="1492" w:type="dxa"/>
            <w:shd w:val="clear" w:color="auto" w:fill="404040" w:themeFill="text1" w:themeFillTint="BF"/>
            <w:vAlign w:val="center"/>
          </w:tcPr>
          <w:p w14:paraId="0F862336" w14:textId="2FD7A6FE" w:rsidR="0053291F" w:rsidRPr="00A11F0D" w:rsidRDefault="0053291F" w:rsidP="00A11F0D">
            <w:pPr>
              <w:pStyle w:val="TableHeading"/>
              <w:jc w:val="right"/>
              <w:rPr>
                <w:color w:val="FFFFFF" w:themeColor="background1"/>
              </w:rPr>
            </w:pPr>
            <w:r w:rsidRPr="00A11F0D">
              <w:rPr>
                <w:color w:val="FFFFFF" w:themeColor="background1"/>
              </w:rPr>
              <w:t xml:space="preserve">2020–21 </w:t>
            </w:r>
            <w:r w:rsidR="00A11F0D">
              <w:rPr>
                <w:color w:val="FFFFFF" w:themeColor="background1"/>
              </w:rPr>
              <w:t>b</w:t>
            </w:r>
            <w:r w:rsidRPr="00A11F0D">
              <w:rPr>
                <w:color w:val="FFFFFF" w:themeColor="background1"/>
              </w:rPr>
              <w:t>udget ($m)</w:t>
            </w:r>
          </w:p>
        </w:tc>
      </w:tr>
      <w:tr w:rsidR="0053291F" w14:paraId="4E24024E" w14:textId="77777777" w:rsidTr="00A11F0D">
        <w:tc>
          <w:tcPr>
            <w:tcW w:w="1696" w:type="dxa"/>
            <w:vAlign w:val="center"/>
          </w:tcPr>
          <w:p w14:paraId="5D52FF9B" w14:textId="4EEEFCA4" w:rsidR="0053291F" w:rsidRDefault="0053291F" w:rsidP="00A11F0D">
            <w:pPr>
              <w:spacing w:after="0"/>
            </w:pPr>
            <w:r>
              <w:rPr>
                <w:rFonts w:cs="Arial"/>
                <w:color w:val="000000"/>
                <w:szCs w:val="20"/>
              </w:rPr>
              <w:t>Expenses = X</w:t>
            </w:r>
          </w:p>
        </w:tc>
        <w:tc>
          <w:tcPr>
            <w:tcW w:w="1491" w:type="dxa"/>
            <w:vAlign w:val="center"/>
          </w:tcPr>
          <w:p w14:paraId="5424B7AC" w14:textId="415EEDA7" w:rsidR="0053291F" w:rsidRDefault="0053291F" w:rsidP="00A11F0D">
            <w:pPr>
              <w:spacing w:after="0"/>
              <w:jc w:val="right"/>
            </w:pPr>
            <w:r>
              <w:rPr>
                <w:rFonts w:cs="Arial"/>
                <w:color w:val="000000"/>
                <w:szCs w:val="20"/>
              </w:rPr>
              <w:t>2.11</w:t>
            </w:r>
          </w:p>
        </w:tc>
        <w:tc>
          <w:tcPr>
            <w:tcW w:w="1491" w:type="dxa"/>
            <w:vAlign w:val="center"/>
          </w:tcPr>
          <w:p w14:paraId="1FA71D93" w14:textId="71D003D8" w:rsidR="0053291F" w:rsidRDefault="0053291F" w:rsidP="00A11F0D">
            <w:pPr>
              <w:spacing w:after="0"/>
              <w:jc w:val="right"/>
            </w:pPr>
            <w:r>
              <w:rPr>
                <w:rFonts w:cs="Arial"/>
                <w:color w:val="000000"/>
                <w:szCs w:val="20"/>
              </w:rPr>
              <w:t>2.14</w:t>
            </w:r>
          </w:p>
        </w:tc>
        <w:tc>
          <w:tcPr>
            <w:tcW w:w="1491" w:type="dxa"/>
            <w:vAlign w:val="center"/>
          </w:tcPr>
          <w:p w14:paraId="69264CF1" w14:textId="5430700D" w:rsidR="0053291F" w:rsidRDefault="0053291F" w:rsidP="00A11F0D">
            <w:pPr>
              <w:spacing w:after="0"/>
              <w:jc w:val="right"/>
            </w:pPr>
            <w:r>
              <w:rPr>
                <w:rFonts w:cs="Arial"/>
                <w:color w:val="000000"/>
                <w:szCs w:val="20"/>
              </w:rPr>
              <w:t>2.19</w:t>
            </w:r>
          </w:p>
        </w:tc>
        <w:tc>
          <w:tcPr>
            <w:tcW w:w="1492" w:type="dxa"/>
            <w:vAlign w:val="center"/>
          </w:tcPr>
          <w:p w14:paraId="7D62B0C2" w14:textId="614782DB" w:rsidR="0053291F" w:rsidRDefault="0053291F" w:rsidP="00A11F0D">
            <w:pPr>
              <w:spacing w:after="0"/>
              <w:jc w:val="right"/>
            </w:pPr>
            <w:r>
              <w:rPr>
                <w:rFonts w:cs="Arial"/>
                <w:color w:val="000000"/>
                <w:szCs w:val="20"/>
              </w:rPr>
              <w:t>2.23</w:t>
            </w:r>
          </w:p>
        </w:tc>
      </w:tr>
      <w:tr w:rsidR="0053291F" w14:paraId="454F7047" w14:textId="77777777" w:rsidTr="00A11F0D">
        <w:tc>
          <w:tcPr>
            <w:tcW w:w="1696" w:type="dxa"/>
            <w:vAlign w:val="center"/>
          </w:tcPr>
          <w:p w14:paraId="56793FAE" w14:textId="0F73E720" w:rsidR="0053291F" w:rsidRDefault="0053291F" w:rsidP="00A11F0D">
            <w:pPr>
              <w:spacing w:after="0"/>
            </w:pPr>
            <w:r>
              <w:rPr>
                <w:rFonts w:cs="Arial"/>
                <w:color w:val="000000"/>
                <w:szCs w:val="20"/>
              </w:rPr>
              <w:t>Revenue = Y</w:t>
            </w:r>
          </w:p>
        </w:tc>
        <w:tc>
          <w:tcPr>
            <w:tcW w:w="1491" w:type="dxa"/>
            <w:vAlign w:val="center"/>
          </w:tcPr>
          <w:p w14:paraId="048CCBC8" w14:textId="6C7668C0" w:rsidR="0053291F" w:rsidRDefault="0053291F" w:rsidP="00A11F0D">
            <w:pPr>
              <w:spacing w:after="0"/>
              <w:jc w:val="right"/>
            </w:pPr>
            <w:r w:rsidRPr="004F3C43">
              <w:rPr>
                <w:rFonts w:cs="Arial"/>
                <w:color w:val="000000"/>
                <w:szCs w:val="20"/>
              </w:rPr>
              <w:t>1.93</w:t>
            </w:r>
          </w:p>
        </w:tc>
        <w:tc>
          <w:tcPr>
            <w:tcW w:w="1491" w:type="dxa"/>
            <w:vAlign w:val="center"/>
          </w:tcPr>
          <w:p w14:paraId="28727BC5" w14:textId="159D7B73" w:rsidR="0053291F" w:rsidRDefault="0053291F" w:rsidP="00A11F0D">
            <w:pPr>
              <w:spacing w:after="0"/>
              <w:jc w:val="right"/>
            </w:pPr>
            <w:r w:rsidRPr="004F3C43">
              <w:rPr>
                <w:rFonts w:cs="Arial"/>
                <w:color w:val="000000"/>
                <w:szCs w:val="20"/>
              </w:rPr>
              <w:t>1.82</w:t>
            </w:r>
          </w:p>
        </w:tc>
        <w:tc>
          <w:tcPr>
            <w:tcW w:w="1491" w:type="dxa"/>
            <w:vAlign w:val="center"/>
          </w:tcPr>
          <w:p w14:paraId="4B02EC50" w14:textId="55959B41" w:rsidR="0053291F" w:rsidRDefault="0053291F" w:rsidP="00A11F0D">
            <w:pPr>
              <w:spacing w:after="0"/>
              <w:jc w:val="right"/>
            </w:pPr>
            <w:r>
              <w:rPr>
                <w:rFonts w:cs="Arial"/>
                <w:color w:val="000000"/>
                <w:szCs w:val="20"/>
              </w:rPr>
              <w:t>1.45</w:t>
            </w:r>
          </w:p>
        </w:tc>
        <w:tc>
          <w:tcPr>
            <w:tcW w:w="1492" w:type="dxa"/>
            <w:vAlign w:val="center"/>
          </w:tcPr>
          <w:p w14:paraId="4A30984C" w14:textId="6771FA75" w:rsidR="0053291F" w:rsidRDefault="0053291F" w:rsidP="00A11F0D">
            <w:pPr>
              <w:spacing w:after="0"/>
              <w:jc w:val="right"/>
            </w:pPr>
            <w:r>
              <w:rPr>
                <w:rFonts w:cs="Arial"/>
                <w:color w:val="000000"/>
                <w:szCs w:val="20"/>
              </w:rPr>
              <w:t>1.16</w:t>
            </w:r>
          </w:p>
        </w:tc>
      </w:tr>
      <w:tr w:rsidR="0053291F" w14:paraId="7C2A25D1" w14:textId="77777777" w:rsidTr="00A11F0D">
        <w:tc>
          <w:tcPr>
            <w:tcW w:w="1696" w:type="dxa"/>
            <w:vAlign w:val="center"/>
          </w:tcPr>
          <w:p w14:paraId="13933760" w14:textId="1AA23F49" w:rsidR="0053291F" w:rsidRDefault="0053291F" w:rsidP="00A11F0D">
            <w:pPr>
              <w:spacing w:after="0"/>
            </w:pPr>
            <w:r>
              <w:rPr>
                <w:rFonts w:cs="Arial"/>
                <w:color w:val="000000"/>
                <w:szCs w:val="20"/>
              </w:rPr>
              <w:t>Balance = Y – X</w:t>
            </w:r>
          </w:p>
        </w:tc>
        <w:tc>
          <w:tcPr>
            <w:tcW w:w="1491" w:type="dxa"/>
            <w:vAlign w:val="center"/>
          </w:tcPr>
          <w:p w14:paraId="11C020B7" w14:textId="7F2E2BAC" w:rsidR="0053291F" w:rsidRDefault="00A11F0D" w:rsidP="00A11F0D">
            <w:pPr>
              <w:spacing w:after="0"/>
              <w:jc w:val="right"/>
            </w:pPr>
            <w:r>
              <w:rPr>
                <w:rFonts w:cs="Arial"/>
                <w:color w:val="FF0000"/>
                <w:szCs w:val="20"/>
              </w:rPr>
              <w:t>–</w:t>
            </w:r>
            <w:r w:rsidR="0053291F">
              <w:rPr>
                <w:rFonts w:cs="Arial"/>
                <w:color w:val="FF0000"/>
                <w:szCs w:val="20"/>
              </w:rPr>
              <w:t>0.18</w:t>
            </w:r>
          </w:p>
        </w:tc>
        <w:tc>
          <w:tcPr>
            <w:tcW w:w="1491" w:type="dxa"/>
            <w:vAlign w:val="center"/>
          </w:tcPr>
          <w:p w14:paraId="12B3C0DC" w14:textId="294E57AD" w:rsidR="0053291F" w:rsidRDefault="00A11F0D" w:rsidP="00A11F0D">
            <w:pPr>
              <w:spacing w:after="0"/>
              <w:jc w:val="right"/>
            </w:pPr>
            <w:r>
              <w:rPr>
                <w:rFonts w:cs="Arial"/>
                <w:color w:val="FF0000"/>
                <w:szCs w:val="20"/>
              </w:rPr>
              <w:t>–</w:t>
            </w:r>
            <w:r w:rsidR="0053291F">
              <w:rPr>
                <w:rFonts w:cs="Arial"/>
                <w:color w:val="FF0000"/>
                <w:szCs w:val="20"/>
              </w:rPr>
              <w:t>0.33</w:t>
            </w:r>
          </w:p>
        </w:tc>
        <w:tc>
          <w:tcPr>
            <w:tcW w:w="1491" w:type="dxa"/>
            <w:vAlign w:val="center"/>
          </w:tcPr>
          <w:p w14:paraId="14FA6A20" w14:textId="3D865ACB" w:rsidR="0053291F" w:rsidRDefault="00A11F0D" w:rsidP="00A11F0D">
            <w:pPr>
              <w:spacing w:after="0"/>
              <w:jc w:val="right"/>
            </w:pPr>
            <w:r>
              <w:rPr>
                <w:rFonts w:cs="Arial"/>
                <w:color w:val="FF0000"/>
                <w:szCs w:val="20"/>
              </w:rPr>
              <w:t>–</w:t>
            </w:r>
            <w:r w:rsidR="0053291F">
              <w:rPr>
                <w:rFonts w:cs="Arial"/>
                <w:color w:val="FF0000"/>
                <w:szCs w:val="20"/>
              </w:rPr>
              <w:t>0.73</w:t>
            </w:r>
          </w:p>
        </w:tc>
        <w:tc>
          <w:tcPr>
            <w:tcW w:w="1492" w:type="dxa"/>
            <w:vAlign w:val="center"/>
          </w:tcPr>
          <w:p w14:paraId="65C61BEC" w14:textId="6655FA81" w:rsidR="0053291F" w:rsidRDefault="00A11F0D" w:rsidP="00A11F0D">
            <w:pPr>
              <w:spacing w:after="0"/>
              <w:jc w:val="right"/>
            </w:pPr>
            <w:r>
              <w:rPr>
                <w:rFonts w:cs="Arial"/>
                <w:color w:val="FF0000"/>
                <w:szCs w:val="20"/>
              </w:rPr>
              <w:t>–</w:t>
            </w:r>
            <w:r w:rsidR="0053291F">
              <w:rPr>
                <w:rFonts w:cs="Arial"/>
                <w:color w:val="FF0000"/>
                <w:szCs w:val="20"/>
              </w:rPr>
              <w:t>1.07</w:t>
            </w:r>
          </w:p>
        </w:tc>
      </w:tr>
      <w:tr w:rsidR="0053291F" w14:paraId="065E4496" w14:textId="77777777" w:rsidTr="00A11F0D">
        <w:tc>
          <w:tcPr>
            <w:tcW w:w="1696" w:type="dxa"/>
            <w:shd w:val="clear" w:color="auto" w:fill="F2F2F2" w:themeFill="background1" w:themeFillShade="F2"/>
            <w:vAlign w:val="center"/>
          </w:tcPr>
          <w:p w14:paraId="77F9B124" w14:textId="5A1932D0" w:rsidR="0053291F" w:rsidRDefault="0053291F" w:rsidP="00A11F0D">
            <w:pPr>
              <w:spacing w:after="0"/>
            </w:pPr>
            <w:r>
              <w:rPr>
                <w:rFonts w:cs="Arial"/>
                <w:b/>
                <w:bCs/>
                <w:color w:val="000000"/>
                <w:szCs w:val="20"/>
              </w:rPr>
              <w:t>Cumulative balance *</w:t>
            </w:r>
          </w:p>
        </w:tc>
        <w:tc>
          <w:tcPr>
            <w:tcW w:w="1491" w:type="dxa"/>
            <w:shd w:val="clear" w:color="auto" w:fill="F2F2F2" w:themeFill="background1" w:themeFillShade="F2"/>
            <w:vAlign w:val="center"/>
          </w:tcPr>
          <w:p w14:paraId="410DB9C6" w14:textId="13BF3B65" w:rsidR="0053291F" w:rsidRDefault="0053291F" w:rsidP="00A11F0D">
            <w:pPr>
              <w:spacing w:after="0"/>
              <w:jc w:val="right"/>
            </w:pPr>
            <w:r>
              <w:rPr>
                <w:rFonts w:cs="Arial"/>
                <w:b/>
                <w:bCs/>
                <w:color w:val="000000"/>
                <w:szCs w:val="20"/>
              </w:rPr>
              <w:t>0.23</w:t>
            </w:r>
          </w:p>
        </w:tc>
        <w:tc>
          <w:tcPr>
            <w:tcW w:w="1491" w:type="dxa"/>
            <w:shd w:val="clear" w:color="auto" w:fill="F2F2F2" w:themeFill="background1" w:themeFillShade="F2"/>
            <w:vAlign w:val="center"/>
          </w:tcPr>
          <w:p w14:paraId="469CB8F8" w14:textId="0B782220" w:rsidR="0053291F" w:rsidRDefault="00A11F0D" w:rsidP="00A11F0D">
            <w:pPr>
              <w:spacing w:after="0"/>
              <w:jc w:val="right"/>
            </w:pPr>
            <w:r>
              <w:rPr>
                <w:rFonts w:cs="Arial"/>
                <w:b/>
                <w:bCs/>
                <w:color w:val="000000"/>
                <w:szCs w:val="20"/>
              </w:rPr>
              <w:t>–</w:t>
            </w:r>
            <w:r w:rsidR="0053291F">
              <w:rPr>
                <w:rFonts w:cs="Arial"/>
                <w:b/>
                <w:bCs/>
                <w:color w:val="000000"/>
                <w:szCs w:val="20"/>
              </w:rPr>
              <w:t>0.10</w:t>
            </w:r>
          </w:p>
        </w:tc>
        <w:tc>
          <w:tcPr>
            <w:tcW w:w="1491" w:type="dxa"/>
            <w:shd w:val="clear" w:color="auto" w:fill="F2F2F2" w:themeFill="background1" w:themeFillShade="F2"/>
            <w:vAlign w:val="center"/>
          </w:tcPr>
          <w:p w14:paraId="0570EC59" w14:textId="1AC1D163" w:rsidR="0053291F" w:rsidRDefault="00A11F0D" w:rsidP="00A11F0D">
            <w:pPr>
              <w:spacing w:after="0"/>
              <w:jc w:val="right"/>
            </w:pPr>
            <w:r>
              <w:rPr>
                <w:rFonts w:cs="Arial"/>
                <w:b/>
                <w:bCs/>
                <w:color w:val="000000"/>
                <w:szCs w:val="20"/>
              </w:rPr>
              <w:t>–</w:t>
            </w:r>
            <w:r w:rsidR="0053291F">
              <w:rPr>
                <w:rFonts w:cs="Arial"/>
                <w:b/>
                <w:bCs/>
                <w:color w:val="000000"/>
                <w:szCs w:val="20"/>
              </w:rPr>
              <w:t>0.83</w:t>
            </w:r>
          </w:p>
        </w:tc>
        <w:tc>
          <w:tcPr>
            <w:tcW w:w="1492" w:type="dxa"/>
            <w:shd w:val="clear" w:color="auto" w:fill="F2F2F2" w:themeFill="background1" w:themeFillShade="F2"/>
            <w:vAlign w:val="center"/>
          </w:tcPr>
          <w:p w14:paraId="5827B52C" w14:textId="188A7971" w:rsidR="0053291F" w:rsidRDefault="00A11F0D" w:rsidP="00A11F0D">
            <w:pPr>
              <w:spacing w:after="0"/>
              <w:jc w:val="right"/>
            </w:pPr>
            <w:r>
              <w:rPr>
                <w:rFonts w:cs="Arial"/>
                <w:b/>
                <w:bCs/>
                <w:color w:val="000000"/>
                <w:szCs w:val="20"/>
              </w:rPr>
              <w:t>–</w:t>
            </w:r>
            <w:r w:rsidR="0053291F">
              <w:rPr>
                <w:rFonts w:cs="Arial"/>
                <w:b/>
                <w:bCs/>
                <w:color w:val="000000"/>
                <w:szCs w:val="20"/>
              </w:rPr>
              <w:t>1.90</w:t>
            </w:r>
          </w:p>
        </w:tc>
      </w:tr>
    </w:tbl>
    <w:p w14:paraId="7D2FED1A" w14:textId="2D30C907" w:rsidR="0053291F" w:rsidRDefault="00A11F0D" w:rsidP="00F3258C">
      <w:pPr>
        <w:pStyle w:val="ACMANotes"/>
        <w:spacing w:after="240"/>
      </w:pPr>
      <w:r>
        <w:t>*Totals may not add up due to rounding.</w:t>
      </w:r>
    </w:p>
    <w:p w14:paraId="16BB6B4C" w14:textId="77777777" w:rsidR="00510E9F" w:rsidRDefault="00510E9F" w:rsidP="00693DC6">
      <w:pPr>
        <w:pStyle w:val="Heading3"/>
      </w:pPr>
      <w:r>
        <w:t>M</w:t>
      </w:r>
      <w:r w:rsidRPr="00C44F8A">
        <w:t>aterial variance</w:t>
      </w:r>
    </w:p>
    <w:p w14:paraId="1AF1052B" w14:textId="1361998D" w:rsidR="00C823CF" w:rsidRDefault="00C823CF" w:rsidP="00510E9F">
      <w:r>
        <w:t xml:space="preserve">Over the forward years, although the average increase in total expenses is expected to be around two per cent, the revenue is expected to continue declining at a rate of up to </w:t>
      </w:r>
      <w:r w:rsidR="00F3258C">
        <w:t xml:space="preserve">20 </w:t>
      </w:r>
      <w:r>
        <w:t>per cent per year</w:t>
      </w:r>
      <w:r w:rsidR="00F3258C">
        <w:t>,</w:t>
      </w:r>
      <w:r>
        <w:t xml:space="preserve"> due to the consistent drop in demand. </w:t>
      </w:r>
    </w:p>
    <w:p w14:paraId="1482A318" w14:textId="224C843A" w:rsidR="00510E9F" w:rsidRPr="00D70F0E" w:rsidRDefault="00510E9F" w:rsidP="00510E9F">
      <w:r>
        <w:t>In 201</w:t>
      </w:r>
      <w:r w:rsidR="00EE48CA">
        <w:t>8</w:t>
      </w:r>
      <w:r w:rsidR="00C05FAD">
        <w:t>–</w:t>
      </w:r>
      <w:r>
        <w:t>1</w:t>
      </w:r>
      <w:r w:rsidR="00EE48CA">
        <w:t>9</w:t>
      </w:r>
      <w:r>
        <w:t xml:space="preserve">, demand for subscriptions is </w:t>
      </w:r>
      <w:r w:rsidRPr="00496B01">
        <w:t xml:space="preserve">expected to </w:t>
      </w:r>
      <w:r>
        <w:t>continue declining</w:t>
      </w:r>
      <w:r w:rsidR="000D7CBD">
        <w:t xml:space="preserve"> at a rate of </w:t>
      </w:r>
      <w:r w:rsidR="00F3258C">
        <w:t>20 </w:t>
      </w:r>
      <w:r w:rsidR="00D32B79">
        <w:t>per cent</w:t>
      </w:r>
      <w:r w:rsidR="000D7CBD">
        <w:t xml:space="preserve"> per year</w:t>
      </w:r>
      <w:r>
        <w:t xml:space="preserve"> (see </w:t>
      </w:r>
      <w:r w:rsidRPr="000C5C28">
        <w:t>Table 3</w:t>
      </w:r>
      <w:r>
        <w:t>)</w:t>
      </w:r>
      <w:r w:rsidR="00EE48CA">
        <w:t xml:space="preserve"> for all paid subscription types</w:t>
      </w:r>
      <w:r w:rsidRPr="00496B01">
        <w:t>.</w:t>
      </w:r>
    </w:p>
    <w:p w14:paraId="72B7995F" w14:textId="77777777" w:rsidR="00510E9F" w:rsidRDefault="00510E9F" w:rsidP="00693DC6">
      <w:pPr>
        <w:pStyle w:val="Heading3"/>
      </w:pPr>
      <w:r>
        <w:t>I</w:t>
      </w:r>
      <w:r w:rsidRPr="00E720B0">
        <w:t>mpact on balance management strategy</w:t>
      </w:r>
    </w:p>
    <w:p w14:paraId="0883C08F" w14:textId="06C81EB7" w:rsidR="00510E9F" w:rsidRDefault="00510E9F" w:rsidP="00510E9F">
      <w:pPr>
        <w:spacing w:before="120" w:line="240" w:lineRule="auto"/>
        <w:rPr>
          <w:rFonts w:cs="Arial"/>
          <w:szCs w:val="20"/>
        </w:rPr>
      </w:pPr>
      <w:r>
        <w:rPr>
          <w:rFonts w:cs="Arial"/>
          <w:szCs w:val="20"/>
        </w:rPr>
        <w:t xml:space="preserve">The register has been in </w:t>
      </w:r>
      <w:r w:rsidRPr="00373689">
        <w:rPr>
          <w:rFonts w:cs="Arial"/>
          <w:szCs w:val="20"/>
        </w:rPr>
        <w:t>cumulative over-recovery</w:t>
      </w:r>
      <w:r>
        <w:rPr>
          <w:rFonts w:cs="Arial"/>
          <w:szCs w:val="20"/>
        </w:rPr>
        <w:t xml:space="preserve"> since 2012</w:t>
      </w:r>
      <w:r w:rsidR="00C05FAD">
        <w:rPr>
          <w:rFonts w:cs="Arial"/>
          <w:szCs w:val="20"/>
        </w:rPr>
        <w:t>–</w:t>
      </w:r>
      <w:r>
        <w:rPr>
          <w:rFonts w:cs="Arial"/>
          <w:szCs w:val="20"/>
        </w:rPr>
        <w:t>13. This was due to a spike in revenue from 2012 to 2014. Revenue then started to decline in 2014</w:t>
      </w:r>
      <w:r w:rsidR="00C05FAD">
        <w:rPr>
          <w:rFonts w:cs="Arial"/>
          <w:szCs w:val="20"/>
        </w:rPr>
        <w:t>–</w:t>
      </w:r>
      <w:r>
        <w:rPr>
          <w:rFonts w:cs="Arial"/>
          <w:szCs w:val="20"/>
        </w:rPr>
        <w:t>15 (</w:t>
      </w:r>
      <w:r w:rsidR="00F3258C">
        <w:rPr>
          <w:rFonts w:cs="Arial"/>
          <w:szCs w:val="20"/>
        </w:rPr>
        <w:t xml:space="preserve">by 18 </w:t>
      </w:r>
      <w:r>
        <w:rPr>
          <w:rFonts w:cs="Arial"/>
          <w:szCs w:val="20"/>
        </w:rPr>
        <w:t>per cent) and has continued to do so</w:t>
      </w:r>
      <w:r w:rsidR="00C05FAD">
        <w:rPr>
          <w:rFonts w:cs="Arial"/>
          <w:szCs w:val="20"/>
        </w:rPr>
        <w:t>,</w:t>
      </w:r>
      <w:r>
        <w:rPr>
          <w:rFonts w:cs="Arial"/>
          <w:szCs w:val="20"/>
        </w:rPr>
        <w:t xml:space="preserve"> resulting in </w:t>
      </w:r>
      <w:r w:rsidR="00D86BD2">
        <w:rPr>
          <w:rFonts w:cs="Arial"/>
          <w:szCs w:val="20"/>
        </w:rPr>
        <w:t>ongoing</w:t>
      </w:r>
      <w:r>
        <w:rPr>
          <w:rFonts w:cs="Arial"/>
          <w:szCs w:val="20"/>
        </w:rPr>
        <w:t xml:space="preserve"> reduction in the cumulative over-recovery</w:t>
      </w:r>
      <w:r w:rsidR="00D86BD2">
        <w:rPr>
          <w:rFonts w:cs="Arial"/>
          <w:szCs w:val="20"/>
        </w:rPr>
        <w:t xml:space="preserve"> since this time</w:t>
      </w:r>
      <w:r>
        <w:rPr>
          <w:rFonts w:cs="Arial"/>
          <w:szCs w:val="20"/>
        </w:rPr>
        <w:t xml:space="preserve">. </w:t>
      </w:r>
    </w:p>
    <w:p w14:paraId="00729A56" w14:textId="464F0BF3" w:rsidR="00C823CF" w:rsidRDefault="00510E9F" w:rsidP="00D70F0E">
      <w:pPr>
        <w:spacing w:before="120"/>
        <w:rPr>
          <w:rFonts w:cs="Arial"/>
          <w:iCs/>
        </w:rPr>
      </w:pPr>
      <w:r w:rsidRPr="004F3C43">
        <w:rPr>
          <w:rFonts w:cs="Arial"/>
          <w:iCs/>
        </w:rPr>
        <w:t>The ACMA estimates an under</w:t>
      </w:r>
      <w:r w:rsidR="00C05FAD" w:rsidRPr="004F3C43">
        <w:rPr>
          <w:rFonts w:cs="Arial"/>
          <w:iCs/>
        </w:rPr>
        <w:t>-</w:t>
      </w:r>
      <w:r w:rsidRPr="004F3C43">
        <w:rPr>
          <w:rFonts w:cs="Arial"/>
          <w:iCs/>
        </w:rPr>
        <w:t>recovery of $0.</w:t>
      </w:r>
      <w:r w:rsidR="00F77386" w:rsidRPr="004F3C43">
        <w:rPr>
          <w:rFonts w:cs="Arial"/>
          <w:iCs/>
        </w:rPr>
        <w:t>33</w:t>
      </w:r>
      <w:r w:rsidRPr="004F3C43">
        <w:rPr>
          <w:rFonts w:cs="Arial"/>
          <w:iCs/>
        </w:rPr>
        <w:t xml:space="preserve"> million for 201</w:t>
      </w:r>
      <w:r w:rsidR="00F77386" w:rsidRPr="004F3C43">
        <w:rPr>
          <w:rFonts w:cs="Arial"/>
          <w:iCs/>
        </w:rPr>
        <w:t>8</w:t>
      </w:r>
      <w:r w:rsidR="00C05FAD" w:rsidRPr="004F3C43">
        <w:rPr>
          <w:rFonts w:cs="Arial"/>
          <w:iCs/>
        </w:rPr>
        <w:t>–</w:t>
      </w:r>
      <w:r w:rsidRPr="004F3C43">
        <w:rPr>
          <w:rFonts w:cs="Arial"/>
          <w:iCs/>
        </w:rPr>
        <w:t>1</w:t>
      </w:r>
      <w:r w:rsidR="00F77386" w:rsidRPr="004F3C43">
        <w:rPr>
          <w:rFonts w:cs="Arial"/>
          <w:iCs/>
        </w:rPr>
        <w:t>9</w:t>
      </w:r>
      <w:r w:rsidR="00C05FAD" w:rsidRPr="004F3C43">
        <w:rPr>
          <w:rFonts w:cs="Arial"/>
          <w:iCs/>
        </w:rPr>
        <w:t>,</w:t>
      </w:r>
      <w:r w:rsidRPr="004F3C43">
        <w:rPr>
          <w:rFonts w:cs="Arial"/>
          <w:iCs/>
        </w:rPr>
        <w:t xml:space="preserve"> resulting in a cumulative </w:t>
      </w:r>
      <w:r w:rsidR="00F77386" w:rsidRPr="004F3C43">
        <w:rPr>
          <w:rFonts w:cs="Arial"/>
          <w:iCs/>
        </w:rPr>
        <w:t>under</w:t>
      </w:r>
      <w:r w:rsidR="00C05FAD" w:rsidRPr="004F3C43">
        <w:rPr>
          <w:rFonts w:cs="Arial"/>
          <w:iCs/>
        </w:rPr>
        <w:t>-</w:t>
      </w:r>
      <w:r w:rsidRPr="004F3C43">
        <w:rPr>
          <w:rFonts w:cs="Arial"/>
          <w:iCs/>
        </w:rPr>
        <w:t>recovery to date of</w:t>
      </w:r>
      <w:r w:rsidR="00C823CF" w:rsidRPr="004F3C43">
        <w:rPr>
          <w:rFonts w:cs="Arial"/>
          <w:iCs/>
        </w:rPr>
        <w:t xml:space="preserve"> </w:t>
      </w:r>
      <w:r w:rsidRPr="004F3C43">
        <w:rPr>
          <w:rFonts w:cs="Arial"/>
          <w:iCs/>
        </w:rPr>
        <w:t>$0.</w:t>
      </w:r>
      <w:r w:rsidR="00F77386" w:rsidRPr="004F3C43">
        <w:rPr>
          <w:rFonts w:cs="Arial"/>
          <w:iCs/>
        </w:rPr>
        <w:t xml:space="preserve">10 </w:t>
      </w:r>
      <w:r w:rsidRPr="004F3C43">
        <w:rPr>
          <w:rFonts w:cs="Arial"/>
          <w:iCs/>
        </w:rPr>
        <w:t>million</w:t>
      </w:r>
      <w:r w:rsidR="00CF630C" w:rsidRPr="004F3C43">
        <w:rPr>
          <w:rFonts w:cs="Arial"/>
          <w:iCs/>
        </w:rPr>
        <w:t>. Current modelling suggests that if demand for subscriptions continues to decline in forward years, the register may be under</w:t>
      </w:r>
      <w:r w:rsidR="00A95507" w:rsidRPr="004F3C43">
        <w:rPr>
          <w:rFonts w:cs="Arial"/>
          <w:iCs/>
        </w:rPr>
        <w:t>-</w:t>
      </w:r>
      <w:r w:rsidR="00CF630C" w:rsidRPr="004F3C43">
        <w:rPr>
          <w:rFonts w:cs="Arial"/>
          <w:iCs/>
        </w:rPr>
        <w:t>recovered by</w:t>
      </w:r>
      <w:r w:rsidR="00F77386" w:rsidRPr="004F3C43">
        <w:rPr>
          <w:rFonts w:cs="Arial"/>
          <w:iCs/>
        </w:rPr>
        <w:t xml:space="preserve"> </w:t>
      </w:r>
      <w:r w:rsidR="00CF154B" w:rsidRPr="004F3C43">
        <w:rPr>
          <w:rFonts w:cs="Arial"/>
          <w:iCs/>
        </w:rPr>
        <w:t>$</w:t>
      </w:r>
      <w:r w:rsidR="00F77386" w:rsidRPr="004F3C43">
        <w:rPr>
          <w:rFonts w:cs="Arial"/>
          <w:iCs/>
        </w:rPr>
        <w:t>1.9</w:t>
      </w:r>
      <w:r w:rsidR="00E05A19" w:rsidRPr="004F3C43">
        <w:rPr>
          <w:rFonts w:cs="Arial"/>
          <w:iCs/>
        </w:rPr>
        <w:t>0</w:t>
      </w:r>
      <w:r w:rsidRPr="004F3C43">
        <w:rPr>
          <w:rFonts w:cs="Arial"/>
          <w:iCs/>
        </w:rPr>
        <w:t xml:space="preserve"> million </w:t>
      </w:r>
      <w:r w:rsidR="000D7CBD" w:rsidRPr="004F3C43">
        <w:rPr>
          <w:rFonts w:cs="Arial"/>
          <w:iCs/>
        </w:rPr>
        <w:t xml:space="preserve">at the end of </w:t>
      </w:r>
      <w:r w:rsidRPr="004F3C43">
        <w:rPr>
          <w:rFonts w:cs="Arial"/>
          <w:iCs/>
        </w:rPr>
        <w:t>202</w:t>
      </w:r>
      <w:r w:rsidR="00CF630C" w:rsidRPr="004F3C43">
        <w:rPr>
          <w:rFonts w:cs="Arial"/>
          <w:iCs/>
        </w:rPr>
        <w:t>0</w:t>
      </w:r>
      <w:r w:rsidR="00C05FAD" w:rsidRPr="004F3C43">
        <w:rPr>
          <w:rFonts w:cs="Arial"/>
          <w:iCs/>
        </w:rPr>
        <w:t>–</w:t>
      </w:r>
      <w:r w:rsidR="00CF630C" w:rsidRPr="004F3C43">
        <w:rPr>
          <w:rFonts w:cs="Arial"/>
          <w:iCs/>
        </w:rPr>
        <w:t>21</w:t>
      </w:r>
      <w:r w:rsidR="00F3258C">
        <w:rPr>
          <w:rFonts w:cs="Arial"/>
          <w:iCs/>
        </w:rPr>
        <w:t>.</w:t>
      </w:r>
      <w:r w:rsidR="00CF630C" w:rsidRPr="004F3C43">
        <w:rPr>
          <w:rStyle w:val="FootnoteReference"/>
          <w:rFonts w:cs="Arial"/>
          <w:iCs/>
        </w:rPr>
        <w:footnoteReference w:id="3"/>
      </w:r>
    </w:p>
    <w:p w14:paraId="417EE8EB" w14:textId="618A4F54" w:rsidR="00510E9F" w:rsidRPr="00D70F0E" w:rsidRDefault="00C823CF" w:rsidP="00D70F0E">
      <w:pPr>
        <w:spacing w:before="120"/>
        <w:rPr>
          <w:rFonts w:cs="Arial"/>
          <w:iCs/>
        </w:rPr>
      </w:pPr>
      <w:r>
        <w:t>T</w:t>
      </w:r>
      <w:r w:rsidRPr="00CD5C9C">
        <w:t xml:space="preserve">he </w:t>
      </w:r>
      <w:r>
        <w:t xml:space="preserve">ACMA </w:t>
      </w:r>
      <w:r w:rsidRPr="00CD5C9C">
        <w:t xml:space="preserve">will closely monitor revenue trends over the coming months to manage potential under- or over-recoveries, </w:t>
      </w:r>
      <w:r w:rsidR="00F3258C">
        <w:t>before</w:t>
      </w:r>
      <w:r w:rsidRPr="00CD5C9C">
        <w:t xml:space="preserve"> undertaking the annual review for the 2018–19 financial year.</w:t>
      </w:r>
      <w:r w:rsidR="00510E9F">
        <w:rPr>
          <w:rFonts w:cs="Arial"/>
          <w:iCs/>
        </w:rPr>
        <w:t xml:space="preserve"> </w:t>
      </w:r>
      <w:r w:rsidR="00CF154B">
        <w:rPr>
          <w:rFonts w:cs="Arial"/>
          <w:iCs/>
        </w:rPr>
        <w:t xml:space="preserve"> </w:t>
      </w:r>
    </w:p>
    <w:p w14:paraId="53B56185" w14:textId="77777777" w:rsidR="00510E9F" w:rsidRPr="00CC3F4B" w:rsidRDefault="00510E9F" w:rsidP="00510E9F">
      <w:pPr>
        <w:pStyle w:val="Heading1"/>
      </w:pPr>
      <w:bookmarkStart w:id="63" w:name="_Toc482346599"/>
      <w:bookmarkStart w:id="64" w:name="_Toc518999107"/>
      <w:r>
        <w:lastRenderedPageBreak/>
        <w:t>7A.</w:t>
      </w:r>
      <w:r>
        <w:tab/>
      </w:r>
      <w:bookmarkStart w:id="65" w:name="_Toc355953992"/>
      <w:bookmarkStart w:id="66" w:name="_Toc385256322"/>
      <w:r w:rsidRPr="00CC3F4B">
        <w:t>F</w:t>
      </w:r>
      <w:bookmarkEnd w:id="65"/>
      <w:r w:rsidRPr="00CC3F4B">
        <w:t xml:space="preserve">inancial </w:t>
      </w:r>
      <w:bookmarkEnd w:id="66"/>
      <w:r>
        <w:t>performance</w:t>
      </w:r>
      <w:bookmarkEnd w:id="63"/>
      <w:bookmarkEnd w:id="64"/>
    </w:p>
    <w:p w14:paraId="706B1F01" w14:textId="7B13964B" w:rsidR="00510E9F" w:rsidRDefault="00510E9F" w:rsidP="00510E9F">
      <w:r>
        <w:t xml:space="preserve">Table </w:t>
      </w:r>
      <w:r w:rsidR="00CF630C">
        <w:t>7</w:t>
      </w:r>
      <w:r>
        <w:t xml:space="preserve"> </w:t>
      </w:r>
      <w:r w:rsidRPr="00872ADF">
        <w:t xml:space="preserve">shows the actual direct costs </w:t>
      </w:r>
      <w:r>
        <w:t>of operating the register</w:t>
      </w:r>
      <w:r w:rsidR="00C05FAD">
        <w:t>,</w:t>
      </w:r>
      <w:r>
        <w:t xml:space="preserve"> compared to the </w:t>
      </w:r>
      <w:r w:rsidRPr="00872ADF">
        <w:t>associated</w:t>
      </w:r>
      <w:r>
        <w:t xml:space="preserve"> accrued subscription fee</w:t>
      </w:r>
      <w:r w:rsidRPr="00872ADF">
        <w:t xml:space="preserve"> revenue since the commencement of the </w:t>
      </w:r>
      <w:r>
        <w:t>r</w:t>
      </w:r>
      <w:r w:rsidRPr="00872ADF">
        <w:t>egister</w:t>
      </w:r>
      <w:r>
        <w:t>.</w:t>
      </w:r>
    </w:p>
    <w:p w14:paraId="58915496" w14:textId="77777777" w:rsidR="00510E9F" w:rsidRDefault="00D70F0E" w:rsidP="00D70F0E">
      <w:pPr>
        <w:pStyle w:val="ACMATableHeader"/>
      </w:pPr>
      <w:r>
        <w:t>Historical expenses and revenue</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572"/>
        <w:gridCol w:w="1217"/>
        <w:gridCol w:w="1218"/>
        <w:gridCol w:w="1218"/>
        <w:gridCol w:w="1218"/>
        <w:gridCol w:w="1218"/>
      </w:tblGrid>
      <w:tr w:rsidR="00F3258C" w14:paraId="7B7D342C" w14:textId="77777777" w:rsidTr="00F3258C">
        <w:tc>
          <w:tcPr>
            <w:tcW w:w="1572" w:type="dxa"/>
            <w:shd w:val="clear" w:color="auto" w:fill="404040" w:themeFill="text1" w:themeFillTint="BF"/>
          </w:tcPr>
          <w:p w14:paraId="6811FD5A" w14:textId="77777777" w:rsidR="00F3258C" w:rsidRPr="00F3258C" w:rsidRDefault="00F3258C" w:rsidP="00F3258C">
            <w:pPr>
              <w:rPr>
                <w:color w:val="FFFFFF" w:themeColor="background1"/>
              </w:rPr>
            </w:pPr>
          </w:p>
        </w:tc>
        <w:tc>
          <w:tcPr>
            <w:tcW w:w="1217" w:type="dxa"/>
            <w:shd w:val="clear" w:color="auto" w:fill="404040" w:themeFill="text1" w:themeFillTint="BF"/>
            <w:vAlign w:val="center"/>
          </w:tcPr>
          <w:p w14:paraId="153144EF" w14:textId="1212327E" w:rsidR="00F3258C" w:rsidRPr="00F3258C" w:rsidRDefault="00F3258C" w:rsidP="00F3258C">
            <w:pPr>
              <w:pStyle w:val="TableHeading"/>
              <w:jc w:val="right"/>
              <w:rPr>
                <w:color w:val="FFFFFF" w:themeColor="background1"/>
              </w:rPr>
            </w:pPr>
            <w:r w:rsidRPr="00F3258C">
              <w:rPr>
                <w:color w:val="FFFFFF" w:themeColor="background1"/>
              </w:rPr>
              <w:t>2007</w:t>
            </w:r>
            <w:r>
              <w:rPr>
                <w:color w:val="FFFFFF" w:themeColor="background1"/>
              </w:rPr>
              <w:t>–</w:t>
            </w:r>
            <w:r w:rsidRPr="00F3258C">
              <w:rPr>
                <w:color w:val="FFFFFF" w:themeColor="background1"/>
              </w:rPr>
              <w:t>13 ($m)</w:t>
            </w:r>
          </w:p>
        </w:tc>
        <w:tc>
          <w:tcPr>
            <w:tcW w:w="1218" w:type="dxa"/>
            <w:shd w:val="clear" w:color="auto" w:fill="404040" w:themeFill="text1" w:themeFillTint="BF"/>
            <w:vAlign w:val="center"/>
          </w:tcPr>
          <w:p w14:paraId="1E2E3322" w14:textId="5F27D19B" w:rsidR="00F3258C" w:rsidRPr="00F3258C" w:rsidRDefault="00F3258C" w:rsidP="00F3258C">
            <w:pPr>
              <w:pStyle w:val="TableHeading"/>
              <w:jc w:val="right"/>
              <w:rPr>
                <w:color w:val="FFFFFF" w:themeColor="background1"/>
              </w:rPr>
            </w:pPr>
            <w:r w:rsidRPr="00F3258C">
              <w:rPr>
                <w:color w:val="FFFFFF" w:themeColor="background1"/>
              </w:rPr>
              <w:t>2013</w:t>
            </w:r>
            <w:r>
              <w:rPr>
                <w:color w:val="FFFFFF" w:themeColor="background1"/>
              </w:rPr>
              <w:t>–</w:t>
            </w:r>
            <w:r w:rsidRPr="00F3258C">
              <w:rPr>
                <w:color w:val="FFFFFF" w:themeColor="background1"/>
              </w:rPr>
              <w:t>14 ($m)</w:t>
            </w:r>
          </w:p>
        </w:tc>
        <w:tc>
          <w:tcPr>
            <w:tcW w:w="1218" w:type="dxa"/>
            <w:shd w:val="clear" w:color="auto" w:fill="404040" w:themeFill="text1" w:themeFillTint="BF"/>
            <w:vAlign w:val="center"/>
          </w:tcPr>
          <w:p w14:paraId="6D6C5C91" w14:textId="15A10C3D" w:rsidR="00F3258C" w:rsidRPr="00F3258C" w:rsidRDefault="00F3258C" w:rsidP="00F3258C">
            <w:pPr>
              <w:pStyle w:val="TableHeading"/>
              <w:jc w:val="right"/>
              <w:rPr>
                <w:color w:val="FFFFFF" w:themeColor="background1"/>
              </w:rPr>
            </w:pPr>
            <w:r w:rsidRPr="00F3258C">
              <w:rPr>
                <w:color w:val="FFFFFF" w:themeColor="background1"/>
              </w:rPr>
              <w:t>2014</w:t>
            </w:r>
            <w:r>
              <w:rPr>
                <w:color w:val="FFFFFF" w:themeColor="background1"/>
              </w:rPr>
              <w:t>–</w:t>
            </w:r>
            <w:r w:rsidRPr="00F3258C">
              <w:rPr>
                <w:color w:val="FFFFFF" w:themeColor="background1"/>
              </w:rPr>
              <w:t>15 ($m)</w:t>
            </w:r>
          </w:p>
        </w:tc>
        <w:tc>
          <w:tcPr>
            <w:tcW w:w="1218" w:type="dxa"/>
            <w:shd w:val="clear" w:color="auto" w:fill="404040" w:themeFill="text1" w:themeFillTint="BF"/>
            <w:vAlign w:val="center"/>
          </w:tcPr>
          <w:p w14:paraId="71280FDF" w14:textId="5E5F4D56" w:rsidR="00F3258C" w:rsidRPr="00F3258C" w:rsidRDefault="00F3258C" w:rsidP="00F3258C">
            <w:pPr>
              <w:pStyle w:val="TableHeading"/>
              <w:jc w:val="right"/>
              <w:rPr>
                <w:color w:val="FFFFFF" w:themeColor="background1"/>
              </w:rPr>
            </w:pPr>
            <w:r w:rsidRPr="00F3258C">
              <w:rPr>
                <w:color w:val="FFFFFF" w:themeColor="background1"/>
              </w:rPr>
              <w:t>2015</w:t>
            </w:r>
            <w:r>
              <w:rPr>
                <w:color w:val="FFFFFF" w:themeColor="background1"/>
              </w:rPr>
              <w:t>–</w:t>
            </w:r>
            <w:r w:rsidRPr="00F3258C">
              <w:rPr>
                <w:color w:val="FFFFFF" w:themeColor="background1"/>
              </w:rPr>
              <w:t>16 ($m)</w:t>
            </w:r>
          </w:p>
        </w:tc>
        <w:tc>
          <w:tcPr>
            <w:tcW w:w="1218" w:type="dxa"/>
            <w:shd w:val="clear" w:color="auto" w:fill="404040" w:themeFill="text1" w:themeFillTint="BF"/>
            <w:vAlign w:val="center"/>
          </w:tcPr>
          <w:p w14:paraId="28F5DF1D" w14:textId="0926B988" w:rsidR="00F3258C" w:rsidRPr="00F3258C" w:rsidRDefault="00F3258C" w:rsidP="00F3258C">
            <w:pPr>
              <w:pStyle w:val="TableHeading"/>
              <w:jc w:val="right"/>
              <w:rPr>
                <w:color w:val="FFFFFF" w:themeColor="background1"/>
              </w:rPr>
            </w:pPr>
            <w:r w:rsidRPr="00F3258C">
              <w:rPr>
                <w:color w:val="FFFFFF" w:themeColor="background1"/>
              </w:rPr>
              <w:t>2016</w:t>
            </w:r>
            <w:r>
              <w:rPr>
                <w:color w:val="FFFFFF" w:themeColor="background1"/>
              </w:rPr>
              <w:t>–</w:t>
            </w:r>
            <w:r w:rsidRPr="00F3258C">
              <w:rPr>
                <w:color w:val="FFFFFF" w:themeColor="background1"/>
              </w:rPr>
              <w:t>17 ($m)</w:t>
            </w:r>
          </w:p>
        </w:tc>
      </w:tr>
      <w:tr w:rsidR="00F3258C" w14:paraId="0E7FE554" w14:textId="77777777" w:rsidTr="00F3258C">
        <w:tc>
          <w:tcPr>
            <w:tcW w:w="1572" w:type="dxa"/>
            <w:vAlign w:val="center"/>
          </w:tcPr>
          <w:p w14:paraId="0D47779F" w14:textId="17BD91A2" w:rsidR="00F3258C" w:rsidRDefault="00F3258C" w:rsidP="00F3258C">
            <w:pPr>
              <w:spacing w:after="0"/>
            </w:pPr>
            <w:r w:rsidRPr="00E47512">
              <w:rPr>
                <w:rFonts w:cs="Arial"/>
                <w:color w:val="000000"/>
                <w:szCs w:val="20"/>
              </w:rPr>
              <w:t>Expenses = X</w:t>
            </w:r>
          </w:p>
        </w:tc>
        <w:tc>
          <w:tcPr>
            <w:tcW w:w="1217" w:type="dxa"/>
            <w:vAlign w:val="center"/>
          </w:tcPr>
          <w:p w14:paraId="09C4B727" w14:textId="5E88C440" w:rsidR="00F3258C" w:rsidRDefault="00F3258C" w:rsidP="00F3258C">
            <w:pPr>
              <w:spacing w:after="0"/>
              <w:jc w:val="right"/>
            </w:pPr>
            <w:r w:rsidRPr="00E47512">
              <w:rPr>
                <w:rFonts w:cs="Arial"/>
                <w:color w:val="000000"/>
                <w:szCs w:val="20"/>
              </w:rPr>
              <w:t>15.44</w:t>
            </w:r>
          </w:p>
        </w:tc>
        <w:tc>
          <w:tcPr>
            <w:tcW w:w="1218" w:type="dxa"/>
            <w:vAlign w:val="center"/>
          </w:tcPr>
          <w:p w14:paraId="5AB302F9" w14:textId="3FDDA145" w:rsidR="00F3258C" w:rsidRDefault="00F3258C" w:rsidP="00F3258C">
            <w:pPr>
              <w:spacing w:after="0"/>
              <w:jc w:val="right"/>
            </w:pPr>
            <w:r w:rsidRPr="00E47512">
              <w:rPr>
                <w:rFonts w:cs="Arial"/>
                <w:color w:val="000000"/>
                <w:szCs w:val="20"/>
              </w:rPr>
              <w:t>2.78</w:t>
            </w:r>
          </w:p>
        </w:tc>
        <w:tc>
          <w:tcPr>
            <w:tcW w:w="1218" w:type="dxa"/>
            <w:vAlign w:val="center"/>
          </w:tcPr>
          <w:p w14:paraId="2085DFF4" w14:textId="34809BA0" w:rsidR="00F3258C" w:rsidRDefault="00F3258C" w:rsidP="00F3258C">
            <w:pPr>
              <w:spacing w:after="0"/>
              <w:jc w:val="right"/>
            </w:pPr>
            <w:r w:rsidRPr="00E47512">
              <w:rPr>
                <w:rFonts w:cs="Arial"/>
                <w:color w:val="000000"/>
                <w:szCs w:val="20"/>
              </w:rPr>
              <w:t>2.54</w:t>
            </w:r>
          </w:p>
        </w:tc>
        <w:tc>
          <w:tcPr>
            <w:tcW w:w="1218" w:type="dxa"/>
            <w:vAlign w:val="center"/>
          </w:tcPr>
          <w:p w14:paraId="4AED50C8" w14:textId="44DF0E82" w:rsidR="00F3258C" w:rsidRDefault="00F3258C" w:rsidP="00F3258C">
            <w:pPr>
              <w:spacing w:after="0"/>
              <w:jc w:val="right"/>
            </w:pPr>
            <w:r w:rsidRPr="00E47512">
              <w:rPr>
                <w:rFonts w:cs="Arial"/>
                <w:color w:val="000000"/>
                <w:szCs w:val="20"/>
              </w:rPr>
              <w:t>2.34</w:t>
            </w:r>
          </w:p>
        </w:tc>
        <w:tc>
          <w:tcPr>
            <w:tcW w:w="1218" w:type="dxa"/>
            <w:vAlign w:val="center"/>
          </w:tcPr>
          <w:p w14:paraId="0D40EAE4" w14:textId="3C3C72B5" w:rsidR="00F3258C" w:rsidRDefault="00F3258C" w:rsidP="00F3258C">
            <w:pPr>
              <w:spacing w:after="0"/>
              <w:jc w:val="right"/>
            </w:pPr>
            <w:r w:rsidRPr="00E47512">
              <w:rPr>
                <w:rFonts w:cs="Arial"/>
                <w:color w:val="000000"/>
                <w:szCs w:val="20"/>
              </w:rPr>
              <w:t>2.32</w:t>
            </w:r>
          </w:p>
        </w:tc>
      </w:tr>
      <w:tr w:rsidR="00F3258C" w14:paraId="274CBB6F" w14:textId="77777777" w:rsidTr="00F3258C">
        <w:tc>
          <w:tcPr>
            <w:tcW w:w="1572" w:type="dxa"/>
            <w:vAlign w:val="center"/>
          </w:tcPr>
          <w:p w14:paraId="5B8D7957" w14:textId="76096FA7" w:rsidR="00F3258C" w:rsidRDefault="00F3258C" w:rsidP="00F3258C">
            <w:pPr>
              <w:spacing w:after="0"/>
            </w:pPr>
            <w:r w:rsidRPr="00E47512">
              <w:rPr>
                <w:rFonts w:cs="Arial"/>
                <w:color w:val="000000"/>
                <w:szCs w:val="20"/>
              </w:rPr>
              <w:t>Revenue = Y</w:t>
            </w:r>
          </w:p>
        </w:tc>
        <w:tc>
          <w:tcPr>
            <w:tcW w:w="1217" w:type="dxa"/>
            <w:vAlign w:val="center"/>
          </w:tcPr>
          <w:p w14:paraId="5D74F6CA" w14:textId="630D5B11" w:rsidR="00F3258C" w:rsidRDefault="00F3258C" w:rsidP="00F3258C">
            <w:pPr>
              <w:spacing w:after="0"/>
              <w:jc w:val="right"/>
            </w:pPr>
            <w:r w:rsidRPr="00E47512">
              <w:rPr>
                <w:rFonts w:cs="Arial"/>
                <w:color w:val="000000"/>
                <w:szCs w:val="20"/>
              </w:rPr>
              <w:t>15.51</w:t>
            </w:r>
          </w:p>
        </w:tc>
        <w:tc>
          <w:tcPr>
            <w:tcW w:w="1218" w:type="dxa"/>
            <w:vAlign w:val="center"/>
          </w:tcPr>
          <w:p w14:paraId="6B2C8AB5" w14:textId="126B8FB1" w:rsidR="00F3258C" w:rsidRDefault="00F3258C" w:rsidP="00F3258C">
            <w:pPr>
              <w:spacing w:after="0"/>
              <w:jc w:val="right"/>
            </w:pPr>
            <w:r w:rsidRPr="00E47512">
              <w:rPr>
                <w:rFonts w:cs="Arial"/>
                <w:color w:val="000000"/>
                <w:szCs w:val="20"/>
              </w:rPr>
              <w:t>3.34</w:t>
            </w:r>
          </w:p>
        </w:tc>
        <w:tc>
          <w:tcPr>
            <w:tcW w:w="1218" w:type="dxa"/>
            <w:vAlign w:val="center"/>
          </w:tcPr>
          <w:p w14:paraId="26D22E1A" w14:textId="43743E16" w:rsidR="00F3258C" w:rsidRDefault="00F3258C" w:rsidP="00F3258C">
            <w:pPr>
              <w:spacing w:after="0"/>
              <w:jc w:val="right"/>
            </w:pPr>
            <w:r w:rsidRPr="00E47512">
              <w:rPr>
                <w:rFonts w:cs="Arial"/>
                <w:color w:val="000000"/>
                <w:szCs w:val="20"/>
              </w:rPr>
              <w:t>2.73</w:t>
            </w:r>
          </w:p>
        </w:tc>
        <w:tc>
          <w:tcPr>
            <w:tcW w:w="1218" w:type="dxa"/>
            <w:vAlign w:val="center"/>
          </w:tcPr>
          <w:p w14:paraId="683F6818" w14:textId="5D7EA217" w:rsidR="00F3258C" w:rsidRDefault="00F3258C" w:rsidP="00F3258C">
            <w:pPr>
              <w:spacing w:after="0"/>
              <w:jc w:val="right"/>
            </w:pPr>
            <w:r w:rsidRPr="00E47512">
              <w:rPr>
                <w:rFonts w:cs="Arial"/>
                <w:color w:val="000000"/>
                <w:szCs w:val="20"/>
              </w:rPr>
              <w:t>2.23</w:t>
            </w:r>
          </w:p>
        </w:tc>
        <w:tc>
          <w:tcPr>
            <w:tcW w:w="1218" w:type="dxa"/>
            <w:vAlign w:val="center"/>
          </w:tcPr>
          <w:p w14:paraId="638959F3" w14:textId="5E1D2CDD" w:rsidR="00F3258C" w:rsidRDefault="00F3258C" w:rsidP="00F3258C">
            <w:pPr>
              <w:spacing w:after="0"/>
              <w:jc w:val="right"/>
            </w:pPr>
            <w:r w:rsidRPr="00E47512">
              <w:rPr>
                <w:rFonts w:cs="Arial"/>
                <w:color w:val="000000"/>
                <w:szCs w:val="20"/>
              </w:rPr>
              <w:t>2.01</w:t>
            </w:r>
          </w:p>
        </w:tc>
      </w:tr>
      <w:tr w:rsidR="00F3258C" w14:paraId="4BCAC78A" w14:textId="77777777" w:rsidTr="00F3258C">
        <w:tc>
          <w:tcPr>
            <w:tcW w:w="1572" w:type="dxa"/>
            <w:vAlign w:val="center"/>
          </w:tcPr>
          <w:p w14:paraId="45BF6A57" w14:textId="204EF254" w:rsidR="00F3258C" w:rsidRDefault="00F3258C" w:rsidP="00F3258C">
            <w:pPr>
              <w:spacing w:after="0"/>
            </w:pPr>
            <w:r w:rsidRPr="00E47512">
              <w:rPr>
                <w:rFonts w:cs="Arial"/>
                <w:color w:val="000000"/>
                <w:szCs w:val="20"/>
              </w:rPr>
              <w:t>Balance = Y – X</w:t>
            </w:r>
          </w:p>
        </w:tc>
        <w:tc>
          <w:tcPr>
            <w:tcW w:w="1217" w:type="dxa"/>
            <w:vAlign w:val="center"/>
          </w:tcPr>
          <w:p w14:paraId="5B5F5D5A" w14:textId="0FB34467" w:rsidR="00F3258C" w:rsidRDefault="00F3258C" w:rsidP="00F3258C">
            <w:pPr>
              <w:spacing w:after="0"/>
              <w:jc w:val="right"/>
            </w:pPr>
            <w:r w:rsidRPr="00E47512">
              <w:rPr>
                <w:rFonts w:cs="Arial"/>
                <w:szCs w:val="20"/>
              </w:rPr>
              <w:t>0.07</w:t>
            </w:r>
          </w:p>
        </w:tc>
        <w:tc>
          <w:tcPr>
            <w:tcW w:w="1218" w:type="dxa"/>
            <w:vAlign w:val="center"/>
          </w:tcPr>
          <w:p w14:paraId="748D260D" w14:textId="6B53EC9F" w:rsidR="00F3258C" w:rsidRDefault="00F3258C" w:rsidP="00F3258C">
            <w:pPr>
              <w:spacing w:after="0"/>
              <w:jc w:val="right"/>
            </w:pPr>
            <w:r w:rsidRPr="00E47512">
              <w:rPr>
                <w:rFonts w:cs="Arial"/>
                <w:szCs w:val="20"/>
              </w:rPr>
              <w:t>0.57</w:t>
            </w:r>
          </w:p>
        </w:tc>
        <w:tc>
          <w:tcPr>
            <w:tcW w:w="1218" w:type="dxa"/>
            <w:vAlign w:val="center"/>
          </w:tcPr>
          <w:p w14:paraId="65F9B130" w14:textId="0DA97B5D" w:rsidR="00F3258C" w:rsidRDefault="00F3258C" w:rsidP="00F3258C">
            <w:pPr>
              <w:spacing w:after="0"/>
              <w:jc w:val="right"/>
            </w:pPr>
            <w:r w:rsidRPr="00E47512">
              <w:rPr>
                <w:rFonts w:cs="Arial"/>
                <w:szCs w:val="20"/>
              </w:rPr>
              <w:t>0.19</w:t>
            </w:r>
          </w:p>
        </w:tc>
        <w:tc>
          <w:tcPr>
            <w:tcW w:w="1218" w:type="dxa"/>
            <w:vAlign w:val="center"/>
          </w:tcPr>
          <w:p w14:paraId="370F7101" w14:textId="2DA84F5A" w:rsidR="00F3258C" w:rsidRDefault="00373689" w:rsidP="00F3258C">
            <w:pPr>
              <w:spacing w:after="0"/>
              <w:jc w:val="right"/>
            </w:pPr>
            <w:r>
              <w:rPr>
                <w:rFonts w:cs="Arial"/>
                <w:color w:val="FF0000"/>
                <w:szCs w:val="20"/>
              </w:rPr>
              <w:t>–</w:t>
            </w:r>
            <w:r w:rsidR="00F3258C" w:rsidRPr="00E47512">
              <w:rPr>
                <w:rFonts w:cs="Arial"/>
                <w:color w:val="FF0000"/>
                <w:szCs w:val="20"/>
              </w:rPr>
              <w:t>0.11</w:t>
            </w:r>
          </w:p>
        </w:tc>
        <w:tc>
          <w:tcPr>
            <w:tcW w:w="1218" w:type="dxa"/>
            <w:vAlign w:val="center"/>
          </w:tcPr>
          <w:p w14:paraId="666F02C9" w14:textId="2CF90B56" w:rsidR="00F3258C" w:rsidRDefault="00373689" w:rsidP="00F3258C">
            <w:pPr>
              <w:spacing w:after="0"/>
              <w:jc w:val="right"/>
            </w:pPr>
            <w:r>
              <w:rPr>
                <w:rFonts w:cs="Arial"/>
                <w:color w:val="FF0000"/>
                <w:szCs w:val="20"/>
              </w:rPr>
              <w:t>–</w:t>
            </w:r>
            <w:r w:rsidR="00F3258C" w:rsidRPr="00E47512">
              <w:rPr>
                <w:rFonts w:cs="Arial"/>
                <w:color w:val="FF0000"/>
                <w:szCs w:val="20"/>
              </w:rPr>
              <w:t>0.31</w:t>
            </w:r>
          </w:p>
        </w:tc>
      </w:tr>
      <w:tr w:rsidR="00F3258C" w14:paraId="23EF961F" w14:textId="77777777" w:rsidTr="00F3258C">
        <w:tc>
          <w:tcPr>
            <w:tcW w:w="1572" w:type="dxa"/>
            <w:shd w:val="clear" w:color="auto" w:fill="F2F2F2" w:themeFill="background1" w:themeFillShade="F2"/>
            <w:vAlign w:val="center"/>
          </w:tcPr>
          <w:p w14:paraId="3D55CFE6" w14:textId="4490DBAA" w:rsidR="00F3258C" w:rsidRDefault="00F3258C" w:rsidP="00F3258C">
            <w:pPr>
              <w:spacing w:after="0"/>
            </w:pPr>
            <w:r w:rsidRPr="00E47512">
              <w:rPr>
                <w:rFonts w:cs="Arial"/>
                <w:b/>
                <w:bCs/>
                <w:color w:val="000000"/>
                <w:szCs w:val="20"/>
              </w:rPr>
              <w:t>Cumulative balance</w:t>
            </w:r>
          </w:p>
        </w:tc>
        <w:tc>
          <w:tcPr>
            <w:tcW w:w="1217" w:type="dxa"/>
            <w:shd w:val="clear" w:color="auto" w:fill="F2F2F2" w:themeFill="background1" w:themeFillShade="F2"/>
            <w:vAlign w:val="center"/>
          </w:tcPr>
          <w:p w14:paraId="2015916F" w14:textId="0447DDE1" w:rsidR="00F3258C" w:rsidRDefault="00F3258C" w:rsidP="00F3258C">
            <w:pPr>
              <w:spacing w:after="0"/>
              <w:jc w:val="right"/>
            </w:pPr>
            <w:r w:rsidRPr="00E47512">
              <w:rPr>
                <w:rFonts w:cs="Arial"/>
                <w:b/>
                <w:bCs/>
                <w:color w:val="000000"/>
                <w:szCs w:val="20"/>
              </w:rPr>
              <w:t>0.07</w:t>
            </w:r>
          </w:p>
        </w:tc>
        <w:tc>
          <w:tcPr>
            <w:tcW w:w="1218" w:type="dxa"/>
            <w:shd w:val="clear" w:color="auto" w:fill="F2F2F2" w:themeFill="background1" w:themeFillShade="F2"/>
            <w:vAlign w:val="center"/>
          </w:tcPr>
          <w:p w14:paraId="767911DC" w14:textId="5417C167" w:rsidR="00F3258C" w:rsidRDefault="00F3258C" w:rsidP="00F3258C">
            <w:pPr>
              <w:spacing w:after="0"/>
              <w:jc w:val="right"/>
            </w:pPr>
            <w:r w:rsidRPr="00E47512">
              <w:rPr>
                <w:rFonts w:cs="Arial"/>
                <w:b/>
                <w:bCs/>
                <w:color w:val="000000"/>
                <w:szCs w:val="20"/>
              </w:rPr>
              <w:t>0.64</w:t>
            </w:r>
          </w:p>
        </w:tc>
        <w:tc>
          <w:tcPr>
            <w:tcW w:w="1218" w:type="dxa"/>
            <w:shd w:val="clear" w:color="auto" w:fill="F2F2F2" w:themeFill="background1" w:themeFillShade="F2"/>
            <w:vAlign w:val="center"/>
          </w:tcPr>
          <w:p w14:paraId="1DAF0A27" w14:textId="2E635CE4" w:rsidR="00F3258C" w:rsidRDefault="00F3258C" w:rsidP="00F3258C">
            <w:pPr>
              <w:spacing w:after="0"/>
              <w:jc w:val="right"/>
            </w:pPr>
            <w:r w:rsidRPr="00E47512">
              <w:rPr>
                <w:rFonts w:cs="Arial"/>
                <w:b/>
                <w:bCs/>
                <w:color w:val="000000"/>
                <w:szCs w:val="20"/>
              </w:rPr>
              <w:t>0.82</w:t>
            </w:r>
          </w:p>
        </w:tc>
        <w:tc>
          <w:tcPr>
            <w:tcW w:w="1218" w:type="dxa"/>
            <w:shd w:val="clear" w:color="auto" w:fill="F2F2F2" w:themeFill="background1" w:themeFillShade="F2"/>
            <w:vAlign w:val="center"/>
          </w:tcPr>
          <w:p w14:paraId="5F253CED" w14:textId="34EF73D1" w:rsidR="00F3258C" w:rsidRDefault="00F3258C" w:rsidP="00F3258C">
            <w:pPr>
              <w:spacing w:after="0"/>
              <w:jc w:val="right"/>
            </w:pPr>
            <w:r w:rsidRPr="00E47512">
              <w:rPr>
                <w:rFonts w:cs="Arial"/>
                <w:b/>
                <w:bCs/>
                <w:color w:val="000000"/>
                <w:szCs w:val="20"/>
              </w:rPr>
              <w:t>0.71</w:t>
            </w:r>
          </w:p>
        </w:tc>
        <w:tc>
          <w:tcPr>
            <w:tcW w:w="1218" w:type="dxa"/>
            <w:shd w:val="clear" w:color="auto" w:fill="F2F2F2" w:themeFill="background1" w:themeFillShade="F2"/>
            <w:vAlign w:val="center"/>
          </w:tcPr>
          <w:p w14:paraId="329F4A3B" w14:textId="613ADC5C" w:rsidR="00F3258C" w:rsidRDefault="00F3258C" w:rsidP="00F3258C">
            <w:pPr>
              <w:spacing w:after="0"/>
              <w:jc w:val="right"/>
            </w:pPr>
            <w:r w:rsidRPr="00E47512">
              <w:rPr>
                <w:rFonts w:cs="Arial"/>
                <w:b/>
                <w:bCs/>
                <w:color w:val="000000"/>
                <w:szCs w:val="20"/>
              </w:rPr>
              <w:t>0.40</w:t>
            </w:r>
          </w:p>
        </w:tc>
      </w:tr>
    </w:tbl>
    <w:p w14:paraId="6231F619" w14:textId="1F1C05A7" w:rsidR="00D70F0E" w:rsidRPr="00DA145B" w:rsidRDefault="00F3258C" w:rsidP="00F3258C">
      <w:pPr>
        <w:pStyle w:val="ACMANotes"/>
        <w:spacing w:after="240"/>
      </w:pPr>
      <w:r>
        <w:t>*</w:t>
      </w:r>
      <w:r w:rsidRPr="00E47512">
        <w:t>Totals may not add up due to rounding of decimals</w:t>
      </w:r>
    </w:p>
    <w:p w14:paraId="757DFDF8" w14:textId="77777777" w:rsidR="00C823CF" w:rsidRPr="00DA145B" w:rsidRDefault="00C823CF" w:rsidP="009A6CB1">
      <w:pPr>
        <w:pStyle w:val="BodySubHeader"/>
      </w:pPr>
      <w:r>
        <w:t>M</w:t>
      </w:r>
      <w:r w:rsidRPr="000C6F33">
        <w:t>aterial variance</w:t>
      </w:r>
    </w:p>
    <w:p w14:paraId="7D85049B" w14:textId="77777777" w:rsidR="00C823CF" w:rsidRPr="00CF154B" w:rsidRDefault="00C823CF" w:rsidP="00C823CF">
      <w:r w:rsidRPr="00CF154B">
        <w:t>Expenses for 2015–</w:t>
      </w:r>
      <w:r w:rsidRPr="004D737D">
        <w:t xml:space="preserve">16 reduced from the previous financial year, as the contract costs decreased by 10 per cent. This was due to the lower contract fees for the </w:t>
      </w:r>
      <w:r w:rsidRPr="004D737D">
        <w:rPr>
          <w:snapToGrid w:val="0"/>
        </w:rPr>
        <w:t>outsourced operation of the register with the new register service provide</w:t>
      </w:r>
      <w:r w:rsidRPr="00CF154B">
        <w:rPr>
          <w:snapToGrid w:val="0"/>
        </w:rPr>
        <w:t>r (Salmat Digital).</w:t>
      </w:r>
    </w:p>
    <w:p w14:paraId="730EB5B4" w14:textId="3ED42C82" w:rsidR="00C823CF" w:rsidRDefault="00C823CF" w:rsidP="00C823CF">
      <w:r w:rsidRPr="00CF154B">
        <w:t>In 2014–15, ACMA staff costs decreased significantly</w:t>
      </w:r>
      <w:r w:rsidR="001A4BF2">
        <w:t>,</w:t>
      </w:r>
      <w:r w:rsidRPr="00CF154B">
        <w:t xml:space="preserve"> due mainly to the ACMA prioritising non-cost-recoverable procurement, and transition and establishment activities related to a new register operator.</w:t>
      </w:r>
      <w:r>
        <w:t xml:space="preserve"> </w:t>
      </w:r>
    </w:p>
    <w:p w14:paraId="2D923179" w14:textId="291608FD" w:rsidR="00510E9F" w:rsidRDefault="00510E9F" w:rsidP="00D70F0E">
      <w:r>
        <w:t>Revenue is accounted for on a 12</w:t>
      </w:r>
      <w:r w:rsidR="007849D7">
        <w:t>-</w:t>
      </w:r>
      <w:r>
        <w:t>month accrual basis. For example, if</w:t>
      </w:r>
      <w:r w:rsidRPr="00590FE9">
        <w:t xml:space="preserve"> 20 su</w:t>
      </w:r>
      <w:r>
        <w:t>bscriptions were purchased in July</w:t>
      </w:r>
      <w:r w:rsidRPr="00590FE9">
        <w:t xml:space="preserve"> for a total revenue of $120,000</w:t>
      </w:r>
      <w:r w:rsidR="007849D7">
        <w:t xml:space="preserve">, </w:t>
      </w:r>
      <w:r w:rsidRPr="00590FE9">
        <w:t xml:space="preserve">each month in the </w:t>
      </w:r>
      <w:r>
        <w:t>following</w:t>
      </w:r>
      <w:r w:rsidRPr="00590FE9">
        <w:t xml:space="preserve"> 12 months would </w:t>
      </w:r>
      <w:r>
        <w:t>be credited with</w:t>
      </w:r>
      <w:r w:rsidRPr="00590FE9">
        <w:t xml:space="preserve"> $10,000.</w:t>
      </w:r>
      <w:r>
        <w:t xml:space="preserve"> This allows for revenue to be spread over 12 months and moderates the immediate impact of actual revenue on any cumulative under</w:t>
      </w:r>
      <w:r w:rsidR="00A95507">
        <w:t xml:space="preserve">- or </w:t>
      </w:r>
      <w:r>
        <w:t>over</w:t>
      </w:r>
      <w:r w:rsidR="00A95507">
        <w:t>-</w:t>
      </w:r>
      <w:r>
        <w:t>recovery.</w:t>
      </w:r>
    </w:p>
    <w:p w14:paraId="5C80C56C" w14:textId="4FCB7CB8" w:rsidR="00510E9F" w:rsidRPr="00FE7174" w:rsidRDefault="00510E9F" w:rsidP="00D70F0E">
      <w:pPr>
        <w:spacing w:after="80"/>
      </w:pPr>
      <w:r w:rsidRPr="00FE7174">
        <w:t xml:space="preserve">The downturn in revenue </w:t>
      </w:r>
      <w:r w:rsidR="00A95507">
        <w:t xml:space="preserve">first </w:t>
      </w:r>
      <w:r w:rsidRPr="00FE7174">
        <w:t>identified in 2014</w:t>
      </w:r>
      <w:r w:rsidR="007849D7">
        <w:t>–</w:t>
      </w:r>
      <w:r w:rsidRPr="00FE7174">
        <w:t>15 now appears to be a longer</w:t>
      </w:r>
      <w:r w:rsidR="007849D7">
        <w:t>-</w:t>
      </w:r>
      <w:r w:rsidRPr="00FE7174">
        <w:t xml:space="preserve">term trend and may reflect several influences, such as: </w:t>
      </w:r>
    </w:p>
    <w:p w14:paraId="5322B19A" w14:textId="77777777" w:rsidR="00510E9F" w:rsidRDefault="00510E9F" w:rsidP="00D70F0E">
      <w:pPr>
        <w:pStyle w:val="ListBullet"/>
      </w:pPr>
      <w:r>
        <w:t>movement from telemarketing to other forms of</w:t>
      </w:r>
      <w:r w:rsidRPr="00821519">
        <w:t xml:space="preserve"> marketing</w:t>
      </w:r>
    </w:p>
    <w:p w14:paraId="3EE9C288" w14:textId="77777777" w:rsidR="00ED68FF" w:rsidRDefault="00ED68FF" w:rsidP="00ED68FF">
      <w:pPr>
        <w:pStyle w:val="ListBullet"/>
      </w:pPr>
      <w:r>
        <w:t>increased use of consent-based calls that are not required to be</w:t>
      </w:r>
      <w:r w:rsidRPr="00077FE1">
        <w:t xml:space="preserve"> wash</w:t>
      </w:r>
      <w:r>
        <w:t>ed</w:t>
      </w:r>
      <w:r w:rsidRPr="00077FE1">
        <w:t xml:space="preserve"> </w:t>
      </w:r>
    </w:p>
    <w:p w14:paraId="750433F7" w14:textId="77777777" w:rsidR="00510E9F" w:rsidRPr="00077FE1" w:rsidRDefault="00510E9F" w:rsidP="00D70F0E">
      <w:pPr>
        <w:pStyle w:val="ListBullet"/>
      </w:pPr>
      <w:r w:rsidRPr="00077FE1">
        <w:t>increased use of digital channels/platform</w:t>
      </w:r>
      <w:r>
        <w:t>s</w:t>
      </w:r>
    </w:p>
    <w:p w14:paraId="6B7C75B6" w14:textId="77777777" w:rsidR="00510E9F" w:rsidRDefault="00510E9F" w:rsidP="00D70F0E">
      <w:pPr>
        <w:pStyle w:val="ListBulletLast"/>
      </w:pPr>
      <w:r>
        <w:t>high</w:t>
      </w:r>
      <w:r w:rsidRPr="00077FE1">
        <w:t xml:space="preserve"> labour costs in call centres</w:t>
      </w:r>
      <w:r>
        <w:t>.</w:t>
      </w:r>
    </w:p>
    <w:p w14:paraId="20BCC6F2" w14:textId="63D9E481" w:rsidR="00510E9F" w:rsidRDefault="00510E9F" w:rsidP="00D70F0E">
      <w:pPr>
        <w:spacing w:after="80"/>
      </w:pPr>
      <w:r>
        <w:t xml:space="preserve">Additionally, </w:t>
      </w:r>
      <w:r w:rsidR="001A4BF2">
        <w:t>an ACMA-</w:t>
      </w:r>
      <w:r w:rsidR="00ED68FF">
        <w:t xml:space="preserve">conducted </w:t>
      </w:r>
      <w:r>
        <w:t>industry survey and consultations</w:t>
      </w:r>
      <w:r w:rsidR="001A4BF2">
        <w:t xml:space="preserve"> in 2016–</w:t>
      </w:r>
      <w:r w:rsidR="00D00848">
        <w:t>17</w:t>
      </w:r>
      <w:r>
        <w:t xml:space="preserve"> identified several aspects of the register </w:t>
      </w:r>
      <w:r w:rsidR="007849D7">
        <w:t xml:space="preserve">that have an </w:t>
      </w:r>
      <w:r>
        <w:t>impact on demand</w:t>
      </w:r>
      <w:r w:rsidR="007849D7">
        <w:t>,</w:t>
      </w:r>
      <w:r>
        <w:t xml:space="preserve"> including:</w:t>
      </w:r>
    </w:p>
    <w:p w14:paraId="05290743" w14:textId="77777777" w:rsidR="00510E9F" w:rsidRPr="00077FE1" w:rsidRDefault="00510E9F" w:rsidP="00D70F0E">
      <w:pPr>
        <w:pStyle w:val="ListBullet"/>
      </w:pPr>
      <w:r w:rsidRPr="00077FE1">
        <w:t xml:space="preserve">the </w:t>
      </w:r>
      <w:r>
        <w:t>quantity</w:t>
      </w:r>
      <w:r w:rsidRPr="00077FE1">
        <w:t xml:space="preserve"> of numbers on the register</w:t>
      </w:r>
    </w:p>
    <w:p w14:paraId="1208448C" w14:textId="77777777" w:rsidR="00510E9F" w:rsidRPr="00077FE1" w:rsidRDefault="00510E9F" w:rsidP="00D70F0E">
      <w:pPr>
        <w:pStyle w:val="ListBullet"/>
      </w:pPr>
      <w:r w:rsidRPr="00077FE1">
        <w:t>permanent registration</w:t>
      </w:r>
    </w:p>
    <w:p w14:paraId="623A72F8" w14:textId="22381BD1" w:rsidR="00510E9F" w:rsidRPr="00077FE1" w:rsidRDefault="00510E9F" w:rsidP="00D70F0E">
      <w:pPr>
        <w:pStyle w:val="ListBullet"/>
      </w:pPr>
      <w:r w:rsidRPr="00077FE1">
        <w:t>reduced number churn</w:t>
      </w:r>
      <w:r w:rsidR="001A4BF2">
        <w:t>—</w:t>
      </w:r>
      <w:r w:rsidR="007849D7">
        <w:t xml:space="preserve">that is, </w:t>
      </w:r>
      <w:r w:rsidRPr="00077FE1">
        <w:t xml:space="preserve">numbers on the register </w:t>
      </w:r>
      <w:r w:rsidR="001A4BF2">
        <w:t>were</w:t>
      </w:r>
      <w:r w:rsidR="001A4BF2" w:rsidRPr="00077FE1">
        <w:t xml:space="preserve"> </w:t>
      </w:r>
      <w:r w:rsidRPr="00077FE1">
        <w:t xml:space="preserve">unlikely to </w:t>
      </w:r>
      <w:r w:rsidR="001A4BF2">
        <w:t xml:space="preserve">have </w:t>
      </w:r>
      <w:r w:rsidRPr="00077FE1">
        <w:t>be</w:t>
      </w:r>
      <w:r w:rsidR="001A4BF2">
        <w:t>en</w:t>
      </w:r>
      <w:r w:rsidRPr="00077FE1">
        <w:t xml:space="preserve"> removed</w:t>
      </w:r>
      <w:r w:rsidR="00ED68FF">
        <w:t xml:space="preserve"> </w:t>
      </w:r>
      <w:r w:rsidR="001A4BF2">
        <w:t xml:space="preserve">after </w:t>
      </w:r>
      <w:r w:rsidR="00ED68FF">
        <w:t>the enactment of permanent registration in 2015</w:t>
      </w:r>
      <w:r w:rsidR="00D909F8">
        <w:t>.</w:t>
      </w:r>
    </w:p>
    <w:p w14:paraId="3D7F1420" w14:textId="77777777" w:rsidR="00510E9F" w:rsidRPr="004B014D" w:rsidRDefault="00510E9F" w:rsidP="00510E9F">
      <w:pPr>
        <w:pStyle w:val="Heading1"/>
      </w:pPr>
      <w:bookmarkStart w:id="67" w:name="_Toc417990966"/>
      <w:bookmarkStart w:id="68" w:name="_Toc424115074"/>
      <w:bookmarkStart w:id="69" w:name="_Toc482346600"/>
      <w:bookmarkStart w:id="70" w:name="_Toc518999108"/>
      <w:r>
        <w:lastRenderedPageBreak/>
        <w:t>7B.</w:t>
      </w:r>
      <w:r>
        <w:tab/>
      </w:r>
      <w:r w:rsidRPr="004B014D">
        <w:t>Non-financial performance</w:t>
      </w:r>
      <w:bookmarkEnd w:id="67"/>
      <w:bookmarkEnd w:id="68"/>
      <w:bookmarkEnd w:id="69"/>
      <w:bookmarkEnd w:id="70"/>
    </w:p>
    <w:p w14:paraId="4F33E45E" w14:textId="5D8FF824" w:rsidR="00510E9F" w:rsidRPr="007E671E" w:rsidRDefault="00510E9F" w:rsidP="00D70F0E">
      <w:pPr>
        <w:rPr>
          <w:iCs/>
        </w:rPr>
      </w:pPr>
      <w:r w:rsidRPr="00F77386">
        <w:rPr>
          <w:iCs/>
        </w:rPr>
        <w:t xml:space="preserve">The ACMA’s non-financial performance is largely available through published </w:t>
      </w:r>
      <w:r w:rsidR="007849D7" w:rsidRPr="00CF154B">
        <w:rPr>
          <w:iCs/>
        </w:rPr>
        <w:t>a</w:t>
      </w:r>
      <w:r w:rsidRPr="00CF154B">
        <w:rPr>
          <w:iCs/>
        </w:rPr>
        <w:t xml:space="preserve">nnual </w:t>
      </w:r>
      <w:r w:rsidR="007849D7" w:rsidRPr="004D737D">
        <w:rPr>
          <w:iCs/>
        </w:rPr>
        <w:t>r</w:t>
      </w:r>
      <w:r w:rsidRPr="004D737D">
        <w:rPr>
          <w:iCs/>
        </w:rPr>
        <w:t xml:space="preserve">eports, Portfolio Budget Statements, the Regulatory Performance Framework and the </w:t>
      </w:r>
      <w:hyperlink r:id="rId35" w:history="1">
        <w:r w:rsidRPr="00D909F8">
          <w:rPr>
            <w:rStyle w:val="Hyperlink"/>
            <w:i/>
            <w:iCs/>
          </w:rPr>
          <w:t xml:space="preserve">Corporate </w:t>
        </w:r>
        <w:r w:rsidR="001A4BF2">
          <w:rPr>
            <w:rStyle w:val="Hyperlink"/>
            <w:i/>
            <w:iCs/>
          </w:rPr>
          <w:t>p</w:t>
        </w:r>
        <w:r w:rsidRPr="00D909F8">
          <w:rPr>
            <w:rStyle w:val="Hyperlink"/>
            <w:i/>
            <w:iCs/>
          </w:rPr>
          <w:t>lan 201</w:t>
        </w:r>
        <w:r w:rsidR="00A95507" w:rsidRPr="00D909F8">
          <w:rPr>
            <w:rStyle w:val="Hyperlink"/>
            <w:i/>
            <w:iCs/>
          </w:rPr>
          <w:t>7</w:t>
        </w:r>
        <w:r w:rsidR="007849D7" w:rsidRPr="00D909F8">
          <w:rPr>
            <w:rStyle w:val="Hyperlink"/>
            <w:i/>
            <w:iCs/>
          </w:rPr>
          <w:t>–</w:t>
        </w:r>
        <w:r w:rsidRPr="00D909F8">
          <w:rPr>
            <w:rStyle w:val="Hyperlink"/>
            <w:i/>
            <w:iCs/>
          </w:rPr>
          <w:t>2</w:t>
        </w:r>
        <w:r w:rsidR="00A95507" w:rsidRPr="00D909F8">
          <w:rPr>
            <w:rStyle w:val="Hyperlink"/>
            <w:i/>
            <w:iCs/>
          </w:rPr>
          <w:t>1</w:t>
        </w:r>
      </w:hyperlink>
      <w:r w:rsidRPr="007E671E">
        <w:rPr>
          <w:iCs/>
        </w:rPr>
        <w:t xml:space="preserve">. </w:t>
      </w:r>
    </w:p>
    <w:p w14:paraId="14CCD4B3" w14:textId="235B1CBE" w:rsidR="00510E9F" w:rsidRPr="004D737D" w:rsidRDefault="00510E9F" w:rsidP="00D70F0E">
      <w:pPr>
        <w:spacing w:after="80"/>
        <w:rPr>
          <w:rStyle w:val="BodyTextChar"/>
          <w:i w:val="0"/>
          <w:color w:val="auto"/>
          <w:lang w:eastAsia="en-AU"/>
        </w:rPr>
      </w:pPr>
      <w:r w:rsidRPr="007E671E">
        <w:rPr>
          <w:iCs/>
        </w:rPr>
        <w:t>A range of performance indicators will be used in 201</w:t>
      </w:r>
      <w:r w:rsidR="007E671E" w:rsidRPr="00CF154B">
        <w:rPr>
          <w:iCs/>
        </w:rPr>
        <w:t>8</w:t>
      </w:r>
      <w:r w:rsidR="007849D7" w:rsidRPr="00CF154B">
        <w:rPr>
          <w:iCs/>
        </w:rPr>
        <w:t>–</w:t>
      </w:r>
      <w:r w:rsidRPr="00CF154B">
        <w:rPr>
          <w:iCs/>
        </w:rPr>
        <w:t>1</w:t>
      </w:r>
      <w:r w:rsidR="007E671E" w:rsidRPr="00CF154B">
        <w:rPr>
          <w:iCs/>
        </w:rPr>
        <w:t>9</w:t>
      </w:r>
      <w:r w:rsidRPr="00CF154B">
        <w:rPr>
          <w:iCs/>
        </w:rPr>
        <w:t xml:space="preserve"> to measure the ACMA’s performance </w:t>
      </w:r>
      <w:r w:rsidR="003A25E6">
        <w:rPr>
          <w:iCs/>
        </w:rPr>
        <w:t>in regulating unsolicited communications</w:t>
      </w:r>
      <w:r w:rsidRPr="00CF154B">
        <w:rPr>
          <w:iCs/>
        </w:rPr>
        <w:t>. These include:</w:t>
      </w:r>
    </w:p>
    <w:p w14:paraId="11657524" w14:textId="772F6766" w:rsidR="00510E9F" w:rsidRPr="007E671E" w:rsidRDefault="00510E9F" w:rsidP="003A25E6">
      <w:pPr>
        <w:pStyle w:val="ListBullet"/>
      </w:pPr>
      <w:r w:rsidRPr="004D737D">
        <w:t xml:space="preserve">register services </w:t>
      </w:r>
      <w:r w:rsidR="00373689">
        <w:t>are</w:t>
      </w:r>
      <w:r w:rsidR="00373689" w:rsidRPr="004D737D">
        <w:t xml:space="preserve"> </w:t>
      </w:r>
      <w:r w:rsidRPr="004D737D">
        <w:t>available for at lea</w:t>
      </w:r>
      <w:r w:rsidRPr="007E671E">
        <w:t xml:space="preserve">st 99 </w:t>
      </w:r>
      <w:r w:rsidR="003A25E6">
        <w:t>per cent of the scheduled hours</w:t>
      </w:r>
    </w:p>
    <w:p w14:paraId="7C4B94C1" w14:textId="709EAA97" w:rsidR="00510E9F" w:rsidRDefault="00510E9F" w:rsidP="00C823CF">
      <w:pPr>
        <w:pStyle w:val="ListBullet"/>
      </w:pPr>
      <w:r w:rsidRPr="00A709EF">
        <w:t xml:space="preserve">unsolicited communications investigations </w:t>
      </w:r>
      <w:r w:rsidR="00373689">
        <w:t>are</w:t>
      </w:r>
      <w:r w:rsidR="001A4BF2" w:rsidRPr="007E671E">
        <w:t xml:space="preserve"> </w:t>
      </w:r>
      <w:r w:rsidR="007849D7" w:rsidRPr="007E671E">
        <w:t xml:space="preserve">completed </w:t>
      </w:r>
      <w:r w:rsidR="003A25E6">
        <w:t>in</w:t>
      </w:r>
      <w:r w:rsidRPr="007E671E">
        <w:t xml:space="preserve"> eight months</w:t>
      </w:r>
      <w:r w:rsidR="003A25E6">
        <w:t xml:space="preserve"> or sooner</w:t>
      </w:r>
    </w:p>
    <w:p w14:paraId="24FB96DD" w14:textId="12034A7C" w:rsidR="003A25E6" w:rsidRPr="00C823CF" w:rsidRDefault="003A25E6" w:rsidP="00C823CF">
      <w:pPr>
        <w:pStyle w:val="ListBullet"/>
      </w:pPr>
      <w:r>
        <w:t xml:space="preserve">relevant investigation outcomes </w:t>
      </w:r>
      <w:r w:rsidR="00373689">
        <w:t>are</w:t>
      </w:r>
      <w:r w:rsidR="001A4BF2">
        <w:t xml:space="preserve"> </w:t>
      </w:r>
      <w:r>
        <w:t>published on</w:t>
      </w:r>
      <w:r w:rsidR="001E15D2">
        <w:t xml:space="preserve"> the</w:t>
      </w:r>
      <w:r>
        <w:t xml:space="preserve"> ACMA’s website.</w:t>
      </w:r>
    </w:p>
    <w:p w14:paraId="02E57A84" w14:textId="1102E1EB" w:rsidR="00510E9F" w:rsidRPr="00CC3F4B" w:rsidRDefault="00510E9F" w:rsidP="00510E9F">
      <w:pPr>
        <w:pStyle w:val="Heading1"/>
        <w:ind w:right="-126"/>
      </w:pPr>
      <w:bookmarkStart w:id="71" w:name="_Toc355953994"/>
      <w:bookmarkStart w:id="72" w:name="_Toc482346601"/>
      <w:bookmarkStart w:id="73" w:name="_Toc518999109"/>
      <w:r>
        <w:lastRenderedPageBreak/>
        <w:t>8.</w:t>
      </w:r>
      <w:r>
        <w:tab/>
      </w:r>
      <w:bookmarkStart w:id="74" w:name="_Toc385256323"/>
      <w:bookmarkEnd w:id="71"/>
      <w:r>
        <w:t>K</w:t>
      </w:r>
      <w:r w:rsidRPr="00CC3F4B">
        <w:t>ey forward dates and</w:t>
      </w:r>
      <w:r w:rsidR="003F396A">
        <w:t xml:space="preserve"> </w:t>
      </w:r>
      <w:r w:rsidRPr="00CC3F4B">
        <w:t>events</w:t>
      </w:r>
      <w:bookmarkEnd w:id="72"/>
      <w:bookmarkEnd w:id="73"/>
      <w:bookmarkEnd w:id="74"/>
    </w:p>
    <w:p w14:paraId="01EEA9AC" w14:textId="7AD08419" w:rsidR="00D70F0E" w:rsidRDefault="00D70F0E" w:rsidP="008B0CF9">
      <w:pPr>
        <w:pStyle w:val="ACMATableHeader"/>
      </w:pPr>
      <w:r>
        <w:t xml:space="preserve">Key forward dates and events </w:t>
      </w:r>
      <w:r w:rsidR="008B0CF9" w:rsidRPr="008B0CF9">
        <w:t>for the review of the register subscription fees</w:t>
      </w:r>
    </w:p>
    <w:tbl>
      <w:tblPr>
        <w:tblW w:w="43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248"/>
        <w:gridCol w:w="2412"/>
      </w:tblGrid>
      <w:tr w:rsidR="00D70F0E" w:rsidRPr="00A728F6" w14:paraId="7779CD97" w14:textId="77777777" w:rsidTr="00BF751B">
        <w:trPr>
          <w:trHeight w:val="40"/>
        </w:trPr>
        <w:tc>
          <w:tcPr>
            <w:tcW w:w="3189" w:type="pct"/>
            <w:shd w:val="clear" w:color="auto" w:fill="404040" w:themeFill="text1" w:themeFillTint="BF"/>
            <w:vAlign w:val="center"/>
          </w:tcPr>
          <w:p w14:paraId="3BEFCCC1" w14:textId="77777777" w:rsidR="00D70F0E" w:rsidRPr="0072094F" w:rsidRDefault="00D70F0E" w:rsidP="0072094F">
            <w:pPr>
              <w:pStyle w:val="TableHeading"/>
              <w:rPr>
                <w:b w:val="0"/>
                <w:color w:val="FFFFFF" w:themeColor="background1"/>
              </w:rPr>
            </w:pPr>
            <w:r w:rsidRPr="0072094F">
              <w:rPr>
                <w:color w:val="FFFFFF" w:themeColor="background1"/>
              </w:rPr>
              <w:t>Key events</w:t>
            </w:r>
          </w:p>
        </w:tc>
        <w:tc>
          <w:tcPr>
            <w:tcW w:w="1811" w:type="pct"/>
            <w:shd w:val="clear" w:color="auto" w:fill="404040" w:themeFill="text1" w:themeFillTint="BF"/>
            <w:vAlign w:val="center"/>
          </w:tcPr>
          <w:p w14:paraId="798ED477" w14:textId="77777777" w:rsidR="00D70F0E" w:rsidRPr="0072094F" w:rsidRDefault="00D70F0E" w:rsidP="0072094F">
            <w:pPr>
              <w:pStyle w:val="TableHeading"/>
              <w:rPr>
                <w:b w:val="0"/>
                <w:color w:val="FFFFFF" w:themeColor="background1"/>
              </w:rPr>
            </w:pPr>
            <w:r w:rsidRPr="0072094F">
              <w:rPr>
                <w:color w:val="FFFFFF" w:themeColor="background1"/>
              </w:rPr>
              <w:t>Indicative date</w:t>
            </w:r>
          </w:p>
        </w:tc>
      </w:tr>
      <w:tr w:rsidR="00D70F0E" w:rsidRPr="000D6F80" w14:paraId="2D19FC7E" w14:textId="77777777" w:rsidTr="00A709EF">
        <w:trPr>
          <w:trHeight w:val="145"/>
        </w:trPr>
        <w:tc>
          <w:tcPr>
            <w:tcW w:w="3189" w:type="pct"/>
            <w:vAlign w:val="center"/>
          </w:tcPr>
          <w:p w14:paraId="16D11D82" w14:textId="0BA5D793" w:rsidR="00D70F0E" w:rsidRDefault="00D70F0E" w:rsidP="00A95507">
            <w:pPr>
              <w:spacing w:after="0"/>
              <w:ind w:right="-142"/>
              <w:rPr>
                <w:rFonts w:cs="Arial"/>
                <w:szCs w:val="20"/>
              </w:rPr>
            </w:pPr>
            <w:r>
              <w:rPr>
                <w:rFonts w:cs="Arial"/>
                <w:szCs w:val="20"/>
              </w:rPr>
              <w:t>Update of actual amounts (for 201</w:t>
            </w:r>
            <w:r w:rsidR="00A95507">
              <w:rPr>
                <w:rFonts w:cs="Arial"/>
                <w:szCs w:val="20"/>
              </w:rPr>
              <w:t>7</w:t>
            </w:r>
            <w:r>
              <w:rPr>
                <w:rFonts w:cs="Arial"/>
                <w:szCs w:val="20"/>
              </w:rPr>
              <w:t>–1</w:t>
            </w:r>
            <w:r w:rsidR="00A95507">
              <w:rPr>
                <w:rFonts w:cs="Arial"/>
                <w:szCs w:val="20"/>
              </w:rPr>
              <w:t>8</w:t>
            </w:r>
            <w:r>
              <w:rPr>
                <w:rFonts w:cs="Arial"/>
                <w:szCs w:val="20"/>
              </w:rPr>
              <w:t>)</w:t>
            </w:r>
          </w:p>
        </w:tc>
        <w:tc>
          <w:tcPr>
            <w:tcW w:w="1811" w:type="pct"/>
            <w:shd w:val="clear" w:color="auto" w:fill="auto"/>
            <w:vAlign w:val="center"/>
          </w:tcPr>
          <w:p w14:paraId="6F65BD3F" w14:textId="0993A229" w:rsidR="00D70F0E" w:rsidRPr="00A709EF" w:rsidRDefault="004F3C43" w:rsidP="00CF154B">
            <w:pPr>
              <w:spacing w:after="0"/>
              <w:ind w:right="55"/>
              <w:rPr>
                <w:rFonts w:cs="Arial"/>
                <w:szCs w:val="20"/>
              </w:rPr>
            </w:pPr>
            <w:r>
              <w:rPr>
                <w:rFonts w:cs="Arial"/>
                <w:szCs w:val="20"/>
              </w:rPr>
              <w:t>October</w:t>
            </w:r>
            <w:r w:rsidR="00D70F0E" w:rsidRPr="00A709EF">
              <w:rPr>
                <w:rFonts w:cs="Arial"/>
                <w:szCs w:val="20"/>
              </w:rPr>
              <w:t xml:space="preserve"> 201</w:t>
            </w:r>
            <w:r w:rsidR="00CF154B" w:rsidRPr="00A709EF">
              <w:rPr>
                <w:rFonts w:cs="Arial"/>
                <w:szCs w:val="20"/>
              </w:rPr>
              <w:t>8</w:t>
            </w:r>
          </w:p>
        </w:tc>
      </w:tr>
      <w:tr w:rsidR="00D70F0E" w:rsidRPr="000D6F80" w14:paraId="1A46F5F6" w14:textId="77777777" w:rsidTr="00A709EF">
        <w:trPr>
          <w:trHeight w:val="65"/>
        </w:trPr>
        <w:tc>
          <w:tcPr>
            <w:tcW w:w="3189" w:type="pct"/>
            <w:vAlign w:val="center"/>
          </w:tcPr>
          <w:p w14:paraId="58F8491C" w14:textId="77777777" w:rsidR="00D70F0E" w:rsidRDefault="00D70F0E" w:rsidP="0072094F">
            <w:pPr>
              <w:spacing w:after="0"/>
              <w:ind w:right="-142"/>
              <w:rPr>
                <w:rFonts w:cs="Arial"/>
                <w:szCs w:val="20"/>
              </w:rPr>
            </w:pPr>
            <w:r>
              <w:rPr>
                <w:rFonts w:cs="Arial"/>
                <w:szCs w:val="20"/>
              </w:rPr>
              <w:t>Stakeholder consultation (if required)</w:t>
            </w:r>
          </w:p>
        </w:tc>
        <w:tc>
          <w:tcPr>
            <w:tcW w:w="1811" w:type="pct"/>
            <w:shd w:val="clear" w:color="auto" w:fill="auto"/>
            <w:vAlign w:val="center"/>
          </w:tcPr>
          <w:p w14:paraId="4819A11F" w14:textId="00D6C5F4" w:rsidR="00D70F0E" w:rsidRPr="00A709EF" w:rsidRDefault="00CF154B" w:rsidP="000C3A96">
            <w:pPr>
              <w:spacing w:after="0"/>
              <w:ind w:right="55"/>
              <w:rPr>
                <w:rFonts w:cs="Arial"/>
                <w:szCs w:val="20"/>
              </w:rPr>
            </w:pPr>
            <w:r w:rsidRPr="00A709EF">
              <w:rPr>
                <w:rFonts w:cs="Arial"/>
                <w:szCs w:val="20"/>
              </w:rPr>
              <w:t>Oct</w:t>
            </w:r>
            <w:r w:rsidR="00A95507" w:rsidRPr="00A709EF">
              <w:rPr>
                <w:rFonts w:cs="Arial"/>
                <w:szCs w:val="20"/>
              </w:rPr>
              <w:t>ober/</w:t>
            </w:r>
            <w:r w:rsidR="000C3A96">
              <w:rPr>
                <w:rFonts w:cs="Arial"/>
                <w:szCs w:val="20"/>
              </w:rPr>
              <w:t>December</w:t>
            </w:r>
            <w:r w:rsidR="000C3A96" w:rsidRPr="00A709EF">
              <w:rPr>
                <w:rFonts w:cs="Arial"/>
                <w:szCs w:val="20"/>
              </w:rPr>
              <w:t xml:space="preserve"> </w:t>
            </w:r>
            <w:r w:rsidR="00D70F0E" w:rsidRPr="00A709EF">
              <w:rPr>
                <w:rFonts w:cs="Arial"/>
                <w:szCs w:val="20"/>
              </w:rPr>
              <w:t>2018</w:t>
            </w:r>
          </w:p>
        </w:tc>
      </w:tr>
      <w:tr w:rsidR="00D70F0E" w:rsidRPr="000D6F80" w14:paraId="4180C77B" w14:textId="77777777" w:rsidTr="00A709EF">
        <w:trPr>
          <w:trHeight w:val="114"/>
        </w:trPr>
        <w:tc>
          <w:tcPr>
            <w:tcW w:w="3189" w:type="pct"/>
            <w:vAlign w:val="center"/>
          </w:tcPr>
          <w:p w14:paraId="2F568DB9" w14:textId="77777777" w:rsidR="00D70F0E" w:rsidRPr="00A728F6" w:rsidRDefault="00D70F0E" w:rsidP="0072094F">
            <w:pPr>
              <w:spacing w:after="0"/>
              <w:ind w:right="-142"/>
              <w:rPr>
                <w:rFonts w:cs="Arial"/>
                <w:szCs w:val="20"/>
              </w:rPr>
            </w:pPr>
            <w:r>
              <w:rPr>
                <w:rFonts w:cs="Arial"/>
                <w:szCs w:val="20"/>
              </w:rPr>
              <w:t>Update of forward estimates</w:t>
            </w:r>
          </w:p>
        </w:tc>
        <w:tc>
          <w:tcPr>
            <w:tcW w:w="1811" w:type="pct"/>
            <w:shd w:val="clear" w:color="auto" w:fill="auto"/>
            <w:vAlign w:val="center"/>
          </w:tcPr>
          <w:p w14:paraId="2687C441" w14:textId="40AF6E1C" w:rsidR="00D70F0E" w:rsidRPr="00A709EF" w:rsidRDefault="00D70F0E" w:rsidP="0072094F">
            <w:pPr>
              <w:spacing w:after="0"/>
              <w:ind w:right="55"/>
              <w:rPr>
                <w:rFonts w:cs="Arial"/>
                <w:szCs w:val="20"/>
              </w:rPr>
            </w:pPr>
            <w:r w:rsidRPr="00A709EF">
              <w:rPr>
                <w:rFonts w:cs="Arial"/>
                <w:szCs w:val="20"/>
              </w:rPr>
              <w:t>June 201</w:t>
            </w:r>
            <w:r w:rsidR="004D737D" w:rsidRPr="00A709EF">
              <w:rPr>
                <w:rFonts w:cs="Arial"/>
                <w:szCs w:val="20"/>
              </w:rPr>
              <w:t>9</w:t>
            </w:r>
          </w:p>
        </w:tc>
      </w:tr>
    </w:tbl>
    <w:p w14:paraId="047199AC" w14:textId="77777777" w:rsidR="00510E9F" w:rsidRDefault="00510E9F" w:rsidP="00510E9F"/>
    <w:p w14:paraId="152102C0" w14:textId="30144902" w:rsidR="00510E9F" w:rsidRPr="00CC3F4B" w:rsidRDefault="00510E9F" w:rsidP="00510E9F">
      <w:pPr>
        <w:pStyle w:val="Heading1"/>
      </w:pPr>
      <w:bookmarkStart w:id="75" w:name="_Toc355953995"/>
      <w:bookmarkStart w:id="76" w:name="_Toc385256324"/>
      <w:bookmarkStart w:id="77" w:name="_Toc482346602"/>
      <w:bookmarkStart w:id="78" w:name="_Toc518999110"/>
      <w:bookmarkEnd w:id="50"/>
      <w:r>
        <w:lastRenderedPageBreak/>
        <w:t>9</w:t>
      </w:r>
      <w:r w:rsidRPr="00CC3F4B">
        <w:t xml:space="preserve">. </w:t>
      </w:r>
      <w:r w:rsidRPr="00CC3F4B">
        <w:tab/>
      </w:r>
      <w:bookmarkEnd w:id="75"/>
      <w:r>
        <w:t>CRIS</w:t>
      </w:r>
      <w:r w:rsidRPr="00CC3F4B">
        <w:t xml:space="preserve"> approval and change</w:t>
      </w:r>
      <w:r>
        <w:t> </w:t>
      </w:r>
      <w:r w:rsidRPr="00CC3F4B">
        <w:t>register</w:t>
      </w:r>
      <w:bookmarkEnd w:id="76"/>
      <w:bookmarkEnd w:id="77"/>
      <w:bookmarkEnd w:id="78"/>
    </w:p>
    <w:p w14:paraId="2E733A1F" w14:textId="77777777" w:rsidR="00510E9F" w:rsidRDefault="00510E9F" w:rsidP="00510E9F">
      <w:pPr>
        <w:pStyle w:val="Bodysubheader0"/>
        <w:spacing w:after="120"/>
      </w:pPr>
      <w:r w:rsidRPr="00705A4A">
        <w:t>Certification</w:t>
      </w:r>
    </w:p>
    <w:p w14:paraId="5D027B37" w14:textId="433DD0B6" w:rsidR="00A709EF" w:rsidRDefault="00510E9F" w:rsidP="00A709EF">
      <w:pPr>
        <w:spacing w:after="3400"/>
        <w:rPr>
          <w:noProof/>
        </w:rPr>
      </w:pPr>
      <w:r w:rsidRPr="00A84CBD">
        <w:t>I certify that this CRIS complies with the Australian Government Cost Recovery Guidelines.</w:t>
      </w:r>
      <w:r w:rsidR="00BF751B" w:rsidRPr="00BF751B">
        <w:rPr>
          <w:noProof/>
        </w:rPr>
        <w:t xml:space="preserve"> </w:t>
      </w:r>
    </w:p>
    <w:p w14:paraId="357CA6E4" w14:textId="1A945800" w:rsidR="00A709EF" w:rsidRDefault="005C1A89" w:rsidP="00A709EF">
      <w:pPr>
        <w:spacing w:after="120" w:line="240" w:lineRule="auto"/>
        <w:rPr>
          <w:noProof/>
        </w:rPr>
      </w:pPr>
      <w:r>
        <w:rPr>
          <w:noProof/>
        </w:rPr>
        <w:t>Creina Chapman</w:t>
      </w:r>
    </w:p>
    <w:p w14:paraId="4505BD12" w14:textId="4800C819" w:rsidR="00A709EF" w:rsidRDefault="005C1A89" w:rsidP="00A709EF">
      <w:pPr>
        <w:spacing w:after="120" w:line="240" w:lineRule="auto"/>
        <w:rPr>
          <w:noProof/>
        </w:rPr>
      </w:pPr>
      <w:r>
        <w:rPr>
          <w:noProof/>
        </w:rPr>
        <w:t xml:space="preserve">Acting </w:t>
      </w:r>
      <w:r w:rsidR="00A709EF">
        <w:rPr>
          <w:noProof/>
        </w:rPr>
        <w:t>Chair and Agency Head</w:t>
      </w:r>
    </w:p>
    <w:p w14:paraId="6C2752AA" w14:textId="3391DE7B" w:rsidR="00BF751B" w:rsidRDefault="00BF751B" w:rsidP="00BF751B">
      <w:pPr>
        <w:spacing w:after="720"/>
        <w:ind w:left="-709"/>
      </w:pPr>
    </w:p>
    <w:p w14:paraId="3ADA95A8" w14:textId="64D56621" w:rsidR="00510E9F" w:rsidRPr="006329A9" w:rsidRDefault="00BF751B" w:rsidP="00D70F0E">
      <w:pPr>
        <w:pStyle w:val="ACMATableHeader"/>
        <w:rPr>
          <w:rFonts w:cs="Arial"/>
          <w:i/>
          <w:color w:val="auto"/>
        </w:rPr>
      </w:pPr>
      <w:r>
        <w:t>C</w:t>
      </w:r>
      <w:r w:rsidR="00D70F0E">
        <w:t>hange register</w:t>
      </w:r>
    </w:p>
    <w:tbl>
      <w:tblPr>
        <w:tblStyle w:val="TableGrid"/>
        <w:tblW w:w="8597" w:type="dxa"/>
        <w:tblLayout w:type="fixed"/>
        <w:tblCellMar>
          <w:top w:w="57" w:type="dxa"/>
          <w:left w:w="57" w:type="dxa"/>
          <w:bottom w:w="57" w:type="dxa"/>
          <w:right w:w="57" w:type="dxa"/>
        </w:tblCellMar>
        <w:tblLook w:val="04A0" w:firstRow="1" w:lastRow="0" w:firstColumn="1" w:lastColumn="0" w:noHBand="0" w:noVBand="1"/>
        <w:tblCaption w:val="Change register"/>
        <w:tblDescription w:val="Includes date and description of CRIS change, approver and basis for change."/>
      </w:tblPr>
      <w:tblGrid>
        <w:gridCol w:w="2149"/>
        <w:gridCol w:w="2400"/>
        <w:gridCol w:w="1898"/>
        <w:gridCol w:w="2150"/>
      </w:tblGrid>
      <w:tr w:rsidR="006329A9" w:rsidRPr="00EA09FC" w14:paraId="2EF7E23B" w14:textId="77777777" w:rsidTr="001A4BF2">
        <w:trPr>
          <w:trHeight w:val="469"/>
          <w:tblHeader/>
        </w:trPr>
        <w:tc>
          <w:tcPr>
            <w:tcW w:w="2149" w:type="dxa"/>
            <w:shd w:val="clear" w:color="auto" w:fill="404040" w:themeFill="text1" w:themeFillTint="BF"/>
          </w:tcPr>
          <w:p w14:paraId="6EAC2864" w14:textId="77777777" w:rsidR="006329A9" w:rsidRPr="00BF751B" w:rsidRDefault="006329A9" w:rsidP="00BF751B">
            <w:pPr>
              <w:pStyle w:val="TableHeading"/>
              <w:rPr>
                <w:b w:val="0"/>
                <w:i/>
                <w:color w:val="FFFFFF" w:themeColor="background1"/>
              </w:rPr>
            </w:pPr>
            <w:r w:rsidRPr="00BF751B">
              <w:rPr>
                <w:color w:val="FFFFFF" w:themeColor="background1"/>
              </w:rPr>
              <w:t>Date of CRIS change</w:t>
            </w:r>
          </w:p>
        </w:tc>
        <w:tc>
          <w:tcPr>
            <w:tcW w:w="2400" w:type="dxa"/>
            <w:shd w:val="clear" w:color="auto" w:fill="404040" w:themeFill="text1" w:themeFillTint="BF"/>
          </w:tcPr>
          <w:p w14:paraId="5D9686C7" w14:textId="77777777" w:rsidR="006329A9" w:rsidRPr="00BF751B" w:rsidRDefault="006329A9" w:rsidP="00BF751B">
            <w:pPr>
              <w:pStyle w:val="TableHeading"/>
              <w:rPr>
                <w:b w:val="0"/>
                <w:i/>
                <w:color w:val="FFFFFF" w:themeColor="background1"/>
              </w:rPr>
            </w:pPr>
            <w:r w:rsidRPr="00BF751B">
              <w:rPr>
                <w:color w:val="FFFFFF" w:themeColor="background1"/>
              </w:rPr>
              <w:t>Description of CRIS change</w:t>
            </w:r>
          </w:p>
        </w:tc>
        <w:tc>
          <w:tcPr>
            <w:tcW w:w="1898" w:type="dxa"/>
            <w:shd w:val="clear" w:color="auto" w:fill="404040" w:themeFill="text1" w:themeFillTint="BF"/>
          </w:tcPr>
          <w:p w14:paraId="72BD6345" w14:textId="77777777" w:rsidR="006329A9" w:rsidRPr="00BF751B" w:rsidRDefault="006329A9" w:rsidP="00BF751B">
            <w:pPr>
              <w:pStyle w:val="TableHeading"/>
              <w:rPr>
                <w:b w:val="0"/>
                <w:i/>
                <w:color w:val="FFFFFF" w:themeColor="background1"/>
              </w:rPr>
            </w:pPr>
            <w:r w:rsidRPr="00BF751B">
              <w:rPr>
                <w:color w:val="FFFFFF" w:themeColor="background1"/>
              </w:rPr>
              <w:t>Approver</w:t>
            </w:r>
          </w:p>
        </w:tc>
        <w:tc>
          <w:tcPr>
            <w:tcW w:w="2150" w:type="dxa"/>
            <w:shd w:val="clear" w:color="auto" w:fill="404040" w:themeFill="text1" w:themeFillTint="BF"/>
          </w:tcPr>
          <w:p w14:paraId="66964C3E" w14:textId="77777777" w:rsidR="006329A9" w:rsidRPr="00BF751B" w:rsidRDefault="006329A9" w:rsidP="00BF751B">
            <w:pPr>
              <w:pStyle w:val="TableHeading"/>
              <w:rPr>
                <w:b w:val="0"/>
                <w:i/>
                <w:color w:val="FFFFFF" w:themeColor="background1"/>
              </w:rPr>
            </w:pPr>
            <w:r w:rsidRPr="00BF751B">
              <w:rPr>
                <w:color w:val="FFFFFF" w:themeColor="background1"/>
              </w:rPr>
              <w:t>Basis for change</w:t>
            </w:r>
          </w:p>
        </w:tc>
      </w:tr>
      <w:tr w:rsidR="00761C12" w:rsidRPr="00EA09FC" w14:paraId="33627324" w14:textId="77777777" w:rsidTr="001A4BF2">
        <w:trPr>
          <w:trHeight w:val="485"/>
        </w:trPr>
        <w:tc>
          <w:tcPr>
            <w:tcW w:w="2149" w:type="dxa"/>
          </w:tcPr>
          <w:p w14:paraId="4C5015B1" w14:textId="700A0A3C" w:rsidR="00761C12" w:rsidRDefault="007D088B" w:rsidP="001A4BF2">
            <w:pPr>
              <w:spacing w:after="0"/>
            </w:pPr>
            <w:r>
              <w:t>9</w:t>
            </w:r>
            <w:bookmarkStart w:id="79" w:name="_GoBack"/>
            <w:bookmarkEnd w:id="79"/>
            <w:r w:rsidR="001A4BF2">
              <w:t xml:space="preserve"> </w:t>
            </w:r>
            <w:r w:rsidR="00761C12">
              <w:t>Ju</w:t>
            </w:r>
            <w:r w:rsidR="00FE42EF">
              <w:t>ly</w:t>
            </w:r>
            <w:r w:rsidR="00761C12">
              <w:t xml:space="preserve"> 2018</w:t>
            </w:r>
          </w:p>
        </w:tc>
        <w:tc>
          <w:tcPr>
            <w:tcW w:w="2400" w:type="dxa"/>
          </w:tcPr>
          <w:p w14:paraId="2DF655FB" w14:textId="77777777" w:rsidR="00761C12" w:rsidRDefault="00761C12" w:rsidP="001A4BF2">
            <w:pPr>
              <w:spacing w:after="80"/>
            </w:pPr>
            <w:r>
              <w:t>Certification of the CRIS</w:t>
            </w:r>
          </w:p>
          <w:p w14:paraId="375CF279" w14:textId="72F18065" w:rsidR="000E3848" w:rsidRPr="00EA09FC" w:rsidRDefault="000E3848" w:rsidP="001A4BF2">
            <w:pPr>
              <w:spacing w:after="0"/>
            </w:pPr>
            <w:r>
              <w:t>Version 4.0</w:t>
            </w:r>
          </w:p>
        </w:tc>
        <w:tc>
          <w:tcPr>
            <w:tcW w:w="1898" w:type="dxa"/>
          </w:tcPr>
          <w:p w14:paraId="03CEE50D" w14:textId="30E152AC" w:rsidR="00761C12" w:rsidRPr="00EA09FC" w:rsidRDefault="005C1A89" w:rsidP="001A4BF2">
            <w:pPr>
              <w:spacing w:after="0"/>
            </w:pPr>
            <w:r>
              <w:t xml:space="preserve">Acting </w:t>
            </w:r>
            <w:r w:rsidR="00761C12">
              <w:t>ACMA Chair and Agency Head</w:t>
            </w:r>
          </w:p>
        </w:tc>
        <w:tc>
          <w:tcPr>
            <w:tcW w:w="2150" w:type="dxa"/>
          </w:tcPr>
          <w:p w14:paraId="3335D613" w14:textId="5EA1D8BF" w:rsidR="00761C12" w:rsidRPr="00EA09FC" w:rsidRDefault="00761C12" w:rsidP="001A4BF2">
            <w:pPr>
              <w:spacing w:after="0"/>
            </w:pPr>
            <w:r>
              <w:t>Annual CRIS update</w:t>
            </w:r>
          </w:p>
        </w:tc>
      </w:tr>
      <w:tr w:rsidR="006329A9" w:rsidRPr="00EA09FC" w14:paraId="6E90F758" w14:textId="77777777" w:rsidTr="001A4BF2">
        <w:trPr>
          <w:trHeight w:val="485"/>
        </w:trPr>
        <w:tc>
          <w:tcPr>
            <w:tcW w:w="2149" w:type="dxa"/>
          </w:tcPr>
          <w:p w14:paraId="76AEC700" w14:textId="14F719B6" w:rsidR="006329A9" w:rsidRDefault="004F3C43" w:rsidP="001A4BF2">
            <w:pPr>
              <w:spacing w:after="0"/>
            </w:pPr>
            <w:r>
              <w:t xml:space="preserve">26 </w:t>
            </w:r>
            <w:r w:rsidR="00A95507">
              <w:t>June</w:t>
            </w:r>
            <w:r w:rsidR="006329A9">
              <w:t xml:space="preserve"> 2017</w:t>
            </w:r>
          </w:p>
        </w:tc>
        <w:tc>
          <w:tcPr>
            <w:tcW w:w="2400" w:type="dxa"/>
          </w:tcPr>
          <w:p w14:paraId="2A15357A" w14:textId="77777777" w:rsidR="006329A9" w:rsidRPr="00EA09FC" w:rsidRDefault="006329A9" w:rsidP="001A4BF2">
            <w:pPr>
              <w:spacing w:after="80"/>
            </w:pPr>
            <w:r w:rsidRPr="00EA09FC">
              <w:t>A</w:t>
            </w:r>
            <w:r>
              <w:t>pproval</w:t>
            </w:r>
            <w:r w:rsidRPr="00EA09FC">
              <w:t xml:space="preserve"> to the CRIS</w:t>
            </w:r>
          </w:p>
          <w:p w14:paraId="0AB14125" w14:textId="77777777" w:rsidR="006329A9" w:rsidRPr="00EA09FC" w:rsidRDefault="006329A9" w:rsidP="001A4BF2">
            <w:pPr>
              <w:spacing w:after="0"/>
            </w:pPr>
            <w:r w:rsidRPr="00EA09FC">
              <w:t xml:space="preserve">Version </w:t>
            </w:r>
            <w:r>
              <w:t>3</w:t>
            </w:r>
            <w:r w:rsidRPr="00EA09FC">
              <w:t>.0</w:t>
            </w:r>
          </w:p>
        </w:tc>
        <w:tc>
          <w:tcPr>
            <w:tcW w:w="1898" w:type="dxa"/>
          </w:tcPr>
          <w:p w14:paraId="4D1CE848" w14:textId="77777777" w:rsidR="006329A9" w:rsidRDefault="006329A9" w:rsidP="001A4BF2">
            <w:pPr>
              <w:spacing w:after="0"/>
            </w:pPr>
            <w:r w:rsidRPr="00EA09FC">
              <w:t>The Minister for Communications</w:t>
            </w:r>
          </w:p>
        </w:tc>
        <w:tc>
          <w:tcPr>
            <w:tcW w:w="2150" w:type="dxa"/>
          </w:tcPr>
          <w:p w14:paraId="6907E2B4" w14:textId="77777777" w:rsidR="006329A9" w:rsidRPr="00EA09FC" w:rsidRDefault="006329A9" w:rsidP="001A4BF2">
            <w:pPr>
              <w:spacing w:after="0"/>
            </w:pPr>
            <w:r w:rsidRPr="00EA09FC">
              <w:t>Annual CRIS update</w:t>
            </w:r>
          </w:p>
        </w:tc>
      </w:tr>
      <w:tr w:rsidR="006329A9" w:rsidRPr="00EA09FC" w14:paraId="6AF34F60" w14:textId="77777777" w:rsidTr="001A4BF2">
        <w:trPr>
          <w:trHeight w:val="485"/>
        </w:trPr>
        <w:tc>
          <w:tcPr>
            <w:tcW w:w="2149" w:type="dxa"/>
            <w:shd w:val="clear" w:color="auto" w:fill="auto"/>
          </w:tcPr>
          <w:p w14:paraId="4A6DD0A5" w14:textId="3E975860" w:rsidR="006329A9" w:rsidRDefault="004F3C43" w:rsidP="001A4BF2">
            <w:pPr>
              <w:spacing w:after="0"/>
            </w:pPr>
            <w:r>
              <w:t xml:space="preserve">15 </w:t>
            </w:r>
            <w:r w:rsidR="006329A9">
              <w:t>May 2017</w:t>
            </w:r>
          </w:p>
        </w:tc>
        <w:tc>
          <w:tcPr>
            <w:tcW w:w="2400" w:type="dxa"/>
          </w:tcPr>
          <w:p w14:paraId="71EA3683" w14:textId="77777777" w:rsidR="006329A9" w:rsidRPr="00EA09FC" w:rsidRDefault="006329A9" w:rsidP="001A4BF2">
            <w:pPr>
              <w:spacing w:after="80"/>
            </w:pPr>
            <w:r w:rsidRPr="00EA09FC">
              <w:t>Certification of the CRIS</w:t>
            </w:r>
          </w:p>
          <w:p w14:paraId="413A20FF" w14:textId="77777777" w:rsidR="006329A9" w:rsidRPr="00EA09FC" w:rsidRDefault="006329A9" w:rsidP="001A4BF2">
            <w:pPr>
              <w:spacing w:after="0"/>
            </w:pPr>
            <w:r w:rsidRPr="00EA09FC">
              <w:t xml:space="preserve">Version </w:t>
            </w:r>
            <w:r>
              <w:t>3</w:t>
            </w:r>
            <w:r w:rsidRPr="00EA09FC">
              <w:t>.0</w:t>
            </w:r>
          </w:p>
        </w:tc>
        <w:tc>
          <w:tcPr>
            <w:tcW w:w="1898" w:type="dxa"/>
          </w:tcPr>
          <w:p w14:paraId="6E10B592" w14:textId="77777777" w:rsidR="006329A9" w:rsidRDefault="006329A9" w:rsidP="001A4BF2">
            <w:pPr>
              <w:spacing w:after="0"/>
            </w:pPr>
            <w:r>
              <w:t>ACMA Chairman</w:t>
            </w:r>
          </w:p>
        </w:tc>
        <w:tc>
          <w:tcPr>
            <w:tcW w:w="2150" w:type="dxa"/>
          </w:tcPr>
          <w:p w14:paraId="12128133" w14:textId="77777777" w:rsidR="006329A9" w:rsidRPr="00EA09FC" w:rsidRDefault="006329A9" w:rsidP="001A4BF2">
            <w:pPr>
              <w:spacing w:after="0"/>
            </w:pPr>
            <w:r w:rsidRPr="00EA09FC">
              <w:t>Annual CRIS update</w:t>
            </w:r>
          </w:p>
        </w:tc>
      </w:tr>
      <w:tr w:rsidR="006329A9" w:rsidRPr="00EA09FC" w14:paraId="57F2EA73" w14:textId="77777777" w:rsidTr="001A4BF2">
        <w:trPr>
          <w:trHeight w:val="485"/>
        </w:trPr>
        <w:tc>
          <w:tcPr>
            <w:tcW w:w="2149" w:type="dxa"/>
            <w:shd w:val="clear" w:color="auto" w:fill="auto"/>
          </w:tcPr>
          <w:p w14:paraId="13390B84" w14:textId="77777777" w:rsidR="006329A9" w:rsidRPr="00EA09FC" w:rsidRDefault="006329A9" w:rsidP="001A4BF2">
            <w:pPr>
              <w:spacing w:after="0"/>
            </w:pPr>
            <w:r>
              <w:t xml:space="preserve">18 August </w:t>
            </w:r>
            <w:r w:rsidRPr="00EA09FC">
              <w:t>2016</w:t>
            </w:r>
          </w:p>
        </w:tc>
        <w:tc>
          <w:tcPr>
            <w:tcW w:w="2400" w:type="dxa"/>
          </w:tcPr>
          <w:p w14:paraId="0E7B8153" w14:textId="77777777" w:rsidR="006329A9" w:rsidRPr="00EA09FC" w:rsidRDefault="006329A9" w:rsidP="001A4BF2">
            <w:pPr>
              <w:spacing w:after="80"/>
            </w:pPr>
            <w:r w:rsidRPr="00EA09FC">
              <w:t>Certification of the CRIS</w:t>
            </w:r>
          </w:p>
          <w:p w14:paraId="331D13BC" w14:textId="77777777" w:rsidR="006329A9" w:rsidRPr="00EA09FC" w:rsidRDefault="006329A9" w:rsidP="001A4BF2">
            <w:pPr>
              <w:spacing w:after="0"/>
            </w:pPr>
            <w:r w:rsidRPr="00EA09FC">
              <w:t>Version 2.0</w:t>
            </w:r>
          </w:p>
        </w:tc>
        <w:tc>
          <w:tcPr>
            <w:tcW w:w="1898" w:type="dxa"/>
          </w:tcPr>
          <w:p w14:paraId="7D8AF12E" w14:textId="77777777" w:rsidR="006329A9" w:rsidRPr="00EA09FC" w:rsidRDefault="006329A9" w:rsidP="001A4BF2">
            <w:pPr>
              <w:spacing w:after="0"/>
            </w:pPr>
            <w:r>
              <w:t>ACMA Chairman</w:t>
            </w:r>
          </w:p>
        </w:tc>
        <w:tc>
          <w:tcPr>
            <w:tcW w:w="2150" w:type="dxa"/>
          </w:tcPr>
          <w:p w14:paraId="56536267" w14:textId="77777777" w:rsidR="006329A9" w:rsidRPr="00EA09FC" w:rsidRDefault="006329A9" w:rsidP="001A4BF2">
            <w:pPr>
              <w:spacing w:after="0"/>
            </w:pPr>
            <w:r w:rsidRPr="00EA09FC">
              <w:t>Annual CRIS update</w:t>
            </w:r>
          </w:p>
        </w:tc>
      </w:tr>
      <w:tr w:rsidR="006329A9" w:rsidRPr="00EA09FC" w14:paraId="6C45C863" w14:textId="77777777" w:rsidTr="001A4BF2">
        <w:trPr>
          <w:trHeight w:val="485"/>
        </w:trPr>
        <w:tc>
          <w:tcPr>
            <w:tcW w:w="2149" w:type="dxa"/>
          </w:tcPr>
          <w:p w14:paraId="1D19203C" w14:textId="77777777" w:rsidR="006329A9" w:rsidRPr="00EA09FC" w:rsidRDefault="006329A9" w:rsidP="001A4BF2">
            <w:pPr>
              <w:spacing w:after="0"/>
            </w:pPr>
            <w:r w:rsidRPr="00EA09FC">
              <w:t>30 July 2014</w:t>
            </w:r>
          </w:p>
        </w:tc>
        <w:tc>
          <w:tcPr>
            <w:tcW w:w="2400" w:type="dxa"/>
          </w:tcPr>
          <w:p w14:paraId="67F66B32" w14:textId="77777777" w:rsidR="006329A9" w:rsidRPr="00EA09FC" w:rsidRDefault="006329A9" w:rsidP="001A4BF2">
            <w:pPr>
              <w:spacing w:after="80"/>
            </w:pPr>
            <w:r w:rsidRPr="00EA09FC">
              <w:t>Agreement to the CRIS</w:t>
            </w:r>
          </w:p>
          <w:p w14:paraId="737B4F5A" w14:textId="77777777" w:rsidR="006329A9" w:rsidRPr="00EA09FC" w:rsidRDefault="006329A9" w:rsidP="001A4BF2">
            <w:pPr>
              <w:spacing w:after="0"/>
            </w:pPr>
            <w:r w:rsidRPr="00EA09FC">
              <w:t>Version 1.0</w:t>
            </w:r>
          </w:p>
        </w:tc>
        <w:tc>
          <w:tcPr>
            <w:tcW w:w="1898" w:type="dxa"/>
          </w:tcPr>
          <w:p w14:paraId="5CA02901" w14:textId="77777777" w:rsidR="006329A9" w:rsidRPr="00EA09FC" w:rsidRDefault="006329A9" w:rsidP="001A4BF2">
            <w:pPr>
              <w:spacing w:after="0"/>
            </w:pPr>
            <w:r w:rsidRPr="00EA09FC">
              <w:t>The Minister for Communications</w:t>
            </w:r>
          </w:p>
        </w:tc>
        <w:tc>
          <w:tcPr>
            <w:tcW w:w="2150" w:type="dxa"/>
          </w:tcPr>
          <w:p w14:paraId="0751E834" w14:textId="77777777" w:rsidR="006329A9" w:rsidRPr="00EA09FC" w:rsidRDefault="006329A9" w:rsidP="001A4BF2">
            <w:pPr>
              <w:spacing w:after="0"/>
            </w:pPr>
            <w:r w:rsidRPr="00EA09FC">
              <w:t>Annual CRIS update</w:t>
            </w:r>
          </w:p>
        </w:tc>
      </w:tr>
      <w:tr w:rsidR="006329A9" w14:paraId="6876E2F6" w14:textId="77777777" w:rsidTr="001A4BF2">
        <w:trPr>
          <w:trHeight w:val="485"/>
        </w:trPr>
        <w:tc>
          <w:tcPr>
            <w:tcW w:w="2149" w:type="dxa"/>
          </w:tcPr>
          <w:p w14:paraId="4C257254" w14:textId="77777777" w:rsidR="006329A9" w:rsidRPr="00EA09FC" w:rsidRDefault="006329A9" w:rsidP="001A4BF2">
            <w:pPr>
              <w:spacing w:after="0"/>
              <w:rPr>
                <w:b/>
                <w:i/>
              </w:rPr>
            </w:pPr>
            <w:r w:rsidRPr="00EA09FC">
              <w:t>27 June 2014</w:t>
            </w:r>
          </w:p>
        </w:tc>
        <w:tc>
          <w:tcPr>
            <w:tcW w:w="2400" w:type="dxa"/>
          </w:tcPr>
          <w:p w14:paraId="539FDDCD" w14:textId="77777777" w:rsidR="006329A9" w:rsidRPr="00EA09FC" w:rsidRDefault="006329A9" w:rsidP="001A4BF2">
            <w:pPr>
              <w:spacing w:after="80"/>
            </w:pPr>
            <w:r w:rsidRPr="00EA09FC">
              <w:t>Certification of the CRIS</w:t>
            </w:r>
          </w:p>
          <w:p w14:paraId="370CE0C8" w14:textId="77777777" w:rsidR="006329A9" w:rsidRPr="00EA09FC" w:rsidRDefault="006329A9" w:rsidP="001A4BF2">
            <w:pPr>
              <w:spacing w:after="0"/>
              <w:rPr>
                <w:b/>
                <w:i/>
              </w:rPr>
            </w:pPr>
            <w:r w:rsidRPr="00EA09FC">
              <w:t>Version 1.0</w:t>
            </w:r>
          </w:p>
        </w:tc>
        <w:tc>
          <w:tcPr>
            <w:tcW w:w="1898" w:type="dxa"/>
          </w:tcPr>
          <w:p w14:paraId="0418344C" w14:textId="77777777" w:rsidR="006329A9" w:rsidRPr="00EA09FC" w:rsidRDefault="006329A9" w:rsidP="001A4BF2">
            <w:pPr>
              <w:spacing w:after="0"/>
              <w:rPr>
                <w:b/>
                <w:i/>
              </w:rPr>
            </w:pPr>
            <w:r w:rsidRPr="00EA09FC">
              <w:t>ACMA CEO</w:t>
            </w:r>
          </w:p>
        </w:tc>
        <w:tc>
          <w:tcPr>
            <w:tcW w:w="2150" w:type="dxa"/>
          </w:tcPr>
          <w:p w14:paraId="2F9B00B5" w14:textId="77777777" w:rsidR="006329A9" w:rsidRPr="00C44F8A" w:rsidRDefault="006329A9" w:rsidP="001A4BF2">
            <w:pPr>
              <w:spacing w:after="0"/>
              <w:rPr>
                <w:b/>
              </w:rPr>
            </w:pPr>
            <w:r w:rsidRPr="00EA09FC">
              <w:t>Annual CRIS update</w:t>
            </w:r>
          </w:p>
        </w:tc>
      </w:tr>
    </w:tbl>
    <w:p w14:paraId="33EDF4F3" w14:textId="77777777" w:rsidR="006329A9" w:rsidRDefault="006329A9" w:rsidP="006329A9">
      <w:pPr>
        <w:pStyle w:val="ACMATableHeader"/>
        <w:numPr>
          <w:ilvl w:val="0"/>
          <w:numId w:val="0"/>
        </w:numPr>
        <w:ind w:left="964" w:hanging="964"/>
        <w:rPr>
          <w:rFonts w:cs="Arial"/>
          <w:i/>
          <w:color w:val="auto"/>
        </w:rPr>
      </w:pPr>
    </w:p>
    <w:sectPr w:rsidR="006329A9" w:rsidSect="00C77380">
      <w:headerReference w:type="even" r:id="rId36"/>
      <w:headerReference w:type="default" r:id="rId37"/>
      <w:footerReference w:type="even" r:id="rId38"/>
      <w:footerReference w:type="default" r:id="rId39"/>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743D9" w14:textId="77777777" w:rsidR="00BE4EC0" w:rsidRDefault="00BE4EC0">
      <w:r>
        <w:separator/>
      </w:r>
    </w:p>
  </w:endnote>
  <w:endnote w:type="continuationSeparator" w:id="0">
    <w:p w14:paraId="5DEE2D7A" w14:textId="77777777" w:rsidR="00BE4EC0" w:rsidRDefault="00BE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Antiqu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E4748" w14:textId="77777777" w:rsidR="00693DC6" w:rsidRPr="00A5474E" w:rsidRDefault="00693DC6" w:rsidP="00A5474E">
    <w:pPr>
      <w:pStyle w:val="Footer"/>
    </w:pPr>
    <w:r>
      <w:rPr>
        <w:noProof/>
      </w:rPr>
      <w:drawing>
        <wp:inline distT="0" distB="0" distL="0" distR="0" wp14:anchorId="186B15E3" wp14:editId="5F335DA9">
          <wp:extent cx="3483864" cy="249613"/>
          <wp:effectExtent l="0" t="0" r="0" b="0"/>
          <wp:docPr id="24" name="Picture 2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83970" w14:textId="77777777" w:rsidR="00693DC6" w:rsidRDefault="00693D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78DAE" w14:textId="77777777" w:rsidR="00693DC6" w:rsidRDefault="00693D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6E2C0" w14:textId="77777777" w:rsidR="00693DC6" w:rsidRPr="00622A3B" w:rsidRDefault="00693DC6"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54E5DD1B" w14:textId="77777777" w:rsidR="00693DC6" w:rsidRPr="00A5474E" w:rsidRDefault="00693DC6"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3AF7B" w14:textId="77777777" w:rsidR="00693DC6" w:rsidRPr="00622A3B" w:rsidRDefault="00693DC6"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0CAFBD8E" w14:textId="77777777" w:rsidR="00693DC6" w:rsidRPr="00A5474E" w:rsidRDefault="00693DC6"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E62D2" w14:textId="77777777" w:rsidR="00693DC6" w:rsidRPr="00622A3B" w:rsidRDefault="00693DC6"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0951E41D" w14:textId="77777777" w:rsidR="00693DC6" w:rsidRPr="00A5474E" w:rsidRDefault="00693DC6"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696F1" w14:textId="77777777" w:rsidR="00693DC6" w:rsidRPr="00622A3B" w:rsidRDefault="00693DC6"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14</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5F797457" w14:textId="77777777" w:rsidR="00693DC6" w:rsidRPr="00A5474E" w:rsidRDefault="00693DC6"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EC1EB" w14:textId="77777777" w:rsidR="00693DC6" w:rsidRPr="00622A3B" w:rsidRDefault="00693DC6"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15</w:t>
    </w:r>
    <w:r w:rsidRPr="00575AC5">
      <w:rPr>
        <w:color w:val="505050"/>
      </w:rPr>
      <w:fldChar w:fldCharType="end"/>
    </w:r>
  </w:p>
  <w:p w14:paraId="5A8243B7" w14:textId="77777777" w:rsidR="00693DC6" w:rsidRPr="00A5474E" w:rsidRDefault="00693DC6"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66866" w14:textId="77777777" w:rsidR="00BE4EC0" w:rsidRDefault="00BE4EC0">
      <w:r>
        <w:separator/>
      </w:r>
    </w:p>
  </w:footnote>
  <w:footnote w:type="continuationSeparator" w:id="0">
    <w:p w14:paraId="04634A3A" w14:textId="77777777" w:rsidR="00BE4EC0" w:rsidRDefault="00BE4EC0">
      <w:r>
        <w:continuationSeparator/>
      </w:r>
    </w:p>
  </w:footnote>
  <w:footnote w:id="1">
    <w:p w14:paraId="509CFF13" w14:textId="10DCC11A" w:rsidR="00693DC6" w:rsidRDefault="00693DC6" w:rsidP="008112CD">
      <w:pPr>
        <w:pStyle w:val="FootnoteText"/>
        <w:spacing w:after="0"/>
      </w:pPr>
      <w:r w:rsidRPr="00711A6F">
        <w:rPr>
          <w:rStyle w:val="FootnoteReference"/>
        </w:rPr>
        <w:footnoteRef/>
      </w:r>
      <w:r w:rsidRPr="00711A6F">
        <w:t xml:space="preserve"> ‘Washing’ is a term used to describe the process </w:t>
      </w:r>
      <w:r>
        <w:t>where</w:t>
      </w:r>
      <w:r w:rsidRPr="00711A6F">
        <w:t xml:space="preserve"> access seekers </w:t>
      </w:r>
      <w:r>
        <w:t xml:space="preserve">upload and </w:t>
      </w:r>
      <w:r w:rsidRPr="00A709EF">
        <w:t>check numbers against the register</w:t>
      </w:r>
      <w:r>
        <w:t xml:space="preserve"> within the secure environment of the DNCR</w:t>
      </w:r>
      <w:r w:rsidRPr="00A709EF">
        <w:t xml:space="preserve">. Access seekers submit a list of numbers to the register and the </w:t>
      </w:r>
      <w:r>
        <w:t xml:space="preserve">washed list is </w:t>
      </w:r>
      <w:r w:rsidRPr="00A709EF">
        <w:t>return</w:t>
      </w:r>
      <w:r>
        <w:t>ed with</w:t>
      </w:r>
      <w:r w:rsidRPr="00A709EF">
        <w:t xml:space="preserve"> </w:t>
      </w:r>
      <w:r>
        <w:t>registered</w:t>
      </w:r>
      <w:r w:rsidRPr="00A709EF">
        <w:t xml:space="preserve"> numbers </w:t>
      </w:r>
      <w:r>
        <w:t>identified for privacy reasons.</w:t>
      </w:r>
    </w:p>
  </w:footnote>
  <w:footnote w:id="2">
    <w:p w14:paraId="3A14FD15" w14:textId="7306B7D5" w:rsidR="00693DC6" w:rsidRDefault="00693DC6" w:rsidP="00D70F0E">
      <w:pPr>
        <w:pStyle w:val="FootnoteText"/>
        <w:spacing w:after="0"/>
      </w:pPr>
      <w:r>
        <w:rPr>
          <w:rStyle w:val="FootnoteReference"/>
        </w:rPr>
        <w:footnoteRef/>
      </w:r>
      <w:r>
        <w:t xml:space="preserve"> Goal seek is a Microsoft excel feature that allows a user to find the result by adjusting the input value, that is, the direct costs to be recovered.</w:t>
      </w:r>
    </w:p>
  </w:footnote>
  <w:footnote w:id="3">
    <w:p w14:paraId="06DCFC95" w14:textId="63C758A5" w:rsidR="00693DC6" w:rsidRDefault="00693DC6" w:rsidP="007D088B">
      <w:pPr>
        <w:pStyle w:val="FootnoteText"/>
        <w:spacing w:after="0"/>
      </w:pPr>
      <w:r>
        <w:rPr>
          <w:rStyle w:val="FootnoteReference"/>
        </w:rPr>
        <w:footnoteRef/>
      </w:r>
      <w:r>
        <w:t xml:space="preserve"> The contract with the register operator concludes in September 2020. The contract provides options for extension until September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87698" w14:textId="4C83DFD0" w:rsidR="00693DC6" w:rsidRPr="00A5474E" w:rsidRDefault="00693DC6" w:rsidP="00A5474E">
    <w:pPr>
      <w:pStyle w:val="Header"/>
    </w:pPr>
    <w:r>
      <w:rPr>
        <w:noProof/>
      </w:rPr>
      <w:drawing>
        <wp:inline distT="0" distB="0" distL="0" distR="0" wp14:anchorId="7C6F10A0" wp14:editId="4BDDD617">
          <wp:extent cx="6388100" cy="520700"/>
          <wp:effectExtent l="0" t="0" r="0" b="12700"/>
          <wp:docPr id="4" name="Picture 4"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FE77E" w14:textId="77777777" w:rsidR="00693DC6" w:rsidRPr="00A5474E" w:rsidRDefault="00693DC6"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86CB9" w14:textId="77777777" w:rsidR="00693DC6" w:rsidRDefault="00693D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603C9" w14:textId="77777777" w:rsidR="00693DC6" w:rsidRDefault="00693D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693DC6" w14:paraId="3DCBF249" w14:textId="77777777" w:rsidTr="008112CD">
      <w:trPr>
        <w:trHeight w:hRule="exact" w:val="988"/>
      </w:trPr>
      <w:tc>
        <w:tcPr>
          <w:tcW w:w="7678" w:type="dxa"/>
          <w:shd w:val="clear" w:color="auto" w:fill="auto"/>
        </w:tcPr>
        <w:p w14:paraId="400FEB8A" w14:textId="77777777" w:rsidR="00693DC6" w:rsidRDefault="00693DC6" w:rsidP="00971914">
          <w:pPr>
            <w:pStyle w:val="Header"/>
          </w:pPr>
        </w:p>
      </w:tc>
    </w:tr>
    <w:tr w:rsidR="00693DC6" w14:paraId="20C230DF" w14:textId="77777777" w:rsidTr="008112CD">
      <w:tc>
        <w:tcPr>
          <w:tcW w:w="7678" w:type="dxa"/>
          <w:shd w:val="clear" w:color="auto" w:fill="auto"/>
        </w:tcPr>
        <w:p w14:paraId="541ABC9A" w14:textId="77777777" w:rsidR="00693DC6" w:rsidRDefault="00693DC6" w:rsidP="00971914">
          <w:pPr>
            <w:pStyle w:val="GridTable31"/>
          </w:pPr>
          <w:r>
            <w:t xml:space="preserve">Contents </w:t>
          </w:r>
          <w:r w:rsidRPr="00915B1C">
            <w:rPr>
              <w:b w:val="0"/>
              <w:spacing w:val="0"/>
              <w:sz w:val="28"/>
              <w:szCs w:val="28"/>
            </w:rPr>
            <w:t>(Continued)</w:t>
          </w:r>
        </w:p>
      </w:tc>
    </w:tr>
    <w:tr w:rsidR="00693DC6" w14:paraId="3A3917B4" w14:textId="77777777" w:rsidTr="008112CD">
      <w:trPr>
        <w:trHeight w:val="1220"/>
      </w:trPr>
      <w:tc>
        <w:tcPr>
          <w:tcW w:w="7678" w:type="dxa"/>
          <w:shd w:val="clear" w:color="auto" w:fill="auto"/>
        </w:tcPr>
        <w:p w14:paraId="54D99515" w14:textId="77777777" w:rsidR="00693DC6" w:rsidRDefault="00693DC6" w:rsidP="00971914"/>
      </w:tc>
    </w:tr>
  </w:tbl>
  <w:p w14:paraId="3B4F1C66" w14:textId="77777777" w:rsidR="00693DC6" w:rsidRDefault="00693DC6"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693DC6" w14:paraId="2885AA7F" w14:textId="77777777" w:rsidTr="008112CD">
      <w:trPr>
        <w:trHeight w:hRule="exact" w:val="988"/>
      </w:trPr>
      <w:tc>
        <w:tcPr>
          <w:tcW w:w="7678" w:type="dxa"/>
          <w:shd w:val="clear" w:color="auto" w:fill="auto"/>
        </w:tcPr>
        <w:p w14:paraId="7BAFF638" w14:textId="77777777" w:rsidR="00693DC6" w:rsidRDefault="00693DC6" w:rsidP="00971914">
          <w:pPr>
            <w:pStyle w:val="Header"/>
          </w:pPr>
        </w:p>
      </w:tc>
    </w:tr>
    <w:tr w:rsidR="00693DC6" w14:paraId="03AAA1A3" w14:textId="77777777" w:rsidTr="008112CD">
      <w:tc>
        <w:tcPr>
          <w:tcW w:w="7678" w:type="dxa"/>
          <w:shd w:val="clear" w:color="auto" w:fill="auto"/>
        </w:tcPr>
        <w:p w14:paraId="2AEA9032" w14:textId="77777777" w:rsidR="00693DC6" w:rsidRDefault="00693DC6" w:rsidP="00971914">
          <w:pPr>
            <w:pStyle w:val="GridTable31"/>
          </w:pPr>
          <w:r>
            <w:t xml:space="preserve">Contents </w:t>
          </w:r>
          <w:r w:rsidRPr="00915B1C">
            <w:rPr>
              <w:b w:val="0"/>
              <w:spacing w:val="0"/>
              <w:sz w:val="28"/>
              <w:szCs w:val="28"/>
            </w:rPr>
            <w:t>(Continued)</w:t>
          </w:r>
        </w:p>
      </w:tc>
    </w:tr>
    <w:tr w:rsidR="00693DC6" w14:paraId="753909F3" w14:textId="77777777" w:rsidTr="008112CD">
      <w:trPr>
        <w:trHeight w:val="1220"/>
      </w:trPr>
      <w:tc>
        <w:tcPr>
          <w:tcW w:w="7678" w:type="dxa"/>
          <w:shd w:val="clear" w:color="auto" w:fill="auto"/>
        </w:tcPr>
        <w:p w14:paraId="4407AB07" w14:textId="77777777" w:rsidR="00693DC6" w:rsidRDefault="00693DC6" w:rsidP="00971914"/>
      </w:tc>
    </w:tr>
  </w:tbl>
  <w:p w14:paraId="283FAA63" w14:textId="77777777" w:rsidR="00693DC6" w:rsidRPr="00A5474E" w:rsidRDefault="00693DC6"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C0D7B" w14:textId="77777777" w:rsidR="00693DC6" w:rsidRDefault="00693DC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D5829" w14:textId="711921FD" w:rsidR="00693DC6" w:rsidRDefault="00693D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1FA3CD6"/>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2"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3" w15:restartNumberingAfterBreak="0">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4" w15:restartNumberingAfterBreak="0">
    <w:nsid w:val="FFFFFF89"/>
    <w:multiLevelType w:val="singleLevel"/>
    <w:tmpl w:val="852C6E1E"/>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5" w15:restartNumberingAfterBreak="0">
    <w:nsid w:val="0EB55F81"/>
    <w:multiLevelType w:val="hybridMultilevel"/>
    <w:tmpl w:val="884A1BC8"/>
    <w:lvl w:ilvl="0" w:tplc="32204036">
      <w:start w:val="1"/>
      <w:numFmt w:val="decimal"/>
      <w:pStyle w:val="LegislationLvl1"/>
      <w:lvlText w:val="%1"/>
      <w:lvlJc w:val="left"/>
      <w:pPr>
        <w:tabs>
          <w:tab w:val="num" w:pos="1176"/>
        </w:tabs>
        <w:ind w:left="1176" w:hanging="720"/>
      </w:pPr>
      <w:rPr>
        <w:rFonts w:hint="default"/>
      </w:rPr>
    </w:lvl>
    <w:lvl w:ilvl="1" w:tplc="93C69154">
      <w:start w:val="1"/>
      <w:numFmt w:val="decimal"/>
      <w:pStyle w:val="LegislationLvl2"/>
      <w:lvlText w:val="(%2)"/>
      <w:lvlJc w:val="left"/>
      <w:pPr>
        <w:tabs>
          <w:tab w:val="num" w:pos="1536"/>
        </w:tabs>
        <w:ind w:left="1536" w:hanging="360"/>
      </w:pPr>
      <w:rPr>
        <w:rFonts w:hint="default"/>
      </w:rPr>
    </w:lvl>
    <w:lvl w:ilvl="2" w:tplc="BD8A0056">
      <w:start w:val="1"/>
      <w:numFmt w:val="lowerLetter"/>
      <w:pStyle w:val="LegislationLvl1"/>
      <w:lvlText w:val="(%3)"/>
      <w:lvlJc w:val="left"/>
      <w:pPr>
        <w:tabs>
          <w:tab w:val="num" w:pos="2436"/>
        </w:tabs>
        <w:ind w:left="2436" w:hanging="360"/>
      </w:pPr>
      <w:rPr>
        <w:rFonts w:hint="default"/>
      </w:rPr>
    </w:lvl>
    <w:lvl w:ilvl="3" w:tplc="BF665EE0">
      <w:start w:val="1"/>
      <w:numFmt w:val="lowerRoman"/>
      <w:pStyle w:val="LegislationLvl2"/>
      <w:lvlText w:val="(%4)"/>
      <w:lvlJc w:val="right"/>
      <w:pPr>
        <w:tabs>
          <w:tab w:val="num" w:pos="2796"/>
        </w:tabs>
        <w:ind w:left="2796" w:hanging="180"/>
      </w:pPr>
      <w:rPr>
        <w:rFonts w:hint="default"/>
      </w:rPr>
    </w:lvl>
    <w:lvl w:ilvl="4" w:tplc="04090019">
      <w:start w:val="1"/>
      <w:numFmt w:val="lowerLetter"/>
      <w:lvlText w:val="%5."/>
      <w:lvlJc w:val="left"/>
      <w:pPr>
        <w:tabs>
          <w:tab w:val="num" w:pos="3696"/>
        </w:tabs>
        <w:ind w:left="3696" w:hanging="360"/>
      </w:pPr>
    </w:lvl>
    <w:lvl w:ilvl="5" w:tplc="0409001B">
      <w:start w:val="1"/>
      <w:numFmt w:val="lowerRoman"/>
      <w:lvlText w:val="%6."/>
      <w:lvlJc w:val="right"/>
      <w:pPr>
        <w:tabs>
          <w:tab w:val="num" w:pos="4416"/>
        </w:tabs>
        <w:ind w:left="4416" w:hanging="180"/>
      </w:pPr>
    </w:lvl>
    <w:lvl w:ilvl="6" w:tplc="0409000F">
      <w:start w:val="1"/>
      <w:numFmt w:val="decimal"/>
      <w:lvlText w:val="%7."/>
      <w:lvlJc w:val="left"/>
      <w:pPr>
        <w:tabs>
          <w:tab w:val="num" w:pos="5136"/>
        </w:tabs>
        <w:ind w:left="5136" w:hanging="360"/>
      </w:pPr>
    </w:lvl>
    <w:lvl w:ilvl="7" w:tplc="04090019">
      <w:start w:val="1"/>
      <w:numFmt w:val="lowerLetter"/>
      <w:lvlText w:val="%8."/>
      <w:lvlJc w:val="left"/>
      <w:pPr>
        <w:tabs>
          <w:tab w:val="num" w:pos="5856"/>
        </w:tabs>
        <w:ind w:left="5856" w:hanging="360"/>
      </w:pPr>
    </w:lvl>
    <w:lvl w:ilvl="8" w:tplc="0409001B">
      <w:start w:val="1"/>
      <w:numFmt w:val="lowerRoman"/>
      <w:lvlText w:val="%9."/>
      <w:lvlJc w:val="right"/>
      <w:pPr>
        <w:tabs>
          <w:tab w:val="num" w:pos="6576"/>
        </w:tabs>
        <w:ind w:left="6576" w:hanging="180"/>
      </w:pPr>
    </w:lvl>
  </w:abstractNum>
  <w:abstractNum w:abstractNumId="6" w15:restartNumberingAfterBreak="0">
    <w:nsid w:val="12672403"/>
    <w:multiLevelType w:val="hybridMultilevel"/>
    <w:tmpl w:val="CECAA0AC"/>
    <w:lvl w:ilvl="0" w:tplc="C032EFBE">
      <w:start w:val="201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8"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2F5A5080"/>
    <w:multiLevelType w:val="hybridMultilevel"/>
    <w:tmpl w:val="24705096"/>
    <w:lvl w:ilvl="0" w:tplc="2668C79A">
      <w:start w:val="1"/>
      <w:numFmt w:val="bullet"/>
      <w:pStyle w:val="ACMABulletLevel1"/>
      <w:lvlText w:val="●"/>
      <w:lvlJc w:val="left"/>
      <w:pPr>
        <w:tabs>
          <w:tab w:val="num" w:pos="-31680"/>
        </w:tabs>
        <w:ind w:left="357" w:hanging="357"/>
      </w:pPr>
      <w:rPr>
        <w:rFonts w:ascii="Times New Roman" w:hAnsi="Times New Roman" w:cs="Times New Roman"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10" w15:restartNumberingAfterBreak="0">
    <w:nsid w:val="3B2E19AC"/>
    <w:multiLevelType w:val="singleLevel"/>
    <w:tmpl w:val="1E08918C"/>
    <w:lvl w:ilvl="0">
      <w:start w:val="1"/>
      <w:numFmt w:val="lowerLetter"/>
      <w:lvlRestart w:val="0"/>
      <w:pStyle w:val="ChartandTableFootnoteAlpha"/>
      <w:lvlText w:val="(%1)"/>
      <w:lvlJc w:val="left"/>
      <w:pPr>
        <w:tabs>
          <w:tab w:val="num" w:pos="284"/>
        </w:tabs>
        <w:ind w:left="284" w:hanging="284"/>
      </w:pPr>
      <w:rPr>
        <w:rFonts w:ascii="Arial" w:eastAsia="Times New Roman" w:hAnsi="Arial" w:cs="Times New Roman" w:hint="default"/>
        <w:b w:val="0"/>
        <w:i w:val="0"/>
        <w:color w:val="000000"/>
        <w:sz w:val="16"/>
      </w:rPr>
    </w:lvl>
  </w:abstractNum>
  <w:abstractNum w:abstractNumId="11" w15:restartNumberingAfterBreak="0">
    <w:nsid w:val="434E449C"/>
    <w:multiLevelType w:val="hybridMultilevel"/>
    <w:tmpl w:val="CB30693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CE4083F"/>
    <w:multiLevelType w:val="hybridMultilevel"/>
    <w:tmpl w:val="580C3B18"/>
    <w:lvl w:ilvl="0" w:tplc="667052F8">
      <w:start w:val="1"/>
      <w:numFmt w:val="bullet"/>
      <w:pStyle w:val="Bullets1stindent"/>
      <w:lvlText w:val=""/>
      <w:lvlJc w:val="left"/>
      <w:pPr>
        <w:ind w:left="720" w:hanging="360"/>
      </w:pPr>
      <w:rPr>
        <w:rFonts w:ascii="Symbol" w:hAnsi="Symbol" w:hint="default"/>
        <w:color w:val="4F81BD" w:themeColor="accent1"/>
      </w:rPr>
    </w:lvl>
    <w:lvl w:ilvl="1" w:tplc="9104E580">
      <w:start w:val="1"/>
      <w:numFmt w:val="bullet"/>
      <w:pStyle w:val="Bullets2ndinden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AA21F0"/>
    <w:multiLevelType w:val="hybridMultilevel"/>
    <w:tmpl w:val="33BE4D4E"/>
    <w:lvl w:ilvl="0" w:tplc="F9DE6210">
      <w:start w:val="1"/>
      <w:numFmt w:val="decimal"/>
      <w:pStyle w:val="ACMATableHeader"/>
      <w:lvlText w:val="Table %1:"/>
      <w:lvlJc w:val="left"/>
      <w:pPr>
        <w:tabs>
          <w:tab w:val="num" w:pos="964"/>
        </w:tabs>
        <w:ind w:left="964" w:hanging="964"/>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3843E6"/>
    <w:multiLevelType w:val="hybridMultilevel"/>
    <w:tmpl w:val="30A225AC"/>
    <w:lvl w:ilvl="0" w:tplc="86481462">
      <w:start w:val="1"/>
      <w:numFmt w:val="bullet"/>
      <w:pStyle w:val="bullettableArial8"/>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625FE8"/>
    <w:multiLevelType w:val="multilevel"/>
    <w:tmpl w:val="59E0421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DB969BB"/>
    <w:multiLevelType w:val="hybridMultilevel"/>
    <w:tmpl w:val="15EED256"/>
    <w:lvl w:ilvl="0" w:tplc="0088BC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8"/>
  </w:num>
  <w:num w:numId="6">
    <w:abstractNumId w:val="15"/>
  </w:num>
  <w:num w:numId="7">
    <w:abstractNumId w:val="13"/>
  </w:num>
  <w:num w:numId="8">
    <w:abstractNumId w:val="14"/>
  </w:num>
  <w:num w:numId="9">
    <w:abstractNumId w:val="17"/>
  </w:num>
  <w:num w:numId="10">
    <w:abstractNumId w:val="9"/>
  </w:num>
  <w:num w:numId="11">
    <w:abstractNumId w:val="5"/>
    <w:lvlOverride w:ilvl="0">
      <w:startOverride w:val="1"/>
    </w:lvlOverride>
  </w:num>
  <w:num w:numId="12">
    <w:abstractNumId w:val="7"/>
  </w:num>
  <w:num w:numId="13">
    <w:abstractNumId w:val="12"/>
  </w:num>
  <w:num w:numId="14">
    <w:abstractNumId w:val="16"/>
  </w:num>
  <w:num w:numId="15">
    <w:abstractNumId w:val="10"/>
  </w:num>
  <w:num w:numId="16">
    <w:abstractNumId w:val="18"/>
  </w:num>
  <w:num w:numId="17">
    <w:abstractNumId w:val="19"/>
  </w:num>
  <w:num w:numId="18">
    <w:abstractNumId w:val="0"/>
  </w:num>
  <w:num w:numId="19">
    <w:abstractNumId w:val="6"/>
  </w:num>
  <w:num w:numId="20">
    <w:abstractNumId w:val="4"/>
  </w:num>
  <w:num w:numId="21">
    <w:abstractNumId w:val="4"/>
  </w:num>
  <w:num w:numId="22">
    <w:abstractNumId w:val="11"/>
  </w:num>
  <w:num w:numId="23">
    <w:abstractNumId w:val="4"/>
  </w:num>
  <w:num w:numId="24">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2049">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E9F"/>
    <w:rsid w:val="00010667"/>
    <w:rsid w:val="000129D5"/>
    <w:rsid w:val="00015AE7"/>
    <w:rsid w:val="00016E21"/>
    <w:rsid w:val="0001719C"/>
    <w:rsid w:val="0002224E"/>
    <w:rsid w:val="00026F91"/>
    <w:rsid w:val="00046942"/>
    <w:rsid w:val="0004764C"/>
    <w:rsid w:val="0005011A"/>
    <w:rsid w:val="0005045A"/>
    <w:rsid w:val="00051C1E"/>
    <w:rsid w:val="000525EA"/>
    <w:rsid w:val="000539F9"/>
    <w:rsid w:val="00054C27"/>
    <w:rsid w:val="00055EC3"/>
    <w:rsid w:val="000563CE"/>
    <w:rsid w:val="00063DDD"/>
    <w:rsid w:val="000659B6"/>
    <w:rsid w:val="0006686F"/>
    <w:rsid w:val="0006722A"/>
    <w:rsid w:val="000732CF"/>
    <w:rsid w:val="00075B96"/>
    <w:rsid w:val="0008196A"/>
    <w:rsid w:val="000915ED"/>
    <w:rsid w:val="00091AC6"/>
    <w:rsid w:val="0009209D"/>
    <w:rsid w:val="000969BD"/>
    <w:rsid w:val="000969BF"/>
    <w:rsid w:val="000A0C22"/>
    <w:rsid w:val="000A1400"/>
    <w:rsid w:val="000A3C43"/>
    <w:rsid w:val="000A4A2F"/>
    <w:rsid w:val="000A4A51"/>
    <w:rsid w:val="000A5D2B"/>
    <w:rsid w:val="000B5DE3"/>
    <w:rsid w:val="000C0A57"/>
    <w:rsid w:val="000C230C"/>
    <w:rsid w:val="000C3A96"/>
    <w:rsid w:val="000C6AB4"/>
    <w:rsid w:val="000D1E8C"/>
    <w:rsid w:val="000D71D9"/>
    <w:rsid w:val="000D76E0"/>
    <w:rsid w:val="000D7CBD"/>
    <w:rsid w:val="000D7E8B"/>
    <w:rsid w:val="000E3848"/>
    <w:rsid w:val="000E4449"/>
    <w:rsid w:val="000E6097"/>
    <w:rsid w:val="000E7E30"/>
    <w:rsid w:val="000F0707"/>
    <w:rsid w:val="000F5B97"/>
    <w:rsid w:val="00103829"/>
    <w:rsid w:val="00111FCE"/>
    <w:rsid w:val="00121E0B"/>
    <w:rsid w:val="001229A5"/>
    <w:rsid w:val="0012489B"/>
    <w:rsid w:val="00130017"/>
    <w:rsid w:val="00130F91"/>
    <w:rsid w:val="001349ED"/>
    <w:rsid w:val="00137214"/>
    <w:rsid w:val="00137424"/>
    <w:rsid w:val="00140318"/>
    <w:rsid w:val="00141AD9"/>
    <w:rsid w:val="00146CE6"/>
    <w:rsid w:val="00152903"/>
    <w:rsid w:val="00153FD5"/>
    <w:rsid w:val="00154E21"/>
    <w:rsid w:val="0015614F"/>
    <w:rsid w:val="001577C2"/>
    <w:rsid w:val="001601E3"/>
    <w:rsid w:val="001633C4"/>
    <w:rsid w:val="0016595C"/>
    <w:rsid w:val="00171591"/>
    <w:rsid w:val="00171E45"/>
    <w:rsid w:val="00173981"/>
    <w:rsid w:val="0017719D"/>
    <w:rsid w:val="00183FD7"/>
    <w:rsid w:val="00185CAB"/>
    <w:rsid w:val="001875B7"/>
    <w:rsid w:val="00187CB3"/>
    <w:rsid w:val="0019050A"/>
    <w:rsid w:val="001910D4"/>
    <w:rsid w:val="00192C0C"/>
    <w:rsid w:val="001976E3"/>
    <w:rsid w:val="00197CEF"/>
    <w:rsid w:val="001A44EC"/>
    <w:rsid w:val="001A4BF2"/>
    <w:rsid w:val="001A6E17"/>
    <w:rsid w:val="001B58AA"/>
    <w:rsid w:val="001B7E48"/>
    <w:rsid w:val="001C17CE"/>
    <w:rsid w:val="001C36CA"/>
    <w:rsid w:val="001C44D1"/>
    <w:rsid w:val="001C6AEE"/>
    <w:rsid w:val="001C7630"/>
    <w:rsid w:val="001D0223"/>
    <w:rsid w:val="001D329D"/>
    <w:rsid w:val="001D6D15"/>
    <w:rsid w:val="001E15D2"/>
    <w:rsid w:val="001E2B4F"/>
    <w:rsid w:val="001F7558"/>
    <w:rsid w:val="00202E72"/>
    <w:rsid w:val="00205B57"/>
    <w:rsid w:val="002157E0"/>
    <w:rsid w:val="00216A57"/>
    <w:rsid w:val="0022334F"/>
    <w:rsid w:val="002252DD"/>
    <w:rsid w:val="00226819"/>
    <w:rsid w:val="00233101"/>
    <w:rsid w:val="002334A1"/>
    <w:rsid w:val="00233817"/>
    <w:rsid w:val="002367FF"/>
    <w:rsid w:val="00236D6B"/>
    <w:rsid w:val="00240CE9"/>
    <w:rsid w:val="002434BA"/>
    <w:rsid w:val="00246089"/>
    <w:rsid w:val="00246093"/>
    <w:rsid w:val="00246702"/>
    <w:rsid w:val="00247C59"/>
    <w:rsid w:val="00247F2E"/>
    <w:rsid w:val="002504A5"/>
    <w:rsid w:val="00250ADC"/>
    <w:rsid w:val="00250B07"/>
    <w:rsid w:val="00257553"/>
    <w:rsid w:val="00260FB2"/>
    <w:rsid w:val="00262128"/>
    <w:rsid w:val="0027165D"/>
    <w:rsid w:val="00273CEB"/>
    <w:rsid w:val="00281C89"/>
    <w:rsid w:val="00281D13"/>
    <w:rsid w:val="0028282F"/>
    <w:rsid w:val="0029593B"/>
    <w:rsid w:val="00297FC5"/>
    <w:rsid w:val="002A0417"/>
    <w:rsid w:val="002A16D8"/>
    <w:rsid w:val="002A1BC8"/>
    <w:rsid w:val="002A3EF2"/>
    <w:rsid w:val="002B0DED"/>
    <w:rsid w:val="002B19A2"/>
    <w:rsid w:val="002B381A"/>
    <w:rsid w:val="002B4FCC"/>
    <w:rsid w:val="002B7408"/>
    <w:rsid w:val="002B7CFD"/>
    <w:rsid w:val="002C0294"/>
    <w:rsid w:val="002C0979"/>
    <w:rsid w:val="002C210F"/>
    <w:rsid w:val="002D3600"/>
    <w:rsid w:val="002E4DDC"/>
    <w:rsid w:val="00302480"/>
    <w:rsid w:val="003165E6"/>
    <w:rsid w:val="003215B5"/>
    <w:rsid w:val="003221CF"/>
    <w:rsid w:val="00322A66"/>
    <w:rsid w:val="003233ED"/>
    <w:rsid w:val="00324D9F"/>
    <w:rsid w:val="00325A2A"/>
    <w:rsid w:val="00327948"/>
    <w:rsid w:val="0033000F"/>
    <w:rsid w:val="00332011"/>
    <w:rsid w:val="00332518"/>
    <w:rsid w:val="00332925"/>
    <w:rsid w:val="003332ED"/>
    <w:rsid w:val="003368DC"/>
    <w:rsid w:val="00345927"/>
    <w:rsid w:val="00350584"/>
    <w:rsid w:val="0035174B"/>
    <w:rsid w:val="00351857"/>
    <w:rsid w:val="003545E8"/>
    <w:rsid w:val="003610E1"/>
    <w:rsid w:val="003671BE"/>
    <w:rsid w:val="00372485"/>
    <w:rsid w:val="00373200"/>
    <w:rsid w:val="00373689"/>
    <w:rsid w:val="00374AB2"/>
    <w:rsid w:val="00375EF5"/>
    <w:rsid w:val="003767A5"/>
    <w:rsid w:val="00381D15"/>
    <w:rsid w:val="00385254"/>
    <w:rsid w:val="003973C3"/>
    <w:rsid w:val="003A04DB"/>
    <w:rsid w:val="003A25E6"/>
    <w:rsid w:val="003A5F5B"/>
    <w:rsid w:val="003A789A"/>
    <w:rsid w:val="003B12EC"/>
    <w:rsid w:val="003B583F"/>
    <w:rsid w:val="003B6948"/>
    <w:rsid w:val="003C133B"/>
    <w:rsid w:val="003C77E0"/>
    <w:rsid w:val="003D17D7"/>
    <w:rsid w:val="003D2678"/>
    <w:rsid w:val="003D71A3"/>
    <w:rsid w:val="003E2B8A"/>
    <w:rsid w:val="003F10EE"/>
    <w:rsid w:val="003F16F6"/>
    <w:rsid w:val="003F396A"/>
    <w:rsid w:val="003F4DC7"/>
    <w:rsid w:val="003F5235"/>
    <w:rsid w:val="004027E4"/>
    <w:rsid w:val="0041071D"/>
    <w:rsid w:val="0041092C"/>
    <w:rsid w:val="00414AFC"/>
    <w:rsid w:val="004151A7"/>
    <w:rsid w:val="00415310"/>
    <w:rsid w:val="00421709"/>
    <w:rsid w:val="00423763"/>
    <w:rsid w:val="0042762F"/>
    <w:rsid w:val="00427B3B"/>
    <w:rsid w:val="00427DC7"/>
    <w:rsid w:val="00431613"/>
    <w:rsid w:val="00431792"/>
    <w:rsid w:val="0043297A"/>
    <w:rsid w:val="00432EB2"/>
    <w:rsid w:val="0043714F"/>
    <w:rsid w:val="004438B5"/>
    <w:rsid w:val="00444411"/>
    <w:rsid w:val="00447037"/>
    <w:rsid w:val="0045124D"/>
    <w:rsid w:val="00454596"/>
    <w:rsid w:val="0045605D"/>
    <w:rsid w:val="0046135B"/>
    <w:rsid w:val="00461D47"/>
    <w:rsid w:val="004718CC"/>
    <w:rsid w:val="00481695"/>
    <w:rsid w:val="00481E7A"/>
    <w:rsid w:val="00495A96"/>
    <w:rsid w:val="00495BB3"/>
    <w:rsid w:val="004A56BB"/>
    <w:rsid w:val="004B1751"/>
    <w:rsid w:val="004B5BAF"/>
    <w:rsid w:val="004C0253"/>
    <w:rsid w:val="004C11A8"/>
    <w:rsid w:val="004D1799"/>
    <w:rsid w:val="004D2DD9"/>
    <w:rsid w:val="004D56FF"/>
    <w:rsid w:val="004D70D9"/>
    <w:rsid w:val="004D737D"/>
    <w:rsid w:val="004E39D3"/>
    <w:rsid w:val="004E508A"/>
    <w:rsid w:val="004E616D"/>
    <w:rsid w:val="004F1BDE"/>
    <w:rsid w:val="004F2CEE"/>
    <w:rsid w:val="004F3C43"/>
    <w:rsid w:val="004F556E"/>
    <w:rsid w:val="004F591C"/>
    <w:rsid w:val="004F7F44"/>
    <w:rsid w:val="005037B4"/>
    <w:rsid w:val="005079BF"/>
    <w:rsid w:val="00510E9F"/>
    <w:rsid w:val="0051269A"/>
    <w:rsid w:val="00520F66"/>
    <w:rsid w:val="005219E7"/>
    <w:rsid w:val="00526EA6"/>
    <w:rsid w:val="00531B9A"/>
    <w:rsid w:val="00531D15"/>
    <w:rsid w:val="0053291F"/>
    <w:rsid w:val="00537604"/>
    <w:rsid w:val="00542377"/>
    <w:rsid w:val="005476EB"/>
    <w:rsid w:val="00551782"/>
    <w:rsid w:val="005606B6"/>
    <w:rsid w:val="00563EF1"/>
    <w:rsid w:val="00566AB4"/>
    <w:rsid w:val="00574613"/>
    <w:rsid w:val="00575AC5"/>
    <w:rsid w:val="0057605D"/>
    <w:rsid w:val="005804DA"/>
    <w:rsid w:val="00581347"/>
    <w:rsid w:val="00581AC9"/>
    <w:rsid w:val="005849F8"/>
    <w:rsid w:val="005872DE"/>
    <w:rsid w:val="005938DF"/>
    <w:rsid w:val="00594E9C"/>
    <w:rsid w:val="005A099B"/>
    <w:rsid w:val="005A2D9C"/>
    <w:rsid w:val="005A55FE"/>
    <w:rsid w:val="005A6A11"/>
    <w:rsid w:val="005B2F5A"/>
    <w:rsid w:val="005B6009"/>
    <w:rsid w:val="005C1A89"/>
    <w:rsid w:val="005D2502"/>
    <w:rsid w:val="005D40BB"/>
    <w:rsid w:val="005D47F3"/>
    <w:rsid w:val="005D49BF"/>
    <w:rsid w:val="005D4AA5"/>
    <w:rsid w:val="005D6F4E"/>
    <w:rsid w:val="005D7C73"/>
    <w:rsid w:val="005E31B1"/>
    <w:rsid w:val="005E3ACD"/>
    <w:rsid w:val="005E7226"/>
    <w:rsid w:val="005E7A57"/>
    <w:rsid w:val="005F14C7"/>
    <w:rsid w:val="005F24B0"/>
    <w:rsid w:val="00602485"/>
    <w:rsid w:val="00604315"/>
    <w:rsid w:val="00604E26"/>
    <w:rsid w:val="006052CF"/>
    <w:rsid w:val="00607B8D"/>
    <w:rsid w:val="00611F5C"/>
    <w:rsid w:val="00616E09"/>
    <w:rsid w:val="00622A3B"/>
    <w:rsid w:val="00622EEA"/>
    <w:rsid w:val="0062396C"/>
    <w:rsid w:val="00623FF9"/>
    <w:rsid w:val="006255C5"/>
    <w:rsid w:val="00627D4E"/>
    <w:rsid w:val="006329A9"/>
    <w:rsid w:val="00632A00"/>
    <w:rsid w:val="00632B89"/>
    <w:rsid w:val="00634478"/>
    <w:rsid w:val="00644373"/>
    <w:rsid w:val="00645915"/>
    <w:rsid w:val="006519C3"/>
    <w:rsid w:val="00652B30"/>
    <w:rsid w:val="00656345"/>
    <w:rsid w:val="00656DC6"/>
    <w:rsid w:val="00660EC6"/>
    <w:rsid w:val="00664110"/>
    <w:rsid w:val="00664428"/>
    <w:rsid w:val="00664D17"/>
    <w:rsid w:val="00666520"/>
    <w:rsid w:val="00667C5B"/>
    <w:rsid w:val="006853E5"/>
    <w:rsid w:val="00691EB8"/>
    <w:rsid w:val="00692CDE"/>
    <w:rsid w:val="00693073"/>
    <w:rsid w:val="00693DC6"/>
    <w:rsid w:val="006954D4"/>
    <w:rsid w:val="006977FF"/>
    <w:rsid w:val="006A01FA"/>
    <w:rsid w:val="006A0E9E"/>
    <w:rsid w:val="006A25C7"/>
    <w:rsid w:val="006A4AAD"/>
    <w:rsid w:val="006A6DA2"/>
    <w:rsid w:val="006A7AB2"/>
    <w:rsid w:val="006B5717"/>
    <w:rsid w:val="006B582F"/>
    <w:rsid w:val="006C0CEB"/>
    <w:rsid w:val="006C3B1E"/>
    <w:rsid w:val="006C47FD"/>
    <w:rsid w:val="006C5AE6"/>
    <w:rsid w:val="006C5C19"/>
    <w:rsid w:val="006C70A0"/>
    <w:rsid w:val="006D27CB"/>
    <w:rsid w:val="006D2F08"/>
    <w:rsid w:val="006D576C"/>
    <w:rsid w:val="006D5865"/>
    <w:rsid w:val="006E4B1B"/>
    <w:rsid w:val="006E5445"/>
    <w:rsid w:val="006E7D93"/>
    <w:rsid w:val="007029A3"/>
    <w:rsid w:val="00706E4E"/>
    <w:rsid w:val="0070791C"/>
    <w:rsid w:val="00711A6F"/>
    <w:rsid w:val="0071383C"/>
    <w:rsid w:val="007141A7"/>
    <w:rsid w:val="00715722"/>
    <w:rsid w:val="0072094F"/>
    <w:rsid w:val="00721032"/>
    <w:rsid w:val="00721B55"/>
    <w:rsid w:val="00726CE4"/>
    <w:rsid w:val="00734143"/>
    <w:rsid w:val="00737E47"/>
    <w:rsid w:val="00740EAC"/>
    <w:rsid w:val="00744956"/>
    <w:rsid w:val="00745A5C"/>
    <w:rsid w:val="0074605F"/>
    <w:rsid w:val="00747E94"/>
    <w:rsid w:val="00754C83"/>
    <w:rsid w:val="00757C55"/>
    <w:rsid w:val="00761C12"/>
    <w:rsid w:val="00763410"/>
    <w:rsid w:val="00765DF8"/>
    <w:rsid w:val="00766749"/>
    <w:rsid w:val="00767C1B"/>
    <w:rsid w:val="007714A9"/>
    <w:rsid w:val="00774F88"/>
    <w:rsid w:val="00774FDB"/>
    <w:rsid w:val="00777BA2"/>
    <w:rsid w:val="00781408"/>
    <w:rsid w:val="007849D7"/>
    <w:rsid w:val="00784F7F"/>
    <w:rsid w:val="007878BD"/>
    <w:rsid w:val="007920C3"/>
    <w:rsid w:val="00795907"/>
    <w:rsid w:val="00795FAA"/>
    <w:rsid w:val="00796F25"/>
    <w:rsid w:val="007A2E98"/>
    <w:rsid w:val="007A3BA3"/>
    <w:rsid w:val="007A6CC0"/>
    <w:rsid w:val="007A7FEC"/>
    <w:rsid w:val="007B1499"/>
    <w:rsid w:val="007B1BBF"/>
    <w:rsid w:val="007B2960"/>
    <w:rsid w:val="007B355D"/>
    <w:rsid w:val="007B38C7"/>
    <w:rsid w:val="007B7980"/>
    <w:rsid w:val="007C0DEF"/>
    <w:rsid w:val="007C5D5A"/>
    <w:rsid w:val="007C607F"/>
    <w:rsid w:val="007C79DD"/>
    <w:rsid w:val="007D088B"/>
    <w:rsid w:val="007D1685"/>
    <w:rsid w:val="007D1A97"/>
    <w:rsid w:val="007D2CD6"/>
    <w:rsid w:val="007D2ECD"/>
    <w:rsid w:val="007D3063"/>
    <w:rsid w:val="007D3CEB"/>
    <w:rsid w:val="007D585A"/>
    <w:rsid w:val="007E4D81"/>
    <w:rsid w:val="007E671E"/>
    <w:rsid w:val="007E7683"/>
    <w:rsid w:val="007F49FA"/>
    <w:rsid w:val="007F54C4"/>
    <w:rsid w:val="007F6E9A"/>
    <w:rsid w:val="00801CA9"/>
    <w:rsid w:val="00803F6E"/>
    <w:rsid w:val="008044D4"/>
    <w:rsid w:val="008066E7"/>
    <w:rsid w:val="00810AB4"/>
    <w:rsid w:val="008112CD"/>
    <w:rsid w:val="00817B56"/>
    <w:rsid w:val="00821A88"/>
    <w:rsid w:val="0082495D"/>
    <w:rsid w:val="00831AC3"/>
    <w:rsid w:val="008408FF"/>
    <w:rsid w:val="008417F1"/>
    <w:rsid w:val="00851F3F"/>
    <w:rsid w:val="00856EDC"/>
    <w:rsid w:val="008615A0"/>
    <w:rsid w:val="008623B5"/>
    <w:rsid w:val="00867B78"/>
    <w:rsid w:val="00870ABA"/>
    <w:rsid w:val="008710E1"/>
    <w:rsid w:val="008716E5"/>
    <w:rsid w:val="00880873"/>
    <w:rsid w:val="00881CA9"/>
    <w:rsid w:val="00883628"/>
    <w:rsid w:val="00885544"/>
    <w:rsid w:val="0088634E"/>
    <w:rsid w:val="008923A5"/>
    <w:rsid w:val="00893AB8"/>
    <w:rsid w:val="008A04C8"/>
    <w:rsid w:val="008A3ADE"/>
    <w:rsid w:val="008A6913"/>
    <w:rsid w:val="008B0B1A"/>
    <w:rsid w:val="008B0CF9"/>
    <w:rsid w:val="008B70F3"/>
    <w:rsid w:val="008B71C4"/>
    <w:rsid w:val="008B76DF"/>
    <w:rsid w:val="008C10F4"/>
    <w:rsid w:val="008C5E34"/>
    <w:rsid w:val="008C65F7"/>
    <w:rsid w:val="008E4767"/>
    <w:rsid w:val="008E7A8C"/>
    <w:rsid w:val="008F1FDF"/>
    <w:rsid w:val="00903285"/>
    <w:rsid w:val="00906F40"/>
    <w:rsid w:val="0090731E"/>
    <w:rsid w:val="00911632"/>
    <w:rsid w:val="00915B1C"/>
    <w:rsid w:val="009174F3"/>
    <w:rsid w:val="0091797D"/>
    <w:rsid w:val="00923A4B"/>
    <w:rsid w:val="00923CBA"/>
    <w:rsid w:val="00926703"/>
    <w:rsid w:val="00927691"/>
    <w:rsid w:val="00927A5F"/>
    <w:rsid w:val="00935B63"/>
    <w:rsid w:val="0094078F"/>
    <w:rsid w:val="00940FA3"/>
    <w:rsid w:val="00941FB0"/>
    <w:rsid w:val="009426D4"/>
    <w:rsid w:val="00947F25"/>
    <w:rsid w:val="00950159"/>
    <w:rsid w:val="0095490B"/>
    <w:rsid w:val="00960A33"/>
    <w:rsid w:val="00971914"/>
    <w:rsid w:val="00974363"/>
    <w:rsid w:val="00981898"/>
    <w:rsid w:val="0099577C"/>
    <w:rsid w:val="00996500"/>
    <w:rsid w:val="009A4D66"/>
    <w:rsid w:val="009A6CB1"/>
    <w:rsid w:val="009B2274"/>
    <w:rsid w:val="009B2601"/>
    <w:rsid w:val="009B4E9E"/>
    <w:rsid w:val="009C1690"/>
    <w:rsid w:val="009C6881"/>
    <w:rsid w:val="009C7759"/>
    <w:rsid w:val="009D043D"/>
    <w:rsid w:val="009D07C8"/>
    <w:rsid w:val="009D26CA"/>
    <w:rsid w:val="009D6C71"/>
    <w:rsid w:val="009E0631"/>
    <w:rsid w:val="009E16D0"/>
    <w:rsid w:val="009E1A87"/>
    <w:rsid w:val="009E38FD"/>
    <w:rsid w:val="009E39C5"/>
    <w:rsid w:val="009F13D6"/>
    <w:rsid w:val="009F4C6B"/>
    <w:rsid w:val="009F78A8"/>
    <w:rsid w:val="00A02AD6"/>
    <w:rsid w:val="00A07096"/>
    <w:rsid w:val="00A07318"/>
    <w:rsid w:val="00A11370"/>
    <w:rsid w:val="00A11F0D"/>
    <w:rsid w:val="00A222BE"/>
    <w:rsid w:val="00A224CE"/>
    <w:rsid w:val="00A22522"/>
    <w:rsid w:val="00A24AFD"/>
    <w:rsid w:val="00A24F5C"/>
    <w:rsid w:val="00A32F96"/>
    <w:rsid w:val="00A40871"/>
    <w:rsid w:val="00A412AB"/>
    <w:rsid w:val="00A4193E"/>
    <w:rsid w:val="00A440E0"/>
    <w:rsid w:val="00A442EF"/>
    <w:rsid w:val="00A51227"/>
    <w:rsid w:val="00A51D1A"/>
    <w:rsid w:val="00A5418D"/>
    <w:rsid w:val="00A5474E"/>
    <w:rsid w:val="00A54D82"/>
    <w:rsid w:val="00A64234"/>
    <w:rsid w:val="00A709EF"/>
    <w:rsid w:val="00A70ADF"/>
    <w:rsid w:val="00A71466"/>
    <w:rsid w:val="00A74B5E"/>
    <w:rsid w:val="00A81BED"/>
    <w:rsid w:val="00A81EC4"/>
    <w:rsid w:val="00A95507"/>
    <w:rsid w:val="00A967FD"/>
    <w:rsid w:val="00AA0C1E"/>
    <w:rsid w:val="00AA0FA4"/>
    <w:rsid w:val="00AA7609"/>
    <w:rsid w:val="00AB156C"/>
    <w:rsid w:val="00AB6814"/>
    <w:rsid w:val="00AC04BA"/>
    <w:rsid w:val="00AC0E39"/>
    <w:rsid w:val="00AC3B88"/>
    <w:rsid w:val="00AD3082"/>
    <w:rsid w:val="00AD32B4"/>
    <w:rsid w:val="00AD3D05"/>
    <w:rsid w:val="00AD4AD0"/>
    <w:rsid w:val="00AD5436"/>
    <w:rsid w:val="00AD60CD"/>
    <w:rsid w:val="00AD650A"/>
    <w:rsid w:val="00AD6C8C"/>
    <w:rsid w:val="00AE091D"/>
    <w:rsid w:val="00AE3B60"/>
    <w:rsid w:val="00AE53A1"/>
    <w:rsid w:val="00AF1407"/>
    <w:rsid w:val="00AF2484"/>
    <w:rsid w:val="00AF2824"/>
    <w:rsid w:val="00AF63E7"/>
    <w:rsid w:val="00AF6E17"/>
    <w:rsid w:val="00B0165D"/>
    <w:rsid w:val="00B01B60"/>
    <w:rsid w:val="00B031F3"/>
    <w:rsid w:val="00B052A4"/>
    <w:rsid w:val="00B125DE"/>
    <w:rsid w:val="00B13FDD"/>
    <w:rsid w:val="00B22EB2"/>
    <w:rsid w:val="00B23979"/>
    <w:rsid w:val="00B27442"/>
    <w:rsid w:val="00B30EB6"/>
    <w:rsid w:val="00B31167"/>
    <w:rsid w:val="00B329D8"/>
    <w:rsid w:val="00B32BB9"/>
    <w:rsid w:val="00B33AE1"/>
    <w:rsid w:val="00B37C38"/>
    <w:rsid w:val="00B4288C"/>
    <w:rsid w:val="00B43262"/>
    <w:rsid w:val="00B44100"/>
    <w:rsid w:val="00B448D3"/>
    <w:rsid w:val="00B46CBA"/>
    <w:rsid w:val="00B46F94"/>
    <w:rsid w:val="00B51080"/>
    <w:rsid w:val="00B6003C"/>
    <w:rsid w:val="00B61F03"/>
    <w:rsid w:val="00B626E4"/>
    <w:rsid w:val="00B72F4A"/>
    <w:rsid w:val="00B829C1"/>
    <w:rsid w:val="00B83C27"/>
    <w:rsid w:val="00B84BC3"/>
    <w:rsid w:val="00B84BDD"/>
    <w:rsid w:val="00B9186B"/>
    <w:rsid w:val="00B92812"/>
    <w:rsid w:val="00BB45A1"/>
    <w:rsid w:val="00BB7686"/>
    <w:rsid w:val="00BC23F9"/>
    <w:rsid w:val="00BC3421"/>
    <w:rsid w:val="00BC6158"/>
    <w:rsid w:val="00BC732C"/>
    <w:rsid w:val="00BC77AA"/>
    <w:rsid w:val="00BD621B"/>
    <w:rsid w:val="00BE2580"/>
    <w:rsid w:val="00BE266D"/>
    <w:rsid w:val="00BE3938"/>
    <w:rsid w:val="00BE4C11"/>
    <w:rsid w:val="00BE4EC0"/>
    <w:rsid w:val="00BE71C0"/>
    <w:rsid w:val="00BE7293"/>
    <w:rsid w:val="00BF610C"/>
    <w:rsid w:val="00BF751B"/>
    <w:rsid w:val="00C0060B"/>
    <w:rsid w:val="00C0277D"/>
    <w:rsid w:val="00C04684"/>
    <w:rsid w:val="00C053A1"/>
    <w:rsid w:val="00C05FAD"/>
    <w:rsid w:val="00C16198"/>
    <w:rsid w:val="00C16E8D"/>
    <w:rsid w:val="00C2083D"/>
    <w:rsid w:val="00C23647"/>
    <w:rsid w:val="00C24A53"/>
    <w:rsid w:val="00C34A05"/>
    <w:rsid w:val="00C4032F"/>
    <w:rsid w:val="00C41245"/>
    <w:rsid w:val="00C44047"/>
    <w:rsid w:val="00C45155"/>
    <w:rsid w:val="00C5498F"/>
    <w:rsid w:val="00C55235"/>
    <w:rsid w:val="00C64CD0"/>
    <w:rsid w:val="00C6541D"/>
    <w:rsid w:val="00C6684F"/>
    <w:rsid w:val="00C70E70"/>
    <w:rsid w:val="00C75F8D"/>
    <w:rsid w:val="00C77380"/>
    <w:rsid w:val="00C823CF"/>
    <w:rsid w:val="00C9420A"/>
    <w:rsid w:val="00C97736"/>
    <w:rsid w:val="00CA345A"/>
    <w:rsid w:val="00CA3FF9"/>
    <w:rsid w:val="00CB1E82"/>
    <w:rsid w:val="00CB4BA8"/>
    <w:rsid w:val="00CB52D7"/>
    <w:rsid w:val="00CC0E9C"/>
    <w:rsid w:val="00CC33E1"/>
    <w:rsid w:val="00CC52E4"/>
    <w:rsid w:val="00CC6732"/>
    <w:rsid w:val="00CD5781"/>
    <w:rsid w:val="00CE328B"/>
    <w:rsid w:val="00CE3C96"/>
    <w:rsid w:val="00CE51A8"/>
    <w:rsid w:val="00CF154B"/>
    <w:rsid w:val="00CF369B"/>
    <w:rsid w:val="00CF630C"/>
    <w:rsid w:val="00D00848"/>
    <w:rsid w:val="00D00E28"/>
    <w:rsid w:val="00D0269E"/>
    <w:rsid w:val="00D05C14"/>
    <w:rsid w:val="00D05D6C"/>
    <w:rsid w:val="00D07D9E"/>
    <w:rsid w:val="00D15810"/>
    <w:rsid w:val="00D16D4E"/>
    <w:rsid w:val="00D16FE3"/>
    <w:rsid w:val="00D27F41"/>
    <w:rsid w:val="00D32B79"/>
    <w:rsid w:val="00D36441"/>
    <w:rsid w:val="00D4064E"/>
    <w:rsid w:val="00D44E9B"/>
    <w:rsid w:val="00D47AEB"/>
    <w:rsid w:val="00D50DB9"/>
    <w:rsid w:val="00D51302"/>
    <w:rsid w:val="00D52C43"/>
    <w:rsid w:val="00D6507F"/>
    <w:rsid w:val="00D702EA"/>
    <w:rsid w:val="00D70F0E"/>
    <w:rsid w:val="00D730BC"/>
    <w:rsid w:val="00D73912"/>
    <w:rsid w:val="00D85226"/>
    <w:rsid w:val="00D86BD2"/>
    <w:rsid w:val="00D87B94"/>
    <w:rsid w:val="00D909F8"/>
    <w:rsid w:val="00D92D49"/>
    <w:rsid w:val="00D92EA8"/>
    <w:rsid w:val="00D92EC1"/>
    <w:rsid w:val="00D96DEA"/>
    <w:rsid w:val="00DA4E41"/>
    <w:rsid w:val="00DB05D3"/>
    <w:rsid w:val="00DB117A"/>
    <w:rsid w:val="00DB5173"/>
    <w:rsid w:val="00DB7873"/>
    <w:rsid w:val="00DC187B"/>
    <w:rsid w:val="00DD02B0"/>
    <w:rsid w:val="00DD61B4"/>
    <w:rsid w:val="00DD73C2"/>
    <w:rsid w:val="00DE319B"/>
    <w:rsid w:val="00DF34FE"/>
    <w:rsid w:val="00DF56AA"/>
    <w:rsid w:val="00DF56AF"/>
    <w:rsid w:val="00DF78E7"/>
    <w:rsid w:val="00E05A19"/>
    <w:rsid w:val="00E110E0"/>
    <w:rsid w:val="00E15371"/>
    <w:rsid w:val="00E24104"/>
    <w:rsid w:val="00E302D0"/>
    <w:rsid w:val="00E35707"/>
    <w:rsid w:val="00E35C95"/>
    <w:rsid w:val="00E36AA1"/>
    <w:rsid w:val="00E41ECB"/>
    <w:rsid w:val="00E47512"/>
    <w:rsid w:val="00E514DF"/>
    <w:rsid w:val="00E54FDB"/>
    <w:rsid w:val="00E5617D"/>
    <w:rsid w:val="00E563D7"/>
    <w:rsid w:val="00E63FC8"/>
    <w:rsid w:val="00E663F4"/>
    <w:rsid w:val="00E666F2"/>
    <w:rsid w:val="00E66DD4"/>
    <w:rsid w:val="00E748CC"/>
    <w:rsid w:val="00E75415"/>
    <w:rsid w:val="00E775B1"/>
    <w:rsid w:val="00E8152A"/>
    <w:rsid w:val="00E93629"/>
    <w:rsid w:val="00E93B5C"/>
    <w:rsid w:val="00E94CEC"/>
    <w:rsid w:val="00EA04EF"/>
    <w:rsid w:val="00EA600C"/>
    <w:rsid w:val="00EA6F19"/>
    <w:rsid w:val="00EA73F0"/>
    <w:rsid w:val="00EB7090"/>
    <w:rsid w:val="00EC1BBE"/>
    <w:rsid w:val="00EC5CD7"/>
    <w:rsid w:val="00ED68FF"/>
    <w:rsid w:val="00EE48CA"/>
    <w:rsid w:val="00EE5FB3"/>
    <w:rsid w:val="00EE7F79"/>
    <w:rsid w:val="00EF715A"/>
    <w:rsid w:val="00F04672"/>
    <w:rsid w:val="00F06E14"/>
    <w:rsid w:val="00F179D4"/>
    <w:rsid w:val="00F27D6E"/>
    <w:rsid w:val="00F3258C"/>
    <w:rsid w:val="00F33C56"/>
    <w:rsid w:val="00F347C7"/>
    <w:rsid w:val="00F34848"/>
    <w:rsid w:val="00F42D46"/>
    <w:rsid w:val="00F4496C"/>
    <w:rsid w:val="00F44F3A"/>
    <w:rsid w:val="00F51F10"/>
    <w:rsid w:val="00F529A5"/>
    <w:rsid w:val="00F60F00"/>
    <w:rsid w:val="00F614C0"/>
    <w:rsid w:val="00F70492"/>
    <w:rsid w:val="00F77386"/>
    <w:rsid w:val="00F83848"/>
    <w:rsid w:val="00F9079C"/>
    <w:rsid w:val="00F908D6"/>
    <w:rsid w:val="00F975E9"/>
    <w:rsid w:val="00FA1B7D"/>
    <w:rsid w:val="00FC07B9"/>
    <w:rsid w:val="00FC4E21"/>
    <w:rsid w:val="00FC5F6D"/>
    <w:rsid w:val="00FD0107"/>
    <w:rsid w:val="00FD2C2F"/>
    <w:rsid w:val="00FD3B31"/>
    <w:rsid w:val="00FD67DF"/>
    <w:rsid w:val="00FE1823"/>
    <w:rsid w:val="00FE42EF"/>
    <w:rsid w:val="00FE487A"/>
    <w:rsid w:val="00FE59D0"/>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red,#4d4d4f"/>
    </o:shapedefaults>
    <o:shapelayout v:ext="edit">
      <o:idmap v:ext="edit" data="1"/>
    </o:shapelayout>
  </w:shapeDefaults>
  <w:decimalSymbol w:val="."/>
  <w:listSeparator w:val=","/>
  <w14:docId w14:val="3CDE740D"/>
  <w15:docId w15:val="{92DB7B7A-414B-4A88-8C2E-DA9D59DD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0107"/>
    <w:pPr>
      <w:spacing w:after="240" w:line="240" w:lineRule="atLeast"/>
    </w:pPr>
    <w:rPr>
      <w:rFonts w:ascii="Arial" w:hAnsi="Arial"/>
      <w:sz w:val="20"/>
    </w:rPr>
  </w:style>
  <w:style w:type="paragraph" w:styleId="Heading1">
    <w:name w:val="heading 1"/>
    <w:basedOn w:val="Normal"/>
    <w:next w:val="Normal"/>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qFormat/>
    <w:rsid w:val="00C55235"/>
    <w:pPr>
      <w:keepNext/>
      <w:spacing w:before="320" w:after="60"/>
      <w:outlineLvl w:val="1"/>
    </w:pPr>
    <w:rPr>
      <w:rFonts w:cs="Arial"/>
      <w:b/>
      <w:bCs/>
      <w:iCs/>
      <w:sz w:val="28"/>
      <w:szCs w:val="28"/>
    </w:rPr>
  </w:style>
  <w:style w:type="paragraph" w:styleId="Heading3">
    <w:name w:val="heading 3"/>
    <w:basedOn w:val="Normal"/>
    <w:next w:val="Normal"/>
    <w:qFormat/>
    <w:rsid w:val="00C55235"/>
    <w:pPr>
      <w:keepNext/>
      <w:spacing w:before="60" w:after="60"/>
      <w:outlineLvl w:val="2"/>
    </w:pPr>
    <w:rPr>
      <w:rFonts w:cs="Arial"/>
      <w:b/>
      <w:bCs/>
      <w:szCs w:val="26"/>
    </w:rPr>
  </w:style>
  <w:style w:type="paragraph" w:styleId="Heading4">
    <w:name w:val="heading 4"/>
    <w:basedOn w:val="Normal"/>
    <w:next w:val="Normal"/>
    <w:semiHidden/>
    <w:qFormat/>
    <w:rsid w:val="00AD5436"/>
    <w:pPr>
      <w:keepNext/>
      <w:numPr>
        <w:ilvl w:val="3"/>
        <w:numId w:val="5"/>
      </w:numPr>
      <w:spacing w:before="240" w:after="60"/>
      <w:outlineLvl w:val="3"/>
    </w:pPr>
    <w:rPr>
      <w:rFonts w:ascii="Times New Roman" w:hAnsi="Times New Roman"/>
      <w:b/>
      <w:bCs/>
      <w:sz w:val="28"/>
      <w:szCs w:val="28"/>
    </w:rPr>
  </w:style>
  <w:style w:type="paragraph" w:styleId="Heading5">
    <w:name w:val="heading 5"/>
    <w:basedOn w:val="Normal"/>
    <w:next w:val="Normal"/>
    <w:uiPriority w:val="9"/>
    <w:qFormat/>
    <w:rsid w:val="00AD5436"/>
    <w:pPr>
      <w:numPr>
        <w:ilvl w:val="4"/>
        <w:numId w:val="5"/>
      </w:numPr>
      <w:spacing w:before="240" w:after="60"/>
      <w:outlineLvl w:val="4"/>
    </w:pPr>
    <w:rPr>
      <w:b/>
      <w:bCs/>
      <w:i/>
      <w:iCs/>
      <w:sz w:val="26"/>
      <w:szCs w:val="26"/>
    </w:rPr>
  </w:style>
  <w:style w:type="paragraph" w:styleId="Heading6">
    <w:name w:val="heading 6"/>
    <w:basedOn w:val="Normal"/>
    <w:next w:val="Normal"/>
    <w:uiPriority w:val="9"/>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uiPriority w:val="9"/>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uiPriority w:val="9"/>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uiPriority w:val="9"/>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791C"/>
    <w:pPr>
      <w:tabs>
        <w:tab w:val="center" w:pos="4153"/>
        <w:tab w:val="right" w:pos="8306"/>
      </w:tabs>
      <w:spacing w:line="240" w:lineRule="auto"/>
    </w:pPr>
    <w:rPr>
      <w:sz w:val="16"/>
    </w:rPr>
  </w:style>
  <w:style w:type="paragraph" w:styleId="Footer">
    <w:name w:val="footer"/>
    <w:basedOn w:val="Normal"/>
    <w:link w:val="FooterChar"/>
    <w:uiPriority w:val="99"/>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uiPriority w:val="99"/>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3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uiPriority w:val="39"/>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9"/>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3"/>
      </w:numPr>
      <w:spacing w:after="80"/>
    </w:pPr>
  </w:style>
  <w:style w:type="paragraph" w:styleId="ListNumber2">
    <w:name w:val="List Number 2"/>
    <w:basedOn w:val="Normal"/>
    <w:qFormat/>
    <w:rsid w:val="00247C59"/>
    <w:pPr>
      <w:numPr>
        <w:numId w:val="4"/>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basedOn w:val="DefaultParagraphFont"/>
    <w:rsid w:val="00566AB4"/>
    <w:rPr>
      <w:rFonts w:ascii="Arial" w:hAnsi="Arial"/>
      <w:vertAlign w:val="superscript"/>
    </w:rPr>
  </w:style>
  <w:style w:type="paragraph" w:styleId="FootnoteText">
    <w:name w:val="footnote text"/>
    <w:aliases w:val="ACMA Footnote Text,ABA Footnote Text"/>
    <w:basedOn w:val="Normal"/>
    <w:link w:val="FootnoteTextChar"/>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semiHidden/>
    <w:rsid w:val="00EE7F79"/>
    <w:rPr>
      <w:sz w:val="16"/>
      <w:szCs w:val="16"/>
    </w:rPr>
  </w:style>
  <w:style w:type="paragraph" w:styleId="CommentText">
    <w:name w:val="annotation text"/>
    <w:basedOn w:val="Normal"/>
    <w:link w:val="CommentTextChar"/>
    <w:semiHidden/>
    <w:rsid w:val="00EE7F79"/>
    <w:pPr>
      <w:spacing w:line="240" w:lineRule="auto"/>
    </w:pPr>
    <w:rPr>
      <w:szCs w:val="20"/>
    </w:rPr>
  </w:style>
  <w:style w:type="character" w:customStyle="1" w:styleId="CommentTextChar">
    <w:name w:val="Comment Text Char"/>
    <w:basedOn w:val="DefaultParagraphFont"/>
    <w:link w:val="CommentText"/>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semiHidden/>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121E0B"/>
    <w:pPr>
      <w:spacing w:after="120"/>
    </w:pPr>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8"/>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rsid w:val="00971914"/>
    <w:rPr>
      <w:rFonts w:ascii="Arial" w:hAnsi="Arial"/>
      <w:sz w:val="16"/>
    </w:rPr>
  </w:style>
  <w:style w:type="paragraph" w:customStyle="1" w:styleId="ReportTitle">
    <w:name w:val="Report Title"/>
    <w:basedOn w:val="Normal"/>
    <w:rsid w:val="00510E9F"/>
    <w:pPr>
      <w:spacing w:after="0" w:line="560" w:lineRule="exact"/>
    </w:pPr>
    <w:rPr>
      <w:b/>
      <w:color w:val="4D4D4F"/>
      <w:spacing w:val="-28"/>
      <w:sz w:val="53"/>
    </w:rPr>
  </w:style>
  <w:style w:type="paragraph" w:customStyle="1" w:styleId="ReportSubtitle">
    <w:name w:val="Report Sub title"/>
    <w:basedOn w:val="Normal"/>
    <w:rsid w:val="00510E9F"/>
    <w:pPr>
      <w:spacing w:after="0" w:line="560" w:lineRule="exact"/>
    </w:pPr>
    <w:rPr>
      <w:color w:val="808285"/>
      <w:spacing w:val="-28"/>
      <w:sz w:val="53"/>
    </w:rPr>
  </w:style>
  <w:style w:type="paragraph" w:customStyle="1" w:styleId="ReportDate">
    <w:name w:val="Report Date"/>
    <w:basedOn w:val="ReportSubtitle"/>
    <w:rsid w:val="00510E9F"/>
    <w:pPr>
      <w:spacing w:line="240" w:lineRule="auto"/>
    </w:pPr>
    <w:rPr>
      <w:caps/>
      <w:spacing w:val="-10"/>
      <w:sz w:val="20"/>
    </w:rPr>
  </w:style>
  <w:style w:type="paragraph" w:customStyle="1" w:styleId="Bodysubheader0">
    <w:name w:val="Body sub header"/>
    <w:basedOn w:val="Normal"/>
    <w:next w:val="Normal"/>
    <w:rsid w:val="00510E9F"/>
    <w:pPr>
      <w:spacing w:after="0"/>
    </w:pPr>
    <w:rPr>
      <w:b/>
      <w:i/>
    </w:rPr>
  </w:style>
  <w:style w:type="paragraph" w:customStyle="1" w:styleId="ExecSummaryHeading">
    <w:name w:val="Exec Summary Heading"/>
    <w:basedOn w:val="Normal"/>
    <w:rsid w:val="00510E9F"/>
    <w:pPr>
      <w:spacing w:after="1440" w:line="550" w:lineRule="exact"/>
    </w:pPr>
    <w:rPr>
      <w:b/>
      <w:color w:val="4D4D4F"/>
      <w:spacing w:val="-18"/>
      <w:sz w:val="53"/>
    </w:rPr>
  </w:style>
  <w:style w:type="character" w:customStyle="1" w:styleId="FootnoteTextChar">
    <w:name w:val="Footnote Text Char"/>
    <w:aliases w:val="ACMA Footnote Text Char,ABA Footnote Text Char"/>
    <w:basedOn w:val="DefaultParagraphFont"/>
    <w:link w:val="FootnoteText"/>
    <w:rsid w:val="00510E9F"/>
    <w:rPr>
      <w:rFonts w:ascii="Arial" w:hAnsi="Arial"/>
      <w:sz w:val="16"/>
      <w:szCs w:val="16"/>
    </w:rPr>
  </w:style>
  <w:style w:type="paragraph" w:styleId="TOC9">
    <w:name w:val="toc 9"/>
    <w:aliases w:val="TOC ExecSumm"/>
    <w:basedOn w:val="Normal"/>
    <w:next w:val="Normal"/>
    <w:rsid w:val="00510E9F"/>
    <w:pPr>
      <w:tabs>
        <w:tab w:val="right" w:pos="7660"/>
      </w:tabs>
      <w:spacing w:before="280" w:after="0" w:line="320" w:lineRule="exact"/>
    </w:pPr>
    <w:rPr>
      <w:b/>
      <w:noProof/>
      <w:color w:val="808285"/>
      <w:sz w:val="28"/>
      <w:szCs w:val="28"/>
    </w:rPr>
  </w:style>
  <w:style w:type="paragraph" w:customStyle="1" w:styleId="ChapterHeading">
    <w:name w:val="Chapter Heading"/>
    <w:basedOn w:val="Normal"/>
    <w:rsid w:val="00510E9F"/>
    <w:pPr>
      <w:spacing w:after="0" w:line="560" w:lineRule="exact"/>
    </w:pPr>
    <w:rPr>
      <w:color w:val="808285"/>
      <w:spacing w:val="-28"/>
      <w:sz w:val="53"/>
    </w:rPr>
  </w:style>
  <w:style w:type="character" w:customStyle="1" w:styleId="apple-style-span">
    <w:name w:val="apple-style-span"/>
    <w:basedOn w:val="DefaultParagraphFont"/>
    <w:rsid w:val="00510E9F"/>
  </w:style>
  <w:style w:type="paragraph" w:customStyle="1" w:styleId="ACMABodyText">
    <w:name w:val="ACMA Body Text"/>
    <w:link w:val="ACMABodyTextChar"/>
    <w:rsid w:val="00510E9F"/>
    <w:pPr>
      <w:suppressAutoHyphens/>
      <w:spacing w:before="80" w:after="120" w:line="280" w:lineRule="atLeast"/>
    </w:pPr>
    <w:rPr>
      <w:rFonts w:ascii="Arial" w:hAnsi="Arial"/>
      <w:lang w:eastAsia="en-US"/>
    </w:rPr>
  </w:style>
  <w:style w:type="character" w:customStyle="1" w:styleId="ACMABodyTextChar">
    <w:name w:val="ACMA Body Text Char"/>
    <w:basedOn w:val="DefaultParagraphFont"/>
    <w:link w:val="ACMABodyText"/>
    <w:locked/>
    <w:rsid w:val="00510E9F"/>
    <w:rPr>
      <w:rFonts w:ascii="Arial" w:hAnsi="Arial"/>
      <w:lang w:eastAsia="en-US"/>
    </w:rPr>
  </w:style>
  <w:style w:type="paragraph" w:customStyle="1" w:styleId="ACMABulletLevel1">
    <w:name w:val="ACMA Bullet Level 1"/>
    <w:uiPriority w:val="99"/>
    <w:rsid w:val="00510E9F"/>
    <w:pPr>
      <w:numPr>
        <w:numId w:val="10"/>
      </w:numPr>
      <w:spacing w:after="120"/>
    </w:pPr>
    <w:rPr>
      <w:rFonts w:ascii="Arial" w:hAnsi="Arial"/>
      <w:lang w:eastAsia="en-US"/>
    </w:rPr>
  </w:style>
  <w:style w:type="paragraph" w:customStyle="1" w:styleId="ACMAHeading2">
    <w:name w:val="ACMA Heading 2"/>
    <w:next w:val="ACMABodyText"/>
    <w:uiPriority w:val="99"/>
    <w:rsid w:val="00510E9F"/>
    <w:pPr>
      <w:keepNext/>
      <w:suppressAutoHyphens/>
      <w:spacing w:before="240"/>
      <w:outlineLvl w:val="2"/>
    </w:pPr>
    <w:rPr>
      <w:rFonts w:ascii="Arial" w:hAnsi="Arial" w:cs="Arial"/>
      <w:b/>
      <w:bCs/>
      <w:caps/>
      <w:sz w:val="26"/>
      <w:szCs w:val="26"/>
      <w:lang w:val="en-US" w:eastAsia="en-US"/>
    </w:rPr>
  </w:style>
  <w:style w:type="paragraph" w:customStyle="1" w:styleId="Pa11">
    <w:name w:val="Pa11"/>
    <w:basedOn w:val="Normal"/>
    <w:next w:val="Normal"/>
    <w:uiPriority w:val="99"/>
    <w:rsid w:val="00510E9F"/>
    <w:pPr>
      <w:widowControl w:val="0"/>
      <w:autoSpaceDE w:val="0"/>
      <w:autoSpaceDN w:val="0"/>
      <w:adjustRightInd w:val="0"/>
      <w:spacing w:after="160" w:line="201" w:lineRule="atLeast"/>
    </w:pPr>
    <w:rPr>
      <w:rFonts w:ascii="Univers" w:eastAsia="SimSun" w:hAnsi="Univers" w:cs="Univers"/>
      <w:sz w:val="24"/>
      <w:lang w:val="en-US" w:eastAsia="en-US"/>
    </w:rPr>
  </w:style>
  <w:style w:type="paragraph" w:customStyle="1" w:styleId="Pa12">
    <w:name w:val="Pa12"/>
    <w:basedOn w:val="Normal"/>
    <w:next w:val="Normal"/>
    <w:uiPriority w:val="99"/>
    <w:rsid w:val="00510E9F"/>
    <w:pPr>
      <w:widowControl w:val="0"/>
      <w:autoSpaceDE w:val="0"/>
      <w:autoSpaceDN w:val="0"/>
      <w:adjustRightInd w:val="0"/>
      <w:spacing w:after="160" w:line="241" w:lineRule="atLeast"/>
    </w:pPr>
    <w:rPr>
      <w:rFonts w:ascii="Univers" w:eastAsia="SimSun" w:hAnsi="Univers" w:cs="Univers"/>
      <w:sz w:val="24"/>
      <w:lang w:val="en-US" w:eastAsia="en-US"/>
    </w:rPr>
  </w:style>
  <w:style w:type="paragraph" w:styleId="BodyText">
    <w:name w:val="Body Text"/>
    <w:basedOn w:val="Normal"/>
    <w:link w:val="BodyTextChar"/>
    <w:uiPriority w:val="99"/>
    <w:rsid w:val="00510E9F"/>
    <w:pPr>
      <w:spacing w:after="0" w:line="240" w:lineRule="auto"/>
    </w:pPr>
    <w:rPr>
      <w:i/>
      <w:iCs/>
      <w:color w:val="999999"/>
      <w:lang w:eastAsia="en-US"/>
    </w:rPr>
  </w:style>
  <w:style w:type="character" w:customStyle="1" w:styleId="BodyTextChar">
    <w:name w:val="Body Text Char"/>
    <w:basedOn w:val="DefaultParagraphFont"/>
    <w:link w:val="BodyText"/>
    <w:uiPriority w:val="99"/>
    <w:rsid w:val="00510E9F"/>
    <w:rPr>
      <w:rFonts w:ascii="Arial" w:hAnsi="Arial"/>
      <w:i/>
      <w:iCs/>
      <w:color w:val="999999"/>
      <w:sz w:val="20"/>
      <w:lang w:eastAsia="en-US"/>
    </w:rPr>
  </w:style>
  <w:style w:type="paragraph" w:customStyle="1" w:styleId="LegislationLvl1">
    <w:name w:val="Legislation Lvl 1"/>
    <w:uiPriority w:val="99"/>
    <w:rsid w:val="00510E9F"/>
    <w:pPr>
      <w:numPr>
        <w:ilvl w:val="2"/>
        <w:numId w:val="11"/>
      </w:numPr>
      <w:tabs>
        <w:tab w:val="clear" w:pos="2436"/>
        <w:tab w:val="num" w:pos="851"/>
        <w:tab w:val="num" w:pos="1176"/>
      </w:tabs>
      <w:ind w:left="850" w:hanging="493"/>
    </w:pPr>
    <w:rPr>
      <w:rFonts w:ascii="Arial" w:hAnsi="Arial"/>
      <w:sz w:val="22"/>
      <w:szCs w:val="22"/>
      <w:lang w:eastAsia="en-US"/>
    </w:rPr>
  </w:style>
  <w:style w:type="paragraph" w:customStyle="1" w:styleId="LegislationLvl2">
    <w:name w:val="Legislation Lvl 2"/>
    <w:uiPriority w:val="99"/>
    <w:rsid w:val="00510E9F"/>
    <w:pPr>
      <w:numPr>
        <w:ilvl w:val="3"/>
        <w:numId w:val="11"/>
      </w:numPr>
      <w:tabs>
        <w:tab w:val="clear" w:pos="2796"/>
        <w:tab w:val="num" w:pos="1418"/>
        <w:tab w:val="num" w:pos="1536"/>
      </w:tabs>
      <w:ind w:left="1418" w:hanging="567"/>
    </w:pPr>
    <w:rPr>
      <w:rFonts w:ascii="Arial" w:hAnsi="Arial"/>
      <w:sz w:val="22"/>
      <w:szCs w:val="22"/>
      <w:lang w:eastAsia="en-US"/>
    </w:rPr>
  </w:style>
  <w:style w:type="paragraph" w:customStyle="1" w:styleId="LegislationLvl3">
    <w:name w:val="Legislation Lvl 3"/>
    <w:uiPriority w:val="99"/>
    <w:rsid w:val="00510E9F"/>
    <w:pPr>
      <w:tabs>
        <w:tab w:val="num" w:pos="1985"/>
        <w:tab w:val="num" w:pos="2436"/>
      </w:tabs>
      <w:ind w:left="1985" w:hanging="567"/>
    </w:pPr>
    <w:rPr>
      <w:rFonts w:ascii="Arial" w:hAnsi="Arial"/>
      <w:sz w:val="22"/>
      <w:szCs w:val="22"/>
      <w:lang w:eastAsia="en-US"/>
    </w:rPr>
  </w:style>
  <w:style w:type="paragraph" w:customStyle="1" w:styleId="LegislationLvl4">
    <w:name w:val="Legislation Lvl 4"/>
    <w:uiPriority w:val="99"/>
    <w:rsid w:val="00510E9F"/>
    <w:pPr>
      <w:tabs>
        <w:tab w:val="num" w:pos="2694"/>
        <w:tab w:val="num" w:pos="2796"/>
      </w:tabs>
      <w:ind w:left="2694" w:hanging="426"/>
    </w:pPr>
    <w:rPr>
      <w:rFonts w:ascii="Arial" w:hAnsi="Arial"/>
      <w:sz w:val="22"/>
      <w:szCs w:val="22"/>
      <w:lang w:eastAsia="en-US"/>
    </w:rPr>
  </w:style>
  <w:style w:type="paragraph" w:styleId="ListParagraph">
    <w:name w:val="List Paragraph"/>
    <w:basedOn w:val="Normal"/>
    <w:uiPriority w:val="34"/>
    <w:qFormat/>
    <w:rsid w:val="00510E9F"/>
    <w:pPr>
      <w:spacing w:after="0"/>
      <w:ind w:left="720"/>
      <w:contextualSpacing/>
    </w:pPr>
    <w:rPr>
      <w:rFonts w:ascii="HelveticaNeueLT Std Lt" w:hAnsi="HelveticaNeueLT Std Lt"/>
    </w:rPr>
  </w:style>
  <w:style w:type="paragraph" w:customStyle="1" w:styleId="ExampleText">
    <w:name w:val="Example Text"/>
    <w:basedOn w:val="Normal"/>
    <w:rsid w:val="00510E9F"/>
    <w:pPr>
      <w:spacing w:line="260" w:lineRule="exact"/>
    </w:pPr>
    <w:rPr>
      <w:rFonts w:ascii="Book Antiqua" w:hAnsi="Book Antiqua"/>
      <w:i/>
      <w:color w:val="FF0000"/>
      <w:lang w:eastAsia="en-US"/>
    </w:rPr>
  </w:style>
  <w:style w:type="paragraph" w:customStyle="1" w:styleId="Default">
    <w:name w:val="Default"/>
    <w:rsid w:val="00510E9F"/>
    <w:pPr>
      <w:autoSpaceDE w:val="0"/>
      <w:autoSpaceDN w:val="0"/>
      <w:adjustRightInd w:val="0"/>
    </w:pPr>
    <w:rPr>
      <w:rFonts w:ascii="Symbol" w:hAnsi="Symbol" w:cs="Symbol"/>
      <w:color w:val="000000"/>
    </w:rPr>
  </w:style>
  <w:style w:type="character" w:customStyle="1" w:styleId="EndnoteTextChar">
    <w:name w:val="Endnote Text Char"/>
    <w:basedOn w:val="DefaultParagraphFont"/>
    <w:link w:val="EndnoteText"/>
    <w:semiHidden/>
    <w:rsid w:val="00510E9F"/>
    <w:rPr>
      <w:rFonts w:ascii="HelveticaNeueLT Std Lt" w:hAnsi="HelveticaNeueLT Std Lt"/>
    </w:rPr>
  </w:style>
  <w:style w:type="paragraph" w:styleId="EndnoteText">
    <w:name w:val="endnote text"/>
    <w:basedOn w:val="Normal"/>
    <w:link w:val="EndnoteTextChar"/>
    <w:semiHidden/>
    <w:rsid w:val="00510E9F"/>
    <w:pPr>
      <w:spacing w:after="0" w:line="240" w:lineRule="auto"/>
    </w:pPr>
    <w:rPr>
      <w:rFonts w:ascii="HelveticaNeueLT Std Lt" w:hAnsi="HelveticaNeueLT Std Lt"/>
      <w:sz w:val="24"/>
    </w:rPr>
  </w:style>
  <w:style w:type="character" w:customStyle="1" w:styleId="EndnoteTextChar1">
    <w:name w:val="Endnote Text Char1"/>
    <w:basedOn w:val="DefaultParagraphFont"/>
    <w:semiHidden/>
    <w:rsid w:val="00510E9F"/>
    <w:rPr>
      <w:rFonts w:ascii="Arial" w:hAnsi="Arial"/>
      <w:sz w:val="20"/>
      <w:szCs w:val="20"/>
    </w:rPr>
  </w:style>
  <w:style w:type="paragraph" w:customStyle="1" w:styleId="R1">
    <w:name w:val="R1"/>
    <w:aliases w:val="1. or 1.(1)"/>
    <w:basedOn w:val="Normal"/>
    <w:next w:val="P1"/>
    <w:rsid w:val="00510E9F"/>
    <w:pPr>
      <w:tabs>
        <w:tab w:val="right" w:pos="1080"/>
        <w:tab w:val="left" w:pos="1260"/>
        <w:tab w:val="left" w:pos="1800"/>
      </w:tabs>
      <w:autoSpaceDE w:val="0"/>
      <w:autoSpaceDN w:val="0"/>
      <w:spacing w:before="120" w:after="0" w:line="240" w:lineRule="auto"/>
      <w:jc w:val="both"/>
    </w:pPr>
    <w:rPr>
      <w:rFonts w:ascii="Times" w:hAnsi="Times" w:cs="Times"/>
      <w:sz w:val="26"/>
      <w:szCs w:val="26"/>
    </w:rPr>
  </w:style>
  <w:style w:type="paragraph" w:customStyle="1" w:styleId="P1">
    <w:name w:val="P1"/>
    <w:aliases w:val="(a)"/>
    <w:basedOn w:val="Normal"/>
    <w:rsid w:val="00510E9F"/>
    <w:pPr>
      <w:tabs>
        <w:tab w:val="right" w:pos="1080"/>
      </w:tabs>
      <w:autoSpaceDE w:val="0"/>
      <w:autoSpaceDN w:val="0"/>
      <w:spacing w:before="40" w:after="0" w:line="260" w:lineRule="atLeast"/>
      <w:ind w:left="1276" w:hanging="1280"/>
      <w:jc w:val="both"/>
    </w:pPr>
    <w:rPr>
      <w:rFonts w:ascii="Times" w:hAnsi="Times" w:cs="Times"/>
      <w:sz w:val="26"/>
      <w:szCs w:val="26"/>
    </w:rPr>
  </w:style>
  <w:style w:type="paragraph" w:styleId="Revision">
    <w:name w:val="Revision"/>
    <w:hidden/>
    <w:uiPriority w:val="99"/>
    <w:semiHidden/>
    <w:rsid w:val="00510E9F"/>
    <w:rPr>
      <w:rFonts w:ascii="Arial" w:hAnsi="Arial"/>
      <w:sz w:val="20"/>
    </w:rPr>
  </w:style>
  <w:style w:type="paragraph" w:customStyle="1" w:styleId="NumberLevel1">
    <w:name w:val="Number Level 1"/>
    <w:basedOn w:val="Normal"/>
    <w:rsid w:val="00510E9F"/>
    <w:pPr>
      <w:numPr>
        <w:numId w:val="12"/>
      </w:numPr>
      <w:spacing w:before="140" w:after="140" w:line="280" w:lineRule="atLeast"/>
    </w:pPr>
    <w:rPr>
      <w:rFonts w:cs="Arial"/>
      <w:sz w:val="22"/>
      <w:szCs w:val="22"/>
    </w:rPr>
  </w:style>
  <w:style w:type="paragraph" w:customStyle="1" w:styleId="NumberLevel2">
    <w:name w:val="Number Level 2"/>
    <w:basedOn w:val="Normal"/>
    <w:rsid w:val="00510E9F"/>
    <w:pPr>
      <w:numPr>
        <w:ilvl w:val="1"/>
        <w:numId w:val="12"/>
      </w:numPr>
      <w:spacing w:before="140" w:after="140" w:line="280" w:lineRule="atLeast"/>
    </w:pPr>
    <w:rPr>
      <w:rFonts w:cs="Arial"/>
      <w:sz w:val="22"/>
      <w:szCs w:val="22"/>
    </w:rPr>
  </w:style>
  <w:style w:type="paragraph" w:customStyle="1" w:styleId="NumberLevel3">
    <w:name w:val="Number Level 3"/>
    <w:basedOn w:val="Normal"/>
    <w:rsid w:val="00510E9F"/>
    <w:pPr>
      <w:numPr>
        <w:ilvl w:val="2"/>
        <w:numId w:val="12"/>
      </w:numPr>
      <w:spacing w:before="140" w:after="140" w:line="280" w:lineRule="atLeast"/>
    </w:pPr>
    <w:rPr>
      <w:rFonts w:cs="Arial"/>
      <w:sz w:val="22"/>
      <w:szCs w:val="22"/>
    </w:rPr>
  </w:style>
  <w:style w:type="paragraph" w:customStyle="1" w:styleId="NumberLevel4">
    <w:name w:val="Number Level 4"/>
    <w:basedOn w:val="Normal"/>
    <w:rsid w:val="00510E9F"/>
    <w:pPr>
      <w:numPr>
        <w:ilvl w:val="3"/>
        <w:numId w:val="12"/>
      </w:numPr>
      <w:spacing w:after="140" w:line="280" w:lineRule="atLeast"/>
    </w:pPr>
    <w:rPr>
      <w:rFonts w:cs="Arial"/>
      <w:sz w:val="22"/>
      <w:szCs w:val="22"/>
    </w:rPr>
  </w:style>
  <w:style w:type="paragraph" w:customStyle="1" w:styleId="NumberLevel5">
    <w:name w:val="Number Level 5"/>
    <w:basedOn w:val="Normal"/>
    <w:semiHidden/>
    <w:rsid w:val="00510E9F"/>
    <w:pPr>
      <w:numPr>
        <w:ilvl w:val="4"/>
        <w:numId w:val="12"/>
      </w:numPr>
      <w:spacing w:after="140" w:line="280" w:lineRule="atLeast"/>
    </w:pPr>
    <w:rPr>
      <w:rFonts w:cs="Arial"/>
      <w:sz w:val="22"/>
      <w:szCs w:val="22"/>
    </w:rPr>
  </w:style>
  <w:style w:type="paragraph" w:customStyle="1" w:styleId="NumberLevel6">
    <w:name w:val="Number Level 6"/>
    <w:basedOn w:val="NumberLevel5"/>
    <w:semiHidden/>
    <w:rsid w:val="00510E9F"/>
    <w:pPr>
      <w:numPr>
        <w:ilvl w:val="5"/>
      </w:numPr>
    </w:pPr>
  </w:style>
  <w:style w:type="paragraph" w:customStyle="1" w:styleId="NumberLevel7">
    <w:name w:val="Number Level 7"/>
    <w:basedOn w:val="NumberLevel6"/>
    <w:semiHidden/>
    <w:rsid w:val="00510E9F"/>
    <w:pPr>
      <w:numPr>
        <w:ilvl w:val="6"/>
      </w:numPr>
    </w:pPr>
  </w:style>
  <w:style w:type="paragraph" w:customStyle="1" w:styleId="NumberLevel8">
    <w:name w:val="Number Level 8"/>
    <w:basedOn w:val="NumberLevel7"/>
    <w:semiHidden/>
    <w:rsid w:val="00510E9F"/>
    <w:pPr>
      <w:numPr>
        <w:ilvl w:val="7"/>
      </w:numPr>
    </w:pPr>
  </w:style>
  <w:style w:type="paragraph" w:customStyle="1" w:styleId="NumberLevel9">
    <w:name w:val="Number Level 9"/>
    <w:basedOn w:val="NumberLevel8"/>
    <w:semiHidden/>
    <w:rsid w:val="00510E9F"/>
    <w:pPr>
      <w:numPr>
        <w:ilvl w:val="8"/>
      </w:numPr>
    </w:pPr>
  </w:style>
  <w:style w:type="paragraph" w:customStyle="1" w:styleId="Bullets1stindent">
    <w:name w:val="Bullets (1st indent)"/>
    <w:basedOn w:val="ListParagraph"/>
    <w:link w:val="Bullets1stindentChar"/>
    <w:qFormat/>
    <w:rsid w:val="00510E9F"/>
    <w:pPr>
      <w:widowControl w:val="0"/>
      <w:numPr>
        <w:numId w:val="13"/>
      </w:numPr>
      <w:autoSpaceDE w:val="0"/>
      <w:autoSpaceDN w:val="0"/>
      <w:adjustRightInd w:val="0"/>
      <w:spacing w:after="120" w:line="240" w:lineRule="auto"/>
      <w:contextualSpacing w:val="0"/>
    </w:pPr>
    <w:rPr>
      <w:rFonts w:ascii="Times New Roman" w:eastAsiaTheme="minorEastAsia" w:hAnsi="Times New Roman"/>
      <w:bCs/>
      <w:sz w:val="24"/>
    </w:rPr>
  </w:style>
  <w:style w:type="paragraph" w:customStyle="1" w:styleId="Bullets2ndindent">
    <w:name w:val="Bullets (2nd indent)"/>
    <w:basedOn w:val="Bullets1stindent"/>
    <w:qFormat/>
    <w:rsid w:val="00510E9F"/>
    <w:pPr>
      <w:numPr>
        <w:ilvl w:val="1"/>
      </w:numPr>
      <w:tabs>
        <w:tab w:val="num" w:pos="567"/>
        <w:tab w:val="num" w:pos="840"/>
        <w:tab w:val="num" w:pos="1209"/>
      </w:tabs>
      <w:ind w:left="1418" w:hanging="425"/>
    </w:pPr>
  </w:style>
  <w:style w:type="character" w:customStyle="1" w:styleId="Bullets1stindentChar">
    <w:name w:val="Bullets (1st indent) Char"/>
    <w:basedOn w:val="DefaultParagraphFont"/>
    <w:link w:val="Bullets1stindent"/>
    <w:rsid w:val="00510E9F"/>
    <w:rPr>
      <w:rFonts w:eastAsiaTheme="minorEastAsia"/>
      <w:bCs/>
    </w:rPr>
  </w:style>
  <w:style w:type="table" w:customStyle="1" w:styleId="TableGrid1">
    <w:name w:val="Table Grid1"/>
    <w:basedOn w:val="TableNormal"/>
    <w:next w:val="TableGrid"/>
    <w:uiPriority w:val="59"/>
    <w:rsid w:val="00510E9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ableArial8">
    <w:name w:val="_bullet table Arial 8"/>
    <w:basedOn w:val="ListParagraph"/>
    <w:autoRedefine/>
    <w:qFormat/>
    <w:rsid w:val="00510E9F"/>
    <w:pPr>
      <w:numPr>
        <w:numId w:val="14"/>
      </w:numPr>
      <w:tabs>
        <w:tab w:val="left" w:pos="176"/>
      </w:tabs>
      <w:spacing w:after="60" w:line="240" w:lineRule="auto"/>
      <w:ind w:left="142" w:hanging="142"/>
    </w:pPr>
    <w:rPr>
      <w:rFonts w:ascii="Arial" w:eastAsia="Calibri" w:hAnsi="Arial" w:cs="Arial"/>
      <w:sz w:val="16"/>
      <w:szCs w:val="16"/>
      <w:lang w:val="en-US" w:eastAsia="en-US"/>
    </w:rPr>
  </w:style>
  <w:style w:type="paragraph" w:customStyle="1" w:styleId="Tabletextcell8left">
    <w:name w:val="_Table text cell 8 left"/>
    <w:basedOn w:val="Normal"/>
    <w:qFormat/>
    <w:rsid w:val="00510E9F"/>
    <w:pPr>
      <w:tabs>
        <w:tab w:val="left" w:pos="204"/>
        <w:tab w:val="left" w:pos="396"/>
      </w:tabs>
      <w:spacing w:after="0" w:line="240" w:lineRule="auto"/>
    </w:pPr>
    <w:rPr>
      <w:rFonts w:eastAsia="Calibri"/>
      <w:sz w:val="16"/>
      <w:szCs w:val="16"/>
      <w:lang w:eastAsia="en-US"/>
    </w:rPr>
  </w:style>
  <w:style w:type="paragraph" w:customStyle="1" w:styleId="TableCELL8leftboldSBS">
    <w:name w:val="Table CELL 8 left bold SBS"/>
    <w:basedOn w:val="Normal"/>
    <w:qFormat/>
    <w:rsid w:val="00510E9F"/>
    <w:pPr>
      <w:tabs>
        <w:tab w:val="left" w:pos="176"/>
      </w:tabs>
      <w:spacing w:after="0" w:line="240" w:lineRule="auto"/>
      <w:ind w:left="176" w:hanging="176"/>
    </w:pPr>
    <w:rPr>
      <w:b/>
      <w:sz w:val="16"/>
      <w:szCs w:val="20"/>
      <w:lang w:eastAsia="en-US"/>
    </w:rPr>
  </w:style>
  <w:style w:type="paragraph" w:customStyle="1" w:styleId="ChartandTableFootnoteAlpha">
    <w:name w:val="Chart and Table Footnote Alpha"/>
    <w:basedOn w:val="Normal"/>
    <w:next w:val="Normal"/>
    <w:rsid w:val="00510E9F"/>
    <w:pPr>
      <w:numPr>
        <w:numId w:val="15"/>
      </w:numPr>
      <w:spacing w:after="0" w:line="240" w:lineRule="auto"/>
      <w:jc w:val="both"/>
    </w:pPr>
    <w:rPr>
      <w:sz w:val="16"/>
      <w:szCs w:val="20"/>
    </w:rPr>
  </w:style>
  <w:style w:type="paragraph" w:customStyle="1" w:styleId="Source">
    <w:name w:val="Source"/>
    <w:basedOn w:val="Normal"/>
    <w:link w:val="SourceChar"/>
    <w:qFormat/>
    <w:rsid w:val="00510E9F"/>
    <w:pPr>
      <w:keepNext/>
      <w:spacing w:before="52" w:after="0" w:line="240" w:lineRule="auto"/>
    </w:pPr>
    <w:rPr>
      <w:rFonts w:ascii="Arial Narrow" w:eastAsiaTheme="minorHAnsi" w:hAnsi="Arial Narrow" w:cstheme="minorBidi"/>
      <w:i/>
      <w:caps/>
      <w:spacing w:val="-3"/>
      <w:sz w:val="14"/>
      <w:szCs w:val="22"/>
      <w:lang w:eastAsia="en-US"/>
    </w:rPr>
  </w:style>
  <w:style w:type="paragraph" w:customStyle="1" w:styleId="Tablecolumnheadings">
    <w:name w:val="Table column headings"/>
    <w:basedOn w:val="Normal"/>
    <w:uiPriority w:val="3"/>
    <w:qFormat/>
    <w:rsid w:val="00510E9F"/>
    <w:pPr>
      <w:keepNext/>
      <w:spacing w:before="40" w:after="40"/>
      <w:ind w:right="120"/>
    </w:pPr>
    <w:rPr>
      <w:rFonts w:ascii="Arial Narrow" w:eastAsiaTheme="minorHAnsi" w:hAnsi="Arial Narrow" w:cstheme="minorBidi"/>
      <w:b/>
      <w:color w:val="FFFEFF"/>
      <w:szCs w:val="22"/>
      <w:lang w:eastAsia="en-US"/>
    </w:rPr>
  </w:style>
  <w:style w:type="paragraph" w:customStyle="1" w:styleId="Tabletext">
    <w:name w:val="Table text"/>
    <w:basedOn w:val="Normal"/>
    <w:qFormat/>
    <w:rsid w:val="00510E9F"/>
    <w:pPr>
      <w:spacing w:before="60" w:after="0"/>
      <w:ind w:right="120"/>
    </w:pPr>
    <w:rPr>
      <w:rFonts w:ascii="Arial Narrow" w:eastAsiaTheme="minorHAnsi" w:hAnsi="Arial Narrow" w:cstheme="minorBidi"/>
      <w:color w:val="000100"/>
      <w:szCs w:val="22"/>
      <w:lang w:eastAsia="en-US"/>
    </w:rPr>
  </w:style>
  <w:style w:type="character" w:customStyle="1" w:styleId="SourceChar">
    <w:name w:val="Source Char"/>
    <w:basedOn w:val="DefaultParagraphFont"/>
    <w:link w:val="Source"/>
    <w:locked/>
    <w:rsid w:val="00510E9F"/>
    <w:rPr>
      <w:rFonts w:ascii="Arial Narrow" w:eastAsiaTheme="minorHAnsi" w:hAnsi="Arial Narrow" w:cstheme="minorBidi"/>
      <w:i/>
      <w:caps/>
      <w:spacing w:val="-3"/>
      <w:sz w:val="14"/>
      <w:szCs w:val="22"/>
      <w:lang w:eastAsia="en-US"/>
    </w:rPr>
  </w:style>
  <w:style w:type="paragraph" w:styleId="Index2">
    <w:name w:val="index 2"/>
    <w:basedOn w:val="Normal"/>
    <w:next w:val="Normal"/>
    <w:autoRedefine/>
    <w:rsid w:val="008112CD"/>
    <w:pPr>
      <w:spacing w:after="0" w:line="240" w:lineRule="auto"/>
      <w:ind w:left="4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8828">
      <w:bodyDiv w:val="1"/>
      <w:marLeft w:val="0"/>
      <w:marRight w:val="0"/>
      <w:marTop w:val="0"/>
      <w:marBottom w:val="0"/>
      <w:divBdr>
        <w:top w:val="none" w:sz="0" w:space="0" w:color="auto"/>
        <w:left w:val="none" w:sz="0" w:space="0" w:color="auto"/>
        <w:bottom w:val="none" w:sz="0" w:space="0" w:color="auto"/>
        <w:right w:val="none" w:sz="0" w:space="0" w:color="auto"/>
      </w:divBdr>
    </w:div>
    <w:div w:id="233709860">
      <w:bodyDiv w:val="1"/>
      <w:marLeft w:val="0"/>
      <w:marRight w:val="0"/>
      <w:marTop w:val="0"/>
      <w:marBottom w:val="0"/>
      <w:divBdr>
        <w:top w:val="none" w:sz="0" w:space="0" w:color="auto"/>
        <w:left w:val="none" w:sz="0" w:space="0" w:color="auto"/>
        <w:bottom w:val="none" w:sz="0" w:space="0" w:color="auto"/>
        <w:right w:val="none" w:sz="0" w:space="0" w:color="auto"/>
      </w:divBdr>
    </w:div>
    <w:div w:id="306517080">
      <w:bodyDiv w:val="1"/>
      <w:marLeft w:val="0"/>
      <w:marRight w:val="0"/>
      <w:marTop w:val="0"/>
      <w:marBottom w:val="0"/>
      <w:divBdr>
        <w:top w:val="none" w:sz="0" w:space="0" w:color="auto"/>
        <w:left w:val="none" w:sz="0" w:space="0" w:color="auto"/>
        <w:bottom w:val="none" w:sz="0" w:space="0" w:color="auto"/>
        <w:right w:val="none" w:sz="0" w:space="0" w:color="auto"/>
      </w:divBdr>
    </w:div>
    <w:div w:id="551892288">
      <w:bodyDiv w:val="1"/>
      <w:marLeft w:val="0"/>
      <w:marRight w:val="0"/>
      <w:marTop w:val="0"/>
      <w:marBottom w:val="0"/>
      <w:divBdr>
        <w:top w:val="none" w:sz="0" w:space="0" w:color="auto"/>
        <w:left w:val="none" w:sz="0" w:space="0" w:color="auto"/>
        <w:bottom w:val="none" w:sz="0" w:space="0" w:color="auto"/>
        <w:right w:val="none" w:sz="0" w:space="0" w:color="auto"/>
      </w:divBdr>
    </w:div>
    <w:div w:id="747197062">
      <w:bodyDiv w:val="1"/>
      <w:marLeft w:val="0"/>
      <w:marRight w:val="0"/>
      <w:marTop w:val="0"/>
      <w:marBottom w:val="0"/>
      <w:divBdr>
        <w:top w:val="none" w:sz="0" w:space="0" w:color="auto"/>
        <w:left w:val="none" w:sz="0" w:space="0" w:color="auto"/>
        <w:bottom w:val="none" w:sz="0" w:space="0" w:color="auto"/>
        <w:right w:val="none" w:sz="0" w:space="0" w:color="auto"/>
      </w:divBdr>
    </w:div>
    <w:div w:id="766198496">
      <w:bodyDiv w:val="1"/>
      <w:marLeft w:val="0"/>
      <w:marRight w:val="0"/>
      <w:marTop w:val="0"/>
      <w:marBottom w:val="0"/>
      <w:divBdr>
        <w:top w:val="none" w:sz="0" w:space="0" w:color="auto"/>
        <w:left w:val="none" w:sz="0" w:space="0" w:color="auto"/>
        <w:bottom w:val="none" w:sz="0" w:space="0" w:color="auto"/>
        <w:right w:val="none" w:sz="0" w:space="0" w:color="auto"/>
      </w:divBdr>
    </w:div>
    <w:div w:id="787309377">
      <w:bodyDiv w:val="1"/>
      <w:marLeft w:val="0"/>
      <w:marRight w:val="0"/>
      <w:marTop w:val="0"/>
      <w:marBottom w:val="0"/>
      <w:divBdr>
        <w:top w:val="none" w:sz="0" w:space="0" w:color="auto"/>
        <w:left w:val="none" w:sz="0" w:space="0" w:color="auto"/>
        <w:bottom w:val="none" w:sz="0" w:space="0" w:color="auto"/>
        <w:right w:val="none" w:sz="0" w:space="0" w:color="auto"/>
      </w:divBdr>
    </w:div>
    <w:div w:id="951404617">
      <w:bodyDiv w:val="1"/>
      <w:marLeft w:val="0"/>
      <w:marRight w:val="0"/>
      <w:marTop w:val="0"/>
      <w:marBottom w:val="0"/>
      <w:divBdr>
        <w:top w:val="none" w:sz="0" w:space="0" w:color="auto"/>
        <w:left w:val="none" w:sz="0" w:space="0" w:color="auto"/>
        <w:bottom w:val="none" w:sz="0" w:space="0" w:color="auto"/>
        <w:right w:val="none" w:sz="0" w:space="0" w:color="auto"/>
      </w:divBdr>
    </w:div>
    <w:div w:id="1379165755">
      <w:bodyDiv w:val="1"/>
      <w:marLeft w:val="0"/>
      <w:marRight w:val="0"/>
      <w:marTop w:val="0"/>
      <w:marBottom w:val="0"/>
      <w:divBdr>
        <w:top w:val="none" w:sz="0" w:space="0" w:color="auto"/>
        <w:left w:val="none" w:sz="0" w:space="0" w:color="auto"/>
        <w:bottom w:val="none" w:sz="0" w:space="0" w:color="auto"/>
        <w:right w:val="none" w:sz="0" w:space="0" w:color="auto"/>
      </w:divBdr>
    </w:div>
    <w:div w:id="1437749317">
      <w:bodyDiv w:val="1"/>
      <w:marLeft w:val="0"/>
      <w:marRight w:val="0"/>
      <w:marTop w:val="0"/>
      <w:marBottom w:val="0"/>
      <w:divBdr>
        <w:top w:val="none" w:sz="0" w:space="0" w:color="auto"/>
        <w:left w:val="none" w:sz="0" w:space="0" w:color="auto"/>
        <w:bottom w:val="none" w:sz="0" w:space="0" w:color="auto"/>
        <w:right w:val="none" w:sz="0" w:space="0" w:color="auto"/>
      </w:divBdr>
    </w:div>
    <w:div w:id="190961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www.budget.gov.au/2006-07/bp2/html/bp2_expense-03.htm" TargetMode="Externa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s://www.finance.gov.au/resource-management/charging-framework/risk-assessment-template/"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legislation.gov.au/Details/C2006B00073/Explanatory%20Memorandum/Text" TargetMode="External"/><Relationship Id="rId33" Type="http://schemas.openxmlformats.org/officeDocument/2006/relationships/hyperlink" Target="https://www.acma.gov.au/theACMA/About/Corporate/Accountability/cost-recovery-impact-statements-acma" TargetMode="Externa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legislation.gov.au/Details/F2017L0084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tenders.gov.au/?event=public.CN.view&amp;CNUUID=A657AC66-0186-E7E2-D95C28684006812D" TargetMode="External"/><Relationship Id="rId32" Type="http://schemas.openxmlformats.org/officeDocument/2006/relationships/hyperlink" Target="https://www.finance.gov.au/resource-management/charging-framework/" TargetMode="External"/><Relationship Id="rId37" Type="http://schemas.openxmlformats.org/officeDocument/2006/relationships/header" Target="head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www.budget.gov.au/2009-10/content/bp2/html/bp2_expense-07.htm" TargetMode="External"/><Relationship Id="rId36"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www.finance.gov.au/sites/default/files/australian-government-cost-recovery-guidelines_0.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www.budget.gov.au/2008-09/content/bp2/download/bp2_expense.pdf" TargetMode="External"/><Relationship Id="rId30" Type="http://schemas.openxmlformats.org/officeDocument/2006/relationships/hyperlink" Target="https://www.finance.gov.au/resource-management/charging-framework/charging-for-regulatory-activities/" TargetMode="External"/><Relationship Id="rId35" Type="http://schemas.openxmlformats.org/officeDocument/2006/relationships/hyperlink" Target="https://www.acma.gov.au/theACMA/corporate-plan-overview-and-download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0F49C-23D0-421B-9E71-8C0C9146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4622</Words>
  <Characters>26350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La Galle</dc:creator>
  <cp:keywords/>
  <dc:description/>
  <cp:lastModifiedBy>Ed Walton</cp:lastModifiedBy>
  <cp:revision>3</cp:revision>
  <dcterms:created xsi:type="dcterms:W3CDTF">2018-07-10T06:08:00Z</dcterms:created>
  <dcterms:modified xsi:type="dcterms:W3CDTF">2018-07-10T06:24:00Z</dcterms:modified>
  <cp:category/>
</cp:coreProperties>
</file>