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3E48B" w14:textId="51FCBF03" w:rsidR="00905EAA" w:rsidRDefault="00E3671F" w:rsidP="00905EAA">
      <w:pPr>
        <w:pStyle w:val="ACMAHeading1"/>
        <w:spacing w:before="960" w:after="240"/>
      </w:pPr>
      <w:permStart w:id="655503707" w:edGrp="everyone"/>
      <w:permEnd w:id="655503707"/>
      <w:r w:rsidRPr="002B0831">
        <w:t>Investigation</w:t>
      </w:r>
      <w:r>
        <w:t xml:space="preserve"> report no</w:t>
      </w:r>
      <w:r w:rsidRPr="00905EAA">
        <w:rPr>
          <w:i/>
          <w:iCs/>
        </w:rPr>
        <w:t xml:space="preserve">. </w:t>
      </w:r>
      <w:r w:rsidRPr="00905EAA">
        <w:rPr>
          <w:rStyle w:val="Emphasis"/>
          <w:i w:val="0"/>
          <w:iCs w:val="0"/>
        </w:rPr>
        <w:t>BI-5</w:t>
      </w:r>
      <w:r w:rsidR="00D326D5" w:rsidRPr="00905EAA">
        <w:rPr>
          <w:rStyle w:val="Emphasis"/>
          <w:i w:val="0"/>
          <w:iCs w:val="0"/>
        </w:rPr>
        <w:t>33</w:t>
      </w:r>
      <w:r w:rsidR="00905EAA" w:rsidRPr="00905EAA">
        <w:t xml:space="preserve"> </w:t>
      </w:r>
    </w:p>
    <w:tbl>
      <w:tblPr>
        <w:tblStyle w:val="TableGrid"/>
        <w:tblW w:w="8336" w:type="dxa"/>
        <w:tblInd w:w="0"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905EAA" w14:paraId="63E43B4F" w14:textId="77777777" w:rsidTr="00F8772D">
        <w:trPr>
          <w:cnfStyle w:val="100000000000" w:firstRow="1" w:lastRow="0" w:firstColumn="0" w:lastColumn="0" w:oddVBand="0" w:evenVBand="0" w:oddHBand="0" w:evenHBand="0" w:firstRowFirstColumn="0" w:firstRowLastColumn="0" w:lastRowFirstColumn="0" w:lastRowLastColumn="0"/>
          <w:tblHeader/>
        </w:trPr>
        <w:tc>
          <w:tcPr>
            <w:tcW w:w="2612" w:type="dxa"/>
            <w:shd w:val="clear" w:color="auto" w:fill="000000" w:themeFill="text1"/>
            <w:hideMark/>
          </w:tcPr>
          <w:p w14:paraId="0643547C" w14:textId="77777777" w:rsidR="00905EAA" w:rsidRDefault="00905EAA" w:rsidP="00F8772D">
            <w:pPr>
              <w:pStyle w:val="ACMATableHeading"/>
            </w:pPr>
            <w:bookmarkStart w:id="0" w:name="ColumnTitle"/>
            <w:r>
              <w:t>Summary</w:t>
            </w:r>
          </w:p>
        </w:tc>
        <w:tc>
          <w:tcPr>
            <w:tcW w:w="5724" w:type="dxa"/>
            <w:shd w:val="clear" w:color="auto" w:fill="000000" w:themeFill="text1"/>
          </w:tcPr>
          <w:p w14:paraId="600CBE0F" w14:textId="77777777" w:rsidR="00905EAA" w:rsidRDefault="00905EAA" w:rsidP="00F8772D">
            <w:pPr>
              <w:pStyle w:val="ACMATableHeading"/>
            </w:pPr>
          </w:p>
        </w:tc>
      </w:tr>
      <w:bookmarkEnd w:id="0"/>
      <w:tr w:rsidR="00905EAA" w14:paraId="32390386" w14:textId="77777777" w:rsidTr="00723589">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vAlign w:val="center"/>
            <w:hideMark/>
          </w:tcPr>
          <w:p w14:paraId="158ED3E2" w14:textId="77777777" w:rsidR="00905EAA" w:rsidRDefault="00905EAA" w:rsidP="00DC123F">
            <w:pPr>
              <w:pStyle w:val="ACMATableBody"/>
              <w:spacing w:before="120"/>
              <w:rPr>
                <w:b/>
              </w:rPr>
            </w:pPr>
            <w:r>
              <w:rPr>
                <w:b/>
              </w:rPr>
              <w:t>Licensee</w:t>
            </w:r>
            <w:r w:rsidR="00711344">
              <w:rPr>
                <w:b/>
              </w:rPr>
              <w:t xml:space="preserve"> [Service]</w:t>
            </w:r>
          </w:p>
        </w:tc>
        <w:tc>
          <w:tcPr>
            <w:tcW w:w="5724" w:type="dxa"/>
            <w:tcBorders>
              <w:top w:val="single" w:sz="4" w:space="0" w:color="auto"/>
              <w:left w:val="single" w:sz="4" w:space="0" w:color="auto"/>
              <w:bottom w:val="single" w:sz="4" w:space="0" w:color="auto"/>
            </w:tcBorders>
            <w:shd w:val="clear" w:color="auto" w:fill="auto"/>
            <w:vAlign w:val="center"/>
            <w:hideMark/>
          </w:tcPr>
          <w:p w14:paraId="2363441E" w14:textId="3865D165" w:rsidR="00905EAA" w:rsidRPr="00237F6F" w:rsidRDefault="00237F6F" w:rsidP="00DC123F">
            <w:pPr>
              <w:pStyle w:val="ACMATableBody"/>
              <w:spacing w:before="120"/>
            </w:pPr>
            <w:r w:rsidRPr="00237F6F">
              <w:t>Radio 6PR Perth Pty Ltd</w:t>
            </w:r>
            <w:r w:rsidR="00284565">
              <w:t xml:space="preserve"> [6PR]</w:t>
            </w:r>
          </w:p>
        </w:tc>
      </w:tr>
      <w:tr w:rsidR="00905EAA" w14:paraId="1DDB667D" w14:textId="77777777" w:rsidTr="00723589">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vAlign w:val="center"/>
            <w:hideMark/>
          </w:tcPr>
          <w:p w14:paraId="5048F03D" w14:textId="275D780C" w:rsidR="00905EAA" w:rsidRDefault="00905EAA" w:rsidP="00DC123F">
            <w:pPr>
              <w:pStyle w:val="ACMATableBody"/>
              <w:spacing w:before="120"/>
              <w:rPr>
                <w:b/>
              </w:rPr>
            </w:pPr>
            <w:r>
              <w:rPr>
                <w:b/>
              </w:rPr>
              <w:t>Finding</w:t>
            </w:r>
          </w:p>
        </w:tc>
        <w:tc>
          <w:tcPr>
            <w:tcW w:w="5724" w:type="dxa"/>
            <w:tcBorders>
              <w:top w:val="single" w:sz="4" w:space="0" w:color="auto"/>
              <w:left w:val="single" w:sz="4" w:space="0" w:color="auto"/>
              <w:bottom w:val="single" w:sz="4" w:space="0" w:color="auto"/>
            </w:tcBorders>
            <w:shd w:val="clear" w:color="auto" w:fill="auto"/>
            <w:vAlign w:val="center"/>
            <w:hideMark/>
          </w:tcPr>
          <w:p w14:paraId="13E0459D" w14:textId="44D63CEA" w:rsidR="00905EAA" w:rsidRPr="00237F6F" w:rsidRDefault="00905EAA" w:rsidP="00DC123F">
            <w:pPr>
              <w:pStyle w:val="ACMATableBody"/>
              <w:spacing w:before="120"/>
            </w:pPr>
            <w:r w:rsidRPr="00237F6F">
              <w:rPr>
                <w:rFonts w:cs="Arial"/>
              </w:rPr>
              <w:t>No breac</w:t>
            </w:r>
            <w:r w:rsidR="008F23E3">
              <w:rPr>
                <w:rFonts w:cs="Arial"/>
              </w:rPr>
              <w:t>h</w:t>
            </w:r>
            <w:r w:rsidR="00711344" w:rsidRPr="00237F6F">
              <w:rPr>
                <w:rFonts w:cs="Arial"/>
              </w:rPr>
              <w:t xml:space="preserve"> </w:t>
            </w:r>
            <w:r w:rsidR="007D5051">
              <w:rPr>
                <w:rFonts w:cs="Arial"/>
              </w:rPr>
              <w:t>of p</w:t>
            </w:r>
            <w:r w:rsidR="00711344" w:rsidRPr="00237F6F">
              <w:rPr>
                <w:rFonts w:cs="Arial"/>
              </w:rPr>
              <w:t xml:space="preserve">aragraph 8(1)(a) of </w:t>
            </w:r>
            <w:r w:rsidR="00711344" w:rsidRPr="00237F6F">
              <w:t>Schedule 2</w:t>
            </w:r>
            <w:r w:rsidR="00711344">
              <w:t xml:space="preserve"> [tobacco advertising]</w:t>
            </w:r>
          </w:p>
        </w:tc>
      </w:tr>
      <w:tr w:rsidR="00905EAA" w14:paraId="42BDD628" w14:textId="77777777" w:rsidTr="00723589">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vAlign w:val="center"/>
            <w:hideMark/>
          </w:tcPr>
          <w:p w14:paraId="04F783B5" w14:textId="5D3BCABD" w:rsidR="00905EAA" w:rsidRDefault="00905EAA" w:rsidP="00DC123F">
            <w:pPr>
              <w:pStyle w:val="ACMATableBody"/>
              <w:spacing w:before="120"/>
              <w:rPr>
                <w:b/>
              </w:rPr>
            </w:pPr>
            <w:r>
              <w:rPr>
                <w:b/>
              </w:rPr>
              <w:t xml:space="preserve">Relevant </w:t>
            </w:r>
            <w:r w:rsidRPr="00640F60">
              <w:rPr>
                <w:b/>
              </w:rPr>
              <w:t>Legislation</w:t>
            </w:r>
          </w:p>
        </w:tc>
        <w:tc>
          <w:tcPr>
            <w:tcW w:w="5724" w:type="dxa"/>
            <w:tcBorders>
              <w:top w:val="single" w:sz="4" w:space="0" w:color="auto"/>
              <w:left w:val="single" w:sz="4" w:space="0" w:color="auto"/>
              <w:bottom w:val="single" w:sz="4" w:space="0" w:color="auto"/>
            </w:tcBorders>
            <w:shd w:val="clear" w:color="auto" w:fill="auto"/>
            <w:vAlign w:val="center"/>
            <w:hideMark/>
          </w:tcPr>
          <w:p w14:paraId="2684765F" w14:textId="47485B7F" w:rsidR="00905EAA" w:rsidRPr="00711344" w:rsidRDefault="00905EAA" w:rsidP="00DC123F">
            <w:pPr>
              <w:pStyle w:val="ACMATableBody"/>
              <w:spacing w:before="120"/>
            </w:pPr>
            <w:r w:rsidRPr="00237F6F">
              <w:rPr>
                <w:i/>
                <w:iCs/>
              </w:rPr>
              <w:t>Broadcasting Services Act 1992</w:t>
            </w:r>
          </w:p>
        </w:tc>
      </w:tr>
      <w:tr w:rsidR="00905EAA" w14:paraId="77D50FA4" w14:textId="77777777" w:rsidTr="00723589">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vAlign w:val="center"/>
            <w:hideMark/>
          </w:tcPr>
          <w:p w14:paraId="07CD867D" w14:textId="0CC3AA5D" w:rsidR="005B49E2" w:rsidRDefault="00284565" w:rsidP="00DC123F">
            <w:pPr>
              <w:pStyle w:val="ACMATableBody"/>
              <w:spacing w:before="120"/>
              <w:rPr>
                <w:b/>
              </w:rPr>
            </w:pPr>
            <w:r>
              <w:rPr>
                <w:b/>
              </w:rPr>
              <w:t>Program</w:t>
            </w:r>
          </w:p>
        </w:tc>
        <w:tc>
          <w:tcPr>
            <w:tcW w:w="5724" w:type="dxa"/>
            <w:tcBorders>
              <w:top w:val="single" w:sz="4" w:space="0" w:color="auto"/>
              <w:left w:val="single" w:sz="4" w:space="0" w:color="auto"/>
              <w:bottom w:val="single" w:sz="4" w:space="0" w:color="auto"/>
            </w:tcBorders>
            <w:shd w:val="clear" w:color="auto" w:fill="auto"/>
            <w:vAlign w:val="center"/>
          </w:tcPr>
          <w:p w14:paraId="72AD2799" w14:textId="654D9E3C" w:rsidR="005B49E2" w:rsidRPr="0002402B" w:rsidRDefault="00237F6F" w:rsidP="00DC123F">
            <w:pPr>
              <w:pStyle w:val="ACMATableBody"/>
              <w:spacing w:before="120"/>
              <w:rPr>
                <w:i/>
                <w:iCs/>
              </w:rPr>
            </w:pPr>
            <w:r w:rsidRPr="00237F6F">
              <w:rPr>
                <w:i/>
                <w:iCs/>
              </w:rPr>
              <w:t>Breakfast with Steve Mills and Basil Zempilas</w:t>
            </w:r>
          </w:p>
        </w:tc>
      </w:tr>
      <w:tr w:rsidR="0002402B" w14:paraId="6559B9EB" w14:textId="77777777" w:rsidTr="00723589">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vAlign w:val="center"/>
          </w:tcPr>
          <w:p w14:paraId="77C05C7F" w14:textId="36CAB55D" w:rsidR="0002402B" w:rsidRDefault="0002402B" w:rsidP="00DC123F">
            <w:pPr>
              <w:pStyle w:val="ACMATableBody"/>
              <w:spacing w:before="120"/>
              <w:rPr>
                <w:b/>
              </w:rPr>
            </w:pPr>
            <w:r>
              <w:rPr>
                <w:b/>
              </w:rPr>
              <w:t>Description</w:t>
            </w:r>
          </w:p>
        </w:tc>
        <w:tc>
          <w:tcPr>
            <w:tcW w:w="5724" w:type="dxa"/>
            <w:tcBorders>
              <w:top w:val="single" w:sz="4" w:space="0" w:color="auto"/>
              <w:left w:val="single" w:sz="4" w:space="0" w:color="auto"/>
              <w:bottom w:val="single" w:sz="4" w:space="0" w:color="auto"/>
            </w:tcBorders>
            <w:shd w:val="clear" w:color="auto" w:fill="auto"/>
            <w:vAlign w:val="center"/>
          </w:tcPr>
          <w:p w14:paraId="29A9777D" w14:textId="2E763482" w:rsidR="0002402B" w:rsidRPr="00237F6F" w:rsidRDefault="0002402B" w:rsidP="00DC123F">
            <w:pPr>
              <w:pStyle w:val="ACMATableBody"/>
              <w:spacing w:before="120"/>
              <w:rPr>
                <w:i/>
                <w:iCs/>
              </w:rPr>
            </w:pPr>
            <w:r w:rsidRPr="0002402B">
              <w:t>A</w:t>
            </w:r>
            <w:r>
              <w:t xml:space="preserve"> breakfast show broadcast on weekday mornings between 5.00 am and 8.30 am</w:t>
            </w:r>
          </w:p>
        </w:tc>
      </w:tr>
      <w:tr w:rsidR="00905EAA" w14:paraId="5E49D08C" w14:textId="77777777" w:rsidTr="00723589">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vAlign w:val="center"/>
            <w:hideMark/>
          </w:tcPr>
          <w:p w14:paraId="43C5F88B" w14:textId="22BFE6C4" w:rsidR="005B49E2" w:rsidRDefault="00905EAA" w:rsidP="00DC123F">
            <w:pPr>
              <w:pStyle w:val="ACMATableBody"/>
              <w:spacing w:before="120"/>
              <w:rPr>
                <w:b/>
              </w:rPr>
            </w:pPr>
            <w:r>
              <w:rPr>
                <w:b/>
              </w:rPr>
              <w:t>Date of broadcast</w:t>
            </w:r>
          </w:p>
        </w:tc>
        <w:tc>
          <w:tcPr>
            <w:tcW w:w="5724" w:type="dxa"/>
            <w:tcBorders>
              <w:top w:val="single" w:sz="4" w:space="0" w:color="auto"/>
              <w:left w:val="single" w:sz="4" w:space="0" w:color="auto"/>
              <w:bottom w:val="single" w:sz="4" w:space="0" w:color="auto"/>
            </w:tcBorders>
            <w:shd w:val="clear" w:color="auto" w:fill="auto"/>
            <w:vAlign w:val="center"/>
            <w:hideMark/>
          </w:tcPr>
          <w:p w14:paraId="1CDCD0FA" w14:textId="7D65A2BD" w:rsidR="00905EAA" w:rsidRPr="00237F6F" w:rsidRDefault="00237F6F" w:rsidP="00DC123F">
            <w:pPr>
              <w:pStyle w:val="ACMATableBody"/>
              <w:spacing w:before="120"/>
            </w:pPr>
            <w:bookmarkStart w:id="1" w:name="_Hlk27578718"/>
            <w:r w:rsidRPr="00237F6F">
              <w:t>17 September 2019</w:t>
            </w:r>
            <w:bookmarkEnd w:id="1"/>
          </w:p>
        </w:tc>
      </w:tr>
      <w:tr w:rsidR="00AE0D04" w14:paraId="6A18E903" w14:textId="77777777" w:rsidTr="00AE0D0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vAlign w:val="center"/>
          </w:tcPr>
          <w:p w14:paraId="08F71515" w14:textId="6FF01FD7" w:rsidR="00AE0D04" w:rsidRDefault="00AE0D04" w:rsidP="00DC123F">
            <w:pPr>
              <w:pStyle w:val="ACMATableBody"/>
              <w:spacing w:before="120"/>
              <w:rPr>
                <w:b/>
              </w:rPr>
            </w:pPr>
            <w:r>
              <w:rPr>
                <w:b/>
              </w:rPr>
              <w:t>Date Finalised</w:t>
            </w:r>
          </w:p>
        </w:tc>
        <w:tc>
          <w:tcPr>
            <w:tcW w:w="5724" w:type="dxa"/>
            <w:tcBorders>
              <w:top w:val="single" w:sz="4" w:space="0" w:color="auto"/>
              <w:left w:val="single" w:sz="4" w:space="0" w:color="auto"/>
              <w:bottom w:val="single" w:sz="4" w:space="0" w:color="auto"/>
            </w:tcBorders>
            <w:shd w:val="clear" w:color="auto" w:fill="auto"/>
            <w:vAlign w:val="center"/>
          </w:tcPr>
          <w:p w14:paraId="09F07DDB" w14:textId="3C76D800" w:rsidR="00AE0D04" w:rsidRPr="00237F6F" w:rsidRDefault="00AE0D04" w:rsidP="00DC123F">
            <w:pPr>
              <w:pStyle w:val="ACMATableBody"/>
              <w:spacing w:before="120"/>
            </w:pPr>
            <w:r>
              <w:t>16 January 2020</w:t>
            </w:r>
          </w:p>
        </w:tc>
      </w:tr>
      <w:tr w:rsidR="00905EAA" w14:paraId="37564B4F" w14:textId="77777777" w:rsidTr="00723589">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vAlign w:val="center"/>
            <w:hideMark/>
          </w:tcPr>
          <w:p w14:paraId="50D280DF" w14:textId="77777777" w:rsidR="00905EAA" w:rsidRDefault="00905EAA" w:rsidP="00DC123F">
            <w:pPr>
              <w:pStyle w:val="ACMATableBody"/>
              <w:spacing w:before="120"/>
              <w:rPr>
                <w:b/>
              </w:rPr>
            </w:pPr>
            <w:r>
              <w:rPr>
                <w:b/>
              </w:rPr>
              <w:t>Type of service</w:t>
            </w:r>
          </w:p>
        </w:tc>
        <w:tc>
          <w:tcPr>
            <w:tcW w:w="5724" w:type="dxa"/>
            <w:tcBorders>
              <w:top w:val="single" w:sz="4" w:space="0" w:color="auto"/>
              <w:left w:val="single" w:sz="4" w:space="0" w:color="auto"/>
              <w:bottom w:val="single" w:sz="4" w:space="0" w:color="auto"/>
            </w:tcBorders>
            <w:shd w:val="clear" w:color="auto" w:fill="auto"/>
            <w:vAlign w:val="center"/>
            <w:hideMark/>
          </w:tcPr>
          <w:p w14:paraId="36A6C813" w14:textId="7A7190D1" w:rsidR="00905EAA" w:rsidRPr="00237F6F" w:rsidRDefault="00237F6F" w:rsidP="00DC123F">
            <w:pPr>
              <w:pStyle w:val="ACMATableBody"/>
              <w:spacing w:before="120"/>
            </w:pPr>
            <w:r w:rsidRPr="00237F6F">
              <w:t>Commercial—Radio</w:t>
            </w:r>
          </w:p>
        </w:tc>
      </w:tr>
      <w:tr w:rsidR="00905EAA" w14:paraId="5EAF84B9" w14:textId="77777777" w:rsidTr="00F8772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double" w:sz="4" w:space="0" w:color="auto"/>
              <w:bottom w:val="single" w:sz="4" w:space="0" w:color="auto"/>
              <w:right w:val="single" w:sz="4" w:space="0" w:color="auto"/>
            </w:tcBorders>
            <w:shd w:val="clear" w:color="auto" w:fill="auto"/>
            <w:hideMark/>
          </w:tcPr>
          <w:p w14:paraId="0493D757" w14:textId="77777777" w:rsidR="00905EAA" w:rsidRDefault="00905EAA" w:rsidP="00DC123F">
            <w:pPr>
              <w:pStyle w:val="ACMATableBody"/>
              <w:spacing w:before="120"/>
              <w:rPr>
                <w:b/>
              </w:rPr>
            </w:pPr>
            <w:r>
              <w:rPr>
                <w:b/>
              </w:rPr>
              <w:t>Attachments</w:t>
            </w:r>
          </w:p>
        </w:tc>
        <w:tc>
          <w:tcPr>
            <w:tcW w:w="5724" w:type="dxa"/>
            <w:tcBorders>
              <w:top w:val="double" w:sz="4" w:space="0" w:color="auto"/>
              <w:left w:val="single" w:sz="4" w:space="0" w:color="auto"/>
              <w:bottom w:val="single" w:sz="4" w:space="0" w:color="auto"/>
            </w:tcBorders>
            <w:shd w:val="clear" w:color="auto" w:fill="auto"/>
            <w:hideMark/>
          </w:tcPr>
          <w:p w14:paraId="2B2B04EE" w14:textId="77777777" w:rsidR="00905EAA" w:rsidRPr="00237F6F" w:rsidRDefault="00905EAA" w:rsidP="00DC123F">
            <w:pPr>
              <w:pStyle w:val="ACMABodyText"/>
              <w:spacing w:before="120" w:after="120"/>
            </w:pPr>
            <w:r w:rsidRPr="00237F6F">
              <w:rPr>
                <w:b/>
                <w:bCs/>
              </w:rPr>
              <w:t>A</w:t>
            </w:r>
            <w:r w:rsidRPr="00237F6F">
              <w:t xml:space="preserve"> - extracts of the complaint to the ACMA</w:t>
            </w:r>
          </w:p>
          <w:p w14:paraId="2C68ED49" w14:textId="77777777" w:rsidR="00905EAA" w:rsidRPr="00237F6F" w:rsidRDefault="00905EAA" w:rsidP="00DC123F">
            <w:pPr>
              <w:pStyle w:val="ACMABodyText"/>
              <w:spacing w:before="120" w:after="120"/>
              <w:ind w:left="315" w:hanging="315"/>
              <w:rPr>
                <w:b/>
                <w:bCs/>
              </w:rPr>
            </w:pPr>
            <w:r w:rsidRPr="00237F6F">
              <w:rPr>
                <w:b/>
                <w:bCs/>
              </w:rPr>
              <w:t>B</w:t>
            </w:r>
            <w:r w:rsidRPr="00237F6F">
              <w:t xml:space="preserve"> - extracts of the licensee’s submissions to the ACMA</w:t>
            </w:r>
            <w:r w:rsidRPr="00237F6F">
              <w:rPr>
                <w:b/>
                <w:bCs/>
              </w:rPr>
              <w:t xml:space="preserve"> </w:t>
            </w:r>
          </w:p>
          <w:p w14:paraId="3F0284DA" w14:textId="6CCD0C1D" w:rsidR="002955B5" w:rsidRPr="002955B5" w:rsidRDefault="00905EAA" w:rsidP="00DC123F">
            <w:pPr>
              <w:pStyle w:val="ACMABodyText"/>
              <w:spacing w:before="120" w:after="120"/>
            </w:pPr>
            <w:r w:rsidRPr="00237F6F">
              <w:rPr>
                <w:b/>
              </w:rPr>
              <w:t xml:space="preserve">C </w:t>
            </w:r>
            <w:r w:rsidRPr="00237F6F">
              <w:rPr>
                <w:bCs/>
              </w:rPr>
              <w:t>-</w:t>
            </w:r>
            <w:r w:rsidRPr="00237F6F">
              <w:rPr>
                <w:b/>
              </w:rPr>
              <w:t xml:space="preserve"> </w:t>
            </w:r>
            <w:r w:rsidRPr="00237F6F">
              <w:rPr>
                <w:bCs/>
              </w:rPr>
              <w:t>r</w:t>
            </w:r>
            <w:r w:rsidRPr="00237F6F">
              <w:t>elevant legislation</w:t>
            </w:r>
            <w:r w:rsidR="00356FB6">
              <w:t xml:space="preserve"> and </w:t>
            </w:r>
            <w:r w:rsidR="00356FB6" w:rsidRPr="00356FB6">
              <w:t>the ACMA’s assessment</w:t>
            </w:r>
            <w:r w:rsidR="00B30D6D">
              <w:t xml:space="preserve"> process</w:t>
            </w:r>
          </w:p>
        </w:tc>
      </w:tr>
    </w:tbl>
    <w:p w14:paraId="5D8B3C8E" w14:textId="19E9A0A4" w:rsidR="00237F6F" w:rsidRDefault="00237F6F" w:rsidP="00905EAA">
      <w:pPr>
        <w:pStyle w:val="ACMAHeading1"/>
        <w:spacing w:before="960" w:after="240"/>
        <w:jc w:val="center"/>
      </w:pPr>
    </w:p>
    <w:p w14:paraId="32C46FE6" w14:textId="77777777" w:rsidR="00237F6F" w:rsidRDefault="00237F6F" w:rsidP="00237F6F">
      <w:pPr>
        <w:pStyle w:val="ACMABodyText"/>
        <w:rPr>
          <w:sz w:val="36"/>
        </w:rPr>
      </w:pPr>
      <w:r>
        <w:br w:type="page"/>
      </w:r>
    </w:p>
    <w:p w14:paraId="4A178F0E" w14:textId="77777777" w:rsidR="00711344" w:rsidRDefault="00711344" w:rsidP="00763505">
      <w:pPr>
        <w:pStyle w:val="ACMAHeading2"/>
        <w:spacing w:after="240" w:line="240" w:lineRule="atLeast"/>
      </w:pPr>
      <w:r w:rsidRPr="00711344">
        <w:lastRenderedPageBreak/>
        <w:t>Background</w:t>
      </w:r>
    </w:p>
    <w:p w14:paraId="2C8E86C4" w14:textId="3F60972D" w:rsidR="00711344" w:rsidRDefault="00711344" w:rsidP="00763505">
      <w:pPr>
        <w:pStyle w:val="ACMAHeading2"/>
        <w:spacing w:after="240" w:line="240" w:lineRule="atLeast"/>
        <w:rPr>
          <w:b w:val="0"/>
          <w:bCs/>
          <w:sz w:val="20"/>
        </w:rPr>
      </w:pPr>
      <w:r w:rsidRPr="00711344">
        <w:rPr>
          <w:b w:val="0"/>
          <w:bCs/>
          <w:sz w:val="20"/>
        </w:rPr>
        <w:t xml:space="preserve">In October 2019, the Australian Communications and Media Authority (the </w:t>
      </w:r>
      <w:r w:rsidRPr="00711344">
        <w:rPr>
          <w:sz w:val="20"/>
        </w:rPr>
        <w:t>ACMA</w:t>
      </w:r>
      <w:r w:rsidRPr="00711344">
        <w:rPr>
          <w:b w:val="0"/>
          <w:bCs/>
          <w:sz w:val="20"/>
        </w:rPr>
        <w:t xml:space="preserve">) commenced an investigation under the </w:t>
      </w:r>
      <w:r w:rsidRPr="00711344">
        <w:rPr>
          <w:b w:val="0"/>
          <w:bCs/>
          <w:i/>
          <w:iCs/>
          <w:sz w:val="20"/>
        </w:rPr>
        <w:t>Broadcasting Services Act 1992</w:t>
      </w:r>
      <w:r w:rsidRPr="00711344">
        <w:rPr>
          <w:b w:val="0"/>
          <w:bCs/>
          <w:sz w:val="20"/>
        </w:rPr>
        <w:t xml:space="preserve"> (the </w:t>
      </w:r>
      <w:r w:rsidRPr="00711344">
        <w:rPr>
          <w:sz w:val="20"/>
        </w:rPr>
        <w:t>BSA</w:t>
      </w:r>
      <w:r w:rsidRPr="00711344">
        <w:rPr>
          <w:b w:val="0"/>
          <w:bCs/>
          <w:sz w:val="20"/>
        </w:rPr>
        <w:t xml:space="preserve">) into a broadcast of </w:t>
      </w:r>
      <w:r w:rsidRPr="00711344">
        <w:rPr>
          <w:b w:val="0"/>
          <w:bCs/>
          <w:i/>
          <w:iCs/>
          <w:sz w:val="20"/>
        </w:rPr>
        <w:t>Breakfast with Steve Mills and Basil Zempilas</w:t>
      </w:r>
      <w:r w:rsidR="001D752A">
        <w:rPr>
          <w:b w:val="0"/>
          <w:bCs/>
          <w:i/>
          <w:iCs/>
          <w:sz w:val="20"/>
        </w:rPr>
        <w:t xml:space="preserve"> </w:t>
      </w:r>
      <w:r w:rsidR="001D752A">
        <w:rPr>
          <w:b w:val="0"/>
          <w:bCs/>
          <w:sz w:val="20"/>
        </w:rPr>
        <w:t xml:space="preserve">on 6PR on 17 September 2019 (the </w:t>
      </w:r>
      <w:r w:rsidR="001D752A" w:rsidRPr="00780872">
        <w:rPr>
          <w:sz w:val="20"/>
        </w:rPr>
        <w:t>program</w:t>
      </w:r>
      <w:r w:rsidR="001D752A">
        <w:rPr>
          <w:b w:val="0"/>
          <w:bCs/>
          <w:sz w:val="20"/>
        </w:rPr>
        <w:t>)</w:t>
      </w:r>
      <w:r w:rsidRPr="00711344">
        <w:rPr>
          <w:b w:val="0"/>
          <w:bCs/>
          <w:sz w:val="20"/>
        </w:rPr>
        <w:t xml:space="preserve">. </w:t>
      </w:r>
    </w:p>
    <w:p w14:paraId="4EABA31D" w14:textId="059F99A4" w:rsidR="00711344" w:rsidRDefault="00711344" w:rsidP="00763505">
      <w:pPr>
        <w:pStyle w:val="ACMAHeading2"/>
        <w:spacing w:after="240" w:line="240" w:lineRule="atLeast"/>
        <w:rPr>
          <w:b w:val="0"/>
          <w:bCs/>
          <w:sz w:val="20"/>
        </w:rPr>
      </w:pPr>
      <w:r w:rsidRPr="00711344">
        <w:rPr>
          <w:b w:val="0"/>
          <w:bCs/>
          <w:sz w:val="20"/>
        </w:rPr>
        <w:t xml:space="preserve">The ACMA received a complaint alleging </w:t>
      </w:r>
      <w:r>
        <w:rPr>
          <w:b w:val="0"/>
          <w:bCs/>
          <w:sz w:val="20"/>
        </w:rPr>
        <w:t xml:space="preserve">that </w:t>
      </w:r>
      <w:r w:rsidRPr="00711344">
        <w:rPr>
          <w:b w:val="0"/>
          <w:bCs/>
          <w:i/>
          <w:iCs/>
          <w:sz w:val="20"/>
        </w:rPr>
        <w:t>Breakfast with Steve Mills and Basil Zempilas</w:t>
      </w:r>
      <w:r w:rsidRPr="00711344">
        <w:rPr>
          <w:b w:val="0"/>
          <w:bCs/>
          <w:sz w:val="20"/>
        </w:rPr>
        <w:t xml:space="preserve"> contained tobacco advertising.</w:t>
      </w:r>
      <w:r w:rsidR="001D752A">
        <w:rPr>
          <w:b w:val="0"/>
          <w:bCs/>
          <w:sz w:val="20"/>
        </w:rPr>
        <w:t xml:space="preserve"> Details of the complaint are at </w:t>
      </w:r>
      <w:r w:rsidR="001D752A" w:rsidRPr="00780872">
        <w:rPr>
          <w:sz w:val="20"/>
        </w:rPr>
        <w:t>Attachment A</w:t>
      </w:r>
      <w:r w:rsidR="001D752A">
        <w:rPr>
          <w:b w:val="0"/>
          <w:bCs/>
          <w:sz w:val="20"/>
        </w:rPr>
        <w:t>.</w:t>
      </w:r>
    </w:p>
    <w:p w14:paraId="74717B08" w14:textId="11A3A3EF" w:rsidR="008E7851" w:rsidRPr="00780872" w:rsidRDefault="001D752A" w:rsidP="00780872">
      <w:pPr>
        <w:pStyle w:val="ACMABodyText"/>
        <w:rPr>
          <w:bCs/>
          <w:snapToGrid/>
        </w:rPr>
      </w:pPr>
      <w:r w:rsidRPr="0076317B">
        <w:rPr>
          <w:bCs/>
          <w:iCs/>
          <w:snapToGrid/>
        </w:rPr>
        <w:t>The</w:t>
      </w:r>
      <w:r w:rsidRPr="00780872">
        <w:rPr>
          <w:bCs/>
          <w:i/>
          <w:snapToGrid/>
        </w:rPr>
        <w:t xml:space="preserve"> </w:t>
      </w:r>
      <w:r>
        <w:rPr>
          <w:bCs/>
          <w:snapToGrid/>
        </w:rPr>
        <w:t xml:space="preserve">ACMA has investigated the licensee’s compliance with its licence condition at paragraph 8(1)(a) of Schedule 2 to the BSA. Details of this provision, other relevant provisions and the ACMA‘s approach to assessing compliance are at </w:t>
      </w:r>
      <w:r w:rsidRPr="0076317B">
        <w:rPr>
          <w:b/>
          <w:iCs/>
        </w:rPr>
        <w:t>Attachment C</w:t>
      </w:r>
      <w:r>
        <w:rPr>
          <w:bCs/>
          <w:snapToGrid/>
        </w:rPr>
        <w:t>.</w:t>
      </w:r>
    </w:p>
    <w:p w14:paraId="3A3B45FB" w14:textId="77777777" w:rsidR="00763505" w:rsidRDefault="00763505" w:rsidP="00763505">
      <w:pPr>
        <w:pStyle w:val="ACMAHeading2"/>
      </w:pPr>
      <w:r w:rsidRPr="008C5B0C">
        <w:t xml:space="preserve">Issue: </w:t>
      </w:r>
      <w:r>
        <w:t>Tobacco Advertising</w:t>
      </w:r>
    </w:p>
    <w:p w14:paraId="206F75C8" w14:textId="1B823FAE" w:rsidR="001D752A" w:rsidRDefault="001D752A" w:rsidP="001D752A">
      <w:pPr>
        <w:pStyle w:val="ACMABodyText"/>
      </w:pPr>
      <w:r>
        <w:t xml:space="preserve">The </w:t>
      </w:r>
      <w:r w:rsidRPr="00780872">
        <w:t>program</w:t>
      </w:r>
      <w:r>
        <w:t xml:space="preserve"> included a discussion about </w:t>
      </w:r>
      <w:r w:rsidR="00EA05CA">
        <w:t>a</w:t>
      </w:r>
      <w:r>
        <w:t xml:space="preserve"> shopping centre w</w:t>
      </w:r>
      <w:r w:rsidR="00305AA3">
        <w:t>inn</w:t>
      </w:r>
      <w:r w:rsidR="00505764">
        <w:t>in</w:t>
      </w:r>
      <w:r w:rsidR="00305AA3">
        <w:t>g</w:t>
      </w:r>
      <w:r>
        <w:t xml:space="preserve"> an award </w:t>
      </w:r>
      <w:r w:rsidR="00505764">
        <w:t xml:space="preserve">as </w:t>
      </w:r>
      <w:r>
        <w:t>‘WA shopping centre of the year’. As part of the discussion</w:t>
      </w:r>
      <w:r w:rsidR="000704DB">
        <w:t>,</w:t>
      </w:r>
      <w:r>
        <w:t xml:space="preserve"> callers were invited to share their thoughts on the</w:t>
      </w:r>
      <w:r w:rsidRPr="001E545D">
        <w:t xml:space="preserve"> shopping centre</w:t>
      </w:r>
      <w:r>
        <w:t>. The following conversation took place as part of the segment:</w:t>
      </w:r>
    </w:p>
    <w:p w14:paraId="6F0642C9" w14:textId="64B947AD" w:rsidR="001D752A" w:rsidRPr="00DF18A7" w:rsidRDefault="001D752A" w:rsidP="001D752A">
      <w:pPr>
        <w:pStyle w:val="ACMABodyText"/>
        <w:ind w:left="720"/>
        <w:rPr>
          <w:sz w:val="18"/>
          <w:szCs w:val="18"/>
        </w:rPr>
      </w:pPr>
      <w:r w:rsidRPr="00DF18A7">
        <w:rPr>
          <w:sz w:val="18"/>
          <w:szCs w:val="18"/>
        </w:rPr>
        <w:t xml:space="preserve">Caller: I’m a little bit in favour of </w:t>
      </w:r>
      <w:r w:rsidR="00EA05CA">
        <w:rPr>
          <w:sz w:val="18"/>
          <w:szCs w:val="18"/>
        </w:rPr>
        <w:t>[…]</w:t>
      </w:r>
      <w:r w:rsidRPr="00DF18A7">
        <w:rPr>
          <w:sz w:val="18"/>
          <w:szCs w:val="18"/>
        </w:rPr>
        <w:t xml:space="preserve"> shopping centre, one thing I do say they have is cheap cigarettes because I </w:t>
      </w:r>
      <w:r>
        <w:rPr>
          <w:sz w:val="18"/>
          <w:szCs w:val="18"/>
        </w:rPr>
        <w:t>normally</w:t>
      </w:r>
      <w:r w:rsidRPr="00DF18A7">
        <w:rPr>
          <w:sz w:val="18"/>
          <w:szCs w:val="18"/>
        </w:rPr>
        <w:t xml:space="preserve"> buy a pack of Peter Jackson 20’s and it costs me just over twenty dollars for those.</w:t>
      </w:r>
    </w:p>
    <w:p w14:paraId="588B68C0" w14:textId="7B3EAE2F" w:rsidR="001D752A" w:rsidRDefault="001D752A">
      <w:pPr>
        <w:pStyle w:val="ACMABodyText"/>
        <w:ind w:left="720"/>
        <w:rPr>
          <w:sz w:val="18"/>
          <w:szCs w:val="18"/>
        </w:rPr>
      </w:pPr>
      <w:r>
        <w:rPr>
          <w:sz w:val="18"/>
          <w:szCs w:val="18"/>
        </w:rPr>
        <w:t>Host</w:t>
      </w:r>
      <w:r w:rsidR="003855FE">
        <w:rPr>
          <w:sz w:val="18"/>
          <w:szCs w:val="18"/>
        </w:rPr>
        <w:t xml:space="preserve"> 1</w:t>
      </w:r>
      <w:r w:rsidRPr="00DF18A7">
        <w:rPr>
          <w:sz w:val="18"/>
          <w:szCs w:val="18"/>
        </w:rPr>
        <w:t xml:space="preserve">: Hang on </w:t>
      </w:r>
      <w:bookmarkStart w:id="2" w:name="_Hlk27571470"/>
      <w:r w:rsidRPr="00DF18A7">
        <w:rPr>
          <w:sz w:val="18"/>
          <w:szCs w:val="18"/>
        </w:rPr>
        <w:t>we’re not allowed to say that stuff on the radio any</w:t>
      </w:r>
      <w:r>
        <w:rPr>
          <w:sz w:val="18"/>
          <w:szCs w:val="18"/>
        </w:rPr>
        <w:t xml:space="preserve"> </w:t>
      </w:r>
      <w:r w:rsidRPr="00DF18A7">
        <w:rPr>
          <w:sz w:val="18"/>
          <w:szCs w:val="18"/>
        </w:rPr>
        <w:t xml:space="preserve">more </w:t>
      </w:r>
      <w:bookmarkEnd w:id="2"/>
      <w:r w:rsidRPr="00DF18A7">
        <w:rPr>
          <w:sz w:val="18"/>
          <w:szCs w:val="18"/>
        </w:rPr>
        <w:t xml:space="preserve">but I can say there is </w:t>
      </w:r>
      <w:r>
        <w:rPr>
          <w:sz w:val="18"/>
          <w:szCs w:val="18"/>
        </w:rPr>
        <w:t xml:space="preserve">– there is </w:t>
      </w:r>
      <w:r w:rsidRPr="00DF18A7">
        <w:rPr>
          <w:sz w:val="18"/>
          <w:szCs w:val="18"/>
        </w:rPr>
        <w:t>a s</w:t>
      </w:r>
      <w:r>
        <w:rPr>
          <w:sz w:val="18"/>
          <w:szCs w:val="18"/>
        </w:rPr>
        <w:t>tore</w:t>
      </w:r>
      <w:r w:rsidRPr="00DF18A7">
        <w:rPr>
          <w:sz w:val="18"/>
          <w:szCs w:val="18"/>
        </w:rPr>
        <w:t xml:space="preserve"> called Smoke Mart</w:t>
      </w:r>
      <w:r>
        <w:rPr>
          <w:sz w:val="18"/>
          <w:szCs w:val="18"/>
        </w:rPr>
        <w:t>… but we can’t talk about …</w:t>
      </w:r>
    </w:p>
    <w:p w14:paraId="21419FC5" w14:textId="35D2F71F" w:rsidR="003855FE" w:rsidRDefault="003855FE" w:rsidP="00780872">
      <w:pPr>
        <w:pStyle w:val="ACMABodyText"/>
        <w:ind w:left="720"/>
        <w:rPr>
          <w:sz w:val="18"/>
          <w:szCs w:val="18"/>
        </w:rPr>
      </w:pPr>
      <w:r>
        <w:rPr>
          <w:sz w:val="18"/>
          <w:szCs w:val="18"/>
        </w:rPr>
        <w:t>Host 2: For that reason […]</w:t>
      </w:r>
    </w:p>
    <w:p w14:paraId="0EF88494" w14:textId="5D4F9177" w:rsidR="00763505" w:rsidRDefault="00763505" w:rsidP="001D752A">
      <w:pPr>
        <w:pStyle w:val="ACMAHeading2"/>
        <w:spacing w:before="240"/>
      </w:pPr>
      <w:r>
        <w:t>Finding</w:t>
      </w:r>
      <w:r w:rsidR="001D752A">
        <w:t xml:space="preserve"> </w:t>
      </w:r>
    </w:p>
    <w:p w14:paraId="6F02E5CC" w14:textId="77777777" w:rsidR="00763505" w:rsidRDefault="00763505" w:rsidP="00763505">
      <w:pPr>
        <w:pStyle w:val="ACMABodyText"/>
      </w:pPr>
      <w:r>
        <w:t xml:space="preserve">The licensee did not breach </w:t>
      </w:r>
      <w:r>
        <w:rPr>
          <w:rFonts w:cs="Arial"/>
        </w:rPr>
        <w:t>paragraph 8(1)(a) of Schedule 2 to the BSA.</w:t>
      </w:r>
      <w:r>
        <w:t xml:space="preserve"> </w:t>
      </w:r>
    </w:p>
    <w:p w14:paraId="5D36C09D" w14:textId="77777777" w:rsidR="00763505" w:rsidRDefault="00763505" w:rsidP="00763505">
      <w:pPr>
        <w:pStyle w:val="ACMAHeading2"/>
        <w:spacing w:before="240" w:after="240" w:line="240" w:lineRule="atLeast"/>
      </w:pPr>
      <w:r>
        <w:t>Reasons</w:t>
      </w:r>
    </w:p>
    <w:p w14:paraId="6837DBFC" w14:textId="67AB1267" w:rsidR="00E3671F" w:rsidRDefault="00E3671F" w:rsidP="00E3671F">
      <w:pPr>
        <w:pStyle w:val="ACMABodyText"/>
      </w:pPr>
      <w:r>
        <w:t>To assess compliance, the ACMA has addressed the followin</w:t>
      </w:r>
      <w:r w:rsidR="008F23E3">
        <w:t>g</w:t>
      </w:r>
      <w:r>
        <w:t xml:space="preserve"> questions:</w:t>
      </w:r>
    </w:p>
    <w:p w14:paraId="41FF542C" w14:textId="77777777" w:rsidR="00E3671F" w:rsidRDefault="00E3671F" w:rsidP="00E3671F">
      <w:pPr>
        <w:pStyle w:val="ACMABodyText"/>
        <w:numPr>
          <w:ilvl w:val="0"/>
          <w:numId w:val="14"/>
        </w:numPr>
        <w:snapToGrid w:val="0"/>
      </w:pPr>
      <w:r>
        <w:t xml:space="preserve">Did the licensee broadcast a ‘tobacco advertisement’ within the meaning of the </w:t>
      </w:r>
      <w:r w:rsidRPr="003B34E4">
        <w:rPr>
          <w:i/>
          <w:iCs/>
        </w:rPr>
        <w:t>Tobacco Advertising Prohibition Act 1992</w:t>
      </w:r>
      <w:r>
        <w:rPr>
          <w:i/>
          <w:iCs/>
        </w:rPr>
        <w:t xml:space="preserve"> </w:t>
      </w:r>
      <w:r>
        <w:t xml:space="preserve">(the </w:t>
      </w:r>
      <w:r w:rsidRPr="0025533D">
        <w:rPr>
          <w:b/>
        </w:rPr>
        <w:t>TAP Act</w:t>
      </w:r>
      <w:r>
        <w:t>)?</w:t>
      </w:r>
    </w:p>
    <w:p w14:paraId="559787FA" w14:textId="5154C554" w:rsidR="00E3671F" w:rsidRDefault="00E3671F" w:rsidP="00E3671F">
      <w:pPr>
        <w:pStyle w:val="ACMABodyText"/>
        <w:numPr>
          <w:ilvl w:val="0"/>
          <w:numId w:val="14"/>
        </w:numPr>
        <w:snapToGrid w:val="0"/>
      </w:pPr>
      <w:r>
        <w:t>If so, was the broadcast of the tobacco advertisement permitted under the TAP Act?</w:t>
      </w:r>
    </w:p>
    <w:p w14:paraId="6A46FCF1" w14:textId="1F5175C8" w:rsidR="00072BD6" w:rsidRDefault="00072BD6" w:rsidP="00780872">
      <w:pPr>
        <w:pStyle w:val="ACMABodyText"/>
        <w:rPr>
          <w:lang w:eastAsia="en-AU"/>
        </w:rPr>
      </w:pPr>
      <w:r>
        <w:rPr>
          <w:lang w:eastAsia="en-AU"/>
        </w:rPr>
        <w:t>In determining whether the licensee broadcast a ‘tobacco advertisement’ under the TAP Act</w:t>
      </w:r>
      <w:r w:rsidR="00A936F0">
        <w:rPr>
          <w:lang w:eastAsia="en-AU"/>
        </w:rPr>
        <w:t>,</w:t>
      </w:r>
      <w:r>
        <w:rPr>
          <w:lang w:eastAsia="en-AU"/>
        </w:rPr>
        <w:t xml:space="preserve"> the ACMA has considered whether </w:t>
      </w:r>
      <w:r>
        <w:t xml:space="preserve">the broadcast promoted or publicised </w:t>
      </w:r>
      <w:r w:rsidR="00F42F61">
        <w:t>‘</w:t>
      </w:r>
      <w:r w:rsidRPr="00B748B5">
        <w:rPr>
          <w:rFonts w:cs="Arial"/>
        </w:rPr>
        <w:t>the purchase or use of a tobacco product or range of tobacco products</w:t>
      </w:r>
      <w:r w:rsidR="00F42F61">
        <w:rPr>
          <w:rFonts w:cs="Arial"/>
        </w:rPr>
        <w:t>’</w:t>
      </w:r>
      <w:r w:rsidR="00B77A2B">
        <w:rPr>
          <w:rFonts w:cs="Arial"/>
        </w:rPr>
        <w:t>, as specified in</w:t>
      </w:r>
      <w:r w:rsidRPr="00B748B5">
        <w:rPr>
          <w:rFonts w:cs="Arial"/>
        </w:rPr>
        <w:t xml:space="preserve"> paragraph 9(1)(b)</w:t>
      </w:r>
      <w:r w:rsidR="00B77A2B">
        <w:rPr>
          <w:rFonts w:cs="Arial"/>
        </w:rPr>
        <w:t xml:space="preserve"> of the TAP Act</w:t>
      </w:r>
      <w:r>
        <w:rPr>
          <w:rFonts w:cs="Arial"/>
        </w:rPr>
        <w:t>.</w:t>
      </w:r>
    </w:p>
    <w:p w14:paraId="31486002" w14:textId="4EF16673" w:rsidR="00E3671F" w:rsidRDefault="00E3671F" w:rsidP="00E3671F">
      <w:pPr>
        <w:pStyle w:val="ACMABodyText"/>
        <w:rPr>
          <w:b/>
          <w:i/>
        </w:rPr>
      </w:pPr>
      <w:r>
        <w:rPr>
          <w:b/>
          <w:i/>
        </w:rPr>
        <w:t>Did the licensee broadcast a ‘tobacco advertisement’ within the meaning of the TAP Act?</w:t>
      </w:r>
    </w:p>
    <w:p w14:paraId="1DF4172E" w14:textId="24E5FA90" w:rsidR="008B4B11" w:rsidRDefault="008B4B11" w:rsidP="00E3671F">
      <w:pPr>
        <w:pStyle w:val="ACMABodyText"/>
        <w:rPr>
          <w:bCs/>
          <w:iCs/>
        </w:rPr>
      </w:pPr>
      <w:r>
        <w:rPr>
          <w:bCs/>
          <w:iCs/>
        </w:rPr>
        <w:t>The complainant submitted</w:t>
      </w:r>
      <w:r w:rsidR="00D94008">
        <w:rPr>
          <w:bCs/>
          <w:iCs/>
        </w:rPr>
        <w:t xml:space="preserve"> the announcers were ‘promoting a tobacconist’, with one saying ‘</w:t>
      </w:r>
      <w:r w:rsidR="00D94008" w:rsidRPr="00D94008">
        <w:rPr>
          <w:bCs/>
          <w:iCs/>
        </w:rPr>
        <w:t>there's a tobacconist there called 'smoke mart'.</w:t>
      </w:r>
    </w:p>
    <w:p w14:paraId="1ED06A4D" w14:textId="0DDE7025" w:rsidR="008B4B11" w:rsidRDefault="008B4B11" w:rsidP="008B4B11">
      <w:pPr>
        <w:pStyle w:val="ACMABodyText"/>
        <w:spacing w:before="240"/>
        <w:rPr>
          <w:bCs/>
          <w:iCs/>
        </w:rPr>
      </w:pPr>
      <w:r w:rsidRPr="008B4B11">
        <w:rPr>
          <w:bCs/>
          <w:iCs/>
        </w:rPr>
        <w:lastRenderedPageBreak/>
        <w:t>The licensee submitted:</w:t>
      </w:r>
    </w:p>
    <w:p w14:paraId="2980EA20" w14:textId="65ABCE91" w:rsidR="008B4B11" w:rsidRDefault="008B4B11" w:rsidP="008B4B11">
      <w:pPr>
        <w:pStyle w:val="ACMABodyText"/>
        <w:spacing w:before="240"/>
        <w:ind w:left="720"/>
        <w:rPr>
          <w:rFonts w:cs="Arial"/>
          <w:iCs/>
          <w:sz w:val="18"/>
          <w:szCs w:val="18"/>
        </w:rPr>
      </w:pPr>
      <w:r w:rsidRPr="008B4B11">
        <w:rPr>
          <w:rFonts w:cs="Arial"/>
          <w:iCs/>
          <w:sz w:val="18"/>
          <w:szCs w:val="18"/>
        </w:rPr>
        <w:t xml:space="preserve">While the complainant is correct that the name ‘Smoke Mart’ was then referenced by the hosts </w:t>
      </w:r>
      <w:r w:rsidRPr="0009632D">
        <w:rPr>
          <w:rFonts w:cs="Arial"/>
          <w:iCs/>
          <w:sz w:val="18"/>
          <w:szCs w:val="18"/>
        </w:rPr>
        <w:t>(Retailer Mention</w:t>
      </w:r>
      <w:r w:rsidRPr="008B4B11">
        <w:rPr>
          <w:rFonts w:cs="Arial"/>
          <w:iCs/>
          <w:sz w:val="18"/>
          <w:szCs w:val="18"/>
        </w:rPr>
        <w:t xml:space="preserve">), the complainant has incorrectly suggested that the hosts referred to this name as a tobacconist.  </w:t>
      </w:r>
    </w:p>
    <w:p w14:paraId="0B20760F" w14:textId="5BF323DC" w:rsidR="008B4B11" w:rsidRDefault="008B4B11" w:rsidP="008B4B11">
      <w:pPr>
        <w:pStyle w:val="ACMABodyText"/>
        <w:spacing w:before="240"/>
        <w:rPr>
          <w:rFonts w:cs="Arial"/>
          <w:iCs/>
        </w:rPr>
      </w:pPr>
      <w:r>
        <w:rPr>
          <w:rFonts w:cs="Arial"/>
          <w:iCs/>
        </w:rPr>
        <w:t xml:space="preserve">The ACMA agrees with the licensee’s submission that the hosts </w:t>
      </w:r>
      <w:r w:rsidR="00F8772D">
        <w:rPr>
          <w:rFonts w:cs="Arial"/>
          <w:iCs/>
        </w:rPr>
        <w:t xml:space="preserve">never said that ‘Smoke Mart’ was a tobacconist. However, given the word ‘smoke’ appears in the name of the store and in the context of a </w:t>
      </w:r>
      <w:r w:rsidR="00250AF4">
        <w:rPr>
          <w:rFonts w:cs="Arial"/>
          <w:iCs/>
        </w:rPr>
        <w:t xml:space="preserve">broader </w:t>
      </w:r>
      <w:r w:rsidR="00F8772D">
        <w:rPr>
          <w:rFonts w:cs="Arial"/>
          <w:iCs/>
        </w:rPr>
        <w:t>conversation which referenced ‘cheap cigarettes’ and ‘Peter Jackson’</w:t>
      </w:r>
      <w:r w:rsidR="00B62A65">
        <w:rPr>
          <w:rFonts w:cs="Arial"/>
          <w:iCs/>
        </w:rPr>
        <w:t>,</w:t>
      </w:r>
      <w:r w:rsidR="00F8772D">
        <w:rPr>
          <w:rFonts w:cs="Arial"/>
          <w:iCs/>
        </w:rPr>
        <w:t xml:space="preserve"> a </w:t>
      </w:r>
      <w:r w:rsidR="0027312D">
        <w:rPr>
          <w:rFonts w:cs="Arial"/>
          <w:iCs/>
        </w:rPr>
        <w:t>well-known</w:t>
      </w:r>
      <w:r w:rsidR="00F8772D">
        <w:rPr>
          <w:rFonts w:cs="Arial"/>
          <w:iCs/>
        </w:rPr>
        <w:t xml:space="preserve"> cigarette brand,</w:t>
      </w:r>
      <w:r w:rsidR="00F8772D" w:rsidRPr="00F8772D">
        <w:t xml:space="preserve"> </w:t>
      </w:r>
      <w:r w:rsidR="00F8772D" w:rsidRPr="00F8772D">
        <w:rPr>
          <w:rFonts w:cs="Arial"/>
          <w:iCs/>
        </w:rPr>
        <w:t>the ACMA considers that an ordinary reasonable listener</w:t>
      </w:r>
      <w:r w:rsidR="00F8772D">
        <w:rPr>
          <w:rFonts w:cs="Arial"/>
          <w:iCs/>
        </w:rPr>
        <w:t xml:space="preserve"> would hav</w:t>
      </w:r>
      <w:bookmarkStart w:id="3" w:name="_GoBack"/>
      <w:bookmarkEnd w:id="3"/>
      <w:r w:rsidR="00F8772D">
        <w:rPr>
          <w:rFonts w:cs="Arial"/>
          <w:iCs/>
        </w:rPr>
        <w:t>e understood that ‘Smoke Mart’ was a retailer of tobacco products.</w:t>
      </w:r>
    </w:p>
    <w:p w14:paraId="2FA4FC47" w14:textId="6CF2B27D" w:rsidR="00250AF4" w:rsidRPr="00250AF4" w:rsidRDefault="00250AF4" w:rsidP="00250AF4">
      <w:pPr>
        <w:pStyle w:val="ACMABodyText"/>
        <w:spacing w:before="240"/>
        <w:rPr>
          <w:rFonts w:cs="Arial"/>
          <w:iCs/>
        </w:rPr>
      </w:pPr>
      <w:r w:rsidRPr="00250AF4">
        <w:rPr>
          <w:rFonts w:cs="Arial"/>
          <w:iCs/>
        </w:rPr>
        <w:t xml:space="preserve">A retailer is defined at section 12 of the TAP Act to include a person who </w:t>
      </w:r>
      <w:r w:rsidR="00872AD5">
        <w:rPr>
          <w:rFonts w:cs="Arial"/>
          <w:iCs/>
        </w:rPr>
        <w:t>‘</w:t>
      </w:r>
      <w:r w:rsidRPr="00250AF4">
        <w:rPr>
          <w:rFonts w:cs="Arial"/>
          <w:iCs/>
        </w:rPr>
        <w:t>sells a range of products, only some of which are tobacco products</w:t>
      </w:r>
      <w:r w:rsidR="00603343">
        <w:rPr>
          <w:rFonts w:cs="Arial"/>
          <w:iCs/>
        </w:rPr>
        <w:t>’</w:t>
      </w:r>
      <w:r w:rsidRPr="00250AF4">
        <w:rPr>
          <w:rFonts w:cs="Arial"/>
          <w:iCs/>
        </w:rPr>
        <w:t xml:space="preserve">. </w:t>
      </w:r>
    </w:p>
    <w:p w14:paraId="1EF58413" w14:textId="061BE4FE" w:rsidR="008B4B11" w:rsidRDefault="00250AF4" w:rsidP="00C734BA">
      <w:pPr>
        <w:pStyle w:val="ACMABodyText"/>
        <w:spacing w:before="240"/>
        <w:rPr>
          <w:bCs/>
          <w:iCs/>
        </w:rPr>
      </w:pPr>
      <w:r>
        <w:rPr>
          <w:bCs/>
          <w:iCs/>
        </w:rPr>
        <w:t xml:space="preserve">The ACMA </w:t>
      </w:r>
      <w:r w:rsidR="0050453B">
        <w:rPr>
          <w:bCs/>
          <w:iCs/>
        </w:rPr>
        <w:t>consider</w:t>
      </w:r>
      <w:r>
        <w:rPr>
          <w:bCs/>
          <w:iCs/>
        </w:rPr>
        <w:t xml:space="preserve">s that naming </w:t>
      </w:r>
      <w:r w:rsidR="00C734BA">
        <w:rPr>
          <w:bCs/>
          <w:iCs/>
        </w:rPr>
        <w:t>a</w:t>
      </w:r>
      <w:r>
        <w:rPr>
          <w:bCs/>
          <w:iCs/>
        </w:rPr>
        <w:t xml:space="preserve"> retailer of tobacco products</w:t>
      </w:r>
      <w:r w:rsidR="00C734BA">
        <w:rPr>
          <w:bCs/>
          <w:iCs/>
        </w:rPr>
        <w:t xml:space="preserve"> a</w:t>
      </w:r>
      <w:r w:rsidR="009B7176">
        <w:rPr>
          <w:bCs/>
          <w:iCs/>
        </w:rPr>
        <w:t>s part of radio broadcast</w:t>
      </w:r>
      <w:r w:rsidR="00C734BA">
        <w:rPr>
          <w:bCs/>
          <w:iCs/>
        </w:rPr>
        <w:t xml:space="preserve"> </w:t>
      </w:r>
      <w:r w:rsidR="009A4AA5">
        <w:rPr>
          <w:bCs/>
          <w:iCs/>
        </w:rPr>
        <w:t xml:space="preserve">that also mentioned </w:t>
      </w:r>
      <w:r w:rsidR="00C734BA">
        <w:rPr>
          <w:bCs/>
          <w:iCs/>
        </w:rPr>
        <w:t xml:space="preserve">buying ‘cheap cigarettes’ and </w:t>
      </w:r>
      <w:r w:rsidR="0009632D">
        <w:rPr>
          <w:bCs/>
          <w:iCs/>
        </w:rPr>
        <w:t xml:space="preserve">‘Peter Jackson’ </w:t>
      </w:r>
      <w:r w:rsidR="00C734BA">
        <w:rPr>
          <w:bCs/>
          <w:iCs/>
        </w:rPr>
        <w:t>amount</w:t>
      </w:r>
      <w:r w:rsidR="00FD7BCD">
        <w:rPr>
          <w:bCs/>
          <w:iCs/>
        </w:rPr>
        <w:t>ed</w:t>
      </w:r>
      <w:r w:rsidR="00C734BA">
        <w:rPr>
          <w:bCs/>
          <w:iCs/>
        </w:rPr>
        <w:t xml:space="preserve"> to giv</w:t>
      </w:r>
      <w:r w:rsidR="005606BE">
        <w:rPr>
          <w:bCs/>
          <w:iCs/>
        </w:rPr>
        <w:t>ing</w:t>
      </w:r>
      <w:r w:rsidR="00C734BA">
        <w:rPr>
          <w:bCs/>
          <w:iCs/>
        </w:rPr>
        <w:t xml:space="preserve"> publicity to, or otherwise promot</w:t>
      </w:r>
      <w:r w:rsidR="007E271C">
        <w:rPr>
          <w:bCs/>
          <w:iCs/>
        </w:rPr>
        <w:t>ing</w:t>
      </w:r>
      <w:r w:rsidR="00C734BA">
        <w:rPr>
          <w:bCs/>
          <w:iCs/>
        </w:rPr>
        <w:t xml:space="preserve"> the purchase or use of a tobacco product or a range of tobacco products. Hence, the </w:t>
      </w:r>
      <w:r w:rsidR="00EF5B7A">
        <w:rPr>
          <w:bCs/>
          <w:iCs/>
        </w:rPr>
        <w:t xml:space="preserve">ACMA considers that the </w:t>
      </w:r>
      <w:r w:rsidR="00C734BA">
        <w:rPr>
          <w:bCs/>
          <w:iCs/>
        </w:rPr>
        <w:t>broadcast contain</w:t>
      </w:r>
      <w:r w:rsidR="00EF5B7A">
        <w:rPr>
          <w:bCs/>
          <w:iCs/>
        </w:rPr>
        <w:t>ed</w:t>
      </w:r>
      <w:r w:rsidR="00C734BA">
        <w:rPr>
          <w:bCs/>
          <w:iCs/>
        </w:rPr>
        <w:t xml:space="preserve"> a ‘tobacco advertisement’ under </w:t>
      </w:r>
      <w:r w:rsidR="00C734BA" w:rsidRPr="00C734BA">
        <w:rPr>
          <w:bCs/>
          <w:iCs/>
        </w:rPr>
        <w:t>subsection 9(1) of the TAP Act</w:t>
      </w:r>
      <w:r w:rsidR="00C734BA">
        <w:rPr>
          <w:bCs/>
          <w:iCs/>
        </w:rPr>
        <w:t>.</w:t>
      </w:r>
    </w:p>
    <w:p w14:paraId="51CE8230" w14:textId="6BA6395F" w:rsidR="00B61267" w:rsidRDefault="00023605" w:rsidP="00B61267">
      <w:pPr>
        <w:pStyle w:val="ACMABodyText0"/>
        <w:rPr>
          <w:rFonts w:ascii="Arial" w:hAnsi="Arial"/>
          <w:b/>
          <w:i/>
          <w:snapToGrid/>
          <w:sz w:val="20"/>
        </w:rPr>
      </w:pPr>
      <w:r>
        <w:rPr>
          <w:rFonts w:ascii="Arial" w:hAnsi="Arial"/>
          <w:b/>
          <w:i/>
          <w:snapToGrid/>
          <w:sz w:val="20"/>
        </w:rPr>
        <w:t>Paragraph</w:t>
      </w:r>
      <w:r w:rsidR="00B61267">
        <w:rPr>
          <w:rFonts w:ascii="Arial" w:hAnsi="Arial"/>
          <w:b/>
          <w:i/>
          <w:snapToGrid/>
          <w:sz w:val="20"/>
        </w:rPr>
        <w:t xml:space="preserve"> 9(3A)(c)</w:t>
      </w:r>
      <w:r w:rsidR="00AE04F4">
        <w:rPr>
          <w:rFonts w:ascii="Arial" w:hAnsi="Arial"/>
          <w:b/>
          <w:i/>
          <w:snapToGrid/>
          <w:sz w:val="20"/>
        </w:rPr>
        <w:t>:</w:t>
      </w:r>
      <w:r w:rsidR="00B61267">
        <w:rPr>
          <w:rFonts w:ascii="Arial" w:hAnsi="Arial"/>
          <w:b/>
          <w:i/>
          <w:snapToGrid/>
          <w:sz w:val="20"/>
        </w:rPr>
        <w:t xml:space="preserve"> Exception</w:t>
      </w:r>
      <w:r w:rsidR="00561938">
        <w:rPr>
          <w:rFonts w:ascii="Arial" w:hAnsi="Arial"/>
          <w:b/>
          <w:i/>
          <w:snapToGrid/>
          <w:sz w:val="20"/>
        </w:rPr>
        <w:t>s</w:t>
      </w:r>
      <w:r w:rsidR="00AE04F4">
        <w:rPr>
          <w:rFonts w:ascii="Arial" w:hAnsi="Arial"/>
          <w:b/>
          <w:i/>
          <w:snapToGrid/>
          <w:sz w:val="20"/>
        </w:rPr>
        <w:t xml:space="preserve"> –</w:t>
      </w:r>
      <w:r w:rsidR="00B61267">
        <w:rPr>
          <w:rFonts w:ascii="Arial" w:hAnsi="Arial"/>
          <w:b/>
          <w:i/>
          <w:snapToGrid/>
          <w:sz w:val="20"/>
        </w:rPr>
        <w:t xml:space="preserve"> management advertisements and certain advertisements as to availability of products</w:t>
      </w:r>
    </w:p>
    <w:p w14:paraId="378CEAB9" w14:textId="5DD9859E" w:rsidR="006F776B" w:rsidRDefault="00023605" w:rsidP="00F445ED">
      <w:pPr>
        <w:pStyle w:val="ACMABodyText"/>
        <w:spacing w:before="240"/>
        <w:rPr>
          <w:rFonts w:cs="Arial"/>
          <w:iCs/>
        </w:rPr>
      </w:pPr>
      <w:r>
        <w:rPr>
          <w:rFonts w:cs="Arial"/>
          <w:iCs/>
        </w:rPr>
        <w:t>Paragraph</w:t>
      </w:r>
      <w:r w:rsidR="00F445ED" w:rsidRPr="00F21BB6">
        <w:rPr>
          <w:rFonts w:cs="Arial"/>
          <w:iCs/>
        </w:rPr>
        <w:t xml:space="preserve"> 9(3A)(c) </w:t>
      </w:r>
      <w:r w:rsidR="005C5C17">
        <w:rPr>
          <w:rFonts w:cs="Arial"/>
          <w:iCs/>
        </w:rPr>
        <w:t xml:space="preserve">of the TAP Act </w:t>
      </w:r>
      <w:r w:rsidR="00F445ED" w:rsidRPr="00F21BB6">
        <w:rPr>
          <w:rFonts w:cs="Arial"/>
          <w:iCs/>
        </w:rPr>
        <w:t xml:space="preserve">provides that an advertisement does not constitute a tobacco advertisement where </w:t>
      </w:r>
      <w:r w:rsidR="003A5470">
        <w:rPr>
          <w:rFonts w:cs="Arial"/>
          <w:iCs/>
        </w:rPr>
        <w:t>the advertisement is</w:t>
      </w:r>
      <w:r w:rsidR="00536FE1">
        <w:rPr>
          <w:rFonts w:cs="Arial"/>
          <w:iCs/>
        </w:rPr>
        <w:t xml:space="preserve"> by a retailer and </w:t>
      </w:r>
      <w:r w:rsidR="00B07BAA">
        <w:rPr>
          <w:rFonts w:cs="Arial"/>
          <w:iCs/>
        </w:rPr>
        <w:t>where i</w:t>
      </w:r>
      <w:r w:rsidR="00F445ED" w:rsidRPr="00F21BB6">
        <w:rPr>
          <w:rFonts w:cs="Arial"/>
          <w:iCs/>
        </w:rPr>
        <w:t>t indicates that products</w:t>
      </w:r>
      <w:r w:rsidR="008C29A1">
        <w:rPr>
          <w:rFonts w:cs="Arial"/>
          <w:iCs/>
        </w:rPr>
        <w:t xml:space="preserve"> </w:t>
      </w:r>
      <w:r w:rsidR="00CA70DE" w:rsidRPr="00F21BB6">
        <w:rPr>
          <w:rFonts w:cs="Arial"/>
          <w:iCs/>
        </w:rPr>
        <w:t>are available from</w:t>
      </w:r>
      <w:r w:rsidR="00CA70DE">
        <w:rPr>
          <w:rFonts w:cs="Arial"/>
          <w:iCs/>
        </w:rPr>
        <w:t xml:space="preserve"> </w:t>
      </w:r>
      <w:r w:rsidR="00B07BAA">
        <w:rPr>
          <w:rFonts w:cs="Arial"/>
          <w:iCs/>
        </w:rPr>
        <w:t xml:space="preserve">the </w:t>
      </w:r>
      <w:r w:rsidR="00F445ED" w:rsidRPr="00F21BB6">
        <w:rPr>
          <w:rFonts w:cs="Arial"/>
          <w:iCs/>
        </w:rPr>
        <w:t xml:space="preserve">retailer. </w:t>
      </w:r>
    </w:p>
    <w:p w14:paraId="66B7804A" w14:textId="0ECA47E8" w:rsidR="00F445ED" w:rsidRPr="00F21BB6" w:rsidRDefault="006F776B" w:rsidP="00F445ED">
      <w:pPr>
        <w:pStyle w:val="ACMABodyText"/>
        <w:spacing w:before="240"/>
        <w:rPr>
          <w:rFonts w:cs="Arial"/>
          <w:iCs/>
        </w:rPr>
      </w:pPr>
      <w:r>
        <w:rPr>
          <w:rFonts w:cs="Arial"/>
          <w:iCs/>
        </w:rPr>
        <w:t>T</w:t>
      </w:r>
      <w:r w:rsidR="00F445ED" w:rsidRPr="00F21BB6">
        <w:rPr>
          <w:rFonts w:cs="Arial"/>
          <w:iCs/>
        </w:rPr>
        <w:t xml:space="preserve">he </w:t>
      </w:r>
      <w:r>
        <w:rPr>
          <w:rFonts w:cs="Arial"/>
          <w:iCs/>
        </w:rPr>
        <w:t>refer</w:t>
      </w:r>
      <w:r w:rsidR="00C70D3A">
        <w:rPr>
          <w:rFonts w:cs="Arial"/>
          <w:iCs/>
        </w:rPr>
        <w:t>ence</w:t>
      </w:r>
      <w:r>
        <w:rPr>
          <w:rFonts w:cs="Arial"/>
          <w:iCs/>
        </w:rPr>
        <w:t xml:space="preserve"> to </w:t>
      </w:r>
      <w:r w:rsidR="00F445ED" w:rsidRPr="00F21BB6">
        <w:rPr>
          <w:rFonts w:cs="Arial"/>
          <w:iCs/>
        </w:rPr>
        <w:t xml:space="preserve">‘Smoke Mart’ </w:t>
      </w:r>
      <w:r w:rsidR="00996809" w:rsidRPr="00F21BB6">
        <w:rPr>
          <w:rFonts w:cs="Arial"/>
          <w:iCs/>
        </w:rPr>
        <w:t>w</w:t>
      </w:r>
      <w:r w:rsidR="00AA7611">
        <w:rPr>
          <w:rFonts w:cs="Arial"/>
          <w:iCs/>
        </w:rPr>
        <w:t>as</w:t>
      </w:r>
      <w:r w:rsidR="00F445ED" w:rsidRPr="00F21BB6">
        <w:rPr>
          <w:rFonts w:cs="Arial"/>
          <w:iCs/>
        </w:rPr>
        <w:t xml:space="preserve"> described by the licensee as</w:t>
      </w:r>
      <w:r w:rsidR="00AA7611">
        <w:rPr>
          <w:rFonts w:cs="Arial"/>
          <w:iCs/>
        </w:rPr>
        <w:t xml:space="preserve"> </w:t>
      </w:r>
      <w:r w:rsidR="00AC797F">
        <w:rPr>
          <w:rFonts w:cs="Arial"/>
          <w:iCs/>
        </w:rPr>
        <w:t>a</w:t>
      </w:r>
      <w:r w:rsidR="0028166E">
        <w:rPr>
          <w:rFonts w:cs="Arial"/>
          <w:iCs/>
        </w:rPr>
        <w:t xml:space="preserve"> </w:t>
      </w:r>
      <w:r w:rsidR="00AC797F">
        <w:rPr>
          <w:rFonts w:cs="Arial"/>
          <w:iCs/>
        </w:rPr>
        <w:t>‘</w:t>
      </w:r>
      <w:r w:rsidR="00F445ED" w:rsidRPr="00F21BB6">
        <w:rPr>
          <w:rFonts w:cs="Arial"/>
          <w:iCs/>
        </w:rPr>
        <w:t>spontaneous and unscripted</w:t>
      </w:r>
      <w:r w:rsidR="00AC797F">
        <w:rPr>
          <w:rFonts w:cs="Arial"/>
          <w:iCs/>
        </w:rPr>
        <w:t>’</w:t>
      </w:r>
      <w:r w:rsidR="00F445ED" w:rsidRPr="00F21BB6">
        <w:rPr>
          <w:rFonts w:cs="Arial"/>
          <w:iCs/>
        </w:rPr>
        <w:t xml:space="preserve"> moment in a live talk radio format</w:t>
      </w:r>
      <w:r w:rsidR="00AC797F">
        <w:rPr>
          <w:rFonts w:cs="Arial"/>
          <w:iCs/>
        </w:rPr>
        <w:t>.</w:t>
      </w:r>
      <w:r w:rsidR="0027312D" w:rsidRPr="00F21BB6">
        <w:rPr>
          <w:rFonts w:cs="Arial"/>
          <w:iCs/>
        </w:rPr>
        <w:t xml:space="preserve"> </w:t>
      </w:r>
      <w:r w:rsidR="00A76EE8">
        <w:rPr>
          <w:rFonts w:cs="Arial"/>
          <w:iCs/>
        </w:rPr>
        <w:t>Therefore, t</w:t>
      </w:r>
      <w:r w:rsidR="0027312D" w:rsidRPr="00F21BB6">
        <w:rPr>
          <w:rFonts w:cs="Arial"/>
          <w:iCs/>
        </w:rPr>
        <w:t xml:space="preserve">he ACMA </w:t>
      </w:r>
      <w:r w:rsidR="00A76EE8">
        <w:rPr>
          <w:rFonts w:cs="Arial"/>
          <w:iCs/>
        </w:rPr>
        <w:t>considers</w:t>
      </w:r>
      <w:r w:rsidR="0027312D" w:rsidRPr="00F21BB6">
        <w:rPr>
          <w:rFonts w:cs="Arial"/>
          <w:iCs/>
        </w:rPr>
        <w:t xml:space="preserve"> that the advertisement </w:t>
      </w:r>
      <w:r w:rsidR="00996809" w:rsidRPr="00F21BB6">
        <w:rPr>
          <w:rFonts w:cs="Arial"/>
          <w:iCs/>
        </w:rPr>
        <w:t>was</w:t>
      </w:r>
      <w:r w:rsidR="0027312D" w:rsidRPr="00F21BB6">
        <w:rPr>
          <w:rFonts w:cs="Arial"/>
          <w:iCs/>
        </w:rPr>
        <w:t xml:space="preserve"> not ‘by’ a retailer of tobacco products. Consequently, the exception under</w:t>
      </w:r>
      <w:r w:rsidR="00023605">
        <w:rPr>
          <w:rFonts w:cs="Arial"/>
          <w:iCs/>
        </w:rPr>
        <w:t xml:space="preserve"> paragraph</w:t>
      </w:r>
      <w:r w:rsidR="0027312D" w:rsidRPr="00F21BB6">
        <w:rPr>
          <w:rFonts w:cs="Arial"/>
          <w:iCs/>
        </w:rPr>
        <w:t xml:space="preserve"> 9(3A)(c) does not apply.</w:t>
      </w:r>
    </w:p>
    <w:p w14:paraId="02C1CF67" w14:textId="77777777" w:rsidR="00F94A39" w:rsidRPr="00493C72" w:rsidRDefault="00F94A39" w:rsidP="00F94A39">
      <w:pPr>
        <w:pStyle w:val="ACMAHeading20"/>
        <w:spacing w:before="120" w:after="120"/>
        <w:rPr>
          <w:sz w:val="20"/>
        </w:rPr>
      </w:pPr>
      <w:r w:rsidRPr="00493C72">
        <w:rPr>
          <w:sz w:val="20"/>
        </w:rPr>
        <w:t xml:space="preserve">Intention </w:t>
      </w:r>
    </w:p>
    <w:p w14:paraId="7BDD701B" w14:textId="3618C854" w:rsidR="00F94A39" w:rsidRDefault="00F94A39" w:rsidP="00F445ED">
      <w:pPr>
        <w:pStyle w:val="ACMABodyText"/>
        <w:spacing w:before="240"/>
        <w:rPr>
          <w:bCs/>
          <w:iCs/>
        </w:rPr>
      </w:pPr>
      <w:r w:rsidRPr="00F445ED">
        <w:rPr>
          <w:bCs/>
          <w:iCs/>
        </w:rPr>
        <w:t xml:space="preserve">The test of intention for a contravention of section 13 of the TAP Act </w:t>
      </w:r>
      <w:r w:rsidR="00A304F8">
        <w:rPr>
          <w:bCs/>
          <w:iCs/>
        </w:rPr>
        <w:t>– which prohibits the broadcast of a</w:t>
      </w:r>
      <w:r w:rsidR="00F16021">
        <w:rPr>
          <w:bCs/>
          <w:iCs/>
        </w:rPr>
        <w:t xml:space="preserve"> tobacco Advertisement – </w:t>
      </w:r>
      <w:r w:rsidR="0027312D">
        <w:rPr>
          <w:bCs/>
          <w:iCs/>
        </w:rPr>
        <w:t xml:space="preserve">was </w:t>
      </w:r>
      <w:r w:rsidR="0016715D">
        <w:rPr>
          <w:bCs/>
          <w:iCs/>
        </w:rPr>
        <w:t>endorsed</w:t>
      </w:r>
      <w:r w:rsidR="0016715D" w:rsidRPr="00F445ED">
        <w:rPr>
          <w:bCs/>
          <w:iCs/>
        </w:rPr>
        <w:t xml:space="preserve"> </w:t>
      </w:r>
      <w:r w:rsidRPr="00F445ED">
        <w:rPr>
          <w:bCs/>
          <w:iCs/>
        </w:rPr>
        <w:t xml:space="preserve">by the majority in </w:t>
      </w:r>
      <w:r w:rsidRPr="0025533D">
        <w:rPr>
          <w:bCs/>
          <w:i/>
        </w:rPr>
        <w:t>Channel Seven Adelaide Pty Ltd v ACMA [2014] FCAFC 32</w:t>
      </w:r>
      <w:r w:rsidRPr="00F445ED">
        <w:rPr>
          <w:bCs/>
          <w:iCs/>
        </w:rPr>
        <w:t xml:space="preserve"> (at paragraphs 13-14; 18). The person broadcasting </w:t>
      </w:r>
      <w:r w:rsidR="00E364B1">
        <w:rPr>
          <w:bCs/>
          <w:iCs/>
        </w:rPr>
        <w:t xml:space="preserve">a tobacco advertisement </w:t>
      </w:r>
      <w:r w:rsidRPr="00F445ED">
        <w:rPr>
          <w:bCs/>
          <w:iCs/>
        </w:rPr>
        <w:t>must be proved</w:t>
      </w:r>
      <w:r w:rsidR="00E364B1">
        <w:rPr>
          <w:bCs/>
          <w:iCs/>
        </w:rPr>
        <w:t>,</w:t>
      </w:r>
      <w:r w:rsidRPr="00F445ED">
        <w:rPr>
          <w:bCs/>
          <w:iCs/>
        </w:rPr>
        <w:t xml:space="preserve"> not only to intend to broadcast material which falls within the statutory definition of tobacco advertisement, but also to intend to promote, or give publicity to the matters at </w:t>
      </w:r>
      <w:r w:rsidR="00023605">
        <w:rPr>
          <w:bCs/>
          <w:iCs/>
        </w:rPr>
        <w:t>paragraphs</w:t>
      </w:r>
      <w:r w:rsidRPr="00F445ED">
        <w:rPr>
          <w:bCs/>
          <w:iCs/>
        </w:rPr>
        <w:t xml:space="preserve"> 9(1)(a)-(f) of the TAP Act</w:t>
      </w:r>
      <w:r w:rsidR="00515C1E">
        <w:rPr>
          <w:bCs/>
          <w:iCs/>
        </w:rPr>
        <w:t xml:space="preserve">. </w:t>
      </w:r>
      <w:r w:rsidR="008A380E">
        <w:rPr>
          <w:bCs/>
          <w:iCs/>
        </w:rPr>
        <w:t xml:space="preserve">These matters </w:t>
      </w:r>
      <w:r w:rsidRPr="00F445ED">
        <w:rPr>
          <w:bCs/>
          <w:iCs/>
        </w:rPr>
        <w:t>include, among other things, tobacco products.</w:t>
      </w:r>
    </w:p>
    <w:p w14:paraId="2EFD11B7" w14:textId="19773E81" w:rsidR="00F94A39" w:rsidRDefault="0027312D" w:rsidP="00F94A39">
      <w:pPr>
        <w:pStyle w:val="ACMABodyText0"/>
        <w:rPr>
          <w:rFonts w:ascii="Arial" w:hAnsi="Arial" w:cs="Arial"/>
          <w:sz w:val="20"/>
        </w:rPr>
      </w:pPr>
      <w:r>
        <w:rPr>
          <w:rFonts w:ascii="Arial" w:hAnsi="Arial" w:cs="Arial"/>
          <w:sz w:val="20"/>
        </w:rPr>
        <w:t>The</w:t>
      </w:r>
      <w:r w:rsidR="00F94A39">
        <w:rPr>
          <w:rFonts w:ascii="Arial" w:hAnsi="Arial" w:cs="Arial"/>
          <w:sz w:val="20"/>
        </w:rPr>
        <w:t xml:space="preserve"> licensee submitted:</w:t>
      </w:r>
    </w:p>
    <w:p w14:paraId="20672E64" w14:textId="19912222" w:rsidR="00F94A39" w:rsidRDefault="00F94A39" w:rsidP="00F94A39">
      <w:pPr>
        <w:pStyle w:val="ACMABodyText0"/>
        <w:ind w:left="720"/>
        <w:rPr>
          <w:rFonts w:ascii="Arial" w:hAnsi="Arial" w:cs="Arial"/>
          <w:sz w:val="18"/>
          <w:szCs w:val="18"/>
        </w:rPr>
      </w:pPr>
      <w:r w:rsidRPr="00F94A39">
        <w:rPr>
          <w:rFonts w:ascii="Arial" w:hAnsi="Arial" w:cs="Arial"/>
          <w:sz w:val="18"/>
          <w:szCs w:val="18"/>
        </w:rPr>
        <w:t>The hosts did not publish the Brand Mention themselves, and immediately cut off the caller when the Brand Mention took place.</w:t>
      </w:r>
    </w:p>
    <w:p w14:paraId="45F4ABB1" w14:textId="0FF53769" w:rsidR="00C15D5D" w:rsidRDefault="00A23964" w:rsidP="00DF1E1C">
      <w:pPr>
        <w:pStyle w:val="ACMABodyText"/>
        <w:spacing w:before="240"/>
        <w:rPr>
          <w:bCs/>
          <w:iCs/>
        </w:rPr>
      </w:pPr>
      <w:r w:rsidRPr="00DF1E1C">
        <w:rPr>
          <w:bCs/>
          <w:iCs/>
        </w:rPr>
        <w:t>Th</w:t>
      </w:r>
      <w:r w:rsidR="00F94A39" w:rsidRPr="00DF1E1C">
        <w:rPr>
          <w:bCs/>
          <w:iCs/>
        </w:rPr>
        <w:t xml:space="preserve">e ACMA acknowledges that the </w:t>
      </w:r>
      <w:r w:rsidR="00301E8C">
        <w:rPr>
          <w:bCs/>
          <w:iCs/>
        </w:rPr>
        <w:t>references to</w:t>
      </w:r>
      <w:r w:rsidR="0027312D">
        <w:rPr>
          <w:bCs/>
          <w:iCs/>
        </w:rPr>
        <w:t xml:space="preserve"> </w:t>
      </w:r>
      <w:r w:rsidR="00F94A39" w:rsidRPr="00DF1E1C">
        <w:rPr>
          <w:bCs/>
          <w:iCs/>
        </w:rPr>
        <w:t>‘Peter Jackson</w:t>
      </w:r>
      <w:r w:rsidRPr="00DF1E1C">
        <w:rPr>
          <w:bCs/>
          <w:iCs/>
        </w:rPr>
        <w:t>’</w:t>
      </w:r>
      <w:r w:rsidR="00F94A39" w:rsidRPr="00DF1E1C">
        <w:rPr>
          <w:bCs/>
          <w:iCs/>
        </w:rPr>
        <w:t xml:space="preserve"> and ‘cheap cigarettes’ </w:t>
      </w:r>
      <w:r w:rsidR="0027312D">
        <w:rPr>
          <w:bCs/>
          <w:iCs/>
        </w:rPr>
        <w:t>being available at the</w:t>
      </w:r>
      <w:r w:rsidR="00AE04F4">
        <w:rPr>
          <w:bCs/>
          <w:iCs/>
        </w:rPr>
        <w:t xml:space="preserve"> shopping centre</w:t>
      </w:r>
      <w:r w:rsidR="0027312D">
        <w:rPr>
          <w:bCs/>
          <w:iCs/>
        </w:rPr>
        <w:t xml:space="preserve"> </w:t>
      </w:r>
      <w:r w:rsidR="00F94A39" w:rsidRPr="00DF1E1C">
        <w:rPr>
          <w:bCs/>
          <w:iCs/>
        </w:rPr>
        <w:t xml:space="preserve">were </w:t>
      </w:r>
      <w:r w:rsidRPr="00DF1E1C">
        <w:rPr>
          <w:bCs/>
          <w:iCs/>
        </w:rPr>
        <w:t>made spontaneously</w:t>
      </w:r>
      <w:r w:rsidR="00AE04F4">
        <w:rPr>
          <w:bCs/>
          <w:iCs/>
        </w:rPr>
        <w:t xml:space="preserve"> </w:t>
      </w:r>
      <w:r w:rsidRPr="00DF1E1C">
        <w:rPr>
          <w:bCs/>
          <w:iCs/>
        </w:rPr>
        <w:t xml:space="preserve">by a caller </w:t>
      </w:r>
      <w:r w:rsidR="006136A2">
        <w:rPr>
          <w:bCs/>
          <w:iCs/>
        </w:rPr>
        <w:t xml:space="preserve">who was </w:t>
      </w:r>
      <w:r w:rsidRPr="00DF1E1C">
        <w:rPr>
          <w:bCs/>
          <w:iCs/>
        </w:rPr>
        <w:t xml:space="preserve">immediately cut off by the </w:t>
      </w:r>
      <w:r w:rsidR="00256C5E">
        <w:rPr>
          <w:bCs/>
          <w:iCs/>
        </w:rPr>
        <w:t>host, who said ‘</w:t>
      </w:r>
      <w:r w:rsidR="00734322" w:rsidRPr="00734322">
        <w:rPr>
          <w:bCs/>
          <w:iCs/>
        </w:rPr>
        <w:t>we’re not allowed to say that stuff on the radio any more</w:t>
      </w:r>
      <w:r w:rsidR="00734322">
        <w:rPr>
          <w:bCs/>
          <w:iCs/>
        </w:rPr>
        <w:t>’</w:t>
      </w:r>
      <w:r w:rsidRPr="00DF1E1C">
        <w:rPr>
          <w:bCs/>
          <w:iCs/>
        </w:rPr>
        <w:t xml:space="preserve">. </w:t>
      </w:r>
      <w:r w:rsidR="0054462E">
        <w:rPr>
          <w:bCs/>
          <w:iCs/>
        </w:rPr>
        <w:t>A</w:t>
      </w:r>
      <w:r w:rsidR="003F19A9">
        <w:rPr>
          <w:bCs/>
          <w:iCs/>
        </w:rPr>
        <w:t xml:space="preserve">s soon as the host </w:t>
      </w:r>
      <w:r w:rsidR="0054462E">
        <w:rPr>
          <w:bCs/>
          <w:iCs/>
        </w:rPr>
        <w:t>referred to</w:t>
      </w:r>
      <w:r w:rsidR="003F19A9">
        <w:rPr>
          <w:bCs/>
          <w:iCs/>
        </w:rPr>
        <w:t xml:space="preserve"> ‘Smoke Mart’</w:t>
      </w:r>
      <w:r w:rsidR="0054462E">
        <w:rPr>
          <w:bCs/>
          <w:iCs/>
        </w:rPr>
        <w:t>,</w:t>
      </w:r>
      <w:r w:rsidR="003F19A9">
        <w:rPr>
          <w:bCs/>
          <w:iCs/>
        </w:rPr>
        <w:t xml:space="preserve"> </w:t>
      </w:r>
      <w:r w:rsidR="00EB77EC">
        <w:rPr>
          <w:bCs/>
          <w:iCs/>
        </w:rPr>
        <w:t>he</w:t>
      </w:r>
      <w:r w:rsidR="003F19A9">
        <w:rPr>
          <w:bCs/>
          <w:iCs/>
        </w:rPr>
        <w:t xml:space="preserve"> </w:t>
      </w:r>
      <w:r w:rsidR="00C15D5D">
        <w:rPr>
          <w:bCs/>
          <w:iCs/>
        </w:rPr>
        <w:t xml:space="preserve">further </w:t>
      </w:r>
      <w:r w:rsidR="003F19A9">
        <w:rPr>
          <w:bCs/>
          <w:iCs/>
        </w:rPr>
        <w:t>added ‘but we can’t talk about</w:t>
      </w:r>
      <w:r w:rsidR="00C15D5D">
        <w:rPr>
          <w:bCs/>
          <w:iCs/>
        </w:rPr>
        <w:t>…</w:t>
      </w:r>
      <w:r w:rsidR="003F19A9">
        <w:rPr>
          <w:bCs/>
          <w:iCs/>
        </w:rPr>
        <w:t>’</w:t>
      </w:r>
      <w:r w:rsidR="00996809">
        <w:rPr>
          <w:bCs/>
          <w:iCs/>
        </w:rPr>
        <w:t>,</w:t>
      </w:r>
      <w:r w:rsidR="003F19A9">
        <w:rPr>
          <w:bCs/>
          <w:iCs/>
        </w:rPr>
        <w:t xml:space="preserve"> </w:t>
      </w:r>
      <w:r w:rsidR="00C15D5D">
        <w:rPr>
          <w:bCs/>
          <w:iCs/>
        </w:rPr>
        <w:t>before he in turn was interrupted by the other host</w:t>
      </w:r>
      <w:r w:rsidR="003855FE">
        <w:rPr>
          <w:bCs/>
          <w:iCs/>
        </w:rPr>
        <w:t xml:space="preserve"> who </w:t>
      </w:r>
      <w:r w:rsidR="00D95B41">
        <w:rPr>
          <w:bCs/>
          <w:iCs/>
        </w:rPr>
        <w:t>says,</w:t>
      </w:r>
      <w:r w:rsidR="003855FE">
        <w:rPr>
          <w:bCs/>
          <w:iCs/>
        </w:rPr>
        <w:t xml:space="preserve"> ‘for that reason’</w:t>
      </w:r>
      <w:r w:rsidR="00C15D5D">
        <w:rPr>
          <w:bCs/>
          <w:iCs/>
        </w:rPr>
        <w:t xml:space="preserve">, </w:t>
      </w:r>
      <w:r w:rsidR="003F19A9">
        <w:rPr>
          <w:bCs/>
          <w:iCs/>
        </w:rPr>
        <w:t xml:space="preserve">ending </w:t>
      </w:r>
      <w:r w:rsidR="00C15D5D">
        <w:rPr>
          <w:bCs/>
          <w:iCs/>
        </w:rPr>
        <w:t xml:space="preserve">all </w:t>
      </w:r>
      <w:r w:rsidR="003F19A9">
        <w:rPr>
          <w:bCs/>
          <w:iCs/>
        </w:rPr>
        <w:t xml:space="preserve">discussion relating to tobacco </w:t>
      </w:r>
      <w:r w:rsidR="00B2772F">
        <w:rPr>
          <w:bCs/>
          <w:iCs/>
        </w:rPr>
        <w:t xml:space="preserve">products </w:t>
      </w:r>
      <w:r w:rsidR="003F19A9">
        <w:rPr>
          <w:bCs/>
          <w:iCs/>
        </w:rPr>
        <w:t xml:space="preserve">or </w:t>
      </w:r>
      <w:r w:rsidR="00D94008">
        <w:rPr>
          <w:bCs/>
          <w:iCs/>
        </w:rPr>
        <w:t>tobacco retailers</w:t>
      </w:r>
      <w:r w:rsidR="003F19A9">
        <w:rPr>
          <w:bCs/>
          <w:iCs/>
        </w:rPr>
        <w:t xml:space="preserve">. </w:t>
      </w:r>
    </w:p>
    <w:p w14:paraId="48B51886" w14:textId="74E2EF4D" w:rsidR="00F26D9C" w:rsidRDefault="00E976D4" w:rsidP="00F26D9C">
      <w:pPr>
        <w:pStyle w:val="ACMABodyText"/>
        <w:spacing w:before="240"/>
        <w:rPr>
          <w:bCs/>
          <w:iCs/>
        </w:rPr>
      </w:pPr>
      <w:r>
        <w:rPr>
          <w:bCs/>
          <w:iCs/>
        </w:rPr>
        <w:lastRenderedPageBreak/>
        <w:t>Although</w:t>
      </w:r>
      <w:r w:rsidR="003F19A9">
        <w:rPr>
          <w:bCs/>
          <w:iCs/>
        </w:rPr>
        <w:t xml:space="preserve"> the licensee broadcast material that falls within </w:t>
      </w:r>
      <w:r w:rsidR="00690555" w:rsidRPr="00690555">
        <w:rPr>
          <w:bCs/>
          <w:iCs/>
        </w:rPr>
        <w:t xml:space="preserve">the statutory definition of </w:t>
      </w:r>
      <w:r w:rsidR="00C15D5D">
        <w:rPr>
          <w:bCs/>
          <w:iCs/>
        </w:rPr>
        <w:t xml:space="preserve">a </w:t>
      </w:r>
      <w:r w:rsidR="00690555" w:rsidRPr="00690555">
        <w:rPr>
          <w:bCs/>
          <w:iCs/>
        </w:rPr>
        <w:t>‘tobacco advertisement’</w:t>
      </w:r>
      <w:r w:rsidR="00EF5CF0">
        <w:rPr>
          <w:bCs/>
          <w:iCs/>
        </w:rPr>
        <w:t>,</w:t>
      </w:r>
      <w:r w:rsidR="00690555">
        <w:rPr>
          <w:bCs/>
          <w:iCs/>
        </w:rPr>
        <w:t xml:space="preserve"> the hosts twice indicated that they should not be discussing issues relating to tobacco products or smoking</w:t>
      </w:r>
      <w:r w:rsidR="00EE7A48">
        <w:rPr>
          <w:bCs/>
          <w:iCs/>
        </w:rPr>
        <w:t xml:space="preserve">. </w:t>
      </w:r>
      <w:r w:rsidR="00F26D9C">
        <w:rPr>
          <w:bCs/>
          <w:iCs/>
        </w:rPr>
        <w:t xml:space="preserve">The licensee has also submitted </w:t>
      </w:r>
      <w:r w:rsidR="003A13D8">
        <w:rPr>
          <w:bCs/>
          <w:iCs/>
        </w:rPr>
        <w:t xml:space="preserve">that </w:t>
      </w:r>
      <w:r w:rsidR="00F26D9C" w:rsidRPr="00EB77EC">
        <w:rPr>
          <w:bCs/>
          <w:iCs/>
        </w:rPr>
        <w:t xml:space="preserve">neither </w:t>
      </w:r>
      <w:r w:rsidR="003A13D8">
        <w:rPr>
          <w:bCs/>
          <w:iCs/>
        </w:rPr>
        <w:t xml:space="preserve">it </w:t>
      </w:r>
      <w:r w:rsidR="00F26D9C" w:rsidRPr="00EB77EC">
        <w:rPr>
          <w:bCs/>
          <w:iCs/>
        </w:rPr>
        <w:t>nor the hosts received any direct or indirect benefit</w:t>
      </w:r>
      <w:r w:rsidR="00F26D9C">
        <w:rPr>
          <w:bCs/>
          <w:iCs/>
        </w:rPr>
        <w:t xml:space="preserve"> from the broadcast.</w:t>
      </w:r>
    </w:p>
    <w:p w14:paraId="72B833CA" w14:textId="6373BBFF" w:rsidR="003F19A9" w:rsidRPr="00DF1E1C" w:rsidRDefault="00BA793D" w:rsidP="00DF1E1C">
      <w:pPr>
        <w:pStyle w:val="ACMABodyText"/>
        <w:spacing w:before="240"/>
        <w:rPr>
          <w:bCs/>
          <w:iCs/>
        </w:rPr>
      </w:pPr>
      <w:r>
        <w:rPr>
          <w:bCs/>
          <w:iCs/>
        </w:rPr>
        <w:t xml:space="preserve">Taking these two considerations into account, </w:t>
      </w:r>
      <w:r w:rsidR="00690555">
        <w:rPr>
          <w:bCs/>
          <w:iCs/>
        </w:rPr>
        <w:t xml:space="preserve">the ACMA does not </w:t>
      </w:r>
      <w:r w:rsidR="00B52BDF">
        <w:rPr>
          <w:bCs/>
          <w:iCs/>
        </w:rPr>
        <w:t>consider</w:t>
      </w:r>
      <w:r w:rsidR="00690555">
        <w:rPr>
          <w:bCs/>
          <w:iCs/>
        </w:rPr>
        <w:t xml:space="preserve"> that </w:t>
      </w:r>
      <w:r w:rsidR="00A21740">
        <w:rPr>
          <w:bCs/>
          <w:iCs/>
        </w:rPr>
        <w:t xml:space="preserve">there </w:t>
      </w:r>
      <w:r w:rsidR="00C15D5D">
        <w:rPr>
          <w:bCs/>
          <w:iCs/>
        </w:rPr>
        <w:t xml:space="preserve">is </w:t>
      </w:r>
      <w:r w:rsidR="00EE04B6">
        <w:rPr>
          <w:bCs/>
          <w:iCs/>
        </w:rPr>
        <w:t xml:space="preserve">sufficient </w:t>
      </w:r>
      <w:r w:rsidR="00C15D5D">
        <w:rPr>
          <w:bCs/>
          <w:iCs/>
        </w:rPr>
        <w:t xml:space="preserve">evidence to </w:t>
      </w:r>
      <w:r w:rsidR="00EE04B6">
        <w:rPr>
          <w:bCs/>
          <w:iCs/>
        </w:rPr>
        <w:t>conclude</w:t>
      </w:r>
      <w:r w:rsidR="00C15D5D">
        <w:rPr>
          <w:bCs/>
          <w:iCs/>
        </w:rPr>
        <w:t xml:space="preserve"> that there </w:t>
      </w:r>
      <w:r w:rsidR="00A21740">
        <w:rPr>
          <w:bCs/>
          <w:iCs/>
        </w:rPr>
        <w:t xml:space="preserve">was </w:t>
      </w:r>
      <w:r w:rsidR="00376F3A">
        <w:rPr>
          <w:bCs/>
          <w:iCs/>
        </w:rPr>
        <w:t>an</w:t>
      </w:r>
      <w:r w:rsidR="00690555">
        <w:rPr>
          <w:bCs/>
          <w:iCs/>
        </w:rPr>
        <w:t xml:space="preserve"> intention to </w:t>
      </w:r>
      <w:r w:rsidR="00690555" w:rsidRPr="00690555">
        <w:rPr>
          <w:bCs/>
          <w:iCs/>
        </w:rPr>
        <w:t>promote, or give publicity to, smoking or tobacco products</w:t>
      </w:r>
      <w:r w:rsidR="00AC1DD7">
        <w:rPr>
          <w:bCs/>
          <w:iCs/>
        </w:rPr>
        <w:t xml:space="preserve"> </w:t>
      </w:r>
      <w:r w:rsidR="003C1771">
        <w:rPr>
          <w:bCs/>
          <w:iCs/>
        </w:rPr>
        <w:t xml:space="preserve">by </w:t>
      </w:r>
      <w:r w:rsidR="00AC1DD7">
        <w:rPr>
          <w:bCs/>
          <w:iCs/>
        </w:rPr>
        <w:t>broadcast</w:t>
      </w:r>
      <w:r w:rsidR="003C1771">
        <w:rPr>
          <w:bCs/>
          <w:iCs/>
        </w:rPr>
        <w:t>ing</w:t>
      </w:r>
      <w:r w:rsidR="00AC1DD7">
        <w:rPr>
          <w:bCs/>
          <w:iCs/>
        </w:rPr>
        <w:t xml:space="preserve"> the reference to ‘Smoke Mart’</w:t>
      </w:r>
      <w:r w:rsidR="00690555" w:rsidRPr="00690555">
        <w:rPr>
          <w:bCs/>
          <w:iCs/>
        </w:rPr>
        <w:t>.</w:t>
      </w:r>
    </w:p>
    <w:p w14:paraId="6AB33779" w14:textId="6EF06D5F" w:rsidR="00F94A39" w:rsidRPr="00DF1E1C" w:rsidRDefault="00F94A39" w:rsidP="00DF1E1C">
      <w:pPr>
        <w:pStyle w:val="ACMABodyText"/>
        <w:spacing w:before="240"/>
        <w:rPr>
          <w:bCs/>
          <w:iCs/>
        </w:rPr>
      </w:pPr>
      <w:r w:rsidRPr="00DF1E1C">
        <w:rPr>
          <w:bCs/>
          <w:iCs/>
        </w:rPr>
        <w:t xml:space="preserve">As the requisite intention to broadcast a tobacco advertisement has not been established, the licensee has not broadcast a tobacco advertisement </w:t>
      </w:r>
      <w:r w:rsidR="00E210A4">
        <w:rPr>
          <w:bCs/>
          <w:iCs/>
        </w:rPr>
        <w:t xml:space="preserve">in contravention </w:t>
      </w:r>
      <w:r w:rsidRPr="00DF1E1C">
        <w:rPr>
          <w:bCs/>
          <w:iCs/>
        </w:rPr>
        <w:t>of section 13 of the TAP Act.</w:t>
      </w:r>
    </w:p>
    <w:p w14:paraId="421E1A47" w14:textId="326B0112" w:rsidR="001C70C1" w:rsidRPr="00DF1E1C" w:rsidRDefault="00F94A39" w:rsidP="00DF1E1C">
      <w:pPr>
        <w:pStyle w:val="ACMABodyText"/>
        <w:spacing w:before="240"/>
        <w:rPr>
          <w:bCs/>
          <w:iCs/>
        </w:rPr>
      </w:pPr>
      <w:r w:rsidRPr="00DF1E1C">
        <w:rPr>
          <w:bCs/>
          <w:iCs/>
        </w:rPr>
        <w:t>Accordingly, the licensee did not breach the licence condition at paragraph 8(1)(a) of Schedule 2 to the BSA.</w:t>
      </w:r>
    </w:p>
    <w:p w14:paraId="4097EC91" w14:textId="77777777" w:rsidR="00E3671F" w:rsidRDefault="00E3671F" w:rsidP="00E3671F">
      <w:pPr>
        <w:pStyle w:val="ACMAHeading2"/>
        <w:pageBreakBefore/>
        <w:spacing w:after="240"/>
        <w:jc w:val="right"/>
      </w:pPr>
      <w:r w:rsidRPr="00153F9D">
        <w:lastRenderedPageBreak/>
        <w:t xml:space="preserve">Attachment </w:t>
      </w:r>
      <w:r>
        <w:t>A</w:t>
      </w:r>
    </w:p>
    <w:p w14:paraId="1F5B473A" w14:textId="13F63A48" w:rsidR="00E3671F" w:rsidRDefault="00E3671F" w:rsidP="00E3671F">
      <w:pPr>
        <w:pStyle w:val="ACMABodyText"/>
        <w:spacing w:before="240"/>
        <w:rPr>
          <w:b/>
          <w:iCs/>
          <w:sz w:val="24"/>
          <w:szCs w:val="24"/>
        </w:rPr>
      </w:pPr>
      <w:r w:rsidRPr="00F0587F">
        <w:rPr>
          <w:b/>
          <w:i/>
          <w:sz w:val="24"/>
          <w:szCs w:val="24"/>
        </w:rPr>
        <w:t xml:space="preserve">Extracts of the Complaint to the ACMA </w:t>
      </w:r>
      <w:r w:rsidRPr="00F0587F">
        <w:rPr>
          <w:b/>
          <w:iCs/>
          <w:sz w:val="24"/>
          <w:szCs w:val="24"/>
        </w:rPr>
        <w:t xml:space="preserve">dated </w:t>
      </w:r>
      <w:r w:rsidR="007C2B5F">
        <w:rPr>
          <w:b/>
          <w:iCs/>
          <w:sz w:val="24"/>
          <w:szCs w:val="24"/>
        </w:rPr>
        <w:t>17 September 2019</w:t>
      </w:r>
    </w:p>
    <w:p w14:paraId="0D80FB76" w14:textId="4823D1B7" w:rsidR="007C2B5F" w:rsidRPr="007C2B5F" w:rsidRDefault="007C2B5F" w:rsidP="00537EFD">
      <w:pPr>
        <w:pStyle w:val="ACMABodyText"/>
        <w:spacing w:before="120"/>
        <w:rPr>
          <w:bCs/>
          <w:iCs/>
        </w:rPr>
      </w:pPr>
      <w:r w:rsidRPr="007C2B5F">
        <w:rPr>
          <w:bCs/>
          <w:iCs/>
        </w:rPr>
        <w:t>[…]</w:t>
      </w:r>
      <w:r>
        <w:rPr>
          <w:bCs/>
          <w:iCs/>
        </w:rPr>
        <w:t xml:space="preserve"> </w:t>
      </w:r>
      <w:r w:rsidRPr="007C2B5F">
        <w:rPr>
          <w:bCs/>
          <w:iCs/>
        </w:rPr>
        <w:t>these two experienced announcers were discussing and I saw it promoting a tobacconist.</w:t>
      </w:r>
    </w:p>
    <w:p w14:paraId="105AAD9C" w14:textId="239615D8" w:rsidR="007C2B5F" w:rsidRPr="007C2B5F" w:rsidRDefault="007C2B5F" w:rsidP="00537EFD">
      <w:pPr>
        <w:pStyle w:val="ACMABodyText"/>
        <w:spacing w:before="120"/>
        <w:rPr>
          <w:bCs/>
          <w:iCs/>
        </w:rPr>
      </w:pPr>
      <w:r w:rsidRPr="007C2B5F">
        <w:rPr>
          <w:bCs/>
          <w:iCs/>
        </w:rPr>
        <w:t xml:space="preserve">Went something like this. They were discussing a shopping centre which won an award- </w:t>
      </w:r>
      <w:r w:rsidR="00F462F5">
        <w:rPr>
          <w:bCs/>
          <w:iCs/>
        </w:rPr>
        <w:t>[…]</w:t>
      </w:r>
      <w:r w:rsidRPr="007C2B5F">
        <w:rPr>
          <w:bCs/>
          <w:iCs/>
        </w:rPr>
        <w:t xml:space="preserve"> shopping centre</w:t>
      </w:r>
      <w:r>
        <w:rPr>
          <w:bCs/>
          <w:iCs/>
        </w:rPr>
        <w:t>.</w:t>
      </w:r>
    </w:p>
    <w:p w14:paraId="2ECE53F1" w14:textId="77777777" w:rsidR="007C2B5F" w:rsidRPr="007C2B5F" w:rsidRDefault="007C2B5F" w:rsidP="00537EFD">
      <w:pPr>
        <w:pStyle w:val="ACMABodyText"/>
        <w:spacing w:before="120"/>
        <w:rPr>
          <w:bCs/>
          <w:iCs/>
        </w:rPr>
      </w:pPr>
      <w:r w:rsidRPr="007C2B5F">
        <w:rPr>
          <w:bCs/>
          <w:iCs/>
        </w:rPr>
        <w:t>Caller rings in and tax 'it's a great place to buy cheap cigarettes, I buy Peter Jackson $25's and they normally cost me...'</w:t>
      </w:r>
    </w:p>
    <w:p w14:paraId="3C771A7F" w14:textId="77777777" w:rsidR="007C2B5F" w:rsidRPr="007C2B5F" w:rsidRDefault="007C2B5F" w:rsidP="00537EFD">
      <w:pPr>
        <w:pStyle w:val="ACMABodyText"/>
        <w:spacing w:before="120"/>
        <w:rPr>
          <w:bCs/>
          <w:iCs/>
        </w:rPr>
      </w:pPr>
      <w:r w:rsidRPr="007C2B5F">
        <w:rPr>
          <w:bCs/>
          <w:iCs/>
        </w:rPr>
        <w:t xml:space="preserve">Announcer interrupts saying 'we can't talk about that on the radio' but then incredibly says 'there's a tobacconist there called 'smoke mart' </w:t>
      </w:r>
    </w:p>
    <w:p w14:paraId="6826A13E" w14:textId="6600F678" w:rsidR="007C2B5F" w:rsidRPr="007C2B5F" w:rsidRDefault="007C2B5F" w:rsidP="00537EFD">
      <w:pPr>
        <w:pStyle w:val="ACMABodyText"/>
        <w:spacing w:before="120"/>
        <w:rPr>
          <w:bCs/>
          <w:iCs/>
        </w:rPr>
      </w:pPr>
      <w:r w:rsidRPr="007C2B5F">
        <w:rPr>
          <w:bCs/>
          <w:iCs/>
        </w:rPr>
        <w:t>The host (pretended?) to stop the caller from talking, then actually named the shop</w:t>
      </w:r>
    </w:p>
    <w:p w14:paraId="0BC839AA" w14:textId="77777777" w:rsidR="00E3671F" w:rsidRDefault="00E3671F" w:rsidP="00E3671F">
      <w:pPr>
        <w:pStyle w:val="ACMAHeading2"/>
        <w:pageBreakBefore/>
        <w:spacing w:after="240"/>
        <w:jc w:val="right"/>
      </w:pPr>
      <w:r w:rsidRPr="00153F9D">
        <w:lastRenderedPageBreak/>
        <w:t xml:space="preserve">Attachment </w:t>
      </w:r>
      <w:r>
        <w:t>B</w:t>
      </w:r>
    </w:p>
    <w:p w14:paraId="1B58EE13" w14:textId="57B75A38" w:rsidR="00E3671F" w:rsidRDefault="00E3671F" w:rsidP="00E3671F">
      <w:pPr>
        <w:pStyle w:val="ACMABodyText"/>
        <w:rPr>
          <w:b/>
          <w:sz w:val="24"/>
          <w:szCs w:val="24"/>
        </w:rPr>
      </w:pPr>
      <w:r w:rsidRPr="00F0587F">
        <w:rPr>
          <w:b/>
          <w:sz w:val="24"/>
          <w:szCs w:val="24"/>
        </w:rPr>
        <w:t>Extracts from Licensee submission to the ACMA dated</w:t>
      </w:r>
      <w:r w:rsidR="008F346B">
        <w:rPr>
          <w:b/>
          <w:sz w:val="24"/>
          <w:szCs w:val="24"/>
        </w:rPr>
        <w:t xml:space="preserve"> 1 November 2019</w:t>
      </w:r>
    </w:p>
    <w:p w14:paraId="36FF727F" w14:textId="77777777" w:rsidR="00B00CC6" w:rsidRDefault="00B00CC6" w:rsidP="008F346B">
      <w:pPr>
        <w:spacing w:line="240" w:lineRule="atLeast"/>
        <w:rPr>
          <w:rFonts w:cs="Arial"/>
          <w:i w:val="0"/>
          <w:szCs w:val="20"/>
        </w:rPr>
      </w:pPr>
      <w:r>
        <w:rPr>
          <w:rFonts w:cs="Arial"/>
          <w:i w:val="0"/>
          <w:szCs w:val="20"/>
        </w:rPr>
        <w:t>[…]</w:t>
      </w:r>
    </w:p>
    <w:p w14:paraId="1D4A459F" w14:textId="3A6D8242" w:rsidR="008F346B" w:rsidRPr="008F346B" w:rsidRDefault="008F346B" w:rsidP="008F346B">
      <w:pPr>
        <w:spacing w:line="240" w:lineRule="atLeast"/>
        <w:rPr>
          <w:rFonts w:cs="Arial"/>
          <w:i w:val="0"/>
          <w:iCs/>
          <w:szCs w:val="20"/>
        </w:rPr>
      </w:pPr>
      <w:r w:rsidRPr="008F346B">
        <w:rPr>
          <w:rFonts w:cs="Arial"/>
          <w:i w:val="0"/>
          <w:iCs/>
          <w:szCs w:val="20"/>
        </w:rPr>
        <w:t xml:space="preserve">During a 10-minute segment dedicated to discussion of the naming of the Perth shopping centre </w:t>
      </w:r>
      <w:r w:rsidR="00F462F5">
        <w:rPr>
          <w:rFonts w:cs="Arial"/>
          <w:i w:val="0"/>
          <w:iCs/>
          <w:szCs w:val="20"/>
        </w:rPr>
        <w:t>[…]</w:t>
      </w:r>
      <w:r w:rsidRPr="008F346B">
        <w:rPr>
          <w:rFonts w:cs="Arial"/>
          <w:i w:val="0"/>
          <w:iCs/>
          <w:szCs w:val="20"/>
        </w:rPr>
        <w:t xml:space="preserve"> (the </w:t>
      </w:r>
      <w:r w:rsidRPr="008F346B">
        <w:rPr>
          <w:rFonts w:cs="Arial"/>
          <w:b/>
          <w:i w:val="0"/>
          <w:iCs/>
          <w:szCs w:val="20"/>
        </w:rPr>
        <w:t>Shopping Centre</w:t>
      </w:r>
      <w:r w:rsidRPr="008F346B">
        <w:rPr>
          <w:rFonts w:cs="Arial"/>
          <w:i w:val="0"/>
          <w:iCs/>
          <w:szCs w:val="20"/>
        </w:rPr>
        <w:t xml:space="preserve">) as 'WA Shopping Centre of the Year’, the hosts Steve Mills and Basil Zempilas invited listeners to call in to share their experiences of the centre. </w:t>
      </w:r>
    </w:p>
    <w:p w14:paraId="32898621" w14:textId="77777777" w:rsidR="008F346B" w:rsidRPr="008F346B" w:rsidRDefault="008F346B" w:rsidP="008F346B">
      <w:pPr>
        <w:spacing w:line="240" w:lineRule="atLeast"/>
        <w:rPr>
          <w:rFonts w:cs="Arial"/>
          <w:i w:val="0"/>
          <w:iCs/>
          <w:szCs w:val="20"/>
        </w:rPr>
      </w:pPr>
      <w:r w:rsidRPr="008F346B">
        <w:rPr>
          <w:rFonts w:cs="Arial"/>
          <w:i w:val="0"/>
          <w:iCs/>
          <w:szCs w:val="20"/>
        </w:rPr>
        <w:t xml:space="preserve">After a number of callers named their favourite stores and the hosts themselves stated the names of thirteen stores at the centre, the final caller attempted to volunteer, without prompting, the price of a tobacco product that he purchases at that centre. Mr Zempilas moved swiftly to cut the caller off, stating they could not discuss tobacco products on air. </w:t>
      </w:r>
    </w:p>
    <w:p w14:paraId="43ADB733" w14:textId="77777777" w:rsidR="008F346B" w:rsidRPr="008F346B" w:rsidRDefault="008F346B" w:rsidP="008F346B">
      <w:pPr>
        <w:spacing w:line="240" w:lineRule="atLeast"/>
        <w:rPr>
          <w:rFonts w:cs="Arial"/>
          <w:i w:val="0"/>
          <w:iCs/>
          <w:szCs w:val="20"/>
        </w:rPr>
      </w:pPr>
      <w:r w:rsidRPr="008F346B">
        <w:rPr>
          <w:rFonts w:cs="Arial"/>
          <w:i w:val="0"/>
          <w:iCs/>
          <w:szCs w:val="20"/>
        </w:rPr>
        <w:t>The Licensee acknowledges that the brand of the tobacco product, Peter Jackson, was mentioned by the caller (</w:t>
      </w:r>
      <w:r w:rsidRPr="008F346B">
        <w:rPr>
          <w:rFonts w:cs="Arial"/>
          <w:b/>
          <w:i w:val="0"/>
          <w:iCs/>
          <w:szCs w:val="20"/>
        </w:rPr>
        <w:t>Brand Mention</w:t>
      </w:r>
      <w:r w:rsidRPr="008F346B">
        <w:rPr>
          <w:rFonts w:cs="Arial"/>
          <w:i w:val="0"/>
          <w:iCs/>
          <w:szCs w:val="20"/>
        </w:rPr>
        <w:t xml:space="preserve">), however this was immediately curtailed by Mr Zempilas who stated: </w:t>
      </w:r>
    </w:p>
    <w:p w14:paraId="66285AB1" w14:textId="0D1FFBD5" w:rsidR="008F346B" w:rsidRPr="008F346B" w:rsidRDefault="008F346B" w:rsidP="008F346B">
      <w:pPr>
        <w:widowControl w:val="0"/>
        <w:tabs>
          <w:tab w:val="left" w:pos="1440"/>
        </w:tabs>
        <w:spacing w:line="240" w:lineRule="atLeast"/>
        <w:ind w:left="720"/>
        <w:rPr>
          <w:rFonts w:cs="Arial"/>
          <w:i w:val="0"/>
          <w:iCs/>
          <w:szCs w:val="20"/>
        </w:rPr>
      </w:pPr>
      <w:r>
        <w:rPr>
          <w:rFonts w:cs="Arial"/>
          <w:i w:val="0"/>
          <w:iCs/>
          <w:szCs w:val="20"/>
        </w:rPr>
        <w:t>‘</w:t>
      </w:r>
      <w:r w:rsidRPr="008F346B">
        <w:rPr>
          <w:rFonts w:cs="Arial"/>
          <w:i w:val="0"/>
          <w:iCs/>
          <w:szCs w:val="20"/>
        </w:rPr>
        <w:t>Hang on, we’re not allowed to say that stuff on the radio any more.</w:t>
      </w:r>
      <w:r>
        <w:rPr>
          <w:rFonts w:cs="Arial"/>
          <w:i w:val="0"/>
          <w:iCs/>
          <w:szCs w:val="20"/>
        </w:rPr>
        <w:t>’</w:t>
      </w:r>
      <w:r w:rsidRPr="008F346B">
        <w:rPr>
          <w:rFonts w:cs="Arial"/>
          <w:i w:val="0"/>
          <w:iCs/>
          <w:szCs w:val="20"/>
        </w:rPr>
        <w:t xml:space="preserve">  </w:t>
      </w:r>
    </w:p>
    <w:p w14:paraId="7B610B77" w14:textId="69E2DD1E" w:rsidR="008F346B" w:rsidRPr="008F346B" w:rsidRDefault="008F346B" w:rsidP="008F346B">
      <w:pPr>
        <w:spacing w:line="240" w:lineRule="atLeast"/>
        <w:rPr>
          <w:rFonts w:cs="Arial"/>
          <w:i w:val="0"/>
          <w:iCs/>
          <w:szCs w:val="20"/>
        </w:rPr>
      </w:pPr>
      <w:r w:rsidRPr="008F346B">
        <w:rPr>
          <w:rFonts w:cs="Arial"/>
          <w:i w:val="0"/>
          <w:iCs/>
          <w:szCs w:val="20"/>
        </w:rPr>
        <w:t xml:space="preserve">While the complainant is correct that the name </w:t>
      </w:r>
      <w:r w:rsidR="00E9538C">
        <w:rPr>
          <w:rFonts w:cs="Arial"/>
          <w:i w:val="0"/>
          <w:iCs/>
          <w:szCs w:val="20"/>
        </w:rPr>
        <w:t>‘</w:t>
      </w:r>
      <w:r w:rsidRPr="008F346B">
        <w:rPr>
          <w:rFonts w:cs="Arial"/>
          <w:i w:val="0"/>
          <w:iCs/>
          <w:szCs w:val="20"/>
        </w:rPr>
        <w:t>Smoke Mart</w:t>
      </w:r>
      <w:r w:rsidR="00E9538C">
        <w:rPr>
          <w:rFonts w:cs="Arial"/>
          <w:i w:val="0"/>
          <w:iCs/>
          <w:szCs w:val="20"/>
        </w:rPr>
        <w:t>’</w:t>
      </w:r>
      <w:r w:rsidRPr="008F346B">
        <w:rPr>
          <w:rFonts w:cs="Arial"/>
          <w:i w:val="0"/>
          <w:iCs/>
          <w:szCs w:val="20"/>
        </w:rPr>
        <w:t xml:space="preserve"> was then referenced by the hosts (</w:t>
      </w:r>
      <w:r w:rsidRPr="008F346B">
        <w:rPr>
          <w:rFonts w:cs="Arial"/>
          <w:b/>
          <w:i w:val="0"/>
          <w:iCs/>
          <w:szCs w:val="20"/>
        </w:rPr>
        <w:t>Retailer Mention</w:t>
      </w:r>
      <w:r w:rsidRPr="008F346B">
        <w:rPr>
          <w:rFonts w:cs="Arial"/>
          <w:i w:val="0"/>
          <w:iCs/>
          <w:szCs w:val="20"/>
        </w:rPr>
        <w:t>), the complainant has incorrectly suggested that the hosts referred to this name as a tobacconist.  Rather, Mr Zempilas says:</w:t>
      </w:r>
    </w:p>
    <w:p w14:paraId="40B2C9EB" w14:textId="64A9C327" w:rsidR="008F346B" w:rsidRPr="008F346B" w:rsidRDefault="008F346B" w:rsidP="008F346B">
      <w:pPr>
        <w:pStyle w:val="ListParagraph"/>
        <w:widowControl w:val="0"/>
        <w:tabs>
          <w:tab w:val="left" w:pos="1440"/>
        </w:tabs>
        <w:spacing w:line="240" w:lineRule="atLeast"/>
        <w:rPr>
          <w:rFonts w:cs="Arial"/>
          <w:i w:val="0"/>
          <w:iCs/>
          <w:szCs w:val="20"/>
        </w:rPr>
      </w:pPr>
      <w:r>
        <w:rPr>
          <w:rFonts w:cs="Arial"/>
          <w:i w:val="0"/>
          <w:iCs/>
          <w:szCs w:val="20"/>
        </w:rPr>
        <w:t>‘</w:t>
      </w:r>
      <w:r w:rsidRPr="008F346B">
        <w:rPr>
          <w:rFonts w:cs="Arial"/>
          <w:i w:val="0"/>
          <w:iCs/>
          <w:szCs w:val="20"/>
        </w:rPr>
        <w:t>But I can say that there is - there is a store called Smoke Mart</w:t>
      </w:r>
      <w:r>
        <w:rPr>
          <w:rFonts w:cs="Arial"/>
          <w:i w:val="0"/>
          <w:iCs/>
          <w:szCs w:val="20"/>
        </w:rPr>
        <w:t>’</w:t>
      </w:r>
    </w:p>
    <w:p w14:paraId="5FCD47AD" w14:textId="77777777" w:rsidR="008F346B" w:rsidRPr="008F346B" w:rsidRDefault="008F346B" w:rsidP="008F346B">
      <w:pPr>
        <w:spacing w:line="240" w:lineRule="atLeast"/>
        <w:rPr>
          <w:rFonts w:cs="Arial"/>
          <w:i w:val="0"/>
          <w:iCs/>
          <w:szCs w:val="20"/>
        </w:rPr>
      </w:pPr>
      <w:r w:rsidRPr="008F346B">
        <w:rPr>
          <w:rFonts w:cs="Arial"/>
          <w:i w:val="0"/>
          <w:iCs/>
          <w:szCs w:val="20"/>
        </w:rPr>
        <w:t>This discussion was in the context of the hosts having listed numerous retailers in the shopping centre.</w:t>
      </w:r>
    </w:p>
    <w:p w14:paraId="7A01EA0B" w14:textId="77777777" w:rsidR="008F346B" w:rsidRPr="008F346B" w:rsidRDefault="008F346B" w:rsidP="008F346B">
      <w:pPr>
        <w:widowControl w:val="0"/>
        <w:tabs>
          <w:tab w:val="left" w:pos="1440"/>
        </w:tabs>
        <w:spacing w:line="240" w:lineRule="atLeast"/>
        <w:rPr>
          <w:rFonts w:cs="Arial"/>
          <w:iCs/>
          <w:szCs w:val="20"/>
        </w:rPr>
      </w:pPr>
      <w:r w:rsidRPr="008F346B">
        <w:rPr>
          <w:rFonts w:cs="Arial"/>
          <w:iCs/>
          <w:szCs w:val="20"/>
        </w:rPr>
        <w:t>Applicable Licence Condition</w:t>
      </w:r>
    </w:p>
    <w:p w14:paraId="66C66447" w14:textId="77777777" w:rsidR="008F346B" w:rsidRPr="008F346B" w:rsidRDefault="008F346B" w:rsidP="008F346B">
      <w:pPr>
        <w:widowControl w:val="0"/>
        <w:tabs>
          <w:tab w:val="left" w:pos="1440"/>
        </w:tabs>
        <w:spacing w:line="240" w:lineRule="atLeast"/>
        <w:rPr>
          <w:rFonts w:cs="Arial"/>
          <w:i w:val="0"/>
          <w:iCs/>
          <w:szCs w:val="20"/>
        </w:rPr>
      </w:pPr>
      <w:r w:rsidRPr="008F346B">
        <w:rPr>
          <w:rFonts w:cs="Arial"/>
          <w:i w:val="0"/>
          <w:iCs/>
          <w:szCs w:val="20"/>
        </w:rPr>
        <w:t>The ACMA has indicated that it is investigating the Licensee’s compliance with paragraph 8(1)(a) of Schedule 2 of the Broadcasting Services Act 1992 (Cth) (</w:t>
      </w:r>
      <w:r w:rsidRPr="008F346B">
        <w:rPr>
          <w:rFonts w:cs="Arial"/>
          <w:b/>
          <w:i w:val="0"/>
          <w:iCs/>
          <w:szCs w:val="20"/>
        </w:rPr>
        <w:t>Condition</w:t>
      </w:r>
      <w:r w:rsidRPr="008F346B">
        <w:rPr>
          <w:rFonts w:cs="Arial"/>
          <w:i w:val="0"/>
          <w:iCs/>
          <w:szCs w:val="20"/>
        </w:rPr>
        <w:t>), which states:</w:t>
      </w:r>
    </w:p>
    <w:p w14:paraId="350AA311" w14:textId="04A1546A" w:rsidR="008F346B" w:rsidRPr="008F346B" w:rsidRDefault="008F346B" w:rsidP="0002402B">
      <w:pPr>
        <w:pStyle w:val="ListParagraph"/>
        <w:widowControl w:val="0"/>
        <w:tabs>
          <w:tab w:val="left" w:pos="1440"/>
        </w:tabs>
        <w:spacing w:line="240" w:lineRule="atLeast"/>
        <w:rPr>
          <w:rFonts w:cs="Arial"/>
          <w:szCs w:val="20"/>
        </w:rPr>
      </w:pPr>
      <w:r w:rsidRPr="008F346B">
        <w:rPr>
          <w:rFonts w:cs="Arial"/>
          <w:i w:val="0"/>
          <w:szCs w:val="20"/>
        </w:rPr>
        <w:t xml:space="preserve">(a)  the licensee will not, </w:t>
      </w:r>
      <w:r w:rsidRPr="008F346B">
        <w:rPr>
          <w:rFonts w:cs="Arial"/>
          <w:b/>
          <w:i w:val="0"/>
          <w:szCs w:val="20"/>
        </w:rPr>
        <w:t>in contravention of</w:t>
      </w:r>
      <w:r w:rsidRPr="008F346B">
        <w:rPr>
          <w:rFonts w:cs="Arial"/>
          <w:i w:val="0"/>
          <w:szCs w:val="20"/>
        </w:rPr>
        <w:t xml:space="preserve"> the Tobacco Advertising Prohibition Act 1992, broadcast a tobacco advertisement within the meaning of that Act;</w:t>
      </w:r>
    </w:p>
    <w:p w14:paraId="741E9AFD" w14:textId="77777777" w:rsidR="008F346B" w:rsidRPr="008F346B" w:rsidRDefault="008F346B" w:rsidP="008F346B">
      <w:pPr>
        <w:pStyle w:val="ListParagraph"/>
        <w:widowControl w:val="0"/>
        <w:tabs>
          <w:tab w:val="left" w:pos="1440"/>
        </w:tabs>
        <w:spacing w:line="240" w:lineRule="atLeast"/>
        <w:ind w:left="2160"/>
        <w:jc w:val="right"/>
        <w:rPr>
          <w:rFonts w:cs="Arial"/>
          <w:i w:val="0"/>
          <w:szCs w:val="20"/>
        </w:rPr>
      </w:pPr>
      <w:r w:rsidRPr="008F346B">
        <w:rPr>
          <w:rFonts w:cs="Arial"/>
          <w:szCs w:val="20"/>
        </w:rPr>
        <w:t>[emphasis added]</w:t>
      </w:r>
    </w:p>
    <w:p w14:paraId="34589E0B" w14:textId="77777777" w:rsidR="008F346B" w:rsidRPr="008F346B" w:rsidRDefault="008F346B" w:rsidP="008F346B">
      <w:pPr>
        <w:widowControl w:val="0"/>
        <w:tabs>
          <w:tab w:val="left" w:pos="1440"/>
        </w:tabs>
        <w:spacing w:line="240" w:lineRule="atLeast"/>
        <w:rPr>
          <w:rFonts w:cs="Arial"/>
          <w:i w:val="0"/>
          <w:iCs/>
          <w:szCs w:val="20"/>
        </w:rPr>
      </w:pPr>
      <w:r w:rsidRPr="008F346B">
        <w:rPr>
          <w:rFonts w:cs="Arial"/>
          <w:i w:val="0"/>
          <w:iCs/>
          <w:szCs w:val="20"/>
        </w:rPr>
        <w:t xml:space="preserve">The Licensee submits that neither the Brand Mention nor the Retailer Mention were broadcast in contravention of the Tobacco Advertising Prohibition Act 1992 (Cth) (the </w:t>
      </w:r>
      <w:r w:rsidRPr="008F346B">
        <w:rPr>
          <w:rFonts w:cs="Arial"/>
          <w:b/>
          <w:i w:val="0"/>
          <w:iCs/>
          <w:szCs w:val="20"/>
        </w:rPr>
        <w:t>Act</w:t>
      </w:r>
      <w:r w:rsidRPr="008F346B">
        <w:rPr>
          <w:rFonts w:cs="Arial"/>
          <w:i w:val="0"/>
          <w:iCs/>
          <w:szCs w:val="20"/>
        </w:rPr>
        <w:t>), and consequently, the Broadcast did not breach the Condition.</w:t>
      </w:r>
    </w:p>
    <w:p w14:paraId="7C4ECDE3" w14:textId="5A9CA756" w:rsidR="008F346B" w:rsidRPr="008F346B" w:rsidRDefault="008F346B" w:rsidP="008F346B">
      <w:pPr>
        <w:widowControl w:val="0"/>
        <w:tabs>
          <w:tab w:val="left" w:pos="1440"/>
        </w:tabs>
        <w:spacing w:line="240" w:lineRule="atLeast"/>
        <w:rPr>
          <w:rFonts w:cs="Arial"/>
          <w:szCs w:val="20"/>
        </w:rPr>
      </w:pPr>
      <w:r w:rsidRPr="008F346B">
        <w:rPr>
          <w:rFonts w:cs="Arial"/>
          <w:i w:val="0"/>
          <w:szCs w:val="20"/>
        </w:rPr>
        <w:t>The Broadcast did not satisfy the definition of “tobacco advertisement” under the Act</w:t>
      </w:r>
      <w:r w:rsidR="0002402B">
        <w:rPr>
          <w:rFonts w:cs="Arial"/>
          <w:i w:val="0"/>
          <w:szCs w:val="20"/>
        </w:rPr>
        <w:t>.</w:t>
      </w:r>
    </w:p>
    <w:p w14:paraId="30E830D6" w14:textId="77777777" w:rsidR="008F346B" w:rsidRPr="008F346B" w:rsidRDefault="008F346B" w:rsidP="008F346B">
      <w:pPr>
        <w:widowControl w:val="0"/>
        <w:tabs>
          <w:tab w:val="left" w:pos="1440"/>
        </w:tabs>
        <w:spacing w:line="240" w:lineRule="atLeast"/>
        <w:rPr>
          <w:rFonts w:cs="Arial"/>
          <w:i w:val="0"/>
          <w:iCs/>
          <w:szCs w:val="20"/>
        </w:rPr>
      </w:pPr>
      <w:r w:rsidRPr="008F346B">
        <w:rPr>
          <w:rFonts w:cs="Arial"/>
          <w:i w:val="0"/>
          <w:iCs/>
          <w:szCs w:val="20"/>
        </w:rPr>
        <w:t>The Licensee submits that neither the Brand Mention nor the Retailer Mention gives publicity to, or otherwise promotes or is intended to promote any of the matters specified in section 9(1)(a)-(f) of the Act, for the following reasons:</w:t>
      </w:r>
    </w:p>
    <w:p w14:paraId="4576476C" w14:textId="77777777" w:rsidR="008F346B" w:rsidRPr="0012190B" w:rsidRDefault="008F346B" w:rsidP="008F346B">
      <w:pPr>
        <w:pStyle w:val="ListParagraph"/>
        <w:numPr>
          <w:ilvl w:val="0"/>
          <w:numId w:val="18"/>
        </w:numPr>
        <w:spacing w:before="0" w:line="240" w:lineRule="atLeast"/>
        <w:rPr>
          <w:rFonts w:cs="Arial"/>
          <w:i w:val="0"/>
          <w:iCs/>
          <w:szCs w:val="20"/>
        </w:rPr>
      </w:pPr>
      <w:r w:rsidRPr="0012190B">
        <w:rPr>
          <w:rFonts w:cs="Arial"/>
          <w:i w:val="0"/>
          <w:iCs/>
          <w:szCs w:val="20"/>
        </w:rPr>
        <w:t>The hosts did not publish the Brand Mention themselves, and immediately cut off the caller when the Brand Mention took place.</w:t>
      </w:r>
    </w:p>
    <w:p w14:paraId="659EE59B" w14:textId="77777777" w:rsidR="008F346B" w:rsidRPr="0012190B" w:rsidRDefault="008F346B" w:rsidP="008F346B">
      <w:pPr>
        <w:pStyle w:val="ListParagraph"/>
        <w:numPr>
          <w:ilvl w:val="0"/>
          <w:numId w:val="18"/>
        </w:numPr>
        <w:spacing w:before="0" w:line="240" w:lineRule="atLeast"/>
        <w:rPr>
          <w:rFonts w:cs="Arial"/>
          <w:i w:val="0"/>
          <w:iCs/>
          <w:szCs w:val="20"/>
        </w:rPr>
      </w:pPr>
      <w:r w:rsidRPr="0012190B">
        <w:rPr>
          <w:rFonts w:cs="Arial"/>
          <w:i w:val="0"/>
          <w:iCs/>
          <w:szCs w:val="20"/>
        </w:rPr>
        <w:t>The Retailer Mention did not meet any of the criteria in sections 9(1)(a)-(f) of the Act.</w:t>
      </w:r>
    </w:p>
    <w:p w14:paraId="47A4E135" w14:textId="77777777" w:rsidR="008F346B" w:rsidRPr="008F346B" w:rsidRDefault="008F346B" w:rsidP="008F346B">
      <w:pPr>
        <w:spacing w:line="240" w:lineRule="atLeast"/>
        <w:rPr>
          <w:rFonts w:cs="Arial"/>
          <w:i w:val="0"/>
          <w:iCs/>
          <w:szCs w:val="20"/>
        </w:rPr>
      </w:pPr>
      <w:r w:rsidRPr="008F346B">
        <w:rPr>
          <w:rFonts w:cs="Arial"/>
          <w:i w:val="0"/>
          <w:iCs/>
          <w:szCs w:val="20"/>
        </w:rPr>
        <w:t xml:space="preserve">The Broadcast did not intentionally give publicity to, nor promote, nor intend to promote, smoking or the purchase or use of any tobacco products.  </w:t>
      </w:r>
    </w:p>
    <w:p w14:paraId="6137F38E" w14:textId="14675E68" w:rsidR="008F346B" w:rsidRPr="008F346B" w:rsidRDefault="008F346B" w:rsidP="008F346B">
      <w:pPr>
        <w:spacing w:line="240" w:lineRule="atLeast"/>
        <w:rPr>
          <w:rFonts w:cs="Arial"/>
          <w:i w:val="0"/>
          <w:szCs w:val="20"/>
        </w:rPr>
      </w:pPr>
      <w:r w:rsidRPr="008F346B">
        <w:rPr>
          <w:rFonts w:cs="Arial"/>
          <w:i w:val="0"/>
          <w:szCs w:val="20"/>
        </w:rPr>
        <w:lastRenderedPageBreak/>
        <w:t>The Brand Mention and Retailer Mention were accidental or incidental accompaniment to the broadcast of other matter</w:t>
      </w:r>
      <w:r w:rsidR="0002402B">
        <w:rPr>
          <w:rFonts w:cs="Arial"/>
          <w:i w:val="0"/>
          <w:szCs w:val="20"/>
        </w:rPr>
        <w:t>.</w:t>
      </w:r>
    </w:p>
    <w:p w14:paraId="777BD23E" w14:textId="77777777" w:rsidR="008F346B" w:rsidRPr="008F346B" w:rsidRDefault="008F346B" w:rsidP="008F346B">
      <w:pPr>
        <w:spacing w:line="240" w:lineRule="atLeast"/>
        <w:rPr>
          <w:rFonts w:cs="Arial"/>
          <w:i w:val="0"/>
          <w:iCs/>
          <w:szCs w:val="20"/>
        </w:rPr>
      </w:pPr>
      <w:r w:rsidRPr="008F346B">
        <w:rPr>
          <w:rFonts w:cs="Arial"/>
          <w:i w:val="0"/>
          <w:iCs/>
          <w:szCs w:val="20"/>
        </w:rPr>
        <w:t>Even if the ACMA does not agree with the Licensee’s submissions in relation to section 9 of the Act above, the Licensee submits that the Broadcast was permitted by section 14 of the Act, which states:</w:t>
      </w:r>
    </w:p>
    <w:p w14:paraId="26633938" w14:textId="6C545E9C" w:rsidR="008F346B" w:rsidRPr="008F346B" w:rsidRDefault="008F346B" w:rsidP="008F346B">
      <w:pPr>
        <w:spacing w:line="240" w:lineRule="atLeast"/>
        <w:ind w:left="720"/>
        <w:rPr>
          <w:rFonts w:cs="Arial"/>
          <w:iCs/>
          <w:szCs w:val="20"/>
        </w:rPr>
      </w:pPr>
      <w:r>
        <w:rPr>
          <w:rFonts w:cs="Arial"/>
          <w:i w:val="0"/>
          <w:szCs w:val="20"/>
        </w:rPr>
        <w:t>‘</w:t>
      </w:r>
      <w:r w:rsidRPr="008F346B">
        <w:rPr>
          <w:rFonts w:cs="Arial"/>
          <w:iCs/>
          <w:szCs w:val="20"/>
        </w:rPr>
        <w:t>accidental or incidental broadcast of a tobacco advertisement is permitted if:  </w:t>
      </w:r>
    </w:p>
    <w:p w14:paraId="4796D0F1" w14:textId="77777777" w:rsidR="008F346B" w:rsidRPr="008F346B" w:rsidRDefault="008F346B" w:rsidP="0002402B">
      <w:pPr>
        <w:pStyle w:val="ListParagraph"/>
        <w:widowControl w:val="0"/>
        <w:numPr>
          <w:ilvl w:val="0"/>
          <w:numId w:val="19"/>
        </w:numPr>
        <w:tabs>
          <w:tab w:val="left" w:pos="1440"/>
        </w:tabs>
        <w:spacing w:before="0" w:line="240" w:lineRule="atLeast"/>
        <w:ind w:left="1418" w:hanging="284"/>
        <w:rPr>
          <w:rFonts w:cs="Arial"/>
          <w:iCs/>
          <w:szCs w:val="20"/>
        </w:rPr>
      </w:pPr>
      <w:r w:rsidRPr="008F346B">
        <w:rPr>
          <w:rFonts w:cs="Arial"/>
          <w:iCs/>
          <w:szCs w:val="20"/>
        </w:rPr>
        <w:t>the advertisement is an accidental or incidental accompaniment to the </w:t>
      </w:r>
      <w:hyperlink r:id="rId10" w:anchor="broadcast" w:history="1">
        <w:r w:rsidRPr="008F346B">
          <w:rPr>
            <w:rStyle w:val="Hyperlink"/>
            <w:rFonts w:cs="Arial"/>
            <w:iCs/>
            <w:color w:val="auto"/>
            <w:szCs w:val="20"/>
            <w:u w:val="none"/>
          </w:rPr>
          <w:t>broadcasting</w:t>
        </w:r>
      </w:hyperlink>
      <w:r w:rsidRPr="008F346B">
        <w:rPr>
          <w:rFonts w:cs="Arial"/>
          <w:iCs/>
          <w:szCs w:val="20"/>
        </w:rPr>
        <w:t> of other matter; and</w:t>
      </w:r>
    </w:p>
    <w:p w14:paraId="7FDA7ED8" w14:textId="1883A316" w:rsidR="008F346B" w:rsidRPr="008F346B" w:rsidRDefault="008F346B" w:rsidP="0002402B">
      <w:pPr>
        <w:pStyle w:val="ListParagraph"/>
        <w:widowControl w:val="0"/>
        <w:numPr>
          <w:ilvl w:val="0"/>
          <w:numId w:val="19"/>
        </w:numPr>
        <w:tabs>
          <w:tab w:val="left" w:pos="1440"/>
        </w:tabs>
        <w:spacing w:before="0" w:line="240" w:lineRule="atLeast"/>
        <w:ind w:left="1418" w:hanging="284"/>
        <w:rPr>
          <w:rFonts w:cs="Arial"/>
          <w:i w:val="0"/>
          <w:szCs w:val="20"/>
        </w:rPr>
      </w:pPr>
      <w:bookmarkStart w:id="4" w:name="paragraph"/>
      <w:bookmarkEnd w:id="4"/>
      <w:r w:rsidRPr="008F346B">
        <w:rPr>
          <w:rFonts w:cs="Arial"/>
          <w:iCs/>
          <w:szCs w:val="20"/>
        </w:rPr>
        <w:t>the </w:t>
      </w:r>
      <w:hyperlink r:id="rId11" w:anchor="person" w:history="1">
        <w:r w:rsidRPr="008F346B">
          <w:rPr>
            <w:rStyle w:val="Hyperlink"/>
            <w:rFonts w:cs="Arial"/>
            <w:iCs/>
            <w:color w:val="auto"/>
            <w:szCs w:val="20"/>
            <w:u w:val="none"/>
          </w:rPr>
          <w:t>person</w:t>
        </w:r>
      </w:hyperlink>
      <w:r w:rsidRPr="008F346B">
        <w:rPr>
          <w:rFonts w:cs="Arial"/>
          <w:iCs/>
          <w:szCs w:val="20"/>
        </w:rPr>
        <w:t> does not receive any direct or indirect benefit (whether financial or not) for </w:t>
      </w:r>
      <w:hyperlink r:id="rId12" w:anchor="broadcast" w:history="1">
        <w:r w:rsidRPr="008F346B">
          <w:rPr>
            <w:rStyle w:val="Hyperlink"/>
            <w:rFonts w:cs="Arial"/>
            <w:iCs/>
            <w:color w:val="auto"/>
            <w:szCs w:val="20"/>
            <w:u w:val="none"/>
          </w:rPr>
          <w:t>broadcasting</w:t>
        </w:r>
      </w:hyperlink>
      <w:r w:rsidRPr="008F346B">
        <w:rPr>
          <w:rFonts w:cs="Arial"/>
          <w:iCs/>
          <w:szCs w:val="20"/>
        </w:rPr>
        <w:t> the advertisement (in addition to any direct or indirect benefit that the </w:t>
      </w:r>
      <w:hyperlink r:id="rId13" w:anchor="person" w:history="1">
        <w:r w:rsidRPr="008F346B">
          <w:rPr>
            <w:rStyle w:val="Hyperlink"/>
            <w:rFonts w:cs="Arial"/>
            <w:iCs/>
            <w:color w:val="auto"/>
            <w:szCs w:val="20"/>
            <w:u w:val="none"/>
          </w:rPr>
          <w:t>person</w:t>
        </w:r>
      </w:hyperlink>
      <w:r w:rsidRPr="008F346B">
        <w:rPr>
          <w:rFonts w:cs="Arial"/>
          <w:iCs/>
          <w:szCs w:val="20"/>
        </w:rPr>
        <w:t> receives for </w:t>
      </w:r>
      <w:hyperlink r:id="rId14" w:anchor="broadcast" w:history="1">
        <w:r w:rsidRPr="008F346B">
          <w:rPr>
            <w:rStyle w:val="Hyperlink"/>
            <w:rFonts w:cs="Arial"/>
            <w:iCs/>
            <w:color w:val="auto"/>
            <w:szCs w:val="20"/>
            <w:u w:val="none"/>
          </w:rPr>
          <w:t>broadcasting</w:t>
        </w:r>
      </w:hyperlink>
      <w:r w:rsidRPr="008F346B">
        <w:rPr>
          <w:rFonts w:cs="Arial"/>
          <w:iCs/>
          <w:szCs w:val="20"/>
        </w:rPr>
        <w:t> the other matter</w:t>
      </w:r>
      <w:r w:rsidRPr="008F346B">
        <w:rPr>
          <w:rFonts w:cs="Arial"/>
          <w:i w:val="0"/>
          <w:szCs w:val="20"/>
        </w:rPr>
        <w:t>).</w:t>
      </w:r>
      <w:r>
        <w:rPr>
          <w:rFonts w:cs="Arial"/>
          <w:i w:val="0"/>
          <w:szCs w:val="20"/>
        </w:rPr>
        <w:t>’</w:t>
      </w:r>
    </w:p>
    <w:p w14:paraId="6A9E86DA" w14:textId="5EF860AC" w:rsidR="008F346B" w:rsidRPr="008F346B" w:rsidRDefault="008F346B" w:rsidP="008F346B">
      <w:pPr>
        <w:pStyle w:val="paragraph"/>
        <w:shd w:val="clear" w:color="auto" w:fill="FFFFFF"/>
        <w:spacing w:before="0" w:beforeAutospacing="0" w:after="240" w:afterAutospacing="0" w:line="240" w:lineRule="atLeast"/>
        <w:rPr>
          <w:rFonts w:ascii="Arial" w:hAnsi="Arial" w:cs="Arial"/>
          <w:color w:val="333333"/>
          <w:sz w:val="20"/>
          <w:szCs w:val="20"/>
        </w:rPr>
      </w:pPr>
      <w:r w:rsidRPr="008F346B">
        <w:rPr>
          <w:rFonts w:ascii="Arial" w:hAnsi="Arial" w:cs="Arial"/>
          <w:color w:val="333333"/>
          <w:sz w:val="20"/>
          <w:szCs w:val="20"/>
        </w:rPr>
        <w:t>First, neither the Licensee nor the hosts received any direct or indirect benefit for broadcasting the Brand Mention and the Retailer Mention. These were spontaneous and unscripted moments in a live talk radio format.</w:t>
      </w:r>
    </w:p>
    <w:p w14:paraId="79190B24" w14:textId="77777777" w:rsidR="008F346B" w:rsidRPr="008F346B" w:rsidRDefault="008F346B" w:rsidP="008F346B">
      <w:pPr>
        <w:pStyle w:val="paragraph"/>
        <w:shd w:val="clear" w:color="auto" w:fill="FFFFFF"/>
        <w:spacing w:before="0" w:beforeAutospacing="0" w:after="240" w:afterAutospacing="0" w:line="240" w:lineRule="atLeast"/>
        <w:rPr>
          <w:rFonts w:ascii="Arial" w:hAnsi="Arial" w:cs="Arial"/>
          <w:color w:val="333333"/>
          <w:sz w:val="20"/>
          <w:szCs w:val="20"/>
        </w:rPr>
      </w:pPr>
      <w:r w:rsidRPr="008F346B">
        <w:rPr>
          <w:rFonts w:ascii="Arial" w:hAnsi="Arial" w:cs="Arial"/>
          <w:color w:val="333333"/>
          <w:sz w:val="20"/>
          <w:szCs w:val="20"/>
        </w:rPr>
        <w:t>In relation to the Brand Mention:</w:t>
      </w:r>
    </w:p>
    <w:p w14:paraId="50CD5B23" w14:textId="77777777" w:rsidR="008F346B" w:rsidRPr="008F346B" w:rsidRDefault="008F346B" w:rsidP="003774AE">
      <w:pPr>
        <w:pStyle w:val="paragraph"/>
        <w:numPr>
          <w:ilvl w:val="0"/>
          <w:numId w:val="20"/>
        </w:numPr>
        <w:shd w:val="clear" w:color="auto" w:fill="FFFFFF"/>
        <w:spacing w:before="0" w:beforeAutospacing="0" w:after="0" w:afterAutospacing="0" w:line="240" w:lineRule="atLeast"/>
        <w:ind w:left="765" w:hanging="357"/>
        <w:rPr>
          <w:rFonts w:ascii="Arial" w:hAnsi="Arial" w:cs="Arial"/>
          <w:color w:val="333333"/>
          <w:sz w:val="20"/>
          <w:szCs w:val="20"/>
        </w:rPr>
      </w:pPr>
      <w:r w:rsidRPr="008F346B">
        <w:rPr>
          <w:rFonts w:ascii="Arial" w:hAnsi="Arial" w:cs="Arial"/>
          <w:color w:val="333333"/>
          <w:sz w:val="20"/>
          <w:szCs w:val="20"/>
        </w:rPr>
        <w:t>the Brand Mention was made as an accompaniment to a 10 minute story about listener opinions of the Shopping Centre given that it had been awarded ’WA Shopping Centre of the Year’ by the WA Property Council and constituted no more than 6 seconds of that story;</w:t>
      </w:r>
    </w:p>
    <w:p w14:paraId="712E3FAE" w14:textId="77777777" w:rsidR="008F346B" w:rsidRPr="008F346B" w:rsidRDefault="008F346B" w:rsidP="003774AE">
      <w:pPr>
        <w:pStyle w:val="paragraph"/>
        <w:numPr>
          <w:ilvl w:val="0"/>
          <w:numId w:val="20"/>
        </w:numPr>
        <w:shd w:val="clear" w:color="auto" w:fill="FFFFFF"/>
        <w:spacing w:before="0" w:beforeAutospacing="0" w:after="0" w:afterAutospacing="0" w:line="240" w:lineRule="atLeast"/>
        <w:ind w:left="765" w:hanging="357"/>
        <w:rPr>
          <w:rFonts w:ascii="Arial" w:hAnsi="Arial" w:cs="Arial"/>
          <w:color w:val="333333"/>
          <w:sz w:val="20"/>
          <w:szCs w:val="20"/>
        </w:rPr>
      </w:pPr>
      <w:r w:rsidRPr="008F346B">
        <w:rPr>
          <w:rFonts w:ascii="Arial" w:hAnsi="Arial" w:cs="Arial"/>
          <w:color w:val="333333"/>
          <w:sz w:val="20"/>
          <w:szCs w:val="20"/>
        </w:rPr>
        <w:t>it was not made by the hosts of the Broadcast and they immediately cut off the caller following the Brand Mention; and</w:t>
      </w:r>
    </w:p>
    <w:p w14:paraId="164DDA9E" w14:textId="77777777" w:rsidR="008F346B" w:rsidRPr="008F346B" w:rsidRDefault="008F346B" w:rsidP="003774AE">
      <w:pPr>
        <w:pStyle w:val="paragraph"/>
        <w:numPr>
          <w:ilvl w:val="0"/>
          <w:numId w:val="20"/>
        </w:numPr>
        <w:shd w:val="clear" w:color="auto" w:fill="FFFFFF"/>
        <w:spacing w:before="0" w:beforeAutospacing="0" w:after="0" w:afterAutospacing="0" w:line="240" w:lineRule="atLeast"/>
        <w:ind w:left="765" w:hanging="357"/>
        <w:rPr>
          <w:rFonts w:ascii="Arial" w:hAnsi="Arial" w:cs="Arial"/>
          <w:color w:val="333333"/>
          <w:sz w:val="20"/>
          <w:szCs w:val="20"/>
        </w:rPr>
      </w:pPr>
      <w:r w:rsidRPr="008F346B">
        <w:rPr>
          <w:rFonts w:ascii="Arial" w:hAnsi="Arial" w:cs="Arial"/>
          <w:color w:val="333333"/>
          <w:sz w:val="20"/>
          <w:szCs w:val="20"/>
        </w:rPr>
        <w:t>it was clear from the Broadcast that the hosts knew that the promotion of tobacco products was not permitted.</w:t>
      </w:r>
    </w:p>
    <w:p w14:paraId="0301D2AB" w14:textId="77777777" w:rsidR="008F346B" w:rsidRPr="008F346B" w:rsidRDefault="008F346B" w:rsidP="003774AE">
      <w:pPr>
        <w:pStyle w:val="paragraph"/>
        <w:shd w:val="clear" w:color="auto" w:fill="FFFFFF"/>
        <w:spacing w:before="240" w:beforeAutospacing="0" w:after="240" w:afterAutospacing="0" w:line="240" w:lineRule="atLeast"/>
        <w:rPr>
          <w:rFonts w:ascii="Arial" w:hAnsi="Arial" w:cs="Arial"/>
          <w:color w:val="333333"/>
          <w:sz w:val="20"/>
          <w:szCs w:val="20"/>
        </w:rPr>
      </w:pPr>
      <w:r w:rsidRPr="008F346B">
        <w:rPr>
          <w:rFonts w:ascii="Arial" w:hAnsi="Arial" w:cs="Arial"/>
          <w:color w:val="333333"/>
          <w:sz w:val="20"/>
          <w:szCs w:val="20"/>
        </w:rPr>
        <w:t>In relation to the Retailer Mention:</w:t>
      </w:r>
    </w:p>
    <w:p w14:paraId="77FBA071" w14:textId="3A3AA322" w:rsidR="008F346B" w:rsidRPr="008F346B" w:rsidRDefault="008F346B" w:rsidP="003774AE">
      <w:pPr>
        <w:pStyle w:val="paragraph"/>
        <w:numPr>
          <w:ilvl w:val="0"/>
          <w:numId w:val="20"/>
        </w:numPr>
        <w:shd w:val="clear" w:color="auto" w:fill="FFFFFF"/>
        <w:spacing w:before="0" w:beforeAutospacing="0" w:after="0" w:afterAutospacing="0" w:line="240" w:lineRule="atLeast"/>
        <w:ind w:hanging="357"/>
        <w:rPr>
          <w:rFonts w:ascii="Arial" w:hAnsi="Arial" w:cs="Arial"/>
          <w:color w:val="333333"/>
          <w:sz w:val="20"/>
          <w:szCs w:val="20"/>
        </w:rPr>
      </w:pPr>
      <w:r w:rsidRPr="008F346B">
        <w:rPr>
          <w:rFonts w:ascii="Arial" w:hAnsi="Arial" w:cs="Arial"/>
          <w:color w:val="333333"/>
          <w:sz w:val="20"/>
          <w:szCs w:val="20"/>
        </w:rPr>
        <w:t>the Retailer Mention was made as a continuation of a list of 13 retailers previously mentioned by the hosts, as an accompaniment to a 10 minute story about the Shopping Centre shopping centre and constituted no more than 3 seconds of that story; and</w:t>
      </w:r>
    </w:p>
    <w:p w14:paraId="0B470358" w14:textId="77777777" w:rsidR="008F346B" w:rsidRPr="008F346B" w:rsidRDefault="008F346B" w:rsidP="003774AE">
      <w:pPr>
        <w:pStyle w:val="paragraph"/>
        <w:numPr>
          <w:ilvl w:val="0"/>
          <w:numId w:val="21"/>
        </w:numPr>
        <w:shd w:val="clear" w:color="auto" w:fill="FFFFFF"/>
        <w:spacing w:before="0" w:beforeAutospacing="0" w:after="0" w:afterAutospacing="0" w:line="240" w:lineRule="atLeast"/>
        <w:ind w:left="771" w:hanging="357"/>
        <w:rPr>
          <w:rFonts w:ascii="Arial" w:hAnsi="Arial" w:cs="Arial"/>
          <w:color w:val="333333"/>
          <w:sz w:val="20"/>
          <w:szCs w:val="20"/>
        </w:rPr>
      </w:pPr>
      <w:r w:rsidRPr="008F346B">
        <w:rPr>
          <w:rFonts w:ascii="Arial" w:hAnsi="Arial" w:cs="Arial"/>
          <w:color w:val="333333"/>
          <w:sz w:val="20"/>
          <w:szCs w:val="20"/>
        </w:rPr>
        <w:t>the Retailer Mention did not refer to the retailer as a tobacconist, but only to the retailer’s name.</w:t>
      </w:r>
    </w:p>
    <w:p w14:paraId="300CF581" w14:textId="77777777" w:rsidR="008F346B" w:rsidRPr="00F0587F" w:rsidRDefault="008F346B" w:rsidP="008F346B">
      <w:pPr>
        <w:pStyle w:val="ACMABodyText"/>
        <w:rPr>
          <w:b/>
          <w:sz w:val="24"/>
          <w:szCs w:val="24"/>
        </w:rPr>
      </w:pPr>
    </w:p>
    <w:p w14:paraId="3DB21509" w14:textId="77777777" w:rsidR="00E3671F" w:rsidRDefault="00E3671F">
      <w:pPr>
        <w:spacing w:before="0" w:after="160" w:line="259" w:lineRule="auto"/>
        <w:rPr>
          <w:b/>
          <w:i w:val="0"/>
          <w:sz w:val="28"/>
          <w:szCs w:val="20"/>
        </w:rPr>
      </w:pPr>
      <w:r>
        <w:br w:type="page"/>
      </w:r>
    </w:p>
    <w:p w14:paraId="73DDD4B5" w14:textId="77777777" w:rsidR="00E3671F" w:rsidRDefault="00E3671F" w:rsidP="00E3671F">
      <w:pPr>
        <w:pStyle w:val="ACMAHeading2"/>
        <w:jc w:val="right"/>
      </w:pPr>
      <w:r w:rsidRPr="00D86A14">
        <w:lastRenderedPageBreak/>
        <w:t xml:space="preserve">Attachment </w:t>
      </w:r>
      <w:r>
        <w:t>C</w:t>
      </w:r>
    </w:p>
    <w:p w14:paraId="203606D0" w14:textId="77777777" w:rsidR="00E3671F" w:rsidRPr="00D23060" w:rsidRDefault="00E3671F" w:rsidP="00E3671F">
      <w:pPr>
        <w:pStyle w:val="ACMABodyTextBold"/>
        <w:rPr>
          <w:sz w:val="28"/>
          <w:szCs w:val="28"/>
        </w:rPr>
      </w:pPr>
      <w:r w:rsidRPr="00D23060">
        <w:rPr>
          <w:sz w:val="28"/>
          <w:szCs w:val="28"/>
        </w:rPr>
        <w:t xml:space="preserve">Relevant legislation </w:t>
      </w:r>
    </w:p>
    <w:p w14:paraId="53B01222" w14:textId="77777777" w:rsidR="00E3671F" w:rsidRDefault="00E3671F" w:rsidP="00E3671F">
      <w:pPr>
        <w:pStyle w:val="ACMABodyText"/>
        <w:spacing w:after="120"/>
        <w:rPr>
          <w:rFonts w:cs="Arial"/>
          <w:b/>
          <w:sz w:val="18"/>
        </w:rPr>
      </w:pPr>
      <w:r>
        <w:rPr>
          <w:rFonts w:cs="Arial"/>
          <w:b/>
          <w:sz w:val="18"/>
        </w:rPr>
        <w:t>Schedule 2 to the BSA: Standard Conditions</w:t>
      </w:r>
    </w:p>
    <w:p w14:paraId="24B48183" w14:textId="769EBA4F" w:rsidR="00E3671F" w:rsidRDefault="001D7F2B" w:rsidP="00E3671F">
      <w:pPr>
        <w:pStyle w:val="ACMABodyText"/>
        <w:spacing w:after="120"/>
        <w:rPr>
          <w:rFonts w:cs="Arial"/>
          <w:b/>
          <w:sz w:val="18"/>
        </w:rPr>
      </w:pPr>
      <w:r>
        <w:rPr>
          <w:rFonts w:cs="Arial"/>
          <w:b/>
          <w:sz w:val="18"/>
        </w:rPr>
        <w:t>8</w:t>
      </w:r>
      <w:r w:rsidR="00E3671F">
        <w:rPr>
          <w:rFonts w:cs="Arial"/>
          <w:b/>
          <w:sz w:val="18"/>
        </w:rPr>
        <w:t xml:space="preserve"> </w:t>
      </w:r>
      <w:r>
        <w:rPr>
          <w:rFonts w:cs="Arial"/>
          <w:b/>
          <w:sz w:val="18"/>
        </w:rPr>
        <w:t>Standard c</w:t>
      </w:r>
      <w:r w:rsidR="00E3671F">
        <w:rPr>
          <w:rFonts w:cs="Arial"/>
          <w:b/>
          <w:sz w:val="18"/>
        </w:rPr>
        <w:t xml:space="preserve">onditions </w:t>
      </w:r>
      <w:r>
        <w:rPr>
          <w:rFonts w:cs="Arial"/>
          <w:b/>
          <w:sz w:val="18"/>
        </w:rPr>
        <w:t>of commercial radio</w:t>
      </w:r>
      <w:r w:rsidR="00E3671F">
        <w:rPr>
          <w:rFonts w:cs="Arial"/>
          <w:b/>
          <w:sz w:val="18"/>
        </w:rPr>
        <w:t xml:space="preserve"> broadcasting licences</w:t>
      </w:r>
    </w:p>
    <w:p w14:paraId="3BD94C4B" w14:textId="170DFE04" w:rsidR="00E3671F" w:rsidRDefault="00E3671F" w:rsidP="00E3671F">
      <w:pPr>
        <w:pStyle w:val="ACMABodyText"/>
        <w:numPr>
          <w:ilvl w:val="0"/>
          <w:numId w:val="2"/>
        </w:numPr>
        <w:snapToGrid w:val="0"/>
        <w:spacing w:after="120"/>
        <w:rPr>
          <w:rFonts w:cs="Arial"/>
          <w:sz w:val="18"/>
        </w:rPr>
      </w:pPr>
      <w:r>
        <w:rPr>
          <w:rFonts w:cs="Arial"/>
          <w:sz w:val="18"/>
        </w:rPr>
        <w:t xml:space="preserve">Each </w:t>
      </w:r>
      <w:r w:rsidR="001D7F2B">
        <w:rPr>
          <w:rFonts w:cs="Arial"/>
          <w:sz w:val="18"/>
        </w:rPr>
        <w:t>commercial radio</w:t>
      </w:r>
      <w:r>
        <w:rPr>
          <w:rFonts w:cs="Arial"/>
          <w:sz w:val="18"/>
        </w:rPr>
        <w:t xml:space="preserve"> broadcasting licence is subject to the following conditions:</w:t>
      </w:r>
    </w:p>
    <w:p w14:paraId="1A509A96" w14:textId="77777777" w:rsidR="00E3671F" w:rsidRDefault="00E3671F" w:rsidP="00E3671F">
      <w:pPr>
        <w:pStyle w:val="ACMABodyText"/>
        <w:numPr>
          <w:ilvl w:val="0"/>
          <w:numId w:val="3"/>
        </w:numPr>
        <w:snapToGrid w:val="0"/>
        <w:spacing w:after="120"/>
        <w:rPr>
          <w:rFonts w:cs="Arial"/>
          <w:sz w:val="18"/>
        </w:rPr>
      </w:pPr>
      <w:r>
        <w:rPr>
          <w:rFonts w:cs="Arial"/>
          <w:sz w:val="18"/>
        </w:rPr>
        <w:t xml:space="preserve">The licensee will not, in contravention of the </w:t>
      </w:r>
      <w:r>
        <w:rPr>
          <w:rFonts w:cs="Arial"/>
          <w:i/>
          <w:sz w:val="18"/>
        </w:rPr>
        <w:t>Tobacco Advertising Prohibition Act 1992</w:t>
      </w:r>
      <w:r>
        <w:rPr>
          <w:rFonts w:cs="Arial"/>
          <w:sz w:val="18"/>
        </w:rPr>
        <w:t>, broadcast a tobacco advertisement within the meaning of that Act.</w:t>
      </w:r>
    </w:p>
    <w:p w14:paraId="21472EF5" w14:textId="77777777" w:rsidR="00E3671F" w:rsidRDefault="00E3671F" w:rsidP="00E3671F">
      <w:pPr>
        <w:pStyle w:val="ACMABodyText"/>
        <w:snapToGrid w:val="0"/>
        <w:spacing w:after="120"/>
        <w:ind w:left="720"/>
        <w:rPr>
          <w:rFonts w:cs="Arial"/>
          <w:sz w:val="18"/>
        </w:rPr>
      </w:pPr>
      <w:r>
        <w:rPr>
          <w:rFonts w:cs="Arial"/>
          <w:sz w:val="18"/>
        </w:rPr>
        <w:t>[…]</w:t>
      </w:r>
    </w:p>
    <w:p w14:paraId="42E124E7" w14:textId="77777777" w:rsidR="00E3671F" w:rsidRDefault="00E3671F" w:rsidP="00E3671F">
      <w:pPr>
        <w:pStyle w:val="ACMABodyText"/>
        <w:spacing w:after="120"/>
        <w:rPr>
          <w:rFonts w:cs="Arial"/>
          <w:b/>
          <w:i/>
          <w:sz w:val="18"/>
        </w:rPr>
      </w:pPr>
      <w:r>
        <w:rPr>
          <w:rFonts w:cs="Arial"/>
          <w:b/>
          <w:sz w:val="18"/>
        </w:rPr>
        <w:t>TAP Act</w:t>
      </w:r>
    </w:p>
    <w:p w14:paraId="525178B9" w14:textId="77777777" w:rsidR="00E3671F" w:rsidRDefault="00E3671F" w:rsidP="00E3671F">
      <w:pPr>
        <w:pStyle w:val="ACMABodyText"/>
        <w:spacing w:after="120"/>
        <w:rPr>
          <w:rFonts w:cs="Arial"/>
          <w:b/>
          <w:sz w:val="18"/>
        </w:rPr>
      </w:pPr>
      <w:r>
        <w:rPr>
          <w:rFonts w:cs="Arial"/>
          <w:b/>
          <w:sz w:val="18"/>
        </w:rPr>
        <w:t xml:space="preserve">Part 2—Interpretation </w:t>
      </w:r>
    </w:p>
    <w:p w14:paraId="1A914400" w14:textId="77777777" w:rsidR="00E3671F" w:rsidRDefault="00E3671F" w:rsidP="00E3671F">
      <w:pPr>
        <w:pStyle w:val="ACMABodyText"/>
        <w:spacing w:after="120"/>
        <w:rPr>
          <w:rFonts w:cs="Arial"/>
          <w:b/>
          <w:sz w:val="18"/>
        </w:rPr>
      </w:pPr>
      <w:r>
        <w:rPr>
          <w:rFonts w:cs="Arial"/>
          <w:b/>
          <w:sz w:val="18"/>
        </w:rPr>
        <w:t xml:space="preserve">9 Meaning of tobacco advertisement </w:t>
      </w:r>
    </w:p>
    <w:p w14:paraId="51EA71F7" w14:textId="77777777" w:rsidR="00E3671F" w:rsidRDefault="00E3671F" w:rsidP="00E3671F">
      <w:pPr>
        <w:pStyle w:val="ACMABodyText"/>
        <w:spacing w:after="120"/>
        <w:ind w:left="709"/>
        <w:rPr>
          <w:rFonts w:cs="Arial"/>
          <w:i/>
          <w:sz w:val="18"/>
        </w:rPr>
      </w:pPr>
      <w:r>
        <w:rPr>
          <w:rFonts w:cs="Arial"/>
          <w:i/>
          <w:sz w:val="18"/>
        </w:rPr>
        <w:t xml:space="preserve">Basic meaning </w:t>
      </w:r>
    </w:p>
    <w:p w14:paraId="2A22F2E3" w14:textId="77777777" w:rsidR="00E3671F" w:rsidRDefault="00E3671F" w:rsidP="00E3671F">
      <w:pPr>
        <w:pStyle w:val="ACMABodyText"/>
        <w:numPr>
          <w:ilvl w:val="0"/>
          <w:numId w:val="4"/>
        </w:numPr>
        <w:snapToGrid w:val="0"/>
        <w:spacing w:after="120"/>
        <w:rPr>
          <w:rFonts w:cs="Arial"/>
          <w:sz w:val="18"/>
        </w:rPr>
      </w:pPr>
      <w:r>
        <w:rPr>
          <w:rFonts w:cs="Arial"/>
          <w:sz w:val="18"/>
        </w:rPr>
        <w:t xml:space="preserve">Subject to this section, for the purposes of this Act, a tobacco advertisement is any writing, still or moving picture, sign, symbol or other visual image, or any audible message, or any combination of 2 or more of those things, that gives publicity to, or otherwise promotes or is intended to promote: </w:t>
      </w:r>
    </w:p>
    <w:p w14:paraId="19CCC65C" w14:textId="77777777" w:rsidR="00E3671F" w:rsidRDefault="00E3671F" w:rsidP="00E3671F">
      <w:pPr>
        <w:pStyle w:val="ACMABodyText"/>
        <w:spacing w:after="120"/>
        <w:ind w:left="993" w:hanging="284"/>
        <w:rPr>
          <w:rFonts w:cs="Arial"/>
          <w:sz w:val="18"/>
        </w:rPr>
      </w:pPr>
      <w:r>
        <w:rPr>
          <w:rFonts w:cs="Arial"/>
          <w:sz w:val="18"/>
        </w:rPr>
        <w:t xml:space="preserve">(a) smoking; or </w:t>
      </w:r>
    </w:p>
    <w:p w14:paraId="5FE26D5E" w14:textId="77777777" w:rsidR="00E3671F" w:rsidRDefault="00E3671F" w:rsidP="00E3671F">
      <w:pPr>
        <w:pStyle w:val="ACMABodyText"/>
        <w:spacing w:after="120"/>
        <w:ind w:left="993" w:hanging="284"/>
        <w:rPr>
          <w:rFonts w:cs="Arial"/>
          <w:sz w:val="18"/>
        </w:rPr>
      </w:pPr>
      <w:r>
        <w:rPr>
          <w:rFonts w:cs="Arial"/>
          <w:sz w:val="18"/>
        </w:rPr>
        <w:t xml:space="preserve">(b) the purchase or use of a tobacco product or a range of tobacco products; or </w:t>
      </w:r>
    </w:p>
    <w:p w14:paraId="0C8AA6F6" w14:textId="77777777" w:rsidR="00E3671F" w:rsidRDefault="00E3671F" w:rsidP="00E3671F">
      <w:pPr>
        <w:pStyle w:val="ACMABodyText"/>
        <w:spacing w:after="120"/>
        <w:ind w:left="993" w:hanging="284"/>
        <w:rPr>
          <w:rFonts w:cs="Arial"/>
          <w:sz w:val="18"/>
        </w:rPr>
      </w:pPr>
      <w:r>
        <w:rPr>
          <w:rFonts w:cs="Arial"/>
          <w:sz w:val="18"/>
        </w:rPr>
        <w:t xml:space="preserve">(c) the whole or a part of a trade mark that is registered under the </w:t>
      </w:r>
      <w:r>
        <w:rPr>
          <w:rFonts w:cs="Arial"/>
          <w:i/>
          <w:sz w:val="18"/>
        </w:rPr>
        <w:t>Trade Marks Act 1955</w:t>
      </w:r>
      <w:r>
        <w:rPr>
          <w:rFonts w:cs="Arial"/>
          <w:sz w:val="18"/>
        </w:rPr>
        <w:t xml:space="preserve"> in respect of goods that are or include tobacco products; or </w:t>
      </w:r>
    </w:p>
    <w:p w14:paraId="3E33EFDA" w14:textId="77777777" w:rsidR="00E3671F" w:rsidRDefault="00E3671F" w:rsidP="00E3671F">
      <w:pPr>
        <w:pStyle w:val="ACMABodyText"/>
        <w:spacing w:after="120"/>
        <w:ind w:left="993" w:hanging="284"/>
        <w:rPr>
          <w:rFonts w:cs="Arial"/>
          <w:sz w:val="18"/>
        </w:rPr>
      </w:pPr>
      <w:r>
        <w:rPr>
          <w:rFonts w:cs="Arial"/>
          <w:sz w:val="18"/>
        </w:rPr>
        <w:t xml:space="preserve">(d) the whole or a part of a design that is registered under the </w:t>
      </w:r>
      <w:r>
        <w:rPr>
          <w:rFonts w:cs="Arial"/>
          <w:i/>
          <w:sz w:val="18"/>
        </w:rPr>
        <w:t>Designs Act 2003</w:t>
      </w:r>
      <w:r>
        <w:rPr>
          <w:rFonts w:cs="Arial"/>
          <w:sz w:val="18"/>
        </w:rPr>
        <w:t xml:space="preserve"> in relation to products that are or include tobacco products; or </w:t>
      </w:r>
    </w:p>
    <w:p w14:paraId="698558C8" w14:textId="77777777" w:rsidR="00E3671F" w:rsidRDefault="00E3671F" w:rsidP="00E3671F">
      <w:pPr>
        <w:pStyle w:val="ACMABodyText"/>
        <w:spacing w:after="120"/>
        <w:ind w:left="993" w:hanging="284"/>
        <w:rPr>
          <w:rFonts w:cs="Arial"/>
          <w:sz w:val="18"/>
        </w:rPr>
      </w:pPr>
      <w:r>
        <w:rPr>
          <w:rFonts w:cs="Arial"/>
          <w:sz w:val="18"/>
        </w:rPr>
        <w:t xml:space="preserve">(e) the whole or a part of the name of a person: </w:t>
      </w:r>
    </w:p>
    <w:p w14:paraId="3BABE1A6" w14:textId="77777777" w:rsidR="00E3671F" w:rsidRDefault="00E3671F" w:rsidP="005A3AE8">
      <w:pPr>
        <w:pStyle w:val="ACMABodyText"/>
        <w:spacing w:after="120"/>
        <w:ind w:left="1440"/>
        <w:rPr>
          <w:rFonts w:cs="Arial"/>
          <w:sz w:val="18"/>
        </w:rPr>
      </w:pPr>
      <w:r>
        <w:rPr>
          <w:rFonts w:cs="Arial"/>
          <w:sz w:val="18"/>
        </w:rPr>
        <w:t xml:space="preserve">(i) who is a manufacturer of tobacco products; and </w:t>
      </w:r>
    </w:p>
    <w:p w14:paraId="4BFC73D9" w14:textId="77777777" w:rsidR="00E3671F" w:rsidRDefault="00E3671F" w:rsidP="005D7ADC">
      <w:pPr>
        <w:pStyle w:val="ACMABodyText"/>
        <w:spacing w:after="120"/>
        <w:ind w:left="1440"/>
        <w:rPr>
          <w:rFonts w:cs="Arial"/>
          <w:sz w:val="18"/>
        </w:rPr>
      </w:pPr>
      <w:r>
        <w:rPr>
          <w:rFonts w:cs="Arial"/>
          <w:sz w:val="18"/>
        </w:rPr>
        <w:t xml:space="preserve">(ii) whose name appears on, or on the packaging of, some or all of those products; or </w:t>
      </w:r>
    </w:p>
    <w:p w14:paraId="2EF51DCE" w14:textId="77777777" w:rsidR="00E3671F" w:rsidRDefault="00E3671F" w:rsidP="00E3671F">
      <w:pPr>
        <w:pStyle w:val="ACMABodyText"/>
        <w:spacing w:after="120"/>
        <w:ind w:left="993" w:hanging="284"/>
        <w:rPr>
          <w:rFonts w:cs="Arial"/>
          <w:sz w:val="18"/>
        </w:rPr>
      </w:pPr>
      <w:r>
        <w:rPr>
          <w:rFonts w:cs="Arial"/>
          <w:sz w:val="18"/>
        </w:rPr>
        <w:t>(f) any other words (for example the whole or a part of a brand name) or designs, or combination of words and designs, that are closely associated with a tobacco product or a range of tobacco products (whether also closely associated with other kinds of products).</w:t>
      </w:r>
    </w:p>
    <w:p w14:paraId="0C8536BD" w14:textId="601F0B63" w:rsidR="00E3671F" w:rsidRDefault="00E3671F" w:rsidP="00E3671F">
      <w:pPr>
        <w:pStyle w:val="ACMABodyText"/>
        <w:spacing w:before="120" w:after="120"/>
        <w:rPr>
          <w:rFonts w:cs="Arial"/>
          <w:sz w:val="18"/>
        </w:rPr>
      </w:pPr>
      <w:r>
        <w:rPr>
          <w:rFonts w:cs="Arial"/>
          <w:sz w:val="18"/>
        </w:rPr>
        <w:t>[…]</w:t>
      </w:r>
    </w:p>
    <w:p w14:paraId="02494E00" w14:textId="04F7DE43" w:rsidR="005D7ADC" w:rsidRPr="005D7ADC" w:rsidRDefault="005D7ADC" w:rsidP="007D06CE">
      <w:pPr>
        <w:pStyle w:val="ACMABodyText"/>
        <w:spacing w:before="120" w:after="120"/>
        <w:ind w:left="397"/>
        <w:rPr>
          <w:rFonts w:cs="Arial"/>
          <w:sz w:val="18"/>
        </w:rPr>
      </w:pPr>
      <w:r w:rsidRPr="005D7ADC">
        <w:rPr>
          <w:rFonts w:cs="Arial"/>
          <w:sz w:val="18"/>
        </w:rPr>
        <w:t xml:space="preserve">(3A)  </w:t>
      </w:r>
      <w:r w:rsidR="007D06CE">
        <w:rPr>
          <w:rFonts w:cs="Arial"/>
          <w:sz w:val="18"/>
        </w:rPr>
        <w:t>t</w:t>
      </w:r>
      <w:r w:rsidRPr="005D7ADC">
        <w:rPr>
          <w:rFonts w:cs="Arial"/>
          <w:sz w:val="18"/>
        </w:rPr>
        <w:t>o remove any doubt, it is declared that the following do not constitute tobacco advertisements:</w:t>
      </w:r>
    </w:p>
    <w:p w14:paraId="5142067A" w14:textId="1CBBCD0F" w:rsidR="005D7ADC" w:rsidRPr="005D7ADC" w:rsidRDefault="005D7ADC" w:rsidP="005D7ADC">
      <w:pPr>
        <w:pStyle w:val="ACMABodyText"/>
        <w:spacing w:before="120" w:after="120"/>
        <w:ind w:left="720"/>
        <w:rPr>
          <w:rFonts w:cs="Arial"/>
          <w:sz w:val="18"/>
        </w:rPr>
      </w:pPr>
      <w:r>
        <w:rPr>
          <w:rFonts w:cs="Arial"/>
          <w:sz w:val="18"/>
        </w:rPr>
        <w:t>[…]</w:t>
      </w:r>
    </w:p>
    <w:p w14:paraId="25EA0CF2" w14:textId="49EA8B53" w:rsidR="005D7ADC" w:rsidRPr="005D7ADC" w:rsidRDefault="005D7ADC" w:rsidP="00573EEE">
      <w:pPr>
        <w:pStyle w:val="ACMABodyText"/>
        <w:numPr>
          <w:ilvl w:val="0"/>
          <w:numId w:val="23"/>
        </w:numPr>
        <w:snapToGrid w:val="0"/>
        <w:spacing w:after="120"/>
        <w:rPr>
          <w:rFonts w:cs="Arial"/>
          <w:sz w:val="18"/>
        </w:rPr>
      </w:pPr>
      <w:r w:rsidRPr="005D7ADC">
        <w:rPr>
          <w:rFonts w:cs="Arial"/>
          <w:sz w:val="18"/>
        </w:rPr>
        <w:t>an advertisement by a manufacturer, distributor or retailer of tobacco products indicating that tobacco products, or tobacco products of a particular kind, are available from the manufacturer, distributor or retailer, as the case may be, provided that the advertisement does not:</w:t>
      </w:r>
    </w:p>
    <w:p w14:paraId="4476D1C4" w14:textId="36515B7A" w:rsidR="005D7ADC" w:rsidRDefault="005D7ADC" w:rsidP="00573EEE">
      <w:pPr>
        <w:pStyle w:val="ACMABodyText"/>
        <w:numPr>
          <w:ilvl w:val="0"/>
          <w:numId w:val="25"/>
        </w:numPr>
        <w:spacing w:after="120"/>
        <w:rPr>
          <w:rFonts w:cs="Arial"/>
          <w:sz w:val="18"/>
        </w:rPr>
      </w:pPr>
      <w:r w:rsidRPr="005D7ADC">
        <w:rPr>
          <w:rFonts w:cs="Arial"/>
          <w:sz w:val="18"/>
        </w:rPr>
        <w:t>state the brand name of any individual product; or</w:t>
      </w:r>
    </w:p>
    <w:p w14:paraId="282FD1A0" w14:textId="1729E6B6" w:rsidR="005D7ADC" w:rsidRDefault="005D7ADC" w:rsidP="00573EEE">
      <w:pPr>
        <w:pStyle w:val="ACMABodyText"/>
        <w:numPr>
          <w:ilvl w:val="0"/>
          <w:numId w:val="25"/>
        </w:numPr>
        <w:spacing w:after="120"/>
        <w:rPr>
          <w:rFonts w:cs="Arial"/>
          <w:sz w:val="18"/>
        </w:rPr>
      </w:pPr>
      <w:r w:rsidRPr="00573EEE">
        <w:rPr>
          <w:rFonts w:cs="Arial"/>
          <w:sz w:val="18"/>
        </w:rPr>
        <w:t>contain any other matter that would enable any individual product to be identified; or</w:t>
      </w:r>
    </w:p>
    <w:p w14:paraId="2204AC55" w14:textId="27DEE8BC" w:rsidR="0079691A" w:rsidRDefault="005D7ADC" w:rsidP="00573EEE">
      <w:pPr>
        <w:pStyle w:val="ACMABodyText"/>
        <w:numPr>
          <w:ilvl w:val="0"/>
          <w:numId w:val="25"/>
        </w:numPr>
        <w:spacing w:after="120"/>
        <w:rPr>
          <w:rFonts w:cs="Arial"/>
          <w:sz w:val="18"/>
        </w:rPr>
      </w:pPr>
      <w:r w:rsidRPr="00573EEE">
        <w:rPr>
          <w:rFonts w:cs="Arial"/>
          <w:sz w:val="18"/>
        </w:rPr>
        <w:t>promote, or give publicity to, any individual product;</w:t>
      </w:r>
    </w:p>
    <w:p w14:paraId="2BEC6B58" w14:textId="7B735211" w:rsidR="005D7ADC" w:rsidRPr="0079691A" w:rsidRDefault="0079691A" w:rsidP="0079691A">
      <w:pPr>
        <w:pStyle w:val="ACMABodyText"/>
      </w:pPr>
      <w:r>
        <w:br w:type="page"/>
      </w:r>
    </w:p>
    <w:p w14:paraId="26A4546B" w14:textId="779C97B2" w:rsidR="007D06CE" w:rsidRPr="007D06CE" w:rsidRDefault="007D06CE" w:rsidP="007D06CE">
      <w:pPr>
        <w:pStyle w:val="ACMABodyText"/>
        <w:spacing w:after="120"/>
        <w:rPr>
          <w:rFonts w:cs="Arial"/>
          <w:b/>
          <w:sz w:val="18"/>
        </w:rPr>
      </w:pPr>
      <w:bookmarkStart w:id="5" w:name="_Toc493512597"/>
      <w:r w:rsidRPr="007D06CE">
        <w:rPr>
          <w:b/>
          <w:sz w:val="18"/>
        </w:rPr>
        <w:lastRenderedPageBreak/>
        <w:t>12</w:t>
      </w:r>
      <w:r w:rsidRPr="007D06CE">
        <w:rPr>
          <w:rFonts w:cs="Arial"/>
          <w:b/>
          <w:sz w:val="18"/>
        </w:rPr>
        <w:t xml:space="preserve">  Meaning of </w:t>
      </w:r>
      <w:r w:rsidRPr="00AC72E1">
        <w:rPr>
          <w:rFonts w:cs="Arial"/>
          <w:b/>
          <w:i/>
          <w:iCs/>
          <w:sz w:val="18"/>
        </w:rPr>
        <w:t>manufacturer, distributor and retailer</w:t>
      </w:r>
      <w:bookmarkEnd w:id="5"/>
      <w:r w:rsidRPr="007D06CE">
        <w:rPr>
          <w:rFonts w:cs="Arial"/>
          <w:b/>
          <w:sz w:val="18"/>
        </w:rPr>
        <w:t xml:space="preserve"> </w:t>
      </w:r>
    </w:p>
    <w:p w14:paraId="09475B8D" w14:textId="3974A67A" w:rsidR="007D06CE" w:rsidRDefault="007D06CE" w:rsidP="007D06CE">
      <w:pPr>
        <w:pStyle w:val="subsection"/>
        <w:shd w:val="clear" w:color="auto" w:fill="FFFFFF"/>
        <w:rPr>
          <w:rFonts w:ascii="Arial" w:hAnsi="Arial" w:cs="Arial"/>
          <w:sz w:val="19"/>
          <w:szCs w:val="19"/>
          <w:lang w:val="en-US"/>
        </w:rPr>
      </w:pPr>
      <w:r w:rsidRPr="00AC72E1">
        <w:rPr>
          <w:rFonts w:ascii="Arial" w:hAnsi="Arial" w:cs="Arial"/>
          <w:sz w:val="18"/>
          <w:szCs w:val="18"/>
        </w:rPr>
        <w:t>In this Act, a reference to a manufacturer, distributor or retailer of tobacco products includes a reference to a person who manufactures, distributes or sells a range of products, only some of which are tobacco products</w:t>
      </w:r>
      <w:r>
        <w:rPr>
          <w:rFonts w:ascii="Arial" w:hAnsi="Arial" w:cs="Arial"/>
          <w:sz w:val="19"/>
          <w:szCs w:val="19"/>
        </w:rPr>
        <w:t>.</w:t>
      </w:r>
    </w:p>
    <w:p w14:paraId="6D91AE66" w14:textId="77777777" w:rsidR="00E3671F" w:rsidRDefault="00E3671F" w:rsidP="00E3671F">
      <w:pPr>
        <w:pStyle w:val="ACMABodyText"/>
        <w:spacing w:after="120"/>
        <w:rPr>
          <w:rFonts w:cs="Arial"/>
          <w:b/>
          <w:sz w:val="18"/>
        </w:rPr>
      </w:pPr>
      <w:r>
        <w:rPr>
          <w:rFonts w:cs="Arial"/>
          <w:b/>
          <w:sz w:val="18"/>
        </w:rPr>
        <w:t xml:space="preserve">Part 3—Prohibition of tobacco advertisements </w:t>
      </w:r>
    </w:p>
    <w:p w14:paraId="08DC72AC" w14:textId="77777777" w:rsidR="00E3671F" w:rsidRDefault="00E3671F" w:rsidP="00E3671F">
      <w:pPr>
        <w:pStyle w:val="ACMABodyText"/>
        <w:spacing w:after="120"/>
        <w:rPr>
          <w:rFonts w:cs="Arial"/>
          <w:b/>
          <w:sz w:val="18"/>
        </w:rPr>
      </w:pPr>
      <w:r>
        <w:rPr>
          <w:rFonts w:cs="Arial"/>
          <w:b/>
          <w:sz w:val="18"/>
        </w:rPr>
        <w:t xml:space="preserve">Division 1—Broadcasting of tobacco advertisements </w:t>
      </w:r>
    </w:p>
    <w:p w14:paraId="0C27EE74" w14:textId="77777777" w:rsidR="00E3671F" w:rsidRDefault="00E3671F" w:rsidP="00E3671F">
      <w:pPr>
        <w:pStyle w:val="ACMABodyText"/>
        <w:spacing w:after="120"/>
        <w:rPr>
          <w:rFonts w:cs="Arial"/>
          <w:b/>
          <w:sz w:val="18"/>
        </w:rPr>
      </w:pPr>
      <w:r>
        <w:rPr>
          <w:rFonts w:cs="Arial"/>
          <w:b/>
          <w:sz w:val="18"/>
        </w:rPr>
        <w:t xml:space="preserve">13 Tobacco advertisements not to be broadcast </w:t>
      </w:r>
    </w:p>
    <w:p w14:paraId="72F393EE" w14:textId="77777777" w:rsidR="00E3671F" w:rsidRDefault="00E3671F" w:rsidP="00E3671F">
      <w:pPr>
        <w:pStyle w:val="ACMABodyText"/>
        <w:numPr>
          <w:ilvl w:val="0"/>
          <w:numId w:val="5"/>
        </w:numPr>
        <w:snapToGrid w:val="0"/>
        <w:spacing w:after="120"/>
        <w:rPr>
          <w:rFonts w:cs="Arial"/>
          <w:sz w:val="18"/>
        </w:rPr>
      </w:pPr>
      <w:r>
        <w:rPr>
          <w:rFonts w:cs="Arial"/>
          <w:sz w:val="18"/>
        </w:rPr>
        <w:t xml:space="preserve">A person must not broadcast a tobacco advertisement in Australia or Norfolk Island on or after 1 July 1993 otherwise than as permitted by section 14. </w:t>
      </w:r>
    </w:p>
    <w:p w14:paraId="057F0FB8" w14:textId="77777777" w:rsidR="00E3671F" w:rsidRDefault="00E3671F" w:rsidP="00E3671F">
      <w:pPr>
        <w:pStyle w:val="ACMABodyText"/>
        <w:spacing w:after="120"/>
        <w:rPr>
          <w:rFonts w:cs="Arial"/>
          <w:sz w:val="18"/>
        </w:rPr>
      </w:pPr>
      <w:r>
        <w:rPr>
          <w:rFonts w:cs="Arial"/>
          <w:sz w:val="18"/>
        </w:rPr>
        <w:t>[…]</w:t>
      </w:r>
    </w:p>
    <w:p w14:paraId="768ABBDD" w14:textId="77777777" w:rsidR="00E3671F" w:rsidRDefault="00E3671F" w:rsidP="00E3671F">
      <w:pPr>
        <w:pStyle w:val="ACMABodyText"/>
        <w:spacing w:after="120"/>
        <w:rPr>
          <w:rFonts w:cs="Arial"/>
          <w:b/>
          <w:sz w:val="18"/>
        </w:rPr>
      </w:pPr>
      <w:r>
        <w:rPr>
          <w:rFonts w:cs="Arial"/>
          <w:b/>
          <w:sz w:val="18"/>
        </w:rPr>
        <w:t xml:space="preserve">14 Accidental or incidental broadcast permitted </w:t>
      </w:r>
    </w:p>
    <w:p w14:paraId="43560C10" w14:textId="77777777" w:rsidR="00E3671F" w:rsidRDefault="00E3671F" w:rsidP="00E3671F">
      <w:pPr>
        <w:pStyle w:val="ACMABodyText"/>
        <w:spacing w:after="120"/>
        <w:ind w:left="360"/>
        <w:rPr>
          <w:rFonts w:cs="Arial"/>
          <w:sz w:val="18"/>
        </w:rPr>
      </w:pPr>
      <w:r>
        <w:rPr>
          <w:rFonts w:cs="Arial"/>
          <w:sz w:val="18"/>
        </w:rPr>
        <w:t xml:space="preserve">A person may broadcast a tobacco advertisement if: </w:t>
      </w:r>
    </w:p>
    <w:p w14:paraId="5719A88A" w14:textId="77777777" w:rsidR="00E3671F" w:rsidRDefault="00E3671F" w:rsidP="00573EEE">
      <w:pPr>
        <w:pStyle w:val="ACMABodyText"/>
        <w:numPr>
          <w:ilvl w:val="0"/>
          <w:numId w:val="24"/>
        </w:numPr>
        <w:snapToGrid w:val="0"/>
        <w:spacing w:after="120"/>
        <w:rPr>
          <w:rFonts w:cs="Arial"/>
          <w:sz w:val="18"/>
        </w:rPr>
      </w:pPr>
      <w:r>
        <w:rPr>
          <w:rFonts w:cs="Arial"/>
          <w:sz w:val="18"/>
        </w:rPr>
        <w:t xml:space="preserve">the person broadcasts the advertisement as an accidental or incidental accompaniment to the broadcasting of other matter; and </w:t>
      </w:r>
    </w:p>
    <w:p w14:paraId="0E639119" w14:textId="1A128116" w:rsidR="00E3671F" w:rsidRPr="00356FB6" w:rsidRDefault="00E3671F" w:rsidP="00573EEE">
      <w:pPr>
        <w:pStyle w:val="ACMABodyText"/>
        <w:numPr>
          <w:ilvl w:val="0"/>
          <w:numId w:val="24"/>
        </w:numPr>
        <w:snapToGrid w:val="0"/>
        <w:spacing w:after="120"/>
        <w:rPr>
          <w:bCs/>
          <w:iCs/>
        </w:rPr>
      </w:pPr>
      <w:r w:rsidRPr="004A7722">
        <w:rPr>
          <w:rFonts w:cs="Arial"/>
          <w:sz w:val="18"/>
        </w:rPr>
        <w:t>the person does not receive any direct or indirect benefit (whether financial or not) for broadcasting the advertisement (in addition to any direct or indirect benefit that the person receives for broadcasting the other matter).</w:t>
      </w:r>
    </w:p>
    <w:p w14:paraId="6E4D4681" w14:textId="4411B7DD" w:rsidR="00E3671F" w:rsidRDefault="005F3FDE" w:rsidP="00E3671F">
      <w:pPr>
        <w:pStyle w:val="ACMABodyTextBold"/>
        <w:spacing w:before="240"/>
        <w:rPr>
          <w:sz w:val="28"/>
          <w:szCs w:val="28"/>
        </w:rPr>
      </w:pPr>
      <w:r>
        <w:rPr>
          <w:sz w:val="28"/>
          <w:szCs w:val="28"/>
        </w:rPr>
        <w:t xml:space="preserve">The </w:t>
      </w:r>
      <w:r w:rsidR="00E3671F" w:rsidRPr="00D23060">
        <w:rPr>
          <w:sz w:val="28"/>
          <w:szCs w:val="28"/>
        </w:rPr>
        <w:t xml:space="preserve">ACMA’s </w:t>
      </w:r>
      <w:r w:rsidR="00E3671F">
        <w:rPr>
          <w:sz w:val="28"/>
          <w:szCs w:val="28"/>
        </w:rPr>
        <w:t xml:space="preserve">assessment </w:t>
      </w:r>
      <w:r w:rsidR="00E3671F" w:rsidRPr="00D23060">
        <w:rPr>
          <w:sz w:val="28"/>
          <w:szCs w:val="28"/>
        </w:rPr>
        <w:t xml:space="preserve">process </w:t>
      </w:r>
    </w:p>
    <w:p w14:paraId="2596A685" w14:textId="08CF85F5" w:rsidR="00E3671F" w:rsidRPr="00D23060" w:rsidRDefault="00E3671F" w:rsidP="00E3671F">
      <w:pPr>
        <w:pStyle w:val="ACMABodyTextBold"/>
        <w:spacing w:before="240"/>
        <w:rPr>
          <w:sz w:val="24"/>
          <w:szCs w:val="24"/>
        </w:rPr>
      </w:pPr>
      <w:r w:rsidRPr="00D23060">
        <w:rPr>
          <w:sz w:val="24"/>
          <w:szCs w:val="24"/>
        </w:rPr>
        <w:t xml:space="preserve">Assessment and the ordinary reasonable </w:t>
      </w:r>
      <w:r w:rsidR="0025533D">
        <w:rPr>
          <w:sz w:val="24"/>
          <w:szCs w:val="24"/>
        </w:rPr>
        <w:t>Listener</w:t>
      </w:r>
    </w:p>
    <w:p w14:paraId="1F7F0646" w14:textId="0B3B3C27" w:rsidR="00E3671F" w:rsidRDefault="00E3671F" w:rsidP="00E3671F">
      <w:pPr>
        <w:pStyle w:val="ACMABodyText"/>
      </w:pPr>
      <w:r>
        <w:t xml:space="preserve">When assessing content, the ACMA considers the meaning conveyed by the material, the subject of the complaint, including the natural, ordinary meaning of the language, context, tenor, tone and any inferences that may be drawn. This is assessed according to the understanding of an ‘ordinary reasonable’ </w:t>
      </w:r>
      <w:r w:rsidR="00C734BA">
        <w:t>listener</w:t>
      </w:r>
      <w:r>
        <w:t>.</w:t>
      </w:r>
    </w:p>
    <w:p w14:paraId="6720699E" w14:textId="4ADA65AF" w:rsidR="00E3671F" w:rsidRDefault="00E3671F" w:rsidP="00E3671F">
      <w:pPr>
        <w:pStyle w:val="ACMABodyText"/>
      </w:pPr>
      <w:r>
        <w:t xml:space="preserve">Australian courts have considered an ‘ordinary reasonable’ </w:t>
      </w:r>
      <w:r w:rsidR="00C734BA">
        <w:t>listener</w:t>
      </w:r>
      <w:r>
        <w:t xml:space="preserve"> to be:</w:t>
      </w:r>
    </w:p>
    <w:p w14:paraId="6180C975" w14:textId="77777777" w:rsidR="00E3671F" w:rsidRDefault="00E3671F" w:rsidP="00E3671F">
      <w:pPr>
        <w:pStyle w:val="ACMABodyText"/>
        <w:ind w:left="720"/>
        <w:rPr>
          <w:sz w:val="18"/>
          <w:szCs w:val="18"/>
        </w:rPr>
      </w:pPr>
      <w:r>
        <w:rPr>
          <w:sz w:val="18"/>
          <w:szCs w:val="18"/>
        </w:rPr>
        <w:t>A person of fair average intelligence, who is neither perverse, nor morbid or suspicious of mind, nor avid for scandal. That person does not live in an ivory tower, but can and does read between the lines in the light of that person’s general knowledge and experience of worldly affairs.</w:t>
      </w:r>
      <w:r>
        <w:rPr>
          <w:sz w:val="18"/>
          <w:szCs w:val="18"/>
          <w:vertAlign w:val="superscript"/>
        </w:rPr>
        <w:footnoteReference w:id="1"/>
      </w:r>
    </w:p>
    <w:p w14:paraId="24BD7F66" w14:textId="77777777" w:rsidR="00E3671F" w:rsidRDefault="00E3671F" w:rsidP="00E3671F">
      <w:pPr>
        <w:pStyle w:val="ACMABodyText"/>
      </w:pPr>
      <w:r>
        <w:t>Once the ACMA has ascertained the meaning of the material that was broadcast, it then assesses compliance with the legislation.</w:t>
      </w:r>
    </w:p>
    <w:p w14:paraId="14CD2321" w14:textId="77777777" w:rsidR="003A4FD3" w:rsidRDefault="003A4FD3"/>
    <w:sectPr w:rsidR="003A4FD3" w:rsidSect="00F8772D">
      <w:headerReference w:type="even" r:id="rId15"/>
      <w:headerReference w:type="default" r:id="rId16"/>
      <w:footerReference w:type="even" r:id="rId17"/>
      <w:footerReference w:type="default" r:id="rId18"/>
      <w:headerReference w:type="first" r:id="rId19"/>
      <w:footerReference w:type="first" r:id="rId20"/>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FA485" w14:textId="77777777" w:rsidR="00661B36" w:rsidRDefault="00661B36" w:rsidP="00E3671F">
      <w:pPr>
        <w:spacing w:before="0" w:after="0" w:line="240" w:lineRule="auto"/>
      </w:pPr>
      <w:r>
        <w:separator/>
      </w:r>
    </w:p>
  </w:endnote>
  <w:endnote w:type="continuationSeparator" w:id="0">
    <w:p w14:paraId="7F9569E4" w14:textId="77777777" w:rsidR="00661B36" w:rsidRDefault="00661B36" w:rsidP="00E367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Barlow">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EEF7" w14:textId="77777777" w:rsidR="006F0BBA" w:rsidRDefault="006F0BBA">
    <w:pPr>
      <w:framePr w:wrap="around" w:vAnchor="text" w:hAnchor="margin" w:xAlign="right" w:y="1"/>
    </w:pPr>
    <w:r>
      <w:fldChar w:fldCharType="begin"/>
    </w:r>
    <w:r>
      <w:instrText xml:space="preserve">PAGE  </w:instrText>
    </w:r>
    <w:r>
      <w:fldChar w:fldCharType="end"/>
    </w:r>
  </w:p>
  <w:p w14:paraId="17235E70" w14:textId="77777777" w:rsidR="006F0BBA" w:rsidRDefault="006F0BB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3EEA7" w14:textId="75190962" w:rsidR="006F0BBA" w:rsidRPr="00816ADF" w:rsidRDefault="006F0BBA" w:rsidP="00F8772D">
    <w:pPr>
      <w:pStyle w:val="ACMAFooter"/>
      <w:rPr>
        <w:sz w:val="16"/>
        <w:szCs w:val="16"/>
      </w:rPr>
    </w:pPr>
    <w:r w:rsidRPr="00816ADF">
      <w:rPr>
        <w:sz w:val="16"/>
        <w:szCs w:val="16"/>
      </w:rPr>
      <w:t xml:space="preserve">ACMA Investigation </w:t>
    </w:r>
    <w:r>
      <w:rPr>
        <w:sz w:val="16"/>
        <w:szCs w:val="16"/>
      </w:rPr>
      <w:t>r</w:t>
    </w:r>
    <w:r w:rsidRPr="00816ADF">
      <w:rPr>
        <w:sz w:val="16"/>
        <w:szCs w:val="16"/>
      </w:rPr>
      <w:t>eport—</w:t>
    </w:r>
    <w:r w:rsidR="007F4DDB" w:rsidRPr="007F4DDB">
      <w:t xml:space="preserve"> </w:t>
    </w:r>
    <w:r w:rsidR="007F4DDB" w:rsidRPr="00780872">
      <w:rPr>
        <w:i/>
        <w:iCs/>
        <w:sz w:val="16"/>
        <w:szCs w:val="16"/>
      </w:rPr>
      <w:t>Breakfast with Steve Mills and Basil Zempilas</w:t>
    </w:r>
    <w:r w:rsidR="007F4DDB">
      <w:rPr>
        <w:i/>
        <w:iCs/>
        <w:sz w:val="16"/>
        <w:szCs w:val="16"/>
      </w:rPr>
      <w:t xml:space="preserve"> </w:t>
    </w:r>
    <w:r w:rsidR="007F4DDB" w:rsidRPr="00780872">
      <w:rPr>
        <w:sz w:val="16"/>
        <w:szCs w:val="16"/>
      </w:rPr>
      <w:t>on 6PR on 17 September 2019</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196786">
      <w:rPr>
        <w:noProof/>
        <w:sz w:val="16"/>
        <w:szCs w:val="16"/>
      </w:rPr>
      <w:t>9</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083B" w14:textId="77777777" w:rsidR="006F0BBA" w:rsidRPr="00211185" w:rsidRDefault="006F0BBA" w:rsidP="00F8772D">
    <w:pPr>
      <w:pStyle w:val="Footer"/>
    </w:pPr>
    <w:r>
      <w:rPr>
        <w:noProof/>
        <w:lang w:eastAsia="en-AU"/>
      </w:rPr>
      <w:drawing>
        <wp:inline distT="0" distB="0" distL="0" distR="0" wp14:anchorId="1FE315BA" wp14:editId="65C55683">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B9738" w14:textId="77777777" w:rsidR="00661B36" w:rsidRDefault="00661B36" w:rsidP="00E3671F">
      <w:pPr>
        <w:spacing w:before="0" w:after="0" w:line="240" w:lineRule="auto"/>
      </w:pPr>
      <w:r>
        <w:separator/>
      </w:r>
    </w:p>
  </w:footnote>
  <w:footnote w:type="continuationSeparator" w:id="0">
    <w:p w14:paraId="6938E43D" w14:textId="77777777" w:rsidR="00661B36" w:rsidRDefault="00661B36" w:rsidP="00E3671F">
      <w:pPr>
        <w:spacing w:before="0" w:after="0" w:line="240" w:lineRule="auto"/>
      </w:pPr>
      <w:r>
        <w:continuationSeparator/>
      </w:r>
    </w:p>
  </w:footnote>
  <w:footnote w:id="1">
    <w:p w14:paraId="5E94C68A" w14:textId="77777777" w:rsidR="006F0BBA" w:rsidRPr="009B1259" w:rsidRDefault="006F0BBA" w:rsidP="00E3671F">
      <w:pPr>
        <w:pStyle w:val="FootnoteText"/>
        <w:ind w:left="0" w:firstLine="0"/>
        <w:rPr>
          <w:szCs w:val="16"/>
          <w:lang w:val="en-US"/>
        </w:rPr>
      </w:pPr>
      <w:r w:rsidRPr="00DF1E61">
        <w:rPr>
          <w:rStyle w:val="FootnoteReference"/>
          <w:szCs w:val="16"/>
        </w:rPr>
        <w:footnoteRef/>
      </w:r>
      <w:r w:rsidRPr="00DF1E61">
        <w:rPr>
          <w:szCs w:val="16"/>
        </w:rPr>
        <w:t xml:space="preserve"> </w:t>
      </w:r>
      <w:r w:rsidRPr="00DF1E61">
        <w:rPr>
          <w:i/>
          <w:szCs w:val="16"/>
        </w:rPr>
        <w:t>Amalgamated Television Services Pty Limited v Marsden</w:t>
      </w:r>
      <w:r w:rsidRPr="009B1259">
        <w:rPr>
          <w:szCs w:val="16"/>
        </w:rPr>
        <w:t xml:space="preserve"> (1998) 43 NSWLR 158 at pp 164–167.</w:t>
      </w:r>
      <w:r w:rsidRPr="00DF1E61">
        <w:rPr>
          <w:rFonts w:cs="Arial"/>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710A5" w14:textId="4C4FA130" w:rsidR="006F0BBA" w:rsidRDefault="006F0BBA">
    <w:r>
      <w:fldChar w:fldCharType="begin"/>
    </w:r>
    <w:r>
      <w:instrText xml:space="preserve"> REF ReportTitle \h </w:instrText>
    </w:r>
    <w:r>
      <w:fldChar w:fldCharType="separate"/>
    </w:r>
    <w:r w:rsidR="0002402B">
      <w:rPr>
        <w:b/>
        <w:bCs/>
        <w:lang w:val="en-US"/>
      </w:rPr>
      <w:t>Error! Reference source not found.</w:t>
    </w:r>
    <w:r>
      <w:fldChar w:fldCharType="end"/>
    </w:r>
  </w:p>
  <w:p w14:paraId="68B65458" w14:textId="77777777" w:rsidR="006F0BBA" w:rsidRDefault="006F0B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96CE" w14:textId="2EC5B322" w:rsidR="006F0BBA" w:rsidRPr="001164DF" w:rsidRDefault="006F0BBA" w:rsidP="006A4AAE">
    <w:pPr>
      <w:pStyle w:val="ACMAInConfidence"/>
      <w:rPr>
        <w:rFonts w:cs="Arial"/>
        <w:b w:val="0"/>
        <w:sz w:val="18"/>
        <w:szCs w:val="18"/>
      </w:rPr>
    </w:pPr>
  </w:p>
  <w:p w14:paraId="663B9739" w14:textId="77777777" w:rsidR="006F0BBA" w:rsidRDefault="006F0BBA" w:rsidP="00905EA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54365" w14:textId="77777777" w:rsidR="006F0BBA" w:rsidRDefault="006F0BBA" w:rsidP="00F8772D">
    <w:pPr>
      <w:pStyle w:val="ACMAInConfidence"/>
    </w:pPr>
  </w:p>
  <w:p w14:paraId="1B97709B" w14:textId="77777777" w:rsidR="006F0BBA" w:rsidRPr="005F22AA" w:rsidRDefault="006F0BBA" w:rsidP="00F8772D">
    <w:pPr>
      <w:pStyle w:val="ACMAHeaderGraphicSpace"/>
    </w:pPr>
    <w:r>
      <w:rPr>
        <w:noProof/>
        <w:snapToGrid/>
        <w:lang w:eastAsia="en-AU"/>
      </w:rPr>
      <w:drawing>
        <wp:inline distT="0" distB="0" distL="0" distR="0" wp14:anchorId="1339919D" wp14:editId="2293EC75">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34F4"/>
    <w:multiLevelType w:val="hybridMultilevel"/>
    <w:tmpl w:val="876A6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C304F"/>
    <w:multiLevelType w:val="hybridMultilevel"/>
    <w:tmpl w:val="0AC2FD96"/>
    <w:lvl w:ilvl="0" w:tplc="6D8C0A5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F04E0"/>
    <w:multiLevelType w:val="hybridMultilevel"/>
    <w:tmpl w:val="4DFC179E"/>
    <w:lvl w:ilvl="0" w:tplc="27007EB2">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55278D"/>
    <w:multiLevelType w:val="hybridMultilevel"/>
    <w:tmpl w:val="F12A8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18E2D8C"/>
    <w:multiLevelType w:val="hybridMultilevel"/>
    <w:tmpl w:val="BBCE6AD6"/>
    <w:lvl w:ilvl="0" w:tplc="EAE28452">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15:restartNumberingAfterBreak="0">
    <w:nsid w:val="1E486D42"/>
    <w:multiLevelType w:val="hybridMultilevel"/>
    <w:tmpl w:val="8878EFD2"/>
    <w:lvl w:ilvl="0" w:tplc="0ED08108">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ED7450D"/>
    <w:multiLevelType w:val="hybridMultilevel"/>
    <w:tmpl w:val="70EA2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A2297"/>
    <w:multiLevelType w:val="hybridMultilevel"/>
    <w:tmpl w:val="A5066E72"/>
    <w:lvl w:ilvl="0" w:tplc="94D4FB54">
      <w:start w:val="1"/>
      <w:numFmt w:val="lowerRoman"/>
      <w:lvlText w:val="%1."/>
      <w:lvlJc w:val="right"/>
      <w:pPr>
        <w:ind w:left="-360" w:hanging="360"/>
      </w:pPr>
      <w:rPr>
        <w:rFonts w:asciiTheme="majorHAnsi" w:hAnsiTheme="majorHAnsi" w:cstheme="majorHAnsi" w:hint="default"/>
        <w:i w:val="0"/>
        <w:sz w:val="22"/>
        <w:szCs w:val="22"/>
      </w:rPr>
    </w:lvl>
    <w:lvl w:ilvl="1" w:tplc="AB1250FE">
      <w:start w:val="1"/>
      <w:numFmt w:val="lowerLetter"/>
      <w:lvlText w:val="%2)"/>
      <w:lvlJc w:val="left"/>
      <w:pPr>
        <w:ind w:left="360" w:hanging="360"/>
      </w:p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start w:val="1"/>
      <w:numFmt w:val="bullet"/>
      <w:lvlText w:val="o"/>
      <w:lvlJc w:val="left"/>
      <w:pPr>
        <w:ind w:left="2520" w:hanging="360"/>
      </w:pPr>
      <w:rPr>
        <w:rFonts w:ascii="Courier New" w:hAnsi="Courier New" w:cs="Courier New" w:hint="default"/>
      </w:rPr>
    </w:lvl>
    <w:lvl w:ilvl="5" w:tplc="0C090005">
      <w:start w:val="1"/>
      <w:numFmt w:val="bullet"/>
      <w:lvlText w:val=""/>
      <w:lvlJc w:val="left"/>
      <w:pPr>
        <w:ind w:left="3240" w:hanging="360"/>
      </w:pPr>
      <w:rPr>
        <w:rFonts w:ascii="Wingdings" w:hAnsi="Wingdings" w:hint="default"/>
      </w:rPr>
    </w:lvl>
    <w:lvl w:ilvl="6" w:tplc="0C090001">
      <w:start w:val="1"/>
      <w:numFmt w:val="bullet"/>
      <w:lvlText w:val=""/>
      <w:lvlJc w:val="left"/>
      <w:pPr>
        <w:ind w:left="3960" w:hanging="360"/>
      </w:pPr>
      <w:rPr>
        <w:rFonts w:ascii="Symbol" w:hAnsi="Symbol" w:hint="default"/>
      </w:rPr>
    </w:lvl>
    <w:lvl w:ilvl="7" w:tplc="0C090003">
      <w:start w:val="1"/>
      <w:numFmt w:val="bullet"/>
      <w:lvlText w:val="o"/>
      <w:lvlJc w:val="left"/>
      <w:pPr>
        <w:ind w:left="4680" w:hanging="360"/>
      </w:pPr>
      <w:rPr>
        <w:rFonts w:ascii="Courier New" w:hAnsi="Courier New" w:cs="Courier New" w:hint="default"/>
      </w:rPr>
    </w:lvl>
    <w:lvl w:ilvl="8" w:tplc="0C090005">
      <w:start w:val="1"/>
      <w:numFmt w:val="bullet"/>
      <w:lvlText w:val=""/>
      <w:lvlJc w:val="left"/>
      <w:pPr>
        <w:ind w:left="5400" w:hanging="360"/>
      </w:pPr>
      <w:rPr>
        <w:rFonts w:ascii="Wingdings" w:hAnsi="Wingdings" w:hint="default"/>
      </w:rPr>
    </w:lvl>
  </w:abstractNum>
  <w:abstractNum w:abstractNumId="9" w15:restartNumberingAfterBreak="0">
    <w:nsid w:val="313C127F"/>
    <w:multiLevelType w:val="hybridMultilevel"/>
    <w:tmpl w:val="761C9F7E"/>
    <w:lvl w:ilvl="0" w:tplc="E0548A9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89C012E"/>
    <w:multiLevelType w:val="hybridMultilevel"/>
    <w:tmpl w:val="E97836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7D78D6"/>
    <w:multiLevelType w:val="hybridMultilevel"/>
    <w:tmpl w:val="761C9F7E"/>
    <w:lvl w:ilvl="0" w:tplc="E0548A9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484C50C7"/>
    <w:multiLevelType w:val="hybridMultilevel"/>
    <w:tmpl w:val="63C03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753262"/>
    <w:multiLevelType w:val="hybridMultilevel"/>
    <w:tmpl w:val="DB1ED1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EA6A5D"/>
    <w:multiLevelType w:val="hybridMultilevel"/>
    <w:tmpl w:val="69C87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E9D343A"/>
    <w:multiLevelType w:val="hybridMultilevel"/>
    <w:tmpl w:val="761C9F7E"/>
    <w:lvl w:ilvl="0" w:tplc="E0548A9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00D4A9E"/>
    <w:multiLevelType w:val="hybridMultilevel"/>
    <w:tmpl w:val="BAA27A32"/>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start w:val="1"/>
      <w:numFmt w:val="bullet"/>
      <w:lvlText w:val=""/>
      <w:lvlJc w:val="left"/>
      <w:pPr>
        <w:ind w:left="2211" w:hanging="360"/>
      </w:pPr>
      <w:rPr>
        <w:rFonts w:ascii="Wingdings" w:hAnsi="Wingdings" w:hint="default"/>
      </w:rPr>
    </w:lvl>
    <w:lvl w:ilvl="3" w:tplc="0C090001">
      <w:start w:val="1"/>
      <w:numFmt w:val="bullet"/>
      <w:lvlText w:val=""/>
      <w:lvlJc w:val="left"/>
      <w:pPr>
        <w:ind w:left="2931" w:hanging="360"/>
      </w:pPr>
      <w:rPr>
        <w:rFonts w:ascii="Symbol" w:hAnsi="Symbol" w:hint="default"/>
      </w:rPr>
    </w:lvl>
    <w:lvl w:ilvl="4" w:tplc="0C090003">
      <w:start w:val="1"/>
      <w:numFmt w:val="bullet"/>
      <w:lvlText w:val="o"/>
      <w:lvlJc w:val="left"/>
      <w:pPr>
        <w:ind w:left="3651" w:hanging="360"/>
      </w:pPr>
      <w:rPr>
        <w:rFonts w:ascii="Courier New" w:hAnsi="Courier New" w:cs="Courier New" w:hint="default"/>
      </w:rPr>
    </w:lvl>
    <w:lvl w:ilvl="5" w:tplc="0C090005">
      <w:start w:val="1"/>
      <w:numFmt w:val="bullet"/>
      <w:lvlText w:val=""/>
      <w:lvlJc w:val="left"/>
      <w:pPr>
        <w:ind w:left="4371" w:hanging="360"/>
      </w:pPr>
      <w:rPr>
        <w:rFonts w:ascii="Wingdings" w:hAnsi="Wingdings" w:hint="default"/>
      </w:rPr>
    </w:lvl>
    <w:lvl w:ilvl="6" w:tplc="0C090001">
      <w:start w:val="1"/>
      <w:numFmt w:val="bullet"/>
      <w:lvlText w:val=""/>
      <w:lvlJc w:val="left"/>
      <w:pPr>
        <w:ind w:left="5091" w:hanging="360"/>
      </w:pPr>
      <w:rPr>
        <w:rFonts w:ascii="Symbol" w:hAnsi="Symbol" w:hint="default"/>
      </w:rPr>
    </w:lvl>
    <w:lvl w:ilvl="7" w:tplc="0C090003">
      <w:start w:val="1"/>
      <w:numFmt w:val="bullet"/>
      <w:lvlText w:val="o"/>
      <w:lvlJc w:val="left"/>
      <w:pPr>
        <w:ind w:left="5811" w:hanging="360"/>
      </w:pPr>
      <w:rPr>
        <w:rFonts w:ascii="Courier New" w:hAnsi="Courier New" w:cs="Courier New" w:hint="default"/>
      </w:rPr>
    </w:lvl>
    <w:lvl w:ilvl="8" w:tplc="0C090005">
      <w:start w:val="1"/>
      <w:numFmt w:val="bullet"/>
      <w:lvlText w:val=""/>
      <w:lvlJc w:val="left"/>
      <w:pPr>
        <w:ind w:left="6531" w:hanging="360"/>
      </w:pPr>
      <w:rPr>
        <w:rFonts w:ascii="Wingdings" w:hAnsi="Wingdings" w:hint="default"/>
      </w:rPr>
    </w:lvl>
  </w:abstractNum>
  <w:abstractNum w:abstractNumId="17" w15:restartNumberingAfterBreak="0">
    <w:nsid w:val="584937DA"/>
    <w:multiLevelType w:val="hybridMultilevel"/>
    <w:tmpl w:val="F09AE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0E76BE"/>
    <w:multiLevelType w:val="hybridMultilevel"/>
    <w:tmpl w:val="35686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2E2E52"/>
    <w:multiLevelType w:val="hybridMultilevel"/>
    <w:tmpl w:val="307C8E38"/>
    <w:lvl w:ilvl="0" w:tplc="5BD678F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44F4EFD"/>
    <w:multiLevelType w:val="hybridMultilevel"/>
    <w:tmpl w:val="F43EBA5A"/>
    <w:lvl w:ilvl="0" w:tplc="0B4CABBC">
      <w:start w:val="3"/>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9418A0"/>
    <w:multiLevelType w:val="hybridMultilevel"/>
    <w:tmpl w:val="CE925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2131C3"/>
    <w:multiLevelType w:val="hybridMultilevel"/>
    <w:tmpl w:val="BBCE6AD6"/>
    <w:lvl w:ilvl="0" w:tplc="EAE28452">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4" w15:restartNumberingAfterBreak="0">
    <w:nsid w:val="759A68C0"/>
    <w:multiLevelType w:val="hybridMultilevel"/>
    <w:tmpl w:val="D18ED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2"/>
  </w:num>
  <w:num w:numId="9">
    <w:abstractNumId w:val="0"/>
  </w:num>
  <w:num w:numId="10">
    <w:abstractNumId w:val="17"/>
  </w:num>
  <w:num w:numId="11">
    <w:abstractNumId w:val="18"/>
  </w:num>
  <w:num w:numId="12">
    <w:abstractNumId w:val="10"/>
  </w:num>
  <w:num w:numId="13">
    <w:abstractNumId w:val="13"/>
  </w:num>
  <w:num w:numId="14">
    <w:abstractNumId w:val="1"/>
  </w:num>
  <w:num w:numId="15">
    <w:abstractNumId w:val="6"/>
  </w:num>
  <w:num w:numId="16">
    <w:abstractNumId w:val="22"/>
  </w:num>
  <w:num w:numId="17">
    <w:abstractNumId w:val="7"/>
  </w:num>
  <w:num w:numId="18">
    <w:abstractNumId w:val="4"/>
  </w:num>
  <w:num w:numId="19">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6"/>
  </w:num>
  <w:num w:numId="21">
    <w:abstractNumId w:val="14"/>
  </w:num>
  <w:num w:numId="22">
    <w:abstractNumId w:val="5"/>
  </w:num>
  <w:num w:numId="23">
    <w:abstractNumId w:val="21"/>
  </w:num>
  <w:num w:numId="24">
    <w:abstractNumId w:val="3"/>
  </w:num>
  <w:num w:numId="25">
    <w:abstractNumId w:val="19"/>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ocumentProtection w:edit="readOnly" w:formatting="1" w:enforcement="1" w:spinCount="100000" w:hashValue="ydjdKWjXs6eyIUVaIMhOCn5l+QRmrqVtOToXx2SXuWE=" w:saltValue="r9N2lmWZx7VzzoD+LET8ow==" w:algorithmName="SHA-256"/>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1F"/>
    <w:rsid w:val="00023605"/>
    <w:rsid w:val="0002402B"/>
    <w:rsid w:val="000563E6"/>
    <w:rsid w:val="000704DB"/>
    <w:rsid w:val="00072BD6"/>
    <w:rsid w:val="00077861"/>
    <w:rsid w:val="00090266"/>
    <w:rsid w:val="0009632D"/>
    <w:rsid w:val="000A6A95"/>
    <w:rsid w:val="000B31EA"/>
    <w:rsid w:val="000C1849"/>
    <w:rsid w:val="000E04B6"/>
    <w:rsid w:val="000E0CED"/>
    <w:rsid w:val="001012E9"/>
    <w:rsid w:val="0012190B"/>
    <w:rsid w:val="0015024E"/>
    <w:rsid w:val="00165E00"/>
    <w:rsid w:val="0016715D"/>
    <w:rsid w:val="00196786"/>
    <w:rsid w:val="001B51D4"/>
    <w:rsid w:val="001C70C1"/>
    <w:rsid w:val="001D34F5"/>
    <w:rsid w:val="001D5D75"/>
    <w:rsid w:val="001D752A"/>
    <w:rsid w:val="001D7F2B"/>
    <w:rsid w:val="001E545D"/>
    <w:rsid w:val="00203855"/>
    <w:rsid w:val="00203991"/>
    <w:rsid w:val="002225ED"/>
    <w:rsid w:val="00233814"/>
    <w:rsid w:val="00237F6F"/>
    <w:rsid w:val="00250AF4"/>
    <w:rsid w:val="0025533D"/>
    <w:rsid w:val="00256C5E"/>
    <w:rsid w:val="0027312D"/>
    <w:rsid w:val="0028166E"/>
    <w:rsid w:val="00284565"/>
    <w:rsid w:val="00287BA6"/>
    <w:rsid w:val="002955B5"/>
    <w:rsid w:val="002B1D7D"/>
    <w:rsid w:val="00301E8C"/>
    <w:rsid w:val="003038F0"/>
    <w:rsid w:val="00305AA3"/>
    <w:rsid w:val="00314B6D"/>
    <w:rsid w:val="00323F2F"/>
    <w:rsid w:val="00325273"/>
    <w:rsid w:val="00347228"/>
    <w:rsid w:val="00356FB6"/>
    <w:rsid w:val="00376F3A"/>
    <w:rsid w:val="003774AE"/>
    <w:rsid w:val="003855FE"/>
    <w:rsid w:val="003A13D8"/>
    <w:rsid w:val="003A4FD3"/>
    <w:rsid w:val="003A5470"/>
    <w:rsid w:val="003C1771"/>
    <w:rsid w:val="003C798B"/>
    <w:rsid w:val="003F19A9"/>
    <w:rsid w:val="003F2D34"/>
    <w:rsid w:val="00410516"/>
    <w:rsid w:val="00435C01"/>
    <w:rsid w:val="004403C1"/>
    <w:rsid w:val="00454300"/>
    <w:rsid w:val="00493C72"/>
    <w:rsid w:val="004B13E5"/>
    <w:rsid w:val="004E6E27"/>
    <w:rsid w:val="0050453B"/>
    <w:rsid w:val="00505764"/>
    <w:rsid w:val="00506A0B"/>
    <w:rsid w:val="0051080D"/>
    <w:rsid w:val="00515C1E"/>
    <w:rsid w:val="005332DC"/>
    <w:rsid w:val="00535C4E"/>
    <w:rsid w:val="00536FD3"/>
    <w:rsid w:val="00536FE1"/>
    <w:rsid w:val="00537EFD"/>
    <w:rsid w:val="0054462E"/>
    <w:rsid w:val="005606BE"/>
    <w:rsid w:val="00561938"/>
    <w:rsid w:val="005671E7"/>
    <w:rsid w:val="00573EEE"/>
    <w:rsid w:val="00594B6B"/>
    <w:rsid w:val="005954A7"/>
    <w:rsid w:val="005A3AE8"/>
    <w:rsid w:val="005B49E2"/>
    <w:rsid w:val="005C5C17"/>
    <w:rsid w:val="005D0B1D"/>
    <w:rsid w:val="005D7ADC"/>
    <w:rsid w:val="005E4ABF"/>
    <w:rsid w:val="005F3FDE"/>
    <w:rsid w:val="00603343"/>
    <w:rsid w:val="006129CA"/>
    <w:rsid w:val="006136A2"/>
    <w:rsid w:val="00643315"/>
    <w:rsid w:val="00644883"/>
    <w:rsid w:val="00661991"/>
    <w:rsid w:val="00661B36"/>
    <w:rsid w:val="00690555"/>
    <w:rsid w:val="006A4AAE"/>
    <w:rsid w:val="006B7734"/>
    <w:rsid w:val="006D3C8E"/>
    <w:rsid w:val="006F0BBA"/>
    <w:rsid w:val="006F3037"/>
    <w:rsid w:val="006F776B"/>
    <w:rsid w:val="00711344"/>
    <w:rsid w:val="007115C3"/>
    <w:rsid w:val="0071741D"/>
    <w:rsid w:val="00723589"/>
    <w:rsid w:val="00726847"/>
    <w:rsid w:val="00734322"/>
    <w:rsid w:val="0076317B"/>
    <w:rsid w:val="00763505"/>
    <w:rsid w:val="00774A46"/>
    <w:rsid w:val="00774C18"/>
    <w:rsid w:val="00780872"/>
    <w:rsid w:val="00793279"/>
    <w:rsid w:val="0079691A"/>
    <w:rsid w:val="007C2B5F"/>
    <w:rsid w:val="007D06CE"/>
    <w:rsid w:val="007D4529"/>
    <w:rsid w:val="007D5051"/>
    <w:rsid w:val="007E271C"/>
    <w:rsid w:val="007E5B8C"/>
    <w:rsid w:val="007F4DDB"/>
    <w:rsid w:val="00804E41"/>
    <w:rsid w:val="0084119C"/>
    <w:rsid w:val="00851C12"/>
    <w:rsid w:val="00872AD5"/>
    <w:rsid w:val="008A380E"/>
    <w:rsid w:val="008B4B11"/>
    <w:rsid w:val="008C29A1"/>
    <w:rsid w:val="008E7851"/>
    <w:rsid w:val="008F23E3"/>
    <w:rsid w:val="008F346B"/>
    <w:rsid w:val="008F7BF2"/>
    <w:rsid w:val="008F7F3E"/>
    <w:rsid w:val="00905EAA"/>
    <w:rsid w:val="009407EA"/>
    <w:rsid w:val="00940C92"/>
    <w:rsid w:val="00957202"/>
    <w:rsid w:val="009779C2"/>
    <w:rsid w:val="009854AE"/>
    <w:rsid w:val="00996809"/>
    <w:rsid w:val="009A4AA5"/>
    <w:rsid w:val="009B4E07"/>
    <w:rsid w:val="009B5941"/>
    <w:rsid w:val="009B7176"/>
    <w:rsid w:val="009D461C"/>
    <w:rsid w:val="00A012EF"/>
    <w:rsid w:val="00A06D76"/>
    <w:rsid w:val="00A1460B"/>
    <w:rsid w:val="00A21740"/>
    <w:rsid w:val="00A23964"/>
    <w:rsid w:val="00A27684"/>
    <w:rsid w:val="00A304F8"/>
    <w:rsid w:val="00A31AC0"/>
    <w:rsid w:val="00A61F17"/>
    <w:rsid w:val="00A76EE8"/>
    <w:rsid w:val="00A81F88"/>
    <w:rsid w:val="00A936F0"/>
    <w:rsid w:val="00A93B21"/>
    <w:rsid w:val="00A97282"/>
    <w:rsid w:val="00AA7611"/>
    <w:rsid w:val="00AC1DD7"/>
    <w:rsid w:val="00AC3FDC"/>
    <w:rsid w:val="00AC72E1"/>
    <w:rsid w:val="00AC797F"/>
    <w:rsid w:val="00AD6BA0"/>
    <w:rsid w:val="00AE04F4"/>
    <w:rsid w:val="00AE0D04"/>
    <w:rsid w:val="00B00CC6"/>
    <w:rsid w:val="00B07BAA"/>
    <w:rsid w:val="00B1307F"/>
    <w:rsid w:val="00B1387B"/>
    <w:rsid w:val="00B2772F"/>
    <w:rsid w:val="00B30D6D"/>
    <w:rsid w:val="00B324BD"/>
    <w:rsid w:val="00B46CF4"/>
    <w:rsid w:val="00B471C4"/>
    <w:rsid w:val="00B52BDF"/>
    <w:rsid w:val="00B61267"/>
    <w:rsid w:val="00B62A65"/>
    <w:rsid w:val="00B748B5"/>
    <w:rsid w:val="00B77A2B"/>
    <w:rsid w:val="00BA793D"/>
    <w:rsid w:val="00BB131F"/>
    <w:rsid w:val="00BB7026"/>
    <w:rsid w:val="00BC65F3"/>
    <w:rsid w:val="00BD127A"/>
    <w:rsid w:val="00BE2F6A"/>
    <w:rsid w:val="00C15D5D"/>
    <w:rsid w:val="00C169AB"/>
    <w:rsid w:val="00C3420C"/>
    <w:rsid w:val="00C70D3A"/>
    <w:rsid w:val="00C734BA"/>
    <w:rsid w:val="00C96291"/>
    <w:rsid w:val="00CA70DE"/>
    <w:rsid w:val="00CB4E39"/>
    <w:rsid w:val="00CC179B"/>
    <w:rsid w:val="00CD166C"/>
    <w:rsid w:val="00CD4A27"/>
    <w:rsid w:val="00CE0850"/>
    <w:rsid w:val="00CF7B53"/>
    <w:rsid w:val="00D3114E"/>
    <w:rsid w:val="00D326D5"/>
    <w:rsid w:val="00D84977"/>
    <w:rsid w:val="00D94008"/>
    <w:rsid w:val="00D95B41"/>
    <w:rsid w:val="00DC123F"/>
    <w:rsid w:val="00DD6131"/>
    <w:rsid w:val="00DF18A7"/>
    <w:rsid w:val="00DF1E1C"/>
    <w:rsid w:val="00E10410"/>
    <w:rsid w:val="00E16345"/>
    <w:rsid w:val="00E210A4"/>
    <w:rsid w:val="00E364B1"/>
    <w:rsid w:val="00E3671F"/>
    <w:rsid w:val="00E93113"/>
    <w:rsid w:val="00E9538C"/>
    <w:rsid w:val="00E976D4"/>
    <w:rsid w:val="00EA05CA"/>
    <w:rsid w:val="00EB77EC"/>
    <w:rsid w:val="00EB7F4A"/>
    <w:rsid w:val="00EC0119"/>
    <w:rsid w:val="00ED4241"/>
    <w:rsid w:val="00EE04B6"/>
    <w:rsid w:val="00EE1E6B"/>
    <w:rsid w:val="00EE7A48"/>
    <w:rsid w:val="00EF5B7A"/>
    <w:rsid w:val="00EF5CF0"/>
    <w:rsid w:val="00F16021"/>
    <w:rsid w:val="00F21BB6"/>
    <w:rsid w:val="00F26D9C"/>
    <w:rsid w:val="00F42F61"/>
    <w:rsid w:val="00F445ED"/>
    <w:rsid w:val="00F462F5"/>
    <w:rsid w:val="00F8772D"/>
    <w:rsid w:val="00F94A39"/>
    <w:rsid w:val="00FA4BD6"/>
    <w:rsid w:val="00FB6989"/>
    <w:rsid w:val="00FC4F81"/>
    <w:rsid w:val="00FD7BCD"/>
    <w:rsid w:val="00FE72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918C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MA_TextInBrackets"/>
    <w:next w:val="ACMABodyText"/>
    <w:qFormat/>
    <w:rsid w:val="00E3671F"/>
    <w:pPr>
      <w:spacing w:before="80" w:after="240" w:line="280" w:lineRule="atLeast"/>
    </w:pPr>
    <w:rPr>
      <w:rFonts w:ascii="Arial" w:eastAsia="Times New Roman" w:hAnsi="Arial" w:cs="Times New Roman"/>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E3671F"/>
    <w:pPr>
      <w:suppressAutoHyphens/>
      <w:spacing w:after="240" w:line="240" w:lineRule="atLeast"/>
    </w:pPr>
    <w:rPr>
      <w:rFonts w:ascii="Arial" w:eastAsia="Times New Roman" w:hAnsi="Arial" w:cs="Times New Roman"/>
      <w:snapToGrid w:val="0"/>
      <w:sz w:val="20"/>
      <w:szCs w:val="20"/>
    </w:rPr>
  </w:style>
  <w:style w:type="paragraph" w:customStyle="1" w:styleId="ACMAHeading1">
    <w:name w:val="ACMA_Heading1"/>
    <w:next w:val="ACMABodyText"/>
    <w:qFormat/>
    <w:rsid w:val="00E3671F"/>
    <w:pPr>
      <w:keepNext/>
      <w:suppressAutoHyphens/>
      <w:spacing w:before="1800" w:after="360" w:line="240" w:lineRule="auto"/>
      <w:outlineLvl w:val="1"/>
    </w:pPr>
    <w:rPr>
      <w:rFonts w:ascii="Arial" w:eastAsia="Times New Roman" w:hAnsi="Arial" w:cs="Times New Roman"/>
      <w:b/>
      <w:sz w:val="36"/>
      <w:szCs w:val="20"/>
    </w:rPr>
  </w:style>
  <w:style w:type="paragraph" w:styleId="FootnoteText">
    <w:name w:val="footnote text"/>
    <w:aliases w:val="ACMA_FootnoteText,ACMA Footnote Text,ACMA Footnote Text Char,ABA Footnote Text Char,ABA Footnote Text"/>
    <w:link w:val="FootnoteTextChar"/>
    <w:rsid w:val="00E3671F"/>
    <w:pPr>
      <w:tabs>
        <w:tab w:val="left" w:pos="284"/>
      </w:tabs>
      <w:spacing w:after="40" w:line="240" w:lineRule="auto"/>
      <w:ind w:left="289" w:hanging="289"/>
    </w:pPr>
    <w:rPr>
      <w:rFonts w:ascii="Arial" w:eastAsia="Times New Roman" w:hAnsi="Arial" w:cs="Times New Roman"/>
      <w:sz w:val="16"/>
      <w:szCs w:val="20"/>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E3671F"/>
    <w:rPr>
      <w:rFonts w:ascii="Arial" w:eastAsia="Times New Roman" w:hAnsi="Arial" w:cs="Times New Roman"/>
      <w:sz w:val="16"/>
      <w:szCs w:val="20"/>
    </w:rPr>
  </w:style>
  <w:style w:type="character" w:styleId="Hyperlink">
    <w:name w:val="Hyperlink"/>
    <w:basedOn w:val="DefaultParagraphFont"/>
    <w:rsid w:val="00E3671F"/>
    <w:rPr>
      <w:color w:val="0000FF"/>
      <w:u w:val="single"/>
    </w:rPr>
  </w:style>
  <w:style w:type="paragraph" w:customStyle="1" w:styleId="ACMAFooter">
    <w:name w:val="ACMA_Footer"/>
    <w:qFormat/>
    <w:rsid w:val="00E3671F"/>
    <w:pPr>
      <w:pBdr>
        <w:top w:val="single" w:sz="2" w:space="4" w:color="auto"/>
      </w:pBdr>
      <w:tabs>
        <w:tab w:val="right" w:pos="8352"/>
      </w:tabs>
      <w:spacing w:after="0" w:line="240" w:lineRule="auto"/>
    </w:pPr>
    <w:rPr>
      <w:rFonts w:ascii="Arial" w:eastAsia="Times New Roman" w:hAnsi="Arial" w:cs="Times New Roman"/>
      <w:sz w:val="20"/>
      <w:szCs w:val="20"/>
    </w:rPr>
  </w:style>
  <w:style w:type="paragraph" w:customStyle="1" w:styleId="ACMAHeading2">
    <w:name w:val="ACMA_Heading2"/>
    <w:next w:val="ACMABodyText"/>
    <w:qFormat/>
    <w:rsid w:val="00E3671F"/>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TableHeading">
    <w:name w:val="ACMA_TableHeading"/>
    <w:qFormat/>
    <w:rsid w:val="00E3671F"/>
    <w:pPr>
      <w:spacing w:before="40" w:after="40" w:line="240" w:lineRule="auto"/>
    </w:pPr>
    <w:rPr>
      <w:rFonts w:ascii="Arial" w:eastAsia="Times New Roman" w:hAnsi="Arial" w:cs="Times New Roman"/>
      <w:b/>
      <w:sz w:val="20"/>
      <w:szCs w:val="20"/>
    </w:rPr>
  </w:style>
  <w:style w:type="paragraph" w:customStyle="1" w:styleId="ACMATableBody">
    <w:name w:val="ACMA_TableBody"/>
    <w:qFormat/>
    <w:rsid w:val="00E3671F"/>
    <w:pPr>
      <w:spacing w:before="40" w:after="120" w:line="240" w:lineRule="auto"/>
    </w:pPr>
    <w:rPr>
      <w:rFonts w:ascii="Arial" w:eastAsia="Times New Roman" w:hAnsi="Arial" w:cs="Times New Roman"/>
      <w:sz w:val="20"/>
      <w:szCs w:val="20"/>
    </w:rPr>
  </w:style>
  <w:style w:type="table" w:styleId="TableGrid">
    <w:name w:val="Table Grid"/>
    <w:aliases w:val="ACMA_Table"/>
    <w:basedOn w:val="TableNormal"/>
    <w:rsid w:val="00E3671F"/>
    <w:pPr>
      <w:spacing w:before="240" w:after="120" w:line="280" w:lineRule="atLeast"/>
    </w:pPr>
    <w:rPr>
      <w:rFonts w:ascii="Arial" w:eastAsia="Times New Roman" w:hAnsi="Arial" w:cs="Times New Roman"/>
      <w:sz w:val="20"/>
      <w:szCs w:val="20"/>
      <w:lang w:eastAsia="en-AU"/>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E3671F"/>
  </w:style>
  <w:style w:type="paragraph" w:customStyle="1" w:styleId="ACMAInConfidence">
    <w:name w:val="ACMA_InConfidence"/>
    <w:basedOn w:val="Normal"/>
    <w:qFormat/>
    <w:rsid w:val="00E3671F"/>
    <w:pPr>
      <w:jc w:val="center"/>
    </w:pPr>
    <w:rPr>
      <w:b/>
      <w:bCs/>
      <w:i w:val="0"/>
    </w:rPr>
  </w:style>
  <w:style w:type="character" w:styleId="Emphasis">
    <w:name w:val="Emphasis"/>
    <w:basedOn w:val="DefaultParagraphFont"/>
    <w:qFormat/>
    <w:rsid w:val="00E3671F"/>
    <w:rPr>
      <w:i/>
      <w:iCs/>
    </w:rPr>
  </w:style>
  <w:style w:type="paragraph" w:styleId="Footer">
    <w:name w:val="footer"/>
    <w:aliases w:val="ACMA_FooterTagline"/>
    <w:basedOn w:val="Normal"/>
    <w:link w:val="FooterChar"/>
    <w:unhideWhenUsed/>
    <w:qFormat/>
    <w:rsid w:val="00E3671F"/>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E3671F"/>
    <w:rPr>
      <w:rFonts w:ascii="Arial" w:eastAsia="Times New Roman" w:hAnsi="Arial" w:cs="Times New Roman"/>
      <w:i/>
      <w:sz w:val="20"/>
      <w:szCs w:val="24"/>
    </w:rPr>
  </w:style>
  <w:style w:type="paragraph" w:styleId="Header">
    <w:name w:val="header"/>
    <w:basedOn w:val="Normal"/>
    <w:link w:val="HeaderChar"/>
    <w:unhideWhenUsed/>
    <w:rsid w:val="00E3671F"/>
    <w:pPr>
      <w:tabs>
        <w:tab w:val="center" w:pos="4513"/>
        <w:tab w:val="right" w:pos="9026"/>
      </w:tabs>
      <w:spacing w:before="0" w:after="0" w:line="240" w:lineRule="auto"/>
    </w:pPr>
  </w:style>
  <w:style w:type="character" w:customStyle="1" w:styleId="HeaderChar">
    <w:name w:val="Header Char"/>
    <w:basedOn w:val="DefaultParagraphFont"/>
    <w:link w:val="Header"/>
    <w:rsid w:val="00E3671F"/>
    <w:rPr>
      <w:rFonts w:ascii="Arial" w:eastAsia="Times New Roman" w:hAnsi="Arial" w:cs="Times New Roman"/>
      <w:i/>
      <w:sz w:val="20"/>
      <w:szCs w:val="24"/>
    </w:rPr>
  </w:style>
  <w:style w:type="character" w:styleId="FootnoteReference">
    <w:name w:val="footnote reference"/>
    <w:aliases w:val="(NECG) Footnote Reference,(NECG) Footnote Reference1,(NECG) Footnote Reference2,o"/>
    <w:basedOn w:val="DefaultParagraphFont"/>
    <w:rsid w:val="00E3671F"/>
    <w:rPr>
      <w:vertAlign w:val="superscript"/>
    </w:rPr>
  </w:style>
  <w:style w:type="paragraph" w:customStyle="1" w:styleId="ACMABodyTextBold">
    <w:name w:val="ACMA_BodyTextBold"/>
    <w:basedOn w:val="ACMABodyText"/>
    <w:qFormat/>
    <w:rsid w:val="00E3671F"/>
    <w:pPr>
      <w:spacing w:line="240" w:lineRule="auto"/>
    </w:pPr>
    <w:rPr>
      <w:rFonts w:cs="Arial"/>
      <w:b/>
    </w:rPr>
  </w:style>
  <w:style w:type="paragraph" w:customStyle="1" w:styleId="Default">
    <w:name w:val="Default"/>
    <w:rsid w:val="00E3671F"/>
    <w:pPr>
      <w:autoSpaceDE w:val="0"/>
      <w:autoSpaceDN w:val="0"/>
      <w:adjustRightInd w:val="0"/>
      <w:spacing w:after="0" w:line="240" w:lineRule="auto"/>
    </w:pPr>
    <w:rPr>
      <w:rFonts w:ascii="Barlow" w:eastAsia="Times New Roman" w:hAnsi="Barlow" w:cs="Barlow"/>
      <w:color w:val="000000"/>
      <w:sz w:val="24"/>
      <w:szCs w:val="24"/>
      <w:lang w:eastAsia="en-AU"/>
    </w:rPr>
  </w:style>
  <w:style w:type="paragraph" w:styleId="ListParagraph">
    <w:name w:val="List Paragraph"/>
    <w:basedOn w:val="Normal"/>
    <w:uiPriority w:val="34"/>
    <w:qFormat/>
    <w:rsid w:val="00E3671F"/>
    <w:pPr>
      <w:ind w:left="720"/>
      <w:contextualSpacing/>
    </w:pPr>
  </w:style>
  <w:style w:type="paragraph" w:styleId="BodyText">
    <w:name w:val="Body Text"/>
    <w:basedOn w:val="Normal"/>
    <w:link w:val="BodyTextChar"/>
    <w:uiPriority w:val="1"/>
    <w:qFormat/>
    <w:rsid w:val="00E3671F"/>
    <w:pPr>
      <w:widowControl w:val="0"/>
      <w:autoSpaceDE w:val="0"/>
      <w:autoSpaceDN w:val="0"/>
      <w:spacing w:before="0" w:after="0" w:line="240" w:lineRule="auto"/>
    </w:pPr>
    <w:rPr>
      <w:rFonts w:ascii="Arial Narrow" w:eastAsia="Arial Narrow" w:hAnsi="Arial Narrow" w:cs="Arial Narrow"/>
      <w:i w:val="0"/>
      <w:sz w:val="22"/>
      <w:szCs w:val="22"/>
      <w:lang w:val="en-US"/>
    </w:rPr>
  </w:style>
  <w:style w:type="character" w:customStyle="1" w:styleId="BodyTextChar">
    <w:name w:val="Body Text Char"/>
    <w:basedOn w:val="DefaultParagraphFont"/>
    <w:link w:val="BodyText"/>
    <w:uiPriority w:val="1"/>
    <w:rsid w:val="00E3671F"/>
    <w:rPr>
      <w:rFonts w:ascii="Arial Narrow" w:eastAsia="Arial Narrow" w:hAnsi="Arial Narrow" w:cs="Arial Narrow"/>
      <w:lang w:val="en-US"/>
    </w:rPr>
  </w:style>
  <w:style w:type="paragraph" w:styleId="BalloonText">
    <w:name w:val="Balloon Text"/>
    <w:basedOn w:val="Normal"/>
    <w:link w:val="BalloonTextChar"/>
    <w:uiPriority w:val="99"/>
    <w:semiHidden/>
    <w:unhideWhenUsed/>
    <w:rsid w:val="00E3671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71F"/>
    <w:rPr>
      <w:rFonts w:ascii="Segoe UI" w:eastAsia="Times New Roman" w:hAnsi="Segoe UI" w:cs="Segoe UI"/>
      <w:i/>
      <w:sz w:val="18"/>
      <w:szCs w:val="18"/>
    </w:rPr>
  </w:style>
  <w:style w:type="paragraph" w:customStyle="1" w:styleId="paragraph">
    <w:name w:val="paragraph"/>
    <w:basedOn w:val="Normal"/>
    <w:rsid w:val="008F346B"/>
    <w:pPr>
      <w:spacing w:before="100" w:beforeAutospacing="1" w:after="100" w:afterAutospacing="1" w:line="240" w:lineRule="auto"/>
    </w:pPr>
    <w:rPr>
      <w:rFonts w:ascii="Times New Roman" w:hAnsi="Times New Roman"/>
      <w:i w:val="0"/>
      <w:sz w:val="24"/>
      <w:lang w:val="en-GB" w:eastAsia="en-GB"/>
    </w:rPr>
  </w:style>
  <w:style w:type="paragraph" w:customStyle="1" w:styleId="ACMABodyText0">
    <w:name w:val="ACMA Body Text"/>
    <w:link w:val="ACMABodyTextChar"/>
    <w:rsid w:val="00905EAA"/>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0"/>
    <w:locked/>
    <w:rsid w:val="00905EAA"/>
    <w:rPr>
      <w:rFonts w:ascii="Times New Roman" w:eastAsia="Times New Roman" w:hAnsi="Times New Roman" w:cs="Times New Roman"/>
      <w:snapToGrid w:val="0"/>
      <w:sz w:val="24"/>
      <w:szCs w:val="20"/>
    </w:rPr>
  </w:style>
  <w:style w:type="paragraph" w:customStyle="1" w:styleId="ACMAHeading20">
    <w:name w:val="ACMA Heading 2"/>
    <w:next w:val="ACMABodyText0"/>
    <w:link w:val="ACMAHeading2Char"/>
    <w:rsid w:val="00F94A39"/>
    <w:pPr>
      <w:keepNext/>
      <w:suppressAutoHyphens/>
      <w:spacing w:before="240" w:after="0" w:line="240" w:lineRule="auto"/>
      <w:outlineLvl w:val="2"/>
    </w:pPr>
    <w:rPr>
      <w:rFonts w:ascii="Arial" w:eastAsia="Times New Roman" w:hAnsi="Arial" w:cs="Times New Roman"/>
      <w:b/>
      <w:sz w:val="28"/>
      <w:szCs w:val="20"/>
    </w:rPr>
  </w:style>
  <w:style w:type="character" w:customStyle="1" w:styleId="ACMAHeading2Char">
    <w:name w:val="ACMA Heading 2 Char"/>
    <w:basedOn w:val="DefaultParagraphFont"/>
    <w:link w:val="ACMAHeading20"/>
    <w:rsid w:val="00F94A39"/>
    <w:rPr>
      <w:rFonts w:ascii="Arial" w:eastAsia="Times New Roman" w:hAnsi="Arial" w:cs="Times New Roman"/>
      <w:b/>
      <w:sz w:val="28"/>
      <w:szCs w:val="20"/>
    </w:rPr>
  </w:style>
  <w:style w:type="paragraph" w:customStyle="1" w:styleId="acthead5">
    <w:name w:val="acthead5"/>
    <w:basedOn w:val="Normal"/>
    <w:rsid w:val="007D06CE"/>
    <w:pPr>
      <w:spacing w:before="100" w:beforeAutospacing="1" w:after="100" w:afterAutospacing="1" w:line="240" w:lineRule="auto"/>
    </w:pPr>
    <w:rPr>
      <w:rFonts w:ascii="Times New Roman" w:hAnsi="Times New Roman"/>
      <w:i w:val="0"/>
      <w:sz w:val="24"/>
      <w:lang w:eastAsia="en-AU"/>
    </w:rPr>
  </w:style>
  <w:style w:type="character" w:customStyle="1" w:styleId="charsectno">
    <w:name w:val="charsectno"/>
    <w:basedOn w:val="DefaultParagraphFont"/>
    <w:rsid w:val="007D06CE"/>
  </w:style>
  <w:style w:type="paragraph" w:customStyle="1" w:styleId="subsection">
    <w:name w:val="subsection"/>
    <w:basedOn w:val="Normal"/>
    <w:rsid w:val="007D06CE"/>
    <w:pPr>
      <w:spacing w:before="100" w:beforeAutospacing="1" w:after="100" w:afterAutospacing="1" w:line="240" w:lineRule="auto"/>
    </w:pPr>
    <w:rPr>
      <w:rFonts w:ascii="Times New Roman" w:hAnsi="Times New Roman"/>
      <w:i w:val="0"/>
      <w:sz w:val="24"/>
      <w:lang w:eastAsia="en-AU"/>
    </w:rPr>
  </w:style>
  <w:style w:type="character" w:styleId="CommentReference">
    <w:name w:val="annotation reference"/>
    <w:basedOn w:val="DefaultParagraphFont"/>
    <w:semiHidden/>
    <w:unhideWhenUsed/>
    <w:rsid w:val="00410516"/>
    <w:rPr>
      <w:sz w:val="16"/>
      <w:szCs w:val="16"/>
    </w:rPr>
  </w:style>
  <w:style w:type="paragraph" w:styleId="CommentText">
    <w:name w:val="annotation text"/>
    <w:basedOn w:val="Normal"/>
    <w:link w:val="CommentTextChar"/>
    <w:unhideWhenUsed/>
    <w:rsid w:val="00410516"/>
    <w:pPr>
      <w:spacing w:line="240" w:lineRule="auto"/>
    </w:pPr>
    <w:rPr>
      <w:szCs w:val="20"/>
    </w:rPr>
  </w:style>
  <w:style w:type="character" w:customStyle="1" w:styleId="CommentTextChar">
    <w:name w:val="Comment Text Char"/>
    <w:basedOn w:val="DefaultParagraphFont"/>
    <w:link w:val="CommentText"/>
    <w:rsid w:val="00410516"/>
    <w:rPr>
      <w:rFonts w:ascii="Arial" w:eastAsia="Times New Roman" w:hAnsi="Arial" w:cs="Times New Roman"/>
      <w:i/>
      <w:sz w:val="20"/>
      <w:szCs w:val="20"/>
    </w:rPr>
  </w:style>
  <w:style w:type="paragraph" w:styleId="CommentSubject">
    <w:name w:val="annotation subject"/>
    <w:basedOn w:val="CommentText"/>
    <w:next w:val="CommentText"/>
    <w:link w:val="CommentSubjectChar"/>
    <w:uiPriority w:val="99"/>
    <w:semiHidden/>
    <w:unhideWhenUsed/>
    <w:rsid w:val="00410516"/>
    <w:rPr>
      <w:b/>
      <w:bCs/>
    </w:rPr>
  </w:style>
  <w:style w:type="character" w:customStyle="1" w:styleId="CommentSubjectChar">
    <w:name w:val="Comment Subject Char"/>
    <w:basedOn w:val="CommentTextChar"/>
    <w:link w:val="CommentSubject"/>
    <w:uiPriority w:val="99"/>
    <w:semiHidden/>
    <w:rsid w:val="00410516"/>
    <w:rPr>
      <w:rFonts w:ascii="Arial" w:eastAsia="Times New Roman" w:hAnsi="Arial" w:cs="Times New Roman"/>
      <w:b/>
      <w:bCs/>
      <w:i/>
      <w:sz w:val="20"/>
      <w:szCs w:val="20"/>
    </w:rPr>
  </w:style>
  <w:style w:type="paragraph" w:customStyle="1" w:styleId="ACMABodyForm">
    <w:name w:val="ACMA_BodyForm"/>
    <w:basedOn w:val="Normal"/>
    <w:qFormat/>
    <w:rsid w:val="001C70C1"/>
    <w:pPr>
      <w:spacing w:before="360" w:after="120" w:line="240" w:lineRule="atLeast"/>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005293">
      <w:bodyDiv w:val="1"/>
      <w:marLeft w:val="0"/>
      <w:marRight w:val="0"/>
      <w:marTop w:val="0"/>
      <w:marBottom w:val="0"/>
      <w:divBdr>
        <w:top w:val="none" w:sz="0" w:space="0" w:color="auto"/>
        <w:left w:val="none" w:sz="0" w:space="0" w:color="auto"/>
        <w:bottom w:val="none" w:sz="0" w:space="0" w:color="auto"/>
        <w:right w:val="none" w:sz="0" w:space="0" w:color="auto"/>
      </w:divBdr>
    </w:div>
    <w:div w:id="1865365175">
      <w:bodyDiv w:val="1"/>
      <w:marLeft w:val="0"/>
      <w:marRight w:val="0"/>
      <w:marTop w:val="0"/>
      <w:marBottom w:val="0"/>
      <w:divBdr>
        <w:top w:val="none" w:sz="0" w:space="0" w:color="auto"/>
        <w:left w:val="none" w:sz="0" w:space="0" w:color="auto"/>
        <w:bottom w:val="none" w:sz="0" w:space="0" w:color="auto"/>
        <w:right w:val="none" w:sz="0" w:space="0" w:color="auto"/>
      </w:divBdr>
      <w:divsChild>
        <w:div w:id="33846553">
          <w:marLeft w:val="0"/>
          <w:marRight w:val="0"/>
          <w:marTop w:val="0"/>
          <w:marBottom w:val="0"/>
          <w:divBdr>
            <w:top w:val="none" w:sz="0" w:space="0" w:color="auto"/>
            <w:left w:val="none" w:sz="0" w:space="0" w:color="auto"/>
            <w:bottom w:val="none" w:sz="0" w:space="0" w:color="auto"/>
            <w:right w:val="none" w:sz="0" w:space="0" w:color="auto"/>
          </w:divBdr>
          <w:divsChild>
            <w:div w:id="1613901404">
              <w:marLeft w:val="0"/>
              <w:marRight w:val="0"/>
              <w:marTop w:val="0"/>
              <w:marBottom w:val="0"/>
              <w:divBdr>
                <w:top w:val="none" w:sz="0" w:space="0" w:color="auto"/>
                <w:left w:val="none" w:sz="0" w:space="0" w:color="auto"/>
                <w:bottom w:val="none" w:sz="0" w:space="0" w:color="auto"/>
                <w:right w:val="none" w:sz="0" w:space="0" w:color="auto"/>
              </w:divBdr>
              <w:divsChild>
                <w:div w:id="1016617462">
                  <w:marLeft w:val="0"/>
                  <w:marRight w:val="0"/>
                  <w:marTop w:val="0"/>
                  <w:marBottom w:val="0"/>
                  <w:divBdr>
                    <w:top w:val="none" w:sz="0" w:space="0" w:color="auto"/>
                    <w:left w:val="none" w:sz="0" w:space="0" w:color="auto"/>
                    <w:bottom w:val="none" w:sz="0" w:space="0" w:color="auto"/>
                    <w:right w:val="none" w:sz="0" w:space="0" w:color="auto"/>
                  </w:divBdr>
                  <w:divsChild>
                    <w:div w:id="1370497585">
                      <w:marLeft w:val="0"/>
                      <w:marRight w:val="0"/>
                      <w:marTop w:val="0"/>
                      <w:marBottom w:val="0"/>
                      <w:divBdr>
                        <w:top w:val="none" w:sz="0" w:space="0" w:color="auto"/>
                        <w:left w:val="none" w:sz="0" w:space="0" w:color="auto"/>
                        <w:bottom w:val="none" w:sz="0" w:space="0" w:color="auto"/>
                        <w:right w:val="none" w:sz="0" w:space="0" w:color="auto"/>
                      </w:divBdr>
                      <w:divsChild>
                        <w:div w:id="1338926636">
                          <w:marLeft w:val="0"/>
                          <w:marRight w:val="0"/>
                          <w:marTop w:val="0"/>
                          <w:marBottom w:val="0"/>
                          <w:divBdr>
                            <w:top w:val="none" w:sz="0" w:space="0" w:color="auto"/>
                            <w:left w:val="none" w:sz="0" w:space="0" w:color="auto"/>
                            <w:bottom w:val="none" w:sz="0" w:space="0" w:color="auto"/>
                            <w:right w:val="none" w:sz="0" w:space="0" w:color="auto"/>
                          </w:divBdr>
                          <w:divsChild>
                            <w:div w:id="835920824">
                              <w:marLeft w:val="0"/>
                              <w:marRight w:val="0"/>
                              <w:marTop w:val="0"/>
                              <w:marBottom w:val="0"/>
                              <w:divBdr>
                                <w:top w:val="none" w:sz="0" w:space="0" w:color="auto"/>
                                <w:left w:val="none" w:sz="0" w:space="0" w:color="auto"/>
                                <w:bottom w:val="none" w:sz="0" w:space="0" w:color="auto"/>
                                <w:right w:val="none" w:sz="0" w:space="0" w:color="auto"/>
                              </w:divBdr>
                              <w:divsChild>
                                <w:div w:id="1541473338">
                                  <w:marLeft w:val="0"/>
                                  <w:marRight w:val="0"/>
                                  <w:marTop w:val="0"/>
                                  <w:marBottom w:val="0"/>
                                  <w:divBdr>
                                    <w:top w:val="none" w:sz="0" w:space="0" w:color="auto"/>
                                    <w:left w:val="none" w:sz="0" w:space="0" w:color="auto"/>
                                    <w:bottom w:val="none" w:sz="0" w:space="0" w:color="auto"/>
                                    <w:right w:val="none" w:sz="0" w:space="0" w:color="auto"/>
                                  </w:divBdr>
                                  <w:divsChild>
                                    <w:div w:id="362093679">
                                      <w:marLeft w:val="0"/>
                                      <w:marRight w:val="0"/>
                                      <w:marTop w:val="0"/>
                                      <w:marBottom w:val="0"/>
                                      <w:divBdr>
                                        <w:top w:val="none" w:sz="0" w:space="0" w:color="auto"/>
                                        <w:left w:val="none" w:sz="0" w:space="0" w:color="auto"/>
                                        <w:bottom w:val="none" w:sz="0" w:space="0" w:color="auto"/>
                                        <w:right w:val="none" w:sz="0" w:space="0" w:color="auto"/>
                                      </w:divBdr>
                                      <w:divsChild>
                                        <w:div w:id="1051273249">
                                          <w:marLeft w:val="0"/>
                                          <w:marRight w:val="0"/>
                                          <w:marTop w:val="0"/>
                                          <w:marBottom w:val="0"/>
                                          <w:divBdr>
                                            <w:top w:val="none" w:sz="0" w:space="0" w:color="auto"/>
                                            <w:left w:val="none" w:sz="0" w:space="0" w:color="auto"/>
                                            <w:bottom w:val="none" w:sz="0" w:space="0" w:color="auto"/>
                                            <w:right w:val="none" w:sz="0" w:space="0" w:color="auto"/>
                                          </w:divBdr>
                                          <w:divsChild>
                                            <w:div w:id="1993288942">
                                              <w:marLeft w:val="0"/>
                                              <w:marRight w:val="0"/>
                                              <w:marTop w:val="0"/>
                                              <w:marBottom w:val="0"/>
                                              <w:divBdr>
                                                <w:top w:val="none" w:sz="0" w:space="0" w:color="auto"/>
                                                <w:left w:val="none" w:sz="0" w:space="0" w:color="auto"/>
                                                <w:bottom w:val="none" w:sz="0" w:space="0" w:color="auto"/>
                                                <w:right w:val="none" w:sz="0" w:space="0" w:color="auto"/>
                                              </w:divBdr>
                                              <w:divsChild>
                                                <w:div w:id="16808234">
                                                  <w:marLeft w:val="0"/>
                                                  <w:marRight w:val="0"/>
                                                  <w:marTop w:val="0"/>
                                                  <w:marBottom w:val="0"/>
                                                  <w:divBdr>
                                                    <w:top w:val="none" w:sz="0" w:space="0" w:color="auto"/>
                                                    <w:left w:val="none" w:sz="0" w:space="0" w:color="auto"/>
                                                    <w:bottom w:val="none" w:sz="0" w:space="0" w:color="auto"/>
                                                    <w:right w:val="none" w:sz="0" w:space="0" w:color="auto"/>
                                                  </w:divBdr>
                                                  <w:divsChild>
                                                    <w:div w:id="532622132">
                                                      <w:marLeft w:val="0"/>
                                                      <w:marRight w:val="0"/>
                                                      <w:marTop w:val="0"/>
                                                      <w:marBottom w:val="0"/>
                                                      <w:divBdr>
                                                        <w:top w:val="none" w:sz="0" w:space="0" w:color="auto"/>
                                                        <w:left w:val="none" w:sz="0" w:space="0" w:color="auto"/>
                                                        <w:bottom w:val="none" w:sz="0" w:space="0" w:color="auto"/>
                                                        <w:right w:val="none" w:sz="0" w:space="0" w:color="auto"/>
                                                      </w:divBdr>
                                                      <w:divsChild>
                                                        <w:div w:id="1527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931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8.austlii.edu.au/cgi-bin/viewdoc/au/legis/cth/consol_act/tapa1992314/s8.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8.austlii.edu.au/cgi-bin/viewdoc/au/legis/cth/consol_act/tapa1992314/s8.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8.austlii.edu.au/cgi-bin/viewdoc/au/legis/cth/consol_act/tapa1992314/s8.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8.austlii.edu.au/cgi-bin/viewdoc/au/legis/cth/consol_act/tapa1992314/s8.html"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8.austlii.edu.au/cgi-bin/viewdoc/au/legis/cth/consol_act/tapa1992314/s8.html"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0208D3386B714F868445C21D19A09D" ma:contentTypeVersion="13" ma:contentTypeDescription="Create a new document." ma:contentTypeScope="" ma:versionID="0177a2d1a84547a15dabbbd22cb5ad0b">
  <xsd:schema xmlns:xsd="http://www.w3.org/2001/XMLSchema" xmlns:xs="http://www.w3.org/2001/XMLSchema" xmlns:p="http://schemas.microsoft.com/office/2006/metadata/properties" xmlns:ns3="f46e3ec0-68a7-4224-820d-95137d47d6b5" xmlns:ns4="4eb9cabd-8d5a-42b9-b1ef-e48dbcba3a05" targetNamespace="http://schemas.microsoft.com/office/2006/metadata/properties" ma:root="true" ma:fieldsID="ebe610df55ab1148d0d0c19cbb3a5067" ns3:_="" ns4:_="">
    <xsd:import namespace="f46e3ec0-68a7-4224-820d-95137d47d6b5"/>
    <xsd:import namespace="4eb9cabd-8d5a-42b9-b1ef-e48dbcba3a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e3ec0-68a7-4224-820d-95137d47d6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9cabd-8d5a-42b9-b1ef-e48dbcba3a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4D2F70-06E7-4B45-AF52-EE22B8727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e3ec0-68a7-4224-820d-95137d47d6b5"/>
    <ds:schemaRef ds:uri="4eb9cabd-8d5a-42b9-b1ef-e48dbcba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09D8C-E289-4442-9C5F-4DCC82C0E8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eb9cabd-8d5a-42b9-b1ef-e48dbcba3a05"/>
    <ds:schemaRef ds:uri="http://purl.org/dc/elements/1.1/"/>
    <ds:schemaRef ds:uri="http://schemas.microsoft.com/office/2006/metadata/properties"/>
    <ds:schemaRef ds:uri="f46e3ec0-68a7-4224-820d-95137d47d6b5"/>
    <ds:schemaRef ds:uri="http://www.w3.org/XML/1998/namespace"/>
    <ds:schemaRef ds:uri="http://purl.org/dc/dcmitype/"/>
  </ds:schemaRefs>
</ds:datastoreItem>
</file>

<file path=customXml/itemProps3.xml><?xml version="1.0" encoding="utf-8"?>
<ds:datastoreItem xmlns:ds="http://schemas.openxmlformats.org/officeDocument/2006/customXml" ds:itemID="{45B2D795-E72E-4369-AFCA-4FDCD7E9A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2514</Words>
  <Characters>14334</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2020-01-27T23:58:00Z</dcterms:created>
  <dcterms:modified xsi:type="dcterms:W3CDTF">2020-01-27T23:58:00Z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0x010100880208D3386B714F868445C21D19A09D</vt:lpwstr>
  </property>
</Properties>
</file>