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145C8" w14:textId="2643FC6C" w:rsidR="00F06E14" w:rsidRPr="00A51D1A" w:rsidRDefault="004516BF" w:rsidP="00A51D1A">
      <w:pPr>
        <w:pStyle w:val="Reporttitle"/>
      </w:pPr>
      <w:r>
        <w:t>Telco customer service report</w:t>
      </w:r>
    </w:p>
    <w:p w14:paraId="13B3F57C" w14:textId="512488E9" w:rsidR="00C97736" w:rsidRPr="000D76E0" w:rsidRDefault="004516BF"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w:t>
      </w:r>
      <w:r w:rsidR="00BD4421">
        <w:t xml:space="preserve"> 2019</w:t>
      </w:r>
    </w:p>
    <w:p w14:paraId="79DD61A5" w14:textId="77777777" w:rsidR="0005011A" w:rsidRPr="00F44F3A" w:rsidRDefault="0005011A" w:rsidP="00FC07B9">
      <w:pPr>
        <w:pStyle w:val="ACMACorporateAddressHeader"/>
      </w:pPr>
      <w:r w:rsidRPr="00F44F3A">
        <w:lastRenderedPageBreak/>
        <w:t>Canberra</w:t>
      </w:r>
    </w:p>
    <w:p w14:paraId="3CF801B6"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16665E2" w14:textId="77777777" w:rsidR="0005011A" w:rsidRPr="00FC07B9" w:rsidRDefault="0005011A" w:rsidP="00FC07B9">
      <w:pPr>
        <w:pStyle w:val="ACMACorporateAddresses"/>
      </w:pPr>
      <w:r w:rsidRPr="00FC07B9">
        <w:t>PO Box 78</w:t>
      </w:r>
      <w:r w:rsidRPr="00FC07B9">
        <w:br/>
        <w:t>Belconnen ACT 2616</w:t>
      </w:r>
    </w:p>
    <w:p w14:paraId="205F3C83"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0A123EB" w14:textId="77777777" w:rsidR="0005011A" w:rsidRPr="00F44F3A" w:rsidRDefault="0005011A" w:rsidP="00FC07B9">
      <w:pPr>
        <w:pStyle w:val="ACMACorporateAddressHeader"/>
      </w:pPr>
      <w:r w:rsidRPr="00F44F3A">
        <w:t>Melbourne</w:t>
      </w:r>
    </w:p>
    <w:p w14:paraId="40EB95EF"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8E3C81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57F1C1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865E8D0" w14:textId="77777777" w:rsidR="0005011A" w:rsidRPr="00F44F3A" w:rsidRDefault="0005011A" w:rsidP="00FC07B9">
      <w:pPr>
        <w:pStyle w:val="ACMACorporateAddressHeader"/>
      </w:pPr>
      <w:r w:rsidRPr="00F44F3A">
        <w:t>Sydney</w:t>
      </w:r>
    </w:p>
    <w:p w14:paraId="38A1457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DF287C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C50855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818011F" w14:textId="77777777" w:rsidR="00140318" w:rsidRPr="006D46E5" w:rsidRDefault="00140318" w:rsidP="00FC07B9">
      <w:pPr>
        <w:pStyle w:val="ACMACopyrightHeader"/>
      </w:pPr>
      <w:r w:rsidRPr="00140318">
        <w:t>Copyright notice</w:t>
      </w:r>
    </w:p>
    <w:p w14:paraId="0BEFC3D4" w14:textId="77777777" w:rsidR="00140318" w:rsidRPr="006D46E5" w:rsidRDefault="00623FF9" w:rsidP="00623FF9">
      <w:pPr>
        <w:pStyle w:val="ACMACClogo"/>
      </w:pPr>
      <w:r w:rsidRPr="00623FF9">
        <w:rPr>
          <w:noProof/>
        </w:rPr>
        <w:drawing>
          <wp:inline distT="0" distB="0" distL="0" distR="0" wp14:anchorId="37110468" wp14:editId="22E2D0A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8384D06" w14:textId="77777777" w:rsidR="00AA2DE5" w:rsidRDefault="00A4440A" w:rsidP="00AA2DE5">
      <w:pPr>
        <w:pStyle w:val="ACMACorporateAddresses"/>
        <w:rPr>
          <w:rStyle w:val="Hyperlink"/>
        </w:rPr>
      </w:pPr>
      <w:hyperlink r:id="rId13" w:history="1">
        <w:r w:rsidR="00AA2DE5">
          <w:rPr>
            <w:rStyle w:val="Hyperlink"/>
          </w:rPr>
          <w:t>https://creativecommons.org/licenses/by/4.0/</w:t>
        </w:r>
      </w:hyperlink>
    </w:p>
    <w:p w14:paraId="72EF8AB6"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6AA95669" w14:textId="77777777" w:rsidR="00AA2DE5" w:rsidRDefault="00AA2DE5" w:rsidP="00AA2DE5">
      <w:pPr>
        <w:pStyle w:val="ACMACorporateAddresses"/>
      </w:pPr>
      <w:r>
        <w:t>We request attribution as © Commonwealth of Australia (Australian Communications and Media Authority) 201</w:t>
      </w:r>
      <w:r w:rsidR="000245E5">
        <w:t>9</w:t>
      </w:r>
      <w:r>
        <w:t>.</w:t>
      </w:r>
    </w:p>
    <w:p w14:paraId="7D64E25E" w14:textId="77777777" w:rsidR="00AA2DE5" w:rsidRDefault="00AA2DE5" w:rsidP="00AA2DE5">
      <w:pPr>
        <w:pStyle w:val="ACMACorporateAddresses"/>
      </w:pPr>
      <w:r>
        <w:t>All other rights are reserved.</w:t>
      </w:r>
    </w:p>
    <w:p w14:paraId="224D236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45374E5" w14:textId="77777777" w:rsidR="00AA2DE5" w:rsidRDefault="00AA2DE5" w:rsidP="00AA2DE5">
      <w:pPr>
        <w:pStyle w:val="ACMACorporateAddresses"/>
      </w:pPr>
      <w:r>
        <w:t>Written enquiries may be sent to:</w:t>
      </w:r>
    </w:p>
    <w:p w14:paraId="10B82633"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039E1E11" w14:textId="77777777" w:rsidR="00D16FE3" w:rsidRDefault="00D16FE3" w:rsidP="00D16FE3">
      <w:pPr>
        <w:pStyle w:val="ACMACorporateAddresses"/>
        <w:rPr>
          <w:rStyle w:val="Hyperlink"/>
        </w:rPr>
      </w:pPr>
    </w:p>
    <w:p w14:paraId="63F413BE"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DEAEA12" w14:textId="1308C9F1" w:rsidR="00456DEB" w:rsidRDefault="009B24A5">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\t "Exec summary heading,1" </w:instrText>
      </w:r>
      <w:r>
        <w:rPr>
          <w:rFonts w:cs="Arial"/>
        </w:rPr>
        <w:fldChar w:fldCharType="separate"/>
      </w:r>
      <w:r w:rsidR="00456DEB" w:rsidRPr="00FF64A1">
        <w:rPr>
          <w:lang w:val="en"/>
        </w:rPr>
        <w:t>Customer service from Australia’s largest telcos</w:t>
      </w:r>
      <w:r w:rsidR="00456DEB">
        <w:tab/>
      </w:r>
      <w:r w:rsidR="00456DEB">
        <w:fldChar w:fldCharType="begin"/>
      </w:r>
      <w:r w:rsidR="00456DEB">
        <w:instrText xml:space="preserve"> PAGEREF _Toc26193297 \h </w:instrText>
      </w:r>
      <w:r w:rsidR="00456DEB">
        <w:fldChar w:fldCharType="separate"/>
      </w:r>
      <w:r w:rsidR="00456DEB">
        <w:t>1</w:t>
      </w:r>
      <w:r w:rsidR="00456DEB">
        <w:fldChar w:fldCharType="end"/>
      </w:r>
    </w:p>
    <w:p w14:paraId="1822AF80" w14:textId="66C447F8" w:rsidR="00456DEB" w:rsidRDefault="00456DEB">
      <w:pPr>
        <w:pStyle w:val="TOC1"/>
        <w:rPr>
          <w:rFonts w:asciiTheme="minorHAnsi" w:eastAsiaTheme="minorEastAsia" w:hAnsiTheme="minorHAnsi" w:cstheme="minorBidi"/>
          <w:b w:val="0"/>
          <w:spacing w:val="0"/>
          <w:sz w:val="22"/>
          <w:szCs w:val="22"/>
        </w:rPr>
      </w:pPr>
      <w:r w:rsidRPr="00FF64A1">
        <w:rPr>
          <w:lang w:val="en"/>
        </w:rPr>
        <w:t>Detailed results</w:t>
      </w:r>
      <w:r>
        <w:tab/>
      </w:r>
      <w:r>
        <w:fldChar w:fldCharType="begin"/>
      </w:r>
      <w:r>
        <w:instrText xml:space="preserve"> PAGEREF _Toc26193298 \h </w:instrText>
      </w:r>
      <w:r>
        <w:fldChar w:fldCharType="separate"/>
      </w:r>
      <w:r>
        <w:t>3</w:t>
      </w:r>
      <w:r>
        <w:fldChar w:fldCharType="end"/>
      </w:r>
    </w:p>
    <w:p w14:paraId="05B377C1" w14:textId="2E782B77" w:rsidR="00456DEB" w:rsidRDefault="00456DEB">
      <w:pPr>
        <w:pStyle w:val="TOC2"/>
        <w:rPr>
          <w:rFonts w:asciiTheme="minorHAnsi" w:eastAsiaTheme="minorEastAsia" w:hAnsiTheme="minorHAnsi" w:cstheme="minorBidi"/>
          <w:spacing w:val="0"/>
          <w:sz w:val="22"/>
          <w:szCs w:val="22"/>
        </w:rPr>
      </w:pPr>
      <w:r w:rsidRPr="00FF64A1">
        <w:rPr>
          <w:lang w:val="en"/>
        </w:rPr>
        <w:t>Consumers like to talk to telcos</w:t>
      </w:r>
      <w:r>
        <w:tab/>
      </w:r>
      <w:r>
        <w:fldChar w:fldCharType="begin"/>
      </w:r>
      <w:r>
        <w:instrText xml:space="preserve"> PAGEREF _Toc26193299 \h </w:instrText>
      </w:r>
      <w:r>
        <w:fldChar w:fldCharType="separate"/>
      </w:r>
      <w:r>
        <w:t>3</w:t>
      </w:r>
      <w:r>
        <w:fldChar w:fldCharType="end"/>
      </w:r>
    </w:p>
    <w:p w14:paraId="5105C7B5" w14:textId="7FD55F8F" w:rsidR="00456DEB" w:rsidRDefault="00456DEB">
      <w:pPr>
        <w:pStyle w:val="TOC2"/>
        <w:rPr>
          <w:rFonts w:asciiTheme="minorHAnsi" w:eastAsiaTheme="minorEastAsia" w:hAnsiTheme="minorHAnsi" w:cstheme="minorBidi"/>
          <w:spacing w:val="0"/>
          <w:sz w:val="22"/>
          <w:szCs w:val="22"/>
        </w:rPr>
      </w:pPr>
      <w:r w:rsidRPr="00FF64A1">
        <w:rPr>
          <w:lang w:val="en"/>
        </w:rPr>
        <w:t>Wait times vary</w:t>
      </w:r>
      <w:r>
        <w:tab/>
      </w:r>
      <w:r>
        <w:fldChar w:fldCharType="begin"/>
      </w:r>
      <w:r>
        <w:instrText xml:space="preserve"> PAGEREF _Toc26193300 \h </w:instrText>
      </w:r>
      <w:r>
        <w:fldChar w:fldCharType="separate"/>
      </w:r>
      <w:r>
        <w:t>4</w:t>
      </w:r>
      <w:r>
        <w:fldChar w:fldCharType="end"/>
      </w:r>
    </w:p>
    <w:p w14:paraId="65CB451E" w14:textId="6A245141" w:rsidR="00456DEB" w:rsidRDefault="00456DEB">
      <w:pPr>
        <w:pStyle w:val="TOC2"/>
        <w:rPr>
          <w:rFonts w:asciiTheme="minorHAnsi" w:eastAsiaTheme="minorEastAsia" w:hAnsiTheme="minorHAnsi" w:cstheme="minorBidi"/>
          <w:spacing w:val="0"/>
          <w:sz w:val="22"/>
          <w:szCs w:val="22"/>
        </w:rPr>
      </w:pPr>
      <w:r w:rsidRPr="00FF64A1">
        <w:rPr>
          <w:lang w:val="en"/>
        </w:rPr>
        <w:t>Some callers are hanging up</w:t>
      </w:r>
      <w:r>
        <w:tab/>
      </w:r>
      <w:r>
        <w:fldChar w:fldCharType="begin"/>
      </w:r>
      <w:r>
        <w:instrText xml:space="preserve"> PAGEREF _Toc26193301 \h </w:instrText>
      </w:r>
      <w:r>
        <w:fldChar w:fldCharType="separate"/>
      </w:r>
      <w:r>
        <w:t>5</w:t>
      </w:r>
      <w:r>
        <w:fldChar w:fldCharType="end"/>
      </w:r>
    </w:p>
    <w:p w14:paraId="42276BFC" w14:textId="2A4C4BC1" w:rsidR="00456DEB" w:rsidRDefault="00456DEB">
      <w:pPr>
        <w:pStyle w:val="TOC2"/>
        <w:rPr>
          <w:rFonts w:asciiTheme="minorHAnsi" w:eastAsiaTheme="minorEastAsia" w:hAnsiTheme="minorHAnsi" w:cstheme="minorBidi"/>
          <w:spacing w:val="0"/>
          <w:sz w:val="22"/>
          <w:szCs w:val="22"/>
        </w:rPr>
      </w:pPr>
      <w:r w:rsidRPr="00FF64A1">
        <w:rPr>
          <w:lang w:val="en"/>
        </w:rPr>
        <w:t>Resolving issues at first contact</w:t>
      </w:r>
      <w:r>
        <w:tab/>
      </w:r>
      <w:r>
        <w:fldChar w:fldCharType="begin"/>
      </w:r>
      <w:r>
        <w:instrText xml:space="preserve"> PAGEREF _Toc26193302 \h </w:instrText>
      </w:r>
      <w:r>
        <w:fldChar w:fldCharType="separate"/>
      </w:r>
      <w:r>
        <w:t>6</w:t>
      </w:r>
      <w:r>
        <w:fldChar w:fldCharType="end"/>
      </w:r>
    </w:p>
    <w:p w14:paraId="7D668573" w14:textId="3F059A4E" w:rsidR="00456DEB" w:rsidRDefault="00456DEB">
      <w:pPr>
        <w:pStyle w:val="TOC2"/>
        <w:rPr>
          <w:rFonts w:asciiTheme="minorHAnsi" w:eastAsiaTheme="minorEastAsia" w:hAnsiTheme="minorHAnsi" w:cstheme="minorBidi"/>
          <w:spacing w:val="0"/>
          <w:sz w:val="22"/>
          <w:szCs w:val="22"/>
        </w:rPr>
      </w:pPr>
      <w:r w:rsidRPr="00FF64A1">
        <w:rPr>
          <w:lang w:val="en"/>
        </w:rPr>
        <w:t>Next steps</w:t>
      </w:r>
      <w:r>
        <w:tab/>
      </w:r>
      <w:r>
        <w:fldChar w:fldCharType="begin"/>
      </w:r>
      <w:r>
        <w:instrText xml:space="preserve"> PAGEREF _Toc26193303 \h </w:instrText>
      </w:r>
      <w:r>
        <w:fldChar w:fldCharType="separate"/>
      </w:r>
      <w:r>
        <w:t>7</w:t>
      </w:r>
      <w:r>
        <w:fldChar w:fldCharType="end"/>
      </w:r>
    </w:p>
    <w:p w14:paraId="5F4F19AD" w14:textId="46A909D4" w:rsidR="004D56FF" w:rsidRPr="000D76E0" w:rsidRDefault="009B24A5">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6528FBF1" w14:textId="77777777" w:rsidR="00BE2002" w:rsidRPr="00BE2002" w:rsidRDefault="00BE2002" w:rsidP="00BE2002">
      <w:pPr>
        <w:pStyle w:val="Heading1"/>
        <w:rPr>
          <w:lang w:val="en"/>
        </w:rPr>
      </w:pPr>
      <w:bookmarkStart w:id="0" w:name="_Toc26193297"/>
      <w:r w:rsidRPr="00BE2002">
        <w:rPr>
          <w:lang w:val="en"/>
        </w:rPr>
        <w:lastRenderedPageBreak/>
        <w:t>Customer service from Australia’s largest telcos</w:t>
      </w:r>
      <w:bookmarkEnd w:id="0"/>
    </w:p>
    <w:p w14:paraId="70562A49" w14:textId="77777777" w:rsidR="00BE2002" w:rsidRPr="00BE2002" w:rsidRDefault="00BE2002" w:rsidP="00BE2002">
      <w:pPr>
        <w:spacing w:after="160" w:line="240" w:lineRule="auto"/>
        <w:rPr>
          <w:rFonts w:eastAsia="Calibri" w:cs="Arial"/>
          <w:szCs w:val="22"/>
          <w:lang w:eastAsia="en-US"/>
        </w:rPr>
      </w:pPr>
    </w:p>
    <w:p w14:paraId="34A11547" w14:textId="77777777" w:rsidR="00BE2002" w:rsidRPr="00BE2002" w:rsidRDefault="00BE2002" w:rsidP="00BE2002">
      <w:pPr>
        <w:pStyle w:val="Paragraph"/>
        <w:rPr>
          <w:lang w:val="en"/>
        </w:rPr>
      </w:pPr>
      <w:bookmarkStart w:id="1" w:name="_Hlk530745931"/>
      <w:r w:rsidRPr="00BE2002">
        <w:rPr>
          <w:lang w:val="en"/>
        </w:rPr>
        <w:t>As part of the ACMA’s monitoring of the experience of telco consumers, this report provides a snapshot of the customer service performance of five major Australian telcos</w:t>
      </w:r>
      <w:r w:rsidRPr="00BE2002">
        <w:rPr>
          <w:vertAlign w:val="superscript"/>
          <w:lang w:val="en"/>
        </w:rPr>
        <w:footnoteReference w:id="1"/>
      </w:r>
      <w:r w:rsidRPr="00BE2002">
        <w:rPr>
          <w:lang w:val="en"/>
        </w:rPr>
        <w:t xml:space="preserve">. </w:t>
      </w:r>
    </w:p>
    <w:p w14:paraId="22BA07DB" w14:textId="7A7F2882" w:rsidR="00BE2002" w:rsidRPr="00BE2002" w:rsidRDefault="00BE2002" w:rsidP="00BE2002">
      <w:pPr>
        <w:pStyle w:val="Paragraphbeforelist"/>
      </w:pPr>
      <w:bookmarkStart w:id="2" w:name="_Hlk530746846"/>
      <w:bookmarkEnd w:id="1"/>
      <w:r w:rsidRPr="00BE2002">
        <w:t xml:space="preserve">Under the </w:t>
      </w:r>
      <w:hyperlink r:id="rId24" w:history="1">
        <w:r w:rsidRPr="00351767">
          <w:rPr>
            <w:rStyle w:val="Hyperlink"/>
          </w:rPr>
          <w:t>Telecommunications Consumer Protections Code</w:t>
        </w:r>
      </w:hyperlink>
      <w:r w:rsidRPr="00BE2002">
        <w:t xml:space="preserve"> telcos are required to ensure customer service enquiries are dealt with in a timely and effective manner. This includes:</w:t>
      </w:r>
    </w:p>
    <w:p w14:paraId="55CC25D6" w14:textId="77777777" w:rsidR="00BE2002" w:rsidRPr="00BE2002" w:rsidRDefault="00BE2002" w:rsidP="00BE2002">
      <w:pPr>
        <w:pStyle w:val="Bulletlevel1"/>
        <w:rPr>
          <w:lang w:val="en"/>
        </w:rPr>
      </w:pPr>
      <w:r w:rsidRPr="00BE2002">
        <w:rPr>
          <w:lang w:val="en"/>
        </w:rPr>
        <w:t xml:space="preserve">keeping average wait times to a minimum </w:t>
      </w:r>
    </w:p>
    <w:p w14:paraId="13D47550" w14:textId="77777777" w:rsidR="00BE2002" w:rsidRPr="00BE2002" w:rsidRDefault="00BE2002" w:rsidP="00BE2002">
      <w:pPr>
        <w:pStyle w:val="Bulletlevel1last"/>
        <w:rPr>
          <w:lang w:val="en"/>
        </w:rPr>
      </w:pPr>
      <w:r w:rsidRPr="00BE2002">
        <w:rPr>
          <w:lang w:val="en"/>
        </w:rPr>
        <w:t xml:space="preserve">aiming to resolve customer service enquiries at the first contact. </w:t>
      </w:r>
    </w:p>
    <w:bookmarkEnd w:id="2"/>
    <w:p w14:paraId="58A5271F" w14:textId="05B29010" w:rsidR="00BE2002" w:rsidRDefault="00BE2002" w:rsidP="00BE2002">
      <w:pPr>
        <w:pStyle w:val="Paragraph"/>
        <w:rPr>
          <w:lang w:val="en"/>
        </w:rPr>
      </w:pPr>
      <w:r w:rsidRPr="00BE2002">
        <w:rPr>
          <w:lang w:val="en"/>
        </w:rPr>
        <w:t xml:space="preserve">The selected telcos have different strategies to respond to customer service enquiries, which may impact on individual results and may not allow for direct comparisons between telcos. For example, a strategy focusing on resolving enquiries at the first contact may impact on wait time. The individual results assist in understanding the varied experiences of customers when making a customer service enquiry. </w:t>
      </w:r>
    </w:p>
    <w:p w14:paraId="2E4D6BFD" w14:textId="63819812" w:rsidR="00EA58DE" w:rsidRPr="00BE2002" w:rsidRDefault="00EA58DE" w:rsidP="00BE2002">
      <w:pPr>
        <w:pStyle w:val="Paragraph"/>
        <w:rPr>
          <w:lang w:val="en"/>
        </w:rPr>
      </w:pPr>
      <w:r>
        <w:rPr>
          <w:lang w:val="en"/>
        </w:rPr>
        <w:t xml:space="preserve">The infographic below summarises the performance data. </w:t>
      </w:r>
    </w:p>
    <w:p w14:paraId="114ACD5F" w14:textId="21FF4262" w:rsidR="005D606B" w:rsidRDefault="005D606B" w:rsidP="00BE2002">
      <w:pPr>
        <w:pStyle w:val="Paragraphbeforelist"/>
        <w:rPr>
          <w:lang w:val="en"/>
        </w:rPr>
      </w:pPr>
      <w:r>
        <w:rPr>
          <w:noProof/>
          <w:lang w:val="en"/>
        </w:rPr>
        <w:lastRenderedPageBreak/>
        <w:drawing>
          <wp:inline distT="0" distB="0" distL="0" distR="0" wp14:anchorId="58A2634C" wp14:editId="6657B573">
            <wp:extent cx="4526915" cy="8736965"/>
            <wp:effectExtent l="0" t="0" r="8255" b="0"/>
            <wp:docPr id="6" name="Picture 6" descr="Let's talk: Aussie telcos and customer service performance. New customer service stats from Australia's five largest telcos reveal how we prefer to contact them, how long they're making us wait and if we're getting the answers we need first time. &#10;In 2017–18:&#10;• the five telcos received over 88 million customer service enquiries&#10;• 80 per cent of these customer enquiries were made by phone and 15 per cent using webchat&#10;• for phone enquiries, the average wait time for customers to have their call answered was between 51 seconds to just over 4 minutes&#10;• call abandonment rates ranged from 4.9 per cent to 15.3 per cent&#10;• just over 70 per cent of customer enquiries were resolved on first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co customer service_infographic.png"/>
                    <pic:cNvPicPr/>
                  </pic:nvPicPr>
                  <pic:blipFill>
                    <a:blip r:embed="rId25"/>
                    <a:stretch>
                      <a:fillRect/>
                    </a:stretch>
                  </pic:blipFill>
                  <pic:spPr>
                    <a:xfrm>
                      <a:off x="0" y="0"/>
                      <a:ext cx="4526915" cy="8736965"/>
                    </a:xfrm>
                    <a:prstGeom prst="rect">
                      <a:avLst/>
                    </a:prstGeom>
                  </pic:spPr>
                </pic:pic>
              </a:graphicData>
            </a:graphic>
          </wp:inline>
        </w:drawing>
      </w:r>
    </w:p>
    <w:p w14:paraId="44449664" w14:textId="77777777" w:rsidR="00BE2002" w:rsidRPr="00BE2002" w:rsidRDefault="00BE2002" w:rsidP="004516BF">
      <w:pPr>
        <w:pStyle w:val="Heading1"/>
        <w:keepLines/>
        <w:rPr>
          <w:lang w:val="en"/>
        </w:rPr>
      </w:pPr>
      <w:bookmarkStart w:id="3" w:name="_Toc26193298"/>
      <w:r w:rsidRPr="00BE2002">
        <w:rPr>
          <w:lang w:val="en"/>
        </w:rPr>
        <w:lastRenderedPageBreak/>
        <w:t>Detailed results</w:t>
      </w:r>
      <w:bookmarkEnd w:id="3"/>
    </w:p>
    <w:p w14:paraId="164A4EDA" w14:textId="77777777" w:rsidR="00BE2002" w:rsidRPr="00BE2002" w:rsidRDefault="00BE2002" w:rsidP="004516BF">
      <w:pPr>
        <w:pStyle w:val="Heading2"/>
        <w:keepLines/>
        <w:rPr>
          <w:lang w:val="en"/>
        </w:rPr>
      </w:pPr>
      <w:bookmarkStart w:id="4" w:name="_Toc26193299"/>
      <w:r w:rsidRPr="00BE2002">
        <w:rPr>
          <w:lang w:val="en"/>
        </w:rPr>
        <w:t>Consumers like to talk to telcos</w:t>
      </w:r>
      <w:bookmarkEnd w:id="4"/>
    </w:p>
    <w:p w14:paraId="3BBFB07A" w14:textId="77777777" w:rsidR="00BE2002" w:rsidRPr="00BE2002" w:rsidRDefault="00BE2002" w:rsidP="004516BF">
      <w:pPr>
        <w:pStyle w:val="Paragraph"/>
        <w:keepNext/>
        <w:keepLines/>
        <w:rPr>
          <w:lang w:val="en"/>
        </w:rPr>
      </w:pPr>
      <w:r w:rsidRPr="00BE2002">
        <w:rPr>
          <w:lang w:val="en"/>
        </w:rPr>
        <w:t xml:space="preserve">Consumers made a total of over 88 million contacts to the five telcos in 2017–18 (Figure 1). </w:t>
      </w:r>
    </w:p>
    <w:p w14:paraId="50A93A0B" w14:textId="33BF8730" w:rsidR="00BE2002" w:rsidRPr="00BE2002" w:rsidRDefault="00BE2002" w:rsidP="004516BF">
      <w:pPr>
        <w:pStyle w:val="Paragraph"/>
        <w:keepNext/>
        <w:keepLines/>
        <w:rPr>
          <w:lang w:val="en"/>
        </w:rPr>
      </w:pPr>
      <w:r w:rsidRPr="00BE2002">
        <w:rPr>
          <w:lang w:val="en"/>
        </w:rPr>
        <w:t>Picking up the phone was the most common way for consumers to make contact with the selected telcos. This was followed by webchat, which increased in use over the 12 months to the June 2018 quarter. Email and social media were the least utilised channels (Figure 2).</w:t>
      </w:r>
    </w:p>
    <w:p w14:paraId="21D8E675" w14:textId="77777777" w:rsidR="00BE2002" w:rsidRPr="00BE2002" w:rsidRDefault="00BE2002" w:rsidP="004516BF">
      <w:pPr>
        <w:pStyle w:val="Figureheading"/>
        <w:keepLines/>
        <w:numPr>
          <w:ilvl w:val="0"/>
          <w:numId w:val="0"/>
        </w:numPr>
        <w:rPr>
          <w:rFonts w:eastAsia="Calibri"/>
          <w:szCs w:val="22"/>
          <w:lang w:eastAsia="en-US"/>
        </w:rPr>
      </w:pPr>
      <w:r w:rsidRPr="00BE2002">
        <w:rPr>
          <w:lang w:val="en"/>
        </w:rPr>
        <w:t>Figure 1: Total customer contacts (millions), by quarter</w:t>
      </w:r>
    </w:p>
    <w:p w14:paraId="190DE57B" w14:textId="77777777" w:rsidR="00BE2002" w:rsidRPr="00BE2002" w:rsidRDefault="00BE2002" w:rsidP="004516BF">
      <w:pPr>
        <w:keepNext/>
        <w:keepLines/>
        <w:spacing w:after="160" w:line="256" w:lineRule="auto"/>
        <w:rPr>
          <w:rFonts w:cs="Arial"/>
          <w:b/>
          <w:color w:val="171717"/>
          <w:sz w:val="22"/>
          <w:lang w:val="en"/>
        </w:rPr>
      </w:pPr>
      <w:r w:rsidRPr="00BE2002">
        <w:rPr>
          <w:rFonts w:cs="Arial"/>
          <w:b/>
          <w:noProof/>
          <w:color w:val="171717"/>
          <w:sz w:val="22"/>
          <w:lang w:val="en"/>
        </w:rPr>
        <w:drawing>
          <wp:inline distT="0" distB="0" distL="0" distR="0" wp14:anchorId="52F43DCA" wp14:editId="08C5A415">
            <wp:extent cx="4851400" cy="2644013"/>
            <wp:effectExtent l="0" t="0" r="6350" b="4445"/>
            <wp:docPr id="57" name="Picture 3" descr="Figure 1: Total customer contacts (million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8969" cy="2653588"/>
                    </a:xfrm>
                    <a:prstGeom prst="rect">
                      <a:avLst/>
                    </a:prstGeom>
                    <a:noFill/>
                    <a:ln>
                      <a:noFill/>
                    </a:ln>
                  </pic:spPr>
                </pic:pic>
              </a:graphicData>
            </a:graphic>
          </wp:inline>
        </w:drawing>
      </w:r>
    </w:p>
    <w:p w14:paraId="17E8EBF7" w14:textId="77777777" w:rsidR="004516BF" w:rsidRDefault="004516BF">
      <w:pPr>
        <w:spacing w:after="0" w:line="240" w:lineRule="auto"/>
        <w:rPr>
          <w:b/>
          <w:bCs/>
          <w:color w:val="323232"/>
          <w:szCs w:val="20"/>
          <w:lang w:val="en"/>
        </w:rPr>
      </w:pPr>
      <w:r>
        <w:rPr>
          <w:lang w:val="en"/>
        </w:rPr>
        <w:br w:type="page"/>
      </w:r>
    </w:p>
    <w:p w14:paraId="5FFD3FD2" w14:textId="325592AE" w:rsidR="00BE2002" w:rsidRPr="00BE2002" w:rsidRDefault="00BE2002" w:rsidP="004516BF">
      <w:pPr>
        <w:pStyle w:val="Figureheading"/>
        <w:keepLines/>
        <w:numPr>
          <w:ilvl w:val="0"/>
          <w:numId w:val="0"/>
        </w:numPr>
        <w:rPr>
          <w:lang w:val="en"/>
        </w:rPr>
      </w:pPr>
      <w:r w:rsidRPr="00BE2002">
        <w:rPr>
          <w:lang w:val="en"/>
        </w:rPr>
        <w:lastRenderedPageBreak/>
        <w:t>Figure 2: Customer contact by channel (%), by quarter</w:t>
      </w:r>
    </w:p>
    <w:p w14:paraId="11863FEC" w14:textId="77777777" w:rsidR="00BE2002" w:rsidRPr="00BE2002" w:rsidRDefault="00BE2002" w:rsidP="004516BF">
      <w:pPr>
        <w:keepNext/>
        <w:keepLines/>
        <w:spacing w:after="160" w:line="256" w:lineRule="auto"/>
        <w:rPr>
          <w:rFonts w:cs="Arial"/>
          <w:b/>
          <w:color w:val="171717"/>
          <w:sz w:val="34"/>
          <w:szCs w:val="36"/>
          <w:lang w:val="en"/>
        </w:rPr>
      </w:pPr>
      <w:r w:rsidRPr="00BE2002">
        <w:rPr>
          <w:rFonts w:cs="Arial"/>
          <w:b/>
          <w:noProof/>
          <w:color w:val="171717"/>
          <w:sz w:val="34"/>
          <w:szCs w:val="36"/>
          <w:lang w:val="en"/>
        </w:rPr>
        <w:drawing>
          <wp:inline distT="0" distB="0" distL="0" distR="0" wp14:anchorId="560CA58B" wp14:editId="08B1214E">
            <wp:extent cx="4838700" cy="2661285"/>
            <wp:effectExtent l="0" t="0" r="0" b="5715"/>
            <wp:docPr id="58" name="Picture 17" descr="Figure 2: Customer contact by channel (%),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2786" cy="2663532"/>
                    </a:xfrm>
                    <a:prstGeom prst="rect">
                      <a:avLst/>
                    </a:prstGeom>
                    <a:noFill/>
                    <a:ln>
                      <a:noFill/>
                    </a:ln>
                  </pic:spPr>
                </pic:pic>
              </a:graphicData>
            </a:graphic>
          </wp:inline>
        </w:drawing>
      </w:r>
    </w:p>
    <w:p w14:paraId="386E2A72" w14:textId="77777777" w:rsidR="00BE2002" w:rsidRPr="00BE2002" w:rsidRDefault="00BE2002" w:rsidP="00BE2002">
      <w:pPr>
        <w:pStyle w:val="Heading2"/>
        <w:rPr>
          <w:lang w:val="en"/>
        </w:rPr>
      </w:pPr>
      <w:bookmarkStart w:id="5" w:name="_Toc26193300"/>
      <w:r w:rsidRPr="00BE2002">
        <w:rPr>
          <w:lang w:val="en"/>
        </w:rPr>
        <w:t>Wait times vary</w:t>
      </w:r>
      <w:bookmarkEnd w:id="5"/>
    </w:p>
    <w:p w14:paraId="755F1AC6" w14:textId="77777777" w:rsidR="00BE2002" w:rsidRPr="00BE2002" w:rsidRDefault="00BE2002" w:rsidP="00BE2002">
      <w:pPr>
        <w:pStyle w:val="Paragraph"/>
        <w:rPr>
          <w:lang w:val="en"/>
        </w:rPr>
      </w:pPr>
      <w:r w:rsidRPr="00BE2002">
        <w:rPr>
          <w:lang w:val="en"/>
        </w:rPr>
        <w:t>The average initial time that a caller had to wait</w:t>
      </w:r>
      <w:r w:rsidRPr="00BE2002">
        <w:rPr>
          <w:vertAlign w:val="superscript"/>
          <w:lang w:val="en"/>
        </w:rPr>
        <w:footnoteReference w:id="2"/>
      </w:r>
      <w:r w:rsidRPr="00BE2002">
        <w:rPr>
          <w:lang w:val="en"/>
        </w:rPr>
        <w:t xml:space="preserve"> when contacting a telco by phone varied by telco over the course of the year, from 44 seconds in the September 2017 quarter for Telcos A, B and C, to over six minutes in the March 2018 quarter for Telco E</w:t>
      </w:r>
      <w:r w:rsidRPr="00BE2002">
        <w:rPr>
          <w:vertAlign w:val="superscript"/>
          <w:lang w:val="en"/>
        </w:rPr>
        <w:t xml:space="preserve"> </w:t>
      </w:r>
      <w:r w:rsidRPr="00BE2002">
        <w:rPr>
          <w:lang w:val="en"/>
        </w:rPr>
        <w:t>(Figure 3).</w:t>
      </w:r>
    </w:p>
    <w:p w14:paraId="5C930315" w14:textId="77777777" w:rsidR="00BE2002" w:rsidRPr="00BE2002" w:rsidRDefault="00BE2002" w:rsidP="00BE2002">
      <w:pPr>
        <w:pStyle w:val="Figureheading"/>
        <w:numPr>
          <w:ilvl w:val="0"/>
          <w:numId w:val="0"/>
        </w:numPr>
        <w:rPr>
          <w:lang w:val="en"/>
        </w:rPr>
      </w:pPr>
      <w:r w:rsidRPr="00BE2002">
        <w:rPr>
          <w:lang w:val="en"/>
        </w:rPr>
        <w:t>Figure 3: Average call wait times (minutes) for the selected telcos, by quarter (lower is better)</w:t>
      </w:r>
    </w:p>
    <w:p w14:paraId="0EEA1EDD" w14:textId="0B771753" w:rsidR="00BE2002" w:rsidRPr="00BE2002" w:rsidRDefault="00BE2002" w:rsidP="00BE2002">
      <w:pPr>
        <w:spacing w:after="160" w:line="240" w:lineRule="auto"/>
        <w:rPr>
          <w:rFonts w:cs="Arial"/>
          <w:color w:val="171717"/>
          <w:sz w:val="22"/>
          <w:lang w:val="en"/>
        </w:rPr>
      </w:pPr>
      <w:r w:rsidRPr="00BE2002">
        <w:rPr>
          <w:rFonts w:cs="Arial"/>
          <w:noProof/>
          <w:color w:val="171717"/>
          <w:sz w:val="22"/>
          <w:lang w:val="en"/>
        </w:rPr>
        <w:drawing>
          <wp:inline distT="0" distB="0" distL="0" distR="0" wp14:anchorId="76A93AC2" wp14:editId="64AF5B3B">
            <wp:extent cx="4859915" cy="2851150"/>
            <wp:effectExtent l="0" t="0" r="0" b="6350"/>
            <wp:docPr id="59" name="Picture 5" descr="Figure 3: Average call wait times (minutes) for the selected telcos, by quarter (lower is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4456" cy="2853814"/>
                    </a:xfrm>
                    <a:prstGeom prst="rect">
                      <a:avLst/>
                    </a:prstGeom>
                    <a:noFill/>
                    <a:ln>
                      <a:noFill/>
                    </a:ln>
                  </pic:spPr>
                </pic:pic>
              </a:graphicData>
            </a:graphic>
          </wp:inline>
        </w:drawing>
      </w:r>
    </w:p>
    <w:p w14:paraId="46AEBCC8" w14:textId="77777777" w:rsidR="00BE2002" w:rsidRPr="00BE2002" w:rsidRDefault="00BE2002" w:rsidP="00BE2002">
      <w:pPr>
        <w:pStyle w:val="Paragraph"/>
        <w:rPr>
          <w:rFonts w:eastAsia="Calibri"/>
          <w:lang w:eastAsia="en-US"/>
        </w:rPr>
      </w:pPr>
      <w:r w:rsidRPr="00BE2002">
        <w:rPr>
          <w:color w:val="171717"/>
          <w:lang w:val="en"/>
        </w:rPr>
        <w:t>Figure 4 contains the average call wait times for the five telcos. T</w:t>
      </w:r>
      <w:r w:rsidRPr="00BE2002">
        <w:rPr>
          <w:rFonts w:eastAsia="Calibri"/>
          <w:lang w:eastAsia="en-US"/>
        </w:rPr>
        <w:t xml:space="preserve">hree of the five telcos had an average call wait time of less than two minutes. </w:t>
      </w:r>
    </w:p>
    <w:p w14:paraId="388D1CD9" w14:textId="77777777" w:rsidR="00BE2002" w:rsidRPr="00BE2002" w:rsidRDefault="00BE2002" w:rsidP="00BE2002">
      <w:pPr>
        <w:pStyle w:val="Figureheading"/>
        <w:numPr>
          <w:ilvl w:val="0"/>
          <w:numId w:val="0"/>
        </w:numPr>
        <w:rPr>
          <w:lang w:val="en"/>
        </w:rPr>
      </w:pPr>
      <w:r w:rsidRPr="00BE2002">
        <w:rPr>
          <w:lang w:val="en"/>
        </w:rPr>
        <w:lastRenderedPageBreak/>
        <w:t>Figure 4: Average call wait times (minutes and seconds) for the selected telcos in 2017–18 (lower is better)</w:t>
      </w:r>
    </w:p>
    <w:p w14:paraId="189882A8" w14:textId="77777777" w:rsidR="00BE2002" w:rsidRPr="00BE2002" w:rsidRDefault="00BE2002" w:rsidP="00BE2002">
      <w:pPr>
        <w:spacing w:after="160" w:line="240" w:lineRule="auto"/>
        <w:rPr>
          <w:rFonts w:cs="Arial"/>
          <w:color w:val="171717"/>
          <w:sz w:val="22"/>
          <w:lang w:val="en"/>
        </w:rPr>
      </w:pPr>
      <w:r w:rsidRPr="00BE2002">
        <w:rPr>
          <w:rFonts w:ascii="Calibri" w:eastAsia="Calibri" w:hAnsi="Calibri"/>
          <w:noProof/>
          <w:sz w:val="22"/>
          <w:szCs w:val="22"/>
          <w:lang w:eastAsia="en-US"/>
        </w:rPr>
        <mc:AlternateContent>
          <mc:Choice Requires="wps">
            <w:drawing>
              <wp:anchor distT="0" distB="0" distL="114300" distR="114300" simplePos="0" relativeHeight="251658240" behindDoc="0" locked="0" layoutInCell="1" allowOverlap="1" wp14:anchorId="1511A3E6" wp14:editId="30905D4F">
                <wp:simplePos x="0" y="0"/>
                <wp:positionH relativeFrom="column">
                  <wp:posOffset>2148840</wp:posOffset>
                </wp:positionH>
                <wp:positionV relativeFrom="paragraph">
                  <wp:posOffset>1971040</wp:posOffset>
                </wp:positionV>
                <wp:extent cx="1090930" cy="244475"/>
                <wp:effectExtent l="0" t="0" r="0" b="0"/>
                <wp:wrapNone/>
                <wp:docPr id="5" name="Text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90295" cy="243840"/>
                        </a:xfrm>
                        <a:prstGeom prst="rect">
                          <a:avLst/>
                        </a:prstGeom>
                        <a:ln>
                          <a:noFill/>
                        </a:ln>
                      </wps:spPr>
                      <wps:txbx>
                        <w:txbxContent>
                          <w:p w14:paraId="1BBE72B8" w14:textId="77777777" w:rsidR="00BE2002" w:rsidRDefault="00BE2002" w:rsidP="00BE2002">
                            <w:pPr>
                              <w:pStyle w:val="NormalWeb"/>
                              <w:spacing w:after="0"/>
                              <w:jc w:val="center"/>
                              <w:rPr>
                                <w:sz w:val="20"/>
                              </w:rPr>
                            </w:pPr>
                            <w:r>
                              <w:rPr>
                                <w:rFonts w:ascii="Calibri" w:hAnsi="Calibri"/>
                                <w:sz w:val="18"/>
                                <w:szCs w:val="22"/>
                              </w:rPr>
                              <w:t>Average = 1:54</w:t>
                            </w:r>
                          </w:p>
                        </w:txbxContent>
                      </wps:txbx>
                      <wps:bodyPr wrap="square" rtlCol="0"/>
                    </wps:wsp>
                  </a:graphicData>
                </a:graphic>
                <wp14:sizeRelH relativeFrom="page">
                  <wp14:pctWidth>0</wp14:pctWidth>
                </wp14:sizeRelH>
                <wp14:sizeRelV relativeFrom="page">
                  <wp14:pctHeight>0</wp14:pctHeight>
                </wp14:sizeRelV>
              </wp:anchor>
            </w:drawing>
          </mc:Choice>
          <mc:Fallback>
            <w:pict>
              <v:shapetype w14:anchorId="1511A3E6" id="_x0000_t202" coordsize="21600,21600" o:spt="202" path="m,l,21600r21600,l21600,xe">
                <v:stroke joinstyle="miter"/>
                <v:path gradientshapeok="t" o:connecttype="rect"/>
              </v:shapetype>
              <v:shape id="TextBox 1" o:spid="_x0000_s1026" type="#_x0000_t202" style="position:absolute;margin-left:169.2pt;margin-top:155.2pt;width:85.9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u0jgEAAAADAAAOAAAAZHJzL2Uyb0RvYy54bWysUk1PGzEQvVfiP1i+E28CRbDKBqlFcKmg&#10;EvADHK+dtWR7zNhkN/+esRMCglvVy9iejzfz3nh5PXnHthqThdDx+azhTAcFvQ2bjj8/3Z5ecpay&#10;DL10EHTHdzrx69XJj+UYW72AAVyvkRFISO0YOz7kHFshkhq0l2kGUQcKGkAvMz1xI3qUI6F7JxZN&#10;cyFGwD4iKJ0SeW/2Qb6q+MZolR+MSToz13GaLVeL1a6LFaulbDco42DVYQz5D1N4aQM1PULdyCzZ&#10;K9pvUN4qhAQmzxR4AcZYpSsHYjNvvrB5HGTUlQuJk+JRpvT/YNX99i8y23f8J2dBelrRk57yL5jY&#10;vIgzxtRSzmOkrDyRm5b87k/kLJwng76cxIZRnGTeHaUlLKZKUXPVLK6oh6LY4vzs8rxqLz6qI6Z8&#10;p8Gzcuk40uqqonL7J2WahFLfU0ozF4oNcGud20eLR5R593OVW57W04HEGvodcRhp1R1PL68SNWeY&#10;3W+oP6NAlAqSubY6fImyx8/vmvXxcVdvAAAA//8DAFBLAwQUAAYACAAAACEAWD9rQN8AAAALAQAA&#10;DwAAAGRycy9kb3ducmV2LnhtbEyPzU7DMBCE70h9B2srcaN22hSlIU5VFXEFUX4kbm68TSLidRS7&#10;TXh7lhO9ze6MZr8ttpPrxAWH0HrSkCwUCKTK25ZqDe9vT3cZiBANWdN5Qg0/GGBbzm4Kk1s/0ite&#10;DrEWXEIhNxqaGPtcylA16ExY+B6JvZMfnIk8DrW0gxm53HVyqdS9dKYlvtCYHvcNVt+Hs9Pw8Xz6&#10;+kzVS/3o1v3oJyXJbaTWt/Np9wAi4hT/w/CHz+hQMtPRn8kG0WlYrbKUoywSxYIT60QtQRx5k2Yb&#10;kGUhr38ofwEAAP//AwBQSwECLQAUAAYACAAAACEAtoM4kv4AAADhAQAAEwAAAAAAAAAAAAAAAAAA&#10;AAAAW0NvbnRlbnRfVHlwZXNdLnhtbFBLAQItABQABgAIAAAAIQA4/SH/1gAAAJQBAAALAAAAAAAA&#10;AAAAAAAAAC8BAABfcmVscy8ucmVsc1BLAQItABQABgAIAAAAIQCEQOu0jgEAAAADAAAOAAAAAAAA&#10;AAAAAAAAAC4CAABkcnMvZTJvRG9jLnhtbFBLAQItABQABgAIAAAAIQBYP2tA3wAAAAsBAAAPAAAA&#10;AAAAAAAAAAAAAOgDAABkcnMvZG93bnJldi54bWxQSwUGAAAAAAQABADzAAAA9AQAAAAA&#10;" filled="f" stroked="f">
                <v:textbox>
                  <w:txbxContent>
                    <w:p w14:paraId="1BBE72B8" w14:textId="77777777" w:rsidR="00BE2002" w:rsidRDefault="00BE2002" w:rsidP="00BE2002">
                      <w:pPr>
                        <w:pStyle w:val="NormalWeb"/>
                        <w:spacing w:after="0"/>
                        <w:jc w:val="center"/>
                        <w:rPr>
                          <w:sz w:val="20"/>
                        </w:rPr>
                      </w:pPr>
                      <w:r>
                        <w:rPr>
                          <w:rFonts w:ascii="Calibri" w:hAnsi="Calibri"/>
                          <w:sz w:val="18"/>
                          <w:szCs w:val="22"/>
                        </w:rPr>
                        <w:t>Average = 1:54</w:t>
                      </w:r>
                    </w:p>
                  </w:txbxContent>
                </v:textbox>
              </v:shape>
            </w:pict>
          </mc:Fallback>
        </mc:AlternateContent>
      </w:r>
      <w:r w:rsidRPr="00BE2002">
        <w:rPr>
          <w:rFonts w:ascii="Calibri" w:eastAsia="Calibri" w:hAnsi="Calibri"/>
          <w:noProof/>
          <w:sz w:val="22"/>
          <w:szCs w:val="22"/>
          <w:lang w:eastAsia="en-US"/>
        </w:rPr>
        <w:drawing>
          <wp:inline distT="0" distB="0" distL="0" distR="0" wp14:anchorId="27CE4993" wp14:editId="0074298D">
            <wp:extent cx="4851400" cy="3498850"/>
            <wp:effectExtent l="0" t="0" r="6350" b="6350"/>
            <wp:docPr id="60" name="Chart 1" descr="Figure 4: Average call wait times (minutes and seconds) for the selected telcos in 2017–18 (lower is better)">
              <a:extLst xmlns:a="http://schemas.openxmlformats.org/drawingml/2006/main">
                <a:ext uri="{FF2B5EF4-FFF2-40B4-BE49-F238E27FC236}">
                  <a16:creationId xmlns:a16="http://schemas.microsoft.com/office/drawing/2014/main" id="{C565F9D3-47B4-4432-8AF6-8E8646A1B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E0279E" w14:textId="77777777" w:rsidR="00BE2002" w:rsidRPr="00BE2002" w:rsidRDefault="00BE2002" w:rsidP="00BE2002">
      <w:pPr>
        <w:pStyle w:val="Heading2"/>
        <w:rPr>
          <w:lang w:val="en"/>
        </w:rPr>
      </w:pPr>
      <w:bookmarkStart w:id="6" w:name="_Toc26193301"/>
      <w:r w:rsidRPr="00BE2002">
        <w:rPr>
          <w:lang w:val="en"/>
        </w:rPr>
        <w:t>Some callers are hanging up</w:t>
      </w:r>
      <w:bookmarkEnd w:id="6"/>
    </w:p>
    <w:p w14:paraId="785CCB43" w14:textId="77777777" w:rsidR="00BE2002" w:rsidRPr="00BE2002" w:rsidRDefault="00BE2002" w:rsidP="00BE2002">
      <w:pPr>
        <w:pStyle w:val="Paragraph"/>
        <w:rPr>
          <w:lang w:val="en"/>
        </w:rPr>
      </w:pPr>
      <w:r w:rsidRPr="00BE2002">
        <w:rPr>
          <w:lang w:val="en"/>
        </w:rPr>
        <w:t>The average percentage of calls that were abandoned per quarter varied by telco over the course of the year, from 3.6 per c</w:t>
      </w:r>
      <w:bookmarkStart w:id="7" w:name="_GoBack"/>
      <w:bookmarkEnd w:id="7"/>
      <w:r w:rsidRPr="00BE2002">
        <w:rPr>
          <w:lang w:val="en"/>
        </w:rPr>
        <w:t>ent (Telco C) in the September 2017 quarter to 21.2 per cent in the March 2018 quarter (Telco E).</w:t>
      </w:r>
    </w:p>
    <w:p w14:paraId="1AEEB4B7" w14:textId="77777777" w:rsidR="00BE2002" w:rsidRPr="00BE2002" w:rsidRDefault="00BE2002" w:rsidP="004516BF">
      <w:pPr>
        <w:pStyle w:val="Figureheading"/>
        <w:numPr>
          <w:ilvl w:val="0"/>
          <w:numId w:val="0"/>
        </w:numPr>
        <w:rPr>
          <w:lang w:val="en"/>
        </w:rPr>
      </w:pPr>
      <w:r w:rsidRPr="00BE2002">
        <w:rPr>
          <w:lang w:val="en"/>
        </w:rPr>
        <w:t>Figure 5: Average call abandonment rate (%) by consumers contacting the selected telcos, by quarter (lower is better)</w:t>
      </w:r>
    </w:p>
    <w:p w14:paraId="52978F32" w14:textId="77777777" w:rsidR="00BE2002" w:rsidRPr="00BE2002" w:rsidRDefault="00BE2002" w:rsidP="00BE2002">
      <w:pPr>
        <w:spacing w:after="160" w:line="256" w:lineRule="auto"/>
        <w:rPr>
          <w:rFonts w:eastAsia="Calibri" w:cs="Arial"/>
          <w:b/>
          <w:szCs w:val="22"/>
          <w:highlight w:val="yellow"/>
          <w:lang w:eastAsia="en-US"/>
        </w:rPr>
      </w:pPr>
      <w:r w:rsidRPr="00BE2002">
        <w:rPr>
          <w:rFonts w:eastAsia="Calibri" w:cs="Arial"/>
          <w:b/>
          <w:noProof/>
          <w:szCs w:val="22"/>
          <w:lang w:eastAsia="en-US"/>
        </w:rPr>
        <w:drawing>
          <wp:inline distT="0" distB="0" distL="0" distR="0" wp14:anchorId="22F3C486" wp14:editId="015A98DF">
            <wp:extent cx="4838700" cy="2975801"/>
            <wp:effectExtent l="0" t="0" r="0" b="0"/>
            <wp:docPr id="61" name="Picture 9" descr="Figure 5: Average call abandonment rate (%) by consumers contacting the selected telcos, by quarter (lower is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0611" cy="2983126"/>
                    </a:xfrm>
                    <a:prstGeom prst="rect">
                      <a:avLst/>
                    </a:prstGeom>
                    <a:noFill/>
                    <a:ln>
                      <a:noFill/>
                    </a:ln>
                  </pic:spPr>
                </pic:pic>
              </a:graphicData>
            </a:graphic>
          </wp:inline>
        </w:drawing>
      </w:r>
    </w:p>
    <w:p w14:paraId="654414D6" w14:textId="77777777" w:rsidR="00BE2002" w:rsidRPr="00BE2002" w:rsidRDefault="00BE2002" w:rsidP="004516BF">
      <w:pPr>
        <w:pStyle w:val="Paragraph"/>
        <w:rPr>
          <w:rFonts w:eastAsia="Calibri"/>
          <w:lang w:eastAsia="en-US"/>
        </w:rPr>
      </w:pPr>
      <w:r w:rsidRPr="00BE2002">
        <w:rPr>
          <w:color w:val="171717"/>
          <w:lang w:val="en"/>
        </w:rPr>
        <w:lastRenderedPageBreak/>
        <w:t>F</w:t>
      </w:r>
      <w:r w:rsidRPr="00BE2002">
        <w:rPr>
          <w:rFonts w:eastAsia="Calibri"/>
          <w:lang w:eastAsia="en-US"/>
        </w:rPr>
        <w:t xml:space="preserve">our of the five telcos had an average call abandonment rate over the year of less than 10 per cent. </w:t>
      </w:r>
    </w:p>
    <w:p w14:paraId="7FE035CC" w14:textId="77777777" w:rsidR="00BE2002" w:rsidRPr="00BE2002" w:rsidRDefault="00BE2002" w:rsidP="004516BF">
      <w:pPr>
        <w:pStyle w:val="Figureheading"/>
        <w:numPr>
          <w:ilvl w:val="0"/>
          <w:numId w:val="0"/>
        </w:numPr>
        <w:rPr>
          <w:lang w:val="en"/>
        </w:rPr>
      </w:pPr>
      <w:r w:rsidRPr="00BE2002">
        <w:rPr>
          <w:lang w:val="en"/>
        </w:rPr>
        <w:t>Figure 6: Average call abandonment rate (%) for the selected telcos in 2017–18 (lower is better)</w:t>
      </w:r>
    </w:p>
    <w:p w14:paraId="577CCE11" w14:textId="77777777" w:rsidR="00BE2002" w:rsidRPr="00BE2002" w:rsidRDefault="00BE2002" w:rsidP="00BE2002">
      <w:pPr>
        <w:keepNext/>
        <w:spacing w:after="160" w:line="256" w:lineRule="auto"/>
        <w:rPr>
          <w:rFonts w:eastAsia="Calibri" w:cs="Arial"/>
          <w:b/>
          <w:sz w:val="24"/>
          <w:szCs w:val="22"/>
          <w:lang w:eastAsia="en-US"/>
        </w:rPr>
      </w:pPr>
      <w:r w:rsidRPr="00BE2002">
        <w:rPr>
          <w:rFonts w:ascii="Calibri" w:eastAsia="Calibri" w:hAnsi="Calibri"/>
          <w:noProof/>
          <w:sz w:val="22"/>
          <w:szCs w:val="22"/>
          <w:lang w:eastAsia="en-US"/>
        </w:rPr>
        <w:drawing>
          <wp:inline distT="0" distB="0" distL="0" distR="0" wp14:anchorId="7B455F5C" wp14:editId="4A95A29E">
            <wp:extent cx="4832350" cy="3613150"/>
            <wp:effectExtent l="0" t="0" r="6350" b="6350"/>
            <wp:docPr id="62" name="Chart 10" descr="Figure 6: Average call abandonment rate (%) for the selected telcos in 2017–18 (lower is better)">
              <a:extLst xmlns:a="http://schemas.openxmlformats.org/drawingml/2006/main">
                <a:ext uri="{FF2B5EF4-FFF2-40B4-BE49-F238E27FC236}">
                  <a16:creationId xmlns:a16="http://schemas.microsoft.com/office/drawing/2014/main" id="{00000000-0008-0000-0A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4A7236" w14:textId="77777777" w:rsidR="00BE2002" w:rsidRPr="00BE2002" w:rsidRDefault="00BE2002" w:rsidP="004516BF">
      <w:pPr>
        <w:pStyle w:val="Heading2"/>
        <w:rPr>
          <w:lang w:val="en"/>
        </w:rPr>
      </w:pPr>
      <w:bookmarkStart w:id="8" w:name="_Toc26193302"/>
      <w:r w:rsidRPr="00BE2002">
        <w:rPr>
          <w:lang w:val="en"/>
        </w:rPr>
        <w:t>Resolving issues at first contact</w:t>
      </w:r>
      <w:bookmarkEnd w:id="8"/>
      <w:r w:rsidRPr="00BE2002">
        <w:rPr>
          <w:lang w:val="en"/>
        </w:rPr>
        <w:t xml:space="preserve"> </w:t>
      </w:r>
    </w:p>
    <w:p w14:paraId="030C57DD" w14:textId="77777777" w:rsidR="00BE2002" w:rsidRPr="00BE2002" w:rsidRDefault="00BE2002" w:rsidP="004516BF">
      <w:pPr>
        <w:pStyle w:val="Paragraph"/>
        <w:rPr>
          <w:lang w:val="en"/>
        </w:rPr>
      </w:pPr>
      <w:r w:rsidRPr="00BE2002">
        <w:rPr>
          <w:lang w:val="en"/>
        </w:rPr>
        <w:t xml:space="preserve">The </w:t>
      </w:r>
      <w:bookmarkStart w:id="9" w:name="_Hlk530747639"/>
      <w:r w:rsidRPr="00BE2002">
        <w:rPr>
          <w:lang w:val="en"/>
        </w:rPr>
        <w:t xml:space="preserve">rate that matters raised by consumers were resolved on first contact varied over the course of the year, from 59 per cent for Telco D in the December 2017 quarter, to 86 per cent </w:t>
      </w:r>
      <w:bookmarkEnd w:id="9"/>
      <w:r w:rsidRPr="00BE2002">
        <w:rPr>
          <w:lang w:val="en"/>
        </w:rPr>
        <w:t>for Telco E in the March 2018 quarter.</w:t>
      </w:r>
    </w:p>
    <w:p w14:paraId="0B936F63" w14:textId="77777777" w:rsidR="00BE2002" w:rsidRPr="00BE2002" w:rsidRDefault="00BE2002" w:rsidP="004516BF">
      <w:pPr>
        <w:pStyle w:val="Figureheading"/>
        <w:numPr>
          <w:ilvl w:val="0"/>
          <w:numId w:val="0"/>
        </w:numPr>
        <w:rPr>
          <w:lang w:val="en"/>
        </w:rPr>
      </w:pPr>
      <w:r w:rsidRPr="00BE2002">
        <w:rPr>
          <w:lang w:val="en"/>
        </w:rPr>
        <w:lastRenderedPageBreak/>
        <w:t>Figure 7: Minimum and maximum rates of first contact resolution (%) for the selected telcos, by quarter (higher is better)</w:t>
      </w:r>
    </w:p>
    <w:p w14:paraId="3224E1FD" w14:textId="77777777" w:rsidR="00BE2002" w:rsidRPr="00BE2002" w:rsidRDefault="00BE2002" w:rsidP="00BE2002">
      <w:pPr>
        <w:keepNext/>
        <w:widowControl w:val="0"/>
        <w:spacing w:after="160" w:line="256" w:lineRule="auto"/>
        <w:rPr>
          <w:rFonts w:eastAsia="Calibri" w:cs="Arial"/>
          <w:szCs w:val="22"/>
          <w:lang w:eastAsia="en-US"/>
        </w:rPr>
      </w:pPr>
      <w:r w:rsidRPr="00BE2002">
        <w:rPr>
          <w:rFonts w:eastAsia="Calibri" w:cs="Arial"/>
          <w:noProof/>
          <w:szCs w:val="22"/>
          <w:lang w:eastAsia="en-US"/>
        </w:rPr>
        <w:drawing>
          <wp:inline distT="0" distB="0" distL="0" distR="0" wp14:anchorId="4F84258B" wp14:editId="14AFDEE6">
            <wp:extent cx="4832350" cy="2820661"/>
            <wp:effectExtent l="0" t="0" r="6350" b="0"/>
            <wp:docPr id="63" name="Picture 13" descr="Figure 7: Minimum and maximum rates of first contact resolution (%) for the selected telcos, by quarter (higher is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4803" cy="2827930"/>
                    </a:xfrm>
                    <a:prstGeom prst="rect">
                      <a:avLst/>
                    </a:prstGeom>
                    <a:noFill/>
                    <a:ln>
                      <a:noFill/>
                    </a:ln>
                  </pic:spPr>
                </pic:pic>
              </a:graphicData>
            </a:graphic>
          </wp:inline>
        </w:drawing>
      </w:r>
    </w:p>
    <w:p w14:paraId="3EF88C08" w14:textId="77777777" w:rsidR="00BE2002" w:rsidRPr="00BE2002" w:rsidRDefault="00BE2002" w:rsidP="004516BF">
      <w:pPr>
        <w:pStyle w:val="Paragraph"/>
        <w:rPr>
          <w:rFonts w:eastAsia="Calibri"/>
          <w:lang w:eastAsia="en-US"/>
        </w:rPr>
      </w:pPr>
      <w:r w:rsidRPr="00BE2002">
        <w:rPr>
          <w:rFonts w:eastAsia="Calibri"/>
          <w:lang w:eastAsia="en-US"/>
        </w:rPr>
        <w:t xml:space="preserve">Telco E had a substantially higher average rate of first contact resolution than the other telcos. </w:t>
      </w:r>
    </w:p>
    <w:p w14:paraId="6020E0A7" w14:textId="77777777" w:rsidR="00BE2002" w:rsidRPr="00BE2002" w:rsidRDefault="00BE2002" w:rsidP="004516BF">
      <w:pPr>
        <w:pStyle w:val="Figureheading"/>
        <w:numPr>
          <w:ilvl w:val="0"/>
          <w:numId w:val="0"/>
        </w:numPr>
        <w:rPr>
          <w:lang w:val="en"/>
        </w:rPr>
      </w:pPr>
      <w:r w:rsidRPr="00BE2002">
        <w:rPr>
          <w:lang w:val="en"/>
        </w:rPr>
        <w:t>Figure 8: Average rate of first contact resolution (%) for the selected telcos in 2017–18 (higher is better)</w:t>
      </w:r>
    </w:p>
    <w:p w14:paraId="68574706" w14:textId="77777777" w:rsidR="00BE2002" w:rsidRPr="00BE2002" w:rsidRDefault="00BE2002" w:rsidP="00BE2002">
      <w:pPr>
        <w:keepNext/>
        <w:widowControl w:val="0"/>
        <w:spacing w:after="160" w:line="256" w:lineRule="auto"/>
        <w:rPr>
          <w:rFonts w:eastAsia="Calibri" w:cs="Arial"/>
          <w:szCs w:val="22"/>
          <w:lang w:eastAsia="en-US"/>
        </w:rPr>
      </w:pPr>
      <w:r w:rsidRPr="00BE2002">
        <w:rPr>
          <w:rFonts w:ascii="Calibri" w:eastAsia="Calibri" w:hAnsi="Calibri"/>
          <w:noProof/>
          <w:sz w:val="22"/>
          <w:szCs w:val="22"/>
          <w:lang w:eastAsia="en-US"/>
        </w:rPr>
        <w:drawing>
          <wp:inline distT="0" distB="0" distL="0" distR="0" wp14:anchorId="1097C845" wp14:editId="7983668E">
            <wp:extent cx="4832350" cy="3086100"/>
            <wp:effectExtent l="0" t="0" r="6350" b="0"/>
            <wp:docPr id="64" name="Chart 11" descr="Figure 8: Average rate of first contact resolution (%) for the selected telcos in 2017–18 (higher is better)">
              <a:extLst xmlns:a="http://schemas.openxmlformats.org/drawingml/2006/main">
                <a:ext uri="{FF2B5EF4-FFF2-40B4-BE49-F238E27FC236}">
                  <a16:creationId xmlns:a16="http://schemas.microsoft.com/office/drawing/2014/main" id="{19EC0ACE-0ECF-4220-A489-A67A4A39C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6D77EF" w14:textId="77777777" w:rsidR="00BE2002" w:rsidRPr="00BE2002" w:rsidRDefault="00BE2002" w:rsidP="004516BF">
      <w:pPr>
        <w:pStyle w:val="Heading2"/>
        <w:rPr>
          <w:lang w:val="en"/>
        </w:rPr>
      </w:pPr>
      <w:bookmarkStart w:id="10" w:name="_Toc26193303"/>
      <w:r w:rsidRPr="00BE2002">
        <w:rPr>
          <w:lang w:val="en"/>
        </w:rPr>
        <w:t>Next steps</w:t>
      </w:r>
      <w:bookmarkEnd w:id="10"/>
    </w:p>
    <w:p w14:paraId="7E9EE25D" w14:textId="77777777" w:rsidR="00BE2002" w:rsidRPr="00BE2002" w:rsidRDefault="00BE2002" w:rsidP="004516BF">
      <w:pPr>
        <w:pStyle w:val="Paragraphbeforelist"/>
        <w:rPr>
          <w:lang w:val="en"/>
        </w:rPr>
      </w:pPr>
      <w:r w:rsidRPr="00BE2002">
        <w:rPr>
          <w:lang w:val="en"/>
        </w:rPr>
        <w:t>The ACMA is using the information received through this exercise to:</w:t>
      </w:r>
    </w:p>
    <w:p w14:paraId="305F021F" w14:textId="77777777" w:rsidR="00BE2002" w:rsidRPr="00BE2002" w:rsidRDefault="00BE2002" w:rsidP="004516BF">
      <w:pPr>
        <w:pStyle w:val="Bulletlevel1"/>
        <w:rPr>
          <w:lang w:val="en"/>
        </w:rPr>
      </w:pPr>
      <w:r w:rsidRPr="00BE2002">
        <w:rPr>
          <w:lang w:val="en"/>
        </w:rPr>
        <w:t>assist its industry monitoring and compliance activities</w:t>
      </w:r>
    </w:p>
    <w:p w14:paraId="47E12E50" w14:textId="77777777" w:rsidR="00BE2002" w:rsidRPr="00BE2002" w:rsidRDefault="00BE2002" w:rsidP="004516BF">
      <w:pPr>
        <w:pStyle w:val="Bulletlevel1"/>
        <w:rPr>
          <w:lang w:val="en"/>
        </w:rPr>
      </w:pPr>
      <w:r w:rsidRPr="00BE2002">
        <w:rPr>
          <w:lang w:val="en"/>
        </w:rPr>
        <w:t>provide a baseline for any future monitoring and reporting of performance</w:t>
      </w:r>
    </w:p>
    <w:p w14:paraId="24BA7EBE" w14:textId="77777777" w:rsidR="00BE2002" w:rsidRPr="00BE2002" w:rsidRDefault="00BE2002" w:rsidP="004516BF">
      <w:pPr>
        <w:pStyle w:val="Bulletlevel1"/>
        <w:rPr>
          <w:lang w:val="en"/>
        </w:rPr>
      </w:pPr>
      <w:r w:rsidRPr="00BE2002">
        <w:rPr>
          <w:lang w:val="en"/>
        </w:rPr>
        <w:t>provide an opportunity for comparison against performance in other sectors</w:t>
      </w:r>
    </w:p>
    <w:p w14:paraId="57EA506C" w14:textId="2CDB985C" w:rsidR="00715722" w:rsidRPr="004516BF" w:rsidRDefault="00BE2002" w:rsidP="005E5CD4">
      <w:pPr>
        <w:pStyle w:val="Bulletlevel1last"/>
        <w:spacing w:after="160" w:line="256" w:lineRule="auto"/>
        <w:rPr>
          <w:vanish/>
        </w:rPr>
      </w:pPr>
      <w:r w:rsidRPr="004516BF">
        <w:rPr>
          <w:lang w:val="en"/>
        </w:rPr>
        <w:t>inform ACMA contributions to the government’s Consumer Safeguards Review.</w:t>
      </w:r>
    </w:p>
    <w:sectPr w:rsidR="00715722" w:rsidRPr="004516BF"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04E7" w14:textId="77777777" w:rsidR="00BE2002" w:rsidRDefault="00BE2002">
      <w:r>
        <w:separator/>
      </w:r>
    </w:p>
  </w:endnote>
  <w:endnote w:type="continuationSeparator" w:id="0">
    <w:p w14:paraId="63E9CD08" w14:textId="77777777" w:rsidR="00BE2002" w:rsidRDefault="00BE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609C" w14:textId="77777777" w:rsidR="005E250B" w:rsidRDefault="005E250B" w:rsidP="005E250B">
    <w:pPr>
      <w:pStyle w:val="Footer"/>
      <w:jc w:val="right"/>
    </w:pPr>
    <w:r w:rsidRPr="005E250B">
      <w:rPr>
        <w:noProof/>
        <w:vertAlign w:val="subscript"/>
      </w:rPr>
      <w:drawing>
        <wp:inline distT="0" distB="0" distL="0" distR="0" wp14:anchorId="76A4E6A6" wp14:editId="2F31619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9970"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D5F1"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392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0DB187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6A0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12D7A25"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EF6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5C251B8"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1A5A"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E4FB188"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290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2CE0007"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1A269" w14:textId="77777777" w:rsidR="00BE2002" w:rsidRDefault="00BE2002">
      <w:r>
        <w:separator/>
      </w:r>
    </w:p>
  </w:footnote>
  <w:footnote w:type="continuationSeparator" w:id="0">
    <w:p w14:paraId="509353E0" w14:textId="77777777" w:rsidR="00BE2002" w:rsidRDefault="00BE2002">
      <w:r>
        <w:continuationSeparator/>
      </w:r>
    </w:p>
  </w:footnote>
  <w:footnote w:id="1">
    <w:p w14:paraId="2BC1F0D1" w14:textId="77777777" w:rsidR="00BE2002" w:rsidRDefault="00BE2002" w:rsidP="00BE2002">
      <w:pPr>
        <w:pStyle w:val="FootnoteText"/>
        <w:rPr>
          <w:rFonts w:ascii="Calibri" w:hAnsi="Calibri"/>
          <w:i/>
        </w:rPr>
      </w:pPr>
      <w:r>
        <w:rPr>
          <w:rStyle w:val="FootnoteReference"/>
          <w:rFonts w:cs="Calibri"/>
          <w:sz w:val="18"/>
          <w:szCs w:val="18"/>
        </w:rPr>
        <w:footnoteRef/>
      </w:r>
      <w:r>
        <w:t xml:space="preserve"> The ACMA gave statutory notices to the five selected telcos to obtain the performance data. It is not permissible for the ACMA to publicly disclose the information collected under notice without the permission of that company. Consequently, the information provided by the telcos has been anonymised</w:t>
      </w:r>
      <w:r w:rsidRPr="00BE2002">
        <w:rPr>
          <w:i/>
          <w:color w:val="171717"/>
          <w:lang w:val="en"/>
        </w:rPr>
        <w:t>.</w:t>
      </w:r>
    </w:p>
  </w:footnote>
  <w:footnote w:id="2">
    <w:p w14:paraId="4A40498F" w14:textId="77777777" w:rsidR="00BE2002" w:rsidRDefault="00BE2002" w:rsidP="00BE2002">
      <w:pPr>
        <w:pStyle w:val="FootnoteText"/>
        <w:rPr>
          <w:sz w:val="18"/>
          <w:szCs w:val="18"/>
        </w:rPr>
      </w:pPr>
      <w:r>
        <w:rPr>
          <w:rStyle w:val="FootnoteReference"/>
          <w:sz w:val="18"/>
          <w:szCs w:val="18"/>
        </w:rPr>
        <w:footnoteRef/>
      </w:r>
      <w:r>
        <w:rPr>
          <w:sz w:val="18"/>
          <w:szCs w:val="18"/>
        </w:rPr>
        <w:t xml:space="preserve"> The initial wait time may not be the only wait time customers experienced when making a customer service enquiry by phone. There may be additional wait times if callers are transferred to a different customer service agent, depending on the enquiry.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F911" w14:textId="77777777" w:rsidR="00C053A1" w:rsidRPr="00A5474E" w:rsidRDefault="00C053A1" w:rsidP="00A5474E">
    <w:pPr>
      <w:pStyle w:val="Header"/>
    </w:pPr>
    <w:r>
      <w:rPr>
        <w:noProof/>
      </w:rPr>
      <w:drawing>
        <wp:inline distT="0" distB="0" distL="0" distR="0" wp14:anchorId="45D77E35" wp14:editId="77118840">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E42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179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8DD8"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2326A54" w14:textId="77777777" w:rsidTr="003B0421">
      <w:trPr>
        <w:trHeight w:hRule="exact" w:val="988"/>
      </w:trPr>
      <w:tc>
        <w:tcPr>
          <w:tcW w:w="7678" w:type="dxa"/>
          <w:shd w:val="clear" w:color="auto" w:fill="auto"/>
        </w:tcPr>
        <w:p w14:paraId="2A1852EF" w14:textId="77777777" w:rsidR="00971914" w:rsidRDefault="00971914" w:rsidP="00971914">
          <w:pPr>
            <w:pStyle w:val="Header"/>
          </w:pPr>
        </w:p>
      </w:tc>
    </w:tr>
    <w:tr w:rsidR="00971914" w14:paraId="3A749371" w14:textId="77777777" w:rsidTr="003B0421">
      <w:tc>
        <w:tcPr>
          <w:tcW w:w="7678" w:type="dxa"/>
          <w:shd w:val="clear" w:color="auto" w:fill="auto"/>
        </w:tcPr>
        <w:p w14:paraId="6325C146" w14:textId="77777777" w:rsidR="00971914" w:rsidRDefault="00971914" w:rsidP="00971914">
          <w:pPr>
            <w:pStyle w:val="GridTable31"/>
          </w:pPr>
          <w:r>
            <w:t xml:space="preserve">Contents </w:t>
          </w:r>
          <w:r w:rsidRPr="00915B1C">
            <w:rPr>
              <w:b w:val="0"/>
              <w:spacing w:val="0"/>
              <w:sz w:val="28"/>
              <w:szCs w:val="28"/>
            </w:rPr>
            <w:t>(Continued)</w:t>
          </w:r>
        </w:p>
      </w:tc>
    </w:tr>
    <w:tr w:rsidR="00971914" w14:paraId="037452DE" w14:textId="77777777" w:rsidTr="003B0421">
      <w:trPr>
        <w:trHeight w:val="1220"/>
      </w:trPr>
      <w:tc>
        <w:tcPr>
          <w:tcW w:w="7678" w:type="dxa"/>
          <w:shd w:val="clear" w:color="auto" w:fill="auto"/>
        </w:tcPr>
        <w:p w14:paraId="25492DF2" w14:textId="77777777" w:rsidR="00971914" w:rsidRDefault="00971914" w:rsidP="00971914"/>
      </w:tc>
    </w:tr>
  </w:tbl>
  <w:p w14:paraId="209BB9B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7DDEF84" w14:textId="77777777" w:rsidTr="003B0421">
      <w:trPr>
        <w:trHeight w:hRule="exact" w:val="988"/>
      </w:trPr>
      <w:tc>
        <w:tcPr>
          <w:tcW w:w="7678" w:type="dxa"/>
          <w:shd w:val="clear" w:color="auto" w:fill="auto"/>
        </w:tcPr>
        <w:p w14:paraId="2583443F" w14:textId="77777777" w:rsidR="00971914" w:rsidRDefault="00971914" w:rsidP="00971914">
          <w:pPr>
            <w:pStyle w:val="Header"/>
          </w:pPr>
        </w:p>
      </w:tc>
    </w:tr>
    <w:tr w:rsidR="00971914" w14:paraId="5520E71B" w14:textId="77777777" w:rsidTr="003B0421">
      <w:tc>
        <w:tcPr>
          <w:tcW w:w="7678" w:type="dxa"/>
          <w:shd w:val="clear" w:color="auto" w:fill="auto"/>
        </w:tcPr>
        <w:p w14:paraId="583A717F" w14:textId="77777777" w:rsidR="00971914" w:rsidRDefault="00971914" w:rsidP="00971914">
          <w:pPr>
            <w:pStyle w:val="GridTable31"/>
          </w:pPr>
          <w:r>
            <w:t xml:space="preserve">Contents </w:t>
          </w:r>
          <w:r w:rsidRPr="00915B1C">
            <w:rPr>
              <w:b w:val="0"/>
              <w:spacing w:val="0"/>
              <w:sz w:val="28"/>
              <w:szCs w:val="28"/>
            </w:rPr>
            <w:t>(Continued)</w:t>
          </w:r>
        </w:p>
      </w:tc>
    </w:tr>
    <w:tr w:rsidR="00971914" w14:paraId="70C352A4" w14:textId="77777777" w:rsidTr="003B0421">
      <w:trPr>
        <w:trHeight w:val="1220"/>
      </w:trPr>
      <w:tc>
        <w:tcPr>
          <w:tcW w:w="7678" w:type="dxa"/>
          <w:shd w:val="clear" w:color="auto" w:fill="auto"/>
        </w:tcPr>
        <w:p w14:paraId="6A4EEC12" w14:textId="77777777" w:rsidR="00971914" w:rsidRDefault="00971914" w:rsidP="00971914"/>
      </w:tc>
    </w:tr>
  </w:tbl>
  <w:p w14:paraId="10465132"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079E"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5876"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E3F25"/>
    <w:multiLevelType w:val="hybridMultilevel"/>
    <w:tmpl w:val="69DA5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880430D"/>
    <w:multiLevelType w:val="hybridMultilevel"/>
    <w:tmpl w:val="060C3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B7100A"/>
    <w:multiLevelType w:val="hybridMultilevel"/>
    <w:tmpl w:val="CF06C186"/>
    <w:lvl w:ilvl="0" w:tplc="2E6C400A">
      <w:numFmt w:val="decimal"/>
      <w:lvlText w:val=""/>
      <w:lvlJc w:val="left"/>
      <w:pPr>
        <w:ind w:left="720" w:hanging="360"/>
      </w:pPr>
      <w:rPr>
        <w:rFonts w:ascii="Symbol" w:hAnsi="Symbo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1"/>
  </w:num>
  <w:num w:numId="7">
    <w:abstractNumId w:val="9"/>
  </w:num>
  <w:num w:numId="8">
    <w:abstractNumId w:val="10"/>
  </w:num>
  <w:num w:numId="9">
    <w:abstractNumId w:val="12"/>
  </w:num>
  <w:num w:numId="10">
    <w:abstractNumId w:val="4"/>
  </w:num>
  <w:num w:numId="11">
    <w:abstractNumId w:val="2"/>
    <w:lvlOverride w:ilvl="0">
      <w:startOverride w:val="1"/>
    </w:lvlOverride>
  </w:num>
  <w:num w:numId="12">
    <w:abstractNumId w:val="7"/>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2"/>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767"/>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B2A3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16BF"/>
    <w:rsid w:val="00454596"/>
    <w:rsid w:val="0045605D"/>
    <w:rsid w:val="00456DEB"/>
    <w:rsid w:val="0046135B"/>
    <w:rsid w:val="00461D47"/>
    <w:rsid w:val="004718CC"/>
    <w:rsid w:val="00481695"/>
    <w:rsid w:val="00495A96"/>
    <w:rsid w:val="00495BB3"/>
    <w:rsid w:val="004A56BB"/>
    <w:rsid w:val="004A70D6"/>
    <w:rsid w:val="004B1751"/>
    <w:rsid w:val="004C0253"/>
    <w:rsid w:val="004D56FF"/>
    <w:rsid w:val="004E10FF"/>
    <w:rsid w:val="004E39D3"/>
    <w:rsid w:val="004E508A"/>
    <w:rsid w:val="004E616D"/>
    <w:rsid w:val="004F01CC"/>
    <w:rsid w:val="004F1BDE"/>
    <w:rsid w:val="004F2CEE"/>
    <w:rsid w:val="004F556E"/>
    <w:rsid w:val="004F591C"/>
    <w:rsid w:val="004F7F44"/>
    <w:rsid w:val="005037B4"/>
    <w:rsid w:val="005079BF"/>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06B"/>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D7866"/>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4440A"/>
    <w:rsid w:val="00A51D1A"/>
    <w:rsid w:val="00A5418D"/>
    <w:rsid w:val="00A5474E"/>
    <w:rsid w:val="00A64234"/>
    <w:rsid w:val="00A70ADF"/>
    <w:rsid w:val="00A71466"/>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E2002"/>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4BA8"/>
    <w:rsid w:val="00CB52D7"/>
    <w:rsid w:val="00CC6732"/>
    <w:rsid w:val="00CE3C96"/>
    <w:rsid w:val="00CE51A8"/>
    <w:rsid w:val="00CF2FE3"/>
    <w:rsid w:val="00CF369B"/>
    <w:rsid w:val="00D00E28"/>
    <w:rsid w:val="00D0269E"/>
    <w:rsid w:val="00D05D6C"/>
    <w:rsid w:val="00D1350E"/>
    <w:rsid w:val="00D15810"/>
    <w:rsid w:val="00D16D4E"/>
    <w:rsid w:val="00D16FE3"/>
    <w:rsid w:val="00D27F41"/>
    <w:rsid w:val="00D36441"/>
    <w:rsid w:val="00D4064E"/>
    <w:rsid w:val="00D44E9B"/>
    <w:rsid w:val="00D45FD2"/>
    <w:rsid w:val="00D47AEB"/>
    <w:rsid w:val="00D50DB9"/>
    <w:rsid w:val="00D51302"/>
    <w:rsid w:val="00D52C43"/>
    <w:rsid w:val="00D6507F"/>
    <w:rsid w:val="00D730BC"/>
    <w:rsid w:val="00D73912"/>
    <w:rsid w:val="00D85226"/>
    <w:rsid w:val="00D87B94"/>
    <w:rsid w:val="00D92D49"/>
    <w:rsid w:val="00D92EC1"/>
    <w:rsid w:val="00D96DEA"/>
    <w:rsid w:val="00DA4E41"/>
    <w:rsid w:val="00DB117A"/>
    <w:rsid w:val="00DB2AA5"/>
    <w:rsid w:val="00DB5173"/>
    <w:rsid w:val="00DB570A"/>
    <w:rsid w:val="00DB7873"/>
    <w:rsid w:val="00DC187B"/>
    <w:rsid w:val="00DC7DEF"/>
    <w:rsid w:val="00DD1A43"/>
    <w:rsid w:val="00DD73C2"/>
    <w:rsid w:val="00DE319B"/>
    <w:rsid w:val="00DF34FE"/>
    <w:rsid w:val="00DF56AA"/>
    <w:rsid w:val="00DF56AF"/>
    <w:rsid w:val="00DF78E7"/>
    <w:rsid w:val="00E110E0"/>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58DE"/>
    <w:rsid w:val="00EA6F19"/>
    <w:rsid w:val="00EB0526"/>
    <w:rsid w:val="00EB7090"/>
    <w:rsid w:val="00EC1BBE"/>
    <w:rsid w:val="00EC2B68"/>
    <w:rsid w:val="00EC3AEF"/>
    <w:rsid w:val="00EC5CD7"/>
    <w:rsid w:val="00EE5FB3"/>
    <w:rsid w:val="00EE7F79"/>
    <w:rsid w:val="00EF715A"/>
    <w:rsid w:val="00F01BC3"/>
    <w:rsid w:val="00F06E14"/>
    <w:rsid w:val="00F179D4"/>
    <w:rsid w:val="00F33C56"/>
    <w:rsid w:val="00F347C7"/>
    <w:rsid w:val="00F34848"/>
    <w:rsid w:val="00F42D46"/>
    <w:rsid w:val="00F4496C"/>
    <w:rsid w:val="00F44F3A"/>
    <w:rsid w:val="00F45DD5"/>
    <w:rsid w:val="00F51F10"/>
    <w:rsid w:val="00F529A5"/>
    <w:rsid w:val="00F60F00"/>
    <w:rsid w:val="00F614C0"/>
    <w:rsid w:val="00F61C77"/>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5BA1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7C6E44"/>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uiPriority w:val="3"/>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NormalWeb">
    <w:name w:val="Normal (Web)"/>
    <w:basedOn w:val="Normal"/>
    <w:semiHidden/>
    <w:unhideWhenUsed/>
    <w:rsid w:val="00BE2002"/>
    <w:rPr>
      <w:rFonts w:ascii="Times New Roman" w:hAnsi="Times New Roman"/>
      <w:sz w:val="24"/>
    </w:rPr>
  </w:style>
  <w:style w:type="character" w:customStyle="1" w:styleId="ACMABodyTextChar">
    <w:name w:val="ACMA Body Text Char"/>
    <w:link w:val="ACMABodyText"/>
    <w:semiHidden/>
    <w:locked/>
    <w:rsid w:val="00BE2002"/>
  </w:style>
  <w:style w:type="paragraph" w:customStyle="1" w:styleId="ACMABodyText">
    <w:name w:val="ACMA Body Text"/>
    <w:link w:val="ACMABodyTextChar"/>
    <w:semiHidden/>
    <w:rsid w:val="00BE2002"/>
    <w:pPr>
      <w:suppressAutoHyphens/>
      <w:snapToGrid w:val="0"/>
      <w:spacing w:before="80" w:after="12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5868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commsalliance.com.au/Documents/all/codes/c628" TargetMode="External"/><Relationship Id="rId32" Type="http://schemas.openxmlformats.org/officeDocument/2006/relationships/image" Target="media/image9.png"/><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7.png"/><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humphri\AppData\Roaming\Local\Hewlett-Packard\HP%20TRIM\Offline%20Records%20(AR)\CURRENT%20Cust%20Service%20~%2014%20December%202018\Charts%20-%20IN%20USE%20from%2014%20December%202018%20(accompany%20main%20doc).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hperera\AppData\Roaming\Local\Hewlett-Packard\HP%20TRIM\Offline%20Records%20(AR)\CURRENT%20Cust%20Service%20~%2014%20December%202018\Charts%20-%20IN%20USE%20from%2014%20December%202018%20(accompany%20main%20do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C:\Users\hperera\AppData\Roaming\Local\Hewlett-Packard\HP%20TRIM\Offline%20Records%20(AR)\CURRENT%20Cust%20Service%20~%2014%20December%202018\Charts%20-%20IN%20USE%20from%2014%20December%202018%20(accompany%20main%20do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8892388451444"/>
          <c:y val="4.6919456297013155E-2"/>
          <c:w val="0.87293698687664045"/>
          <c:h val="0.76605045528526816"/>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F04D-4291-8FAC-301DDD6938CB}"/>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3-F04D-4291-8FAC-301DDD6938CB}"/>
              </c:ext>
            </c:extLst>
          </c:dPt>
          <c:dPt>
            <c:idx val="3"/>
            <c:invertIfNegative val="0"/>
            <c:bubble3D val="0"/>
            <c:spPr>
              <a:solidFill>
                <a:srgbClr val="FFC000"/>
              </a:solidFill>
              <a:ln>
                <a:noFill/>
              </a:ln>
              <a:effectLst/>
            </c:spPr>
            <c:extLst>
              <c:ext xmlns:c16="http://schemas.microsoft.com/office/drawing/2014/chart" uri="{C3380CC4-5D6E-409C-BE32-E72D297353CC}">
                <c16:uniqueId val="{00000005-F04D-4291-8FAC-301DDD6938CB}"/>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F04D-4291-8FAC-301DDD6938CB}"/>
              </c:ext>
            </c:extLst>
          </c:dPt>
          <c:dLbls>
            <c:dLbl>
              <c:idx val="0"/>
              <c:spPr>
                <a:noFill/>
                <a:ln>
                  <a:noFill/>
                </a:ln>
                <a:effectLst/>
              </c:spPr>
              <c:txPr>
                <a:bodyPr rot="0" spcFirstLastPara="1" vertOverflow="ellipsis" vert="horz" wrap="square" lIns="38100" tIns="19050" rIns="38100" bIns="19050" anchor="ctr" anchorCtr="0">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8-F04D-4291-8FAC-301DDD6938CB}"/>
                </c:ext>
              </c:extLst>
            </c:dLbl>
            <c:dLbl>
              <c:idx val="2"/>
              <c:spPr>
                <a:noFill/>
                <a:ln>
                  <a:noFill/>
                </a:ln>
                <a:effectLst/>
              </c:spPr>
              <c:txPr>
                <a:bodyPr rot="0" spcFirstLastPara="1" vertOverflow="ellipsis" vert="horz" wrap="square" lIns="38100" tIns="19050" rIns="38100" bIns="19050" anchor="ctr" anchorCtr="0">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F04D-4291-8FAC-301DDD6938CB}"/>
                </c:ext>
              </c:extLst>
            </c:dLbl>
            <c:spPr>
              <a:noFill/>
              <a:ln>
                <a:noFill/>
              </a:ln>
              <a:effectLst/>
            </c:spPr>
            <c:txPr>
              <a:bodyPr rot="0" spcFirstLastPara="1" vertOverflow="ellipsis" vert="horz" wrap="square" lIns="38100" tIns="19050" rIns="38100" bIns="19050" anchor="ctr" anchorCtr="0">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4'!$B$2:$B$6</c:f>
              <c:strCache>
                <c:ptCount val="5"/>
                <c:pt idx="0">
                  <c:v>Telco A</c:v>
                </c:pt>
                <c:pt idx="1">
                  <c:v>Telco B</c:v>
                </c:pt>
                <c:pt idx="2">
                  <c:v>Telco C</c:v>
                </c:pt>
                <c:pt idx="3">
                  <c:v>Telco D</c:v>
                </c:pt>
                <c:pt idx="4">
                  <c:v>Telco E</c:v>
                </c:pt>
              </c:strCache>
            </c:strRef>
          </c:cat>
          <c:val>
            <c:numRef>
              <c:f>'Figure 4'!$C$2:$C$6</c:f>
              <c:numCache>
                <c:formatCode>h:mm</c:formatCode>
                <c:ptCount val="5"/>
                <c:pt idx="0">
                  <c:v>4.0972222222222222E-2</c:v>
                </c:pt>
                <c:pt idx="1">
                  <c:v>3.5416666666666666E-2</c:v>
                </c:pt>
                <c:pt idx="2">
                  <c:v>5.2083333333333336E-2</c:v>
                </c:pt>
                <c:pt idx="3">
                  <c:v>9.0277777777777776E-2</c:v>
                </c:pt>
                <c:pt idx="4">
                  <c:v>0.17986111111111111</c:v>
                </c:pt>
              </c:numCache>
            </c:numRef>
          </c:val>
          <c:extLst>
            <c:ext xmlns:c16="http://schemas.microsoft.com/office/drawing/2014/chart" uri="{C3380CC4-5D6E-409C-BE32-E72D297353CC}">
              <c16:uniqueId val="{00000009-F04D-4291-8FAC-301DDD6938CB}"/>
            </c:ext>
          </c:extLst>
        </c:ser>
        <c:dLbls>
          <c:showLegendKey val="0"/>
          <c:showVal val="0"/>
          <c:showCatName val="0"/>
          <c:showSerName val="0"/>
          <c:showPercent val="0"/>
          <c:showBubbleSize val="0"/>
        </c:dLbls>
        <c:gapWidth val="75"/>
        <c:axId val="573911912"/>
        <c:axId val="573906008"/>
      </c:barChart>
      <c:lineChart>
        <c:grouping val="standard"/>
        <c:varyColors val="0"/>
        <c:ser>
          <c:idx val="1"/>
          <c:order val="1"/>
          <c:tx>
            <c:v>Average</c:v>
          </c:tx>
          <c:spPr>
            <a:ln w="28575" cap="rnd">
              <a:solidFill>
                <a:schemeClr val="accent2"/>
              </a:solidFill>
              <a:round/>
            </a:ln>
            <a:effectLst/>
          </c:spPr>
          <c:marker>
            <c:symbol val="none"/>
          </c:marker>
          <c:dLbls>
            <c:delete val="1"/>
          </c:dLbls>
          <c:trendline>
            <c:spPr>
              <a:ln w="41275" cap="rnd">
                <a:solidFill>
                  <a:schemeClr val="accent2"/>
                </a:solidFill>
                <a:prstDash val="solid"/>
              </a:ln>
              <a:effectLst/>
            </c:spPr>
            <c:trendlineType val="linear"/>
            <c:dispRSqr val="0"/>
            <c:dispEq val="0"/>
          </c:trendline>
          <c:val>
            <c:numRef>
              <c:f>'Figure 4'!$D$2:$D$6</c:f>
              <c:numCache>
                <c:formatCode>h:mm</c:formatCode>
                <c:ptCount val="5"/>
                <c:pt idx="0">
                  <c:v>7.9722222222222222E-2</c:v>
                </c:pt>
                <c:pt idx="1">
                  <c:v>7.9722222222222222E-2</c:v>
                </c:pt>
                <c:pt idx="2">
                  <c:v>7.9722222222222222E-2</c:v>
                </c:pt>
                <c:pt idx="3">
                  <c:v>7.9722222222222222E-2</c:v>
                </c:pt>
                <c:pt idx="4">
                  <c:v>7.9722222222222222E-2</c:v>
                </c:pt>
              </c:numCache>
            </c:numRef>
          </c:val>
          <c:smooth val="0"/>
          <c:extLst>
            <c:ext xmlns:c16="http://schemas.microsoft.com/office/drawing/2014/chart" uri="{C3380CC4-5D6E-409C-BE32-E72D297353CC}">
              <c16:uniqueId val="{0000000B-F04D-4291-8FAC-301DDD6938CB}"/>
            </c:ext>
          </c:extLst>
        </c:ser>
        <c:dLbls>
          <c:showLegendKey val="0"/>
          <c:showVal val="1"/>
          <c:showCatName val="0"/>
          <c:showSerName val="0"/>
          <c:showPercent val="0"/>
          <c:showBubbleSize val="0"/>
        </c:dLbls>
        <c:marker val="1"/>
        <c:smooth val="0"/>
        <c:axId val="573911912"/>
        <c:axId val="573906008"/>
      </c:lineChart>
      <c:catAx>
        <c:axId val="57391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906008"/>
        <c:crosses val="autoZero"/>
        <c:auto val="1"/>
        <c:lblAlgn val="ctr"/>
        <c:lblOffset val="100"/>
        <c:noMultiLvlLbl val="0"/>
      </c:catAx>
      <c:valAx>
        <c:axId val="573906008"/>
        <c:scaling>
          <c:orientation val="minMax"/>
          <c:max val="0.209000000000000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Call wait time in minutes and seconds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h: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911912"/>
        <c:crosses val="autoZero"/>
        <c:crossBetween val="between"/>
        <c:majorUnit val="4.1700000000000008E-2"/>
        <c:minorUnit val="1.0000000000000002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F98-49EE-BCE8-7851F1C7CA2B}"/>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3-3F98-49EE-BCE8-7851F1C7CA2B}"/>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3F98-49EE-BCE8-7851F1C7CA2B}"/>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3F98-49EE-BCE8-7851F1C7CA2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8-3F98-49EE-BCE8-7851F1C7CA2B}"/>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3F98-49EE-BCE8-7851F1C7CA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6'!$B$2:$B$6</c:f>
              <c:strCache>
                <c:ptCount val="5"/>
                <c:pt idx="0">
                  <c:v>Telco A</c:v>
                </c:pt>
                <c:pt idx="1">
                  <c:v>Telco B</c:v>
                </c:pt>
                <c:pt idx="2">
                  <c:v>Telco C</c:v>
                </c:pt>
                <c:pt idx="3">
                  <c:v>Telco D</c:v>
                </c:pt>
                <c:pt idx="4">
                  <c:v>Telco E</c:v>
                </c:pt>
              </c:strCache>
            </c:strRef>
          </c:cat>
          <c:val>
            <c:numRef>
              <c:f>'Figure 6'!$C$2:$C$6</c:f>
              <c:numCache>
                <c:formatCode>_-* #,##0.0_-;\-* #,##0.0_-;_-* "-"?_-;_-@_-</c:formatCode>
                <c:ptCount val="5"/>
                <c:pt idx="0">
                  <c:v>4.93</c:v>
                </c:pt>
                <c:pt idx="1">
                  <c:v>6.03</c:v>
                </c:pt>
                <c:pt idx="2">
                  <c:v>6.03</c:v>
                </c:pt>
                <c:pt idx="3">
                  <c:v>8.15</c:v>
                </c:pt>
                <c:pt idx="4">
                  <c:v>15.3</c:v>
                </c:pt>
              </c:numCache>
            </c:numRef>
          </c:val>
          <c:extLst>
            <c:ext xmlns:c16="http://schemas.microsoft.com/office/drawing/2014/chart" uri="{C3380CC4-5D6E-409C-BE32-E72D297353CC}">
              <c16:uniqueId val="{00000009-3F98-49EE-BCE8-7851F1C7CA2B}"/>
            </c:ext>
          </c:extLst>
        </c:ser>
        <c:dLbls>
          <c:dLblPos val="outEnd"/>
          <c:showLegendKey val="0"/>
          <c:showVal val="1"/>
          <c:showCatName val="0"/>
          <c:showSerName val="0"/>
          <c:showPercent val="0"/>
          <c:showBubbleSize val="0"/>
        </c:dLbls>
        <c:gapWidth val="75"/>
        <c:axId val="778874904"/>
        <c:axId val="778883104"/>
      </c:barChart>
      <c:lineChart>
        <c:grouping val="standard"/>
        <c:varyColors val="0"/>
        <c:ser>
          <c:idx val="1"/>
          <c:order val="1"/>
          <c:tx>
            <c:v>Average</c:v>
          </c:tx>
          <c:spPr>
            <a:ln w="41275" cap="rnd">
              <a:solidFill>
                <a:schemeClr val="accent2"/>
              </a:solidFill>
              <a:round/>
            </a:ln>
            <a:effectLst/>
          </c:spPr>
          <c:marker>
            <c:symbol val="none"/>
          </c:marker>
          <c:val>
            <c:numRef>
              <c:f>'Figure 6'!$D$2:$D$6</c:f>
              <c:numCache>
                <c:formatCode>0.0</c:formatCode>
                <c:ptCount val="5"/>
                <c:pt idx="0">
                  <c:v>8.0879999999999992</c:v>
                </c:pt>
                <c:pt idx="1">
                  <c:v>8.0879999999999992</c:v>
                </c:pt>
                <c:pt idx="2">
                  <c:v>8.0879999999999992</c:v>
                </c:pt>
                <c:pt idx="3">
                  <c:v>8.0879999999999992</c:v>
                </c:pt>
                <c:pt idx="4">
                  <c:v>8.0879999999999992</c:v>
                </c:pt>
              </c:numCache>
            </c:numRef>
          </c:val>
          <c:smooth val="0"/>
          <c:extLst>
            <c:ext xmlns:c16="http://schemas.microsoft.com/office/drawing/2014/chart" uri="{C3380CC4-5D6E-409C-BE32-E72D297353CC}">
              <c16:uniqueId val="{0000000A-3F98-49EE-BCE8-7851F1C7CA2B}"/>
            </c:ext>
          </c:extLst>
        </c:ser>
        <c:dLbls>
          <c:showLegendKey val="0"/>
          <c:showVal val="0"/>
          <c:showCatName val="0"/>
          <c:showSerName val="0"/>
          <c:showPercent val="0"/>
          <c:showBubbleSize val="0"/>
        </c:dLbls>
        <c:marker val="1"/>
        <c:smooth val="0"/>
        <c:axId val="778874904"/>
        <c:axId val="778883104"/>
      </c:lineChart>
      <c:catAx>
        <c:axId val="77887490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883104"/>
        <c:crosses val="autoZero"/>
        <c:auto val="1"/>
        <c:lblAlgn val="ctr"/>
        <c:lblOffset val="100"/>
        <c:noMultiLvlLbl val="0"/>
      </c:catAx>
      <c:valAx>
        <c:axId val="778883104"/>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1000"/>
                  <a:t>Call abandonment</a:t>
                </a:r>
                <a:r>
                  <a:rPr lang="en-AU" sz="1000" baseline="0"/>
                  <a:t> rate %</a:t>
                </a:r>
                <a:endParaRPr lang="en-AU" sz="10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874904"/>
        <c:crosses val="autoZero"/>
        <c:crossBetween val="between"/>
        <c:majorUnit val="5"/>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72091804103716"/>
          <c:y val="8.9086859688195991E-2"/>
          <c:w val="0.82402312227616026"/>
          <c:h val="0.842024446276064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67D-499E-A984-84F249B2B943}"/>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3-367D-499E-A984-84F249B2B943}"/>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367D-499E-A984-84F249B2B943}"/>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367D-499E-A984-84F249B2B94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8-367D-499E-A984-84F249B2B943}"/>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367D-499E-A984-84F249B2B94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8'!$A$3:$A$7</c:f>
              <c:strCache>
                <c:ptCount val="5"/>
                <c:pt idx="0">
                  <c:v>Telco A</c:v>
                </c:pt>
                <c:pt idx="1">
                  <c:v>Telco B</c:v>
                </c:pt>
                <c:pt idx="2">
                  <c:v>Telco C</c:v>
                </c:pt>
                <c:pt idx="3">
                  <c:v>Telco D</c:v>
                </c:pt>
                <c:pt idx="4">
                  <c:v>Telco E</c:v>
                </c:pt>
              </c:strCache>
            </c:strRef>
          </c:cat>
          <c:val>
            <c:numRef>
              <c:f>'Figure 8'!$B$3:$B$7</c:f>
              <c:numCache>
                <c:formatCode>General</c:formatCode>
                <c:ptCount val="5"/>
                <c:pt idx="0">
                  <c:v>74</c:v>
                </c:pt>
                <c:pt idx="1">
                  <c:v>65.8</c:v>
                </c:pt>
                <c:pt idx="2">
                  <c:v>66.599999999999994</c:v>
                </c:pt>
                <c:pt idx="3">
                  <c:v>62.6</c:v>
                </c:pt>
                <c:pt idx="4">
                  <c:v>86</c:v>
                </c:pt>
              </c:numCache>
            </c:numRef>
          </c:val>
          <c:extLst>
            <c:ext xmlns:c16="http://schemas.microsoft.com/office/drawing/2014/chart" uri="{C3380CC4-5D6E-409C-BE32-E72D297353CC}">
              <c16:uniqueId val="{00000009-367D-499E-A984-84F249B2B943}"/>
            </c:ext>
          </c:extLst>
        </c:ser>
        <c:dLbls>
          <c:dLblPos val="ctr"/>
          <c:showLegendKey val="0"/>
          <c:showVal val="1"/>
          <c:showCatName val="0"/>
          <c:showSerName val="0"/>
          <c:showPercent val="0"/>
          <c:showBubbleSize val="0"/>
        </c:dLbls>
        <c:gapWidth val="75"/>
        <c:axId val="617026296"/>
        <c:axId val="625070776"/>
      </c:barChart>
      <c:lineChart>
        <c:grouping val="standard"/>
        <c:varyColors val="0"/>
        <c:ser>
          <c:idx val="1"/>
          <c:order val="1"/>
          <c:tx>
            <c:v>Ave</c:v>
          </c:tx>
          <c:spPr>
            <a:ln w="41275" cap="rnd">
              <a:solidFill>
                <a:schemeClr val="accent2"/>
              </a:solidFill>
              <a:round/>
            </a:ln>
            <a:effectLst/>
          </c:spPr>
          <c:marker>
            <c:symbol val="none"/>
          </c:marker>
          <c:dLbls>
            <c:delete val="1"/>
          </c:dLbls>
          <c:val>
            <c:numRef>
              <c:f>'Figure 8'!$C$3:$C$7</c:f>
              <c:numCache>
                <c:formatCode>General</c:formatCode>
                <c:ptCount val="5"/>
                <c:pt idx="0">
                  <c:v>71</c:v>
                </c:pt>
                <c:pt idx="1">
                  <c:v>71</c:v>
                </c:pt>
                <c:pt idx="2">
                  <c:v>71</c:v>
                </c:pt>
                <c:pt idx="3">
                  <c:v>71</c:v>
                </c:pt>
                <c:pt idx="4">
                  <c:v>71</c:v>
                </c:pt>
              </c:numCache>
            </c:numRef>
          </c:val>
          <c:smooth val="0"/>
          <c:extLst>
            <c:ext xmlns:c16="http://schemas.microsoft.com/office/drawing/2014/chart" uri="{C3380CC4-5D6E-409C-BE32-E72D297353CC}">
              <c16:uniqueId val="{0000000A-367D-499E-A984-84F249B2B943}"/>
            </c:ext>
          </c:extLst>
        </c:ser>
        <c:dLbls>
          <c:dLblPos val="ctr"/>
          <c:showLegendKey val="0"/>
          <c:showVal val="1"/>
          <c:showCatName val="0"/>
          <c:showSerName val="0"/>
          <c:showPercent val="0"/>
          <c:showBubbleSize val="0"/>
        </c:dLbls>
        <c:marker val="1"/>
        <c:smooth val="0"/>
        <c:axId val="617026296"/>
        <c:axId val="625070776"/>
      </c:lineChart>
      <c:catAx>
        <c:axId val="61702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070776"/>
        <c:crosses val="autoZero"/>
        <c:auto val="1"/>
        <c:lblAlgn val="ctr"/>
        <c:lblOffset val="100"/>
        <c:noMultiLvlLbl val="0"/>
      </c:catAx>
      <c:valAx>
        <c:axId val="62507077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Average</a:t>
                </a:r>
                <a:r>
                  <a:rPr lang="en-AU" baseline="0"/>
                  <a:t> rate of first contact resolution %</a:t>
                </a:r>
              </a:p>
            </c:rich>
          </c:tx>
          <c:layout>
            <c:manualLayout>
              <c:xMode val="edge"/>
              <c:yMode val="edge"/>
              <c:x val="6.9262547167753624E-2"/>
              <c:y val="0.275468945046307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026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0.36424</cdr:x>
      <cdr:y>0.49417</cdr:y>
    </cdr:from>
    <cdr:to>
      <cdr:x>0.55285</cdr:x>
      <cdr:y>0.55759</cdr:y>
    </cdr:to>
    <cdr:sp macro="" textlink="">
      <cdr:nvSpPr>
        <cdr:cNvPr id="2" name="TextBox 1">
          <a:extLst xmlns:a="http://schemas.openxmlformats.org/drawingml/2006/main">
            <a:ext uri="{FF2B5EF4-FFF2-40B4-BE49-F238E27FC236}">
              <a16:creationId xmlns:a16="http://schemas.microsoft.com/office/drawing/2014/main" id="{684727CE-B4E5-4EC5-99B3-1DA997B89988}"/>
            </a:ext>
          </a:extLst>
        </cdr:cNvPr>
        <cdr:cNvSpPr txBox="1"/>
      </cdr:nvSpPr>
      <cdr:spPr>
        <a:xfrm xmlns:a="http://schemas.openxmlformats.org/drawingml/2006/main">
          <a:off x="1968083" y="2003602"/>
          <a:ext cx="1019101" cy="2571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t>Average =  8.1</a:t>
          </a:r>
        </a:p>
      </cdr:txBody>
    </cdr:sp>
  </cdr:relSizeAnchor>
</c:userShapes>
</file>

<file path=word/drawings/drawing2.xml><?xml version="1.0" encoding="utf-8"?>
<c:userShapes xmlns:c="http://schemas.openxmlformats.org/drawingml/2006/chart">
  <cdr:relSizeAnchor xmlns:cdr="http://schemas.openxmlformats.org/drawingml/2006/chartDrawing">
    <cdr:from>
      <cdr:x>0.01669</cdr:x>
      <cdr:y>0.24944</cdr:y>
    </cdr:from>
    <cdr:to>
      <cdr:x>0.04856</cdr:x>
      <cdr:y>0.86414</cdr:y>
    </cdr:to>
    <cdr:sp macro="" textlink="">
      <cdr:nvSpPr>
        <cdr:cNvPr id="2" name="TextBox 1">
          <a:extLst xmlns:a="http://schemas.openxmlformats.org/drawingml/2006/main">
            <a:ext uri="{FF2B5EF4-FFF2-40B4-BE49-F238E27FC236}">
              <a16:creationId xmlns:a16="http://schemas.microsoft.com/office/drawing/2014/main" id="{EB385698-8848-4958-A77B-1841B6123B87}"/>
            </a:ext>
          </a:extLst>
        </cdr:cNvPr>
        <cdr:cNvSpPr txBox="1"/>
      </cdr:nvSpPr>
      <cdr:spPr>
        <a:xfrm xmlns:a="http://schemas.openxmlformats.org/drawingml/2006/main">
          <a:off x="104775" y="1066801"/>
          <a:ext cx="200025" cy="2628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0.4181</cdr:x>
      <cdr:y>0.425</cdr:y>
    </cdr:from>
    <cdr:to>
      <cdr:x>0.71173</cdr:x>
      <cdr:y>0.48407</cdr:y>
    </cdr:to>
    <cdr:sp macro="" textlink="">
      <cdr:nvSpPr>
        <cdr:cNvPr id="3" name="TextBox 2">
          <a:extLst xmlns:a="http://schemas.openxmlformats.org/drawingml/2006/main">
            <a:ext uri="{FF2B5EF4-FFF2-40B4-BE49-F238E27FC236}">
              <a16:creationId xmlns:a16="http://schemas.microsoft.com/office/drawing/2014/main" id="{009F7D95-B96C-4805-AB5F-B562DA7B2D9E}"/>
            </a:ext>
          </a:extLst>
        </cdr:cNvPr>
        <cdr:cNvSpPr txBox="1"/>
      </cdr:nvSpPr>
      <cdr:spPr>
        <a:xfrm xmlns:a="http://schemas.openxmlformats.org/drawingml/2006/main">
          <a:off x="2481017" y="1714769"/>
          <a:ext cx="1742423" cy="238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t>Average = 71%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E4BD-EC65-47B1-A28E-5275BB42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2019-12-02T03:59:00Z</dcterms:created>
  <dcterms:modified xsi:type="dcterms:W3CDTF">2019-12-02T04:39:00Z</dcterms:modified>
  <cp:category/>
</cp:coreProperties>
</file>