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9275" w14:textId="4061650D" w:rsidR="00F06E14" w:rsidRPr="00A51D1A" w:rsidRDefault="00EA3B0D" w:rsidP="006123EF">
      <w:pPr>
        <w:pStyle w:val="ACMAReportTitle"/>
      </w:pPr>
      <w:bookmarkStart w:id="0" w:name="_GoBack"/>
      <w:bookmarkEnd w:id="0"/>
      <w:r w:rsidRPr="008E5FB0">
        <w:t xml:space="preserve">Cost Recovery </w:t>
      </w:r>
      <w:r w:rsidRPr="0053216E">
        <w:t>Implementation</w:t>
      </w:r>
      <w:r w:rsidRPr="008E5FB0">
        <w:t xml:space="preserve"> Statement</w:t>
      </w:r>
    </w:p>
    <w:p w14:paraId="5A345603" w14:textId="26A43BEE" w:rsidR="00F06E14" w:rsidRDefault="00EA3B0D" w:rsidP="006123EF">
      <w:pPr>
        <w:pStyle w:val="ACMAReportSubTitle"/>
      </w:pPr>
      <w:r>
        <w:t xml:space="preserve">Annual Carrier </w:t>
      </w:r>
      <w:r w:rsidRPr="006123EF">
        <w:t>Licence</w:t>
      </w:r>
      <w:r>
        <w:t xml:space="preserve"> Charge for t</w:t>
      </w:r>
      <w:r w:rsidR="0046793D">
        <w:t>he charging period 1 July 201</w:t>
      </w:r>
      <w:r w:rsidR="00327F11">
        <w:t>8</w:t>
      </w:r>
      <w:r w:rsidR="006B519D">
        <w:t xml:space="preserve"> </w:t>
      </w:r>
      <w:r>
        <w:t xml:space="preserve">to </w:t>
      </w:r>
      <w:r w:rsidR="006B519D">
        <w:br/>
      </w:r>
      <w:r w:rsidR="0046793D">
        <w:t>30 June 201</w:t>
      </w:r>
      <w:r w:rsidR="00327F11">
        <w:t>9</w:t>
      </w:r>
    </w:p>
    <w:p w14:paraId="24D4A42F" w14:textId="1A4D4EA8" w:rsidR="00F06E14" w:rsidRDefault="007763EC" w:rsidP="00D47AEB">
      <w:pPr>
        <w:pStyle w:val="ACMAReportDate"/>
        <w:spacing w:after="720"/>
      </w:pPr>
      <w:r>
        <w:t>December</w:t>
      </w:r>
      <w:r w:rsidR="00557FA1">
        <w:t xml:space="preserve"> </w:t>
      </w:r>
      <w:r w:rsidR="0046793D">
        <w:t>201</w:t>
      </w:r>
      <w:r w:rsidR="00327F11">
        <w:t>9</w:t>
      </w:r>
    </w:p>
    <w:p w14:paraId="364FC31F" w14:textId="77777777" w:rsidR="00BA51A8" w:rsidRDefault="00BA51A8" w:rsidP="00D47AEB">
      <w:pPr>
        <w:pStyle w:val="ACMAReportDate"/>
        <w:spacing w:after="720"/>
      </w:pPr>
    </w:p>
    <w:p w14:paraId="238ABCE6" w14:textId="77777777" w:rsidR="00C97736" w:rsidRPr="000D76E0" w:rsidRDefault="00C97736" w:rsidP="0041071D">
      <w:pPr>
        <w:rPr>
          <w:rFonts w:cs="Arial"/>
        </w:rPr>
      </w:pPr>
    </w:p>
    <w:p w14:paraId="1C7D7695" w14:textId="77777777" w:rsidR="00C97736" w:rsidRPr="000D76E0" w:rsidRDefault="00C97736" w:rsidP="0041071D">
      <w:pPr>
        <w:rPr>
          <w:rFonts w:cs="Arial"/>
        </w:rPr>
        <w:sectPr w:rsidR="00C97736" w:rsidRPr="000D76E0" w:rsidSect="004F556E">
          <w:headerReference w:type="default" r:id="rId11"/>
          <w:footerReference w:type="default" r:id="rId12"/>
          <w:headerReference w:type="first" r:id="rId13"/>
          <w:pgSz w:w="11906" w:h="16838" w:code="9"/>
          <w:pgMar w:top="3924" w:right="1797" w:bottom="1440" w:left="1134" w:header="709" w:footer="454" w:gutter="0"/>
          <w:cols w:space="708"/>
          <w:docGrid w:linePitch="360"/>
        </w:sectPr>
      </w:pPr>
    </w:p>
    <w:p w14:paraId="143B005B" w14:textId="77777777" w:rsidR="0005011A" w:rsidRPr="00F44F3A" w:rsidRDefault="0005011A" w:rsidP="00FC07B9">
      <w:pPr>
        <w:pStyle w:val="ACMACorporateAddressHeader"/>
      </w:pPr>
      <w:r w:rsidRPr="00F44F3A">
        <w:lastRenderedPageBreak/>
        <w:t>Canberra</w:t>
      </w:r>
    </w:p>
    <w:p w14:paraId="36896ED0"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516CED8A" w14:textId="77777777" w:rsidR="0005011A" w:rsidRPr="00FC07B9" w:rsidRDefault="0005011A" w:rsidP="00FC07B9">
      <w:pPr>
        <w:pStyle w:val="ACMACorporateAddresses"/>
      </w:pPr>
      <w:r w:rsidRPr="00FC07B9">
        <w:t>PO Box 78</w:t>
      </w:r>
      <w:r w:rsidRPr="00FC07B9">
        <w:br/>
        <w:t>Belconnen ACT 2616</w:t>
      </w:r>
    </w:p>
    <w:p w14:paraId="5AE1A804"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DF775FA" w14:textId="77777777" w:rsidR="0005011A" w:rsidRPr="00F44F3A" w:rsidRDefault="0005011A" w:rsidP="00FC07B9">
      <w:pPr>
        <w:pStyle w:val="ACMACorporateAddressHeader"/>
      </w:pPr>
      <w:r w:rsidRPr="00F44F3A">
        <w:t>Melbourne</w:t>
      </w:r>
    </w:p>
    <w:p w14:paraId="3975A71A"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1985B85"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CFBFDAA"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6A3F68CD" w14:textId="77777777" w:rsidR="0005011A" w:rsidRPr="00F44F3A" w:rsidRDefault="0005011A" w:rsidP="00FC07B9">
      <w:pPr>
        <w:pStyle w:val="ACMACorporateAddressHeader"/>
      </w:pPr>
      <w:r w:rsidRPr="00F44F3A">
        <w:t>Sydney</w:t>
      </w:r>
    </w:p>
    <w:p w14:paraId="1DA47F07"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AAA015D"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703341C"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50F30284" w14:textId="77777777" w:rsidR="00140318" w:rsidRPr="006D46E5" w:rsidRDefault="00140318" w:rsidP="00FC07B9">
      <w:pPr>
        <w:pStyle w:val="ACMACopyrightHeader"/>
      </w:pPr>
      <w:r w:rsidRPr="00140318">
        <w:t>Copyright notice</w:t>
      </w:r>
    </w:p>
    <w:p w14:paraId="15B474F9" w14:textId="77777777" w:rsidR="00140318" w:rsidRPr="006D46E5" w:rsidRDefault="00623FF9" w:rsidP="00623FF9">
      <w:pPr>
        <w:pStyle w:val="ACMACClogo"/>
      </w:pPr>
      <w:r w:rsidRPr="00623FF9">
        <w:rPr>
          <w:noProof/>
        </w:rPr>
        <w:drawing>
          <wp:inline distT="0" distB="0" distL="0" distR="0" wp14:anchorId="5F9E7BFA" wp14:editId="5E071DB4">
            <wp:extent cx="838200" cy="295275"/>
            <wp:effectExtent l="0" t="0" r="0" b="9525"/>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46F820F7" w14:textId="350BD551" w:rsidR="004B052A" w:rsidRDefault="00A711D3" w:rsidP="004B052A">
      <w:pPr>
        <w:pStyle w:val="ACMACorporateAddresses"/>
        <w:rPr>
          <w:rStyle w:val="Hyperlink"/>
        </w:rPr>
      </w:pPr>
      <w:hyperlink r:id="rId16" w:history="1">
        <w:r w:rsidR="00B40851" w:rsidRPr="009658D3">
          <w:rPr>
            <w:rStyle w:val="Hyperlink"/>
          </w:rPr>
          <w:t>https://creativecommons.org/licenses/by/4.0</w:t>
        </w:r>
        <w:r w:rsidR="00B40851" w:rsidRPr="00FC6D01">
          <w:rPr>
            <w:rStyle w:val="Hyperlink"/>
          </w:rPr>
          <w:t>/</w:t>
        </w:r>
      </w:hyperlink>
    </w:p>
    <w:p w14:paraId="38157986" w14:textId="77777777" w:rsidR="004B052A" w:rsidRPr="006D46E5" w:rsidRDefault="004B052A" w:rsidP="004B052A">
      <w:pPr>
        <w:pStyle w:val="ACMACorporateAddresses"/>
      </w:pPr>
      <w:proofErr w:type="gramStart"/>
      <w:r w:rsidRPr="006D46E5">
        <w:t>With the exception of</w:t>
      </w:r>
      <w:proofErr w:type="gramEnd"/>
      <w:r w:rsidRPr="006D46E5">
        <w:t xml:space="preserve"> coats of arms, logos, emblems, images, other third-party material or devices protected by a trademark, this content is </w:t>
      </w:r>
      <w:r>
        <w:t>made available</w:t>
      </w:r>
      <w:r w:rsidRPr="006D46E5">
        <w:t xml:space="preserve"> under the </w:t>
      </w:r>
      <w:r>
        <w:t xml:space="preserve">terms of the </w:t>
      </w:r>
      <w:r w:rsidRPr="006D46E5">
        <w:t xml:space="preserve">Creative Commons Attribution </w:t>
      </w:r>
      <w:r>
        <w:t>4</w:t>
      </w:r>
      <w:r w:rsidRPr="006D46E5">
        <w:t xml:space="preserve">.0 </w:t>
      </w:r>
      <w:r>
        <w:t>International (CC BY 4.0) licence</w:t>
      </w:r>
      <w:r w:rsidRPr="006D46E5">
        <w:t xml:space="preserve">. </w:t>
      </w:r>
    </w:p>
    <w:p w14:paraId="2AE3E2B2" w14:textId="4B8DD14A" w:rsidR="00140318" w:rsidRPr="006D46E5" w:rsidRDefault="00140318" w:rsidP="00FC07B9">
      <w:pPr>
        <w:pStyle w:val="ACMACorporateAddresses"/>
      </w:pPr>
      <w:r w:rsidRPr="006D46E5">
        <w:t>We request attribution as: © Commonwealth of Australia (Australian Communic</w:t>
      </w:r>
      <w:r w:rsidR="008408FF">
        <w:t>ations and Media Authority) 201</w:t>
      </w:r>
      <w:r w:rsidR="00844F56">
        <w:t>9</w:t>
      </w:r>
      <w:r w:rsidRPr="006D46E5">
        <w:t>.</w:t>
      </w:r>
    </w:p>
    <w:p w14:paraId="037C986A" w14:textId="77777777" w:rsidR="00140318" w:rsidRPr="006D46E5" w:rsidRDefault="00140318" w:rsidP="00FC07B9">
      <w:pPr>
        <w:pStyle w:val="ACMACorporateAddresses"/>
      </w:pPr>
      <w:r>
        <w:t>All other rights are reserved.</w:t>
      </w:r>
    </w:p>
    <w:p w14:paraId="5DEFD480"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4B822F7" w14:textId="77777777" w:rsidR="00140318" w:rsidRPr="006D46E5" w:rsidRDefault="00140318" w:rsidP="00FC07B9">
      <w:pPr>
        <w:pStyle w:val="ACMACorporateAddresses"/>
      </w:pPr>
      <w:r w:rsidRPr="006D46E5">
        <w:t>Written enquiries may be sent to:</w:t>
      </w:r>
    </w:p>
    <w:p w14:paraId="37225039"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7" w:history="1">
        <w:r w:rsidRPr="00431792">
          <w:rPr>
            <w:rStyle w:val="Hyperlink"/>
          </w:rPr>
          <w:t>candinfo@acma.gov.au</w:t>
        </w:r>
      </w:hyperlink>
    </w:p>
    <w:p w14:paraId="3A6C632A" w14:textId="77777777" w:rsidR="00D16FE3" w:rsidRDefault="00D16FE3" w:rsidP="00D16FE3">
      <w:pPr>
        <w:pStyle w:val="ACMACorporateAddresses"/>
        <w:rPr>
          <w:rStyle w:val="Hyperlink"/>
        </w:rPr>
      </w:pPr>
    </w:p>
    <w:p w14:paraId="6B250E88"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76B44136" w14:textId="4585C4F3" w:rsidR="00393C57" w:rsidRDefault="00B1182A">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sidR="007A6CC0">
        <w:rPr>
          <w:rFonts w:cs="Arial"/>
          <w:b w:val="0"/>
        </w:rPr>
        <w:instrText xml:space="preserve"> TOC \o "1-3" \t "ACMA_ExecSummaryHeading,1" </w:instrText>
      </w:r>
      <w:r>
        <w:rPr>
          <w:rFonts w:cs="Arial"/>
          <w:b w:val="0"/>
        </w:rPr>
        <w:fldChar w:fldCharType="separate"/>
      </w:r>
      <w:r w:rsidR="00393C57">
        <w:t xml:space="preserve">1. </w:t>
      </w:r>
      <w:r w:rsidR="00393C57">
        <w:rPr>
          <w:rFonts w:asciiTheme="minorHAnsi" w:eastAsiaTheme="minorEastAsia" w:hAnsiTheme="minorHAnsi" w:cstheme="minorBidi"/>
          <w:b w:val="0"/>
          <w:spacing w:val="0"/>
          <w:sz w:val="22"/>
          <w:szCs w:val="22"/>
        </w:rPr>
        <w:tab/>
      </w:r>
      <w:r w:rsidR="00393C57">
        <w:t>Introduction</w:t>
      </w:r>
      <w:r w:rsidR="00393C57">
        <w:tab/>
      </w:r>
      <w:r w:rsidR="00393C57">
        <w:fldChar w:fldCharType="begin"/>
      </w:r>
      <w:r w:rsidR="00393C57">
        <w:instrText xml:space="preserve"> PAGEREF _Toc26786320 \h </w:instrText>
      </w:r>
      <w:r w:rsidR="00393C57">
        <w:fldChar w:fldCharType="separate"/>
      </w:r>
      <w:r w:rsidR="00393C57">
        <w:t>1</w:t>
      </w:r>
      <w:r w:rsidR="00393C57">
        <w:fldChar w:fldCharType="end"/>
      </w:r>
    </w:p>
    <w:p w14:paraId="7C369F76" w14:textId="63B9CA8E" w:rsidR="00393C57" w:rsidRDefault="00393C57">
      <w:pPr>
        <w:pStyle w:val="TOC2"/>
        <w:rPr>
          <w:rFonts w:asciiTheme="minorHAnsi" w:eastAsiaTheme="minorEastAsia" w:hAnsiTheme="minorHAnsi" w:cstheme="minorBidi"/>
          <w:spacing w:val="0"/>
          <w:sz w:val="22"/>
          <w:szCs w:val="22"/>
        </w:rPr>
      </w:pPr>
      <w:r>
        <w:t xml:space="preserve">1.1 </w:t>
      </w:r>
      <w:r>
        <w:rPr>
          <w:rFonts w:asciiTheme="minorHAnsi" w:eastAsiaTheme="minorEastAsia" w:hAnsiTheme="minorHAnsi" w:cstheme="minorBidi"/>
          <w:spacing w:val="0"/>
          <w:sz w:val="22"/>
          <w:szCs w:val="22"/>
        </w:rPr>
        <w:tab/>
      </w:r>
      <w:r>
        <w:t>Purpose of the Cost Recovery Implementation Statement</w:t>
      </w:r>
      <w:r>
        <w:tab/>
      </w:r>
      <w:r>
        <w:fldChar w:fldCharType="begin"/>
      </w:r>
      <w:r>
        <w:instrText xml:space="preserve"> PAGEREF _Toc26786321 \h </w:instrText>
      </w:r>
      <w:r>
        <w:fldChar w:fldCharType="separate"/>
      </w:r>
      <w:r>
        <w:t>1</w:t>
      </w:r>
      <w:r>
        <w:fldChar w:fldCharType="end"/>
      </w:r>
    </w:p>
    <w:p w14:paraId="569072F8" w14:textId="4C75020B" w:rsidR="00393C57" w:rsidRDefault="00393C57">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Background and description of activity</w:t>
      </w:r>
      <w:r>
        <w:tab/>
      </w:r>
      <w:r>
        <w:fldChar w:fldCharType="begin"/>
      </w:r>
      <w:r>
        <w:instrText xml:space="preserve"> PAGEREF _Toc26786322 \h </w:instrText>
      </w:r>
      <w:r>
        <w:fldChar w:fldCharType="separate"/>
      </w:r>
      <w:r>
        <w:t>1</w:t>
      </w:r>
      <w:r>
        <w:fldChar w:fldCharType="end"/>
      </w:r>
    </w:p>
    <w:p w14:paraId="7E976CBB" w14:textId="0EBF40BD" w:rsidR="00393C57" w:rsidRDefault="00393C57">
      <w:pPr>
        <w:pStyle w:val="TOC2"/>
        <w:rPr>
          <w:rFonts w:asciiTheme="minorHAnsi" w:eastAsiaTheme="minorEastAsia" w:hAnsiTheme="minorHAnsi" w:cstheme="minorBidi"/>
          <w:spacing w:val="0"/>
          <w:sz w:val="22"/>
          <w:szCs w:val="22"/>
        </w:rPr>
      </w:pPr>
      <w:r>
        <w:t xml:space="preserve">1.3 </w:t>
      </w:r>
      <w:r>
        <w:rPr>
          <w:rFonts w:asciiTheme="minorHAnsi" w:eastAsiaTheme="minorEastAsia" w:hAnsiTheme="minorHAnsi" w:cstheme="minorBidi"/>
          <w:spacing w:val="0"/>
          <w:sz w:val="22"/>
          <w:szCs w:val="22"/>
        </w:rPr>
        <w:tab/>
      </w:r>
      <w:r>
        <w:t>Stakeholders</w:t>
      </w:r>
      <w:r>
        <w:tab/>
      </w:r>
      <w:r>
        <w:fldChar w:fldCharType="begin"/>
      </w:r>
      <w:r>
        <w:instrText xml:space="preserve"> PAGEREF _Toc26786323 \h </w:instrText>
      </w:r>
      <w:r>
        <w:fldChar w:fldCharType="separate"/>
      </w:r>
      <w:r>
        <w:t>2</w:t>
      </w:r>
      <w:r>
        <w:fldChar w:fldCharType="end"/>
      </w:r>
    </w:p>
    <w:p w14:paraId="12333D92" w14:textId="3CECD26C" w:rsidR="00393C57" w:rsidRDefault="00393C57">
      <w:pPr>
        <w:pStyle w:val="TOC1"/>
        <w:tabs>
          <w:tab w:val="left" w:pos="885"/>
        </w:tabs>
        <w:rPr>
          <w:rFonts w:asciiTheme="minorHAnsi" w:eastAsiaTheme="minorEastAsia" w:hAnsiTheme="minorHAnsi" w:cstheme="minorBidi"/>
          <w:b w:val="0"/>
          <w:spacing w:val="0"/>
          <w:sz w:val="22"/>
          <w:szCs w:val="22"/>
        </w:rPr>
      </w:pPr>
      <w:r>
        <w:t xml:space="preserve">2. </w:t>
      </w:r>
      <w:r>
        <w:rPr>
          <w:rFonts w:asciiTheme="minorHAnsi" w:eastAsiaTheme="minorEastAsia" w:hAnsiTheme="minorHAnsi" w:cstheme="minorBidi"/>
          <w:b w:val="0"/>
          <w:spacing w:val="0"/>
          <w:sz w:val="22"/>
          <w:szCs w:val="22"/>
        </w:rPr>
        <w:tab/>
      </w:r>
      <w:r>
        <w:t>Policy and statutory authority to undertake cost recovery</w:t>
      </w:r>
      <w:r>
        <w:tab/>
      </w:r>
      <w:r>
        <w:fldChar w:fldCharType="begin"/>
      </w:r>
      <w:r>
        <w:instrText xml:space="preserve"> PAGEREF _Toc26786324 \h </w:instrText>
      </w:r>
      <w:r>
        <w:fldChar w:fldCharType="separate"/>
      </w:r>
      <w:r>
        <w:t>3</w:t>
      </w:r>
      <w:r>
        <w:fldChar w:fldCharType="end"/>
      </w:r>
    </w:p>
    <w:p w14:paraId="52CDB26D" w14:textId="0E41BA0E" w:rsidR="00393C57" w:rsidRDefault="00393C57">
      <w:pPr>
        <w:pStyle w:val="TOC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Government policy approval to recover costs</w:t>
      </w:r>
      <w:r>
        <w:tab/>
      </w:r>
      <w:r>
        <w:fldChar w:fldCharType="begin"/>
      </w:r>
      <w:r>
        <w:instrText xml:space="preserve"> PAGEREF _Toc26786325 \h </w:instrText>
      </w:r>
      <w:r>
        <w:fldChar w:fldCharType="separate"/>
      </w:r>
      <w:r>
        <w:t>3</w:t>
      </w:r>
      <w:r>
        <w:fldChar w:fldCharType="end"/>
      </w:r>
    </w:p>
    <w:p w14:paraId="3842D5C4" w14:textId="04DC2C39" w:rsidR="00393C57" w:rsidRDefault="00393C57">
      <w:pPr>
        <w:pStyle w:val="TOC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Statutory authority to impose cost recovery charges</w:t>
      </w:r>
      <w:r>
        <w:tab/>
      </w:r>
      <w:r>
        <w:fldChar w:fldCharType="begin"/>
      </w:r>
      <w:r>
        <w:instrText xml:space="preserve"> PAGEREF _Toc26786326 \h </w:instrText>
      </w:r>
      <w:r>
        <w:fldChar w:fldCharType="separate"/>
      </w:r>
      <w:r>
        <w:t>3</w:t>
      </w:r>
      <w:r>
        <w:fldChar w:fldCharType="end"/>
      </w:r>
    </w:p>
    <w:p w14:paraId="770F95B1" w14:textId="6D492322" w:rsidR="00393C57" w:rsidRDefault="00393C57">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Cost recovery model</w:t>
      </w:r>
      <w:r>
        <w:tab/>
      </w:r>
      <w:r>
        <w:fldChar w:fldCharType="begin"/>
      </w:r>
      <w:r>
        <w:instrText xml:space="preserve"> PAGEREF _Toc26786327 \h </w:instrText>
      </w:r>
      <w:r>
        <w:fldChar w:fldCharType="separate"/>
      </w:r>
      <w:r>
        <w:t>6</w:t>
      </w:r>
      <w:r>
        <w:fldChar w:fldCharType="end"/>
      </w:r>
    </w:p>
    <w:p w14:paraId="2BEEB12C" w14:textId="33E421FC" w:rsidR="00393C57" w:rsidRDefault="00393C57">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Determination of cost component for the ACMA’s activity</w:t>
      </w:r>
      <w:r>
        <w:tab/>
      </w:r>
      <w:r>
        <w:fldChar w:fldCharType="begin"/>
      </w:r>
      <w:r>
        <w:instrText xml:space="preserve"> PAGEREF _Toc26786328 \h </w:instrText>
      </w:r>
      <w:r>
        <w:fldChar w:fldCharType="separate"/>
      </w:r>
      <w:r>
        <w:t>6</w:t>
      </w:r>
      <w:r>
        <w:fldChar w:fldCharType="end"/>
      </w:r>
    </w:p>
    <w:p w14:paraId="7F0FA0D9" w14:textId="23E95252" w:rsidR="00393C57" w:rsidRDefault="00393C57">
      <w:pPr>
        <w:pStyle w:val="TOC3"/>
        <w:tabs>
          <w:tab w:val="left" w:pos="885"/>
        </w:tabs>
        <w:rPr>
          <w:rFonts w:asciiTheme="minorHAnsi" w:eastAsiaTheme="minorEastAsia" w:hAnsiTheme="minorHAnsi" w:cstheme="minorBidi"/>
        </w:rPr>
      </w:pPr>
      <w:r>
        <w:t>3.1.1</w:t>
      </w:r>
      <w:r>
        <w:rPr>
          <w:rFonts w:asciiTheme="minorHAnsi" w:eastAsiaTheme="minorEastAsia" w:hAnsiTheme="minorHAnsi" w:cstheme="minorBidi"/>
        </w:rPr>
        <w:tab/>
      </w:r>
      <w:r>
        <w:t>Outputs and business processes of the activity</w:t>
      </w:r>
      <w:r>
        <w:tab/>
      </w:r>
      <w:r>
        <w:fldChar w:fldCharType="begin"/>
      </w:r>
      <w:r>
        <w:instrText xml:space="preserve"> PAGEREF _Toc26786329 \h </w:instrText>
      </w:r>
      <w:r>
        <w:fldChar w:fldCharType="separate"/>
      </w:r>
      <w:r>
        <w:t>6</w:t>
      </w:r>
      <w:r>
        <w:fldChar w:fldCharType="end"/>
      </w:r>
    </w:p>
    <w:p w14:paraId="159AAA0F" w14:textId="2D07F9D4" w:rsidR="00393C57" w:rsidRDefault="00393C57">
      <w:pPr>
        <w:pStyle w:val="TOC3"/>
        <w:tabs>
          <w:tab w:val="left" w:pos="885"/>
        </w:tabs>
        <w:rPr>
          <w:rFonts w:asciiTheme="minorHAnsi" w:eastAsiaTheme="minorEastAsia" w:hAnsiTheme="minorHAnsi" w:cstheme="minorBidi"/>
        </w:rPr>
      </w:pPr>
      <w:r>
        <w:t>3.1.2</w:t>
      </w:r>
      <w:r>
        <w:rPr>
          <w:rFonts w:asciiTheme="minorHAnsi" w:eastAsiaTheme="minorEastAsia" w:hAnsiTheme="minorHAnsi" w:cstheme="minorBidi"/>
        </w:rPr>
        <w:tab/>
      </w:r>
      <w:r>
        <w:t>Costs of the activity</w:t>
      </w:r>
      <w:r>
        <w:tab/>
      </w:r>
      <w:r>
        <w:fldChar w:fldCharType="begin"/>
      </w:r>
      <w:r>
        <w:instrText xml:space="preserve"> PAGEREF _Toc26786330 \h </w:instrText>
      </w:r>
      <w:r>
        <w:fldChar w:fldCharType="separate"/>
      </w:r>
      <w:r>
        <w:t>10</w:t>
      </w:r>
      <w:r>
        <w:fldChar w:fldCharType="end"/>
      </w:r>
    </w:p>
    <w:p w14:paraId="697AB36D" w14:textId="13826C80" w:rsidR="00393C57" w:rsidRDefault="00393C57">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Determination of cost component for the ACCC’s activity</w:t>
      </w:r>
      <w:r>
        <w:tab/>
      </w:r>
      <w:r>
        <w:fldChar w:fldCharType="begin"/>
      </w:r>
      <w:r>
        <w:instrText xml:space="preserve"> PAGEREF _Toc26786331 \h </w:instrText>
      </w:r>
      <w:r>
        <w:fldChar w:fldCharType="separate"/>
      </w:r>
      <w:r>
        <w:t>13</w:t>
      </w:r>
      <w:r>
        <w:fldChar w:fldCharType="end"/>
      </w:r>
    </w:p>
    <w:p w14:paraId="23423C5C" w14:textId="003CAB92" w:rsidR="00393C57" w:rsidRDefault="00393C57">
      <w:pPr>
        <w:pStyle w:val="TOC3"/>
        <w:tabs>
          <w:tab w:val="left" w:pos="885"/>
        </w:tabs>
        <w:rPr>
          <w:rFonts w:asciiTheme="minorHAnsi" w:eastAsiaTheme="minorEastAsia" w:hAnsiTheme="minorHAnsi" w:cstheme="minorBidi"/>
        </w:rPr>
      </w:pPr>
      <w:r>
        <w:t>3.2.1</w:t>
      </w:r>
      <w:r>
        <w:rPr>
          <w:rFonts w:asciiTheme="minorHAnsi" w:eastAsiaTheme="minorEastAsia" w:hAnsiTheme="minorHAnsi" w:cstheme="minorBidi"/>
        </w:rPr>
        <w:tab/>
      </w:r>
      <w:r>
        <w:t>Outputs and business processes of the activity</w:t>
      </w:r>
      <w:r>
        <w:tab/>
      </w:r>
      <w:r>
        <w:fldChar w:fldCharType="begin"/>
      </w:r>
      <w:r>
        <w:instrText xml:space="preserve"> PAGEREF _Toc26786332 \h </w:instrText>
      </w:r>
      <w:r>
        <w:fldChar w:fldCharType="separate"/>
      </w:r>
      <w:r>
        <w:t>13</w:t>
      </w:r>
      <w:r>
        <w:fldChar w:fldCharType="end"/>
      </w:r>
    </w:p>
    <w:p w14:paraId="3F124E25" w14:textId="463E9DCF" w:rsidR="00393C57" w:rsidRDefault="00393C57">
      <w:pPr>
        <w:pStyle w:val="TOC3"/>
        <w:tabs>
          <w:tab w:val="left" w:pos="885"/>
        </w:tabs>
        <w:rPr>
          <w:rFonts w:asciiTheme="minorHAnsi" w:eastAsiaTheme="minorEastAsia" w:hAnsiTheme="minorHAnsi" w:cstheme="minorBidi"/>
        </w:rPr>
      </w:pPr>
      <w:r>
        <w:t>3.2.2</w:t>
      </w:r>
      <w:r>
        <w:rPr>
          <w:rFonts w:asciiTheme="minorHAnsi" w:eastAsiaTheme="minorEastAsia" w:hAnsiTheme="minorHAnsi" w:cstheme="minorBidi"/>
        </w:rPr>
        <w:tab/>
      </w:r>
      <w:r>
        <w:t>Costs of the activity</w:t>
      </w:r>
      <w:r>
        <w:tab/>
      </w:r>
      <w:r>
        <w:fldChar w:fldCharType="begin"/>
      </w:r>
      <w:r>
        <w:instrText xml:space="preserve"> PAGEREF _Toc26786333 \h </w:instrText>
      </w:r>
      <w:r>
        <w:fldChar w:fldCharType="separate"/>
      </w:r>
      <w:r>
        <w:t>15</w:t>
      </w:r>
      <w:r>
        <w:fldChar w:fldCharType="end"/>
      </w:r>
    </w:p>
    <w:p w14:paraId="3C4CA82D" w14:textId="65D0944A" w:rsidR="00393C57" w:rsidRDefault="00393C57">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Determination of cost component for the ITU activity</w:t>
      </w:r>
      <w:r>
        <w:tab/>
      </w:r>
      <w:r>
        <w:fldChar w:fldCharType="begin"/>
      </w:r>
      <w:r>
        <w:instrText xml:space="preserve"> PAGEREF _Toc26786334 \h </w:instrText>
      </w:r>
      <w:r>
        <w:fldChar w:fldCharType="separate"/>
      </w:r>
      <w:r>
        <w:t>18</w:t>
      </w:r>
      <w:r>
        <w:fldChar w:fldCharType="end"/>
      </w:r>
    </w:p>
    <w:p w14:paraId="63DC8BCE" w14:textId="674E5DA2" w:rsidR="00393C57" w:rsidRDefault="00393C57">
      <w:pPr>
        <w:pStyle w:val="TOC3"/>
        <w:tabs>
          <w:tab w:val="left" w:pos="885"/>
        </w:tabs>
        <w:rPr>
          <w:rFonts w:asciiTheme="minorHAnsi" w:eastAsiaTheme="minorEastAsia" w:hAnsiTheme="minorHAnsi" w:cstheme="minorBidi"/>
        </w:rPr>
      </w:pPr>
      <w:r>
        <w:t>3.3.1</w:t>
      </w:r>
      <w:r>
        <w:rPr>
          <w:rFonts w:asciiTheme="minorHAnsi" w:eastAsiaTheme="minorEastAsia" w:hAnsiTheme="minorHAnsi" w:cstheme="minorBidi"/>
        </w:rPr>
        <w:tab/>
      </w:r>
      <w:r>
        <w:t>Outputs and business processes of the activity</w:t>
      </w:r>
      <w:r>
        <w:tab/>
      </w:r>
      <w:r>
        <w:fldChar w:fldCharType="begin"/>
      </w:r>
      <w:r>
        <w:instrText xml:space="preserve"> PAGEREF _Toc26786335 \h </w:instrText>
      </w:r>
      <w:r>
        <w:fldChar w:fldCharType="separate"/>
      </w:r>
      <w:r>
        <w:t>18</w:t>
      </w:r>
      <w:r>
        <w:fldChar w:fldCharType="end"/>
      </w:r>
    </w:p>
    <w:p w14:paraId="1EEC464A" w14:textId="0ED9B4A0" w:rsidR="00393C57" w:rsidRDefault="00393C57">
      <w:pPr>
        <w:pStyle w:val="TOC3"/>
        <w:tabs>
          <w:tab w:val="left" w:pos="885"/>
        </w:tabs>
        <w:rPr>
          <w:rFonts w:asciiTheme="minorHAnsi" w:eastAsiaTheme="minorEastAsia" w:hAnsiTheme="minorHAnsi" w:cstheme="minorBidi"/>
        </w:rPr>
      </w:pPr>
      <w:r>
        <w:t>3.3.2</w:t>
      </w:r>
      <w:r>
        <w:rPr>
          <w:rFonts w:asciiTheme="minorHAnsi" w:eastAsiaTheme="minorEastAsia" w:hAnsiTheme="minorHAnsi" w:cstheme="minorBidi"/>
        </w:rPr>
        <w:tab/>
      </w:r>
      <w:r>
        <w:t>Costs of the activity</w:t>
      </w:r>
      <w:r>
        <w:tab/>
      </w:r>
      <w:r>
        <w:fldChar w:fldCharType="begin"/>
      </w:r>
      <w:r>
        <w:instrText xml:space="preserve"> PAGEREF _Toc26786336 \h </w:instrText>
      </w:r>
      <w:r>
        <w:fldChar w:fldCharType="separate"/>
      </w:r>
      <w:r>
        <w:t>18</w:t>
      </w:r>
      <w:r>
        <w:fldChar w:fldCharType="end"/>
      </w:r>
    </w:p>
    <w:p w14:paraId="6951404C" w14:textId="6AB95D92" w:rsidR="00393C57" w:rsidRDefault="00393C57">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Determination of cost component for the development or variation of consumer protection codes</w:t>
      </w:r>
      <w:r>
        <w:tab/>
      </w:r>
      <w:r>
        <w:fldChar w:fldCharType="begin"/>
      </w:r>
      <w:r>
        <w:instrText xml:space="preserve"> PAGEREF _Toc26786337 \h </w:instrText>
      </w:r>
      <w:r>
        <w:fldChar w:fldCharType="separate"/>
      </w:r>
      <w:r>
        <w:t>19</w:t>
      </w:r>
      <w:r>
        <w:fldChar w:fldCharType="end"/>
      </w:r>
    </w:p>
    <w:p w14:paraId="6D1CA562" w14:textId="0A599867" w:rsidR="00393C57" w:rsidRDefault="00393C57">
      <w:pPr>
        <w:pStyle w:val="TOC3"/>
        <w:tabs>
          <w:tab w:val="left" w:pos="885"/>
        </w:tabs>
        <w:rPr>
          <w:rFonts w:asciiTheme="minorHAnsi" w:eastAsiaTheme="minorEastAsia" w:hAnsiTheme="minorHAnsi" w:cstheme="minorBidi"/>
        </w:rPr>
      </w:pPr>
      <w:r>
        <w:t>3.4.1</w:t>
      </w:r>
      <w:r>
        <w:rPr>
          <w:rFonts w:asciiTheme="minorHAnsi" w:eastAsiaTheme="minorEastAsia" w:hAnsiTheme="minorHAnsi" w:cstheme="minorBidi"/>
        </w:rPr>
        <w:tab/>
      </w:r>
      <w:r>
        <w:t>Outputs and business processes of the activity</w:t>
      </w:r>
      <w:r>
        <w:tab/>
      </w:r>
      <w:r>
        <w:fldChar w:fldCharType="begin"/>
      </w:r>
      <w:r>
        <w:instrText xml:space="preserve"> PAGEREF _Toc26786338 \h </w:instrText>
      </w:r>
      <w:r>
        <w:fldChar w:fldCharType="separate"/>
      </w:r>
      <w:r>
        <w:t>19</w:t>
      </w:r>
      <w:r>
        <w:fldChar w:fldCharType="end"/>
      </w:r>
    </w:p>
    <w:p w14:paraId="7F019184" w14:textId="7A4004EE" w:rsidR="00393C57" w:rsidRDefault="00393C57">
      <w:pPr>
        <w:pStyle w:val="TOC3"/>
        <w:tabs>
          <w:tab w:val="left" w:pos="885"/>
        </w:tabs>
        <w:rPr>
          <w:rFonts w:asciiTheme="minorHAnsi" w:eastAsiaTheme="minorEastAsia" w:hAnsiTheme="minorHAnsi" w:cstheme="minorBidi"/>
        </w:rPr>
      </w:pPr>
      <w:r>
        <w:t>3.4.2</w:t>
      </w:r>
      <w:r>
        <w:rPr>
          <w:rFonts w:asciiTheme="minorHAnsi" w:eastAsiaTheme="minorEastAsia" w:hAnsiTheme="minorHAnsi" w:cstheme="minorBidi"/>
        </w:rPr>
        <w:tab/>
      </w:r>
      <w:r>
        <w:t>Costs of the activity</w:t>
      </w:r>
      <w:r>
        <w:tab/>
      </w:r>
      <w:r>
        <w:fldChar w:fldCharType="begin"/>
      </w:r>
      <w:r>
        <w:instrText xml:space="preserve"> PAGEREF _Toc26786339 \h </w:instrText>
      </w:r>
      <w:r>
        <w:fldChar w:fldCharType="separate"/>
      </w:r>
      <w:r>
        <w:t>20</w:t>
      </w:r>
      <w:r>
        <w:fldChar w:fldCharType="end"/>
      </w:r>
    </w:p>
    <w:p w14:paraId="7A386AF6" w14:textId="1604A38D" w:rsidR="00393C57" w:rsidRDefault="00393C57">
      <w:pPr>
        <w:pStyle w:val="TOC2"/>
        <w:rPr>
          <w:rFonts w:asciiTheme="minorHAnsi" w:eastAsiaTheme="minorEastAsia" w:hAnsiTheme="minorHAnsi" w:cstheme="minorBidi"/>
          <w:spacing w:val="0"/>
          <w:sz w:val="22"/>
          <w:szCs w:val="22"/>
        </w:rPr>
      </w:pPr>
      <w:r>
        <w:t>3.5</w:t>
      </w:r>
      <w:r>
        <w:rPr>
          <w:rFonts w:asciiTheme="minorHAnsi" w:eastAsiaTheme="minorEastAsia" w:hAnsiTheme="minorHAnsi" w:cstheme="minorBidi"/>
          <w:spacing w:val="0"/>
          <w:sz w:val="22"/>
          <w:szCs w:val="22"/>
        </w:rPr>
        <w:tab/>
      </w:r>
      <w:r>
        <w:t>Determination of cost component for government grants for consumer representation and research</w:t>
      </w:r>
      <w:r>
        <w:tab/>
      </w:r>
      <w:r>
        <w:fldChar w:fldCharType="begin"/>
      </w:r>
      <w:r>
        <w:instrText xml:space="preserve"> PAGEREF _Toc26786340 \h </w:instrText>
      </w:r>
      <w:r>
        <w:fldChar w:fldCharType="separate"/>
      </w:r>
      <w:r>
        <w:t>20</w:t>
      </w:r>
      <w:r>
        <w:fldChar w:fldCharType="end"/>
      </w:r>
    </w:p>
    <w:p w14:paraId="616C62DD" w14:textId="04D1B02D" w:rsidR="00393C57" w:rsidRDefault="00393C57">
      <w:pPr>
        <w:pStyle w:val="TOC3"/>
        <w:tabs>
          <w:tab w:val="left" w:pos="885"/>
        </w:tabs>
        <w:rPr>
          <w:rFonts w:asciiTheme="minorHAnsi" w:eastAsiaTheme="minorEastAsia" w:hAnsiTheme="minorHAnsi" w:cstheme="minorBidi"/>
        </w:rPr>
      </w:pPr>
      <w:r>
        <w:t>3.5.1</w:t>
      </w:r>
      <w:r>
        <w:rPr>
          <w:rFonts w:asciiTheme="minorHAnsi" w:eastAsiaTheme="minorEastAsia" w:hAnsiTheme="minorHAnsi" w:cstheme="minorBidi"/>
        </w:rPr>
        <w:tab/>
      </w:r>
      <w:r>
        <w:t>Outputs and business processes of the activity</w:t>
      </w:r>
      <w:r>
        <w:tab/>
      </w:r>
      <w:r>
        <w:fldChar w:fldCharType="begin"/>
      </w:r>
      <w:r>
        <w:instrText xml:space="preserve"> PAGEREF _Toc26786341 \h </w:instrText>
      </w:r>
      <w:r>
        <w:fldChar w:fldCharType="separate"/>
      </w:r>
      <w:r>
        <w:t>20</w:t>
      </w:r>
      <w:r>
        <w:fldChar w:fldCharType="end"/>
      </w:r>
    </w:p>
    <w:p w14:paraId="1619B019" w14:textId="38BD3D54" w:rsidR="00393C57" w:rsidRDefault="00393C57">
      <w:pPr>
        <w:pStyle w:val="TOC3"/>
        <w:tabs>
          <w:tab w:val="left" w:pos="885"/>
        </w:tabs>
        <w:rPr>
          <w:rFonts w:asciiTheme="minorHAnsi" w:eastAsiaTheme="minorEastAsia" w:hAnsiTheme="minorHAnsi" w:cstheme="minorBidi"/>
        </w:rPr>
      </w:pPr>
      <w:r>
        <w:t>3.5.2</w:t>
      </w:r>
      <w:r>
        <w:rPr>
          <w:rFonts w:asciiTheme="minorHAnsi" w:eastAsiaTheme="minorEastAsia" w:hAnsiTheme="minorHAnsi" w:cstheme="minorBidi"/>
        </w:rPr>
        <w:tab/>
      </w:r>
      <w:r>
        <w:t>Costs of the activity</w:t>
      </w:r>
      <w:r>
        <w:tab/>
      </w:r>
      <w:r>
        <w:fldChar w:fldCharType="begin"/>
      </w:r>
      <w:r>
        <w:instrText xml:space="preserve"> PAGEREF _Toc26786342 \h </w:instrText>
      </w:r>
      <w:r>
        <w:fldChar w:fldCharType="separate"/>
      </w:r>
      <w:r>
        <w:t>20</w:t>
      </w:r>
      <w:r>
        <w:fldChar w:fldCharType="end"/>
      </w:r>
    </w:p>
    <w:p w14:paraId="72857390" w14:textId="2E39749F" w:rsidR="00393C57" w:rsidRDefault="00393C57">
      <w:pPr>
        <w:pStyle w:val="TOC2"/>
        <w:rPr>
          <w:rFonts w:asciiTheme="minorHAnsi" w:eastAsiaTheme="minorEastAsia" w:hAnsiTheme="minorHAnsi" w:cstheme="minorBidi"/>
          <w:spacing w:val="0"/>
          <w:sz w:val="22"/>
          <w:szCs w:val="22"/>
        </w:rPr>
      </w:pPr>
      <w:r>
        <w:t>3.6</w:t>
      </w:r>
      <w:r>
        <w:rPr>
          <w:rFonts w:asciiTheme="minorHAnsi" w:eastAsiaTheme="minorEastAsia" w:hAnsiTheme="minorHAnsi" w:cstheme="minorBidi"/>
          <w:spacing w:val="0"/>
          <w:sz w:val="22"/>
          <w:szCs w:val="22"/>
        </w:rPr>
        <w:tab/>
      </w:r>
      <w:r>
        <w:t>Design of cost recovery charges</w:t>
      </w:r>
      <w:r>
        <w:tab/>
      </w:r>
      <w:r>
        <w:fldChar w:fldCharType="begin"/>
      </w:r>
      <w:r>
        <w:instrText xml:space="preserve"> PAGEREF _Toc26786343 \h </w:instrText>
      </w:r>
      <w:r>
        <w:fldChar w:fldCharType="separate"/>
      </w:r>
      <w:r>
        <w:t>21</w:t>
      </w:r>
      <w:r>
        <w:fldChar w:fldCharType="end"/>
      </w:r>
    </w:p>
    <w:p w14:paraId="04AF5C45" w14:textId="27ED455E" w:rsidR="00393C57" w:rsidRDefault="00393C57">
      <w:pPr>
        <w:pStyle w:val="TOC1"/>
        <w:tabs>
          <w:tab w:val="left" w:pos="885"/>
        </w:tabs>
        <w:rPr>
          <w:rFonts w:asciiTheme="minorHAnsi" w:eastAsiaTheme="minorEastAsia" w:hAnsiTheme="minorHAnsi" w:cstheme="minorBidi"/>
          <w:b w:val="0"/>
          <w:spacing w:val="0"/>
          <w:sz w:val="22"/>
          <w:szCs w:val="22"/>
        </w:rPr>
      </w:pPr>
      <w:r>
        <w:t xml:space="preserve">4. </w:t>
      </w:r>
      <w:r>
        <w:rPr>
          <w:rFonts w:asciiTheme="minorHAnsi" w:eastAsiaTheme="minorEastAsia" w:hAnsiTheme="minorHAnsi" w:cstheme="minorBidi"/>
          <w:b w:val="0"/>
          <w:spacing w:val="0"/>
          <w:sz w:val="22"/>
          <w:szCs w:val="22"/>
        </w:rPr>
        <w:tab/>
      </w:r>
      <w:r>
        <w:t>Risk assessment</w:t>
      </w:r>
      <w:r>
        <w:tab/>
      </w:r>
      <w:r>
        <w:fldChar w:fldCharType="begin"/>
      </w:r>
      <w:r>
        <w:instrText xml:space="preserve"> PAGEREF _Toc26786344 \h </w:instrText>
      </w:r>
      <w:r>
        <w:fldChar w:fldCharType="separate"/>
      </w:r>
      <w:r>
        <w:t>24</w:t>
      </w:r>
      <w:r>
        <w:fldChar w:fldCharType="end"/>
      </w:r>
    </w:p>
    <w:p w14:paraId="56736768" w14:textId="7B12C54D" w:rsidR="00393C57" w:rsidRDefault="00393C57">
      <w:pPr>
        <w:pStyle w:val="TOC1"/>
        <w:tabs>
          <w:tab w:val="left" w:pos="885"/>
        </w:tabs>
        <w:rPr>
          <w:rFonts w:asciiTheme="minorHAnsi" w:eastAsiaTheme="minorEastAsia" w:hAnsiTheme="minorHAnsi" w:cstheme="minorBidi"/>
          <w:b w:val="0"/>
          <w:spacing w:val="0"/>
          <w:sz w:val="22"/>
          <w:szCs w:val="22"/>
        </w:rPr>
      </w:pPr>
      <w:r>
        <w:t xml:space="preserve">5. </w:t>
      </w:r>
      <w:r>
        <w:rPr>
          <w:rFonts w:asciiTheme="minorHAnsi" w:eastAsiaTheme="minorEastAsia" w:hAnsiTheme="minorHAnsi" w:cstheme="minorBidi"/>
          <w:b w:val="0"/>
          <w:spacing w:val="0"/>
          <w:sz w:val="22"/>
          <w:szCs w:val="22"/>
        </w:rPr>
        <w:tab/>
      </w:r>
      <w:r>
        <w:t>Stakeholder engagement</w:t>
      </w:r>
      <w:r>
        <w:tab/>
      </w:r>
      <w:r>
        <w:fldChar w:fldCharType="begin"/>
      </w:r>
      <w:r>
        <w:instrText xml:space="preserve"> PAGEREF _Toc26786345 \h </w:instrText>
      </w:r>
      <w:r>
        <w:fldChar w:fldCharType="separate"/>
      </w:r>
      <w:r>
        <w:t>25</w:t>
      </w:r>
      <w:r>
        <w:fldChar w:fldCharType="end"/>
      </w:r>
    </w:p>
    <w:p w14:paraId="2452DE4B" w14:textId="55E08305" w:rsidR="00393C57" w:rsidRDefault="00393C57">
      <w:pPr>
        <w:pStyle w:val="TOC1"/>
        <w:tabs>
          <w:tab w:val="left" w:pos="885"/>
        </w:tabs>
        <w:rPr>
          <w:rFonts w:asciiTheme="minorHAnsi" w:eastAsiaTheme="minorEastAsia" w:hAnsiTheme="minorHAnsi" w:cstheme="minorBidi"/>
          <w:b w:val="0"/>
          <w:spacing w:val="0"/>
          <w:sz w:val="22"/>
          <w:szCs w:val="22"/>
        </w:rPr>
      </w:pPr>
      <w:r>
        <w:t xml:space="preserve">6. </w:t>
      </w:r>
      <w:r>
        <w:rPr>
          <w:rFonts w:asciiTheme="minorHAnsi" w:eastAsiaTheme="minorEastAsia" w:hAnsiTheme="minorHAnsi" w:cstheme="minorBidi"/>
          <w:b w:val="0"/>
          <w:spacing w:val="0"/>
          <w:sz w:val="22"/>
          <w:szCs w:val="22"/>
        </w:rPr>
        <w:tab/>
      </w:r>
      <w:r>
        <w:t>Financial estimates</w:t>
      </w:r>
      <w:r>
        <w:tab/>
      </w:r>
      <w:r>
        <w:fldChar w:fldCharType="begin"/>
      </w:r>
      <w:r>
        <w:instrText xml:space="preserve"> PAGEREF _Toc26786346 \h </w:instrText>
      </w:r>
      <w:r>
        <w:fldChar w:fldCharType="separate"/>
      </w:r>
      <w:r>
        <w:t>26</w:t>
      </w:r>
      <w:r>
        <w:fldChar w:fldCharType="end"/>
      </w:r>
    </w:p>
    <w:p w14:paraId="1A26B119" w14:textId="12F9C671" w:rsidR="00393C57" w:rsidRDefault="00393C57">
      <w:pPr>
        <w:pStyle w:val="TOC1"/>
        <w:tabs>
          <w:tab w:val="left" w:pos="885"/>
        </w:tabs>
        <w:rPr>
          <w:rFonts w:asciiTheme="minorHAnsi" w:eastAsiaTheme="minorEastAsia" w:hAnsiTheme="minorHAnsi" w:cstheme="minorBidi"/>
          <w:b w:val="0"/>
          <w:spacing w:val="0"/>
          <w:sz w:val="22"/>
          <w:szCs w:val="22"/>
        </w:rPr>
      </w:pPr>
      <w:r>
        <w:lastRenderedPageBreak/>
        <w:t xml:space="preserve">7A. </w:t>
      </w:r>
      <w:r>
        <w:rPr>
          <w:rFonts w:asciiTheme="minorHAnsi" w:eastAsiaTheme="minorEastAsia" w:hAnsiTheme="minorHAnsi" w:cstheme="minorBidi"/>
          <w:b w:val="0"/>
          <w:spacing w:val="0"/>
          <w:sz w:val="22"/>
          <w:szCs w:val="22"/>
        </w:rPr>
        <w:tab/>
      </w:r>
      <w:r>
        <w:t>Financial performance</w:t>
      </w:r>
      <w:r>
        <w:tab/>
      </w:r>
      <w:r>
        <w:fldChar w:fldCharType="begin"/>
      </w:r>
      <w:r>
        <w:instrText xml:space="preserve"> PAGEREF _Toc26786347 \h </w:instrText>
      </w:r>
      <w:r>
        <w:fldChar w:fldCharType="separate"/>
      </w:r>
      <w:r>
        <w:t>29</w:t>
      </w:r>
      <w:r>
        <w:fldChar w:fldCharType="end"/>
      </w:r>
    </w:p>
    <w:p w14:paraId="5964DB5B" w14:textId="4182891C" w:rsidR="00393C57" w:rsidRDefault="00393C57">
      <w:pPr>
        <w:pStyle w:val="TOC1"/>
        <w:tabs>
          <w:tab w:val="left" w:pos="885"/>
        </w:tabs>
        <w:rPr>
          <w:rFonts w:asciiTheme="minorHAnsi" w:eastAsiaTheme="minorEastAsia" w:hAnsiTheme="minorHAnsi" w:cstheme="minorBidi"/>
          <w:b w:val="0"/>
          <w:spacing w:val="0"/>
          <w:sz w:val="22"/>
          <w:szCs w:val="22"/>
        </w:rPr>
      </w:pPr>
      <w:r>
        <w:t xml:space="preserve">7B. </w:t>
      </w:r>
      <w:r>
        <w:rPr>
          <w:rFonts w:asciiTheme="minorHAnsi" w:eastAsiaTheme="minorEastAsia" w:hAnsiTheme="minorHAnsi" w:cstheme="minorBidi"/>
          <w:b w:val="0"/>
          <w:spacing w:val="0"/>
          <w:sz w:val="22"/>
          <w:szCs w:val="22"/>
        </w:rPr>
        <w:tab/>
      </w:r>
      <w:r>
        <w:t>Non-financial performance</w:t>
      </w:r>
      <w:r>
        <w:tab/>
      </w:r>
      <w:r>
        <w:fldChar w:fldCharType="begin"/>
      </w:r>
      <w:r>
        <w:instrText xml:space="preserve"> PAGEREF _Toc26786348 \h </w:instrText>
      </w:r>
      <w:r>
        <w:fldChar w:fldCharType="separate"/>
      </w:r>
      <w:r>
        <w:t>31</w:t>
      </w:r>
      <w:r>
        <w:fldChar w:fldCharType="end"/>
      </w:r>
    </w:p>
    <w:p w14:paraId="0D4012A5" w14:textId="511A2E5B" w:rsidR="00393C57" w:rsidRDefault="00393C57">
      <w:pPr>
        <w:pStyle w:val="TOC2"/>
        <w:rPr>
          <w:rFonts w:asciiTheme="minorHAnsi" w:eastAsiaTheme="minorEastAsia" w:hAnsiTheme="minorHAnsi" w:cstheme="minorBidi"/>
          <w:spacing w:val="0"/>
          <w:sz w:val="22"/>
          <w:szCs w:val="22"/>
        </w:rPr>
      </w:pPr>
      <w:r>
        <w:t>The ACMA’s cost component</w:t>
      </w:r>
      <w:r>
        <w:tab/>
      </w:r>
      <w:r>
        <w:fldChar w:fldCharType="begin"/>
      </w:r>
      <w:r>
        <w:instrText xml:space="preserve"> PAGEREF _Toc26786349 \h </w:instrText>
      </w:r>
      <w:r>
        <w:fldChar w:fldCharType="separate"/>
      </w:r>
      <w:r>
        <w:t>31</w:t>
      </w:r>
      <w:r>
        <w:fldChar w:fldCharType="end"/>
      </w:r>
    </w:p>
    <w:p w14:paraId="6E17FC96" w14:textId="318829ED" w:rsidR="00393C57" w:rsidRDefault="00393C57">
      <w:pPr>
        <w:pStyle w:val="TOC2"/>
        <w:rPr>
          <w:rFonts w:asciiTheme="minorHAnsi" w:eastAsiaTheme="minorEastAsia" w:hAnsiTheme="minorHAnsi" w:cstheme="minorBidi"/>
          <w:spacing w:val="0"/>
          <w:sz w:val="22"/>
          <w:szCs w:val="22"/>
        </w:rPr>
      </w:pPr>
      <w:r>
        <w:t>The ACCC’s cost component</w:t>
      </w:r>
      <w:r>
        <w:tab/>
      </w:r>
      <w:r>
        <w:fldChar w:fldCharType="begin"/>
      </w:r>
      <w:r>
        <w:instrText xml:space="preserve"> PAGEREF _Toc26786350 \h </w:instrText>
      </w:r>
      <w:r>
        <w:fldChar w:fldCharType="separate"/>
      </w:r>
      <w:r>
        <w:t>31</w:t>
      </w:r>
      <w:r>
        <w:fldChar w:fldCharType="end"/>
      </w:r>
    </w:p>
    <w:p w14:paraId="2941EC9F" w14:textId="0C53309B" w:rsidR="00393C57" w:rsidRDefault="00393C57">
      <w:pPr>
        <w:pStyle w:val="TOC2"/>
        <w:rPr>
          <w:rFonts w:asciiTheme="minorHAnsi" w:eastAsiaTheme="minorEastAsia" w:hAnsiTheme="minorHAnsi" w:cstheme="minorBidi"/>
          <w:spacing w:val="0"/>
          <w:sz w:val="22"/>
          <w:szCs w:val="22"/>
        </w:rPr>
      </w:pPr>
      <w:r>
        <w:t>ITU contribution</w:t>
      </w:r>
      <w:r>
        <w:tab/>
      </w:r>
      <w:r>
        <w:fldChar w:fldCharType="begin"/>
      </w:r>
      <w:r>
        <w:instrText xml:space="preserve"> PAGEREF _Toc26786351 \h </w:instrText>
      </w:r>
      <w:r>
        <w:fldChar w:fldCharType="separate"/>
      </w:r>
      <w:r>
        <w:t>32</w:t>
      </w:r>
      <w:r>
        <w:fldChar w:fldCharType="end"/>
      </w:r>
    </w:p>
    <w:p w14:paraId="611F596A" w14:textId="5EC58245" w:rsidR="00393C57" w:rsidRDefault="00393C57">
      <w:pPr>
        <w:pStyle w:val="TOC2"/>
        <w:rPr>
          <w:rFonts w:asciiTheme="minorHAnsi" w:eastAsiaTheme="minorEastAsia" w:hAnsiTheme="minorHAnsi" w:cstheme="minorBidi"/>
          <w:spacing w:val="0"/>
          <w:sz w:val="22"/>
          <w:szCs w:val="22"/>
        </w:rPr>
      </w:pPr>
      <w:r>
        <w:t>Government grants—consumer representation and research</w:t>
      </w:r>
      <w:r>
        <w:tab/>
      </w:r>
      <w:r>
        <w:fldChar w:fldCharType="begin"/>
      </w:r>
      <w:r>
        <w:instrText xml:space="preserve"> PAGEREF _Toc26786352 \h </w:instrText>
      </w:r>
      <w:r>
        <w:fldChar w:fldCharType="separate"/>
      </w:r>
      <w:r>
        <w:t>32</w:t>
      </w:r>
      <w:r>
        <w:fldChar w:fldCharType="end"/>
      </w:r>
    </w:p>
    <w:p w14:paraId="0AB6268E" w14:textId="5B49CAD4" w:rsidR="00393C57" w:rsidRDefault="00393C57">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Key forward dates and events</w:t>
      </w:r>
      <w:r>
        <w:tab/>
      </w:r>
      <w:r>
        <w:fldChar w:fldCharType="begin"/>
      </w:r>
      <w:r>
        <w:instrText xml:space="preserve"> PAGEREF _Toc26786353 \h </w:instrText>
      </w:r>
      <w:r>
        <w:fldChar w:fldCharType="separate"/>
      </w:r>
      <w:r>
        <w:t>33</w:t>
      </w:r>
      <w:r>
        <w:fldChar w:fldCharType="end"/>
      </w:r>
    </w:p>
    <w:p w14:paraId="08F1D069" w14:textId="1A4DE7C6" w:rsidR="00393C57" w:rsidRDefault="00393C57">
      <w:pPr>
        <w:pStyle w:val="TOC1"/>
        <w:tabs>
          <w:tab w:val="left" w:pos="885"/>
        </w:tabs>
        <w:rPr>
          <w:rFonts w:asciiTheme="minorHAnsi" w:eastAsiaTheme="minorEastAsia" w:hAnsiTheme="minorHAnsi" w:cstheme="minorBidi"/>
          <w:b w:val="0"/>
          <w:spacing w:val="0"/>
          <w:sz w:val="22"/>
          <w:szCs w:val="22"/>
        </w:rPr>
      </w:pPr>
      <w:r>
        <w:t xml:space="preserve">9. </w:t>
      </w:r>
      <w:r>
        <w:rPr>
          <w:rFonts w:asciiTheme="minorHAnsi" w:eastAsiaTheme="minorEastAsia" w:hAnsiTheme="minorHAnsi" w:cstheme="minorBidi"/>
          <w:b w:val="0"/>
          <w:spacing w:val="0"/>
          <w:sz w:val="22"/>
          <w:szCs w:val="22"/>
        </w:rPr>
        <w:tab/>
      </w:r>
      <w:r>
        <w:t>CRIS approval and change register</w:t>
      </w:r>
      <w:r>
        <w:tab/>
      </w:r>
      <w:r>
        <w:fldChar w:fldCharType="begin"/>
      </w:r>
      <w:r>
        <w:instrText xml:space="preserve"> PAGEREF _Toc26786354 \h </w:instrText>
      </w:r>
      <w:r>
        <w:fldChar w:fldCharType="separate"/>
      </w:r>
      <w:r>
        <w:t>34</w:t>
      </w:r>
      <w:r>
        <w:fldChar w:fldCharType="end"/>
      </w:r>
    </w:p>
    <w:p w14:paraId="3FD4EFD0" w14:textId="54AA7D0F" w:rsidR="00393C57" w:rsidRDefault="00393C57">
      <w:pPr>
        <w:pStyle w:val="TOC1"/>
        <w:rPr>
          <w:rFonts w:asciiTheme="minorHAnsi" w:eastAsiaTheme="minorEastAsia" w:hAnsiTheme="minorHAnsi" w:cstheme="minorBidi"/>
          <w:b w:val="0"/>
          <w:spacing w:val="0"/>
          <w:sz w:val="22"/>
          <w:szCs w:val="22"/>
        </w:rPr>
      </w:pPr>
      <w:r>
        <w:t>Attachment A: Telecommunications activities not included in the ACLC</w:t>
      </w:r>
      <w:r>
        <w:tab/>
      </w:r>
      <w:r>
        <w:fldChar w:fldCharType="begin"/>
      </w:r>
      <w:r>
        <w:instrText xml:space="preserve"> PAGEREF _Toc26786355 \h </w:instrText>
      </w:r>
      <w:r>
        <w:fldChar w:fldCharType="separate"/>
      </w:r>
      <w:r>
        <w:t>35</w:t>
      </w:r>
      <w:r>
        <w:fldChar w:fldCharType="end"/>
      </w:r>
    </w:p>
    <w:p w14:paraId="6700C3B8" w14:textId="3379D496" w:rsidR="00393C57" w:rsidRDefault="00393C57">
      <w:pPr>
        <w:pStyle w:val="TOC1"/>
        <w:rPr>
          <w:rFonts w:asciiTheme="minorHAnsi" w:eastAsiaTheme="minorEastAsia" w:hAnsiTheme="minorHAnsi" w:cstheme="minorBidi"/>
          <w:b w:val="0"/>
          <w:spacing w:val="0"/>
          <w:sz w:val="22"/>
          <w:szCs w:val="22"/>
        </w:rPr>
      </w:pPr>
      <w:r>
        <w:t>Attachment B: Cost Recovery Implementation Statement—Addendum: Measuring Broadband Australia program</w:t>
      </w:r>
      <w:r>
        <w:tab/>
      </w:r>
      <w:r>
        <w:fldChar w:fldCharType="begin"/>
      </w:r>
      <w:r>
        <w:instrText xml:space="preserve"> PAGEREF _Toc26786356 \h </w:instrText>
      </w:r>
      <w:r>
        <w:fldChar w:fldCharType="separate"/>
      </w:r>
      <w:r>
        <w:t>36</w:t>
      </w:r>
      <w:r>
        <w:fldChar w:fldCharType="end"/>
      </w:r>
    </w:p>
    <w:p w14:paraId="407AD1C0" w14:textId="4F92248C" w:rsidR="00393C57" w:rsidRDefault="00393C57">
      <w:pPr>
        <w:pStyle w:val="TOC1"/>
        <w:rPr>
          <w:rFonts w:asciiTheme="minorHAnsi" w:eastAsiaTheme="minorEastAsia" w:hAnsiTheme="minorHAnsi" w:cstheme="minorBidi"/>
          <w:b w:val="0"/>
          <w:spacing w:val="0"/>
          <w:sz w:val="22"/>
          <w:szCs w:val="22"/>
        </w:rPr>
      </w:pPr>
      <w:r>
        <w:t>Attachment C</w:t>
      </w:r>
      <w:r>
        <w:tab/>
      </w:r>
      <w:r>
        <w:fldChar w:fldCharType="begin"/>
      </w:r>
      <w:r>
        <w:instrText xml:space="preserve"> PAGEREF _Toc26786375 \h </w:instrText>
      </w:r>
      <w:r>
        <w:fldChar w:fldCharType="separate"/>
      </w:r>
      <w:r>
        <w:t>50</w:t>
      </w:r>
      <w:r>
        <w:fldChar w:fldCharType="end"/>
      </w:r>
    </w:p>
    <w:p w14:paraId="42CD962E" w14:textId="1FD779D1" w:rsidR="00393C57" w:rsidRDefault="00393C57">
      <w:pPr>
        <w:pStyle w:val="TOC2"/>
        <w:rPr>
          <w:rFonts w:asciiTheme="minorHAnsi" w:eastAsiaTheme="minorEastAsia" w:hAnsiTheme="minorHAnsi" w:cstheme="minorBidi"/>
          <w:spacing w:val="0"/>
          <w:sz w:val="22"/>
          <w:szCs w:val="22"/>
        </w:rPr>
      </w:pPr>
      <w:r>
        <w:t>ACLC for 2018–19</w:t>
      </w:r>
      <w:r>
        <w:tab/>
      </w:r>
      <w:r>
        <w:fldChar w:fldCharType="begin"/>
      </w:r>
      <w:r>
        <w:instrText xml:space="preserve"> PAGEREF _Toc26786376 \h </w:instrText>
      </w:r>
      <w:r>
        <w:fldChar w:fldCharType="separate"/>
      </w:r>
      <w:r>
        <w:t>50</w:t>
      </w:r>
      <w:r>
        <w:fldChar w:fldCharType="end"/>
      </w:r>
    </w:p>
    <w:p w14:paraId="64073DF9" w14:textId="30F1A4AB" w:rsidR="00393C57" w:rsidRDefault="00393C57">
      <w:pPr>
        <w:pStyle w:val="TOC1"/>
        <w:rPr>
          <w:rFonts w:asciiTheme="minorHAnsi" w:eastAsiaTheme="minorEastAsia" w:hAnsiTheme="minorHAnsi" w:cstheme="minorBidi"/>
          <w:b w:val="0"/>
          <w:spacing w:val="0"/>
          <w:sz w:val="22"/>
          <w:szCs w:val="22"/>
        </w:rPr>
      </w:pPr>
      <w:r>
        <w:t>Attachment D</w:t>
      </w:r>
      <w:r>
        <w:tab/>
      </w:r>
      <w:r>
        <w:fldChar w:fldCharType="begin"/>
      </w:r>
      <w:r>
        <w:instrText xml:space="preserve"> PAGEREF _Toc26786377 \h </w:instrText>
      </w:r>
      <w:r>
        <w:fldChar w:fldCharType="separate"/>
      </w:r>
      <w:r>
        <w:t>51</w:t>
      </w:r>
      <w:r>
        <w:fldChar w:fldCharType="end"/>
      </w:r>
    </w:p>
    <w:p w14:paraId="04E15C71" w14:textId="3E651D83" w:rsidR="00393C57" w:rsidRDefault="00393C57">
      <w:pPr>
        <w:pStyle w:val="TOC2"/>
        <w:rPr>
          <w:rFonts w:asciiTheme="minorHAnsi" w:eastAsiaTheme="minorEastAsia" w:hAnsiTheme="minorHAnsi" w:cstheme="minorBidi"/>
          <w:spacing w:val="0"/>
          <w:sz w:val="22"/>
          <w:szCs w:val="22"/>
        </w:rPr>
      </w:pPr>
      <w:r w:rsidRPr="006D078A">
        <w:t>Summary of issues raised in industry consultation—ACLC 2018–19</w:t>
      </w:r>
      <w:r>
        <w:tab/>
      </w:r>
      <w:r>
        <w:fldChar w:fldCharType="begin"/>
      </w:r>
      <w:r>
        <w:instrText xml:space="preserve"> PAGEREF _Toc26786378 \h </w:instrText>
      </w:r>
      <w:r>
        <w:fldChar w:fldCharType="separate"/>
      </w:r>
      <w:r>
        <w:t>51</w:t>
      </w:r>
      <w:r>
        <w:fldChar w:fldCharType="end"/>
      </w:r>
    </w:p>
    <w:p w14:paraId="54A40C81" w14:textId="0859469C" w:rsidR="00393C57" w:rsidRDefault="00393C57">
      <w:pPr>
        <w:pStyle w:val="TOC1"/>
        <w:rPr>
          <w:rFonts w:asciiTheme="minorHAnsi" w:eastAsiaTheme="minorEastAsia" w:hAnsiTheme="minorHAnsi" w:cstheme="minorBidi"/>
          <w:b w:val="0"/>
          <w:spacing w:val="0"/>
          <w:sz w:val="22"/>
          <w:szCs w:val="22"/>
        </w:rPr>
      </w:pPr>
      <w:r>
        <w:t>Glossary</w:t>
      </w:r>
      <w:r>
        <w:tab/>
      </w:r>
      <w:r>
        <w:fldChar w:fldCharType="begin"/>
      </w:r>
      <w:r>
        <w:instrText xml:space="preserve"> PAGEREF _Toc26786379 \h </w:instrText>
      </w:r>
      <w:r>
        <w:fldChar w:fldCharType="separate"/>
      </w:r>
      <w:r>
        <w:t>56</w:t>
      </w:r>
      <w:r>
        <w:fldChar w:fldCharType="end"/>
      </w:r>
    </w:p>
    <w:p w14:paraId="4E9C5C66" w14:textId="34808635" w:rsidR="009E3A91" w:rsidRPr="00AD7A39" w:rsidRDefault="00B1182A" w:rsidP="009E3A91">
      <w:pPr>
        <w:rPr>
          <w:rFonts w:cs="Arial"/>
          <w:b/>
          <w:noProof/>
          <w:spacing w:val="-14"/>
          <w:sz w:val="36"/>
        </w:rPr>
      </w:pPr>
      <w:r>
        <w:rPr>
          <w:rFonts w:cs="Arial"/>
          <w:b/>
          <w:noProof/>
          <w:spacing w:val="-14"/>
          <w:sz w:val="28"/>
        </w:rPr>
        <w:fldChar w:fldCharType="end"/>
      </w:r>
    </w:p>
    <w:p w14:paraId="5F91A4B2" w14:textId="4ADAD75D" w:rsidR="00AD7A39" w:rsidRPr="00AD7A39" w:rsidRDefault="00AD7A39" w:rsidP="004B1B30">
      <w:pPr>
        <w:rPr>
          <w:rFonts w:cs="Arial"/>
          <w:b/>
          <w:noProof/>
          <w:spacing w:val="-14"/>
          <w:sz w:val="36"/>
        </w:rPr>
        <w:sectPr w:rsidR="00AD7A39" w:rsidRPr="00AD7A39"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7168333A" w14:textId="77777777" w:rsidR="009E783D" w:rsidRPr="00CC3F4B" w:rsidRDefault="009E783D" w:rsidP="009E783D">
      <w:pPr>
        <w:pStyle w:val="Heading1"/>
      </w:pPr>
      <w:bookmarkStart w:id="1" w:name="_Toc355953981"/>
      <w:bookmarkStart w:id="2" w:name="_Toc385256311"/>
      <w:bookmarkStart w:id="3" w:name="_Toc417990939"/>
      <w:bookmarkStart w:id="4" w:name="_Toc511634380"/>
      <w:bookmarkStart w:id="5" w:name="_Toc26786320"/>
      <w:r w:rsidRPr="00CC3F4B">
        <w:lastRenderedPageBreak/>
        <w:t xml:space="preserve">1. </w:t>
      </w:r>
      <w:r w:rsidRPr="00CC3F4B">
        <w:tab/>
      </w:r>
      <w:bookmarkEnd w:id="1"/>
      <w:r w:rsidRPr="00863C10">
        <w:t>Introduction</w:t>
      </w:r>
      <w:bookmarkEnd w:id="2"/>
      <w:bookmarkEnd w:id="3"/>
      <w:bookmarkEnd w:id="4"/>
      <w:bookmarkEnd w:id="5"/>
    </w:p>
    <w:p w14:paraId="45822DDC" w14:textId="77777777" w:rsidR="009E783D" w:rsidRPr="00EA3B0D" w:rsidRDefault="009E783D" w:rsidP="00EA3B0D">
      <w:pPr>
        <w:pStyle w:val="Heading2"/>
      </w:pPr>
      <w:bookmarkStart w:id="6" w:name="_Toc355953982"/>
      <w:bookmarkStart w:id="7" w:name="_Toc385256312"/>
      <w:bookmarkStart w:id="8" w:name="_Toc417990940"/>
      <w:bookmarkStart w:id="9" w:name="_Toc511634381"/>
      <w:bookmarkStart w:id="10" w:name="_Toc26786321"/>
      <w:bookmarkStart w:id="11" w:name="purpose"/>
      <w:r w:rsidRPr="00EA3B0D">
        <w:t xml:space="preserve">1.1 </w:t>
      </w:r>
      <w:r w:rsidRPr="00EA3B0D">
        <w:tab/>
        <w:t>Purpose</w:t>
      </w:r>
      <w:bookmarkEnd w:id="6"/>
      <w:bookmarkEnd w:id="7"/>
      <w:r w:rsidRPr="00EA3B0D">
        <w:t xml:space="preserve"> of the Cost Recovery Implementation Statement</w:t>
      </w:r>
      <w:bookmarkEnd w:id="8"/>
      <w:bookmarkEnd w:id="9"/>
      <w:bookmarkEnd w:id="10"/>
    </w:p>
    <w:bookmarkEnd w:id="11"/>
    <w:p w14:paraId="2E261914" w14:textId="527E3B65" w:rsidR="006B519D" w:rsidRDefault="009E783D" w:rsidP="00EA3B0D">
      <w:r w:rsidRPr="00DF1CB8">
        <w:t>This Cost Recovery Implementation Statement (CRIS) provides information on how the Australian Communications and Media Authority (ACMA)</w:t>
      </w:r>
      <w:r w:rsidR="00F42760">
        <w:t xml:space="preserve">, the </w:t>
      </w:r>
      <w:r w:rsidR="00ED29E0">
        <w:t>Australian Competition and Consumer Commission (</w:t>
      </w:r>
      <w:r w:rsidR="00F42760">
        <w:t>ACCC</w:t>
      </w:r>
      <w:r w:rsidR="00ED29E0">
        <w:t>)</w:t>
      </w:r>
      <w:r w:rsidR="00F42760">
        <w:t xml:space="preserve"> and the </w:t>
      </w:r>
      <w:r w:rsidR="00ED29E0">
        <w:t xml:space="preserve">Department of </w:t>
      </w:r>
      <w:r w:rsidR="00F42760">
        <w:t>Communications and the Arts</w:t>
      </w:r>
      <w:r w:rsidR="002A19F7">
        <w:t xml:space="preserve"> (</w:t>
      </w:r>
      <w:proofErr w:type="spellStart"/>
      <w:r w:rsidR="00ED29E0">
        <w:t>DoCA</w:t>
      </w:r>
      <w:proofErr w:type="spellEnd"/>
      <w:r w:rsidR="002A19F7">
        <w:t>)</w:t>
      </w:r>
      <w:r w:rsidR="00914FAE">
        <w:t xml:space="preserve"> </w:t>
      </w:r>
      <w:r w:rsidR="00F42760">
        <w:t xml:space="preserve">apply </w:t>
      </w:r>
      <w:r w:rsidRPr="00DF1CB8">
        <w:t xml:space="preserve">cost recovery </w:t>
      </w:r>
      <w:r w:rsidR="00F42760">
        <w:t xml:space="preserve">principles in determining relevant amounts under the </w:t>
      </w:r>
      <w:r w:rsidR="00F42760">
        <w:rPr>
          <w:i/>
        </w:rPr>
        <w:t>Telecommunications</w:t>
      </w:r>
      <w:r w:rsidR="008F749F">
        <w:rPr>
          <w:i/>
        </w:rPr>
        <w:t xml:space="preserve"> (Carrier Licence Charges) Act 1997</w:t>
      </w:r>
      <w:r w:rsidR="004F60C6">
        <w:rPr>
          <w:iCs/>
        </w:rPr>
        <w:t xml:space="preserve"> </w:t>
      </w:r>
      <w:r w:rsidR="008F749F">
        <w:t xml:space="preserve">to be recovered </w:t>
      </w:r>
      <w:r w:rsidR="002A19F7">
        <w:t xml:space="preserve">through </w:t>
      </w:r>
      <w:r>
        <w:t>the Annual Carrier Licence Charge (ACLC)</w:t>
      </w:r>
      <w:r w:rsidRPr="00DF1CB8">
        <w:t xml:space="preserve">. </w:t>
      </w:r>
    </w:p>
    <w:p w14:paraId="069CEB09" w14:textId="1340724B" w:rsidR="009E783D" w:rsidRDefault="009E783D" w:rsidP="00EA3B0D">
      <w:r>
        <w:t>A</w:t>
      </w:r>
      <w:r w:rsidRPr="00A84CBD">
        <w:t xml:space="preserve"> summary of the cost recovery model</w:t>
      </w:r>
      <w:r w:rsidR="00B833E1">
        <w:t>s</w:t>
      </w:r>
      <w:r w:rsidRPr="00A84CBD">
        <w:t xml:space="preserve"> used by </w:t>
      </w:r>
      <w:r w:rsidR="00C16841">
        <w:t xml:space="preserve">the </w:t>
      </w:r>
      <w:r w:rsidRPr="00A84CBD">
        <w:t>A</w:t>
      </w:r>
      <w:r>
        <w:t>CMA</w:t>
      </w:r>
      <w:r w:rsidR="002A19F7">
        <w:t>, ACCC and Minister</w:t>
      </w:r>
      <w:r w:rsidR="00350D97">
        <w:t xml:space="preserve"> for </w:t>
      </w:r>
      <w:bookmarkStart w:id="12" w:name="_Hlk23402389"/>
      <w:r w:rsidR="00350D97">
        <w:t>Communications, Cyber Safety and the Arts</w:t>
      </w:r>
      <w:bookmarkEnd w:id="12"/>
      <w:r w:rsidR="00350D97">
        <w:t xml:space="preserve"> (the </w:t>
      </w:r>
      <w:r w:rsidR="009C02D4">
        <w:t>M</w:t>
      </w:r>
      <w:r w:rsidR="008C4D45">
        <w:t>inister</w:t>
      </w:r>
      <w:r w:rsidR="00350D97">
        <w:t>)</w:t>
      </w:r>
      <w:r w:rsidRPr="00A84CBD">
        <w:t xml:space="preserve"> </w:t>
      </w:r>
      <w:r w:rsidR="00C80BD6">
        <w:t xml:space="preserve">in calculating their relevant telecommunications costs to be </w:t>
      </w:r>
      <w:r w:rsidR="002C6EB5">
        <w:t xml:space="preserve">in the ACLC </w:t>
      </w:r>
      <w:r>
        <w:t>is included in this statement</w:t>
      </w:r>
      <w:r w:rsidRPr="00A84CBD">
        <w:t>.</w:t>
      </w:r>
      <w:r>
        <w:t xml:space="preserve"> </w:t>
      </w:r>
      <w:r w:rsidRPr="00DF1CB8">
        <w:t>It also reports financial performance for these activities and contains financial forecasts for th</w:t>
      </w:r>
      <w:r w:rsidR="009D3C4F">
        <w:t>e</w:t>
      </w:r>
      <w:r w:rsidR="002C6EB5">
        <w:t>se costs over the</w:t>
      </w:r>
      <w:r w:rsidR="009D3C4F">
        <w:t xml:space="preserve"> 201</w:t>
      </w:r>
      <w:r w:rsidR="006B7EDC">
        <w:t>8</w:t>
      </w:r>
      <w:r w:rsidR="00B40851">
        <w:t>–</w:t>
      </w:r>
      <w:r w:rsidR="009D3C4F">
        <w:t>1</w:t>
      </w:r>
      <w:r w:rsidR="006B7EDC">
        <w:t>9</w:t>
      </w:r>
      <w:r w:rsidRPr="00DF1CB8">
        <w:t xml:space="preserve"> </w:t>
      </w:r>
      <w:r w:rsidR="009D3C4F">
        <w:t xml:space="preserve">financial </w:t>
      </w:r>
      <w:r w:rsidRPr="00DF1CB8">
        <w:t>year and three forward years</w:t>
      </w:r>
      <w:r w:rsidR="00EA3C30">
        <w:t xml:space="preserve"> (financial years 201</w:t>
      </w:r>
      <w:r w:rsidR="006B7EDC">
        <w:t>9</w:t>
      </w:r>
      <w:r w:rsidR="004B052A">
        <w:t>–</w:t>
      </w:r>
      <w:r w:rsidR="006B7EDC">
        <w:t>20</w:t>
      </w:r>
      <w:r w:rsidR="00EA3C30">
        <w:t xml:space="preserve"> to 202</w:t>
      </w:r>
      <w:r w:rsidR="006B7EDC">
        <w:t>1</w:t>
      </w:r>
      <w:r w:rsidR="004B052A">
        <w:t>–</w:t>
      </w:r>
      <w:r w:rsidR="00EA3C30">
        <w:t>2</w:t>
      </w:r>
      <w:r w:rsidR="006B7EDC">
        <w:t>2</w:t>
      </w:r>
      <w:r w:rsidR="00EA3C30">
        <w:t>)</w:t>
      </w:r>
      <w:r w:rsidRPr="00DF1CB8">
        <w:t xml:space="preserve">. </w:t>
      </w:r>
      <w:r w:rsidR="00567899" w:rsidRPr="00567899">
        <w:t xml:space="preserve">The ACCC and </w:t>
      </w:r>
      <w:proofErr w:type="spellStart"/>
      <w:r w:rsidR="00567899" w:rsidRPr="00567899">
        <w:t>DoCA</w:t>
      </w:r>
      <w:proofErr w:type="spellEnd"/>
      <w:r w:rsidR="00567899" w:rsidRPr="00567899">
        <w:t xml:space="preserve"> contributed the </w:t>
      </w:r>
      <w:r w:rsidR="00ED29E0">
        <w:t xml:space="preserve">relevant </w:t>
      </w:r>
      <w:r w:rsidR="00567899" w:rsidRPr="00567899">
        <w:t xml:space="preserve">information in relation to their cost recovery models. </w:t>
      </w:r>
      <w:r w:rsidR="006720CD">
        <w:t xml:space="preserve">The </w:t>
      </w:r>
      <w:r w:rsidRPr="00DF1CB8">
        <w:t>ACMA will maintain the CRIS until the activities or cost recovery for the activities have been discontinued.</w:t>
      </w:r>
    </w:p>
    <w:p w14:paraId="7FCEBC17" w14:textId="0B658AFA" w:rsidR="00E0161E" w:rsidRDefault="006B7EDC" w:rsidP="00EA3B0D">
      <w:r>
        <w:t xml:space="preserve">An </w:t>
      </w:r>
      <w:r w:rsidRPr="006B7EDC">
        <w:t>addendum to th</w:t>
      </w:r>
      <w:r>
        <w:t>is CRIS in Attachment B</w:t>
      </w:r>
      <w:r w:rsidRPr="006B7EDC">
        <w:t xml:space="preserve"> provides information on how the A</w:t>
      </w:r>
      <w:r>
        <w:t>C</w:t>
      </w:r>
      <w:r w:rsidR="00ED29E0">
        <w:t>CC appl</w:t>
      </w:r>
      <w:r w:rsidR="00AD29E5">
        <w:t>ies</w:t>
      </w:r>
      <w:r w:rsidR="00ED29E0">
        <w:t xml:space="preserve"> </w:t>
      </w:r>
      <w:r w:rsidRPr="006B7EDC">
        <w:t xml:space="preserve">cost recovery </w:t>
      </w:r>
      <w:r w:rsidR="00ED29E0">
        <w:t xml:space="preserve">principles in determining </w:t>
      </w:r>
      <w:r w:rsidRPr="006B7EDC">
        <w:t>the</w:t>
      </w:r>
      <w:r w:rsidR="00ED29E0">
        <w:t xml:space="preserve"> </w:t>
      </w:r>
      <w:r w:rsidR="00F404BE">
        <w:t xml:space="preserve">costs incurred in relation to its </w:t>
      </w:r>
      <w:r w:rsidRPr="006B7EDC">
        <w:t>Measuring Broadband Australia (MBA) program</w:t>
      </w:r>
      <w:r w:rsidR="00F404BE">
        <w:t xml:space="preserve"> as part of its ACLC cost component.</w:t>
      </w:r>
    </w:p>
    <w:p w14:paraId="46B08FA5" w14:textId="477E6927" w:rsidR="00810A6F" w:rsidRDefault="00810A6F" w:rsidP="00EA3B0D">
      <w:r>
        <w:t>The ACLC amounts payable by carrier licen</w:t>
      </w:r>
      <w:r w:rsidR="003479BC">
        <w:t>sees for the period from 1 July 2018 to 30</w:t>
      </w:r>
      <w:r w:rsidR="00F404BE">
        <w:t> </w:t>
      </w:r>
      <w:r w:rsidR="003479BC">
        <w:t>June 2019 a</w:t>
      </w:r>
      <w:r w:rsidR="0060078D">
        <w:t>r</w:t>
      </w:r>
      <w:r w:rsidR="003479BC">
        <w:t xml:space="preserve">e set out in Attachment </w:t>
      </w:r>
      <w:r w:rsidR="009F5C7C">
        <w:t>C</w:t>
      </w:r>
    </w:p>
    <w:p w14:paraId="4CF178C8" w14:textId="77777777" w:rsidR="009E783D" w:rsidRPr="00EA3B0D" w:rsidRDefault="009E783D" w:rsidP="00EA3B0D">
      <w:pPr>
        <w:pStyle w:val="Heading2"/>
      </w:pPr>
      <w:bookmarkStart w:id="13" w:name="_Toc355953983"/>
      <w:bookmarkStart w:id="14" w:name="_Toc385256313"/>
      <w:bookmarkStart w:id="15" w:name="_Toc417990941"/>
      <w:bookmarkStart w:id="16" w:name="_Toc511634382"/>
      <w:bookmarkStart w:id="17" w:name="_Toc26786322"/>
      <w:bookmarkStart w:id="18" w:name="background"/>
      <w:r w:rsidRPr="00EA3B0D">
        <w:t>1.2</w:t>
      </w:r>
      <w:r w:rsidRPr="00EA3B0D">
        <w:tab/>
        <w:t>Background</w:t>
      </w:r>
      <w:bookmarkEnd w:id="13"/>
      <w:r w:rsidRPr="00EA3B0D">
        <w:t xml:space="preserve"> and description of activity</w:t>
      </w:r>
      <w:bookmarkEnd w:id="14"/>
      <w:bookmarkEnd w:id="15"/>
      <w:bookmarkEnd w:id="16"/>
      <w:bookmarkEnd w:id="17"/>
    </w:p>
    <w:bookmarkEnd w:id="18"/>
    <w:p w14:paraId="66B3798E" w14:textId="43FE51AF" w:rsidR="009E783D" w:rsidRPr="005D0BC8" w:rsidRDefault="006720CD" w:rsidP="009E783D">
      <w:r>
        <w:t xml:space="preserve">The </w:t>
      </w:r>
      <w:r w:rsidR="009E783D" w:rsidRPr="00A84CBD">
        <w:t xml:space="preserve">ACMA is a statutory authority within the </w:t>
      </w:r>
      <w:r w:rsidR="009E783D">
        <w:t xml:space="preserve">Communications </w:t>
      </w:r>
      <w:r w:rsidR="00B030F0">
        <w:t xml:space="preserve">and the Arts </w:t>
      </w:r>
      <w:r w:rsidR="001C6F7D">
        <w:t>P</w:t>
      </w:r>
      <w:r w:rsidR="009E783D">
        <w:t xml:space="preserve">ortfolio of the </w:t>
      </w:r>
      <w:r w:rsidR="009E171C">
        <w:t xml:space="preserve">Australian </w:t>
      </w:r>
      <w:r w:rsidR="009E783D">
        <w:t>Government</w:t>
      </w:r>
      <w:r w:rsidR="009E783D" w:rsidRPr="00A84CBD">
        <w:t xml:space="preserve">. It is responsible for </w:t>
      </w:r>
      <w:r w:rsidR="00A65D34">
        <w:t xml:space="preserve">various telecommunications functions and powers under </w:t>
      </w:r>
      <w:r w:rsidR="009E783D" w:rsidRPr="00A84CBD">
        <w:t xml:space="preserve">the </w:t>
      </w:r>
      <w:r w:rsidR="009E783D" w:rsidRPr="006B3422">
        <w:rPr>
          <w:i/>
        </w:rPr>
        <w:t>Australian Communications and Media Authority Act 2005</w:t>
      </w:r>
      <w:r w:rsidR="00493DFE">
        <w:t xml:space="preserve"> </w:t>
      </w:r>
      <w:r w:rsidR="00705655">
        <w:t xml:space="preserve">(ACMA Act) </w:t>
      </w:r>
      <w:r w:rsidR="00493DFE">
        <w:t>and</w:t>
      </w:r>
      <w:r w:rsidR="009E783D" w:rsidRPr="00A84CBD">
        <w:t xml:space="preserve"> the </w:t>
      </w:r>
      <w:r w:rsidR="009E783D" w:rsidRPr="006B3422">
        <w:rPr>
          <w:i/>
        </w:rPr>
        <w:t>Telecommunications Act 1997</w:t>
      </w:r>
      <w:r w:rsidR="00705655">
        <w:t xml:space="preserve"> (</w:t>
      </w:r>
      <w:r w:rsidR="00705655" w:rsidRPr="00120B54">
        <w:t>Telco Act</w:t>
      </w:r>
      <w:r w:rsidR="00705655">
        <w:t>)</w:t>
      </w:r>
      <w:r w:rsidR="009B7744">
        <w:t>.</w:t>
      </w:r>
    </w:p>
    <w:p w14:paraId="0E4B21D1" w14:textId="03EC1993" w:rsidR="009E783D" w:rsidRPr="005D0BC8" w:rsidRDefault="009E783D" w:rsidP="009E783D">
      <w:r w:rsidRPr="00A84CBD">
        <w:t xml:space="preserve">The ACLC </w:t>
      </w:r>
      <w:r w:rsidR="009906F9">
        <w:t>is</w:t>
      </w:r>
      <w:r w:rsidR="00D110A8">
        <w:t xml:space="preserve"> established</w:t>
      </w:r>
      <w:r w:rsidR="00D110A8" w:rsidRPr="00A84CBD">
        <w:t xml:space="preserve"> </w:t>
      </w:r>
      <w:r w:rsidR="00252477">
        <w:t xml:space="preserve">by the </w:t>
      </w:r>
      <w:r w:rsidR="00252477" w:rsidRPr="00252477">
        <w:rPr>
          <w:i/>
        </w:rPr>
        <w:t>Telecommunications (Carrier Licence Charges) Act 1997</w:t>
      </w:r>
      <w:r w:rsidR="00252477">
        <w:t xml:space="preserve"> (the </w:t>
      </w:r>
      <w:r w:rsidR="00E70CCD">
        <w:t>Act</w:t>
      </w:r>
      <w:r w:rsidR="00252477">
        <w:t xml:space="preserve">) </w:t>
      </w:r>
      <w:r w:rsidRPr="00A84CBD">
        <w:t xml:space="preserve">to fund </w:t>
      </w:r>
      <w:r w:rsidR="00B9480B">
        <w:t xml:space="preserve">the </w:t>
      </w:r>
      <w:r w:rsidRPr="00A84CBD">
        <w:t xml:space="preserve">activities of </w:t>
      </w:r>
      <w:r w:rsidR="006720CD">
        <w:t xml:space="preserve">the </w:t>
      </w:r>
      <w:r w:rsidRPr="00A84CBD">
        <w:t xml:space="preserve">ACMA, ACCC and </w:t>
      </w:r>
      <w:proofErr w:type="spellStart"/>
      <w:r w:rsidRPr="00914FAE">
        <w:t>DoC</w:t>
      </w:r>
      <w:r w:rsidR="00B030F0" w:rsidRPr="00914FAE">
        <w:t>A</w:t>
      </w:r>
      <w:proofErr w:type="spellEnd"/>
      <w:r w:rsidRPr="00A84CBD">
        <w:t xml:space="preserve"> in regulating </w:t>
      </w:r>
      <w:r w:rsidR="00A159C9">
        <w:t xml:space="preserve">licensed telecommunications carriers and </w:t>
      </w:r>
      <w:r w:rsidRPr="00A84CBD">
        <w:t xml:space="preserve">telecommunications services </w:t>
      </w:r>
      <w:r>
        <w:t>provided by carriers</w:t>
      </w:r>
      <w:r w:rsidR="001C1216">
        <w:t xml:space="preserve">. This is </w:t>
      </w:r>
      <w:r w:rsidR="00D110A8">
        <w:t>so</w:t>
      </w:r>
      <w:r w:rsidR="006B519D">
        <w:t xml:space="preserve"> </w:t>
      </w:r>
      <w:r>
        <w:t xml:space="preserve">that those </w:t>
      </w:r>
      <w:r w:rsidR="00A92FCB">
        <w:t>creating</w:t>
      </w:r>
      <w:r w:rsidR="00D110A8">
        <w:t xml:space="preserve"> the need for </w:t>
      </w:r>
      <w:r>
        <w:t>the government activities meet the cost of those activities</w:t>
      </w:r>
      <w:r w:rsidRPr="00A84CBD">
        <w:t xml:space="preserve">. </w:t>
      </w:r>
      <w:r w:rsidR="00A159C9">
        <w:t xml:space="preserve">The ACLC for a financial year is imposed on a carrier licence that is in force at the beginning of that financial year and is payable by the holder of the licence. </w:t>
      </w:r>
    </w:p>
    <w:p w14:paraId="25ECF807" w14:textId="4AA63CC2" w:rsidR="001861E6" w:rsidRDefault="006720CD" w:rsidP="009E783D">
      <w:r>
        <w:t xml:space="preserve">The </w:t>
      </w:r>
      <w:r w:rsidR="00464F6C">
        <w:t xml:space="preserve">ACMA </w:t>
      </w:r>
      <w:r w:rsidR="005B510B">
        <w:t xml:space="preserve">determines the amount </w:t>
      </w:r>
      <w:r w:rsidR="00A159C9">
        <w:t>of</w:t>
      </w:r>
      <w:r w:rsidR="00B030F0" w:rsidRPr="00767C1C">
        <w:t xml:space="preserve"> ACLC </w:t>
      </w:r>
      <w:r w:rsidR="00A159C9">
        <w:t xml:space="preserve">payable by a licensed telecommunications carrier </w:t>
      </w:r>
      <w:r w:rsidR="005B510B">
        <w:t xml:space="preserve">by </w:t>
      </w:r>
      <w:proofErr w:type="gramStart"/>
      <w:r w:rsidR="005B510B">
        <w:t>making a determination</w:t>
      </w:r>
      <w:proofErr w:type="gramEnd"/>
      <w:r w:rsidR="005B510B">
        <w:t xml:space="preserve"> under section 14 of the Act. </w:t>
      </w:r>
    </w:p>
    <w:p w14:paraId="321E3B79" w14:textId="139DC04C" w:rsidR="00EA1FAE" w:rsidRDefault="005B510B" w:rsidP="009E783D">
      <w:r>
        <w:t xml:space="preserve">The total ACLC must not exceed the sum of the </w:t>
      </w:r>
      <w:r w:rsidR="00DB05C5">
        <w:t xml:space="preserve">amount of relevant telecommunication costs of </w:t>
      </w:r>
      <w:r w:rsidR="006720CD">
        <w:t xml:space="preserve">the </w:t>
      </w:r>
      <w:r w:rsidR="00DB05C5">
        <w:t>ACMA</w:t>
      </w:r>
      <w:r w:rsidR="008B40C2">
        <w:t xml:space="preserve"> and</w:t>
      </w:r>
      <w:r w:rsidR="00DB05C5">
        <w:t xml:space="preserve"> the ACCC</w:t>
      </w:r>
      <w:r w:rsidR="00DC09B9">
        <w:t xml:space="preserve">, including costs incurred by </w:t>
      </w:r>
      <w:proofErr w:type="spellStart"/>
      <w:r w:rsidR="00DC09B9">
        <w:t>DoCA</w:t>
      </w:r>
      <w:proofErr w:type="spellEnd"/>
      <w:r w:rsidR="00DC09B9">
        <w:t xml:space="preserve"> for the Commonwealth’s contribution for the ITU membership and </w:t>
      </w:r>
      <w:r w:rsidR="00DC09B9" w:rsidRPr="00A557EF">
        <w:rPr>
          <w:szCs w:val="20"/>
        </w:rPr>
        <w:t xml:space="preserve">the </w:t>
      </w:r>
      <w:r w:rsidR="00DC09B9" w:rsidRPr="00A557EF">
        <w:rPr>
          <w:color w:val="000000"/>
          <w:szCs w:val="20"/>
          <w:shd w:val="clear" w:color="auto" w:fill="FFFFFF"/>
        </w:rPr>
        <w:t>grants made under section 593 of the </w:t>
      </w:r>
      <w:r w:rsidR="00A92FCB" w:rsidRPr="00120B54">
        <w:t>Telco Act</w:t>
      </w:r>
      <w:r w:rsidR="00DB05C5" w:rsidRPr="00A557EF">
        <w:rPr>
          <w:szCs w:val="20"/>
        </w:rPr>
        <w:t xml:space="preserve">. These amounts will be determined in </w:t>
      </w:r>
      <w:r w:rsidR="00344437" w:rsidRPr="00A557EF">
        <w:rPr>
          <w:szCs w:val="20"/>
        </w:rPr>
        <w:t xml:space="preserve">the </w:t>
      </w:r>
      <w:r w:rsidR="00DB05C5" w:rsidRPr="00A557EF">
        <w:rPr>
          <w:szCs w:val="20"/>
        </w:rPr>
        <w:t xml:space="preserve">legislative instruments made by </w:t>
      </w:r>
      <w:r w:rsidR="00A557EF" w:rsidRPr="00A557EF">
        <w:rPr>
          <w:szCs w:val="20"/>
        </w:rPr>
        <w:t xml:space="preserve">the </w:t>
      </w:r>
      <w:r w:rsidR="00DB05C5" w:rsidRPr="00A557EF">
        <w:rPr>
          <w:szCs w:val="20"/>
        </w:rPr>
        <w:t>ACMA,</w:t>
      </w:r>
      <w:r w:rsidR="00DB05C5">
        <w:t xml:space="preserve"> ACCC and the </w:t>
      </w:r>
      <w:r w:rsidR="00F404BE">
        <w:t>M</w:t>
      </w:r>
      <w:r w:rsidR="00DB05C5">
        <w:t>inister respectively</w:t>
      </w:r>
      <w:r w:rsidR="00EA1FAE">
        <w:t>. The costs of</w:t>
      </w:r>
      <w:r w:rsidR="006720CD">
        <w:t xml:space="preserve"> the</w:t>
      </w:r>
      <w:r w:rsidR="00EA1FAE">
        <w:t xml:space="preserve"> ACMA and ACCC’s other regulatory activities are not included in the ACLC.</w:t>
      </w:r>
    </w:p>
    <w:p w14:paraId="547980D6" w14:textId="1D28DDA9" w:rsidR="006B519D" w:rsidRDefault="005B510B" w:rsidP="009E783D">
      <w:r>
        <w:t>F</w:t>
      </w:r>
      <w:r w:rsidR="00B030F0" w:rsidRPr="00767C1C">
        <w:t>or the 201</w:t>
      </w:r>
      <w:r w:rsidR="006B7EDC">
        <w:t>8</w:t>
      </w:r>
      <w:r w:rsidR="009658D3">
        <w:t>–</w:t>
      </w:r>
      <w:r w:rsidR="00B030F0" w:rsidRPr="00767C1C">
        <w:t>1</w:t>
      </w:r>
      <w:r w:rsidR="006B7EDC">
        <w:t>9</w:t>
      </w:r>
      <w:r w:rsidR="009E783D" w:rsidRPr="00767C1C">
        <w:t xml:space="preserve"> financial year</w:t>
      </w:r>
      <w:r>
        <w:t xml:space="preserve">, as in previous years, </w:t>
      </w:r>
      <w:r w:rsidR="006720CD">
        <w:t xml:space="preserve">the </w:t>
      </w:r>
      <w:r w:rsidR="005F74E0">
        <w:t xml:space="preserve">ACMA proposes that the ACLC payable by each </w:t>
      </w:r>
      <w:r w:rsidR="00004952">
        <w:t xml:space="preserve">liable licenced </w:t>
      </w:r>
      <w:r w:rsidR="005F74E0">
        <w:t xml:space="preserve">carrier </w:t>
      </w:r>
      <w:r w:rsidR="00E815C6">
        <w:t xml:space="preserve">will </w:t>
      </w:r>
      <w:r w:rsidR="00A159C9">
        <w:t>be</w:t>
      </w:r>
      <w:r w:rsidR="009E783D" w:rsidRPr="00767C1C">
        <w:t xml:space="preserve"> based on</w:t>
      </w:r>
      <w:r w:rsidR="005F74E0">
        <w:t xml:space="preserve"> the carrier’s</w:t>
      </w:r>
      <w:r w:rsidR="009E783D" w:rsidRPr="00767C1C">
        <w:t xml:space="preserve"> eligible </w:t>
      </w:r>
      <w:r w:rsidR="009E783D" w:rsidRPr="00767C1C">
        <w:lastRenderedPageBreak/>
        <w:t xml:space="preserve">revenue </w:t>
      </w:r>
      <w:r w:rsidR="00A159C9">
        <w:t>(</w:t>
      </w:r>
      <w:r w:rsidR="009E783D" w:rsidRPr="00767C1C">
        <w:t>within the meaning of the</w:t>
      </w:r>
      <w:r w:rsidR="00493DFE" w:rsidRPr="00767C1C">
        <w:t xml:space="preserve"> </w:t>
      </w:r>
      <w:r w:rsidR="00493DFE" w:rsidRPr="004A3F35">
        <w:rPr>
          <w:i/>
        </w:rPr>
        <w:t>Telecommunications (Consumer Protection and Service Standards) Act 1999</w:t>
      </w:r>
      <w:r w:rsidR="00A159C9">
        <w:t>)</w:t>
      </w:r>
      <w:r w:rsidR="009E783D" w:rsidRPr="004A3F35">
        <w:t xml:space="preserve"> f</w:t>
      </w:r>
      <w:r w:rsidR="00B030F0" w:rsidRPr="004A3F35">
        <w:t>or the 201</w:t>
      </w:r>
      <w:r w:rsidR="006B7EDC">
        <w:t>7</w:t>
      </w:r>
      <w:r w:rsidR="00B030F0" w:rsidRPr="004A3F35">
        <w:t>–1</w:t>
      </w:r>
      <w:r w:rsidR="006B7EDC">
        <w:t>8</w:t>
      </w:r>
      <w:r w:rsidR="009E783D" w:rsidRPr="004A3F35">
        <w:t xml:space="preserve"> financial year, as assessed by </w:t>
      </w:r>
      <w:r w:rsidR="006720CD">
        <w:t xml:space="preserve">the </w:t>
      </w:r>
      <w:r w:rsidR="009E783D" w:rsidRPr="004A3F35">
        <w:t>ACMA. Carriers that were ‘non</w:t>
      </w:r>
      <w:r w:rsidR="007C7652">
        <w:noBreakHyphen/>
      </w:r>
      <w:r w:rsidR="009E783D" w:rsidRPr="004A3F35">
        <w:t xml:space="preserve">participating persons’ within the meaning of the </w:t>
      </w:r>
      <w:r w:rsidR="009E783D" w:rsidRPr="00C17CC3">
        <w:rPr>
          <w:iCs/>
        </w:rPr>
        <w:t>Telecommunications (Participa</w:t>
      </w:r>
      <w:r w:rsidR="00767C1C" w:rsidRPr="00C17CC3">
        <w:rPr>
          <w:iCs/>
        </w:rPr>
        <w:t>ting Persons) Determination 201</w:t>
      </w:r>
      <w:r w:rsidR="00604B7C" w:rsidRPr="00C17CC3">
        <w:rPr>
          <w:iCs/>
        </w:rPr>
        <w:t>5</w:t>
      </w:r>
      <w:r w:rsidR="00767C1C" w:rsidRPr="002A0F47">
        <w:t xml:space="preserve"> </w:t>
      </w:r>
      <w:r w:rsidR="009E783D" w:rsidRPr="004A3F35">
        <w:t xml:space="preserve">for the eligible revenue period that began on </w:t>
      </w:r>
      <w:r w:rsidR="006B519D" w:rsidRPr="004A3F35">
        <w:t>1 </w:t>
      </w:r>
      <w:r w:rsidR="00B030F0" w:rsidRPr="004A3F35">
        <w:t>July 201</w:t>
      </w:r>
      <w:r w:rsidR="006B7EDC">
        <w:t>7</w:t>
      </w:r>
      <w:r w:rsidR="00B030F0" w:rsidRPr="004A3F35">
        <w:t xml:space="preserve"> and ended 30 June 201</w:t>
      </w:r>
      <w:r w:rsidR="006B7EDC">
        <w:t>8</w:t>
      </w:r>
      <w:r w:rsidR="009E783D" w:rsidRPr="004A3F35">
        <w:t xml:space="preserve"> are, in effect, exempted from paying the ACLC</w:t>
      </w:r>
      <w:r w:rsidR="00B9480B" w:rsidRPr="004A3F35">
        <w:t>.</w:t>
      </w:r>
      <w:r w:rsidR="009D3C4F" w:rsidRPr="004A3F35">
        <w:rPr>
          <w:rStyle w:val="FootnoteReference"/>
        </w:rPr>
        <w:footnoteReference w:id="2"/>
      </w:r>
      <w:r w:rsidR="00461070" w:rsidRPr="004A3F35">
        <w:t xml:space="preserve"> </w:t>
      </w:r>
      <w:bookmarkStart w:id="19" w:name="_Hlk10634564"/>
      <w:r w:rsidR="007A3C1D">
        <w:t>The</w:t>
      </w:r>
      <w:r w:rsidR="00C937AC">
        <w:t xml:space="preserve"> </w:t>
      </w:r>
      <w:r w:rsidR="007A3C1D">
        <w:t>methodol</w:t>
      </w:r>
      <w:r w:rsidR="00C937AC">
        <w:t>og</w:t>
      </w:r>
      <w:r w:rsidR="007A3C1D">
        <w:t xml:space="preserve">y for allocating </w:t>
      </w:r>
      <w:r w:rsidR="00C937AC">
        <w:t xml:space="preserve">the total ACLC </w:t>
      </w:r>
      <w:r w:rsidR="00AD29E5">
        <w:t>(</w:t>
      </w:r>
      <w:r w:rsidR="00C937AC">
        <w:t>excluding the amount applicable to the MBA program</w:t>
      </w:r>
      <w:r w:rsidR="00AD29E5">
        <w:t>)</w:t>
      </w:r>
      <w:r w:rsidR="00C937AC">
        <w:t xml:space="preserve"> to liable individual carriers</w:t>
      </w:r>
      <w:r w:rsidR="00250A48">
        <w:t>,</w:t>
      </w:r>
      <w:r w:rsidR="00C937AC">
        <w:t xml:space="preserve"> has not changed from the previous year.</w:t>
      </w:r>
      <w:r w:rsidR="00004952">
        <w:t xml:space="preserve"> </w:t>
      </w:r>
      <w:r w:rsidR="00AD29E5">
        <w:t>T</w:t>
      </w:r>
      <w:r w:rsidR="00004952">
        <w:t xml:space="preserve">he amount applicable to the MBA program is allocated to liable individual licenced carriers based on </w:t>
      </w:r>
      <w:r w:rsidR="00004952" w:rsidRPr="00004952">
        <w:t>the number of NBN fixed-line connections operated by monitored service providers</w:t>
      </w:r>
      <w:bookmarkEnd w:id="19"/>
      <w:r w:rsidR="00004952">
        <w:t xml:space="preserve">. </w:t>
      </w:r>
      <w:r w:rsidR="00461070" w:rsidRPr="004A3F35">
        <w:t>It is appropriate that those who create the need for regulatory activities meet these</w:t>
      </w:r>
      <w:r w:rsidR="00461070">
        <w:t xml:space="preserve"> expenses through the ACLC.</w:t>
      </w:r>
      <w:r w:rsidR="003A7931">
        <w:t xml:space="preserve"> Those who are non-participating persons, while operating in the telecommunications industry, do not create any substantial regulatory burden.</w:t>
      </w:r>
    </w:p>
    <w:p w14:paraId="545072A0" w14:textId="603FC59F" w:rsidR="008172A6" w:rsidRDefault="009E783D" w:rsidP="005B4096">
      <w:pPr>
        <w:spacing w:after="80"/>
      </w:pPr>
      <w:r w:rsidRPr="00A84CBD">
        <w:t>Generally, non-participating persons are carriers</w:t>
      </w:r>
      <w:r w:rsidR="008172A6">
        <w:t xml:space="preserve"> </w:t>
      </w:r>
      <w:r w:rsidRPr="00A84CBD">
        <w:t xml:space="preserve">with initial sales revenue, gross telecommunications sales revenue or eligible revenue of less than $25 million </w:t>
      </w:r>
      <w:r>
        <w:t xml:space="preserve">for </w:t>
      </w:r>
      <w:r w:rsidR="008172A6">
        <w:t xml:space="preserve">an </w:t>
      </w:r>
      <w:r>
        <w:t>eligible</w:t>
      </w:r>
      <w:r w:rsidR="008172A6">
        <w:t xml:space="preserve"> revenue</w:t>
      </w:r>
      <w:r>
        <w:t xml:space="preserve"> period (that is, smaller carriers) </w:t>
      </w:r>
      <w:r w:rsidR="00AD29E5">
        <w:t>where</w:t>
      </w:r>
      <w:r w:rsidR="008172A6">
        <w:t xml:space="preserve"> either:</w:t>
      </w:r>
    </w:p>
    <w:p w14:paraId="2D4A38A5" w14:textId="12A36716" w:rsidR="008172A6" w:rsidRPr="00307ECC" w:rsidRDefault="008172A6" w:rsidP="005B4096">
      <w:pPr>
        <w:pStyle w:val="ListBullet"/>
      </w:pPr>
      <w:r w:rsidRPr="00307ECC">
        <w:t>the carrier lodges</w:t>
      </w:r>
      <w:r w:rsidR="009E783D" w:rsidRPr="00307ECC">
        <w:t xml:space="preserve"> the re</w:t>
      </w:r>
      <w:r w:rsidR="00AD29E5">
        <w:t>levant</w:t>
      </w:r>
      <w:r w:rsidR="00A159C9" w:rsidRPr="00307ECC">
        <w:t xml:space="preserve"> </w:t>
      </w:r>
      <w:r w:rsidR="009E783D" w:rsidRPr="00307ECC">
        <w:t xml:space="preserve">statutory declaration with </w:t>
      </w:r>
      <w:r w:rsidR="006720CD">
        <w:t>the ACMA</w:t>
      </w:r>
      <w:r w:rsidR="009E783D" w:rsidRPr="00307ECC">
        <w:t xml:space="preserve"> within the specified time frame</w:t>
      </w:r>
    </w:p>
    <w:p w14:paraId="136BE796" w14:textId="2880BBAE" w:rsidR="00974F74" w:rsidRPr="00307ECC" w:rsidRDefault="006720CD" w:rsidP="005B4096">
      <w:pPr>
        <w:pStyle w:val="ListBulletLast"/>
      </w:pPr>
      <w:r>
        <w:t xml:space="preserve">the </w:t>
      </w:r>
      <w:r w:rsidR="008172A6" w:rsidRPr="00307ECC">
        <w:t>ACMA is otherwise reasonably satisfied that their revenue is below the stated threshold</w:t>
      </w:r>
      <w:r w:rsidR="00B9480B" w:rsidRPr="00307ECC">
        <w:t>.</w:t>
      </w:r>
      <w:r w:rsidR="009E783D" w:rsidRPr="00307ECC">
        <w:rPr>
          <w:rStyle w:val="FootnoteReference"/>
          <w:szCs w:val="20"/>
        </w:rPr>
        <w:footnoteReference w:id="3"/>
      </w:r>
      <w:r w:rsidR="009E783D" w:rsidRPr="00307ECC">
        <w:t xml:space="preserve"> </w:t>
      </w:r>
    </w:p>
    <w:p w14:paraId="2DA03092" w14:textId="23406CDA" w:rsidR="009E783D" w:rsidRDefault="009E783D" w:rsidP="009E783D">
      <w:r w:rsidRPr="00A84CBD">
        <w:t xml:space="preserve">Any carrier who </w:t>
      </w:r>
      <w:r w:rsidR="005F3B11">
        <w:t>held</w:t>
      </w:r>
      <w:r w:rsidR="005F3B11" w:rsidRPr="00A84CBD">
        <w:t xml:space="preserve"> </w:t>
      </w:r>
      <w:r w:rsidRPr="00A84CBD">
        <w:t>a</w:t>
      </w:r>
      <w:r w:rsidR="005F3B11">
        <w:t xml:space="preserve"> carrier</w:t>
      </w:r>
      <w:r w:rsidRPr="00A84CBD">
        <w:t xml:space="preserve"> licence on 1</w:t>
      </w:r>
      <w:r w:rsidR="00B030F0">
        <w:t> July 201</w:t>
      </w:r>
      <w:r w:rsidR="00984521">
        <w:t>8</w:t>
      </w:r>
      <w:r w:rsidRPr="00A84CBD">
        <w:t xml:space="preserve"> and is not a non-participating person </w:t>
      </w:r>
      <w:r w:rsidR="00F92709">
        <w:t xml:space="preserve">during the period 1 July 2017 to 30 June 2018 </w:t>
      </w:r>
      <w:r w:rsidRPr="00A84CBD">
        <w:t>is requi</w:t>
      </w:r>
      <w:r w:rsidR="00B030F0">
        <w:t>red to pay the ACLC for the 201</w:t>
      </w:r>
      <w:r w:rsidR="00984521">
        <w:t>8</w:t>
      </w:r>
      <w:r w:rsidR="00B030F0">
        <w:t>–1</w:t>
      </w:r>
      <w:r w:rsidR="00984521">
        <w:t>9</w:t>
      </w:r>
      <w:r w:rsidRPr="00A84CBD">
        <w:t xml:space="preserve"> financial year</w:t>
      </w:r>
      <w:r w:rsidR="004D4BD1">
        <w:t>. This is</w:t>
      </w:r>
      <w:r w:rsidR="00A7508A">
        <w:t xml:space="preserve"> </w:t>
      </w:r>
      <w:r w:rsidRPr="00A84CBD">
        <w:t xml:space="preserve">irrespective of whether they have surrendered </w:t>
      </w:r>
      <w:r w:rsidR="005F2077" w:rsidRPr="00A84CBD">
        <w:t xml:space="preserve">their licence </w:t>
      </w:r>
      <w:r w:rsidRPr="00A84CBD">
        <w:t>or</w:t>
      </w:r>
      <w:r w:rsidR="005F2077">
        <w:t xml:space="preserve"> had their licence</w:t>
      </w:r>
      <w:r w:rsidRPr="00A84CBD">
        <w:t xml:space="preserve"> cancelled subsequent to this date and will be liable for payment of </w:t>
      </w:r>
      <w:r>
        <w:t xml:space="preserve">the charge when it </w:t>
      </w:r>
      <w:r w:rsidR="006B519D">
        <w:t xml:space="preserve">is </w:t>
      </w:r>
      <w:r>
        <w:t>due.</w:t>
      </w:r>
    </w:p>
    <w:p w14:paraId="75742B06" w14:textId="77777777" w:rsidR="009E783D" w:rsidRPr="0008218E" w:rsidRDefault="009E783D" w:rsidP="00EA3B0D">
      <w:pPr>
        <w:pStyle w:val="Heading2"/>
      </w:pPr>
      <w:bookmarkStart w:id="20" w:name="_Toc511634383"/>
      <w:bookmarkStart w:id="21" w:name="_Toc26786323"/>
      <w:r w:rsidRPr="0008218E">
        <w:t xml:space="preserve">1.3 </w:t>
      </w:r>
      <w:r w:rsidR="00CB3D67">
        <w:tab/>
      </w:r>
      <w:r w:rsidRPr="0008218E">
        <w:t>Stakeholders</w:t>
      </w:r>
      <w:bookmarkEnd w:id="20"/>
      <w:bookmarkEnd w:id="21"/>
    </w:p>
    <w:p w14:paraId="04A38B28" w14:textId="1BE1BB40" w:rsidR="009E783D" w:rsidRDefault="004B052A" w:rsidP="009E783D">
      <w:r>
        <w:t>K</w:t>
      </w:r>
      <w:r w:rsidR="009E783D">
        <w:t>ey stakeholders are telecommunications carriers, carriage service providers, industry bodies (</w:t>
      </w:r>
      <w:r w:rsidR="006B519D">
        <w:t>for example,</w:t>
      </w:r>
      <w:r w:rsidR="008B40C2">
        <w:t xml:space="preserve"> the</w:t>
      </w:r>
      <w:r w:rsidR="009E783D">
        <w:t xml:space="preserve"> Co</w:t>
      </w:r>
      <w:r w:rsidR="00CB7A04">
        <w:t>mmunications</w:t>
      </w:r>
      <w:r w:rsidR="009E783D">
        <w:t xml:space="preserve"> Alliance) and consumer bodies (</w:t>
      </w:r>
      <w:r w:rsidR="006B519D">
        <w:t>for example,</w:t>
      </w:r>
      <w:r w:rsidR="009E783D">
        <w:t xml:space="preserve"> </w:t>
      </w:r>
      <w:r w:rsidR="009D3C4F">
        <w:t xml:space="preserve">the </w:t>
      </w:r>
      <w:r w:rsidR="009E783D">
        <w:t>Australian Communications Consumer Action Network).</w:t>
      </w:r>
      <w:r w:rsidR="009E783D" w:rsidDel="00863C10">
        <w:t xml:space="preserve"> </w:t>
      </w:r>
    </w:p>
    <w:p w14:paraId="2C5F1DC4" w14:textId="54899AFA" w:rsidR="00677E6C" w:rsidRDefault="00677E6C" w:rsidP="000731A0">
      <w:pPr>
        <w:spacing w:after="0"/>
        <w:rPr>
          <w:b/>
          <w:bCs/>
          <w:iCs/>
        </w:rPr>
      </w:pPr>
      <w:bookmarkStart w:id="22" w:name="_Hlk8985518"/>
      <w:r w:rsidRPr="00390363">
        <w:t>Some stakeholders raised concerns during the 2017</w:t>
      </w:r>
      <w:r w:rsidR="009658D3">
        <w:t>–</w:t>
      </w:r>
      <w:r w:rsidRPr="00390363">
        <w:t xml:space="preserve">18 ACLC stakeholder consultation that some non-participating service providers (such as Over </w:t>
      </w:r>
      <w:proofErr w:type="gramStart"/>
      <w:r w:rsidRPr="00390363">
        <w:t>The</w:t>
      </w:r>
      <w:proofErr w:type="gramEnd"/>
      <w:r w:rsidRPr="00390363">
        <w:t xml:space="preserve"> Top </w:t>
      </w:r>
      <w:r w:rsidR="000C35C0">
        <w:t xml:space="preserve">(OTT) </w:t>
      </w:r>
      <w:r w:rsidRPr="00390363">
        <w:t>service providers) should contribute to the ACLC</w:t>
      </w:r>
      <w:r w:rsidRPr="000731A0">
        <w:t xml:space="preserve">. </w:t>
      </w:r>
      <w:r w:rsidR="009659F8" w:rsidRPr="009659F8">
        <w:t xml:space="preserve">Under the </w:t>
      </w:r>
      <w:r w:rsidR="009659F8">
        <w:t>Act</w:t>
      </w:r>
      <w:r w:rsidR="009658D3">
        <w:t>,</w:t>
      </w:r>
      <w:r w:rsidR="009659F8" w:rsidRPr="009659F8">
        <w:t xml:space="preserve"> the A</w:t>
      </w:r>
      <w:r w:rsidR="009659F8">
        <w:t>CLC</w:t>
      </w:r>
      <w:r w:rsidR="009659F8" w:rsidRPr="009659F8">
        <w:t xml:space="preserve"> is funded by carriers; that is</w:t>
      </w:r>
      <w:r w:rsidR="009658D3">
        <w:t>,</w:t>
      </w:r>
      <w:r w:rsidR="009659F8" w:rsidRPr="009659F8">
        <w:t xml:space="preserve"> by those that are required to hold carrier licences. Under the Telco</w:t>
      </w:r>
      <w:r w:rsidR="007A77B1">
        <w:t> </w:t>
      </w:r>
      <w:r w:rsidR="009659F8" w:rsidRPr="009659F8">
        <w:t xml:space="preserve">Act, the requirement to hold a carrier licence </w:t>
      </w:r>
      <w:r w:rsidR="00583998">
        <w:t xml:space="preserve">generally </w:t>
      </w:r>
      <w:r w:rsidR="009659F8" w:rsidRPr="009659F8">
        <w:t>applies to owners of network units that are used to supply a carriage service to the public (</w:t>
      </w:r>
      <w:r w:rsidR="00583998">
        <w:t>that is</w:t>
      </w:r>
      <w:r w:rsidR="009659F8" w:rsidRPr="009659F8">
        <w:t xml:space="preserve"> outside of the network unit owner’s immediate circle). The </w:t>
      </w:r>
      <w:r w:rsidR="008C4D45">
        <w:t xml:space="preserve">Australian </w:t>
      </w:r>
      <w:r w:rsidR="000F1579">
        <w:t>G</w:t>
      </w:r>
      <w:r w:rsidR="009659F8" w:rsidRPr="009659F8">
        <w:t xml:space="preserve">overnment has no plans to change the definition of carrier </w:t>
      </w:r>
      <w:proofErr w:type="gramStart"/>
      <w:r w:rsidR="009659F8" w:rsidRPr="009659F8">
        <w:t>at this time</w:t>
      </w:r>
      <w:proofErr w:type="gramEnd"/>
      <w:r w:rsidR="009659F8">
        <w:t>.</w:t>
      </w:r>
    </w:p>
    <w:p w14:paraId="4FC5C041" w14:textId="77777777" w:rsidR="000731A0" w:rsidRPr="000731A0" w:rsidRDefault="000731A0" w:rsidP="000731A0">
      <w:pPr>
        <w:spacing w:after="0"/>
        <w:rPr>
          <w:b/>
        </w:rPr>
      </w:pPr>
    </w:p>
    <w:p w14:paraId="33C1F07D" w14:textId="3EB0601B" w:rsidR="00C34A0B" w:rsidRPr="00C34A0B" w:rsidRDefault="006A00D7" w:rsidP="00C34A0B">
      <w:pPr>
        <w:tabs>
          <w:tab w:val="left" w:pos="2295"/>
        </w:tabs>
      </w:pPr>
      <w:bookmarkStart w:id="23" w:name="_Hlk14334653"/>
      <w:proofErr w:type="spellStart"/>
      <w:r w:rsidRPr="006A00D7">
        <w:rPr>
          <w:iCs/>
        </w:rPr>
        <w:t>DoCA</w:t>
      </w:r>
      <w:proofErr w:type="spellEnd"/>
      <w:r w:rsidRPr="006A00D7">
        <w:rPr>
          <w:iCs/>
        </w:rPr>
        <w:t xml:space="preserve"> is currently undertaking a Portfolio Charging Review</w:t>
      </w:r>
      <w:r w:rsidR="00F8537F">
        <w:rPr>
          <w:iCs/>
        </w:rPr>
        <w:t>.</w:t>
      </w:r>
      <w:r w:rsidRPr="006A00D7">
        <w:rPr>
          <w:iCs/>
          <w:vertAlign w:val="superscript"/>
        </w:rPr>
        <w:footnoteReference w:id="4"/>
      </w:r>
      <w:r w:rsidRPr="006A00D7">
        <w:rPr>
          <w:iCs/>
        </w:rPr>
        <w:t xml:space="preserve"> Any proposed changes to the ACLC</w:t>
      </w:r>
      <w:r w:rsidR="008B40C2">
        <w:rPr>
          <w:iCs/>
        </w:rPr>
        <w:t xml:space="preserve"> the</w:t>
      </w:r>
      <w:r w:rsidRPr="006A00D7">
        <w:rPr>
          <w:iCs/>
        </w:rPr>
        <w:t xml:space="preserve"> </w:t>
      </w:r>
      <w:r w:rsidR="008F7FEA">
        <w:rPr>
          <w:iCs/>
        </w:rPr>
        <w:t xml:space="preserve">Australian </w:t>
      </w:r>
      <w:r w:rsidR="008B40C2">
        <w:rPr>
          <w:iCs/>
        </w:rPr>
        <w:t xml:space="preserve">Government considers as part of </w:t>
      </w:r>
      <w:r w:rsidR="003641EC">
        <w:rPr>
          <w:iCs/>
        </w:rPr>
        <w:t xml:space="preserve">the Portfolio Charging Review </w:t>
      </w:r>
      <w:r w:rsidRPr="006A00D7">
        <w:rPr>
          <w:iCs/>
        </w:rPr>
        <w:t>w</w:t>
      </w:r>
      <w:r w:rsidR="00CD7998">
        <w:rPr>
          <w:iCs/>
        </w:rPr>
        <w:t>ould</w:t>
      </w:r>
      <w:r w:rsidRPr="006A00D7">
        <w:rPr>
          <w:iCs/>
        </w:rPr>
        <w:t xml:space="preserve"> be consulted</w:t>
      </w:r>
      <w:r w:rsidR="00AD29E5">
        <w:rPr>
          <w:iCs/>
        </w:rPr>
        <w:t xml:space="preserve"> upon</w:t>
      </w:r>
      <w:r w:rsidRPr="006A00D7">
        <w:rPr>
          <w:iCs/>
        </w:rPr>
        <w:t xml:space="preserve"> </w:t>
      </w:r>
      <w:r w:rsidR="00E273A3">
        <w:rPr>
          <w:iCs/>
        </w:rPr>
        <w:t xml:space="preserve">separately during </w:t>
      </w:r>
      <w:r w:rsidRPr="006A00D7">
        <w:rPr>
          <w:iCs/>
        </w:rPr>
        <w:t>the 2019</w:t>
      </w:r>
      <w:r w:rsidR="009658D3">
        <w:rPr>
          <w:iCs/>
        </w:rPr>
        <w:t>–</w:t>
      </w:r>
      <w:r w:rsidRPr="006A00D7">
        <w:rPr>
          <w:iCs/>
        </w:rPr>
        <w:t xml:space="preserve">20 financial year with </w:t>
      </w:r>
      <w:r w:rsidR="00E273A3">
        <w:rPr>
          <w:iCs/>
        </w:rPr>
        <w:t xml:space="preserve">the </w:t>
      </w:r>
      <w:r>
        <w:rPr>
          <w:iCs/>
        </w:rPr>
        <w:t>relevant</w:t>
      </w:r>
      <w:r w:rsidRPr="006A00D7">
        <w:rPr>
          <w:iCs/>
        </w:rPr>
        <w:t xml:space="preserve"> stakeholders</w:t>
      </w:r>
      <w:r w:rsidR="00E273A3">
        <w:rPr>
          <w:iCs/>
        </w:rPr>
        <w:t>, if required</w:t>
      </w:r>
      <w:r w:rsidRPr="006A00D7">
        <w:rPr>
          <w:iCs/>
        </w:rPr>
        <w:t>.</w:t>
      </w:r>
      <w:bookmarkEnd w:id="23"/>
    </w:p>
    <w:p w14:paraId="111E2852" w14:textId="77777777" w:rsidR="009E783D" w:rsidRPr="00EA3B0D" w:rsidRDefault="009E783D" w:rsidP="0007149B">
      <w:pPr>
        <w:pStyle w:val="Heading1"/>
        <w:ind w:left="851" w:right="-551" w:hanging="852"/>
      </w:pPr>
      <w:bookmarkStart w:id="24" w:name="_Toc355953985"/>
      <w:bookmarkStart w:id="25" w:name="_Toc385256315"/>
      <w:bookmarkStart w:id="26" w:name="_Toc417990942"/>
      <w:bookmarkStart w:id="27" w:name="_Toc511634384"/>
      <w:bookmarkStart w:id="28" w:name="_Toc26786324"/>
      <w:bookmarkEnd w:id="22"/>
      <w:r w:rsidRPr="0008218E">
        <w:lastRenderedPageBreak/>
        <w:t xml:space="preserve">2. </w:t>
      </w:r>
      <w:r w:rsidRPr="0008218E">
        <w:tab/>
        <w:t xml:space="preserve">Policy and statutory authority to </w:t>
      </w:r>
      <w:r w:rsidR="00387831">
        <w:t xml:space="preserve">undertake </w:t>
      </w:r>
      <w:r w:rsidRPr="0008218E">
        <w:t>cost recover</w:t>
      </w:r>
      <w:bookmarkStart w:id="29" w:name="_Toc355953986"/>
      <w:bookmarkStart w:id="30" w:name="_Toc385256316"/>
      <w:bookmarkStart w:id="31" w:name="_Toc417990943"/>
      <w:bookmarkEnd w:id="24"/>
      <w:bookmarkEnd w:id="25"/>
      <w:bookmarkEnd w:id="26"/>
      <w:r w:rsidR="00387831">
        <w:t>y</w:t>
      </w:r>
      <w:bookmarkEnd w:id="27"/>
      <w:bookmarkEnd w:id="28"/>
    </w:p>
    <w:p w14:paraId="4CFD7A66" w14:textId="77777777" w:rsidR="009E783D" w:rsidRDefault="009E783D" w:rsidP="00EA3B0D">
      <w:pPr>
        <w:pStyle w:val="Heading2"/>
      </w:pPr>
      <w:bookmarkStart w:id="32" w:name="_Toc511634385"/>
      <w:bookmarkStart w:id="33" w:name="_Toc26786325"/>
      <w:r w:rsidRPr="00EA3B0D">
        <w:t>2.1</w:t>
      </w:r>
      <w:r w:rsidRPr="00EA3B0D">
        <w:tab/>
        <w:t xml:space="preserve">Government policy approval to </w:t>
      </w:r>
      <w:r w:rsidR="00387831" w:rsidRPr="00EA3B0D">
        <w:t xml:space="preserve">recover </w:t>
      </w:r>
      <w:r w:rsidRPr="00EA3B0D">
        <w:t>cost</w:t>
      </w:r>
      <w:r w:rsidR="00387831">
        <w:t>s</w:t>
      </w:r>
      <w:bookmarkEnd w:id="32"/>
      <w:bookmarkEnd w:id="33"/>
      <w:r w:rsidRPr="00EA3B0D">
        <w:t xml:space="preserve"> </w:t>
      </w:r>
      <w:bookmarkEnd w:id="29"/>
      <w:bookmarkEnd w:id="30"/>
      <w:bookmarkEnd w:id="31"/>
    </w:p>
    <w:p w14:paraId="334D8621" w14:textId="22E6DE59" w:rsidR="003A2CEA" w:rsidRPr="00CF5341" w:rsidRDefault="003A2CEA" w:rsidP="00B64534">
      <w:pPr>
        <w:spacing w:after="80"/>
        <w:rPr>
          <w:rFonts w:cs="Arial"/>
          <w:szCs w:val="20"/>
        </w:rPr>
      </w:pPr>
      <w:r w:rsidRPr="00CF5341">
        <w:rPr>
          <w:rFonts w:cs="Arial"/>
          <w:szCs w:val="20"/>
        </w:rPr>
        <w:t>As an outcome of the Communications Portfolio Charging Review in the financial year 2014</w:t>
      </w:r>
      <w:r w:rsidR="00B9480B">
        <w:rPr>
          <w:rFonts w:cs="Arial"/>
          <w:szCs w:val="20"/>
        </w:rPr>
        <w:t>–</w:t>
      </w:r>
      <w:r w:rsidRPr="00CF5341">
        <w:rPr>
          <w:rFonts w:cs="Arial"/>
          <w:szCs w:val="20"/>
        </w:rPr>
        <w:t xml:space="preserve">15, the </w:t>
      </w:r>
      <w:r w:rsidR="008C4D45">
        <w:rPr>
          <w:rFonts w:cs="Arial"/>
          <w:szCs w:val="20"/>
        </w:rPr>
        <w:t xml:space="preserve">Australian </w:t>
      </w:r>
      <w:r w:rsidR="000F1579">
        <w:rPr>
          <w:rFonts w:cs="Arial"/>
          <w:szCs w:val="20"/>
        </w:rPr>
        <w:t>G</w:t>
      </w:r>
      <w:r w:rsidR="000F1579" w:rsidRPr="00CF5341">
        <w:rPr>
          <w:rFonts w:cs="Arial"/>
          <w:szCs w:val="20"/>
        </w:rPr>
        <w:t xml:space="preserve">overnment </w:t>
      </w:r>
      <w:r w:rsidRPr="00CF5341">
        <w:rPr>
          <w:rFonts w:cs="Arial"/>
          <w:szCs w:val="20"/>
        </w:rPr>
        <w:t xml:space="preserve">confirmed the appropriateness of cost recovery for the following activities through the ACLC: </w:t>
      </w:r>
    </w:p>
    <w:p w14:paraId="401F691E" w14:textId="2E0BFA63" w:rsidR="003A2CEA" w:rsidRPr="00F5728D" w:rsidRDefault="00B12CBE" w:rsidP="00F5728D">
      <w:pPr>
        <w:pStyle w:val="ListBullet"/>
      </w:pPr>
      <w:r>
        <w:t xml:space="preserve">the </w:t>
      </w:r>
      <w:r w:rsidR="003A2CEA" w:rsidRPr="00F5728D">
        <w:t>ACMA regulating telecommunications entities</w:t>
      </w:r>
    </w:p>
    <w:p w14:paraId="10108888" w14:textId="51824BEC" w:rsidR="003A2CEA" w:rsidRPr="00F5728D" w:rsidRDefault="003A2CEA" w:rsidP="00F5728D">
      <w:pPr>
        <w:pStyle w:val="ListBullet"/>
      </w:pPr>
      <w:r w:rsidRPr="00F5728D">
        <w:t>the ACCC regulating telecommunications entities</w:t>
      </w:r>
    </w:p>
    <w:p w14:paraId="65527AB5" w14:textId="0EA78B08" w:rsidR="003A2CEA" w:rsidRPr="00F5728D" w:rsidRDefault="003A2CEA" w:rsidP="00F5728D">
      <w:pPr>
        <w:pStyle w:val="ListBullet"/>
      </w:pPr>
      <w:r w:rsidRPr="00F5728D">
        <w:t xml:space="preserve">developing industry codes by a telecommunications industry body or association under Part 6 of the </w:t>
      </w:r>
      <w:r w:rsidR="00817409" w:rsidRPr="00F5728D">
        <w:t xml:space="preserve">Telco </w:t>
      </w:r>
      <w:r w:rsidR="00B33282" w:rsidRPr="00F5728D">
        <w:t>Act</w:t>
      </w:r>
    </w:p>
    <w:p w14:paraId="283A5F87" w14:textId="4C8D73C5" w:rsidR="003A2CEA" w:rsidRPr="00CF5341" w:rsidRDefault="003A2CEA" w:rsidP="00F5728D">
      <w:pPr>
        <w:pStyle w:val="ListBullet"/>
      </w:pPr>
      <w:r w:rsidRPr="00F5728D">
        <w:t>contributing</w:t>
      </w:r>
      <w:r w:rsidRPr="00CF5341">
        <w:t xml:space="preserve"> to the budget of the International Telecommunication Union</w:t>
      </w:r>
      <w:r w:rsidR="004B052A">
        <w:t xml:space="preserve"> (ITU)</w:t>
      </w:r>
    </w:p>
    <w:p w14:paraId="626F757D" w14:textId="35EEA762" w:rsidR="003A2CEA" w:rsidRPr="00CF5341" w:rsidRDefault="00765BB7" w:rsidP="00B64534">
      <w:pPr>
        <w:pStyle w:val="ListBulletLast"/>
      </w:pPr>
      <w:r>
        <w:t xml:space="preserve">the granting of </w:t>
      </w:r>
      <w:r w:rsidR="003A2CEA" w:rsidRPr="00CF5341">
        <w:t xml:space="preserve">financial assistance to consumer </w:t>
      </w:r>
      <w:r w:rsidR="00FB476B" w:rsidRPr="00CF5341">
        <w:t>bod</w:t>
      </w:r>
      <w:r w:rsidR="00FB476B">
        <w:t xml:space="preserve">ies to support </w:t>
      </w:r>
      <w:r w:rsidR="003A2CEA" w:rsidRPr="00CF5341">
        <w:t>consumer</w:t>
      </w:r>
      <w:r w:rsidR="00FB476B">
        <w:t xml:space="preserve"> representation in the</w:t>
      </w:r>
      <w:r w:rsidR="003A2CEA" w:rsidRPr="00CF5341">
        <w:t xml:space="preserve"> telecommunication </w:t>
      </w:r>
      <w:r w:rsidR="00FB476B" w:rsidRPr="00FB476B">
        <w:t>sector</w:t>
      </w:r>
      <w:r w:rsidR="00C0770E">
        <w:t xml:space="preserve"> and to relevant research bodies</w:t>
      </w:r>
      <w:r w:rsidR="003A2CEA" w:rsidRPr="00CF5341">
        <w:t>.</w:t>
      </w:r>
    </w:p>
    <w:p w14:paraId="0F5BB04E" w14:textId="699F1971" w:rsidR="00471A8B" w:rsidRDefault="00471A8B" w:rsidP="00471A8B">
      <w:r w:rsidRPr="00CF5341">
        <w:t>Prior to 201</w:t>
      </w:r>
      <w:r>
        <w:t>8–</w:t>
      </w:r>
      <w:r w:rsidRPr="00CF5341">
        <w:t>1</w:t>
      </w:r>
      <w:r>
        <w:t>9</w:t>
      </w:r>
      <w:r w:rsidRPr="00CF5341">
        <w:t xml:space="preserve">, the </w:t>
      </w:r>
      <w:r w:rsidR="008C4D45">
        <w:t>Australian G</w:t>
      </w:r>
      <w:r w:rsidRPr="00CF5341">
        <w:t>overnment made a series of decisions</w:t>
      </w:r>
      <w:r w:rsidRPr="00E230DB">
        <w:rPr>
          <w:rStyle w:val="FootnoteReference"/>
          <w:szCs w:val="20"/>
        </w:rPr>
        <w:footnoteReference w:id="5"/>
      </w:r>
      <w:r w:rsidRPr="00CF5341">
        <w:t xml:space="preserve"> </w:t>
      </w:r>
      <w:r>
        <w:t>determining</w:t>
      </w:r>
      <w:r w:rsidRPr="00CF5341">
        <w:t xml:space="preserve"> the</w:t>
      </w:r>
      <w:r>
        <w:t xml:space="preserve"> above </w:t>
      </w:r>
      <w:r w:rsidRPr="00CF5341">
        <w:t>activities to be the subject of cost recovery through the ACLC.</w:t>
      </w:r>
      <w:r w:rsidR="003C2470">
        <w:t xml:space="preserve"> These decisions are consistent with the Act which specifically includes the costs of each of these five activities as part of the amount that can be collected through the ACLC.</w:t>
      </w:r>
    </w:p>
    <w:p w14:paraId="78699951" w14:textId="0317C73D" w:rsidR="00735E46" w:rsidRPr="00735E46" w:rsidRDefault="00735E46" w:rsidP="00205AC5">
      <w:pPr>
        <w:pStyle w:val="Bodysubheader0"/>
      </w:pPr>
      <w:r w:rsidRPr="00735E46">
        <w:t xml:space="preserve">Consumer </w:t>
      </w:r>
      <w:r w:rsidR="008F7FEA">
        <w:t>s</w:t>
      </w:r>
      <w:r w:rsidRPr="00735E46">
        <w:t>afeguards</w:t>
      </w:r>
    </w:p>
    <w:p w14:paraId="4C92FB31" w14:textId="158F491D" w:rsidR="00713794" w:rsidRDefault="00735E46" w:rsidP="00933079">
      <w:r>
        <w:t>A</w:t>
      </w:r>
      <w:r w:rsidR="00735773">
        <w:t>s part of the 2019</w:t>
      </w:r>
      <w:r w:rsidR="00E74157">
        <w:t>–</w:t>
      </w:r>
      <w:r w:rsidR="00735773">
        <w:t>20 Budget</w:t>
      </w:r>
      <w:r w:rsidR="00F8537F">
        <w:t>,</w:t>
      </w:r>
      <w:r w:rsidR="00735773">
        <w:rPr>
          <w:rStyle w:val="FootnoteReference"/>
        </w:rPr>
        <w:footnoteReference w:id="6"/>
      </w:r>
      <w:r>
        <w:t xml:space="preserve"> the </w:t>
      </w:r>
      <w:r w:rsidR="00F8537F">
        <w:t>g</w:t>
      </w:r>
      <w:r>
        <w:t xml:space="preserve">overnment </w:t>
      </w:r>
      <w:r w:rsidR="00FD62B2">
        <w:t xml:space="preserve">directed </w:t>
      </w:r>
      <w:r>
        <w:t xml:space="preserve">$7.2 million over four years </w:t>
      </w:r>
      <w:r w:rsidRPr="00735E46">
        <w:t>from 2019</w:t>
      </w:r>
      <w:r w:rsidR="00E74157">
        <w:t>–</w:t>
      </w:r>
      <w:r w:rsidRPr="00735E46">
        <w:t>20 (and $1.4 million per year ongoing from 2023</w:t>
      </w:r>
      <w:r w:rsidR="00F8537F">
        <w:softHyphen/>
      </w:r>
      <w:r w:rsidR="00F8537F">
        <w:softHyphen/>
        <w:t>–</w:t>
      </w:r>
      <w:r w:rsidRPr="00735E46">
        <w:t xml:space="preserve">24) to </w:t>
      </w:r>
      <w:r w:rsidR="006720CD">
        <w:t xml:space="preserve">the </w:t>
      </w:r>
      <w:r w:rsidRPr="00735E46">
        <w:t>A</w:t>
      </w:r>
      <w:r>
        <w:t xml:space="preserve">CMA </w:t>
      </w:r>
      <w:r w:rsidRPr="00735E46">
        <w:t>to improve dispute resolution for Australian telecommunications consumers by providing advice, support and oversight to the Telecommunications Industry Ombudsman</w:t>
      </w:r>
      <w:r w:rsidR="000E61B9">
        <w:t xml:space="preserve"> (TIO)</w:t>
      </w:r>
      <w:r w:rsidRPr="00735E46">
        <w:t>.</w:t>
      </w:r>
      <w:r w:rsidR="004C6E3D">
        <w:t xml:space="preserve"> </w:t>
      </w:r>
      <w:r w:rsidR="008B5867">
        <w:t xml:space="preserve">It was intended that the </w:t>
      </w:r>
      <w:r w:rsidR="004C6E3D">
        <w:t xml:space="preserve">costs of this measure </w:t>
      </w:r>
      <w:r w:rsidR="008B5867">
        <w:t xml:space="preserve">be recovered through </w:t>
      </w:r>
      <w:r w:rsidR="004C6E3D">
        <w:t xml:space="preserve">the ACLC </w:t>
      </w:r>
      <w:r w:rsidR="00ED2CBB">
        <w:t xml:space="preserve">to be determined </w:t>
      </w:r>
      <w:r w:rsidR="004C6E3D">
        <w:t xml:space="preserve">by </w:t>
      </w:r>
      <w:r w:rsidR="006720CD">
        <w:t xml:space="preserve">the </w:t>
      </w:r>
      <w:r w:rsidR="004C6E3D">
        <w:t>ACMA under th</w:t>
      </w:r>
      <w:r w:rsidR="00ED2CBB">
        <w:t>e</w:t>
      </w:r>
      <w:r w:rsidR="004C6E3D">
        <w:t xml:space="preserve"> Act.</w:t>
      </w:r>
      <w:r w:rsidR="00DD646E">
        <w:t xml:space="preserve"> According</w:t>
      </w:r>
      <w:r w:rsidR="00F8537F">
        <w:t>ly,</w:t>
      </w:r>
      <w:r w:rsidR="00DD646E">
        <w:t xml:space="preserve"> the costs </w:t>
      </w:r>
      <w:r w:rsidR="00F404BE">
        <w:t xml:space="preserve">of performing these telecommunications functions </w:t>
      </w:r>
      <w:r w:rsidR="00DD646E">
        <w:t>will be recovered through the ACLC from the 2020</w:t>
      </w:r>
      <w:r w:rsidR="00E74157">
        <w:t>–</w:t>
      </w:r>
      <w:r w:rsidR="00DD646E">
        <w:t>21 financial year</w:t>
      </w:r>
      <w:r w:rsidR="00B12CBE">
        <w:t xml:space="preserve">. </w:t>
      </w:r>
      <w:r w:rsidR="004C6E3D">
        <w:t xml:space="preserve"> </w:t>
      </w:r>
      <w:bookmarkStart w:id="34" w:name="_Toc355953988"/>
      <w:bookmarkStart w:id="35" w:name="_Toc385256317"/>
      <w:bookmarkStart w:id="36" w:name="_Toc417990944"/>
    </w:p>
    <w:p w14:paraId="05F2CB82" w14:textId="3F5A00AC" w:rsidR="00830147" w:rsidRPr="00984521" w:rsidRDefault="00830147" w:rsidP="00933079">
      <w:pPr>
        <w:rPr>
          <w:rFonts w:cs="Arial"/>
        </w:rPr>
      </w:pPr>
      <w:r w:rsidRPr="006B48BA">
        <w:rPr>
          <w:rFonts w:cs="Arial"/>
        </w:rPr>
        <w:t>The cost</w:t>
      </w:r>
      <w:r w:rsidR="009906F9">
        <w:rPr>
          <w:rFonts w:cs="Arial"/>
        </w:rPr>
        <w:t>s</w:t>
      </w:r>
      <w:r w:rsidR="00DC1CE8" w:rsidRPr="006B48BA">
        <w:rPr>
          <w:rFonts w:cs="Arial"/>
        </w:rPr>
        <w:t xml:space="preserve"> of </w:t>
      </w:r>
      <w:r w:rsidR="00713794">
        <w:rPr>
          <w:rFonts w:cs="Arial"/>
        </w:rPr>
        <w:t xml:space="preserve">all </w:t>
      </w:r>
      <w:r w:rsidR="003B4C03">
        <w:rPr>
          <w:rFonts w:cs="Arial"/>
        </w:rPr>
        <w:t xml:space="preserve">relevant </w:t>
      </w:r>
      <w:r w:rsidR="00713794">
        <w:rPr>
          <w:rFonts w:cs="Arial"/>
        </w:rPr>
        <w:t xml:space="preserve">ACLC </w:t>
      </w:r>
      <w:r w:rsidR="00DC1CE8" w:rsidRPr="006B48BA">
        <w:rPr>
          <w:rFonts w:cs="Arial"/>
        </w:rPr>
        <w:t xml:space="preserve">activities </w:t>
      </w:r>
      <w:r w:rsidR="009906F9">
        <w:rPr>
          <w:rFonts w:cs="Arial"/>
        </w:rPr>
        <w:t>are</w:t>
      </w:r>
      <w:r w:rsidR="00252477" w:rsidRPr="006B48BA">
        <w:rPr>
          <w:rFonts w:cs="Arial"/>
        </w:rPr>
        <w:t xml:space="preserve"> </w:t>
      </w:r>
      <w:r w:rsidR="00252477" w:rsidRPr="00C64E29">
        <w:rPr>
          <w:rFonts w:cs="Arial"/>
        </w:rPr>
        <w:t>reflected in Table 1</w:t>
      </w:r>
      <w:r w:rsidR="00471A8B">
        <w:rPr>
          <w:rFonts w:cs="Arial"/>
        </w:rPr>
        <w:t>8</w:t>
      </w:r>
      <w:r w:rsidR="00F8537F">
        <w:rPr>
          <w:rFonts w:cs="Arial"/>
        </w:rPr>
        <w:t xml:space="preserve"> </w:t>
      </w:r>
      <w:r w:rsidR="008F7FEA">
        <w:rPr>
          <w:rFonts w:cs="Arial"/>
        </w:rPr>
        <w:t xml:space="preserve">of this CRIS </w:t>
      </w:r>
      <w:r w:rsidR="00984521">
        <w:rPr>
          <w:rFonts w:cs="Arial"/>
        </w:rPr>
        <w:t>and Table 5</w:t>
      </w:r>
      <w:r w:rsidR="00F8537F">
        <w:rPr>
          <w:rFonts w:cs="Arial"/>
        </w:rPr>
        <w:t xml:space="preserve"> </w:t>
      </w:r>
      <w:r w:rsidR="00F5093C">
        <w:rPr>
          <w:rFonts w:cs="Arial"/>
        </w:rPr>
        <w:t xml:space="preserve">of </w:t>
      </w:r>
      <w:r w:rsidR="00F5093C" w:rsidRPr="00C17CC3">
        <w:rPr>
          <w:rFonts w:cs="Arial"/>
        </w:rPr>
        <w:t>Attachment B</w:t>
      </w:r>
      <w:r w:rsidR="00F8537F" w:rsidRPr="00C17CC3">
        <w:rPr>
          <w:rFonts w:cs="Arial"/>
        </w:rPr>
        <w:t>—</w:t>
      </w:r>
      <w:r w:rsidR="00F5093C" w:rsidRPr="00C17CC3">
        <w:rPr>
          <w:rFonts w:cs="Arial"/>
        </w:rPr>
        <w:t xml:space="preserve">CRIS </w:t>
      </w:r>
      <w:r w:rsidR="00353103" w:rsidRPr="00C17CC3">
        <w:rPr>
          <w:rFonts w:cs="Arial"/>
        </w:rPr>
        <w:t>A</w:t>
      </w:r>
      <w:r w:rsidR="00F5093C" w:rsidRPr="00C17CC3">
        <w:rPr>
          <w:rFonts w:cs="Arial"/>
        </w:rPr>
        <w:t>ddendum</w:t>
      </w:r>
      <w:r w:rsidR="00984521">
        <w:rPr>
          <w:rFonts w:cs="Arial"/>
        </w:rPr>
        <w:t>.</w:t>
      </w:r>
    </w:p>
    <w:p w14:paraId="4E75F5F2" w14:textId="77777777" w:rsidR="009E783D" w:rsidRPr="00C320F6" w:rsidRDefault="009E783D" w:rsidP="009E783D">
      <w:pPr>
        <w:pStyle w:val="Heading2"/>
        <w:rPr>
          <w:sz w:val="24"/>
        </w:rPr>
      </w:pPr>
      <w:bookmarkStart w:id="37" w:name="_Toc511634386"/>
      <w:bookmarkStart w:id="38" w:name="_Toc26786326"/>
      <w:r>
        <w:rPr>
          <w:sz w:val="24"/>
        </w:rPr>
        <w:t>2.2</w:t>
      </w:r>
      <w:r w:rsidRPr="00C320F6">
        <w:rPr>
          <w:sz w:val="24"/>
        </w:rPr>
        <w:tab/>
      </w:r>
      <w:r>
        <w:rPr>
          <w:sz w:val="24"/>
        </w:rPr>
        <w:t>Statutory</w:t>
      </w:r>
      <w:r w:rsidRPr="00C320F6">
        <w:rPr>
          <w:sz w:val="24"/>
        </w:rPr>
        <w:t xml:space="preserve"> authority to impose </w:t>
      </w:r>
      <w:bookmarkEnd w:id="34"/>
      <w:r>
        <w:rPr>
          <w:sz w:val="24"/>
        </w:rPr>
        <w:t>cost recovery charges</w:t>
      </w:r>
      <w:bookmarkEnd w:id="35"/>
      <w:bookmarkEnd w:id="36"/>
      <w:bookmarkEnd w:id="37"/>
      <w:bookmarkEnd w:id="38"/>
    </w:p>
    <w:p w14:paraId="1E6915D7" w14:textId="3B5EFFA4" w:rsidR="009E783D" w:rsidRPr="005D0BC8" w:rsidRDefault="009E783D" w:rsidP="009E783D">
      <w:r w:rsidRPr="00A84CBD">
        <w:t xml:space="preserve">Section 12 of the Act imposes </w:t>
      </w:r>
      <w:r>
        <w:t>an annual charge</w:t>
      </w:r>
      <w:r w:rsidRPr="00A84CBD">
        <w:t xml:space="preserve"> on carrier licences that are in force at the beginning of a financial year (</w:t>
      </w:r>
      <w:r w:rsidR="004D4BD1">
        <w:t xml:space="preserve">commencing </w:t>
      </w:r>
      <w:r w:rsidR="006E423A">
        <w:t xml:space="preserve">1 July </w:t>
      </w:r>
      <w:r w:rsidR="006E423A" w:rsidRPr="00817409">
        <w:t>201</w:t>
      </w:r>
      <w:r w:rsidR="00984521">
        <w:t>8</w:t>
      </w:r>
      <w:r w:rsidRPr="00A84CBD">
        <w:t xml:space="preserve"> </w:t>
      </w:r>
      <w:r>
        <w:t>for the purposes of this CRIS).</w:t>
      </w:r>
    </w:p>
    <w:p w14:paraId="4077932D" w14:textId="4B27E829" w:rsidR="009E783D" w:rsidRPr="005D0BC8" w:rsidRDefault="009E783D" w:rsidP="009E783D">
      <w:r w:rsidRPr="00A84CBD">
        <w:lastRenderedPageBreak/>
        <w:t>Subsection 14(1) of the Act specifies that the amount of the charge to be imposed on a carrier licence is the amount ascertained in accordance with a written determination made by</w:t>
      </w:r>
      <w:r w:rsidR="00335FC3">
        <w:t xml:space="preserve"> the</w:t>
      </w:r>
      <w:r w:rsidRPr="00A84CBD">
        <w:t xml:space="preserve"> ACMA. </w:t>
      </w:r>
    </w:p>
    <w:p w14:paraId="4655F66C" w14:textId="5EDF859A" w:rsidR="006A7342" w:rsidRPr="002223D2" w:rsidRDefault="009906F9" w:rsidP="005B4096">
      <w:pPr>
        <w:shd w:val="clear" w:color="auto" w:fill="FFFFFF"/>
        <w:spacing w:after="80" w:line="240" w:lineRule="auto"/>
        <w:rPr>
          <w:rFonts w:cs="Arial"/>
          <w:szCs w:val="20"/>
          <w:lang w:val="en-US"/>
        </w:rPr>
      </w:pPr>
      <w:r w:rsidRPr="009659F8">
        <w:t>T</w:t>
      </w:r>
      <w:r w:rsidR="00CB7A04" w:rsidRPr="009659F8">
        <w:t xml:space="preserve">he </w:t>
      </w:r>
      <w:r w:rsidR="00CB7A04" w:rsidRPr="00205AC5">
        <w:rPr>
          <w:rFonts w:cs="Arial"/>
        </w:rPr>
        <w:t>Australian Communications and Media Authority (Annual Carrier Licence Charge)</w:t>
      </w:r>
      <w:r w:rsidR="00CB7A04" w:rsidRPr="00F8537F">
        <w:rPr>
          <w:rFonts w:cs="Arial"/>
        </w:rPr>
        <w:t xml:space="preserve"> </w:t>
      </w:r>
      <w:r w:rsidR="00CB7A04" w:rsidRPr="00205AC5">
        <w:rPr>
          <w:rFonts w:cs="Arial"/>
        </w:rPr>
        <w:t>Direction 2017</w:t>
      </w:r>
      <w:r w:rsidR="00C259F8">
        <w:rPr>
          <w:rStyle w:val="FootnoteReference"/>
          <w:rFonts w:cs="Arial"/>
        </w:rPr>
        <w:footnoteReference w:id="7"/>
      </w:r>
      <w:r w:rsidR="004F3816">
        <w:rPr>
          <w:rFonts w:cs="Arial"/>
        </w:rPr>
        <w:t xml:space="preserve"> </w:t>
      </w:r>
      <w:r w:rsidR="002223D2">
        <w:rPr>
          <w:rFonts w:cs="Arial"/>
        </w:rPr>
        <w:t xml:space="preserve">(the </w:t>
      </w:r>
      <w:r>
        <w:rPr>
          <w:rFonts w:cs="Arial"/>
        </w:rPr>
        <w:t xml:space="preserve">2017 </w:t>
      </w:r>
      <w:r w:rsidR="002223D2">
        <w:rPr>
          <w:rFonts w:cs="Arial"/>
        </w:rPr>
        <w:t>Direction)</w:t>
      </w:r>
      <w:r w:rsidR="00CB7A04">
        <w:rPr>
          <w:rFonts w:cs="Arial"/>
        </w:rPr>
        <w:t xml:space="preserve"> applies </w:t>
      </w:r>
      <w:r w:rsidR="00F5728D">
        <w:rPr>
          <w:rFonts w:cs="Arial"/>
        </w:rPr>
        <w:t>to</w:t>
      </w:r>
      <w:r w:rsidR="00335FC3">
        <w:rPr>
          <w:rFonts w:cs="Arial"/>
        </w:rPr>
        <w:t xml:space="preserve"> the</w:t>
      </w:r>
      <w:r w:rsidR="00CB7A04">
        <w:rPr>
          <w:rFonts w:cs="Arial"/>
        </w:rPr>
        <w:t xml:space="preserve"> </w:t>
      </w:r>
      <w:r w:rsidR="00A028D6">
        <w:rPr>
          <w:rFonts w:cs="Arial"/>
        </w:rPr>
        <w:t xml:space="preserve">ACMA when making this determination. </w:t>
      </w:r>
      <w:r w:rsidR="006A7342" w:rsidRPr="006A7342">
        <w:rPr>
          <w:rFonts w:cs="Arial"/>
          <w:szCs w:val="20"/>
        </w:rPr>
        <w:t xml:space="preserve">The </w:t>
      </w:r>
      <w:r w:rsidR="00CE1BCF">
        <w:rPr>
          <w:rFonts w:cs="Arial"/>
          <w:szCs w:val="20"/>
        </w:rPr>
        <w:t xml:space="preserve">2017 </w:t>
      </w:r>
      <w:r w:rsidR="006A7342" w:rsidRPr="006A7342">
        <w:rPr>
          <w:rFonts w:cs="Arial"/>
          <w:szCs w:val="20"/>
        </w:rPr>
        <w:t xml:space="preserve">Direction requires </w:t>
      </w:r>
      <w:r w:rsidR="00335FC3">
        <w:rPr>
          <w:rFonts w:cs="Arial"/>
          <w:szCs w:val="20"/>
        </w:rPr>
        <w:t xml:space="preserve">the </w:t>
      </w:r>
      <w:r w:rsidR="006A7342" w:rsidRPr="006A7342">
        <w:rPr>
          <w:rFonts w:cs="Arial"/>
          <w:szCs w:val="20"/>
        </w:rPr>
        <w:t xml:space="preserve">ACMA to </w:t>
      </w:r>
      <w:r w:rsidR="006A7342" w:rsidRPr="002223D2">
        <w:rPr>
          <w:rFonts w:cs="Arial"/>
          <w:szCs w:val="20"/>
        </w:rPr>
        <w:t>make such determinations as are necessary under subsection 14(1) of the Act to have the effect of imposing an annual carrier licence charge in the amount of $0 on each carrier licence that is:</w:t>
      </w:r>
    </w:p>
    <w:p w14:paraId="6ADB553D" w14:textId="6D26ED71" w:rsidR="006A7342" w:rsidRPr="007B5ADB" w:rsidRDefault="006A7342" w:rsidP="005B4096">
      <w:pPr>
        <w:pStyle w:val="ListBullet"/>
        <w:rPr>
          <w:lang w:val="en-US"/>
        </w:rPr>
      </w:pPr>
      <w:r w:rsidRPr="007B5ADB">
        <w:t>in force at the beginning of a relevant financial year</w:t>
      </w:r>
      <w:r w:rsidR="002223D2" w:rsidRPr="007B5ADB">
        <w:rPr>
          <w:rStyle w:val="FootnoteReference"/>
          <w:rFonts w:cs="Arial"/>
          <w:szCs w:val="20"/>
        </w:rPr>
        <w:footnoteReference w:id="8"/>
      </w:r>
    </w:p>
    <w:p w14:paraId="7B61F45A" w14:textId="499114E1" w:rsidR="006A7342" w:rsidRPr="007B5ADB" w:rsidRDefault="006A7342" w:rsidP="005B4096">
      <w:pPr>
        <w:pStyle w:val="ListBulletLast"/>
      </w:pPr>
      <w:r w:rsidRPr="007B5ADB">
        <w:t>held by a carrier that was a non-participating person for the eligible revenue period immediately preceding that financial year.</w:t>
      </w:r>
      <w:r w:rsidR="00C057A4">
        <w:rPr>
          <w:rStyle w:val="FootnoteReference"/>
        </w:rPr>
        <w:footnoteReference w:id="9"/>
      </w:r>
    </w:p>
    <w:p w14:paraId="77E80FD0" w14:textId="70FA0677" w:rsidR="009E783D" w:rsidRPr="005D0BC8" w:rsidRDefault="009E783D" w:rsidP="009E783D">
      <w:r>
        <w:t>Accordingly, under the</w:t>
      </w:r>
      <w:r w:rsidRPr="00E4568B">
        <w:t xml:space="preserve"> </w:t>
      </w:r>
      <w:r w:rsidR="005A035B">
        <w:t xml:space="preserve">proposed </w:t>
      </w:r>
      <w:r w:rsidRPr="00C17CC3">
        <w:t>Telecommunications (Annual Carrier Licence</w:t>
      </w:r>
      <w:r w:rsidR="006E423A" w:rsidRPr="00C17CC3">
        <w:t xml:space="preserve"> Charge) Determination 201</w:t>
      </w:r>
      <w:r w:rsidR="00984521" w:rsidRPr="00C17CC3">
        <w:t>9</w:t>
      </w:r>
      <w:r w:rsidR="007F15C9" w:rsidRPr="00C17CC3">
        <w:t xml:space="preserve"> </w:t>
      </w:r>
      <w:r w:rsidR="007F15C9">
        <w:t xml:space="preserve">to be made </w:t>
      </w:r>
      <w:r w:rsidR="003C50CF">
        <w:t xml:space="preserve">by </w:t>
      </w:r>
      <w:r w:rsidR="00335FC3">
        <w:t xml:space="preserve">the </w:t>
      </w:r>
      <w:r w:rsidR="003C50CF">
        <w:t xml:space="preserve">ACMA </w:t>
      </w:r>
      <w:r w:rsidR="007F15C9">
        <w:t xml:space="preserve">under subsection 14(1) of the Act, </w:t>
      </w:r>
      <w:r w:rsidRPr="00A84CBD">
        <w:t xml:space="preserve">carriers </w:t>
      </w:r>
      <w:r w:rsidR="00F8537F">
        <w:t>that</w:t>
      </w:r>
      <w:r w:rsidR="00F8537F" w:rsidRPr="00A84CBD">
        <w:t xml:space="preserve"> </w:t>
      </w:r>
      <w:r w:rsidRPr="00A84CBD">
        <w:t>were non-participating persons</w:t>
      </w:r>
      <w:r w:rsidRPr="005D0BC8">
        <w:t xml:space="preserve"> </w:t>
      </w:r>
      <w:r w:rsidRPr="00A84CBD">
        <w:t xml:space="preserve">for the </w:t>
      </w:r>
      <w:r w:rsidR="00B15F8A">
        <w:t>201</w:t>
      </w:r>
      <w:r w:rsidR="00984521">
        <w:t>7</w:t>
      </w:r>
      <w:r w:rsidR="00145727">
        <w:t>–</w:t>
      </w:r>
      <w:r w:rsidR="00B15F8A">
        <w:t>1</w:t>
      </w:r>
      <w:r w:rsidR="00984521">
        <w:t>8</w:t>
      </w:r>
      <w:r w:rsidR="00B15F8A">
        <w:t xml:space="preserve"> </w:t>
      </w:r>
      <w:r w:rsidRPr="00A84CBD">
        <w:t xml:space="preserve">eligible revenue period </w:t>
      </w:r>
      <w:r w:rsidR="00CE1BCF">
        <w:t>will</w:t>
      </w:r>
      <w:r w:rsidRPr="00A84CBD">
        <w:t xml:space="preserve"> </w:t>
      </w:r>
      <w:r w:rsidR="00CE1BCF">
        <w:t xml:space="preserve">be </w:t>
      </w:r>
      <w:r w:rsidRPr="00A84CBD">
        <w:t xml:space="preserve">exempted from the liability to pay the ACLC. </w:t>
      </w:r>
    </w:p>
    <w:p w14:paraId="1CB386CA" w14:textId="040A4159" w:rsidR="009E783D" w:rsidRDefault="009E783D" w:rsidP="009E783D">
      <w:r w:rsidRPr="00A84CBD">
        <w:t>S</w:t>
      </w:r>
      <w:r>
        <w:t>ubs</w:t>
      </w:r>
      <w:r w:rsidRPr="00A84CBD">
        <w:t>ection 15</w:t>
      </w:r>
      <w:r>
        <w:t>(1)</w:t>
      </w:r>
      <w:r w:rsidRPr="00A84CBD">
        <w:t xml:space="preserve"> of the Act requires that the total of the charges that are imposed on carrier licences </w:t>
      </w:r>
      <w:r>
        <w:t xml:space="preserve">in force at the beginning of a financial year </w:t>
      </w:r>
      <w:r w:rsidRPr="00A84CBD">
        <w:t>must not exceed the sum of the cost components identified in paragraphs 15(1)(a) to 15(1)(d) of the Act (see Table</w:t>
      </w:r>
      <w:r w:rsidR="00DC78B0">
        <w:t> </w:t>
      </w:r>
      <w:r w:rsidRPr="00A84CBD">
        <w:t xml:space="preserve">1). Further information on these cost components is provided in </w:t>
      </w:r>
      <w:r w:rsidR="00D27C67">
        <w:t>C</w:t>
      </w:r>
      <w:r w:rsidR="0027788D">
        <w:t xml:space="preserve">hapter </w:t>
      </w:r>
      <w:r w:rsidR="0014060A">
        <w:t xml:space="preserve">3 </w:t>
      </w:r>
      <w:r w:rsidR="00D27C67">
        <w:t>below</w:t>
      </w:r>
      <w:r w:rsidRPr="00A84CBD">
        <w:t>.</w:t>
      </w:r>
    </w:p>
    <w:p w14:paraId="2E46C056" w14:textId="77777777" w:rsidR="00261921" w:rsidRPr="006A56FD" w:rsidRDefault="00261921" w:rsidP="006A56FD">
      <w:pPr>
        <w:pStyle w:val="ACMATableHeader"/>
      </w:pPr>
      <w:r w:rsidRPr="006A56FD">
        <w:t>Structural components of the ACLC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Structural components of the ACLC"/>
        <w:tblDescription w:val="Includes reference in the Act and cost component"/>
      </w:tblPr>
      <w:tblGrid>
        <w:gridCol w:w="2070"/>
        <w:gridCol w:w="5585"/>
      </w:tblGrid>
      <w:tr w:rsidR="00B4734C" w:rsidRPr="00C320F6" w14:paraId="2898E2EA" w14:textId="77777777" w:rsidTr="00B64534">
        <w:trPr>
          <w:trHeight w:val="319"/>
          <w:tblHeader/>
        </w:trPr>
        <w:tc>
          <w:tcPr>
            <w:tcW w:w="1352" w:type="pct"/>
            <w:shd w:val="clear" w:color="auto" w:fill="404040" w:themeFill="text1" w:themeFillTint="BF"/>
          </w:tcPr>
          <w:p w14:paraId="6B4D6B9F" w14:textId="6BB0B69A" w:rsidR="00B4734C" w:rsidRPr="00B64534" w:rsidRDefault="00B4734C" w:rsidP="00B64534">
            <w:pPr>
              <w:pStyle w:val="TableHeading"/>
              <w:rPr>
                <w:b w:val="0"/>
                <w:color w:val="FFFFFF" w:themeColor="background1"/>
              </w:rPr>
            </w:pPr>
            <w:r w:rsidRPr="00B64534">
              <w:rPr>
                <w:color w:val="FFFFFF" w:themeColor="background1"/>
              </w:rPr>
              <w:t>Reference in the</w:t>
            </w:r>
            <w:r w:rsidR="000C4CEA">
              <w:rPr>
                <w:color w:val="FFFFFF" w:themeColor="background1"/>
              </w:rPr>
              <w:t> </w:t>
            </w:r>
            <w:r w:rsidRPr="00B64534">
              <w:rPr>
                <w:color w:val="FFFFFF" w:themeColor="background1"/>
              </w:rPr>
              <w:t>Act</w:t>
            </w:r>
          </w:p>
        </w:tc>
        <w:tc>
          <w:tcPr>
            <w:tcW w:w="3648" w:type="pct"/>
            <w:tcBorders>
              <w:top w:val="single" w:sz="6" w:space="0" w:color="auto"/>
            </w:tcBorders>
            <w:shd w:val="clear" w:color="auto" w:fill="404040" w:themeFill="text1" w:themeFillTint="BF"/>
          </w:tcPr>
          <w:p w14:paraId="14269E70" w14:textId="77777777" w:rsidR="00B4734C" w:rsidRPr="00B64534" w:rsidRDefault="00B4734C" w:rsidP="00B64534">
            <w:pPr>
              <w:pStyle w:val="TableHeading"/>
              <w:rPr>
                <w:b w:val="0"/>
                <w:color w:val="FFFFFF" w:themeColor="background1"/>
              </w:rPr>
            </w:pPr>
            <w:r w:rsidRPr="00B64534">
              <w:rPr>
                <w:color w:val="FFFFFF" w:themeColor="background1"/>
              </w:rPr>
              <w:t>Cost component</w:t>
            </w:r>
          </w:p>
        </w:tc>
      </w:tr>
      <w:tr w:rsidR="00B4734C" w:rsidRPr="00C320F6" w14:paraId="13739874" w14:textId="77777777" w:rsidTr="00E230DB">
        <w:trPr>
          <w:trHeight w:val="163"/>
          <w:tblHeader/>
        </w:trPr>
        <w:tc>
          <w:tcPr>
            <w:tcW w:w="1352" w:type="pct"/>
          </w:tcPr>
          <w:p w14:paraId="0C45F5A4" w14:textId="77777777" w:rsidR="00B4734C" w:rsidRPr="00426212" w:rsidRDefault="00B4734C" w:rsidP="002534A7">
            <w:pPr>
              <w:keepNext/>
              <w:spacing w:after="0"/>
              <w:rPr>
                <w:rFonts w:cs="Arial"/>
                <w:szCs w:val="20"/>
              </w:rPr>
            </w:pPr>
            <w:r w:rsidRPr="00426212">
              <w:rPr>
                <w:rFonts w:cs="Arial"/>
                <w:szCs w:val="20"/>
              </w:rPr>
              <w:t>15(1)(a)</w:t>
            </w:r>
          </w:p>
        </w:tc>
        <w:tc>
          <w:tcPr>
            <w:tcW w:w="3648" w:type="pct"/>
          </w:tcPr>
          <w:p w14:paraId="72ED44C1" w14:textId="54A993BC" w:rsidR="00B4734C" w:rsidRPr="00426212" w:rsidRDefault="00335FC3" w:rsidP="002534A7">
            <w:pPr>
              <w:keepNext/>
              <w:spacing w:after="0"/>
              <w:rPr>
                <w:rFonts w:cs="Arial"/>
                <w:szCs w:val="20"/>
              </w:rPr>
            </w:pPr>
            <w:r>
              <w:rPr>
                <w:rFonts w:cs="Arial"/>
                <w:szCs w:val="20"/>
              </w:rPr>
              <w:t xml:space="preserve">The </w:t>
            </w:r>
            <w:r w:rsidR="00B4734C" w:rsidRPr="00426212">
              <w:rPr>
                <w:rFonts w:cs="Arial"/>
                <w:szCs w:val="20"/>
              </w:rPr>
              <w:t>ACMA’s cost component</w:t>
            </w:r>
          </w:p>
        </w:tc>
      </w:tr>
      <w:tr w:rsidR="00B4734C" w:rsidRPr="00C320F6" w14:paraId="7DB193AB" w14:textId="77777777" w:rsidTr="00E230DB">
        <w:trPr>
          <w:trHeight w:val="211"/>
          <w:tblHeader/>
        </w:trPr>
        <w:tc>
          <w:tcPr>
            <w:tcW w:w="1352" w:type="pct"/>
          </w:tcPr>
          <w:p w14:paraId="54AC42D3" w14:textId="77777777" w:rsidR="00B4734C" w:rsidRPr="00426212" w:rsidRDefault="00B4734C" w:rsidP="002534A7">
            <w:pPr>
              <w:keepNext/>
              <w:spacing w:after="0"/>
              <w:rPr>
                <w:rFonts w:cs="Arial"/>
                <w:szCs w:val="20"/>
              </w:rPr>
            </w:pPr>
            <w:r w:rsidRPr="00426212">
              <w:rPr>
                <w:rFonts w:cs="Arial"/>
                <w:szCs w:val="20"/>
              </w:rPr>
              <w:t>15(1)(b)</w:t>
            </w:r>
          </w:p>
        </w:tc>
        <w:tc>
          <w:tcPr>
            <w:tcW w:w="3648" w:type="pct"/>
          </w:tcPr>
          <w:p w14:paraId="6F8C8AB1" w14:textId="77777777" w:rsidR="00B4734C" w:rsidRPr="00426212" w:rsidRDefault="00145727" w:rsidP="002534A7">
            <w:pPr>
              <w:keepNext/>
              <w:spacing w:after="0"/>
              <w:rPr>
                <w:rFonts w:cs="Arial"/>
                <w:szCs w:val="20"/>
              </w:rPr>
            </w:pPr>
            <w:r>
              <w:rPr>
                <w:rFonts w:cs="Arial"/>
                <w:szCs w:val="20"/>
              </w:rPr>
              <w:t>T</w:t>
            </w:r>
            <w:r w:rsidR="00B4734C">
              <w:rPr>
                <w:rFonts w:cs="Arial"/>
                <w:szCs w:val="20"/>
              </w:rPr>
              <w:t xml:space="preserve">he </w:t>
            </w:r>
            <w:r w:rsidR="00B4734C" w:rsidRPr="00426212">
              <w:rPr>
                <w:rFonts w:cs="Arial"/>
                <w:szCs w:val="20"/>
              </w:rPr>
              <w:t>ACCC’s cost component</w:t>
            </w:r>
            <w:r w:rsidR="00004252">
              <w:rPr>
                <w:rStyle w:val="FootnoteReference"/>
                <w:rFonts w:cs="Arial"/>
                <w:szCs w:val="20"/>
              </w:rPr>
              <w:footnoteReference w:id="10"/>
            </w:r>
          </w:p>
        </w:tc>
      </w:tr>
      <w:tr w:rsidR="00B4734C" w:rsidRPr="00C320F6" w14:paraId="5E077F83" w14:textId="77777777" w:rsidTr="00E230DB">
        <w:trPr>
          <w:trHeight w:val="131"/>
          <w:tblHeader/>
        </w:trPr>
        <w:tc>
          <w:tcPr>
            <w:tcW w:w="1352" w:type="pct"/>
          </w:tcPr>
          <w:p w14:paraId="207B1291" w14:textId="77777777" w:rsidR="00B4734C" w:rsidRPr="00426212" w:rsidRDefault="00B4734C" w:rsidP="002534A7">
            <w:pPr>
              <w:keepNext/>
              <w:spacing w:after="0"/>
              <w:rPr>
                <w:rFonts w:cs="Arial"/>
                <w:szCs w:val="20"/>
              </w:rPr>
            </w:pPr>
            <w:r w:rsidRPr="00426212">
              <w:rPr>
                <w:rFonts w:cs="Arial"/>
                <w:szCs w:val="20"/>
              </w:rPr>
              <w:t>15(1)(c)</w:t>
            </w:r>
          </w:p>
        </w:tc>
        <w:tc>
          <w:tcPr>
            <w:tcW w:w="3648" w:type="pct"/>
          </w:tcPr>
          <w:p w14:paraId="2C83F980" w14:textId="6A2684B0" w:rsidR="00B4734C" w:rsidRPr="00426212" w:rsidRDefault="009A1D9D" w:rsidP="00252477">
            <w:pPr>
              <w:keepNext/>
              <w:spacing w:after="0"/>
              <w:rPr>
                <w:rFonts w:cs="Arial"/>
                <w:szCs w:val="20"/>
              </w:rPr>
            </w:pPr>
            <w:r>
              <w:rPr>
                <w:rFonts w:cs="Arial"/>
                <w:szCs w:val="20"/>
              </w:rPr>
              <w:t>A propor</w:t>
            </w:r>
            <w:r w:rsidR="000B12BA">
              <w:rPr>
                <w:rFonts w:cs="Arial"/>
                <w:szCs w:val="20"/>
              </w:rPr>
              <w:t xml:space="preserve">tion of the Commonwealth’s </w:t>
            </w:r>
            <w:r w:rsidR="00252477">
              <w:rPr>
                <w:rFonts w:cs="Arial"/>
                <w:szCs w:val="20"/>
              </w:rPr>
              <w:t xml:space="preserve">ITU </w:t>
            </w:r>
            <w:r w:rsidR="00B4734C" w:rsidRPr="00426212">
              <w:rPr>
                <w:rFonts w:cs="Arial"/>
                <w:szCs w:val="20"/>
              </w:rPr>
              <w:t>contribution</w:t>
            </w:r>
          </w:p>
        </w:tc>
      </w:tr>
      <w:tr w:rsidR="00B4734C" w:rsidRPr="00C320F6" w14:paraId="4898BC2E" w14:textId="77777777" w:rsidTr="00B64534">
        <w:trPr>
          <w:trHeight w:val="405"/>
          <w:tblHeader/>
        </w:trPr>
        <w:tc>
          <w:tcPr>
            <w:tcW w:w="1352" w:type="pct"/>
          </w:tcPr>
          <w:p w14:paraId="60B3A086" w14:textId="77777777" w:rsidR="00B4734C" w:rsidRPr="00426212" w:rsidRDefault="00B4734C" w:rsidP="002534A7">
            <w:pPr>
              <w:keepNext/>
              <w:spacing w:after="0"/>
              <w:rPr>
                <w:rFonts w:cs="Arial"/>
                <w:szCs w:val="20"/>
              </w:rPr>
            </w:pPr>
            <w:r w:rsidRPr="00426212">
              <w:rPr>
                <w:rFonts w:cs="Arial"/>
                <w:szCs w:val="20"/>
              </w:rPr>
              <w:t>15(</w:t>
            </w:r>
            <w:proofErr w:type="gramStart"/>
            <w:r w:rsidRPr="00426212">
              <w:rPr>
                <w:rFonts w:cs="Arial"/>
                <w:szCs w:val="20"/>
              </w:rPr>
              <w:t>1)(</w:t>
            </w:r>
            <w:proofErr w:type="gramEnd"/>
            <w:r w:rsidRPr="00426212">
              <w:rPr>
                <w:rFonts w:cs="Arial"/>
                <w:szCs w:val="20"/>
              </w:rPr>
              <w:t>ca)</w:t>
            </w:r>
          </w:p>
        </w:tc>
        <w:tc>
          <w:tcPr>
            <w:tcW w:w="3648" w:type="pct"/>
          </w:tcPr>
          <w:p w14:paraId="66223002" w14:textId="6C7314E3" w:rsidR="00B4734C" w:rsidRPr="00426212" w:rsidRDefault="00F72205" w:rsidP="00B15F8A">
            <w:pPr>
              <w:keepNext/>
              <w:spacing w:after="0"/>
              <w:rPr>
                <w:rFonts w:cs="Arial"/>
                <w:szCs w:val="20"/>
              </w:rPr>
            </w:pPr>
            <w:r>
              <w:rPr>
                <w:rFonts w:cs="Arial"/>
                <w:szCs w:val="20"/>
              </w:rPr>
              <w:t>The sum of amounts paid to industry bodies for r</w:t>
            </w:r>
            <w:r w:rsidR="00B15F8A">
              <w:rPr>
                <w:rFonts w:cs="Arial"/>
                <w:szCs w:val="20"/>
              </w:rPr>
              <w:t xml:space="preserve">eimbursement of cost </w:t>
            </w:r>
            <w:r>
              <w:rPr>
                <w:rFonts w:cs="Arial"/>
                <w:szCs w:val="20"/>
              </w:rPr>
              <w:t xml:space="preserve">associated with </w:t>
            </w:r>
            <w:r w:rsidR="00B15F8A">
              <w:rPr>
                <w:rFonts w:cs="Arial"/>
                <w:szCs w:val="20"/>
              </w:rPr>
              <w:t>d</w:t>
            </w:r>
            <w:r w:rsidR="00B4734C" w:rsidRPr="00426212">
              <w:rPr>
                <w:rFonts w:cs="Arial"/>
                <w:szCs w:val="20"/>
              </w:rPr>
              <w:t>evelop</w:t>
            </w:r>
            <w:r w:rsidR="00B15F8A">
              <w:rPr>
                <w:rFonts w:cs="Arial"/>
                <w:szCs w:val="20"/>
              </w:rPr>
              <w:t>ing or varying</w:t>
            </w:r>
            <w:r w:rsidR="00B4734C" w:rsidRPr="00426212">
              <w:rPr>
                <w:rFonts w:cs="Arial"/>
                <w:szCs w:val="20"/>
              </w:rPr>
              <w:t xml:space="preserve"> industry codes</w:t>
            </w:r>
          </w:p>
        </w:tc>
      </w:tr>
      <w:tr w:rsidR="00B4734C" w:rsidRPr="00C320F6" w14:paraId="53F1BA38" w14:textId="77777777" w:rsidTr="00E230DB">
        <w:trPr>
          <w:trHeight w:val="159"/>
          <w:tblHeader/>
        </w:trPr>
        <w:tc>
          <w:tcPr>
            <w:tcW w:w="1352" w:type="pct"/>
          </w:tcPr>
          <w:p w14:paraId="2678096E" w14:textId="77777777" w:rsidR="00B4734C" w:rsidRPr="00426212" w:rsidRDefault="00B4734C" w:rsidP="002534A7">
            <w:pPr>
              <w:keepNext/>
              <w:spacing w:after="0"/>
              <w:rPr>
                <w:rFonts w:cs="Arial"/>
                <w:szCs w:val="20"/>
              </w:rPr>
            </w:pPr>
            <w:r w:rsidRPr="00426212">
              <w:rPr>
                <w:rFonts w:cs="Arial"/>
                <w:szCs w:val="20"/>
              </w:rPr>
              <w:t>15(1)(d)</w:t>
            </w:r>
          </w:p>
        </w:tc>
        <w:tc>
          <w:tcPr>
            <w:tcW w:w="3648" w:type="pct"/>
          </w:tcPr>
          <w:p w14:paraId="660E76D5" w14:textId="1B83659C" w:rsidR="00B4734C" w:rsidRPr="00426212" w:rsidRDefault="00FB3978" w:rsidP="002534A7">
            <w:pPr>
              <w:keepNext/>
              <w:spacing w:after="0"/>
              <w:rPr>
                <w:rFonts w:cs="Arial"/>
                <w:szCs w:val="20"/>
              </w:rPr>
            </w:pPr>
            <w:r>
              <w:rPr>
                <w:rFonts w:cs="Arial"/>
                <w:szCs w:val="20"/>
              </w:rPr>
              <w:t xml:space="preserve">Estimated </w:t>
            </w:r>
            <w:r w:rsidR="00B4734C">
              <w:rPr>
                <w:rFonts w:cs="Arial"/>
                <w:szCs w:val="20"/>
              </w:rPr>
              <w:t>g</w:t>
            </w:r>
            <w:r w:rsidR="00B4734C" w:rsidRPr="00426212">
              <w:rPr>
                <w:rFonts w:cs="Arial"/>
                <w:szCs w:val="20"/>
              </w:rPr>
              <w:t>rants</w:t>
            </w:r>
            <w:r w:rsidR="00C86A16">
              <w:rPr>
                <w:rFonts w:cs="Arial"/>
                <w:szCs w:val="20"/>
              </w:rPr>
              <w:t xml:space="preserve"> under section 593 of the </w:t>
            </w:r>
            <w:r w:rsidR="00E37142" w:rsidRPr="00F65D9C">
              <w:rPr>
                <w:rFonts w:cs="Arial"/>
                <w:szCs w:val="20"/>
              </w:rPr>
              <w:t>Telco Act</w:t>
            </w:r>
            <w:r w:rsidR="00E47571">
              <w:rPr>
                <w:rFonts w:cs="Arial"/>
                <w:szCs w:val="20"/>
              </w:rPr>
              <w:t xml:space="preserve"> for</w:t>
            </w:r>
            <w:r w:rsidR="00F65D9C">
              <w:rPr>
                <w:rFonts w:cs="Arial"/>
                <w:szCs w:val="20"/>
              </w:rPr>
              <w:t xml:space="preserve"> </w:t>
            </w:r>
            <w:r w:rsidR="00B4734C" w:rsidRPr="00120B54">
              <w:rPr>
                <w:rFonts w:cs="Arial"/>
                <w:szCs w:val="20"/>
              </w:rPr>
              <w:t>consumer representation and research</w:t>
            </w:r>
          </w:p>
        </w:tc>
      </w:tr>
    </w:tbl>
    <w:p w14:paraId="41470847" w14:textId="2CA34438" w:rsidR="004856ED" w:rsidRDefault="00335FC3" w:rsidP="003F7E3A">
      <w:pPr>
        <w:spacing w:before="240"/>
      </w:pPr>
      <w:r>
        <w:t xml:space="preserve">The </w:t>
      </w:r>
      <w:r w:rsidR="009E783D" w:rsidRPr="00A84CBD">
        <w:t xml:space="preserve">ACMA </w:t>
      </w:r>
      <w:r w:rsidR="00344437">
        <w:t xml:space="preserve">will </w:t>
      </w:r>
      <w:r w:rsidR="009E783D" w:rsidRPr="00A84CBD">
        <w:t xml:space="preserve">make a </w:t>
      </w:r>
      <w:r w:rsidR="00EB2C11">
        <w:t xml:space="preserve">legislative instrument </w:t>
      </w:r>
      <w:r w:rsidR="007F15C9">
        <w:t xml:space="preserve">under </w:t>
      </w:r>
      <w:r w:rsidR="007F15C9" w:rsidRPr="00A84CBD">
        <w:t>s</w:t>
      </w:r>
      <w:r w:rsidR="007F15C9">
        <w:t>ubs</w:t>
      </w:r>
      <w:r w:rsidR="007F15C9" w:rsidRPr="00A84CBD">
        <w:t>ection 1</w:t>
      </w:r>
      <w:r w:rsidR="007F15C9">
        <w:t>4(1)</w:t>
      </w:r>
      <w:r w:rsidR="007F15C9" w:rsidRPr="00A84CBD">
        <w:t xml:space="preserve"> of the Act</w:t>
      </w:r>
      <w:r w:rsidR="009E783D" w:rsidRPr="00A84CBD">
        <w:t xml:space="preserve"> </w:t>
      </w:r>
      <w:r w:rsidR="00344437">
        <w:t xml:space="preserve">that sets out </w:t>
      </w:r>
      <w:r w:rsidR="00EB2C11">
        <w:t xml:space="preserve">the </w:t>
      </w:r>
      <w:r w:rsidR="009E783D">
        <w:t>ACLC imposed on liable individual carrier licences</w:t>
      </w:r>
      <w:r w:rsidR="00145727">
        <w:t>,</w:t>
      </w:r>
      <w:r w:rsidR="009E783D">
        <w:t xml:space="preserve"> and the method of ascertaining the amount of the charge</w:t>
      </w:r>
      <w:r w:rsidR="009E783D" w:rsidRPr="00A84CBD">
        <w:t>.</w:t>
      </w:r>
    </w:p>
    <w:p w14:paraId="5D1559F1" w14:textId="5981057C" w:rsidR="009E783D" w:rsidRPr="005D0BC8" w:rsidRDefault="009E783D" w:rsidP="003F7E3A">
      <w:pPr>
        <w:spacing w:before="240"/>
      </w:pPr>
      <w:r w:rsidRPr="00A84CBD">
        <w:lastRenderedPageBreak/>
        <w:t xml:space="preserve">In accordance with </w:t>
      </w:r>
      <w:r>
        <w:t>sub</w:t>
      </w:r>
      <w:r w:rsidRPr="00A84CBD">
        <w:t>section 1</w:t>
      </w:r>
      <w:r>
        <w:t>5(1)</w:t>
      </w:r>
      <w:r w:rsidRPr="00A84CBD">
        <w:t xml:space="preserve"> of the Act, </w:t>
      </w:r>
      <w:r w:rsidR="00335FC3">
        <w:t xml:space="preserve">the </w:t>
      </w:r>
      <w:r w:rsidRPr="00A84CBD">
        <w:t xml:space="preserve">ACMA </w:t>
      </w:r>
      <w:r w:rsidR="00876B93">
        <w:t xml:space="preserve">will also </w:t>
      </w:r>
      <w:r w:rsidRPr="00A84CBD">
        <w:t xml:space="preserve">make a separate </w:t>
      </w:r>
      <w:r w:rsidR="00EB2C11">
        <w:t xml:space="preserve">legislative instrument, </w:t>
      </w:r>
      <w:r w:rsidRPr="00A84CBD">
        <w:t>determin</w:t>
      </w:r>
      <w:r w:rsidR="004A6B3B">
        <w:t>ing</w:t>
      </w:r>
      <w:r w:rsidRPr="00A84CBD">
        <w:t xml:space="preserve"> </w:t>
      </w:r>
      <w:r>
        <w:t xml:space="preserve">the </w:t>
      </w:r>
      <w:r w:rsidR="00EB2C11">
        <w:t xml:space="preserve">relevant </w:t>
      </w:r>
      <w:r>
        <w:t>amounts under paragraphs 15(1)(a), 15(1)(</w:t>
      </w:r>
      <w:r w:rsidR="00B15F8A">
        <w:t>c</w:t>
      </w:r>
      <w:r>
        <w:t>) and 15(</w:t>
      </w:r>
      <w:proofErr w:type="gramStart"/>
      <w:r>
        <w:t>1)(</w:t>
      </w:r>
      <w:proofErr w:type="gramEnd"/>
      <w:r>
        <w:t>ca) of the Act</w:t>
      </w:r>
      <w:r w:rsidRPr="00A84CBD">
        <w:t xml:space="preserve">. </w:t>
      </w:r>
    </w:p>
    <w:p w14:paraId="606475AA" w14:textId="6796260E" w:rsidR="001E75F7" w:rsidRDefault="00931AC7" w:rsidP="009E783D">
      <w:r>
        <w:t>T</w:t>
      </w:r>
      <w:r w:rsidR="009E783D" w:rsidRPr="00A84CBD">
        <w:t xml:space="preserve">he ACCC </w:t>
      </w:r>
      <w:r w:rsidR="007841D0">
        <w:t xml:space="preserve">has </w:t>
      </w:r>
      <w:proofErr w:type="gramStart"/>
      <w:r w:rsidR="00344437">
        <w:t>made a determination</w:t>
      </w:r>
      <w:proofErr w:type="gramEnd"/>
      <w:r w:rsidR="00344437">
        <w:t xml:space="preserve"> </w:t>
      </w:r>
      <w:r w:rsidR="006F1456">
        <w:t>specifying</w:t>
      </w:r>
      <w:r w:rsidR="009E783D" w:rsidRPr="00A84CBD">
        <w:t xml:space="preserve"> </w:t>
      </w:r>
      <w:r w:rsidR="007841D0">
        <w:t xml:space="preserve">its </w:t>
      </w:r>
      <w:r w:rsidR="009E783D" w:rsidRPr="00A84CBD">
        <w:t xml:space="preserve">costs </w:t>
      </w:r>
      <w:r w:rsidR="007841D0">
        <w:t xml:space="preserve">as </w:t>
      </w:r>
      <w:r w:rsidR="009E783D" w:rsidRPr="00A84CBD">
        <w:t xml:space="preserve">described in paragraph </w:t>
      </w:r>
      <w:r w:rsidR="009E783D" w:rsidRPr="0062541E">
        <w:t>15(1)(b) of the Act</w:t>
      </w:r>
      <w:r w:rsidR="002973A6" w:rsidRPr="0062541E">
        <w:t>, showing separately the costs applicable to the MBA program.</w:t>
      </w:r>
    </w:p>
    <w:p w14:paraId="28D85F8C" w14:textId="063ECB45" w:rsidR="007841D0" w:rsidRDefault="004506BF" w:rsidP="009E783D">
      <w:r>
        <w:t>On 6 February</w:t>
      </w:r>
      <w:r w:rsidR="00E86FF8">
        <w:t xml:space="preserve"> 2019</w:t>
      </w:r>
      <w:r>
        <w:t xml:space="preserve">, the </w:t>
      </w:r>
      <w:r w:rsidR="004D4BD1">
        <w:t>M</w:t>
      </w:r>
      <w:r>
        <w:t xml:space="preserve">inister made the </w:t>
      </w:r>
      <w:r w:rsidRPr="00205AC5">
        <w:t>Telecommunications (Carrier Licence Charges) (Paragraph 15(1)(d)) Determination 2019 (No. 1)</w:t>
      </w:r>
      <w:r w:rsidR="00AE2441" w:rsidRPr="00205AC5">
        <w:t>,</w:t>
      </w:r>
      <w:r w:rsidR="00AE2441">
        <w:rPr>
          <w:i/>
        </w:rPr>
        <w:t xml:space="preserve"> </w:t>
      </w:r>
      <w:r w:rsidR="00AE2441" w:rsidRPr="00F65D9C">
        <w:t>determining</w:t>
      </w:r>
      <w:r w:rsidR="00AE2441">
        <w:rPr>
          <w:i/>
        </w:rPr>
        <w:t xml:space="preserve"> </w:t>
      </w:r>
      <w:r w:rsidR="00AE2441">
        <w:t>the estimated total amounts of grants likely to be made during the 2018</w:t>
      </w:r>
      <w:r w:rsidR="00E74157">
        <w:t>–</w:t>
      </w:r>
      <w:r w:rsidR="00AE2441">
        <w:t>2019 financial year under section 593 of the Telco Act</w:t>
      </w:r>
      <w:r w:rsidR="00FA388F">
        <w:t xml:space="preserve"> in accordance with paragraph 15(1)(d) of the Act.</w:t>
      </w:r>
      <w:r w:rsidR="0019204E">
        <w:t xml:space="preserve">  </w:t>
      </w:r>
    </w:p>
    <w:p w14:paraId="58995594" w14:textId="650AD52F" w:rsidR="002C5439" w:rsidRDefault="0082326E" w:rsidP="009E783D">
      <w:r>
        <w:t xml:space="preserve">All determinations will be registered on the Federal Register of Legislation by the respective entities </w:t>
      </w:r>
      <w:r w:rsidR="004162FC">
        <w:t xml:space="preserve">and commence </w:t>
      </w:r>
      <w:r>
        <w:t xml:space="preserve">before </w:t>
      </w:r>
      <w:r w:rsidR="00335FC3">
        <w:t xml:space="preserve">the </w:t>
      </w:r>
      <w:r w:rsidR="00C10CFE">
        <w:t>ACMA</w:t>
      </w:r>
      <w:r>
        <w:t xml:space="preserve"> </w:t>
      </w:r>
      <w:r w:rsidR="004162FC">
        <w:t xml:space="preserve">will formally determine the amount of ACLC payable by each relevant </w:t>
      </w:r>
      <w:r>
        <w:t>licenced carrier</w:t>
      </w:r>
      <w:r w:rsidR="004162FC">
        <w:t xml:space="preserve"> and issue invoice</w:t>
      </w:r>
      <w:r>
        <w:t xml:space="preserve">. </w:t>
      </w:r>
    </w:p>
    <w:p w14:paraId="0D74F545" w14:textId="6AE09C84" w:rsidR="00A622CC" w:rsidRPr="006A56FD" w:rsidRDefault="00A622CC" w:rsidP="005B4096">
      <w:pPr>
        <w:pStyle w:val="ACMATableHeader"/>
        <w:keepNext/>
      </w:pPr>
      <w:r w:rsidRPr="006A56FD">
        <w:t>List of legislative instruments for imp</w:t>
      </w:r>
      <w:r w:rsidR="006E423A" w:rsidRPr="006A56FD">
        <w:t>osition of the ACLC for the 201</w:t>
      </w:r>
      <w:r w:rsidR="00766CE5">
        <w:t>8</w:t>
      </w:r>
      <w:r w:rsidR="006E423A" w:rsidRPr="006A56FD">
        <w:t>–1</w:t>
      </w:r>
      <w:r w:rsidR="00766CE5">
        <w:t>9</w:t>
      </w:r>
      <w:r w:rsidRPr="006A56FD">
        <w:t xml:space="preserve"> financial year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List of legislative instruments for imposition of the ACLC for the 2015–16 financial year"/>
        <w:tblDescription w:val="Includes the number, the determination and which paragraph of the Act the determination was made under."/>
      </w:tblPr>
      <w:tblGrid>
        <w:gridCol w:w="5287"/>
        <w:gridCol w:w="2368"/>
      </w:tblGrid>
      <w:tr w:rsidR="005B4096" w:rsidRPr="00426212" w14:paraId="6F6ABF99" w14:textId="77777777" w:rsidTr="005B4096">
        <w:trPr>
          <w:cantSplit/>
          <w:trHeight w:val="343"/>
          <w:tblHeader/>
        </w:trPr>
        <w:tc>
          <w:tcPr>
            <w:tcW w:w="3453" w:type="pct"/>
            <w:shd w:val="clear" w:color="auto" w:fill="404040" w:themeFill="text1" w:themeFillTint="BF"/>
            <w:vAlign w:val="center"/>
          </w:tcPr>
          <w:p w14:paraId="157A8519" w14:textId="77777777" w:rsidR="005B4096" w:rsidRPr="00B64534" w:rsidRDefault="005B4096" w:rsidP="00B64534">
            <w:pPr>
              <w:pStyle w:val="TableHeading"/>
              <w:rPr>
                <w:b w:val="0"/>
                <w:color w:val="FFFFFF" w:themeColor="background1"/>
              </w:rPr>
            </w:pPr>
            <w:r w:rsidRPr="00B64534">
              <w:rPr>
                <w:color w:val="FFFFFF" w:themeColor="background1"/>
              </w:rPr>
              <w:t>Determination</w:t>
            </w:r>
          </w:p>
        </w:tc>
        <w:tc>
          <w:tcPr>
            <w:tcW w:w="1547" w:type="pct"/>
            <w:tcBorders>
              <w:top w:val="single" w:sz="6" w:space="0" w:color="auto"/>
            </w:tcBorders>
            <w:shd w:val="clear" w:color="auto" w:fill="404040" w:themeFill="text1" w:themeFillTint="BF"/>
            <w:vAlign w:val="center"/>
          </w:tcPr>
          <w:p w14:paraId="1850D0E6" w14:textId="77777777" w:rsidR="005B4096" w:rsidRPr="00B64534" w:rsidRDefault="005B4096" w:rsidP="00B64534">
            <w:pPr>
              <w:pStyle w:val="TableHeading"/>
              <w:rPr>
                <w:b w:val="0"/>
                <w:color w:val="FFFFFF" w:themeColor="background1"/>
              </w:rPr>
            </w:pPr>
            <w:r w:rsidRPr="00B64534">
              <w:rPr>
                <w:color w:val="FFFFFF" w:themeColor="background1"/>
              </w:rPr>
              <w:t>Made under</w:t>
            </w:r>
          </w:p>
        </w:tc>
      </w:tr>
      <w:tr w:rsidR="005B4096" w:rsidRPr="00426212" w14:paraId="3DE5A6CC" w14:textId="77777777" w:rsidTr="005B4096">
        <w:trPr>
          <w:cantSplit/>
          <w:trHeight w:val="408"/>
          <w:tblHeader/>
        </w:trPr>
        <w:tc>
          <w:tcPr>
            <w:tcW w:w="3453" w:type="pct"/>
          </w:tcPr>
          <w:p w14:paraId="16758990" w14:textId="2FB6A217" w:rsidR="005B4096" w:rsidRPr="00205AC5" w:rsidRDefault="005B4096" w:rsidP="002534A7">
            <w:pPr>
              <w:keepNext/>
              <w:spacing w:after="80"/>
              <w:ind w:right="34"/>
              <w:rPr>
                <w:rFonts w:cs="Arial"/>
                <w:szCs w:val="20"/>
              </w:rPr>
            </w:pPr>
            <w:r w:rsidRPr="00205AC5">
              <w:rPr>
                <w:rFonts w:cs="Arial"/>
                <w:szCs w:val="20"/>
              </w:rPr>
              <w:t>Telecommunications (Annual Carrier Licence Charge) Determination 201</w:t>
            </w:r>
            <w:r w:rsidR="002973A6" w:rsidRPr="00205AC5">
              <w:rPr>
                <w:rFonts w:cs="Arial"/>
                <w:szCs w:val="20"/>
              </w:rPr>
              <w:t>9</w:t>
            </w:r>
          </w:p>
          <w:p w14:paraId="362B1F12" w14:textId="25BBEB68" w:rsidR="005B4096" w:rsidRPr="00205AC5" w:rsidRDefault="005B4096" w:rsidP="002C5439">
            <w:pPr>
              <w:keepNext/>
              <w:spacing w:after="0"/>
              <w:ind w:right="34"/>
              <w:rPr>
                <w:rFonts w:cs="Arial"/>
                <w:szCs w:val="20"/>
              </w:rPr>
            </w:pPr>
            <w:r w:rsidRPr="00205AC5">
              <w:rPr>
                <w:rFonts w:cs="Arial"/>
                <w:szCs w:val="20"/>
              </w:rPr>
              <w:t>(</w:t>
            </w:r>
            <w:r w:rsidR="000222FF">
              <w:rPr>
                <w:rFonts w:cs="Arial"/>
                <w:szCs w:val="20"/>
              </w:rPr>
              <w:t>T</w:t>
            </w:r>
            <w:r w:rsidRPr="00205AC5">
              <w:rPr>
                <w:rFonts w:cs="Arial"/>
                <w:szCs w:val="20"/>
              </w:rPr>
              <w:t>o be made by</w:t>
            </w:r>
            <w:r w:rsidR="00335FC3">
              <w:t xml:space="preserve"> the</w:t>
            </w:r>
            <w:r w:rsidRPr="00205AC5">
              <w:rPr>
                <w:rFonts w:cs="Arial"/>
                <w:szCs w:val="20"/>
              </w:rPr>
              <w:t xml:space="preserve"> ACMA</w:t>
            </w:r>
            <w:r w:rsidR="00912BD6" w:rsidRPr="00205AC5">
              <w:rPr>
                <w:rFonts w:cs="Arial"/>
                <w:szCs w:val="20"/>
              </w:rPr>
              <w:t xml:space="preserve">, commencing after </w:t>
            </w:r>
            <w:r w:rsidR="00E86FF8" w:rsidRPr="00205AC5">
              <w:rPr>
                <w:rFonts w:cs="Arial"/>
                <w:szCs w:val="20"/>
              </w:rPr>
              <w:t>each of the determinations listed below ha</w:t>
            </w:r>
            <w:r w:rsidR="0002333A">
              <w:rPr>
                <w:rFonts w:cs="Arial"/>
                <w:szCs w:val="20"/>
              </w:rPr>
              <w:t>s</w:t>
            </w:r>
            <w:r w:rsidR="00E86FF8" w:rsidRPr="00205AC5">
              <w:rPr>
                <w:rFonts w:cs="Arial"/>
                <w:szCs w:val="20"/>
              </w:rPr>
              <w:t xml:space="preserve"> commenced</w:t>
            </w:r>
            <w:r w:rsidRPr="00205AC5">
              <w:rPr>
                <w:rFonts w:cs="Arial"/>
                <w:szCs w:val="20"/>
              </w:rPr>
              <w:t>)</w:t>
            </w:r>
          </w:p>
        </w:tc>
        <w:tc>
          <w:tcPr>
            <w:tcW w:w="1547" w:type="pct"/>
          </w:tcPr>
          <w:p w14:paraId="2F53D380" w14:textId="77777777" w:rsidR="005B4096" w:rsidRPr="00426212" w:rsidRDefault="005B4096" w:rsidP="006174BB">
            <w:pPr>
              <w:keepNext/>
              <w:ind w:right="55"/>
              <w:rPr>
                <w:rFonts w:cs="Arial"/>
                <w:szCs w:val="20"/>
              </w:rPr>
            </w:pPr>
            <w:r w:rsidRPr="00426212">
              <w:rPr>
                <w:rFonts w:cs="Arial"/>
                <w:szCs w:val="20"/>
              </w:rPr>
              <w:t>S</w:t>
            </w:r>
            <w:r>
              <w:rPr>
                <w:rFonts w:cs="Arial"/>
                <w:szCs w:val="20"/>
              </w:rPr>
              <w:t>ubs</w:t>
            </w:r>
            <w:r w:rsidRPr="00426212">
              <w:rPr>
                <w:rFonts w:cs="Arial"/>
                <w:szCs w:val="20"/>
              </w:rPr>
              <w:t>ection 14</w:t>
            </w:r>
            <w:r>
              <w:rPr>
                <w:rFonts w:cs="Arial"/>
                <w:szCs w:val="20"/>
              </w:rPr>
              <w:t>(1)</w:t>
            </w:r>
            <w:r w:rsidRPr="00426212">
              <w:rPr>
                <w:rFonts w:cs="Arial"/>
                <w:szCs w:val="20"/>
              </w:rPr>
              <w:t xml:space="preserve"> of the </w:t>
            </w:r>
            <w:r>
              <w:rPr>
                <w:rFonts w:cs="Arial"/>
                <w:szCs w:val="20"/>
              </w:rPr>
              <w:t>Act</w:t>
            </w:r>
          </w:p>
        </w:tc>
      </w:tr>
      <w:tr w:rsidR="005B4096" w:rsidRPr="00426212" w14:paraId="5E6120F4" w14:textId="77777777" w:rsidTr="005B4096">
        <w:trPr>
          <w:cantSplit/>
          <w:trHeight w:val="799"/>
          <w:tblHeader/>
        </w:trPr>
        <w:tc>
          <w:tcPr>
            <w:tcW w:w="3453" w:type="pct"/>
          </w:tcPr>
          <w:p w14:paraId="6B2C4BA5" w14:textId="0036E10F" w:rsidR="005B4096" w:rsidRPr="00205AC5" w:rsidRDefault="005B4096" w:rsidP="002534A7">
            <w:pPr>
              <w:keepNext/>
              <w:spacing w:after="80"/>
              <w:ind w:right="34"/>
              <w:rPr>
                <w:rFonts w:cs="Arial"/>
                <w:szCs w:val="20"/>
              </w:rPr>
            </w:pPr>
            <w:r w:rsidRPr="00205AC5">
              <w:rPr>
                <w:rFonts w:cs="Arial"/>
                <w:szCs w:val="20"/>
              </w:rPr>
              <w:t>Telecommunications (Specification of Costs by</w:t>
            </w:r>
            <w:r w:rsidR="00335FC3">
              <w:t xml:space="preserve"> the</w:t>
            </w:r>
            <w:r w:rsidRPr="00205AC5">
              <w:rPr>
                <w:rFonts w:cs="Arial"/>
                <w:szCs w:val="20"/>
              </w:rPr>
              <w:t xml:space="preserve"> ACMA) Determination 201</w:t>
            </w:r>
            <w:r w:rsidR="002973A6" w:rsidRPr="00205AC5">
              <w:rPr>
                <w:rFonts w:cs="Arial"/>
                <w:szCs w:val="20"/>
              </w:rPr>
              <w:t>9</w:t>
            </w:r>
          </w:p>
          <w:p w14:paraId="1D5EE930" w14:textId="5464B4B8" w:rsidR="005B4096" w:rsidRPr="00205AC5" w:rsidRDefault="005B4096" w:rsidP="002C5439">
            <w:pPr>
              <w:keepNext/>
              <w:spacing w:after="0"/>
              <w:ind w:right="34"/>
              <w:rPr>
                <w:rFonts w:cs="Arial"/>
                <w:szCs w:val="20"/>
              </w:rPr>
            </w:pPr>
            <w:r w:rsidRPr="00205AC5">
              <w:rPr>
                <w:rFonts w:cs="Arial"/>
                <w:szCs w:val="20"/>
              </w:rPr>
              <w:t>(</w:t>
            </w:r>
            <w:r w:rsidR="000222FF">
              <w:rPr>
                <w:rFonts w:cs="Arial"/>
                <w:szCs w:val="20"/>
              </w:rPr>
              <w:t>T</w:t>
            </w:r>
            <w:r w:rsidRPr="00205AC5">
              <w:rPr>
                <w:rFonts w:cs="Arial"/>
                <w:szCs w:val="20"/>
              </w:rPr>
              <w:t xml:space="preserve">o be made by </w:t>
            </w:r>
            <w:r w:rsidR="00335FC3">
              <w:t xml:space="preserve">the </w:t>
            </w:r>
            <w:r w:rsidRPr="00205AC5">
              <w:rPr>
                <w:rFonts w:cs="Arial"/>
                <w:szCs w:val="20"/>
              </w:rPr>
              <w:t>ACMA)</w:t>
            </w:r>
          </w:p>
        </w:tc>
        <w:tc>
          <w:tcPr>
            <w:tcW w:w="1547" w:type="pct"/>
          </w:tcPr>
          <w:p w14:paraId="5D248DCF" w14:textId="77777777" w:rsidR="005B4096" w:rsidRPr="00426212" w:rsidRDefault="005B4096" w:rsidP="002534A7">
            <w:pPr>
              <w:keepNext/>
              <w:spacing w:after="0"/>
              <w:ind w:right="55"/>
              <w:rPr>
                <w:rFonts w:cs="Arial"/>
                <w:szCs w:val="20"/>
              </w:rPr>
            </w:pPr>
            <w:r w:rsidRPr="00426212">
              <w:rPr>
                <w:rFonts w:cs="Arial"/>
                <w:szCs w:val="20"/>
              </w:rPr>
              <w:t xml:space="preserve">Paragraphs 15(1)(a), (c) and (ca) of the </w:t>
            </w:r>
            <w:r>
              <w:rPr>
                <w:rFonts w:cs="Arial"/>
                <w:szCs w:val="20"/>
              </w:rPr>
              <w:t>Act</w:t>
            </w:r>
          </w:p>
        </w:tc>
      </w:tr>
      <w:tr w:rsidR="005B4096" w:rsidRPr="00426212" w14:paraId="133BBF23" w14:textId="77777777" w:rsidTr="005B4096">
        <w:trPr>
          <w:cantSplit/>
          <w:trHeight w:val="420"/>
          <w:tblHeader/>
        </w:trPr>
        <w:tc>
          <w:tcPr>
            <w:tcW w:w="3453" w:type="pct"/>
          </w:tcPr>
          <w:p w14:paraId="030107B8" w14:textId="77777777" w:rsidR="005B4096" w:rsidRPr="00205AC5" w:rsidRDefault="005B4096" w:rsidP="002534A7">
            <w:pPr>
              <w:keepNext/>
              <w:spacing w:after="80"/>
              <w:ind w:right="34"/>
              <w:rPr>
                <w:rFonts w:cs="Arial"/>
                <w:szCs w:val="20"/>
              </w:rPr>
            </w:pPr>
            <w:r w:rsidRPr="00205AC5">
              <w:rPr>
                <w:rFonts w:cs="Arial"/>
                <w:szCs w:val="20"/>
              </w:rPr>
              <w:t>Determination under paragraph 15(1)(b)</w:t>
            </w:r>
          </w:p>
          <w:p w14:paraId="5991CBEC" w14:textId="35C2F194" w:rsidR="005B4096" w:rsidRPr="00205AC5" w:rsidRDefault="005B4096" w:rsidP="002534A7">
            <w:pPr>
              <w:keepNext/>
              <w:spacing w:after="0"/>
              <w:ind w:right="34"/>
              <w:rPr>
                <w:rFonts w:cs="Arial"/>
                <w:szCs w:val="20"/>
              </w:rPr>
            </w:pPr>
            <w:r w:rsidRPr="00205AC5">
              <w:rPr>
                <w:rFonts w:cs="Arial"/>
                <w:szCs w:val="20"/>
              </w:rPr>
              <w:t>(</w:t>
            </w:r>
            <w:r w:rsidR="0082326E">
              <w:rPr>
                <w:rFonts w:cs="Arial"/>
                <w:szCs w:val="20"/>
              </w:rPr>
              <w:t>M</w:t>
            </w:r>
            <w:r w:rsidRPr="00205AC5">
              <w:rPr>
                <w:rFonts w:cs="Arial"/>
                <w:szCs w:val="20"/>
              </w:rPr>
              <w:t>ade by the ACCC)</w:t>
            </w:r>
          </w:p>
        </w:tc>
        <w:tc>
          <w:tcPr>
            <w:tcW w:w="1547" w:type="pct"/>
          </w:tcPr>
          <w:p w14:paraId="494911C6" w14:textId="77777777" w:rsidR="005B4096" w:rsidRPr="00426212" w:rsidRDefault="005B4096" w:rsidP="002534A7">
            <w:pPr>
              <w:keepNext/>
              <w:spacing w:after="0"/>
              <w:ind w:right="55"/>
              <w:rPr>
                <w:rFonts w:cs="Arial"/>
                <w:szCs w:val="20"/>
              </w:rPr>
            </w:pPr>
            <w:r w:rsidRPr="00426212">
              <w:rPr>
                <w:rFonts w:cs="Arial"/>
                <w:szCs w:val="20"/>
              </w:rPr>
              <w:t>Paragraph 15(1)(b) of the</w:t>
            </w:r>
            <w:r>
              <w:rPr>
                <w:rFonts w:cs="Arial"/>
                <w:szCs w:val="20"/>
              </w:rPr>
              <w:t xml:space="preserve"> Act</w:t>
            </w:r>
            <w:r w:rsidRPr="00426212">
              <w:rPr>
                <w:rFonts w:cs="Arial"/>
                <w:szCs w:val="20"/>
              </w:rPr>
              <w:t xml:space="preserve"> </w:t>
            </w:r>
          </w:p>
        </w:tc>
      </w:tr>
      <w:tr w:rsidR="005B4096" w:rsidRPr="00426212" w14:paraId="104514BB" w14:textId="77777777" w:rsidTr="005B4096">
        <w:trPr>
          <w:cantSplit/>
          <w:trHeight w:val="411"/>
          <w:tblHeader/>
        </w:trPr>
        <w:tc>
          <w:tcPr>
            <w:tcW w:w="3453" w:type="pct"/>
          </w:tcPr>
          <w:p w14:paraId="500C9A82" w14:textId="74289E7B" w:rsidR="005B4096" w:rsidRPr="0073625C" w:rsidRDefault="005B4096" w:rsidP="002534A7">
            <w:pPr>
              <w:keepNext/>
              <w:spacing w:after="80"/>
              <w:ind w:right="34"/>
              <w:rPr>
                <w:rFonts w:cs="Arial"/>
                <w:szCs w:val="20"/>
              </w:rPr>
            </w:pPr>
            <w:r w:rsidRPr="00205AC5">
              <w:rPr>
                <w:rFonts w:cs="Arial"/>
                <w:szCs w:val="20"/>
              </w:rPr>
              <w:t>Telecommunications (Carrier Licence Charges)</w:t>
            </w:r>
            <w:r w:rsidR="00240E25" w:rsidRPr="00205AC5">
              <w:rPr>
                <w:rFonts w:cs="Arial"/>
                <w:szCs w:val="20"/>
              </w:rPr>
              <w:t xml:space="preserve"> </w:t>
            </w:r>
            <w:r w:rsidR="007E7D6B" w:rsidRPr="00205AC5">
              <w:rPr>
                <w:rFonts w:cs="Arial"/>
                <w:szCs w:val="20"/>
              </w:rPr>
              <w:t>(</w:t>
            </w:r>
            <w:r w:rsidR="00240E25" w:rsidRPr="00205AC5">
              <w:rPr>
                <w:rFonts w:cs="Arial"/>
                <w:szCs w:val="20"/>
              </w:rPr>
              <w:t>Paragraph 15(1)(d))</w:t>
            </w:r>
            <w:r w:rsidRPr="00205AC5">
              <w:rPr>
                <w:rFonts w:cs="Arial"/>
                <w:szCs w:val="20"/>
              </w:rPr>
              <w:t xml:space="preserve"> Determination </w:t>
            </w:r>
            <w:r w:rsidR="00240E25" w:rsidRPr="00205AC5">
              <w:rPr>
                <w:rFonts w:cs="Arial"/>
                <w:szCs w:val="20"/>
              </w:rPr>
              <w:t>2019</w:t>
            </w:r>
            <w:r w:rsidRPr="0073625C">
              <w:rPr>
                <w:rStyle w:val="FootnoteReference"/>
                <w:rFonts w:cs="Arial"/>
                <w:szCs w:val="20"/>
              </w:rPr>
              <w:footnoteReference w:id="11"/>
            </w:r>
          </w:p>
          <w:p w14:paraId="0E90530F" w14:textId="25602F5D" w:rsidR="005B4096" w:rsidRPr="00205AC5" w:rsidRDefault="005B4096" w:rsidP="00CE1BCF">
            <w:pPr>
              <w:keepNext/>
              <w:spacing w:after="0"/>
              <w:ind w:right="34"/>
              <w:rPr>
                <w:rFonts w:cs="Arial"/>
                <w:szCs w:val="20"/>
              </w:rPr>
            </w:pPr>
            <w:r w:rsidRPr="00205AC5">
              <w:rPr>
                <w:rFonts w:cs="Arial"/>
                <w:szCs w:val="20"/>
              </w:rPr>
              <w:t>(</w:t>
            </w:r>
            <w:r w:rsidR="000222FF">
              <w:rPr>
                <w:rFonts w:cs="Arial"/>
                <w:szCs w:val="20"/>
              </w:rPr>
              <w:t>M</w:t>
            </w:r>
            <w:r w:rsidRPr="00205AC5">
              <w:rPr>
                <w:rFonts w:cs="Arial"/>
                <w:szCs w:val="20"/>
              </w:rPr>
              <w:t>ade by the Minister</w:t>
            </w:r>
            <w:r w:rsidR="00D27C67">
              <w:rPr>
                <w:rFonts w:cs="Arial"/>
                <w:szCs w:val="20"/>
              </w:rPr>
              <w:t>)</w:t>
            </w:r>
          </w:p>
        </w:tc>
        <w:tc>
          <w:tcPr>
            <w:tcW w:w="1547" w:type="pct"/>
          </w:tcPr>
          <w:p w14:paraId="51CF1428" w14:textId="77777777" w:rsidR="005B4096" w:rsidRPr="00426212" w:rsidRDefault="005B4096" w:rsidP="002534A7">
            <w:pPr>
              <w:keepNext/>
              <w:spacing w:after="0"/>
              <w:ind w:right="55"/>
              <w:rPr>
                <w:rFonts w:cs="Arial"/>
                <w:szCs w:val="20"/>
              </w:rPr>
            </w:pPr>
            <w:r w:rsidRPr="004A3F35">
              <w:rPr>
                <w:rFonts w:cs="Arial"/>
                <w:szCs w:val="20"/>
              </w:rPr>
              <w:t>Paragraph 15(1)(d) of the Act</w:t>
            </w:r>
          </w:p>
        </w:tc>
      </w:tr>
    </w:tbl>
    <w:p w14:paraId="45390760" w14:textId="77777777" w:rsidR="00A622CC" w:rsidRDefault="00A622CC" w:rsidP="004E2F7E">
      <w:pPr>
        <w:pStyle w:val="ACMASpaceaftertable"/>
      </w:pPr>
    </w:p>
    <w:p w14:paraId="37DCC59E" w14:textId="77777777" w:rsidR="009E783D" w:rsidRPr="00CC3F4B" w:rsidRDefault="009E783D" w:rsidP="009E783D">
      <w:pPr>
        <w:pStyle w:val="Heading1"/>
      </w:pPr>
      <w:bookmarkStart w:id="39" w:name="_Toc355953989"/>
      <w:bookmarkStart w:id="40" w:name="_Toc385256318"/>
      <w:bookmarkStart w:id="41" w:name="_Toc417990945"/>
      <w:bookmarkStart w:id="42" w:name="_Toc511634387"/>
      <w:bookmarkStart w:id="43" w:name="_Toc26786327"/>
      <w:r w:rsidRPr="00CC3F4B">
        <w:lastRenderedPageBreak/>
        <w:t>3.</w:t>
      </w:r>
      <w:r w:rsidRPr="00CC3F4B">
        <w:tab/>
        <w:t>C</w:t>
      </w:r>
      <w:r>
        <w:t>ost recovery</w:t>
      </w:r>
      <w:r w:rsidRPr="00CC3F4B">
        <w:t xml:space="preserve"> </w:t>
      </w:r>
      <w:bookmarkEnd w:id="39"/>
      <w:bookmarkEnd w:id="40"/>
      <w:r>
        <w:t>model</w:t>
      </w:r>
      <w:bookmarkEnd w:id="41"/>
      <w:bookmarkEnd w:id="42"/>
      <w:bookmarkEnd w:id="43"/>
    </w:p>
    <w:p w14:paraId="2B960CC6" w14:textId="1EEB3970" w:rsidR="009E783D" w:rsidRPr="003F7E3A" w:rsidRDefault="009E783D" w:rsidP="003F7E3A">
      <w:bookmarkStart w:id="44" w:name="basisorcharging"/>
      <w:r w:rsidRPr="00A84CBD">
        <w:t xml:space="preserve">There are five distinct </w:t>
      </w:r>
      <w:r w:rsidR="00A372F1">
        <w:t>regulatory</w:t>
      </w:r>
      <w:r>
        <w:t xml:space="preserve"> activities</w:t>
      </w:r>
      <w:r w:rsidRPr="00A84CBD">
        <w:t xml:space="preserve"> </w:t>
      </w:r>
      <w:r>
        <w:t xml:space="preserve">(cost components) </w:t>
      </w:r>
      <w:r w:rsidRPr="00A84CBD">
        <w:t>that are included in the total amount of the ACLC and levied on carrier licences on an annual basis.</w:t>
      </w:r>
    </w:p>
    <w:p w14:paraId="3674E19F" w14:textId="12758CD0" w:rsidR="009E783D" w:rsidRDefault="009E783D" w:rsidP="003F7E3A">
      <w:pPr>
        <w:pStyle w:val="Heading2"/>
        <w:spacing w:after="240"/>
      </w:pPr>
      <w:bookmarkStart w:id="45" w:name="_Toc355953990"/>
      <w:bookmarkStart w:id="46" w:name="_Toc385256319"/>
      <w:bookmarkStart w:id="47" w:name="_Toc417990946"/>
      <w:bookmarkStart w:id="48" w:name="_Toc511634388"/>
      <w:bookmarkStart w:id="49" w:name="_Toc26786328"/>
      <w:r w:rsidRPr="003F7E3A">
        <w:t>3.1</w:t>
      </w:r>
      <w:r w:rsidRPr="003F7E3A">
        <w:tab/>
      </w:r>
      <w:bookmarkEnd w:id="45"/>
      <w:bookmarkEnd w:id="46"/>
      <w:r w:rsidRPr="003F7E3A">
        <w:t>Determination of cost component</w:t>
      </w:r>
      <w:r w:rsidR="00627665">
        <w:t xml:space="preserve"> for </w:t>
      </w:r>
      <w:r w:rsidR="00335FC3">
        <w:t xml:space="preserve">the </w:t>
      </w:r>
      <w:r w:rsidRPr="003F7E3A">
        <w:t xml:space="preserve">ACMA’s </w:t>
      </w:r>
      <w:bookmarkEnd w:id="47"/>
      <w:r w:rsidRPr="003F7E3A">
        <w:t>activity</w:t>
      </w:r>
      <w:bookmarkEnd w:id="48"/>
      <w:bookmarkEnd w:id="49"/>
    </w:p>
    <w:p w14:paraId="3D00547F" w14:textId="77777777" w:rsidR="009E783D" w:rsidRPr="003F7E3A" w:rsidRDefault="009E783D" w:rsidP="003F7E3A">
      <w:pPr>
        <w:pStyle w:val="Heading3"/>
      </w:pPr>
      <w:bookmarkStart w:id="50" w:name="_Toc417990947"/>
      <w:bookmarkStart w:id="51" w:name="_Toc511634389"/>
      <w:bookmarkStart w:id="52" w:name="_Toc26786329"/>
      <w:r w:rsidRPr="003F7E3A">
        <w:t>3.1.1</w:t>
      </w:r>
      <w:r w:rsidRPr="003F7E3A">
        <w:tab/>
        <w:t>Outputs and business processes of the activity</w:t>
      </w:r>
      <w:bookmarkEnd w:id="50"/>
      <w:bookmarkEnd w:id="51"/>
      <w:bookmarkEnd w:id="52"/>
    </w:p>
    <w:p w14:paraId="50B66DC5" w14:textId="4F590613" w:rsidR="00EB6DAE" w:rsidRDefault="009E783D" w:rsidP="00B64534">
      <w:pPr>
        <w:spacing w:after="80"/>
      </w:pPr>
      <w:r w:rsidRPr="00A84CBD">
        <w:t xml:space="preserve">This component </w:t>
      </w:r>
      <w:r w:rsidR="00627665">
        <w:t>(</w:t>
      </w:r>
      <w:r w:rsidR="00627665" w:rsidRPr="00627665">
        <w:t>under paragraph 15(1)(a) of the Act</w:t>
      </w:r>
      <w:r w:rsidR="00627665">
        <w:t xml:space="preserve">) </w:t>
      </w:r>
      <w:r w:rsidRPr="00A84CBD">
        <w:t xml:space="preserve">represents </w:t>
      </w:r>
      <w:r w:rsidR="00335FC3">
        <w:t xml:space="preserve">the </w:t>
      </w:r>
      <w:r w:rsidRPr="00A84CBD">
        <w:t>ACMA’s costs incurre</w:t>
      </w:r>
      <w:r w:rsidR="00BA6431">
        <w:t xml:space="preserve">d during the </w:t>
      </w:r>
      <w:r w:rsidR="00103218" w:rsidRPr="00EC5AC1">
        <w:t>201</w:t>
      </w:r>
      <w:r w:rsidR="00FE218D">
        <w:t>7</w:t>
      </w:r>
      <w:r w:rsidR="0007149B" w:rsidRPr="00EC5AC1">
        <w:t>–</w:t>
      </w:r>
      <w:r w:rsidR="00103218" w:rsidRPr="00EC5AC1">
        <w:t>1</w:t>
      </w:r>
      <w:r w:rsidR="00FE218D">
        <w:t>8</w:t>
      </w:r>
      <w:r w:rsidR="003C50CF">
        <w:t xml:space="preserve"> </w:t>
      </w:r>
      <w:r w:rsidR="00BA6431">
        <w:t xml:space="preserve">financial year </w:t>
      </w:r>
      <w:r w:rsidR="00340263">
        <w:t xml:space="preserve">that are attributable to </w:t>
      </w:r>
      <w:r w:rsidR="00EB6DAE">
        <w:t>performing</w:t>
      </w:r>
      <w:r w:rsidRPr="00A84CBD">
        <w:t xml:space="preserve"> its telecommunications functions </w:t>
      </w:r>
      <w:r>
        <w:t>set out in</w:t>
      </w:r>
      <w:r w:rsidRPr="00A84CBD">
        <w:t xml:space="preserve"> section </w:t>
      </w:r>
      <w:r>
        <w:t>8 of the ACMA Act</w:t>
      </w:r>
      <w:r w:rsidR="0007149B">
        <w:t>,</w:t>
      </w:r>
      <w:r>
        <w:t xml:space="preserve"> and </w:t>
      </w:r>
      <w:r w:rsidR="00EB6DAE">
        <w:t xml:space="preserve">in exercising its </w:t>
      </w:r>
      <w:r>
        <w:t>telecommunications powers as defined in section 7</w:t>
      </w:r>
      <w:r w:rsidRPr="00A84CBD">
        <w:t xml:space="preserve"> of the </w:t>
      </w:r>
      <w:r w:rsidR="00817409" w:rsidRPr="00817409">
        <w:t>Tel</w:t>
      </w:r>
      <w:r w:rsidR="00817409" w:rsidRPr="00144A3A">
        <w:t>co</w:t>
      </w:r>
      <w:r w:rsidR="00817409" w:rsidRPr="00817409">
        <w:t xml:space="preserve"> </w:t>
      </w:r>
      <w:r w:rsidR="00B33282" w:rsidRPr="00817409">
        <w:t>Act</w:t>
      </w:r>
      <w:r w:rsidR="00EB6DAE">
        <w:t>,</w:t>
      </w:r>
      <w:r>
        <w:t xml:space="preserve"> </w:t>
      </w:r>
      <w:r w:rsidR="00EB6DAE">
        <w:t>except for functions and powers conferred on</w:t>
      </w:r>
      <w:r w:rsidR="00335FC3">
        <w:t xml:space="preserve"> the</w:t>
      </w:r>
      <w:r w:rsidR="00EB6DAE">
        <w:t xml:space="preserve"> ACMA by or under</w:t>
      </w:r>
      <w:r w:rsidR="00C17CC3">
        <w:t>:</w:t>
      </w:r>
      <w:r w:rsidR="00737F52">
        <w:rPr>
          <w:rStyle w:val="FootnoteReference"/>
        </w:rPr>
        <w:footnoteReference w:id="12"/>
      </w:r>
    </w:p>
    <w:p w14:paraId="019DEC0C" w14:textId="18D440C8" w:rsidR="00EB6DAE" w:rsidRPr="00A875F1" w:rsidRDefault="00EB6DAE" w:rsidP="00E14E43">
      <w:pPr>
        <w:pStyle w:val="ListBullet"/>
      </w:pPr>
      <w:r w:rsidRPr="00A875F1">
        <w:t xml:space="preserve">the </w:t>
      </w:r>
      <w:r w:rsidRPr="00E230DB">
        <w:rPr>
          <w:i/>
        </w:rPr>
        <w:t>Do Not Call Register Act 2006</w:t>
      </w:r>
      <w:r w:rsidR="0023777F">
        <w:rPr>
          <w:i/>
        </w:rPr>
        <w:t xml:space="preserve"> </w:t>
      </w:r>
      <w:r w:rsidR="0023777F">
        <w:rPr>
          <w:iCs/>
        </w:rPr>
        <w:t>(DNCR Act)</w:t>
      </w:r>
    </w:p>
    <w:p w14:paraId="227534CB" w14:textId="24D902A6" w:rsidR="00EB6DAE" w:rsidRPr="00A875F1" w:rsidRDefault="00EB6DAE" w:rsidP="00E14E43">
      <w:pPr>
        <w:pStyle w:val="ListBullet"/>
      </w:pPr>
      <w:r w:rsidRPr="00A875F1">
        <w:t xml:space="preserve">the </w:t>
      </w:r>
      <w:r w:rsidR="00817409" w:rsidRPr="00B33282">
        <w:t>Tel</w:t>
      </w:r>
      <w:r w:rsidR="00817409">
        <w:t>co</w:t>
      </w:r>
      <w:r w:rsidR="00817409" w:rsidRPr="00B33282">
        <w:t xml:space="preserve"> </w:t>
      </w:r>
      <w:r w:rsidR="00B33282" w:rsidRPr="00B33282">
        <w:t>Act</w:t>
      </w:r>
      <w:r w:rsidR="00F5728D">
        <w:t>,</w:t>
      </w:r>
      <w:r w:rsidRPr="00A875F1">
        <w:t xml:space="preserve"> to the extent to which </w:t>
      </w:r>
      <w:r w:rsidR="00F5728D">
        <w:t>it</w:t>
      </w:r>
      <w:r w:rsidRPr="00A875F1">
        <w:t xml:space="preserve"> relates to the </w:t>
      </w:r>
      <w:r w:rsidR="0023777F">
        <w:t>DNCR</w:t>
      </w:r>
      <w:r w:rsidRPr="00A875F1">
        <w:t xml:space="preserve"> Act</w:t>
      </w:r>
    </w:p>
    <w:p w14:paraId="05771E93" w14:textId="3AFDDDC6" w:rsidR="00EB6DAE" w:rsidRDefault="00EB6DAE" w:rsidP="00E230DB">
      <w:pPr>
        <w:pStyle w:val="ListBulletLast"/>
      </w:pPr>
      <w:r w:rsidRPr="00A875F1">
        <w:t xml:space="preserve">Part 6 of the </w:t>
      </w:r>
      <w:r w:rsidR="0027788D">
        <w:t>Tel</w:t>
      </w:r>
      <w:r w:rsidR="009B7744" w:rsidRPr="00E230DB">
        <w:t>co Act</w:t>
      </w:r>
      <w:r w:rsidRPr="00A875F1">
        <w:t xml:space="preserve"> to the extent to which </w:t>
      </w:r>
      <w:r w:rsidR="00F5728D">
        <w:t>it</w:t>
      </w:r>
      <w:r w:rsidRPr="00A875F1">
        <w:t xml:space="preserve"> relates to telemarketing activities (within the meaning of that Part).</w:t>
      </w:r>
    </w:p>
    <w:p w14:paraId="45DCAFAD" w14:textId="6AB48DAE" w:rsidR="009E783D" w:rsidRPr="00E648E5" w:rsidRDefault="009E783D" w:rsidP="000E0EFD">
      <w:pPr>
        <w:pStyle w:val="Definition"/>
        <w:spacing w:before="0" w:after="80" w:line="240" w:lineRule="atLeast"/>
        <w:ind w:left="0"/>
        <w:rPr>
          <w:rFonts w:ascii="Arial" w:hAnsi="Arial" w:cs="Arial"/>
          <w:sz w:val="20"/>
        </w:rPr>
      </w:pPr>
      <w:r>
        <w:rPr>
          <w:rFonts w:ascii="Arial" w:hAnsi="Arial" w:cs="Arial"/>
          <w:sz w:val="20"/>
        </w:rPr>
        <w:t>As a regulator of the telecommunications industry,</w:t>
      </w:r>
      <w:r w:rsidR="00335FC3">
        <w:rPr>
          <w:rFonts w:ascii="Arial" w:hAnsi="Arial" w:cs="Arial"/>
          <w:sz w:val="20"/>
        </w:rPr>
        <w:t xml:space="preserve"> </w:t>
      </w:r>
      <w:r w:rsidR="00335FC3">
        <w:t>the</w:t>
      </w:r>
      <w:r>
        <w:rPr>
          <w:rFonts w:ascii="Arial" w:hAnsi="Arial" w:cs="Arial"/>
          <w:sz w:val="20"/>
        </w:rPr>
        <w:t xml:space="preserve"> </w:t>
      </w:r>
      <w:r w:rsidRPr="00E648E5">
        <w:rPr>
          <w:rFonts w:ascii="Arial" w:hAnsi="Arial" w:cs="Arial"/>
          <w:sz w:val="20"/>
        </w:rPr>
        <w:t xml:space="preserve">ACMA </w:t>
      </w:r>
      <w:r>
        <w:rPr>
          <w:rFonts w:ascii="Arial" w:hAnsi="Arial" w:cs="Arial"/>
          <w:sz w:val="20"/>
        </w:rPr>
        <w:t>exercises</w:t>
      </w:r>
      <w:r w:rsidRPr="00E648E5">
        <w:rPr>
          <w:rFonts w:ascii="Arial" w:hAnsi="Arial" w:cs="Arial"/>
          <w:sz w:val="20"/>
        </w:rPr>
        <w:t xml:space="preserve"> powers conferred by the following Acts</w:t>
      </w:r>
      <w:r w:rsidR="003B0551">
        <w:rPr>
          <w:rFonts w:ascii="Arial" w:hAnsi="Arial" w:cs="Arial"/>
          <w:sz w:val="20"/>
        </w:rPr>
        <w:t xml:space="preserve"> relevant to the ACLC</w:t>
      </w:r>
      <w:r w:rsidRPr="00E648E5">
        <w:rPr>
          <w:rFonts w:ascii="Arial" w:hAnsi="Arial" w:cs="Arial"/>
          <w:sz w:val="20"/>
        </w:rPr>
        <w:t>:</w:t>
      </w:r>
    </w:p>
    <w:p w14:paraId="3E4C5FDE" w14:textId="1B7E8C58" w:rsidR="009E783D" w:rsidRPr="00E648E5" w:rsidRDefault="009E783D" w:rsidP="000B3645">
      <w:pPr>
        <w:pStyle w:val="ListBullet"/>
      </w:pPr>
      <w:r w:rsidRPr="00E648E5">
        <w:t xml:space="preserve">the </w:t>
      </w:r>
      <w:r w:rsidR="00B33282" w:rsidRPr="00E230DB">
        <w:t>Tel</w:t>
      </w:r>
      <w:r w:rsidR="004856ED" w:rsidRPr="00E230DB">
        <w:t>co</w:t>
      </w:r>
      <w:r w:rsidR="00B33282" w:rsidRPr="00E230DB">
        <w:t xml:space="preserve"> Act</w:t>
      </w:r>
    </w:p>
    <w:p w14:paraId="1306ABE8" w14:textId="60DAD792" w:rsidR="009E783D" w:rsidRPr="000E0EFD" w:rsidRDefault="009E783D" w:rsidP="000B3645">
      <w:pPr>
        <w:pStyle w:val="ListBullet"/>
        <w:rPr>
          <w:i/>
        </w:rPr>
      </w:pPr>
      <w:r w:rsidRPr="00E648E5">
        <w:t xml:space="preserve">the </w:t>
      </w:r>
      <w:r w:rsidRPr="00C259F8">
        <w:rPr>
          <w:i/>
        </w:rPr>
        <w:t>Telecommunications (Consumer Protection and Service Standards) Act</w:t>
      </w:r>
      <w:r w:rsidR="00CE1BCF">
        <w:rPr>
          <w:i/>
        </w:rPr>
        <w:t xml:space="preserve"> 1999</w:t>
      </w:r>
    </w:p>
    <w:p w14:paraId="01FD981C" w14:textId="468CE071" w:rsidR="009E783D" w:rsidRPr="00E648E5" w:rsidRDefault="00CE1BCF" w:rsidP="000B3645">
      <w:pPr>
        <w:pStyle w:val="ListBullet"/>
      </w:pPr>
      <w:r>
        <w:t>C</w:t>
      </w:r>
      <w:r w:rsidR="009E783D" w:rsidRPr="00E648E5">
        <w:t>hapter</w:t>
      </w:r>
      <w:r w:rsidR="00A0328F">
        <w:t>s</w:t>
      </w:r>
      <w:r w:rsidR="009E783D" w:rsidRPr="00E648E5">
        <w:t xml:space="preserve"> 4 </w:t>
      </w:r>
      <w:r w:rsidR="00A0328F">
        <w:t>and</w:t>
      </w:r>
      <w:r w:rsidR="009E783D" w:rsidRPr="00E648E5">
        <w:t xml:space="preserve"> 5 of the </w:t>
      </w:r>
      <w:r w:rsidR="009E783D" w:rsidRPr="000E0EFD">
        <w:rPr>
          <w:i/>
        </w:rPr>
        <w:t>Telecommunications (Interception and Access) Act 1979</w:t>
      </w:r>
    </w:p>
    <w:p w14:paraId="78C11FD1" w14:textId="258B382D" w:rsidR="009E783D" w:rsidRPr="00E648E5" w:rsidRDefault="009E783D" w:rsidP="000B3645">
      <w:pPr>
        <w:pStyle w:val="ListBullet"/>
      </w:pPr>
      <w:r w:rsidRPr="00E648E5">
        <w:t xml:space="preserve">Part XIC of the </w:t>
      </w:r>
      <w:r w:rsidRPr="000E0EFD">
        <w:rPr>
          <w:i/>
        </w:rPr>
        <w:t>Competition and Consumer Act 2010</w:t>
      </w:r>
      <w:r w:rsidR="008E3864">
        <w:t xml:space="preserve"> (Competition and Consumer Act)</w:t>
      </w:r>
    </w:p>
    <w:p w14:paraId="23EE973B" w14:textId="63514752" w:rsidR="009E783D" w:rsidRDefault="009E783D" w:rsidP="000B3645">
      <w:pPr>
        <w:pStyle w:val="ListBulletLast"/>
      </w:pPr>
      <w:r w:rsidRPr="00E648E5">
        <w:t xml:space="preserve">section 12 of the </w:t>
      </w:r>
      <w:r w:rsidRPr="00E230DB">
        <w:t>A</w:t>
      </w:r>
      <w:r w:rsidR="00A0328F">
        <w:t>CMA</w:t>
      </w:r>
      <w:r w:rsidRPr="00E230DB">
        <w:t xml:space="preserve"> Act</w:t>
      </w:r>
      <w:r w:rsidR="00F5728D">
        <w:t>,</w:t>
      </w:r>
      <w:r w:rsidR="00370E1B">
        <w:t xml:space="preserve"> in so far as it relates to </w:t>
      </w:r>
      <w:r w:rsidR="00335FC3">
        <w:t xml:space="preserve">the </w:t>
      </w:r>
      <w:r w:rsidR="00370E1B">
        <w:t>ACMA’s telecommunications functions</w:t>
      </w:r>
      <w:r w:rsidR="00261225">
        <w:rPr>
          <w:i/>
        </w:rPr>
        <w:t>.</w:t>
      </w:r>
    </w:p>
    <w:p w14:paraId="132C780C" w14:textId="0051E364" w:rsidR="009E783D" w:rsidRDefault="009E783D" w:rsidP="009E783D">
      <w:bookmarkStart w:id="53" w:name="_Hlk8986390"/>
      <w:r w:rsidRPr="00D92E67">
        <w:t xml:space="preserve">The outputs in relation to </w:t>
      </w:r>
      <w:r w:rsidR="00335FC3">
        <w:t xml:space="preserve">the </w:t>
      </w:r>
      <w:r w:rsidR="003B0551" w:rsidRPr="00D92E67">
        <w:t>ACMA’s telecommunication</w:t>
      </w:r>
      <w:r w:rsidRPr="00D92E67">
        <w:t>s acti</w:t>
      </w:r>
      <w:r w:rsidR="003F7E3A" w:rsidRPr="00D92E67">
        <w:t>vit</w:t>
      </w:r>
      <w:r w:rsidR="003B0551" w:rsidRPr="00D92E67">
        <w:t>ies</w:t>
      </w:r>
      <w:r w:rsidR="003F7E3A" w:rsidRPr="00D92E67">
        <w:t xml:space="preserve"> are summarised </w:t>
      </w:r>
      <w:r w:rsidR="00F5728D" w:rsidRPr="00D92E67">
        <w:t>below.</w:t>
      </w:r>
      <w:r w:rsidR="004E0244" w:rsidRPr="00D92E67">
        <w:t xml:space="preserve"> </w:t>
      </w:r>
      <w:r w:rsidR="00F059F2" w:rsidRPr="00D92E67">
        <w:t>As reported in th</w:t>
      </w:r>
      <w:r w:rsidR="00D92E67" w:rsidRPr="00D92E67">
        <w:t>e CRIS</w:t>
      </w:r>
      <w:r w:rsidR="001A7DBF">
        <w:t xml:space="preserve"> for the 2017</w:t>
      </w:r>
      <w:r w:rsidR="00E74157">
        <w:t>–</w:t>
      </w:r>
      <w:r w:rsidR="001A7DBF">
        <w:t>2018 ACLC calculation</w:t>
      </w:r>
      <w:r w:rsidR="00D92E67" w:rsidRPr="00D92E67">
        <w:t>,</w:t>
      </w:r>
      <w:r w:rsidR="004E0244" w:rsidRPr="00D92E67">
        <w:t xml:space="preserve"> </w:t>
      </w:r>
      <w:r w:rsidR="00335FC3">
        <w:t xml:space="preserve">the </w:t>
      </w:r>
      <w:r w:rsidR="004E0244" w:rsidRPr="00D92E67">
        <w:t>ACMA</w:t>
      </w:r>
      <w:r w:rsidR="004230C2">
        <w:t xml:space="preserve"> provides activity costs for each activity in order to </w:t>
      </w:r>
      <w:r w:rsidR="00113FA8">
        <w:t xml:space="preserve">demonstrate transparency of costs attributable to the ACLC. </w:t>
      </w:r>
      <w:r w:rsidR="00335FC3">
        <w:t xml:space="preserve">The </w:t>
      </w:r>
      <w:r w:rsidR="00113FA8">
        <w:t xml:space="preserve">ACMA </w:t>
      </w:r>
      <w:r w:rsidR="00D92E67" w:rsidRPr="00D92E67">
        <w:t>intends to c</w:t>
      </w:r>
      <w:r w:rsidR="004E0244" w:rsidRPr="00D92E67">
        <w:t xml:space="preserve">ommence reporting comparative costs </w:t>
      </w:r>
      <w:r w:rsidR="00D92E67" w:rsidRPr="00D92E67">
        <w:t>fo</w:t>
      </w:r>
      <w:r w:rsidR="004E0244" w:rsidRPr="00D92E67">
        <w:t>r the</w:t>
      </w:r>
      <w:r w:rsidR="0002333A">
        <w:t>se</w:t>
      </w:r>
      <w:r w:rsidR="004E0244" w:rsidRPr="00D92E67">
        <w:t xml:space="preserve"> activities in the next CRIS for the 2019</w:t>
      </w:r>
      <w:r w:rsidR="00E74157">
        <w:t>–</w:t>
      </w:r>
      <w:r w:rsidR="00D979D0" w:rsidRPr="00D92E67">
        <w:t xml:space="preserve">20 </w:t>
      </w:r>
      <w:r w:rsidR="004E0244" w:rsidRPr="00D92E67">
        <w:t>charging period.</w:t>
      </w:r>
    </w:p>
    <w:bookmarkEnd w:id="53"/>
    <w:p w14:paraId="2C060E05" w14:textId="77777777" w:rsidR="009E783D" w:rsidRPr="00094042" w:rsidRDefault="009E783D" w:rsidP="00F5093C">
      <w:pPr>
        <w:pStyle w:val="BodySubHeader"/>
        <w:spacing w:after="80"/>
      </w:pPr>
      <w:r w:rsidRPr="00094042">
        <w:t>Regulat</w:t>
      </w:r>
      <w:r>
        <w:t xml:space="preserve">ion development </w:t>
      </w:r>
    </w:p>
    <w:p w14:paraId="7F54AF5A" w14:textId="0E567D94" w:rsidR="009E783D" w:rsidRDefault="00113FA8" w:rsidP="003F7E3A">
      <w:pPr>
        <w:keepLines/>
      </w:pPr>
      <w:r>
        <w:t>This output i</w:t>
      </w:r>
      <w:r w:rsidR="009E783D" w:rsidRPr="00A84CBD">
        <w:t>ncludes regulat</w:t>
      </w:r>
      <w:r w:rsidR="009E783D">
        <w:t>ory</w:t>
      </w:r>
      <w:r w:rsidR="009E783D" w:rsidRPr="00A84CBD">
        <w:t xml:space="preserve"> development under the existing legislative framework</w:t>
      </w:r>
      <w:r w:rsidR="00F5728D">
        <w:t>,</w:t>
      </w:r>
      <w:r w:rsidR="009E783D">
        <w:t xml:space="preserve"> including</w:t>
      </w:r>
      <w:r w:rsidR="009E783D" w:rsidRPr="00A84CBD">
        <w:t xml:space="preserve"> the promotion of self</w:t>
      </w:r>
      <w:r w:rsidR="00F5728D">
        <w:t>-</w:t>
      </w:r>
      <w:r w:rsidR="009E783D" w:rsidRPr="00A84CBD">
        <w:t>and co-regulation and competition in the telecommunications industry</w:t>
      </w:r>
      <w:r w:rsidR="00174953">
        <w:t>;</w:t>
      </w:r>
      <w:r w:rsidR="009E783D" w:rsidRPr="00A84CBD">
        <w:t xml:space="preserve"> the development and variation of telecommunications </w:t>
      </w:r>
      <w:r w:rsidR="009E783D">
        <w:t xml:space="preserve">industry </w:t>
      </w:r>
      <w:r w:rsidR="009E783D" w:rsidRPr="00A84CBD">
        <w:t>standards</w:t>
      </w:r>
      <w:r w:rsidR="00F5728D">
        <w:t>;</w:t>
      </w:r>
      <w:r w:rsidR="009E783D" w:rsidRPr="00A84CBD">
        <w:t xml:space="preserve"> the conduct of research on matters affecting telecommunications regulations</w:t>
      </w:r>
      <w:r w:rsidR="00174953">
        <w:t>,</w:t>
      </w:r>
      <w:r w:rsidR="009E783D" w:rsidRPr="00A84CBD">
        <w:t xml:space="preserve"> and the management of technical regulatory arrangements.</w:t>
      </w:r>
    </w:p>
    <w:p w14:paraId="02AC2B88" w14:textId="5E1B1077" w:rsidR="009E1880" w:rsidRDefault="009E1880" w:rsidP="00655393">
      <w:bookmarkStart w:id="54" w:name="_Hlk8981499"/>
      <w:bookmarkStart w:id="55" w:name="_Hlk8811239"/>
      <w:r w:rsidRPr="00D92E67">
        <w:t xml:space="preserve">Table 3 provides details </w:t>
      </w:r>
      <w:r w:rsidR="00D92E67" w:rsidRPr="00D92E67">
        <w:t>of</w:t>
      </w:r>
      <w:r w:rsidRPr="00D92E67">
        <w:t xml:space="preserve"> the activities </w:t>
      </w:r>
      <w:r w:rsidR="00D92E67" w:rsidRPr="00D92E67">
        <w:t>performed</w:t>
      </w:r>
      <w:r w:rsidRPr="00D92E67">
        <w:t xml:space="preserve"> under this output along with direct costs and support costs.</w:t>
      </w:r>
    </w:p>
    <w:bookmarkEnd w:id="54"/>
    <w:p w14:paraId="069E7B35" w14:textId="271C4FA3" w:rsidR="009E1880" w:rsidRDefault="009E1880" w:rsidP="00575B76">
      <w:pPr>
        <w:pStyle w:val="ACMATableHeader"/>
        <w:spacing w:after="240"/>
      </w:pPr>
      <w:r>
        <w:lastRenderedPageBreak/>
        <w:t>Regulation development</w:t>
      </w:r>
      <w:r w:rsidR="00174953">
        <w:t>—</w:t>
      </w:r>
      <w:r>
        <w:t xml:space="preserve">activities and costs </w:t>
      </w:r>
      <w:r w:rsidR="00452183">
        <w:t xml:space="preserve">for </w:t>
      </w:r>
      <w:r>
        <w:t>2018</w:t>
      </w:r>
      <w:r w:rsidRPr="001D64D9">
        <w:t>–1</w:t>
      </w:r>
      <w:r>
        <w:t>9</w:t>
      </w:r>
      <w:r w:rsidRPr="001D64D9">
        <w:t xml:space="preserve"> </w:t>
      </w:r>
      <w:r w:rsidR="00452183">
        <w:t xml:space="preserve">ACLC </w:t>
      </w:r>
      <w:r w:rsidRPr="001D64D9">
        <w:t>(based on 201</w:t>
      </w:r>
      <w:r>
        <w:t>7</w:t>
      </w:r>
      <w:r w:rsidRPr="001D64D9">
        <w:t>–1</w:t>
      </w:r>
      <w:r>
        <w:t>8</w:t>
      </w:r>
      <w:r w:rsidRPr="001D64D9">
        <w:t xml:space="preserve"> costs)</w:t>
      </w:r>
    </w:p>
    <w:tbl>
      <w:tblPr>
        <w:tblW w:w="48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3961"/>
        <w:gridCol w:w="1134"/>
        <w:gridCol w:w="1134"/>
        <w:gridCol w:w="1155"/>
      </w:tblGrid>
      <w:tr w:rsidR="009E1880" w:rsidRPr="00B4771B" w14:paraId="34C103F8" w14:textId="77777777" w:rsidTr="00F0261D">
        <w:trPr>
          <w:trHeight w:val="361"/>
          <w:tblHeader/>
        </w:trPr>
        <w:tc>
          <w:tcPr>
            <w:tcW w:w="2682" w:type="pct"/>
            <w:shd w:val="clear" w:color="auto" w:fill="404040" w:themeFill="text1" w:themeFillTint="BF"/>
            <w:vAlign w:val="center"/>
          </w:tcPr>
          <w:p w14:paraId="3805B254" w14:textId="6894CBDC" w:rsidR="009E1880" w:rsidRPr="00B64534" w:rsidRDefault="009E1880" w:rsidP="009E1880">
            <w:pPr>
              <w:pStyle w:val="TableHeading"/>
              <w:rPr>
                <w:b w:val="0"/>
                <w:color w:val="FFFFFF" w:themeColor="background1"/>
              </w:rPr>
            </w:pPr>
            <w:bookmarkStart w:id="56" w:name="_Hlk8811579"/>
            <w:bookmarkEnd w:id="55"/>
            <w:r>
              <w:rPr>
                <w:color w:val="FFFFFF" w:themeColor="background1"/>
              </w:rPr>
              <w:t>Activity</w:t>
            </w:r>
          </w:p>
        </w:tc>
        <w:tc>
          <w:tcPr>
            <w:tcW w:w="768" w:type="pct"/>
            <w:shd w:val="clear" w:color="000000" w:fill="404040"/>
            <w:vAlign w:val="center"/>
          </w:tcPr>
          <w:p w14:paraId="4D9724EB" w14:textId="53FE890B" w:rsidR="009E1880" w:rsidRPr="00B64534" w:rsidRDefault="009E1880" w:rsidP="00C17CC3">
            <w:pPr>
              <w:pStyle w:val="TableHeading"/>
              <w:rPr>
                <w:b w:val="0"/>
                <w:color w:val="FFFFFF" w:themeColor="background1"/>
              </w:rPr>
            </w:pPr>
            <w:r w:rsidRPr="00B64534">
              <w:rPr>
                <w:bCs/>
                <w:color w:val="FFFFFF" w:themeColor="background1"/>
              </w:rPr>
              <w:t>Direct cost</w:t>
            </w:r>
            <w:r>
              <w:rPr>
                <w:bCs/>
                <w:color w:val="FFFFFF" w:themeColor="background1"/>
              </w:rPr>
              <w:t xml:space="preserve"> ($)</w:t>
            </w:r>
          </w:p>
        </w:tc>
        <w:tc>
          <w:tcPr>
            <w:tcW w:w="768" w:type="pct"/>
            <w:shd w:val="clear" w:color="000000" w:fill="404040"/>
            <w:vAlign w:val="center"/>
          </w:tcPr>
          <w:p w14:paraId="3A70347F" w14:textId="77777777" w:rsidR="009E1880" w:rsidRPr="00B64534" w:rsidRDefault="009E1880" w:rsidP="00C17CC3">
            <w:pPr>
              <w:pStyle w:val="TableHeading"/>
              <w:rPr>
                <w:b w:val="0"/>
                <w:color w:val="FFFFFF" w:themeColor="background1"/>
              </w:rPr>
            </w:pPr>
            <w:r w:rsidRPr="00B64534">
              <w:rPr>
                <w:bCs/>
                <w:color w:val="FFFFFF" w:themeColor="background1"/>
              </w:rPr>
              <w:t>Support cost</w:t>
            </w:r>
            <w:r>
              <w:rPr>
                <w:bCs/>
                <w:color w:val="FFFFFF" w:themeColor="background1"/>
              </w:rPr>
              <w:t xml:space="preserve"> ($)</w:t>
            </w:r>
          </w:p>
        </w:tc>
        <w:tc>
          <w:tcPr>
            <w:tcW w:w="782" w:type="pct"/>
            <w:shd w:val="clear" w:color="000000" w:fill="404040"/>
            <w:vAlign w:val="center"/>
          </w:tcPr>
          <w:p w14:paraId="2D8E3D4B" w14:textId="4CDB0CBD" w:rsidR="00F0261D" w:rsidRDefault="009E1880" w:rsidP="00C17CC3">
            <w:pPr>
              <w:pStyle w:val="TableHeading"/>
              <w:rPr>
                <w:bCs/>
                <w:color w:val="FFFFFF" w:themeColor="background1"/>
              </w:rPr>
            </w:pPr>
            <w:r w:rsidRPr="00B64534">
              <w:rPr>
                <w:bCs/>
                <w:color w:val="FFFFFF" w:themeColor="background1"/>
              </w:rPr>
              <w:t>Total</w:t>
            </w:r>
          </w:p>
          <w:p w14:paraId="7D9ABFE7" w14:textId="44D224D0" w:rsidR="009E1880" w:rsidRPr="00B64534" w:rsidRDefault="009E1880" w:rsidP="00C17CC3">
            <w:pPr>
              <w:pStyle w:val="TableHeading"/>
              <w:rPr>
                <w:b w:val="0"/>
                <w:color w:val="FFFFFF" w:themeColor="background1"/>
              </w:rPr>
            </w:pPr>
            <w:r w:rsidRPr="00B64534">
              <w:rPr>
                <w:bCs/>
                <w:color w:val="FFFFFF" w:themeColor="background1"/>
              </w:rPr>
              <w:t>cost</w:t>
            </w:r>
            <w:r>
              <w:rPr>
                <w:bCs/>
                <w:color w:val="FFFFFF" w:themeColor="background1"/>
              </w:rPr>
              <w:t xml:space="preserve"> ($)</w:t>
            </w:r>
          </w:p>
        </w:tc>
      </w:tr>
      <w:tr w:rsidR="0074276E" w:rsidRPr="00575B76" w14:paraId="2982B37C" w14:textId="77777777" w:rsidTr="00F0261D">
        <w:trPr>
          <w:trHeight w:val="226"/>
        </w:trPr>
        <w:tc>
          <w:tcPr>
            <w:tcW w:w="2682" w:type="pct"/>
          </w:tcPr>
          <w:p w14:paraId="650D4B2B" w14:textId="4463110D" w:rsidR="0074276E" w:rsidRPr="00575B76" w:rsidRDefault="0074276E" w:rsidP="0074276E">
            <w:pPr>
              <w:keepNext/>
              <w:spacing w:after="0"/>
              <w:rPr>
                <w:rFonts w:cs="Arial"/>
                <w:sz w:val="18"/>
                <w:szCs w:val="18"/>
              </w:rPr>
            </w:pPr>
            <w:r w:rsidRPr="00575B76">
              <w:rPr>
                <w:rFonts w:cs="Arial"/>
                <w:sz w:val="18"/>
                <w:szCs w:val="18"/>
              </w:rPr>
              <w:t xml:space="preserve">Assessing </w:t>
            </w:r>
            <w:bookmarkStart w:id="57" w:name="_Hlk9522336"/>
            <w:r w:rsidRPr="00575B76">
              <w:rPr>
                <w:rFonts w:cs="Arial"/>
                <w:sz w:val="18"/>
                <w:szCs w:val="18"/>
              </w:rPr>
              <w:t>I</w:t>
            </w:r>
            <w:r w:rsidR="00F5093C" w:rsidRPr="00575B76">
              <w:rPr>
                <w:rFonts w:cs="Arial"/>
                <w:sz w:val="18"/>
                <w:szCs w:val="18"/>
              </w:rPr>
              <w:t xml:space="preserve">ntegrated </w:t>
            </w:r>
            <w:r w:rsidRPr="00575B76">
              <w:rPr>
                <w:rFonts w:cs="Arial"/>
                <w:sz w:val="18"/>
                <w:szCs w:val="18"/>
              </w:rPr>
              <w:t>P</w:t>
            </w:r>
            <w:r w:rsidR="00F5093C" w:rsidRPr="00575B76">
              <w:rPr>
                <w:rFonts w:cs="Arial"/>
                <w:sz w:val="18"/>
                <w:szCs w:val="18"/>
              </w:rPr>
              <w:t xml:space="preserve">ublic </w:t>
            </w:r>
            <w:r w:rsidRPr="00575B76">
              <w:rPr>
                <w:rFonts w:cs="Arial"/>
                <w:sz w:val="18"/>
                <w:szCs w:val="18"/>
              </w:rPr>
              <w:t>N</w:t>
            </w:r>
            <w:r w:rsidR="00F5093C" w:rsidRPr="00575B76">
              <w:rPr>
                <w:rFonts w:cs="Arial"/>
                <w:sz w:val="18"/>
                <w:szCs w:val="18"/>
              </w:rPr>
              <w:t xml:space="preserve">umber </w:t>
            </w:r>
            <w:r w:rsidRPr="00575B76">
              <w:rPr>
                <w:rFonts w:cs="Arial"/>
                <w:sz w:val="18"/>
                <w:szCs w:val="18"/>
              </w:rPr>
              <w:t>D</w:t>
            </w:r>
            <w:r w:rsidR="00F5093C" w:rsidRPr="00575B76">
              <w:rPr>
                <w:rFonts w:cs="Arial"/>
                <w:sz w:val="18"/>
                <w:szCs w:val="18"/>
              </w:rPr>
              <w:t xml:space="preserve">atabase </w:t>
            </w:r>
            <w:bookmarkEnd w:id="57"/>
            <w:r w:rsidR="00F5093C" w:rsidRPr="00575B76">
              <w:rPr>
                <w:rFonts w:cs="Arial"/>
                <w:sz w:val="18"/>
                <w:szCs w:val="18"/>
              </w:rPr>
              <w:t>(IPND)</w:t>
            </w:r>
            <w:r w:rsidRPr="00575B76">
              <w:rPr>
                <w:rFonts w:cs="Arial"/>
                <w:sz w:val="18"/>
                <w:szCs w:val="18"/>
              </w:rPr>
              <w:t xml:space="preserve"> Scheme, making authorisations, monitoring and enforcing compliance with IPND requirements</w:t>
            </w:r>
          </w:p>
        </w:tc>
        <w:tc>
          <w:tcPr>
            <w:tcW w:w="768" w:type="pct"/>
            <w:shd w:val="clear" w:color="auto" w:fill="auto"/>
          </w:tcPr>
          <w:p w14:paraId="4A099D7E" w14:textId="30289FC2" w:rsidR="0074276E" w:rsidRPr="00575B76" w:rsidRDefault="0074276E" w:rsidP="00C17CC3">
            <w:pPr>
              <w:keepNext/>
              <w:spacing w:after="0"/>
              <w:rPr>
                <w:rFonts w:cs="Arial"/>
                <w:sz w:val="18"/>
                <w:szCs w:val="18"/>
              </w:rPr>
            </w:pPr>
            <w:r w:rsidRPr="00575B76">
              <w:rPr>
                <w:rFonts w:cs="Arial"/>
                <w:sz w:val="18"/>
                <w:szCs w:val="18"/>
              </w:rPr>
              <w:t>$426,249</w:t>
            </w:r>
          </w:p>
        </w:tc>
        <w:tc>
          <w:tcPr>
            <w:tcW w:w="768" w:type="pct"/>
            <w:shd w:val="clear" w:color="auto" w:fill="auto"/>
          </w:tcPr>
          <w:p w14:paraId="6DEBC1B0" w14:textId="56C944FD" w:rsidR="0074276E" w:rsidRPr="00575B76" w:rsidRDefault="0074276E" w:rsidP="00C17CC3">
            <w:pPr>
              <w:keepNext/>
              <w:spacing w:after="0"/>
              <w:rPr>
                <w:rFonts w:cs="Arial"/>
                <w:sz w:val="18"/>
                <w:szCs w:val="18"/>
              </w:rPr>
            </w:pPr>
            <w:r w:rsidRPr="00575B76">
              <w:rPr>
                <w:rFonts w:cs="Arial"/>
                <w:sz w:val="18"/>
                <w:szCs w:val="18"/>
              </w:rPr>
              <w:t>$359,808</w:t>
            </w:r>
          </w:p>
        </w:tc>
        <w:tc>
          <w:tcPr>
            <w:tcW w:w="782" w:type="pct"/>
            <w:shd w:val="clear" w:color="auto" w:fill="auto"/>
          </w:tcPr>
          <w:p w14:paraId="087271C1" w14:textId="01EE78DE" w:rsidR="0074276E" w:rsidRPr="00575B76" w:rsidRDefault="0074276E" w:rsidP="00C17CC3">
            <w:pPr>
              <w:keepNext/>
              <w:spacing w:after="0"/>
              <w:rPr>
                <w:rFonts w:cs="Arial"/>
                <w:sz w:val="18"/>
                <w:szCs w:val="18"/>
              </w:rPr>
            </w:pPr>
            <w:r w:rsidRPr="00575B76">
              <w:rPr>
                <w:rFonts w:cs="Arial"/>
                <w:sz w:val="18"/>
                <w:szCs w:val="18"/>
              </w:rPr>
              <w:t>$786,057</w:t>
            </w:r>
          </w:p>
        </w:tc>
      </w:tr>
      <w:tr w:rsidR="0074276E" w:rsidRPr="00575B76" w14:paraId="6C76AC30" w14:textId="77777777" w:rsidTr="00F0261D">
        <w:trPr>
          <w:trHeight w:val="226"/>
        </w:trPr>
        <w:tc>
          <w:tcPr>
            <w:tcW w:w="2682" w:type="pct"/>
          </w:tcPr>
          <w:p w14:paraId="162C62A2" w14:textId="46DC127E" w:rsidR="0074276E" w:rsidRPr="00575B76" w:rsidRDefault="0074276E" w:rsidP="0074276E">
            <w:pPr>
              <w:keepNext/>
              <w:spacing w:after="0"/>
              <w:rPr>
                <w:rFonts w:cs="Arial"/>
                <w:sz w:val="18"/>
                <w:szCs w:val="18"/>
              </w:rPr>
            </w:pPr>
            <w:r w:rsidRPr="00575B76">
              <w:rPr>
                <w:rFonts w:cs="Arial"/>
                <w:sz w:val="18"/>
                <w:szCs w:val="18"/>
              </w:rPr>
              <w:t>Educating industry and consumers on safeguards; ongoing consulting with stakeholders</w:t>
            </w:r>
          </w:p>
        </w:tc>
        <w:tc>
          <w:tcPr>
            <w:tcW w:w="768" w:type="pct"/>
            <w:shd w:val="clear" w:color="auto" w:fill="auto"/>
          </w:tcPr>
          <w:p w14:paraId="3FD09860" w14:textId="2185A0C8" w:rsidR="0074276E" w:rsidRPr="00575B76" w:rsidRDefault="0074276E" w:rsidP="00C17CC3">
            <w:pPr>
              <w:keepNext/>
              <w:spacing w:after="0"/>
              <w:rPr>
                <w:rFonts w:cs="Arial"/>
                <w:sz w:val="18"/>
                <w:szCs w:val="18"/>
              </w:rPr>
            </w:pPr>
            <w:r w:rsidRPr="00575B76">
              <w:rPr>
                <w:rFonts w:cs="Arial"/>
                <w:sz w:val="18"/>
                <w:szCs w:val="18"/>
              </w:rPr>
              <w:t>$212,508</w:t>
            </w:r>
          </w:p>
        </w:tc>
        <w:tc>
          <w:tcPr>
            <w:tcW w:w="768" w:type="pct"/>
            <w:shd w:val="clear" w:color="auto" w:fill="auto"/>
          </w:tcPr>
          <w:p w14:paraId="40726534" w14:textId="0268828B" w:rsidR="0074276E" w:rsidRPr="00575B76" w:rsidRDefault="0074276E" w:rsidP="00C17CC3">
            <w:pPr>
              <w:keepNext/>
              <w:spacing w:after="0"/>
              <w:rPr>
                <w:rFonts w:cs="Arial"/>
                <w:sz w:val="18"/>
                <w:szCs w:val="18"/>
              </w:rPr>
            </w:pPr>
            <w:r w:rsidRPr="00575B76">
              <w:rPr>
                <w:rFonts w:cs="Arial"/>
                <w:sz w:val="18"/>
                <w:szCs w:val="18"/>
              </w:rPr>
              <w:t>$272,850</w:t>
            </w:r>
          </w:p>
        </w:tc>
        <w:tc>
          <w:tcPr>
            <w:tcW w:w="782" w:type="pct"/>
            <w:shd w:val="clear" w:color="auto" w:fill="auto"/>
          </w:tcPr>
          <w:p w14:paraId="7FA15CEB" w14:textId="349F9DD6" w:rsidR="0074276E" w:rsidRPr="00575B76" w:rsidRDefault="0074276E" w:rsidP="00C17CC3">
            <w:pPr>
              <w:keepNext/>
              <w:spacing w:after="0"/>
              <w:rPr>
                <w:rFonts w:cs="Arial"/>
                <w:sz w:val="18"/>
                <w:szCs w:val="18"/>
              </w:rPr>
            </w:pPr>
            <w:r w:rsidRPr="00575B76">
              <w:rPr>
                <w:rFonts w:cs="Arial"/>
                <w:sz w:val="18"/>
                <w:szCs w:val="18"/>
              </w:rPr>
              <w:t>$485,358</w:t>
            </w:r>
          </w:p>
        </w:tc>
      </w:tr>
      <w:tr w:rsidR="0074276E" w:rsidRPr="00575B76" w14:paraId="7EB96546" w14:textId="77777777" w:rsidTr="00F0261D">
        <w:trPr>
          <w:trHeight w:val="226"/>
        </w:trPr>
        <w:tc>
          <w:tcPr>
            <w:tcW w:w="2682" w:type="pct"/>
          </w:tcPr>
          <w:p w14:paraId="1FB8A15B" w14:textId="69F909AA" w:rsidR="0074276E" w:rsidRPr="00575B76" w:rsidRDefault="0074276E" w:rsidP="0074276E">
            <w:pPr>
              <w:keepNext/>
              <w:spacing w:after="0"/>
              <w:rPr>
                <w:rFonts w:cs="Arial"/>
                <w:sz w:val="18"/>
                <w:szCs w:val="18"/>
              </w:rPr>
            </w:pPr>
            <w:r w:rsidRPr="00575B76">
              <w:rPr>
                <w:rFonts w:cs="Arial"/>
                <w:sz w:val="18"/>
                <w:szCs w:val="18"/>
              </w:rPr>
              <w:t>Consultation and engagement with industry consumers and government; review and analysis of industry provided information; industry and consumer research</w:t>
            </w:r>
          </w:p>
        </w:tc>
        <w:tc>
          <w:tcPr>
            <w:tcW w:w="768" w:type="pct"/>
            <w:shd w:val="clear" w:color="auto" w:fill="auto"/>
          </w:tcPr>
          <w:p w14:paraId="0912D38A" w14:textId="1E75E130" w:rsidR="0074276E" w:rsidRPr="00575B76" w:rsidRDefault="0074276E" w:rsidP="00C17CC3">
            <w:pPr>
              <w:keepNext/>
              <w:spacing w:after="0"/>
              <w:rPr>
                <w:rFonts w:cs="Arial"/>
                <w:sz w:val="18"/>
                <w:szCs w:val="18"/>
              </w:rPr>
            </w:pPr>
            <w:r w:rsidRPr="00575B76">
              <w:rPr>
                <w:rFonts w:cs="Arial"/>
                <w:sz w:val="18"/>
                <w:szCs w:val="18"/>
              </w:rPr>
              <w:t>$117,838</w:t>
            </w:r>
          </w:p>
        </w:tc>
        <w:tc>
          <w:tcPr>
            <w:tcW w:w="768" w:type="pct"/>
            <w:shd w:val="clear" w:color="auto" w:fill="auto"/>
          </w:tcPr>
          <w:p w14:paraId="324A0071" w14:textId="7E64BFCC" w:rsidR="0074276E" w:rsidRPr="00575B76" w:rsidRDefault="0074276E" w:rsidP="00C17CC3">
            <w:pPr>
              <w:keepNext/>
              <w:spacing w:after="0"/>
              <w:rPr>
                <w:rFonts w:cs="Arial"/>
                <w:sz w:val="18"/>
                <w:szCs w:val="18"/>
              </w:rPr>
            </w:pPr>
            <w:r w:rsidRPr="00575B76">
              <w:rPr>
                <w:rFonts w:cs="Arial"/>
                <w:sz w:val="18"/>
                <w:szCs w:val="18"/>
              </w:rPr>
              <w:t>$107,923</w:t>
            </w:r>
          </w:p>
        </w:tc>
        <w:tc>
          <w:tcPr>
            <w:tcW w:w="782" w:type="pct"/>
            <w:shd w:val="clear" w:color="auto" w:fill="auto"/>
          </w:tcPr>
          <w:p w14:paraId="5BFFC870" w14:textId="6A76F5A1" w:rsidR="0074276E" w:rsidRPr="00575B76" w:rsidRDefault="0074276E" w:rsidP="00C17CC3">
            <w:pPr>
              <w:keepNext/>
              <w:spacing w:after="0"/>
              <w:rPr>
                <w:rFonts w:cs="Arial"/>
                <w:sz w:val="18"/>
                <w:szCs w:val="18"/>
              </w:rPr>
            </w:pPr>
            <w:r w:rsidRPr="00575B76">
              <w:rPr>
                <w:rFonts w:cs="Arial"/>
                <w:sz w:val="18"/>
                <w:szCs w:val="18"/>
              </w:rPr>
              <w:t>$225,761</w:t>
            </w:r>
          </w:p>
        </w:tc>
      </w:tr>
      <w:tr w:rsidR="0074276E" w:rsidRPr="00575B76" w14:paraId="2A4AB5DD" w14:textId="77777777" w:rsidTr="00F0261D">
        <w:trPr>
          <w:trHeight w:val="226"/>
        </w:trPr>
        <w:tc>
          <w:tcPr>
            <w:tcW w:w="2682" w:type="pct"/>
          </w:tcPr>
          <w:p w14:paraId="296F208C" w14:textId="3F1BCF9A" w:rsidR="0074276E" w:rsidRPr="00575B76" w:rsidRDefault="0074276E" w:rsidP="0074276E">
            <w:pPr>
              <w:keepNext/>
              <w:spacing w:after="0"/>
              <w:rPr>
                <w:rFonts w:cs="Arial"/>
                <w:sz w:val="18"/>
                <w:szCs w:val="18"/>
              </w:rPr>
            </w:pPr>
            <w:r w:rsidRPr="00575B76">
              <w:rPr>
                <w:rFonts w:cs="Arial"/>
                <w:sz w:val="18"/>
                <w:szCs w:val="18"/>
              </w:rPr>
              <w:t xml:space="preserve">Coordinating deregulation agendas and reporting </w:t>
            </w:r>
            <w:r w:rsidR="0002333A">
              <w:rPr>
                <w:rFonts w:cs="Arial"/>
                <w:sz w:val="18"/>
                <w:szCs w:val="18"/>
              </w:rPr>
              <w:t xml:space="preserve">against the </w:t>
            </w:r>
            <w:r w:rsidRPr="00575B76">
              <w:rPr>
                <w:rFonts w:cs="Arial"/>
                <w:sz w:val="18"/>
                <w:szCs w:val="18"/>
              </w:rPr>
              <w:t>Regulator Performance Framework</w:t>
            </w:r>
          </w:p>
        </w:tc>
        <w:tc>
          <w:tcPr>
            <w:tcW w:w="768" w:type="pct"/>
            <w:shd w:val="clear" w:color="auto" w:fill="auto"/>
          </w:tcPr>
          <w:p w14:paraId="274066EA" w14:textId="2B4CC1AF" w:rsidR="0074276E" w:rsidRPr="00575B76" w:rsidRDefault="0074276E" w:rsidP="00C17CC3">
            <w:pPr>
              <w:keepNext/>
              <w:spacing w:after="0"/>
              <w:rPr>
                <w:rFonts w:cs="Arial"/>
                <w:sz w:val="18"/>
                <w:szCs w:val="18"/>
              </w:rPr>
            </w:pPr>
            <w:r w:rsidRPr="00575B76">
              <w:rPr>
                <w:rFonts w:cs="Arial"/>
                <w:sz w:val="18"/>
                <w:szCs w:val="18"/>
              </w:rPr>
              <w:t>$72,736</w:t>
            </w:r>
          </w:p>
        </w:tc>
        <w:tc>
          <w:tcPr>
            <w:tcW w:w="768" w:type="pct"/>
            <w:shd w:val="clear" w:color="auto" w:fill="auto"/>
          </w:tcPr>
          <w:p w14:paraId="6CB8E07E" w14:textId="7A1EE2E1" w:rsidR="0074276E" w:rsidRPr="00575B76" w:rsidRDefault="0074276E" w:rsidP="00C17CC3">
            <w:pPr>
              <w:keepNext/>
              <w:spacing w:after="0"/>
              <w:rPr>
                <w:rFonts w:cs="Arial"/>
                <w:sz w:val="18"/>
                <w:szCs w:val="18"/>
              </w:rPr>
            </w:pPr>
            <w:r w:rsidRPr="00575B76">
              <w:rPr>
                <w:rFonts w:cs="Arial"/>
                <w:sz w:val="18"/>
                <w:szCs w:val="18"/>
              </w:rPr>
              <w:t>$58,844</w:t>
            </w:r>
          </w:p>
        </w:tc>
        <w:tc>
          <w:tcPr>
            <w:tcW w:w="782" w:type="pct"/>
            <w:shd w:val="clear" w:color="auto" w:fill="auto"/>
          </w:tcPr>
          <w:p w14:paraId="0B89388A" w14:textId="70BA1EFE" w:rsidR="0074276E" w:rsidRPr="00575B76" w:rsidRDefault="0074276E" w:rsidP="00C17CC3">
            <w:pPr>
              <w:keepNext/>
              <w:spacing w:after="0"/>
              <w:rPr>
                <w:rFonts w:cs="Arial"/>
                <w:sz w:val="18"/>
                <w:szCs w:val="18"/>
              </w:rPr>
            </w:pPr>
            <w:r w:rsidRPr="00575B76">
              <w:rPr>
                <w:rFonts w:cs="Arial"/>
                <w:sz w:val="18"/>
                <w:szCs w:val="18"/>
              </w:rPr>
              <w:t>$131,580</w:t>
            </w:r>
          </w:p>
        </w:tc>
      </w:tr>
      <w:tr w:rsidR="0074276E" w:rsidRPr="00575B76" w14:paraId="04E7491C" w14:textId="77777777" w:rsidTr="00F0261D">
        <w:trPr>
          <w:trHeight w:val="226"/>
        </w:trPr>
        <w:tc>
          <w:tcPr>
            <w:tcW w:w="2682" w:type="pct"/>
          </w:tcPr>
          <w:p w14:paraId="0F2FADD0" w14:textId="40E03B40" w:rsidR="0074276E" w:rsidRPr="00575B76" w:rsidRDefault="0074276E" w:rsidP="0074276E">
            <w:pPr>
              <w:keepNext/>
              <w:spacing w:after="0"/>
              <w:rPr>
                <w:rFonts w:cs="Arial"/>
                <w:sz w:val="18"/>
                <w:szCs w:val="18"/>
              </w:rPr>
            </w:pPr>
            <w:r w:rsidRPr="00575B76">
              <w:rPr>
                <w:rFonts w:cs="Arial"/>
                <w:sz w:val="18"/>
                <w:szCs w:val="18"/>
              </w:rPr>
              <w:t>Making new regulatory protections to improve the experience of consumers migrating to the NBN including consumer information standard, service continuity standard, complaints handling standard and determination</w:t>
            </w:r>
          </w:p>
        </w:tc>
        <w:tc>
          <w:tcPr>
            <w:tcW w:w="768" w:type="pct"/>
            <w:shd w:val="clear" w:color="auto" w:fill="auto"/>
          </w:tcPr>
          <w:p w14:paraId="332BC5D3" w14:textId="3AAF28D9" w:rsidR="0074276E" w:rsidRPr="00575B76" w:rsidRDefault="0074276E" w:rsidP="00C17CC3">
            <w:pPr>
              <w:keepNext/>
              <w:spacing w:after="0"/>
              <w:rPr>
                <w:rFonts w:cs="Arial"/>
                <w:sz w:val="18"/>
                <w:szCs w:val="18"/>
              </w:rPr>
            </w:pPr>
            <w:r w:rsidRPr="00575B76">
              <w:rPr>
                <w:rFonts w:cs="Arial"/>
                <w:sz w:val="18"/>
                <w:szCs w:val="18"/>
              </w:rPr>
              <w:t>$335,386</w:t>
            </w:r>
          </w:p>
        </w:tc>
        <w:tc>
          <w:tcPr>
            <w:tcW w:w="768" w:type="pct"/>
            <w:shd w:val="clear" w:color="auto" w:fill="auto"/>
          </w:tcPr>
          <w:p w14:paraId="31511183" w14:textId="0DF2C68E" w:rsidR="0074276E" w:rsidRPr="00575B76" w:rsidRDefault="0074276E" w:rsidP="00C17CC3">
            <w:pPr>
              <w:keepNext/>
              <w:spacing w:after="0"/>
              <w:rPr>
                <w:rFonts w:cs="Arial"/>
                <w:sz w:val="18"/>
                <w:szCs w:val="18"/>
              </w:rPr>
            </w:pPr>
            <w:r w:rsidRPr="00575B76">
              <w:rPr>
                <w:rFonts w:cs="Arial"/>
                <w:sz w:val="18"/>
                <w:szCs w:val="18"/>
              </w:rPr>
              <w:t>$307,164</w:t>
            </w:r>
          </w:p>
        </w:tc>
        <w:tc>
          <w:tcPr>
            <w:tcW w:w="782" w:type="pct"/>
            <w:shd w:val="clear" w:color="auto" w:fill="auto"/>
          </w:tcPr>
          <w:p w14:paraId="0E198A9C" w14:textId="2F43D9A1" w:rsidR="0074276E" w:rsidRPr="00575B76" w:rsidRDefault="0074276E" w:rsidP="00C17CC3">
            <w:pPr>
              <w:keepNext/>
              <w:spacing w:after="0"/>
              <w:rPr>
                <w:rFonts w:cs="Arial"/>
                <w:sz w:val="18"/>
                <w:szCs w:val="18"/>
              </w:rPr>
            </w:pPr>
            <w:r w:rsidRPr="00575B76">
              <w:rPr>
                <w:rFonts w:cs="Arial"/>
                <w:sz w:val="18"/>
                <w:szCs w:val="18"/>
              </w:rPr>
              <w:t>$642,550</w:t>
            </w:r>
          </w:p>
        </w:tc>
      </w:tr>
      <w:tr w:rsidR="0074276E" w:rsidRPr="00575B76" w14:paraId="4C0A67FC" w14:textId="77777777" w:rsidTr="00F0261D">
        <w:trPr>
          <w:trHeight w:val="226"/>
        </w:trPr>
        <w:tc>
          <w:tcPr>
            <w:tcW w:w="2682" w:type="pct"/>
          </w:tcPr>
          <w:p w14:paraId="46DC6E06" w14:textId="28F83012" w:rsidR="0074276E" w:rsidRPr="00575B76" w:rsidRDefault="0074276E" w:rsidP="0074276E">
            <w:pPr>
              <w:keepNext/>
              <w:spacing w:after="0"/>
              <w:rPr>
                <w:rFonts w:cs="Arial"/>
                <w:sz w:val="18"/>
                <w:szCs w:val="18"/>
              </w:rPr>
            </w:pPr>
            <w:r w:rsidRPr="00575B76">
              <w:rPr>
                <w:rFonts w:cs="Arial"/>
                <w:sz w:val="18"/>
                <w:szCs w:val="18"/>
              </w:rPr>
              <w:t>Making submissions to a range of consumer safeguards consultation processes</w:t>
            </w:r>
            <w:r w:rsidR="00CB72DF">
              <w:rPr>
                <w:rFonts w:cs="Arial"/>
                <w:sz w:val="18"/>
                <w:szCs w:val="18"/>
              </w:rPr>
              <w:t>—</w:t>
            </w:r>
            <w:r w:rsidRPr="00575B76">
              <w:rPr>
                <w:rFonts w:cs="Arial"/>
                <w:sz w:val="18"/>
                <w:szCs w:val="18"/>
              </w:rPr>
              <w:t xml:space="preserve"> telecommunications consumer regulatory review and development, including development of proposals to improve the NBN consumer experience, review of the Telecommunication</w:t>
            </w:r>
            <w:r w:rsidR="0002333A">
              <w:rPr>
                <w:rFonts w:cs="Arial"/>
                <w:sz w:val="18"/>
                <w:szCs w:val="18"/>
              </w:rPr>
              <w:t>s</w:t>
            </w:r>
            <w:r w:rsidRPr="00575B76">
              <w:rPr>
                <w:rFonts w:cs="Arial"/>
                <w:sz w:val="18"/>
                <w:szCs w:val="18"/>
              </w:rPr>
              <w:t xml:space="preserve"> Consumer Protection (TCP) Code and International Mobile Roaming Standard</w:t>
            </w:r>
          </w:p>
        </w:tc>
        <w:tc>
          <w:tcPr>
            <w:tcW w:w="768" w:type="pct"/>
            <w:shd w:val="clear" w:color="auto" w:fill="auto"/>
          </w:tcPr>
          <w:p w14:paraId="1175B858" w14:textId="6CBED13D" w:rsidR="0074276E" w:rsidRPr="00575B76" w:rsidRDefault="0074276E" w:rsidP="00C17CC3">
            <w:pPr>
              <w:keepNext/>
              <w:spacing w:after="0"/>
              <w:rPr>
                <w:rFonts w:cs="Arial"/>
                <w:sz w:val="18"/>
                <w:szCs w:val="18"/>
              </w:rPr>
            </w:pPr>
            <w:r w:rsidRPr="00575B76">
              <w:rPr>
                <w:rFonts w:cs="Arial"/>
                <w:sz w:val="18"/>
                <w:szCs w:val="18"/>
              </w:rPr>
              <w:t>$721,379</w:t>
            </w:r>
          </w:p>
        </w:tc>
        <w:tc>
          <w:tcPr>
            <w:tcW w:w="768" w:type="pct"/>
            <w:shd w:val="clear" w:color="auto" w:fill="auto"/>
          </w:tcPr>
          <w:p w14:paraId="6C2DCB7A" w14:textId="35B7EFF5" w:rsidR="0074276E" w:rsidRPr="00575B76" w:rsidRDefault="0074276E" w:rsidP="00C17CC3">
            <w:pPr>
              <w:keepNext/>
              <w:spacing w:after="0"/>
              <w:rPr>
                <w:rFonts w:cs="Arial"/>
                <w:sz w:val="18"/>
                <w:szCs w:val="18"/>
              </w:rPr>
            </w:pPr>
            <w:r w:rsidRPr="00575B76">
              <w:rPr>
                <w:rFonts w:cs="Arial"/>
                <w:sz w:val="18"/>
                <w:szCs w:val="18"/>
              </w:rPr>
              <w:t>$968,404</w:t>
            </w:r>
          </w:p>
        </w:tc>
        <w:tc>
          <w:tcPr>
            <w:tcW w:w="782" w:type="pct"/>
            <w:shd w:val="clear" w:color="auto" w:fill="auto"/>
          </w:tcPr>
          <w:p w14:paraId="33E3FA69" w14:textId="5900C9EE" w:rsidR="0074276E" w:rsidRPr="00575B76" w:rsidRDefault="0074276E" w:rsidP="00C17CC3">
            <w:pPr>
              <w:keepNext/>
              <w:spacing w:after="0"/>
              <w:rPr>
                <w:rFonts w:cs="Arial"/>
                <w:sz w:val="18"/>
                <w:szCs w:val="18"/>
              </w:rPr>
            </w:pPr>
            <w:r w:rsidRPr="00575B76">
              <w:rPr>
                <w:rFonts w:cs="Arial"/>
                <w:sz w:val="18"/>
                <w:szCs w:val="18"/>
              </w:rPr>
              <w:t>$1,689,783</w:t>
            </w:r>
          </w:p>
        </w:tc>
      </w:tr>
      <w:tr w:rsidR="0074276E" w:rsidRPr="00575B76" w14:paraId="10A34961" w14:textId="77777777" w:rsidTr="00F0261D">
        <w:trPr>
          <w:trHeight w:val="226"/>
        </w:trPr>
        <w:tc>
          <w:tcPr>
            <w:tcW w:w="2682" w:type="pct"/>
          </w:tcPr>
          <w:p w14:paraId="46440038" w14:textId="47F69FE4" w:rsidR="0074276E" w:rsidRPr="00575B76" w:rsidRDefault="0074276E" w:rsidP="0074276E">
            <w:pPr>
              <w:keepNext/>
              <w:spacing w:after="0"/>
              <w:rPr>
                <w:rFonts w:cs="Arial"/>
                <w:sz w:val="18"/>
                <w:szCs w:val="18"/>
              </w:rPr>
            </w:pPr>
            <w:r w:rsidRPr="00575B76">
              <w:rPr>
                <w:rFonts w:cs="Arial"/>
                <w:sz w:val="18"/>
                <w:szCs w:val="18"/>
              </w:rPr>
              <w:t>Managing telecommunications labelling notices and standards</w:t>
            </w:r>
          </w:p>
        </w:tc>
        <w:tc>
          <w:tcPr>
            <w:tcW w:w="768" w:type="pct"/>
            <w:shd w:val="clear" w:color="auto" w:fill="auto"/>
          </w:tcPr>
          <w:p w14:paraId="39C93DBC" w14:textId="6F6E0B24" w:rsidR="0074276E" w:rsidRPr="00575B76" w:rsidRDefault="0074276E" w:rsidP="00C17CC3">
            <w:pPr>
              <w:keepNext/>
              <w:spacing w:after="0"/>
              <w:rPr>
                <w:rFonts w:cs="Arial"/>
                <w:sz w:val="18"/>
                <w:szCs w:val="18"/>
              </w:rPr>
            </w:pPr>
            <w:r w:rsidRPr="00575B76">
              <w:rPr>
                <w:rFonts w:cs="Arial"/>
                <w:sz w:val="18"/>
                <w:szCs w:val="18"/>
              </w:rPr>
              <w:t>$286,150</w:t>
            </w:r>
          </w:p>
        </w:tc>
        <w:tc>
          <w:tcPr>
            <w:tcW w:w="768" w:type="pct"/>
            <w:shd w:val="clear" w:color="auto" w:fill="auto"/>
          </w:tcPr>
          <w:p w14:paraId="78522385" w14:textId="58906B47" w:rsidR="0074276E" w:rsidRPr="00575B76" w:rsidRDefault="0074276E" w:rsidP="00C17CC3">
            <w:pPr>
              <w:keepNext/>
              <w:spacing w:after="0"/>
              <w:rPr>
                <w:rFonts w:cs="Arial"/>
                <w:sz w:val="18"/>
                <w:szCs w:val="18"/>
              </w:rPr>
            </w:pPr>
            <w:r w:rsidRPr="00575B76">
              <w:rPr>
                <w:rFonts w:cs="Arial"/>
                <w:sz w:val="18"/>
                <w:szCs w:val="18"/>
              </w:rPr>
              <w:t>$472,30</w:t>
            </w:r>
            <w:r w:rsidR="00575B76">
              <w:rPr>
                <w:rFonts w:cs="Arial"/>
                <w:sz w:val="18"/>
                <w:szCs w:val="18"/>
              </w:rPr>
              <w:t>7</w:t>
            </w:r>
          </w:p>
        </w:tc>
        <w:tc>
          <w:tcPr>
            <w:tcW w:w="782" w:type="pct"/>
            <w:shd w:val="clear" w:color="auto" w:fill="auto"/>
          </w:tcPr>
          <w:p w14:paraId="02299770" w14:textId="0E4FA481" w:rsidR="0074276E" w:rsidRPr="00575B76" w:rsidRDefault="0074276E" w:rsidP="00C17CC3">
            <w:pPr>
              <w:keepNext/>
              <w:spacing w:after="0"/>
              <w:rPr>
                <w:rFonts w:cs="Arial"/>
                <w:sz w:val="18"/>
                <w:szCs w:val="18"/>
              </w:rPr>
            </w:pPr>
            <w:r w:rsidRPr="00575B76">
              <w:rPr>
                <w:rFonts w:cs="Arial"/>
                <w:sz w:val="18"/>
                <w:szCs w:val="18"/>
              </w:rPr>
              <w:t>$758,457</w:t>
            </w:r>
          </w:p>
        </w:tc>
      </w:tr>
      <w:tr w:rsidR="0074276E" w:rsidRPr="00575B76" w14:paraId="0C26965B" w14:textId="77777777" w:rsidTr="00F0261D">
        <w:trPr>
          <w:trHeight w:val="226"/>
        </w:trPr>
        <w:tc>
          <w:tcPr>
            <w:tcW w:w="2682" w:type="pct"/>
          </w:tcPr>
          <w:p w14:paraId="6342CFBA" w14:textId="5B23910B" w:rsidR="0074276E" w:rsidRPr="00575B76" w:rsidRDefault="0074276E" w:rsidP="0074276E">
            <w:pPr>
              <w:keepNext/>
              <w:spacing w:after="0"/>
              <w:rPr>
                <w:rFonts w:cs="Arial"/>
                <w:sz w:val="18"/>
                <w:szCs w:val="18"/>
              </w:rPr>
            </w:pPr>
            <w:r w:rsidRPr="00575B76">
              <w:rPr>
                <w:rFonts w:cs="Arial"/>
                <w:sz w:val="18"/>
                <w:szCs w:val="18"/>
              </w:rPr>
              <w:t xml:space="preserve">Providing secretariat function to Emergency Call Service Advisory committee; </w:t>
            </w:r>
            <w:r w:rsidR="00CB72DF">
              <w:rPr>
                <w:rFonts w:cs="Arial"/>
                <w:sz w:val="18"/>
                <w:szCs w:val="18"/>
              </w:rPr>
              <w:t>m</w:t>
            </w:r>
            <w:r w:rsidRPr="00575B76">
              <w:rPr>
                <w:rFonts w:cs="Arial"/>
                <w:sz w:val="18"/>
                <w:szCs w:val="18"/>
              </w:rPr>
              <w:t xml:space="preserve">onitoring and reporting on </w:t>
            </w:r>
            <w:r w:rsidR="00CB72DF">
              <w:rPr>
                <w:rFonts w:cs="Arial"/>
                <w:sz w:val="18"/>
                <w:szCs w:val="18"/>
              </w:rPr>
              <w:t>e</w:t>
            </w:r>
            <w:r w:rsidRPr="00575B76">
              <w:rPr>
                <w:rFonts w:cs="Arial"/>
                <w:sz w:val="18"/>
                <w:szCs w:val="18"/>
              </w:rPr>
              <w:t xml:space="preserve">mergency </w:t>
            </w:r>
            <w:r w:rsidR="00CB72DF">
              <w:rPr>
                <w:rFonts w:cs="Arial"/>
                <w:sz w:val="18"/>
                <w:szCs w:val="18"/>
              </w:rPr>
              <w:t>c</w:t>
            </w:r>
            <w:r w:rsidRPr="00575B76">
              <w:rPr>
                <w:rFonts w:cs="Arial"/>
                <w:sz w:val="18"/>
                <w:szCs w:val="18"/>
              </w:rPr>
              <w:t xml:space="preserve">all </w:t>
            </w:r>
            <w:r w:rsidR="00CB72DF">
              <w:rPr>
                <w:rFonts w:cs="Arial"/>
                <w:sz w:val="18"/>
                <w:szCs w:val="18"/>
              </w:rPr>
              <w:t>p</w:t>
            </w:r>
            <w:r w:rsidRPr="00575B76">
              <w:rPr>
                <w:rFonts w:cs="Arial"/>
                <w:sz w:val="18"/>
                <w:szCs w:val="18"/>
              </w:rPr>
              <w:t>erson compliance</w:t>
            </w:r>
          </w:p>
        </w:tc>
        <w:tc>
          <w:tcPr>
            <w:tcW w:w="768" w:type="pct"/>
            <w:shd w:val="clear" w:color="auto" w:fill="auto"/>
          </w:tcPr>
          <w:p w14:paraId="1527F9F9" w14:textId="6BAE5930" w:rsidR="0074276E" w:rsidRPr="00575B76" w:rsidRDefault="0074276E" w:rsidP="00C17CC3">
            <w:pPr>
              <w:keepNext/>
              <w:spacing w:after="0"/>
              <w:rPr>
                <w:rFonts w:cs="Arial"/>
                <w:sz w:val="18"/>
                <w:szCs w:val="18"/>
              </w:rPr>
            </w:pPr>
            <w:r w:rsidRPr="00575B76">
              <w:rPr>
                <w:rFonts w:cs="Arial"/>
                <w:sz w:val="18"/>
                <w:szCs w:val="18"/>
              </w:rPr>
              <w:t>$133,071</w:t>
            </w:r>
          </w:p>
        </w:tc>
        <w:tc>
          <w:tcPr>
            <w:tcW w:w="768" w:type="pct"/>
            <w:shd w:val="clear" w:color="auto" w:fill="auto"/>
          </w:tcPr>
          <w:p w14:paraId="39AD9269" w14:textId="1E896861" w:rsidR="0074276E" w:rsidRPr="00575B76" w:rsidRDefault="0074276E" w:rsidP="00C17CC3">
            <w:pPr>
              <w:keepNext/>
              <w:spacing w:after="0"/>
              <w:rPr>
                <w:rFonts w:cs="Arial"/>
                <w:sz w:val="18"/>
                <w:szCs w:val="18"/>
              </w:rPr>
            </w:pPr>
            <w:r w:rsidRPr="00575B76">
              <w:rPr>
                <w:rFonts w:cs="Arial"/>
                <w:sz w:val="18"/>
                <w:szCs w:val="18"/>
              </w:rPr>
              <w:t>$174,523</w:t>
            </w:r>
          </w:p>
        </w:tc>
        <w:tc>
          <w:tcPr>
            <w:tcW w:w="782" w:type="pct"/>
            <w:shd w:val="clear" w:color="auto" w:fill="auto"/>
          </w:tcPr>
          <w:p w14:paraId="52D68E86" w14:textId="206691B4" w:rsidR="0074276E" w:rsidRPr="00575B76" w:rsidRDefault="0074276E" w:rsidP="00C17CC3">
            <w:pPr>
              <w:keepNext/>
              <w:spacing w:after="0"/>
              <w:rPr>
                <w:rFonts w:cs="Arial"/>
                <w:sz w:val="18"/>
                <w:szCs w:val="18"/>
              </w:rPr>
            </w:pPr>
            <w:r w:rsidRPr="00575B76">
              <w:rPr>
                <w:rFonts w:cs="Arial"/>
                <w:sz w:val="18"/>
                <w:szCs w:val="18"/>
              </w:rPr>
              <w:t>$307,594</w:t>
            </w:r>
          </w:p>
        </w:tc>
      </w:tr>
      <w:tr w:rsidR="0074276E" w:rsidRPr="00575B76" w14:paraId="0CCE83DF" w14:textId="77777777" w:rsidTr="00F0261D">
        <w:trPr>
          <w:trHeight w:val="226"/>
        </w:trPr>
        <w:tc>
          <w:tcPr>
            <w:tcW w:w="2682" w:type="pct"/>
          </w:tcPr>
          <w:p w14:paraId="3F62D536" w14:textId="28495A48" w:rsidR="0074276E" w:rsidRPr="00575B76" w:rsidRDefault="0074276E" w:rsidP="0074276E">
            <w:pPr>
              <w:keepNext/>
              <w:spacing w:after="0"/>
              <w:rPr>
                <w:rFonts w:cs="Arial"/>
                <w:sz w:val="18"/>
                <w:szCs w:val="18"/>
              </w:rPr>
            </w:pPr>
            <w:r w:rsidRPr="00575B76">
              <w:rPr>
                <w:rFonts w:cs="Arial"/>
                <w:sz w:val="18"/>
                <w:szCs w:val="18"/>
              </w:rPr>
              <w:t>Registering telecommunications operational codes</w:t>
            </w:r>
          </w:p>
        </w:tc>
        <w:tc>
          <w:tcPr>
            <w:tcW w:w="768" w:type="pct"/>
            <w:shd w:val="clear" w:color="auto" w:fill="auto"/>
          </w:tcPr>
          <w:p w14:paraId="4D9A3C47" w14:textId="1AA0830C" w:rsidR="0074276E" w:rsidRPr="00575B76" w:rsidRDefault="0074276E" w:rsidP="00C17CC3">
            <w:pPr>
              <w:keepNext/>
              <w:spacing w:after="0"/>
              <w:rPr>
                <w:rFonts w:cs="Arial"/>
                <w:sz w:val="18"/>
                <w:szCs w:val="18"/>
              </w:rPr>
            </w:pPr>
            <w:r w:rsidRPr="00575B76">
              <w:rPr>
                <w:rFonts w:cs="Arial"/>
                <w:sz w:val="18"/>
                <w:szCs w:val="18"/>
              </w:rPr>
              <w:t>$127,270</w:t>
            </w:r>
          </w:p>
        </w:tc>
        <w:tc>
          <w:tcPr>
            <w:tcW w:w="768" w:type="pct"/>
            <w:shd w:val="clear" w:color="auto" w:fill="auto"/>
          </w:tcPr>
          <w:p w14:paraId="31074A75" w14:textId="18761BA5" w:rsidR="0074276E" w:rsidRPr="00575B76" w:rsidRDefault="0074276E" w:rsidP="00C17CC3">
            <w:pPr>
              <w:keepNext/>
              <w:spacing w:after="0"/>
              <w:rPr>
                <w:rFonts w:cs="Arial"/>
                <w:sz w:val="18"/>
                <w:szCs w:val="18"/>
              </w:rPr>
            </w:pPr>
            <w:r w:rsidRPr="00575B76">
              <w:rPr>
                <w:rFonts w:cs="Arial"/>
                <w:sz w:val="18"/>
                <w:szCs w:val="18"/>
              </w:rPr>
              <w:t>$215,595</w:t>
            </w:r>
          </w:p>
        </w:tc>
        <w:tc>
          <w:tcPr>
            <w:tcW w:w="782" w:type="pct"/>
            <w:shd w:val="clear" w:color="auto" w:fill="auto"/>
          </w:tcPr>
          <w:p w14:paraId="7FC03C19" w14:textId="19F059A5" w:rsidR="0074276E" w:rsidRPr="00575B76" w:rsidRDefault="0074276E" w:rsidP="00C17CC3">
            <w:pPr>
              <w:keepNext/>
              <w:spacing w:after="0"/>
              <w:rPr>
                <w:rFonts w:cs="Arial"/>
                <w:sz w:val="18"/>
                <w:szCs w:val="18"/>
              </w:rPr>
            </w:pPr>
            <w:r w:rsidRPr="00575B76">
              <w:rPr>
                <w:rFonts w:cs="Arial"/>
                <w:sz w:val="18"/>
                <w:szCs w:val="18"/>
              </w:rPr>
              <w:t>$342,865</w:t>
            </w:r>
          </w:p>
        </w:tc>
      </w:tr>
      <w:tr w:rsidR="0074276E" w:rsidRPr="00575B76" w14:paraId="1BEEA3DA" w14:textId="77777777" w:rsidTr="00F0261D">
        <w:trPr>
          <w:trHeight w:val="226"/>
        </w:trPr>
        <w:tc>
          <w:tcPr>
            <w:tcW w:w="2682" w:type="pct"/>
          </w:tcPr>
          <w:p w14:paraId="69A5ADFE" w14:textId="21194211" w:rsidR="0074276E" w:rsidRPr="00575B76" w:rsidRDefault="0074276E" w:rsidP="0074276E">
            <w:pPr>
              <w:keepNext/>
              <w:spacing w:after="0"/>
              <w:rPr>
                <w:rFonts w:cs="Arial"/>
                <w:sz w:val="18"/>
                <w:szCs w:val="18"/>
              </w:rPr>
            </w:pPr>
            <w:r w:rsidRPr="00575B76">
              <w:rPr>
                <w:rFonts w:cs="Arial"/>
                <w:sz w:val="18"/>
                <w:szCs w:val="18"/>
              </w:rPr>
              <w:t xml:space="preserve">Researching market developments and telecommunications consumer experience </w:t>
            </w:r>
          </w:p>
        </w:tc>
        <w:tc>
          <w:tcPr>
            <w:tcW w:w="768" w:type="pct"/>
            <w:shd w:val="clear" w:color="auto" w:fill="auto"/>
          </w:tcPr>
          <w:p w14:paraId="1410DB05" w14:textId="1AD01989" w:rsidR="0074276E" w:rsidRPr="00575B76" w:rsidRDefault="0074276E" w:rsidP="00C17CC3">
            <w:pPr>
              <w:keepNext/>
              <w:spacing w:after="0"/>
              <w:rPr>
                <w:rFonts w:cs="Arial"/>
                <w:sz w:val="18"/>
                <w:szCs w:val="18"/>
              </w:rPr>
            </w:pPr>
            <w:r w:rsidRPr="00575B76">
              <w:rPr>
                <w:rFonts w:cs="Arial"/>
                <w:sz w:val="18"/>
                <w:szCs w:val="18"/>
              </w:rPr>
              <w:t>$417,128</w:t>
            </w:r>
          </w:p>
        </w:tc>
        <w:tc>
          <w:tcPr>
            <w:tcW w:w="768" w:type="pct"/>
            <w:shd w:val="clear" w:color="auto" w:fill="auto"/>
          </w:tcPr>
          <w:p w14:paraId="65AEF7F3" w14:textId="6BB88EDE" w:rsidR="0074276E" w:rsidRPr="00575B76" w:rsidRDefault="0074276E" w:rsidP="00C17CC3">
            <w:pPr>
              <w:keepNext/>
              <w:spacing w:after="0"/>
              <w:rPr>
                <w:rFonts w:cs="Arial"/>
                <w:sz w:val="18"/>
                <w:szCs w:val="18"/>
              </w:rPr>
            </w:pPr>
            <w:r w:rsidRPr="00575B76">
              <w:rPr>
                <w:rFonts w:cs="Arial"/>
                <w:sz w:val="18"/>
                <w:szCs w:val="18"/>
              </w:rPr>
              <w:t>$246,93</w:t>
            </w:r>
            <w:r w:rsidR="00575B76">
              <w:rPr>
                <w:rFonts w:cs="Arial"/>
                <w:sz w:val="18"/>
                <w:szCs w:val="18"/>
              </w:rPr>
              <w:t>6</w:t>
            </w:r>
          </w:p>
        </w:tc>
        <w:tc>
          <w:tcPr>
            <w:tcW w:w="782" w:type="pct"/>
            <w:shd w:val="clear" w:color="auto" w:fill="auto"/>
          </w:tcPr>
          <w:p w14:paraId="046B1AC5" w14:textId="34ABCBB6" w:rsidR="0074276E" w:rsidRPr="00575B76" w:rsidRDefault="0074276E" w:rsidP="00C17CC3">
            <w:pPr>
              <w:keepNext/>
              <w:spacing w:after="0"/>
              <w:rPr>
                <w:rFonts w:cs="Arial"/>
                <w:sz w:val="18"/>
                <w:szCs w:val="18"/>
              </w:rPr>
            </w:pPr>
            <w:r w:rsidRPr="00575B76">
              <w:rPr>
                <w:rFonts w:cs="Arial"/>
                <w:sz w:val="18"/>
                <w:szCs w:val="18"/>
              </w:rPr>
              <w:t>$664,064</w:t>
            </w:r>
          </w:p>
        </w:tc>
      </w:tr>
      <w:tr w:rsidR="0074276E" w:rsidRPr="00575B76" w14:paraId="58BD88AB" w14:textId="77777777" w:rsidTr="00F0261D">
        <w:trPr>
          <w:trHeight w:val="226"/>
        </w:trPr>
        <w:tc>
          <w:tcPr>
            <w:tcW w:w="2682" w:type="pct"/>
          </w:tcPr>
          <w:p w14:paraId="6BC20F17" w14:textId="5AB8B2B9" w:rsidR="0074276E" w:rsidRPr="00575B76" w:rsidRDefault="0074276E" w:rsidP="0074276E">
            <w:pPr>
              <w:keepNext/>
              <w:spacing w:after="0"/>
              <w:rPr>
                <w:rFonts w:cs="Arial"/>
                <w:sz w:val="18"/>
                <w:szCs w:val="18"/>
              </w:rPr>
            </w:pPr>
            <w:r w:rsidRPr="00575B76">
              <w:rPr>
                <w:rFonts w:cs="Arial"/>
                <w:sz w:val="18"/>
                <w:szCs w:val="18"/>
              </w:rPr>
              <w:t xml:space="preserve">Researching </w:t>
            </w:r>
            <w:r w:rsidR="00452183" w:rsidRPr="00575B76">
              <w:rPr>
                <w:rFonts w:cs="Arial"/>
                <w:sz w:val="18"/>
                <w:szCs w:val="18"/>
              </w:rPr>
              <w:t xml:space="preserve">telecommunications </w:t>
            </w:r>
            <w:r w:rsidRPr="00575B76">
              <w:rPr>
                <w:rFonts w:cs="Arial"/>
                <w:sz w:val="18"/>
                <w:szCs w:val="18"/>
              </w:rPr>
              <w:t>regulatory practice and design</w:t>
            </w:r>
          </w:p>
        </w:tc>
        <w:tc>
          <w:tcPr>
            <w:tcW w:w="768" w:type="pct"/>
            <w:shd w:val="clear" w:color="auto" w:fill="auto"/>
          </w:tcPr>
          <w:p w14:paraId="0EC9E8EF" w14:textId="3C705CC2" w:rsidR="0074276E" w:rsidRPr="00575B76" w:rsidRDefault="0074276E" w:rsidP="00C17CC3">
            <w:pPr>
              <w:keepNext/>
              <w:spacing w:after="0"/>
              <w:rPr>
                <w:rFonts w:cs="Arial"/>
                <w:color w:val="000000"/>
                <w:sz w:val="18"/>
                <w:szCs w:val="18"/>
              </w:rPr>
            </w:pPr>
            <w:r w:rsidRPr="00575B76">
              <w:rPr>
                <w:rFonts w:cs="Arial"/>
                <w:sz w:val="18"/>
                <w:szCs w:val="18"/>
              </w:rPr>
              <w:t>$70,856</w:t>
            </w:r>
          </w:p>
        </w:tc>
        <w:tc>
          <w:tcPr>
            <w:tcW w:w="768" w:type="pct"/>
            <w:shd w:val="clear" w:color="auto" w:fill="auto"/>
          </w:tcPr>
          <w:p w14:paraId="72F9CACC" w14:textId="13ACEE1A" w:rsidR="0074276E" w:rsidRPr="00575B76" w:rsidRDefault="0074276E" w:rsidP="00C17CC3">
            <w:pPr>
              <w:keepNext/>
              <w:spacing w:after="0"/>
              <w:rPr>
                <w:rFonts w:cs="Arial"/>
                <w:color w:val="000000"/>
                <w:sz w:val="18"/>
                <w:szCs w:val="18"/>
              </w:rPr>
            </w:pPr>
            <w:r w:rsidRPr="00575B76">
              <w:rPr>
                <w:rFonts w:cs="Arial"/>
                <w:sz w:val="18"/>
                <w:szCs w:val="18"/>
              </w:rPr>
              <w:t>$54,847</w:t>
            </w:r>
          </w:p>
        </w:tc>
        <w:tc>
          <w:tcPr>
            <w:tcW w:w="782" w:type="pct"/>
            <w:shd w:val="clear" w:color="auto" w:fill="auto"/>
          </w:tcPr>
          <w:p w14:paraId="73E5FA3A" w14:textId="3DB2C482" w:rsidR="0074276E" w:rsidRPr="00575B76" w:rsidRDefault="0074276E" w:rsidP="00C17CC3">
            <w:pPr>
              <w:keepNext/>
              <w:spacing w:after="0"/>
              <w:rPr>
                <w:rFonts w:cs="Arial"/>
                <w:color w:val="000000"/>
                <w:sz w:val="18"/>
                <w:szCs w:val="18"/>
              </w:rPr>
            </w:pPr>
            <w:r w:rsidRPr="00575B76">
              <w:rPr>
                <w:rFonts w:cs="Arial"/>
                <w:sz w:val="18"/>
                <w:szCs w:val="18"/>
              </w:rPr>
              <w:t>$125,703</w:t>
            </w:r>
          </w:p>
        </w:tc>
      </w:tr>
      <w:tr w:rsidR="0074276E" w:rsidRPr="00575B76" w14:paraId="70BA615F" w14:textId="77777777" w:rsidTr="00F0261D">
        <w:trPr>
          <w:trHeight w:val="288"/>
        </w:trPr>
        <w:tc>
          <w:tcPr>
            <w:tcW w:w="2682" w:type="pct"/>
          </w:tcPr>
          <w:p w14:paraId="7A30DCDD" w14:textId="15510C89" w:rsidR="0074276E" w:rsidRPr="00575B76" w:rsidRDefault="0074276E" w:rsidP="0074276E">
            <w:pPr>
              <w:keepNext/>
              <w:spacing w:after="0"/>
              <w:rPr>
                <w:rFonts w:cs="Arial"/>
                <w:sz w:val="18"/>
                <w:szCs w:val="18"/>
              </w:rPr>
            </w:pPr>
            <w:r w:rsidRPr="00575B76">
              <w:rPr>
                <w:rFonts w:cs="Arial"/>
                <w:sz w:val="18"/>
                <w:szCs w:val="18"/>
              </w:rPr>
              <w:t>Reviewing, making and registering of codes and determinations (e.g. Emergency Call Service Determination, Mobile Phone Base Stations)</w:t>
            </w:r>
          </w:p>
        </w:tc>
        <w:tc>
          <w:tcPr>
            <w:tcW w:w="768" w:type="pct"/>
            <w:shd w:val="clear" w:color="auto" w:fill="auto"/>
          </w:tcPr>
          <w:p w14:paraId="3F95F4D5" w14:textId="3DA35CF6" w:rsidR="0074276E" w:rsidRPr="00575B76" w:rsidRDefault="0074276E" w:rsidP="00C17CC3">
            <w:pPr>
              <w:keepNext/>
              <w:spacing w:after="0"/>
              <w:rPr>
                <w:rFonts w:cs="Arial"/>
                <w:color w:val="000000"/>
                <w:sz w:val="18"/>
                <w:szCs w:val="18"/>
              </w:rPr>
            </w:pPr>
            <w:r w:rsidRPr="00575B76">
              <w:rPr>
                <w:rFonts w:cs="Arial"/>
                <w:sz w:val="18"/>
                <w:szCs w:val="18"/>
              </w:rPr>
              <w:t>$133,192</w:t>
            </w:r>
          </w:p>
        </w:tc>
        <w:tc>
          <w:tcPr>
            <w:tcW w:w="768" w:type="pct"/>
            <w:shd w:val="clear" w:color="auto" w:fill="auto"/>
          </w:tcPr>
          <w:p w14:paraId="76DE749B" w14:textId="6C372938" w:rsidR="0074276E" w:rsidRPr="00575B76" w:rsidRDefault="0074276E" w:rsidP="00C17CC3">
            <w:pPr>
              <w:keepNext/>
              <w:spacing w:after="0"/>
              <w:rPr>
                <w:rFonts w:cs="Arial"/>
                <w:color w:val="000000"/>
                <w:sz w:val="18"/>
                <w:szCs w:val="18"/>
              </w:rPr>
            </w:pPr>
            <w:r w:rsidRPr="00575B76">
              <w:rPr>
                <w:rFonts w:cs="Arial"/>
                <w:sz w:val="18"/>
                <w:szCs w:val="18"/>
              </w:rPr>
              <w:t>$173,243</w:t>
            </w:r>
          </w:p>
        </w:tc>
        <w:tc>
          <w:tcPr>
            <w:tcW w:w="782" w:type="pct"/>
            <w:shd w:val="clear" w:color="auto" w:fill="auto"/>
          </w:tcPr>
          <w:p w14:paraId="4F2C475C" w14:textId="5417F09F" w:rsidR="0074276E" w:rsidRPr="00575B76" w:rsidRDefault="0074276E" w:rsidP="00C17CC3">
            <w:pPr>
              <w:keepNext/>
              <w:spacing w:after="0"/>
              <w:rPr>
                <w:rFonts w:cs="Arial"/>
                <w:color w:val="000000"/>
                <w:sz w:val="18"/>
                <w:szCs w:val="18"/>
              </w:rPr>
            </w:pPr>
            <w:r w:rsidRPr="00575B76">
              <w:rPr>
                <w:rFonts w:cs="Arial"/>
                <w:sz w:val="18"/>
                <w:szCs w:val="18"/>
              </w:rPr>
              <w:t>$306,43</w:t>
            </w:r>
            <w:r w:rsidR="006E3208">
              <w:rPr>
                <w:rFonts w:cs="Arial"/>
                <w:sz w:val="18"/>
                <w:szCs w:val="18"/>
              </w:rPr>
              <w:t>5</w:t>
            </w:r>
          </w:p>
        </w:tc>
      </w:tr>
      <w:tr w:rsidR="009E1880" w:rsidRPr="00575B76" w14:paraId="042C57BB" w14:textId="77777777" w:rsidTr="00F0261D">
        <w:trPr>
          <w:trHeight w:val="21"/>
        </w:trPr>
        <w:tc>
          <w:tcPr>
            <w:tcW w:w="2682" w:type="pct"/>
            <w:shd w:val="clear" w:color="auto" w:fill="D9D9D9" w:themeFill="background1" w:themeFillShade="D9"/>
            <w:vAlign w:val="center"/>
          </w:tcPr>
          <w:p w14:paraId="0392007B" w14:textId="77777777" w:rsidR="009E1880" w:rsidRPr="00575B76" w:rsidRDefault="009E1880" w:rsidP="009E1880">
            <w:pPr>
              <w:keepNext/>
              <w:spacing w:after="0"/>
              <w:rPr>
                <w:rFonts w:cs="Arial"/>
                <w:b/>
                <w:iCs/>
                <w:color w:val="000000" w:themeColor="text1"/>
                <w:sz w:val="18"/>
                <w:szCs w:val="18"/>
              </w:rPr>
            </w:pPr>
            <w:r w:rsidRPr="00575B76">
              <w:rPr>
                <w:rFonts w:cs="Arial"/>
                <w:b/>
                <w:iCs/>
                <w:color w:val="000000" w:themeColor="text1"/>
                <w:sz w:val="18"/>
                <w:szCs w:val="18"/>
              </w:rPr>
              <w:t>Total costs</w:t>
            </w:r>
          </w:p>
        </w:tc>
        <w:tc>
          <w:tcPr>
            <w:tcW w:w="768" w:type="pct"/>
            <w:shd w:val="clear" w:color="000000" w:fill="D9D9D9"/>
          </w:tcPr>
          <w:p w14:paraId="1329259C" w14:textId="47A1E116" w:rsidR="009E1880" w:rsidRPr="00575B76" w:rsidRDefault="0074276E" w:rsidP="00C17CC3">
            <w:pPr>
              <w:keepNext/>
              <w:spacing w:after="0"/>
              <w:rPr>
                <w:rFonts w:cs="Arial"/>
                <w:b/>
                <w:bCs/>
                <w:color w:val="000000"/>
                <w:sz w:val="18"/>
                <w:szCs w:val="18"/>
              </w:rPr>
            </w:pPr>
            <w:r w:rsidRPr="00575B76">
              <w:rPr>
                <w:rFonts w:cs="Arial"/>
                <w:sz w:val="18"/>
                <w:szCs w:val="18"/>
              </w:rPr>
              <w:t>$3,053,763</w:t>
            </w:r>
          </w:p>
        </w:tc>
        <w:tc>
          <w:tcPr>
            <w:tcW w:w="768" w:type="pct"/>
            <w:shd w:val="clear" w:color="000000" w:fill="D9D9D9"/>
          </w:tcPr>
          <w:p w14:paraId="2C948A9E" w14:textId="32FEADBF" w:rsidR="009E1880" w:rsidRPr="00575B76" w:rsidRDefault="0074276E" w:rsidP="00C17CC3">
            <w:pPr>
              <w:keepNext/>
              <w:spacing w:after="0"/>
              <w:rPr>
                <w:rFonts w:cs="Arial"/>
                <w:b/>
                <w:bCs/>
                <w:color w:val="000000"/>
                <w:sz w:val="18"/>
                <w:szCs w:val="18"/>
              </w:rPr>
            </w:pPr>
            <w:r w:rsidRPr="00575B76">
              <w:rPr>
                <w:rFonts w:cs="Arial"/>
                <w:sz w:val="18"/>
                <w:szCs w:val="18"/>
              </w:rPr>
              <w:t>$3,412,444</w:t>
            </w:r>
          </w:p>
        </w:tc>
        <w:tc>
          <w:tcPr>
            <w:tcW w:w="782" w:type="pct"/>
            <w:shd w:val="clear" w:color="000000" w:fill="D9D9D9"/>
          </w:tcPr>
          <w:p w14:paraId="5996AB09" w14:textId="0EE6DB99" w:rsidR="009E1880" w:rsidRPr="00575B76" w:rsidRDefault="0074276E" w:rsidP="00C17CC3">
            <w:pPr>
              <w:keepNext/>
              <w:spacing w:after="0"/>
              <w:rPr>
                <w:rFonts w:cs="Arial"/>
                <w:b/>
                <w:bCs/>
                <w:color w:val="000000"/>
                <w:sz w:val="18"/>
                <w:szCs w:val="18"/>
              </w:rPr>
            </w:pPr>
            <w:r w:rsidRPr="00575B76">
              <w:rPr>
                <w:rFonts w:cs="Arial"/>
                <w:sz w:val="18"/>
                <w:szCs w:val="18"/>
              </w:rPr>
              <w:t>$6,466,207</w:t>
            </w:r>
          </w:p>
        </w:tc>
      </w:tr>
      <w:bookmarkEnd w:id="56"/>
    </w:tbl>
    <w:p w14:paraId="36A3DD86" w14:textId="77777777" w:rsidR="009E1880" w:rsidRDefault="009E1880" w:rsidP="0031688A">
      <w:pPr>
        <w:spacing w:after="80"/>
      </w:pPr>
    </w:p>
    <w:p w14:paraId="34D9344C" w14:textId="77777777" w:rsidR="009E783D" w:rsidRPr="003F7E3A" w:rsidRDefault="009E783D" w:rsidP="00205AC5">
      <w:pPr>
        <w:pStyle w:val="BodySubHeader"/>
        <w:keepNext/>
        <w:keepLines/>
        <w:spacing w:after="80"/>
      </w:pPr>
      <w:r w:rsidRPr="003F7E3A">
        <w:lastRenderedPageBreak/>
        <w:t>Industry monitoring and</w:t>
      </w:r>
      <w:r w:rsidR="00254990">
        <w:t xml:space="preserve"> </w:t>
      </w:r>
      <w:r w:rsidR="007D2342">
        <w:t>NBN</w:t>
      </w:r>
    </w:p>
    <w:p w14:paraId="0BB825A6" w14:textId="5116CD81" w:rsidR="009E783D" w:rsidRDefault="00113FA8" w:rsidP="00205AC5">
      <w:pPr>
        <w:keepNext/>
        <w:keepLines/>
      </w:pPr>
      <w:r>
        <w:t>This output i</w:t>
      </w:r>
      <w:r w:rsidR="009E783D" w:rsidRPr="00A84CBD">
        <w:t>ncludes monitoring and reporting on the service performance and compliance of telecommunications organisations</w:t>
      </w:r>
      <w:r w:rsidR="009E783D">
        <w:t xml:space="preserve"> with regulatory obligations</w:t>
      </w:r>
      <w:r w:rsidR="009E783D" w:rsidRPr="00A81E46">
        <w:t>,</w:t>
      </w:r>
      <w:r w:rsidR="009E783D" w:rsidRPr="00A84CBD">
        <w:t xml:space="preserve"> monitoring consumer safeguards that establish minimum performance standards, and monitoring the implementation of appropriate NBN standards and codes.</w:t>
      </w:r>
    </w:p>
    <w:p w14:paraId="7C217FCD" w14:textId="5EBBB68F" w:rsidR="0074276E" w:rsidRPr="009E1880" w:rsidRDefault="0074276E" w:rsidP="00F0261D">
      <w:bookmarkStart w:id="58" w:name="_Hlk8811496"/>
      <w:r w:rsidRPr="00D92E67">
        <w:t xml:space="preserve">Table 4 provides details </w:t>
      </w:r>
      <w:r w:rsidR="00D92E67" w:rsidRPr="00D92E67">
        <w:t>of</w:t>
      </w:r>
      <w:r w:rsidRPr="00D92E67">
        <w:t xml:space="preserve"> the activities </w:t>
      </w:r>
      <w:r w:rsidR="00D92E67" w:rsidRPr="00D92E67">
        <w:t>performed</w:t>
      </w:r>
      <w:r w:rsidRPr="00D92E67">
        <w:t xml:space="preserve"> under this output along with direct costs and support costs.</w:t>
      </w:r>
    </w:p>
    <w:p w14:paraId="69D588AE" w14:textId="08207341" w:rsidR="0074276E" w:rsidRPr="001D64D9" w:rsidRDefault="0074276E" w:rsidP="0074276E">
      <w:pPr>
        <w:pStyle w:val="ACMATableHeader"/>
      </w:pPr>
      <w:r>
        <w:t>Industry monitoring and NBN</w:t>
      </w:r>
      <w:r w:rsidR="00CB72DF">
        <w:t>—</w:t>
      </w:r>
      <w:r>
        <w:t xml:space="preserve">activities and costs </w:t>
      </w:r>
      <w:r w:rsidR="00452183">
        <w:t xml:space="preserve">for </w:t>
      </w:r>
      <w:r>
        <w:t>2018</w:t>
      </w:r>
      <w:r w:rsidRPr="001D64D9">
        <w:t>–1</w:t>
      </w:r>
      <w:r>
        <w:t>9</w:t>
      </w:r>
      <w:r w:rsidRPr="001D64D9">
        <w:t xml:space="preserve"> </w:t>
      </w:r>
      <w:r w:rsidR="00452183">
        <w:t xml:space="preserve">ACLC </w:t>
      </w:r>
      <w:r w:rsidRPr="001D64D9">
        <w:t>(based on 201</w:t>
      </w:r>
      <w:r>
        <w:t>7</w:t>
      </w:r>
      <w:r w:rsidRPr="001D64D9">
        <w:t>–1</w:t>
      </w:r>
      <w:r>
        <w:t>8</w:t>
      </w:r>
      <w:r w:rsidRPr="001D64D9">
        <w:t xml:space="preserve"> costs)</w:t>
      </w:r>
    </w:p>
    <w:tbl>
      <w:tblPr>
        <w:tblW w:w="48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3821"/>
        <w:gridCol w:w="1274"/>
        <w:gridCol w:w="1134"/>
        <w:gridCol w:w="1155"/>
      </w:tblGrid>
      <w:tr w:rsidR="0074276E" w:rsidRPr="00B4771B" w14:paraId="04BEF188" w14:textId="77777777" w:rsidTr="00F0261D">
        <w:trPr>
          <w:trHeight w:val="361"/>
          <w:tblHeader/>
        </w:trPr>
        <w:tc>
          <w:tcPr>
            <w:tcW w:w="2587" w:type="pct"/>
            <w:shd w:val="clear" w:color="auto" w:fill="404040" w:themeFill="text1" w:themeFillTint="BF"/>
            <w:vAlign w:val="center"/>
          </w:tcPr>
          <w:p w14:paraId="7C0EF257" w14:textId="415C5A27" w:rsidR="0074276E" w:rsidRPr="00B64534" w:rsidRDefault="0074276E" w:rsidP="003D5194">
            <w:pPr>
              <w:pStyle w:val="TableHeading"/>
              <w:rPr>
                <w:b w:val="0"/>
                <w:color w:val="FFFFFF" w:themeColor="background1"/>
              </w:rPr>
            </w:pPr>
            <w:bookmarkStart w:id="59" w:name="_Hlk8812213"/>
            <w:bookmarkEnd w:id="58"/>
            <w:r>
              <w:rPr>
                <w:color w:val="FFFFFF" w:themeColor="background1"/>
              </w:rPr>
              <w:t>Activity</w:t>
            </w:r>
          </w:p>
        </w:tc>
        <w:tc>
          <w:tcPr>
            <w:tcW w:w="863" w:type="pct"/>
            <w:shd w:val="clear" w:color="000000" w:fill="404040"/>
            <w:vAlign w:val="center"/>
          </w:tcPr>
          <w:p w14:paraId="6473EE43" w14:textId="77777777" w:rsidR="0074276E" w:rsidRPr="00B64534" w:rsidRDefault="0074276E" w:rsidP="00C17CC3">
            <w:pPr>
              <w:pStyle w:val="TableHeading"/>
              <w:rPr>
                <w:b w:val="0"/>
                <w:color w:val="FFFFFF" w:themeColor="background1"/>
              </w:rPr>
            </w:pPr>
            <w:r w:rsidRPr="00B64534">
              <w:rPr>
                <w:bCs/>
                <w:color w:val="FFFFFF" w:themeColor="background1"/>
              </w:rPr>
              <w:t>Direct cost</w:t>
            </w:r>
            <w:r>
              <w:rPr>
                <w:bCs/>
                <w:color w:val="FFFFFF" w:themeColor="background1"/>
              </w:rPr>
              <w:t xml:space="preserve"> </w:t>
            </w:r>
            <w:r>
              <w:rPr>
                <w:bCs/>
                <w:color w:val="FFFFFF" w:themeColor="background1"/>
              </w:rPr>
              <w:br/>
              <w:t>($)</w:t>
            </w:r>
          </w:p>
        </w:tc>
        <w:tc>
          <w:tcPr>
            <w:tcW w:w="768" w:type="pct"/>
            <w:shd w:val="clear" w:color="000000" w:fill="404040"/>
            <w:vAlign w:val="center"/>
          </w:tcPr>
          <w:p w14:paraId="4E886784" w14:textId="77777777" w:rsidR="0074276E" w:rsidRPr="00B64534" w:rsidRDefault="0074276E" w:rsidP="00C17CC3">
            <w:pPr>
              <w:pStyle w:val="TableHeading"/>
              <w:rPr>
                <w:b w:val="0"/>
                <w:color w:val="FFFFFF" w:themeColor="background1"/>
              </w:rPr>
            </w:pPr>
            <w:r w:rsidRPr="00B64534">
              <w:rPr>
                <w:bCs/>
                <w:color w:val="FFFFFF" w:themeColor="background1"/>
              </w:rPr>
              <w:t>Support cost</w:t>
            </w:r>
            <w:r>
              <w:rPr>
                <w:bCs/>
                <w:color w:val="FFFFFF" w:themeColor="background1"/>
              </w:rPr>
              <w:t xml:space="preserve"> ($)</w:t>
            </w:r>
          </w:p>
        </w:tc>
        <w:tc>
          <w:tcPr>
            <w:tcW w:w="782" w:type="pct"/>
            <w:shd w:val="clear" w:color="000000" w:fill="404040"/>
            <w:vAlign w:val="center"/>
          </w:tcPr>
          <w:p w14:paraId="61F8115C" w14:textId="02019133" w:rsidR="0074276E" w:rsidRPr="00B64534" w:rsidRDefault="0074276E" w:rsidP="00C17CC3">
            <w:pPr>
              <w:pStyle w:val="TableHeading"/>
              <w:rPr>
                <w:b w:val="0"/>
                <w:color w:val="FFFFFF" w:themeColor="background1"/>
              </w:rPr>
            </w:pPr>
            <w:r w:rsidRPr="00B64534">
              <w:rPr>
                <w:bCs/>
                <w:color w:val="FFFFFF" w:themeColor="background1"/>
              </w:rPr>
              <w:t>Total cost</w:t>
            </w:r>
            <w:r w:rsidR="00F0261D">
              <w:rPr>
                <w:bCs/>
                <w:color w:val="FFFFFF" w:themeColor="background1"/>
              </w:rPr>
              <w:t xml:space="preserve"> </w:t>
            </w:r>
            <w:r>
              <w:rPr>
                <w:bCs/>
                <w:color w:val="FFFFFF" w:themeColor="background1"/>
              </w:rPr>
              <w:t>($)</w:t>
            </w:r>
          </w:p>
        </w:tc>
      </w:tr>
      <w:tr w:rsidR="0074276E" w:rsidRPr="00575B76" w14:paraId="04DA017F" w14:textId="77777777" w:rsidTr="00F0261D">
        <w:trPr>
          <w:trHeight w:val="226"/>
        </w:trPr>
        <w:tc>
          <w:tcPr>
            <w:tcW w:w="2587" w:type="pct"/>
            <w:vAlign w:val="center"/>
          </w:tcPr>
          <w:p w14:paraId="2C44B298" w14:textId="238A048D" w:rsidR="0074276E" w:rsidRPr="00575B76" w:rsidRDefault="0074276E" w:rsidP="0074276E">
            <w:pPr>
              <w:keepNext/>
              <w:spacing w:after="0"/>
              <w:rPr>
                <w:rFonts w:cs="Arial"/>
                <w:sz w:val="18"/>
                <w:szCs w:val="18"/>
              </w:rPr>
            </w:pPr>
            <w:r w:rsidRPr="00575B76">
              <w:rPr>
                <w:rFonts w:cs="Arial"/>
                <w:sz w:val="18"/>
                <w:szCs w:val="18"/>
              </w:rPr>
              <w:t>Providing secretariat function to the Consumer Consultative Forum; ongoing consul</w:t>
            </w:r>
            <w:r w:rsidR="00FD62B2">
              <w:rPr>
                <w:rFonts w:cs="Arial"/>
                <w:sz w:val="18"/>
                <w:szCs w:val="18"/>
              </w:rPr>
              <w:t>ta</w:t>
            </w:r>
            <w:r w:rsidRPr="00575B76">
              <w:rPr>
                <w:rFonts w:cs="Arial"/>
                <w:sz w:val="18"/>
                <w:szCs w:val="18"/>
              </w:rPr>
              <w:t>ti</w:t>
            </w:r>
            <w:r w:rsidR="00FD62B2">
              <w:rPr>
                <w:rFonts w:cs="Arial"/>
                <w:sz w:val="18"/>
                <w:szCs w:val="18"/>
              </w:rPr>
              <w:t>on</w:t>
            </w:r>
            <w:r w:rsidRPr="00575B76">
              <w:rPr>
                <w:rFonts w:cs="Arial"/>
                <w:sz w:val="18"/>
                <w:szCs w:val="18"/>
              </w:rPr>
              <w:t xml:space="preserve"> with stakeholders; conducting industry and consumer research on telecommunications consumer safeguards, focusing on the NBN</w:t>
            </w:r>
          </w:p>
        </w:tc>
        <w:tc>
          <w:tcPr>
            <w:tcW w:w="863" w:type="pct"/>
            <w:shd w:val="clear" w:color="auto" w:fill="auto"/>
          </w:tcPr>
          <w:p w14:paraId="62842FEF" w14:textId="3EAB5535" w:rsidR="0074276E" w:rsidRPr="00575B76" w:rsidRDefault="0074276E" w:rsidP="00C17CC3">
            <w:pPr>
              <w:keepNext/>
              <w:spacing w:after="0"/>
              <w:rPr>
                <w:rFonts w:cs="Arial"/>
                <w:color w:val="000000"/>
                <w:sz w:val="18"/>
                <w:szCs w:val="18"/>
              </w:rPr>
            </w:pPr>
            <w:r w:rsidRPr="00575B76">
              <w:rPr>
                <w:sz w:val="18"/>
                <w:szCs w:val="18"/>
              </w:rPr>
              <w:t>$432,688</w:t>
            </w:r>
          </w:p>
        </w:tc>
        <w:tc>
          <w:tcPr>
            <w:tcW w:w="768" w:type="pct"/>
            <w:shd w:val="clear" w:color="auto" w:fill="auto"/>
          </w:tcPr>
          <w:p w14:paraId="042FBEF1" w14:textId="26825552" w:rsidR="0074276E" w:rsidRPr="00575B76" w:rsidRDefault="0074276E" w:rsidP="00C17CC3">
            <w:pPr>
              <w:keepNext/>
              <w:spacing w:after="0"/>
              <w:rPr>
                <w:rFonts w:cs="Arial"/>
                <w:color w:val="000000"/>
                <w:sz w:val="18"/>
                <w:szCs w:val="18"/>
              </w:rPr>
            </w:pPr>
            <w:r w:rsidRPr="00575B76">
              <w:rPr>
                <w:sz w:val="18"/>
                <w:szCs w:val="18"/>
              </w:rPr>
              <w:t>$580,972</w:t>
            </w:r>
          </w:p>
        </w:tc>
        <w:tc>
          <w:tcPr>
            <w:tcW w:w="782" w:type="pct"/>
            <w:shd w:val="clear" w:color="auto" w:fill="auto"/>
          </w:tcPr>
          <w:p w14:paraId="36BCD23B" w14:textId="0D74B2D6" w:rsidR="0074276E" w:rsidRPr="00575B76" w:rsidRDefault="0074276E" w:rsidP="00C17CC3">
            <w:pPr>
              <w:keepNext/>
              <w:spacing w:after="0"/>
              <w:rPr>
                <w:rFonts w:cs="Arial"/>
                <w:color w:val="000000"/>
                <w:sz w:val="18"/>
                <w:szCs w:val="18"/>
              </w:rPr>
            </w:pPr>
            <w:r w:rsidRPr="00575B76">
              <w:rPr>
                <w:sz w:val="18"/>
                <w:szCs w:val="18"/>
              </w:rPr>
              <w:t>$1,013,660</w:t>
            </w:r>
          </w:p>
        </w:tc>
      </w:tr>
      <w:tr w:rsidR="0074276E" w:rsidRPr="00575B76" w14:paraId="64B59655" w14:textId="77777777" w:rsidTr="00F0261D">
        <w:trPr>
          <w:trHeight w:val="21"/>
        </w:trPr>
        <w:tc>
          <w:tcPr>
            <w:tcW w:w="2587" w:type="pct"/>
            <w:shd w:val="clear" w:color="auto" w:fill="D9D9D9" w:themeFill="background1" w:themeFillShade="D9"/>
            <w:vAlign w:val="center"/>
          </w:tcPr>
          <w:p w14:paraId="0A36AB14" w14:textId="77777777" w:rsidR="0074276E" w:rsidRPr="00575B76" w:rsidRDefault="0074276E" w:rsidP="0074276E">
            <w:pPr>
              <w:keepNext/>
              <w:spacing w:after="0"/>
              <w:rPr>
                <w:rFonts w:cs="Arial"/>
                <w:b/>
                <w:iCs/>
                <w:color w:val="000000" w:themeColor="text1"/>
                <w:sz w:val="18"/>
                <w:szCs w:val="18"/>
              </w:rPr>
            </w:pPr>
            <w:r w:rsidRPr="00575B76">
              <w:rPr>
                <w:rFonts w:cs="Arial"/>
                <w:b/>
                <w:iCs/>
                <w:color w:val="000000" w:themeColor="text1"/>
                <w:sz w:val="18"/>
                <w:szCs w:val="18"/>
              </w:rPr>
              <w:t>Total costs</w:t>
            </w:r>
          </w:p>
        </w:tc>
        <w:tc>
          <w:tcPr>
            <w:tcW w:w="863" w:type="pct"/>
            <w:shd w:val="clear" w:color="000000" w:fill="D9D9D9"/>
          </w:tcPr>
          <w:p w14:paraId="6E4DC17B" w14:textId="6DC3C6B5" w:rsidR="0074276E" w:rsidRPr="00575B76" w:rsidRDefault="0074276E" w:rsidP="00C17CC3">
            <w:pPr>
              <w:keepNext/>
              <w:spacing w:after="0"/>
              <w:rPr>
                <w:rFonts w:cs="Arial"/>
                <w:b/>
                <w:bCs/>
                <w:color w:val="000000"/>
                <w:sz w:val="18"/>
                <w:szCs w:val="18"/>
              </w:rPr>
            </w:pPr>
            <w:r w:rsidRPr="00575B76">
              <w:rPr>
                <w:sz w:val="18"/>
                <w:szCs w:val="18"/>
              </w:rPr>
              <w:t>$432,688</w:t>
            </w:r>
          </w:p>
        </w:tc>
        <w:tc>
          <w:tcPr>
            <w:tcW w:w="768" w:type="pct"/>
            <w:shd w:val="clear" w:color="000000" w:fill="D9D9D9"/>
          </w:tcPr>
          <w:p w14:paraId="38047F43" w14:textId="5AF37369" w:rsidR="0074276E" w:rsidRPr="00575B76" w:rsidRDefault="0074276E" w:rsidP="00C17CC3">
            <w:pPr>
              <w:keepNext/>
              <w:spacing w:after="0"/>
              <w:rPr>
                <w:rFonts w:cs="Arial"/>
                <w:b/>
                <w:bCs/>
                <w:color w:val="000000"/>
                <w:sz w:val="18"/>
                <w:szCs w:val="18"/>
              </w:rPr>
            </w:pPr>
            <w:r w:rsidRPr="00575B76">
              <w:rPr>
                <w:sz w:val="18"/>
                <w:szCs w:val="18"/>
              </w:rPr>
              <w:t>$580,972</w:t>
            </w:r>
          </w:p>
        </w:tc>
        <w:tc>
          <w:tcPr>
            <w:tcW w:w="782" w:type="pct"/>
            <w:shd w:val="clear" w:color="000000" w:fill="D9D9D9"/>
          </w:tcPr>
          <w:p w14:paraId="1F92FB0B" w14:textId="2729056A" w:rsidR="0074276E" w:rsidRPr="00575B76" w:rsidRDefault="0074276E" w:rsidP="00C17CC3">
            <w:pPr>
              <w:keepNext/>
              <w:spacing w:after="0"/>
              <w:rPr>
                <w:rFonts w:cs="Arial"/>
                <w:b/>
                <w:bCs/>
                <w:color w:val="000000"/>
                <w:sz w:val="18"/>
                <w:szCs w:val="18"/>
              </w:rPr>
            </w:pPr>
            <w:r w:rsidRPr="00575B76">
              <w:rPr>
                <w:sz w:val="18"/>
                <w:szCs w:val="18"/>
              </w:rPr>
              <w:t>$1,013,660</w:t>
            </w:r>
          </w:p>
        </w:tc>
      </w:tr>
      <w:bookmarkEnd w:id="59"/>
    </w:tbl>
    <w:p w14:paraId="5D15FC59" w14:textId="77777777" w:rsidR="0074276E" w:rsidRDefault="0074276E" w:rsidP="0031688A">
      <w:pPr>
        <w:spacing w:after="80"/>
      </w:pPr>
    </w:p>
    <w:p w14:paraId="3428AC74" w14:textId="7F3BF2F9" w:rsidR="009E783D" w:rsidRPr="003F7E3A" w:rsidRDefault="009E783D" w:rsidP="00F5093C">
      <w:pPr>
        <w:pStyle w:val="Bodysubheader0"/>
        <w:spacing w:after="80"/>
      </w:pPr>
      <w:r w:rsidRPr="003F7E3A">
        <w:t>Compliance</w:t>
      </w:r>
      <w:r w:rsidR="00D42DE1">
        <w:t>,</w:t>
      </w:r>
      <w:r w:rsidRPr="003F7E3A">
        <w:t xml:space="preserve"> enforcement</w:t>
      </w:r>
      <w:r w:rsidR="00D42DE1">
        <w:t xml:space="preserve"> and consumer safeguard</w:t>
      </w:r>
    </w:p>
    <w:p w14:paraId="176CA45A" w14:textId="72D69B90" w:rsidR="009E783D" w:rsidRDefault="00113FA8" w:rsidP="009E783D">
      <w:pPr>
        <w:rPr>
          <w:color w:val="000000"/>
        </w:rPr>
      </w:pPr>
      <w:r>
        <w:rPr>
          <w:color w:val="000000"/>
        </w:rPr>
        <w:t>This output i</w:t>
      </w:r>
      <w:r w:rsidR="009E783D" w:rsidRPr="00A84CBD">
        <w:rPr>
          <w:color w:val="000000"/>
        </w:rPr>
        <w:t>nvolves handling complaints</w:t>
      </w:r>
      <w:r w:rsidR="009E783D">
        <w:rPr>
          <w:color w:val="000000"/>
        </w:rPr>
        <w:t xml:space="preserve"> from the telecommunications industry and consumers</w:t>
      </w:r>
      <w:r w:rsidR="009E783D" w:rsidRPr="00A84CBD">
        <w:rPr>
          <w:color w:val="000000"/>
        </w:rPr>
        <w:t xml:space="preserve">, compliance monitoring of devices subject to labelling arrangements and telecommunications cabling, </w:t>
      </w:r>
      <w:r w:rsidR="00594C25">
        <w:rPr>
          <w:color w:val="000000"/>
        </w:rPr>
        <w:t xml:space="preserve">compliance monitoring of </w:t>
      </w:r>
      <w:r w:rsidR="009E783D" w:rsidRPr="00A84CBD">
        <w:rPr>
          <w:color w:val="000000"/>
        </w:rPr>
        <w:t xml:space="preserve">electromagnetic </w:t>
      </w:r>
      <w:r w:rsidR="00CF5341">
        <w:rPr>
          <w:color w:val="000000"/>
        </w:rPr>
        <w:t>activities</w:t>
      </w:r>
      <w:r w:rsidR="009E783D" w:rsidRPr="00A84CBD">
        <w:rPr>
          <w:color w:val="000000"/>
        </w:rPr>
        <w:t>, compliance with consumer protection codes, undertaking audit programs, issuing warning notices</w:t>
      </w:r>
      <w:r w:rsidR="00AF228C">
        <w:rPr>
          <w:color w:val="000000"/>
        </w:rPr>
        <w:t xml:space="preserve"> and </w:t>
      </w:r>
      <w:r w:rsidR="00CE1BCF">
        <w:rPr>
          <w:color w:val="000000"/>
        </w:rPr>
        <w:t>directions to comply</w:t>
      </w:r>
      <w:r w:rsidR="00AF228C">
        <w:rPr>
          <w:color w:val="000000"/>
        </w:rPr>
        <w:t>,</w:t>
      </w:r>
      <w:r w:rsidR="00CE1BCF">
        <w:rPr>
          <w:color w:val="000000"/>
        </w:rPr>
        <w:t xml:space="preserve"> </w:t>
      </w:r>
      <w:r w:rsidR="009E783D" w:rsidRPr="00A84CBD">
        <w:rPr>
          <w:color w:val="000000"/>
        </w:rPr>
        <w:t xml:space="preserve">and </w:t>
      </w:r>
      <w:r w:rsidR="003B0551">
        <w:rPr>
          <w:color w:val="000000"/>
        </w:rPr>
        <w:t xml:space="preserve">taking other </w:t>
      </w:r>
      <w:r w:rsidR="009E783D" w:rsidRPr="00A84CBD">
        <w:rPr>
          <w:color w:val="000000"/>
        </w:rPr>
        <w:t xml:space="preserve">enforcement </w:t>
      </w:r>
      <w:r w:rsidR="009E783D">
        <w:rPr>
          <w:color w:val="000000"/>
        </w:rPr>
        <w:t>actions</w:t>
      </w:r>
      <w:r w:rsidR="009E783D" w:rsidRPr="00A84CBD">
        <w:rPr>
          <w:color w:val="000000"/>
        </w:rPr>
        <w:t>.</w:t>
      </w:r>
      <w:r w:rsidR="000C599B">
        <w:rPr>
          <w:color w:val="000000"/>
        </w:rPr>
        <w:t xml:space="preserve"> </w:t>
      </w:r>
    </w:p>
    <w:p w14:paraId="6E305195" w14:textId="3576D882" w:rsidR="00D849B2" w:rsidRDefault="00D92E67" w:rsidP="00655393">
      <w:r w:rsidRPr="00D92E67">
        <w:t>T</w:t>
      </w:r>
      <w:r w:rsidR="00D849B2" w:rsidRPr="00D92E67">
        <w:t xml:space="preserve">able 5 provides details </w:t>
      </w:r>
      <w:r w:rsidRPr="00D92E67">
        <w:t>of</w:t>
      </w:r>
      <w:r w:rsidR="00D849B2" w:rsidRPr="00D92E67">
        <w:t xml:space="preserve"> the activities </w:t>
      </w:r>
      <w:r w:rsidRPr="00D92E67">
        <w:t>performed</w:t>
      </w:r>
      <w:r w:rsidR="00D849B2" w:rsidRPr="00D92E67">
        <w:t xml:space="preserve"> under this output along with direct costs and support costs.</w:t>
      </w:r>
    </w:p>
    <w:p w14:paraId="2B5CB76A" w14:textId="1EF51C3A" w:rsidR="006E3208" w:rsidRDefault="006E3208" w:rsidP="00655393"/>
    <w:p w14:paraId="3C4891D2" w14:textId="470EFA55" w:rsidR="006E3208" w:rsidRDefault="006E3208" w:rsidP="00655393"/>
    <w:p w14:paraId="24A66EF0" w14:textId="1FFAC1C9" w:rsidR="006E3208" w:rsidRDefault="006E3208" w:rsidP="00655393"/>
    <w:p w14:paraId="71E8F244" w14:textId="10A30807" w:rsidR="006E3208" w:rsidRDefault="006E3208" w:rsidP="00655393"/>
    <w:p w14:paraId="5977A89E" w14:textId="5E8C9874" w:rsidR="006E3208" w:rsidRDefault="006E3208" w:rsidP="00655393"/>
    <w:p w14:paraId="52C178ED" w14:textId="6348ED51" w:rsidR="006E3208" w:rsidRDefault="006E3208" w:rsidP="00655393"/>
    <w:p w14:paraId="7FC538BA" w14:textId="4C1E44E2" w:rsidR="006E3208" w:rsidRDefault="006E3208" w:rsidP="00655393"/>
    <w:p w14:paraId="4045821F" w14:textId="459DA7F1" w:rsidR="006E3208" w:rsidRDefault="006E3208" w:rsidP="00655393"/>
    <w:p w14:paraId="4C40A9BB" w14:textId="67BC5B53" w:rsidR="006E3208" w:rsidRDefault="006E3208" w:rsidP="00655393"/>
    <w:p w14:paraId="40086AAD" w14:textId="1DF13B6D" w:rsidR="006E3208" w:rsidRDefault="006E3208" w:rsidP="00655393"/>
    <w:p w14:paraId="4A819080" w14:textId="67915869" w:rsidR="006E3208" w:rsidRDefault="006E3208" w:rsidP="00655393"/>
    <w:p w14:paraId="50093D80" w14:textId="77777777" w:rsidR="006E3208" w:rsidRPr="009E1880" w:rsidRDefault="006E3208" w:rsidP="00655393"/>
    <w:p w14:paraId="52661F98" w14:textId="39E52B73" w:rsidR="00D849B2" w:rsidRPr="001D64D9" w:rsidRDefault="00D849B2" w:rsidP="00D849B2">
      <w:pPr>
        <w:pStyle w:val="ACMATableHeader"/>
      </w:pPr>
      <w:r>
        <w:lastRenderedPageBreak/>
        <w:t>Compliance</w:t>
      </w:r>
      <w:r w:rsidR="008A692D">
        <w:t>,</w:t>
      </w:r>
      <w:r>
        <w:t xml:space="preserve"> enforcement</w:t>
      </w:r>
      <w:r w:rsidR="008A692D">
        <w:t xml:space="preserve"> and consumer safeguard</w:t>
      </w:r>
      <w:r w:rsidR="00CB72DF">
        <w:t>—</w:t>
      </w:r>
      <w:r>
        <w:t xml:space="preserve">activities and costs </w:t>
      </w:r>
      <w:r w:rsidR="00452183">
        <w:t xml:space="preserve">for </w:t>
      </w:r>
      <w:r>
        <w:t>2018</w:t>
      </w:r>
      <w:r w:rsidRPr="001D64D9">
        <w:t>–1</w:t>
      </w:r>
      <w:r>
        <w:t>9</w:t>
      </w:r>
      <w:r w:rsidRPr="001D64D9">
        <w:t xml:space="preserve"> </w:t>
      </w:r>
      <w:r w:rsidR="00452183">
        <w:t xml:space="preserve">ACLC </w:t>
      </w:r>
      <w:r w:rsidRPr="001D64D9">
        <w:t>(based on 201</w:t>
      </w:r>
      <w:r>
        <w:t>7</w:t>
      </w:r>
      <w:r w:rsidRPr="001D64D9">
        <w:t>–1</w:t>
      </w:r>
      <w:r>
        <w:t>8</w:t>
      </w:r>
      <w:r w:rsidRPr="001D64D9">
        <w:t xml:space="preserve"> costs)</w:t>
      </w:r>
    </w:p>
    <w:tbl>
      <w:tblPr>
        <w:tblW w:w="48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3961"/>
        <w:gridCol w:w="1134"/>
        <w:gridCol w:w="1134"/>
        <w:gridCol w:w="1155"/>
      </w:tblGrid>
      <w:tr w:rsidR="00D849B2" w:rsidRPr="00B64534" w14:paraId="030F3808" w14:textId="77777777" w:rsidTr="00F0261D">
        <w:trPr>
          <w:trHeight w:val="361"/>
          <w:tblHeader/>
        </w:trPr>
        <w:tc>
          <w:tcPr>
            <w:tcW w:w="2682" w:type="pct"/>
            <w:shd w:val="clear" w:color="auto" w:fill="404040" w:themeFill="text1" w:themeFillTint="BF"/>
            <w:vAlign w:val="center"/>
          </w:tcPr>
          <w:p w14:paraId="5C2A2161" w14:textId="40CB7549" w:rsidR="00D849B2" w:rsidRPr="00B64534" w:rsidRDefault="00D849B2" w:rsidP="003D5194">
            <w:pPr>
              <w:pStyle w:val="TableHeading"/>
              <w:rPr>
                <w:b w:val="0"/>
                <w:color w:val="FFFFFF" w:themeColor="background1"/>
              </w:rPr>
            </w:pPr>
            <w:r>
              <w:rPr>
                <w:color w:val="FFFFFF" w:themeColor="background1"/>
              </w:rPr>
              <w:t>Activity</w:t>
            </w:r>
          </w:p>
        </w:tc>
        <w:tc>
          <w:tcPr>
            <w:tcW w:w="768" w:type="pct"/>
            <w:shd w:val="clear" w:color="000000" w:fill="404040"/>
            <w:vAlign w:val="center"/>
          </w:tcPr>
          <w:p w14:paraId="574F7C2D" w14:textId="056009E3" w:rsidR="00D849B2" w:rsidRPr="00B64534" w:rsidRDefault="00D849B2" w:rsidP="00C17CC3">
            <w:pPr>
              <w:pStyle w:val="TableHeading"/>
              <w:rPr>
                <w:b w:val="0"/>
                <w:color w:val="FFFFFF" w:themeColor="background1"/>
              </w:rPr>
            </w:pPr>
            <w:r w:rsidRPr="00B64534">
              <w:rPr>
                <w:bCs/>
                <w:color w:val="FFFFFF" w:themeColor="background1"/>
              </w:rPr>
              <w:t>Direct cost</w:t>
            </w:r>
          </w:p>
        </w:tc>
        <w:tc>
          <w:tcPr>
            <w:tcW w:w="768" w:type="pct"/>
            <w:shd w:val="clear" w:color="000000" w:fill="404040"/>
            <w:vAlign w:val="center"/>
          </w:tcPr>
          <w:p w14:paraId="1F5BA071" w14:textId="14336F68" w:rsidR="00D849B2" w:rsidRPr="00B64534" w:rsidRDefault="00D849B2" w:rsidP="00C17CC3">
            <w:pPr>
              <w:pStyle w:val="TableHeading"/>
              <w:rPr>
                <w:b w:val="0"/>
                <w:color w:val="FFFFFF" w:themeColor="background1"/>
              </w:rPr>
            </w:pPr>
            <w:r w:rsidRPr="00B64534">
              <w:rPr>
                <w:bCs/>
                <w:color w:val="FFFFFF" w:themeColor="background1"/>
              </w:rPr>
              <w:t>Support cost</w:t>
            </w:r>
          </w:p>
        </w:tc>
        <w:tc>
          <w:tcPr>
            <w:tcW w:w="782" w:type="pct"/>
            <w:shd w:val="clear" w:color="000000" w:fill="404040"/>
            <w:vAlign w:val="center"/>
          </w:tcPr>
          <w:p w14:paraId="34909F59" w14:textId="2DBDA0C5" w:rsidR="00F0261D" w:rsidRDefault="00D849B2" w:rsidP="00C17CC3">
            <w:pPr>
              <w:pStyle w:val="TableHeading"/>
              <w:rPr>
                <w:bCs/>
                <w:color w:val="FFFFFF" w:themeColor="background1"/>
              </w:rPr>
            </w:pPr>
            <w:r w:rsidRPr="00B64534">
              <w:rPr>
                <w:bCs/>
                <w:color w:val="FFFFFF" w:themeColor="background1"/>
              </w:rPr>
              <w:t>Total</w:t>
            </w:r>
          </w:p>
          <w:p w14:paraId="1926DD94" w14:textId="3DE15C2C" w:rsidR="00D849B2" w:rsidRPr="00B64534" w:rsidRDefault="00D849B2" w:rsidP="00C17CC3">
            <w:pPr>
              <w:pStyle w:val="TableHeading"/>
              <w:rPr>
                <w:b w:val="0"/>
                <w:color w:val="FFFFFF" w:themeColor="background1"/>
              </w:rPr>
            </w:pPr>
            <w:r w:rsidRPr="00B64534">
              <w:rPr>
                <w:bCs/>
                <w:color w:val="FFFFFF" w:themeColor="background1"/>
              </w:rPr>
              <w:t>cost</w:t>
            </w:r>
          </w:p>
        </w:tc>
      </w:tr>
      <w:tr w:rsidR="00D7517D" w14:paraId="21EAC17B" w14:textId="77777777" w:rsidTr="00F0261D">
        <w:trPr>
          <w:trHeight w:val="226"/>
        </w:trPr>
        <w:tc>
          <w:tcPr>
            <w:tcW w:w="2682" w:type="pct"/>
          </w:tcPr>
          <w:p w14:paraId="1165B1EF" w14:textId="00DD676C" w:rsidR="00D7517D" w:rsidRPr="006E3208" w:rsidRDefault="00D7517D" w:rsidP="00D7517D">
            <w:pPr>
              <w:keepNext/>
              <w:spacing w:after="0"/>
              <w:rPr>
                <w:rFonts w:cs="Arial"/>
                <w:sz w:val="18"/>
                <w:szCs w:val="18"/>
              </w:rPr>
            </w:pPr>
            <w:bookmarkStart w:id="60" w:name="_Hlk9519580"/>
            <w:r w:rsidRPr="006E3208">
              <w:rPr>
                <w:sz w:val="18"/>
                <w:szCs w:val="18"/>
              </w:rPr>
              <w:t xml:space="preserve">Contributing submissions to </w:t>
            </w:r>
            <w:r w:rsidR="00FD62B2">
              <w:rPr>
                <w:sz w:val="18"/>
                <w:szCs w:val="18"/>
              </w:rPr>
              <w:t xml:space="preserve">a </w:t>
            </w:r>
            <w:r w:rsidRPr="006E3208">
              <w:rPr>
                <w:sz w:val="18"/>
                <w:szCs w:val="18"/>
              </w:rPr>
              <w:t xml:space="preserve">range of consumer safeguards consultation processes </w:t>
            </w:r>
          </w:p>
        </w:tc>
        <w:tc>
          <w:tcPr>
            <w:tcW w:w="768" w:type="pct"/>
            <w:shd w:val="clear" w:color="auto" w:fill="auto"/>
          </w:tcPr>
          <w:p w14:paraId="0567D400" w14:textId="2507CEE8" w:rsidR="00D7517D" w:rsidRPr="006E3208" w:rsidRDefault="00D7517D" w:rsidP="00C17CC3">
            <w:pPr>
              <w:keepNext/>
              <w:spacing w:after="0"/>
              <w:rPr>
                <w:sz w:val="18"/>
                <w:szCs w:val="18"/>
              </w:rPr>
            </w:pPr>
            <w:r w:rsidRPr="006E3208">
              <w:rPr>
                <w:sz w:val="18"/>
                <w:szCs w:val="18"/>
              </w:rPr>
              <w:t>$103,326</w:t>
            </w:r>
          </w:p>
        </w:tc>
        <w:tc>
          <w:tcPr>
            <w:tcW w:w="768" w:type="pct"/>
            <w:shd w:val="clear" w:color="auto" w:fill="auto"/>
          </w:tcPr>
          <w:p w14:paraId="7B3CC3FC" w14:textId="04BD6EE7" w:rsidR="00D7517D" w:rsidRPr="006E3208" w:rsidRDefault="00D7517D" w:rsidP="00C17CC3">
            <w:pPr>
              <w:keepNext/>
              <w:spacing w:after="0"/>
              <w:rPr>
                <w:sz w:val="18"/>
                <w:szCs w:val="18"/>
              </w:rPr>
            </w:pPr>
            <w:r w:rsidRPr="006E3208">
              <w:rPr>
                <w:sz w:val="18"/>
                <w:szCs w:val="18"/>
              </w:rPr>
              <w:t>$131,17</w:t>
            </w:r>
            <w:r w:rsidR="006E3208">
              <w:rPr>
                <w:sz w:val="18"/>
                <w:szCs w:val="18"/>
              </w:rPr>
              <w:t>7</w:t>
            </w:r>
          </w:p>
        </w:tc>
        <w:tc>
          <w:tcPr>
            <w:tcW w:w="782" w:type="pct"/>
            <w:shd w:val="clear" w:color="auto" w:fill="auto"/>
          </w:tcPr>
          <w:p w14:paraId="65379F65" w14:textId="5A4C66E9" w:rsidR="00D7517D" w:rsidRPr="006E3208" w:rsidRDefault="00D7517D" w:rsidP="00C17CC3">
            <w:pPr>
              <w:keepNext/>
              <w:spacing w:after="0"/>
              <w:rPr>
                <w:sz w:val="18"/>
                <w:szCs w:val="18"/>
              </w:rPr>
            </w:pPr>
            <w:r w:rsidRPr="006E3208">
              <w:rPr>
                <w:sz w:val="18"/>
                <w:szCs w:val="18"/>
              </w:rPr>
              <w:t>$234,503</w:t>
            </w:r>
          </w:p>
        </w:tc>
      </w:tr>
      <w:tr w:rsidR="00D7517D" w14:paraId="3929F18E" w14:textId="77777777" w:rsidTr="00F0261D">
        <w:trPr>
          <w:trHeight w:val="226"/>
        </w:trPr>
        <w:tc>
          <w:tcPr>
            <w:tcW w:w="2682" w:type="pct"/>
          </w:tcPr>
          <w:p w14:paraId="460D52B7" w14:textId="31288E55" w:rsidR="00D7517D" w:rsidRPr="006E3208" w:rsidRDefault="00D7517D" w:rsidP="00D7517D">
            <w:pPr>
              <w:keepNext/>
              <w:spacing w:after="0"/>
              <w:rPr>
                <w:rFonts w:cs="Arial"/>
                <w:sz w:val="18"/>
                <w:szCs w:val="18"/>
              </w:rPr>
            </w:pPr>
            <w:r w:rsidRPr="006E3208">
              <w:rPr>
                <w:sz w:val="18"/>
                <w:szCs w:val="18"/>
              </w:rPr>
              <w:t>Implementing cabling compliance arrangements including cabling inspections</w:t>
            </w:r>
          </w:p>
        </w:tc>
        <w:tc>
          <w:tcPr>
            <w:tcW w:w="768" w:type="pct"/>
            <w:shd w:val="clear" w:color="auto" w:fill="auto"/>
          </w:tcPr>
          <w:p w14:paraId="082B17D1" w14:textId="379950C1" w:rsidR="00D7517D" w:rsidRPr="006E3208" w:rsidRDefault="00D7517D" w:rsidP="00C17CC3">
            <w:pPr>
              <w:keepNext/>
              <w:spacing w:after="0"/>
              <w:rPr>
                <w:sz w:val="18"/>
                <w:szCs w:val="18"/>
              </w:rPr>
            </w:pPr>
            <w:r w:rsidRPr="006E3208">
              <w:rPr>
                <w:sz w:val="18"/>
                <w:szCs w:val="18"/>
              </w:rPr>
              <w:t>$14,303</w:t>
            </w:r>
          </w:p>
        </w:tc>
        <w:tc>
          <w:tcPr>
            <w:tcW w:w="768" w:type="pct"/>
            <w:shd w:val="clear" w:color="auto" w:fill="auto"/>
          </w:tcPr>
          <w:p w14:paraId="783D5E86" w14:textId="7F172771" w:rsidR="00D7517D" w:rsidRPr="006E3208" w:rsidRDefault="00D7517D" w:rsidP="00C17CC3">
            <w:pPr>
              <w:keepNext/>
              <w:spacing w:after="0"/>
              <w:rPr>
                <w:sz w:val="18"/>
                <w:szCs w:val="18"/>
              </w:rPr>
            </w:pPr>
            <w:r w:rsidRPr="006E3208">
              <w:rPr>
                <w:sz w:val="18"/>
                <w:szCs w:val="18"/>
              </w:rPr>
              <w:t>$20,533</w:t>
            </w:r>
          </w:p>
        </w:tc>
        <w:tc>
          <w:tcPr>
            <w:tcW w:w="782" w:type="pct"/>
            <w:shd w:val="clear" w:color="auto" w:fill="auto"/>
          </w:tcPr>
          <w:p w14:paraId="65604452" w14:textId="4014CDFD" w:rsidR="00D7517D" w:rsidRPr="006E3208" w:rsidRDefault="00D7517D" w:rsidP="00C17CC3">
            <w:pPr>
              <w:keepNext/>
              <w:spacing w:after="0"/>
              <w:rPr>
                <w:sz w:val="18"/>
                <w:szCs w:val="18"/>
              </w:rPr>
            </w:pPr>
            <w:r w:rsidRPr="006E3208">
              <w:rPr>
                <w:sz w:val="18"/>
                <w:szCs w:val="18"/>
              </w:rPr>
              <w:t>$34,836</w:t>
            </w:r>
          </w:p>
        </w:tc>
      </w:tr>
      <w:tr w:rsidR="00D7517D" w14:paraId="4E173EAF" w14:textId="77777777" w:rsidTr="00F0261D">
        <w:trPr>
          <w:trHeight w:val="226"/>
        </w:trPr>
        <w:tc>
          <w:tcPr>
            <w:tcW w:w="2682" w:type="pct"/>
          </w:tcPr>
          <w:p w14:paraId="1924A06B" w14:textId="3DDF3132" w:rsidR="00D7517D" w:rsidRPr="006E3208" w:rsidRDefault="00D7517D" w:rsidP="00D7517D">
            <w:pPr>
              <w:keepNext/>
              <w:spacing w:after="0"/>
              <w:rPr>
                <w:rFonts w:cs="Arial"/>
                <w:sz w:val="18"/>
                <w:szCs w:val="18"/>
              </w:rPr>
            </w:pPr>
            <w:r w:rsidRPr="006E3208">
              <w:rPr>
                <w:sz w:val="18"/>
                <w:szCs w:val="18"/>
              </w:rPr>
              <w:t xml:space="preserve">Investigating non-compliant cabling work </w:t>
            </w:r>
          </w:p>
        </w:tc>
        <w:tc>
          <w:tcPr>
            <w:tcW w:w="768" w:type="pct"/>
            <w:shd w:val="clear" w:color="auto" w:fill="auto"/>
          </w:tcPr>
          <w:p w14:paraId="2D2AD574" w14:textId="0FBBD7FB" w:rsidR="00D7517D" w:rsidRPr="006E3208" w:rsidRDefault="00D7517D" w:rsidP="00C17CC3">
            <w:pPr>
              <w:keepNext/>
              <w:spacing w:after="0"/>
              <w:rPr>
                <w:sz w:val="18"/>
                <w:szCs w:val="18"/>
              </w:rPr>
            </w:pPr>
            <w:r w:rsidRPr="006E3208">
              <w:rPr>
                <w:sz w:val="18"/>
                <w:szCs w:val="18"/>
              </w:rPr>
              <w:t>$9,509</w:t>
            </w:r>
          </w:p>
        </w:tc>
        <w:tc>
          <w:tcPr>
            <w:tcW w:w="768" w:type="pct"/>
            <w:shd w:val="clear" w:color="auto" w:fill="auto"/>
          </w:tcPr>
          <w:p w14:paraId="5F4B9FE6" w14:textId="36510EDD" w:rsidR="00D7517D" w:rsidRPr="006E3208" w:rsidRDefault="00D7517D" w:rsidP="00C17CC3">
            <w:pPr>
              <w:keepNext/>
              <w:spacing w:after="0"/>
              <w:rPr>
                <w:sz w:val="18"/>
                <w:szCs w:val="18"/>
              </w:rPr>
            </w:pPr>
            <w:r w:rsidRPr="006E3208">
              <w:rPr>
                <w:sz w:val="18"/>
                <w:szCs w:val="18"/>
              </w:rPr>
              <w:t>$13,545</w:t>
            </w:r>
          </w:p>
        </w:tc>
        <w:tc>
          <w:tcPr>
            <w:tcW w:w="782" w:type="pct"/>
            <w:shd w:val="clear" w:color="auto" w:fill="auto"/>
          </w:tcPr>
          <w:p w14:paraId="734235CF" w14:textId="792F387A" w:rsidR="00D7517D" w:rsidRPr="006E3208" w:rsidRDefault="00D7517D" w:rsidP="00C17CC3">
            <w:pPr>
              <w:keepNext/>
              <w:spacing w:after="0"/>
              <w:rPr>
                <w:sz w:val="18"/>
                <w:szCs w:val="18"/>
              </w:rPr>
            </w:pPr>
            <w:r w:rsidRPr="006E3208">
              <w:rPr>
                <w:sz w:val="18"/>
                <w:szCs w:val="18"/>
              </w:rPr>
              <w:t>$23,054</w:t>
            </w:r>
          </w:p>
        </w:tc>
      </w:tr>
      <w:tr w:rsidR="00D7517D" w14:paraId="158D90F2" w14:textId="77777777" w:rsidTr="00F0261D">
        <w:trPr>
          <w:trHeight w:val="288"/>
        </w:trPr>
        <w:tc>
          <w:tcPr>
            <w:tcW w:w="2682" w:type="pct"/>
          </w:tcPr>
          <w:p w14:paraId="7E8B3CDB" w14:textId="346D6756" w:rsidR="00D7517D" w:rsidRPr="006E3208" w:rsidRDefault="00D7517D" w:rsidP="008A0447">
            <w:pPr>
              <w:keepNext/>
              <w:spacing w:after="0"/>
              <w:rPr>
                <w:rFonts w:cs="Arial"/>
                <w:sz w:val="18"/>
                <w:szCs w:val="18"/>
              </w:rPr>
            </w:pPr>
            <w:r w:rsidRPr="006E3208">
              <w:rPr>
                <w:sz w:val="18"/>
                <w:szCs w:val="18"/>
              </w:rPr>
              <w:t>Monitoring and investigating compliance with consumer safeguards such as the TCP Code and Priority Assistance regulatory obligations; taking enforcement action resulting from non-compliance with TCP Code; responding to providers</w:t>
            </w:r>
            <w:r w:rsidR="008A692D">
              <w:rPr>
                <w:sz w:val="18"/>
                <w:szCs w:val="18"/>
              </w:rPr>
              <w:t>’</w:t>
            </w:r>
            <w:r w:rsidRPr="006E3208">
              <w:rPr>
                <w:sz w:val="18"/>
                <w:szCs w:val="18"/>
              </w:rPr>
              <w:t xml:space="preserve"> queries about the TIO scheme; handling TIO referrals about potential non-compliance with the scheme; making preliminary enquiries and investigating compliance with the scheme; considering exemption requests; assessing compliance, approving reports and dealing with complaints about the </w:t>
            </w:r>
            <w:r w:rsidR="008A0447">
              <w:rPr>
                <w:sz w:val="18"/>
                <w:szCs w:val="18"/>
              </w:rPr>
              <w:t>C</w:t>
            </w:r>
            <w:r w:rsidRPr="006E3208">
              <w:rPr>
                <w:sz w:val="18"/>
                <w:szCs w:val="18"/>
              </w:rPr>
              <w:t xml:space="preserve">ustomer </w:t>
            </w:r>
            <w:r w:rsidR="008A0447">
              <w:rPr>
                <w:sz w:val="18"/>
                <w:szCs w:val="18"/>
              </w:rPr>
              <w:t>S</w:t>
            </w:r>
            <w:r w:rsidRPr="006E3208">
              <w:rPr>
                <w:sz w:val="18"/>
                <w:szCs w:val="18"/>
              </w:rPr>
              <w:t xml:space="preserve">ervice </w:t>
            </w:r>
            <w:r w:rsidR="008A0447">
              <w:rPr>
                <w:sz w:val="18"/>
                <w:szCs w:val="18"/>
              </w:rPr>
              <w:t>G</w:t>
            </w:r>
            <w:r w:rsidRPr="006E3208">
              <w:rPr>
                <w:sz w:val="18"/>
                <w:szCs w:val="18"/>
              </w:rPr>
              <w:t xml:space="preserve">uarantee, National Relay Service and </w:t>
            </w:r>
            <w:r w:rsidR="008A0447">
              <w:rPr>
                <w:sz w:val="18"/>
                <w:szCs w:val="18"/>
              </w:rPr>
              <w:t xml:space="preserve">provision of payphones under the Universal Services Obligation. </w:t>
            </w:r>
          </w:p>
        </w:tc>
        <w:tc>
          <w:tcPr>
            <w:tcW w:w="768" w:type="pct"/>
            <w:shd w:val="clear" w:color="auto" w:fill="auto"/>
          </w:tcPr>
          <w:p w14:paraId="3EAAA6D4" w14:textId="63BDD87F" w:rsidR="00D7517D" w:rsidRPr="006E3208" w:rsidRDefault="00D7517D" w:rsidP="00C17CC3">
            <w:pPr>
              <w:keepNext/>
              <w:spacing w:after="0"/>
              <w:rPr>
                <w:rFonts w:cs="Arial"/>
                <w:color w:val="000000"/>
                <w:sz w:val="18"/>
                <w:szCs w:val="18"/>
              </w:rPr>
            </w:pPr>
            <w:r w:rsidRPr="006E3208">
              <w:rPr>
                <w:sz w:val="18"/>
                <w:szCs w:val="18"/>
              </w:rPr>
              <w:t>$892,378</w:t>
            </w:r>
          </w:p>
        </w:tc>
        <w:tc>
          <w:tcPr>
            <w:tcW w:w="768" w:type="pct"/>
            <w:shd w:val="clear" w:color="auto" w:fill="auto"/>
          </w:tcPr>
          <w:p w14:paraId="33CEE3DD" w14:textId="267D3CC7" w:rsidR="00D7517D" w:rsidRPr="006E3208" w:rsidRDefault="00D7517D" w:rsidP="00C17CC3">
            <w:pPr>
              <w:keepNext/>
              <w:spacing w:after="0"/>
              <w:rPr>
                <w:rFonts w:cs="Arial"/>
                <w:color w:val="000000"/>
                <w:sz w:val="18"/>
                <w:szCs w:val="18"/>
              </w:rPr>
            </w:pPr>
            <w:r w:rsidRPr="006E3208">
              <w:rPr>
                <w:sz w:val="18"/>
                <w:szCs w:val="18"/>
              </w:rPr>
              <w:t>$1,140,29</w:t>
            </w:r>
            <w:r w:rsidR="006E3208">
              <w:rPr>
                <w:sz w:val="18"/>
                <w:szCs w:val="18"/>
              </w:rPr>
              <w:t>3</w:t>
            </w:r>
          </w:p>
        </w:tc>
        <w:tc>
          <w:tcPr>
            <w:tcW w:w="782" w:type="pct"/>
            <w:shd w:val="clear" w:color="auto" w:fill="auto"/>
          </w:tcPr>
          <w:p w14:paraId="23086EC0" w14:textId="61576BEE" w:rsidR="00D7517D" w:rsidRPr="006E3208" w:rsidRDefault="00D7517D" w:rsidP="00C17CC3">
            <w:pPr>
              <w:keepNext/>
              <w:spacing w:after="0"/>
              <w:rPr>
                <w:rFonts w:cs="Arial"/>
                <w:color w:val="000000"/>
                <w:sz w:val="18"/>
                <w:szCs w:val="18"/>
              </w:rPr>
            </w:pPr>
            <w:r w:rsidRPr="006E3208">
              <w:rPr>
                <w:sz w:val="18"/>
                <w:szCs w:val="18"/>
              </w:rPr>
              <w:t>$2,032,671</w:t>
            </w:r>
          </w:p>
        </w:tc>
      </w:tr>
      <w:tr w:rsidR="00D7517D" w14:paraId="346E8BA4" w14:textId="77777777" w:rsidTr="00F0261D">
        <w:trPr>
          <w:trHeight w:val="294"/>
        </w:trPr>
        <w:tc>
          <w:tcPr>
            <w:tcW w:w="2682" w:type="pct"/>
          </w:tcPr>
          <w:p w14:paraId="72FE5B8B" w14:textId="3AA4BB5C" w:rsidR="00D7517D" w:rsidRPr="006E3208" w:rsidRDefault="00D7517D" w:rsidP="00D7517D">
            <w:pPr>
              <w:keepNext/>
              <w:spacing w:after="0"/>
              <w:rPr>
                <w:rFonts w:cs="Arial"/>
                <w:sz w:val="18"/>
                <w:szCs w:val="18"/>
              </w:rPr>
            </w:pPr>
            <w:r w:rsidRPr="006E3208">
              <w:rPr>
                <w:sz w:val="18"/>
                <w:szCs w:val="18"/>
              </w:rPr>
              <w:t xml:space="preserve">Providing newsletters and quarterly telecommunications facts and figures on </w:t>
            </w:r>
            <w:r w:rsidR="00AC1A83">
              <w:t xml:space="preserve">the </w:t>
            </w:r>
            <w:r w:rsidR="008A0447">
              <w:rPr>
                <w:sz w:val="18"/>
                <w:szCs w:val="18"/>
              </w:rPr>
              <w:t>ACMA</w:t>
            </w:r>
            <w:r w:rsidR="00085F34">
              <w:rPr>
                <w:sz w:val="18"/>
                <w:szCs w:val="18"/>
              </w:rPr>
              <w:t>’s</w:t>
            </w:r>
            <w:r w:rsidR="008A0447">
              <w:rPr>
                <w:sz w:val="18"/>
                <w:szCs w:val="18"/>
              </w:rPr>
              <w:t xml:space="preserve"> </w:t>
            </w:r>
            <w:r w:rsidRPr="006E3208">
              <w:rPr>
                <w:sz w:val="18"/>
                <w:szCs w:val="18"/>
              </w:rPr>
              <w:t xml:space="preserve">website; providing fact sheets and maintaining currency of supporting consumer material on </w:t>
            </w:r>
            <w:r w:rsidR="00AC1A83">
              <w:t xml:space="preserve">the </w:t>
            </w:r>
            <w:r w:rsidRPr="006E3208">
              <w:rPr>
                <w:sz w:val="18"/>
                <w:szCs w:val="18"/>
              </w:rPr>
              <w:t xml:space="preserve">ACMA website and other media platforms </w:t>
            </w:r>
          </w:p>
        </w:tc>
        <w:tc>
          <w:tcPr>
            <w:tcW w:w="768" w:type="pct"/>
            <w:shd w:val="clear" w:color="auto" w:fill="auto"/>
          </w:tcPr>
          <w:p w14:paraId="230AD637" w14:textId="05277ED8" w:rsidR="00D7517D" w:rsidRPr="006E3208" w:rsidRDefault="00D7517D" w:rsidP="00C17CC3">
            <w:pPr>
              <w:keepNext/>
              <w:spacing w:after="0"/>
              <w:rPr>
                <w:rFonts w:cs="Arial"/>
                <w:color w:val="000000"/>
                <w:sz w:val="18"/>
                <w:szCs w:val="18"/>
              </w:rPr>
            </w:pPr>
            <w:r w:rsidRPr="006E3208">
              <w:rPr>
                <w:sz w:val="18"/>
                <w:szCs w:val="18"/>
              </w:rPr>
              <w:t>$103,326</w:t>
            </w:r>
          </w:p>
        </w:tc>
        <w:tc>
          <w:tcPr>
            <w:tcW w:w="768" w:type="pct"/>
            <w:shd w:val="clear" w:color="auto" w:fill="auto"/>
          </w:tcPr>
          <w:p w14:paraId="71C8B30D" w14:textId="3FD48C5F" w:rsidR="00D7517D" w:rsidRPr="006E3208" w:rsidRDefault="00D7517D" w:rsidP="00C17CC3">
            <w:pPr>
              <w:keepNext/>
              <w:spacing w:after="0"/>
              <w:rPr>
                <w:rFonts w:cs="Arial"/>
                <w:color w:val="000000"/>
                <w:sz w:val="18"/>
                <w:szCs w:val="18"/>
              </w:rPr>
            </w:pPr>
            <w:r w:rsidRPr="006E3208">
              <w:rPr>
                <w:sz w:val="18"/>
                <w:szCs w:val="18"/>
              </w:rPr>
              <w:t>$131,17</w:t>
            </w:r>
            <w:r w:rsidR="006E3208">
              <w:rPr>
                <w:sz w:val="18"/>
                <w:szCs w:val="18"/>
              </w:rPr>
              <w:t>7</w:t>
            </w:r>
          </w:p>
        </w:tc>
        <w:tc>
          <w:tcPr>
            <w:tcW w:w="782" w:type="pct"/>
            <w:shd w:val="clear" w:color="auto" w:fill="auto"/>
          </w:tcPr>
          <w:p w14:paraId="3B89E6F8" w14:textId="71D46FA9" w:rsidR="00D7517D" w:rsidRPr="006E3208" w:rsidRDefault="00D7517D" w:rsidP="00C17CC3">
            <w:pPr>
              <w:keepNext/>
              <w:spacing w:after="0"/>
              <w:rPr>
                <w:rFonts w:cs="Arial"/>
                <w:color w:val="000000"/>
                <w:sz w:val="18"/>
                <w:szCs w:val="18"/>
              </w:rPr>
            </w:pPr>
            <w:r w:rsidRPr="006E3208">
              <w:rPr>
                <w:sz w:val="18"/>
                <w:szCs w:val="18"/>
              </w:rPr>
              <w:t>$234,503</w:t>
            </w:r>
          </w:p>
        </w:tc>
      </w:tr>
      <w:tr w:rsidR="00D7517D" w14:paraId="38C89F20" w14:textId="77777777" w:rsidTr="00F0261D">
        <w:trPr>
          <w:trHeight w:val="157"/>
        </w:trPr>
        <w:tc>
          <w:tcPr>
            <w:tcW w:w="2682" w:type="pct"/>
          </w:tcPr>
          <w:p w14:paraId="0FEFDA5D" w14:textId="3C645B71" w:rsidR="00D7517D" w:rsidRPr="006E3208" w:rsidRDefault="00D7517D" w:rsidP="00D7517D">
            <w:pPr>
              <w:keepNext/>
              <w:spacing w:after="0"/>
              <w:rPr>
                <w:rFonts w:cs="Arial"/>
                <w:sz w:val="18"/>
                <w:szCs w:val="18"/>
              </w:rPr>
            </w:pPr>
            <w:r w:rsidRPr="006E3208">
              <w:rPr>
                <w:sz w:val="18"/>
                <w:szCs w:val="18"/>
              </w:rPr>
              <w:t>Revenue collection and compliance</w:t>
            </w:r>
          </w:p>
        </w:tc>
        <w:tc>
          <w:tcPr>
            <w:tcW w:w="768" w:type="pct"/>
            <w:shd w:val="clear" w:color="auto" w:fill="auto"/>
          </w:tcPr>
          <w:p w14:paraId="7F98D5B5" w14:textId="5739DDDD" w:rsidR="00D7517D" w:rsidRPr="006E3208" w:rsidRDefault="00D7517D" w:rsidP="00C17CC3">
            <w:pPr>
              <w:keepNext/>
              <w:spacing w:after="0"/>
              <w:rPr>
                <w:rFonts w:cs="Arial"/>
                <w:color w:val="000000"/>
                <w:sz w:val="18"/>
                <w:szCs w:val="18"/>
              </w:rPr>
            </w:pPr>
            <w:r w:rsidRPr="006E3208">
              <w:rPr>
                <w:sz w:val="18"/>
                <w:szCs w:val="18"/>
              </w:rPr>
              <w:t>$0</w:t>
            </w:r>
          </w:p>
        </w:tc>
        <w:tc>
          <w:tcPr>
            <w:tcW w:w="768" w:type="pct"/>
            <w:shd w:val="clear" w:color="auto" w:fill="auto"/>
          </w:tcPr>
          <w:p w14:paraId="254B7C3D" w14:textId="58F9237B" w:rsidR="00D7517D" w:rsidRPr="006E3208" w:rsidRDefault="00D7517D" w:rsidP="00C17CC3">
            <w:pPr>
              <w:keepNext/>
              <w:spacing w:after="0"/>
              <w:rPr>
                <w:rFonts w:cs="Arial"/>
                <w:color w:val="000000"/>
                <w:sz w:val="18"/>
                <w:szCs w:val="18"/>
              </w:rPr>
            </w:pPr>
            <w:r w:rsidRPr="006E3208">
              <w:rPr>
                <w:sz w:val="18"/>
                <w:szCs w:val="18"/>
              </w:rPr>
              <w:t>$478,047</w:t>
            </w:r>
            <w:r w:rsidR="00113FA8">
              <w:rPr>
                <w:rStyle w:val="FootnoteReference"/>
                <w:sz w:val="18"/>
                <w:szCs w:val="18"/>
              </w:rPr>
              <w:footnoteReference w:id="13"/>
            </w:r>
          </w:p>
        </w:tc>
        <w:tc>
          <w:tcPr>
            <w:tcW w:w="782" w:type="pct"/>
            <w:shd w:val="clear" w:color="auto" w:fill="auto"/>
          </w:tcPr>
          <w:p w14:paraId="5BE9F0D2" w14:textId="7DCC9D4D" w:rsidR="00D7517D" w:rsidRPr="006E3208" w:rsidRDefault="00D7517D" w:rsidP="00C17CC3">
            <w:pPr>
              <w:keepNext/>
              <w:spacing w:after="0"/>
              <w:rPr>
                <w:rFonts w:cs="Arial"/>
                <w:color w:val="000000"/>
                <w:sz w:val="18"/>
                <w:szCs w:val="18"/>
              </w:rPr>
            </w:pPr>
            <w:r w:rsidRPr="006E3208">
              <w:rPr>
                <w:sz w:val="18"/>
                <w:szCs w:val="18"/>
              </w:rPr>
              <w:t>$478,047</w:t>
            </w:r>
          </w:p>
        </w:tc>
      </w:tr>
      <w:tr w:rsidR="00D7517D" w14:paraId="7491CE58" w14:textId="77777777" w:rsidTr="00F0261D">
        <w:trPr>
          <w:trHeight w:val="219"/>
        </w:trPr>
        <w:tc>
          <w:tcPr>
            <w:tcW w:w="2682" w:type="pct"/>
          </w:tcPr>
          <w:p w14:paraId="038D6B9D" w14:textId="7114CB99" w:rsidR="00D7517D" w:rsidRPr="006E3208" w:rsidRDefault="00D7517D" w:rsidP="00D7517D">
            <w:pPr>
              <w:keepNext/>
              <w:spacing w:after="0"/>
              <w:rPr>
                <w:rFonts w:cs="Arial"/>
                <w:sz w:val="18"/>
                <w:szCs w:val="18"/>
              </w:rPr>
            </w:pPr>
            <w:r w:rsidRPr="006E3208">
              <w:rPr>
                <w:sz w:val="18"/>
                <w:szCs w:val="18"/>
              </w:rPr>
              <w:t>Undertaking investigations about the emergency call service, carrier licensing and infrastructure deployment; reporting on the number of disclosures of customer information and the costs of providing an interception capability; enforcing compliance with the requirement to submit interception capability plans; reporting on the cost of data retention and telecommunications sector security reforms</w:t>
            </w:r>
          </w:p>
        </w:tc>
        <w:tc>
          <w:tcPr>
            <w:tcW w:w="768" w:type="pct"/>
            <w:shd w:val="clear" w:color="auto" w:fill="auto"/>
          </w:tcPr>
          <w:p w14:paraId="63662978" w14:textId="6201465E" w:rsidR="00D7517D" w:rsidRPr="006E3208" w:rsidRDefault="00D7517D" w:rsidP="00C17CC3">
            <w:pPr>
              <w:keepNext/>
              <w:spacing w:after="0"/>
              <w:rPr>
                <w:rFonts w:cs="Arial"/>
                <w:color w:val="000000"/>
                <w:sz w:val="18"/>
                <w:szCs w:val="18"/>
              </w:rPr>
            </w:pPr>
            <w:r w:rsidRPr="006E3208">
              <w:rPr>
                <w:sz w:val="18"/>
                <w:szCs w:val="18"/>
              </w:rPr>
              <w:t>$486,603</w:t>
            </w:r>
          </w:p>
        </w:tc>
        <w:tc>
          <w:tcPr>
            <w:tcW w:w="768" w:type="pct"/>
            <w:shd w:val="clear" w:color="auto" w:fill="auto"/>
          </w:tcPr>
          <w:p w14:paraId="6151CCB7" w14:textId="18D01CC6" w:rsidR="00D7517D" w:rsidRPr="006E3208" w:rsidRDefault="00D7517D" w:rsidP="00C17CC3">
            <w:pPr>
              <w:keepNext/>
              <w:spacing w:after="0"/>
              <w:rPr>
                <w:rFonts w:cs="Arial"/>
                <w:color w:val="000000"/>
                <w:sz w:val="18"/>
                <w:szCs w:val="18"/>
              </w:rPr>
            </w:pPr>
            <w:r w:rsidRPr="006E3208">
              <w:rPr>
                <w:sz w:val="18"/>
                <w:szCs w:val="18"/>
              </w:rPr>
              <w:t>$653,999</w:t>
            </w:r>
          </w:p>
        </w:tc>
        <w:tc>
          <w:tcPr>
            <w:tcW w:w="782" w:type="pct"/>
            <w:shd w:val="clear" w:color="auto" w:fill="auto"/>
          </w:tcPr>
          <w:p w14:paraId="1A276671" w14:textId="2DBB9D5E" w:rsidR="00D7517D" w:rsidRPr="006E3208" w:rsidRDefault="00D7517D" w:rsidP="00C17CC3">
            <w:pPr>
              <w:keepNext/>
              <w:spacing w:after="0"/>
              <w:rPr>
                <w:rFonts w:cs="Arial"/>
                <w:color w:val="000000"/>
                <w:sz w:val="18"/>
                <w:szCs w:val="18"/>
              </w:rPr>
            </w:pPr>
            <w:r w:rsidRPr="006E3208">
              <w:rPr>
                <w:sz w:val="18"/>
                <w:szCs w:val="18"/>
              </w:rPr>
              <w:t>$1,140,602</w:t>
            </w:r>
          </w:p>
        </w:tc>
      </w:tr>
      <w:bookmarkEnd w:id="60"/>
      <w:tr w:rsidR="00D7517D" w14:paraId="179D8AC0" w14:textId="77777777" w:rsidTr="00F0261D">
        <w:trPr>
          <w:trHeight w:val="21"/>
        </w:trPr>
        <w:tc>
          <w:tcPr>
            <w:tcW w:w="2682" w:type="pct"/>
            <w:shd w:val="clear" w:color="auto" w:fill="D9D9D9" w:themeFill="background1" w:themeFillShade="D9"/>
            <w:vAlign w:val="center"/>
          </w:tcPr>
          <w:p w14:paraId="18A6093F" w14:textId="77777777" w:rsidR="00D7517D" w:rsidRPr="006E3208" w:rsidRDefault="00D7517D" w:rsidP="00D7517D">
            <w:pPr>
              <w:keepNext/>
              <w:spacing w:after="0"/>
              <w:rPr>
                <w:rFonts w:cs="Arial"/>
                <w:b/>
                <w:iCs/>
                <w:color w:val="000000" w:themeColor="text1"/>
                <w:sz w:val="18"/>
                <w:szCs w:val="18"/>
              </w:rPr>
            </w:pPr>
            <w:r w:rsidRPr="006E3208">
              <w:rPr>
                <w:rFonts w:cs="Arial"/>
                <w:b/>
                <w:iCs/>
                <w:color w:val="000000" w:themeColor="text1"/>
                <w:sz w:val="18"/>
                <w:szCs w:val="18"/>
              </w:rPr>
              <w:t>Total costs</w:t>
            </w:r>
          </w:p>
        </w:tc>
        <w:tc>
          <w:tcPr>
            <w:tcW w:w="768" w:type="pct"/>
            <w:shd w:val="clear" w:color="000000" w:fill="D9D9D9"/>
          </w:tcPr>
          <w:p w14:paraId="34BD725B" w14:textId="265F68C3" w:rsidR="00D7517D" w:rsidRPr="006E3208" w:rsidRDefault="00D7517D" w:rsidP="00C17CC3">
            <w:pPr>
              <w:keepNext/>
              <w:spacing w:after="0"/>
              <w:rPr>
                <w:rFonts w:cs="Arial"/>
                <w:b/>
                <w:bCs/>
                <w:color w:val="000000"/>
                <w:sz w:val="18"/>
                <w:szCs w:val="18"/>
              </w:rPr>
            </w:pPr>
            <w:r w:rsidRPr="006E3208">
              <w:rPr>
                <w:sz w:val="18"/>
                <w:szCs w:val="18"/>
              </w:rPr>
              <w:t>$</w:t>
            </w:r>
            <w:r w:rsidR="00855426">
              <w:rPr>
                <w:sz w:val="18"/>
                <w:szCs w:val="18"/>
              </w:rPr>
              <w:t>1,609,445</w:t>
            </w:r>
          </w:p>
        </w:tc>
        <w:tc>
          <w:tcPr>
            <w:tcW w:w="768" w:type="pct"/>
            <w:shd w:val="clear" w:color="000000" w:fill="D9D9D9"/>
          </w:tcPr>
          <w:p w14:paraId="62D8D6F0" w14:textId="3542CFBE" w:rsidR="00D7517D" w:rsidRPr="006E3208" w:rsidRDefault="00D7517D" w:rsidP="00C17CC3">
            <w:pPr>
              <w:keepNext/>
              <w:spacing w:after="0"/>
              <w:rPr>
                <w:rFonts w:cs="Arial"/>
                <w:b/>
                <w:bCs/>
                <w:color w:val="000000"/>
                <w:sz w:val="18"/>
                <w:szCs w:val="18"/>
              </w:rPr>
            </w:pPr>
            <w:r w:rsidRPr="006E3208">
              <w:rPr>
                <w:sz w:val="18"/>
                <w:szCs w:val="18"/>
              </w:rPr>
              <w:t>$2,</w:t>
            </w:r>
            <w:r w:rsidR="00855426">
              <w:rPr>
                <w:sz w:val="18"/>
                <w:szCs w:val="18"/>
              </w:rPr>
              <w:t>568,771</w:t>
            </w:r>
          </w:p>
        </w:tc>
        <w:tc>
          <w:tcPr>
            <w:tcW w:w="782" w:type="pct"/>
            <w:shd w:val="clear" w:color="000000" w:fill="D9D9D9"/>
          </w:tcPr>
          <w:p w14:paraId="33BA92C6" w14:textId="5F2869C3" w:rsidR="00D7517D" w:rsidRPr="006E3208" w:rsidRDefault="00D7517D" w:rsidP="00C17CC3">
            <w:pPr>
              <w:keepNext/>
              <w:spacing w:after="0"/>
              <w:rPr>
                <w:rFonts w:cs="Arial"/>
                <w:b/>
                <w:bCs/>
                <w:color w:val="000000"/>
                <w:sz w:val="18"/>
                <w:szCs w:val="18"/>
              </w:rPr>
            </w:pPr>
            <w:r w:rsidRPr="006E3208">
              <w:rPr>
                <w:sz w:val="18"/>
                <w:szCs w:val="18"/>
              </w:rPr>
              <w:t>$4,</w:t>
            </w:r>
            <w:r w:rsidR="00855426">
              <w:rPr>
                <w:sz w:val="18"/>
                <w:szCs w:val="18"/>
              </w:rPr>
              <w:t>178,216</w:t>
            </w:r>
          </w:p>
        </w:tc>
      </w:tr>
    </w:tbl>
    <w:p w14:paraId="76C4CE97" w14:textId="77777777" w:rsidR="00D849B2" w:rsidRDefault="00D849B2" w:rsidP="0031688A">
      <w:pPr>
        <w:spacing w:after="80"/>
        <w:rPr>
          <w:color w:val="000000"/>
        </w:rPr>
      </w:pPr>
    </w:p>
    <w:p w14:paraId="51437C3D" w14:textId="77777777" w:rsidR="009E783D" w:rsidRPr="003F7E3A" w:rsidRDefault="009E783D" w:rsidP="00B6368D">
      <w:pPr>
        <w:pStyle w:val="Bodysubheader0"/>
        <w:spacing w:after="80"/>
      </w:pPr>
      <w:r w:rsidRPr="007B5ADB">
        <w:t xml:space="preserve">Licensing and </w:t>
      </w:r>
      <w:r w:rsidR="004B2779" w:rsidRPr="007B5ADB">
        <w:t xml:space="preserve">number </w:t>
      </w:r>
      <w:r w:rsidRPr="007B5ADB">
        <w:t>allocation</w:t>
      </w:r>
    </w:p>
    <w:p w14:paraId="2502055B" w14:textId="2E1ACB04" w:rsidR="009E783D" w:rsidRDefault="00901BF7" w:rsidP="009E783D">
      <w:r>
        <w:t>This output i</w:t>
      </w:r>
      <w:r w:rsidR="009E783D" w:rsidRPr="00A84CBD">
        <w:t xml:space="preserve">ncludes planning, development and management </w:t>
      </w:r>
      <w:r w:rsidR="00FF1C39">
        <w:t>of</w:t>
      </w:r>
      <w:r w:rsidR="009E783D" w:rsidRPr="00A84CBD">
        <w:t xml:space="preserve"> telecommunications </w:t>
      </w:r>
      <w:r w:rsidR="00452183">
        <w:t xml:space="preserve">carrier </w:t>
      </w:r>
      <w:r w:rsidR="009E783D" w:rsidRPr="00A84CBD">
        <w:t xml:space="preserve">licences, and the planning, </w:t>
      </w:r>
      <w:r w:rsidR="009E783D">
        <w:t xml:space="preserve">development, </w:t>
      </w:r>
      <w:r w:rsidR="009E783D" w:rsidRPr="00A84CBD">
        <w:t xml:space="preserve">allocation and </w:t>
      </w:r>
      <w:r w:rsidR="009E783D">
        <w:t xml:space="preserve">maintenance </w:t>
      </w:r>
      <w:r w:rsidR="009E783D" w:rsidRPr="00A84CBD">
        <w:t xml:space="preserve">of telecommunications numbers. </w:t>
      </w:r>
      <w:r w:rsidR="00FF1C39">
        <w:t>I</w:t>
      </w:r>
      <w:r w:rsidR="009E783D" w:rsidRPr="00A84CBD">
        <w:t xml:space="preserve">ssuing licences and allocating </w:t>
      </w:r>
      <w:r w:rsidR="009E783D">
        <w:t xml:space="preserve">certain </w:t>
      </w:r>
      <w:r w:rsidR="009E783D" w:rsidRPr="00A84CBD">
        <w:t>numbers</w:t>
      </w:r>
      <w:r w:rsidR="00FF1C39">
        <w:t>,</w:t>
      </w:r>
      <w:r w:rsidR="009E783D" w:rsidRPr="00A84CBD">
        <w:t xml:space="preserve"> such </w:t>
      </w:r>
      <w:r w:rsidR="009E783D" w:rsidRPr="00A84CBD">
        <w:lastRenderedPageBreak/>
        <w:t xml:space="preserve">as geographic, free-phone, local </w:t>
      </w:r>
      <w:r w:rsidR="004B2779">
        <w:t xml:space="preserve">rate </w:t>
      </w:r>
      <w:r w:rsidR="009E783D" w:rsidRPr="00A84CBD">
        <w:t>and premium numbers are not included</w:t>
      </w:r>
      <w:r w:rsidR="00261225">
        <w:t>,</w:t>
      </w:r>
      <w:r w:rsidR="009E783D" w:rsidRPr="00A84CBD">
        <w:t xml:space="preserve"> as these services are delivered on a fee-for-service basis.</w:t>
      </w:r>
    </w:p>
    <w:p w14:paraId="0FF1C316" w14:textId="14C1D202" w:rsidR="00D7517D" w:rsidRPr="009E1880" w:rsidRDefault="00D7517D" w:rsidP="00655393">
      <w:bookmarkStart w:id="62" w:name="_Hlk8812316"/>
      <w:r w:rsidRPr="00D92E67">
        <w:t xml:space="preserve">Table 6 provides details </w:t>
      </w:r>
      <w:r w:rsidR="00D92E67" w:rsidRPr="00D92E67">
        <w:t>of</w:t>
      </w:r>
      <w:r w:rsidRPr="00D92E67">
        <w:t xml:space="preserve"> the activities </w:t>
      </w:r>
      <w:r w:rsidR="00D92E67" w:rsidRPr="00D92E67">
        <w:t>provided</w:t>
      </w:r>
      <w:r w:rsidRPr="00D92E67">
        <w:t xml:space="preserve"> under this output along with direct costs and support costs.</w:t>
      </w:r>
    </w:p>
    <w:p w14:paraId="4F692191" w14:textId="43A86A34" w:rsidR="00D7517D" w:rsidRPr="001D64D9" w:rsidRDefault="00D7517D" w:rsidP="00D7517D">
      <w:pPr>
        <w:pStyle w:val="ACMATableHeader"/>
      </w:pPr>
      <w:r>
        <w:t xml:space="preserve"> </w:t>
      </w:r>
      <w:r w:rsidRPr="007B5ADB">
        <w:t>Licensing and number allocation</w:t>
      </w:r>
      <w:r w:rsidR="00CB72DF">
        <w:t>—</w:t>
      </w:r>
      <w:r>
        <w:t xml:space="preserve">activities and costs </w:t>
      </w:r>
      <w:r w:rsidR="00452183">
        <w:t xml:space="preserve">for </w:t>
      </w:r>
      <w:r>
        <w:t>2018</w:t>
      </w:r>
      <w:r w:rsidRPr="001D64D9">
        <w:t>–1</w:t>
      </w:r>
      <w:r>
        <w:t>9</w:t>
      </w:r>
      <w:r w:rsidRPr="001D64D9">
        <w:t xml:space="preserve"> </w:t>
      </w:r>
      <w:r w:rsidR="00452183">
        <w:t xml:space="preserve">ACLC </w:t>
      </w:r>
      <w:r w:rsidRPr="001D64D9">
        <w:t>(based on 201</w:t>
      </w:r>
      <w:r>
        <w:t>7</w:t>
      </w:r>
      <w:r w:rsidRPr="001D64D9">
        <w:t>–1</w:t>
      </w:r>
      <w:r>
        <w:t>8</w:t>
      </w:r>
      <w:r w:rsidRPr="001D64D9">
        <w:t xml:space="preserve"> costs)</w:t>
      </w:r>
    </w:p>
    <w:tbl>
      <w:tblPr>
        <w:tblW w:w="48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2989"/>
        <w:gridCol w:w="1465"/>
        <w:gridCol w:w="1465"/>
        <w:gridCol w:w="1465"/>
      </w:tblGrid>
      <w:tr w:rsidR="00D7517D" w:rsidRPr="00B64534" w14:paraId="747B8DC8" w14:textId="77777777" w:rsidTr="003D5194">
        <w:trPr>
          <w:trHeight w:val="361"/>
          <w:tblHeader/>
        </w:trPr>
        <w:tc>
          <w:tcPr>
            <w:tcW w:w="2024" w:type="pct"/>
            <w:shd w:val="clear" w:color="auto" w:fill="404040" w:themeFill="text1" w:themeFillTint="BF"/>
            <w:vAlign w:val="center"/>
          </w:tcPr>
          <w:p w14:paraId="488E9AE0" w14:textId="77777777" w:rsidR="00D7517D" w:rsidRPr="00B64534" w:rsidRDefault="00D7517D" w:rsidP="003D5194">
            <w:pPr>
              <w:pStyle w:val="TableHeading"/>
              <w:rPr>
                <w:b w:val="0"/>
                <w:color w:val="FFFFFF" w:themeColor="background1"/>
              </w:rPr>
            </w:pPr>
            <w:bookmarkStart w:id="63" w:name="_Hlk8812423"/>
            <w:bookmarkEnd w:id="62"/>
            <w:r>
              <w:rPr>
                <w:color w:val="FFFFFF" w:themeColor="background1"/>
              </w:rPr>
              <w:t>Activity</w:t>
            </w:r>
          </w:p>
        </w:tc>
        <w:tc>
          <w:tcPr>
            <w:tcW w:w="992" w:type="pct"/>
            <w:shd w:val="clear" w:color="000000" w:fill="404040"/>
            <w:vAlign w:val="center"/>
          </w:tcPr>
          <w:p w14:paraId="21D86037" w14:textId="259236B4" w:rsidR="00D7517D" w:rsidRPr="00B64534" w:rsidRDefault="00D7517D" w:rsidP="00C17CC3">
            <w:pPr>
              <w:pStyle w:val="TableHeading"/>
              <w:rPr>
                <w:b w:val="0"/>
                <w:color w:val="FFFFFF" w:themeColor="background1"/>
              </w:rPr>
            </w:pPr>
            <w:r w:rsidRPr="00B64534">
              <w:rPr>
                <w:bCs/>
                <w:color w:val="FFFFFF" w:themeColor="background1"/>
              </w:rPr>
              <w:t>Direct cost</w:t>
            </w:r>
            <w:r>
              <w:rPr>
                <w:bCs/>
                <w:color w:val="FFFFFF" w:themeColor="background1"/>
              </w:rPr>
              <w:t xml:space="preserve"> </w:t>
            </w:r>
          </w:p>
        </w:tc>
        <w:tc>
          <w:tcPr>
            <w:tcW w:w="992" w:type="pct"/>
            <w:shd w:val="clear" w:color="000000" w:fill="404040"/>
            <w:vAlign w:val="center"/>
          </w:tcPr>
          <w:p w14:paraId="04EFD37C" w14:textId="6F17A655" w:rsidR="00D7517D" w:rsidRPr="00B64534" w:rsidRDefault="00D7517D" w:rsidP="00C17CC3">
            <w:pPr>
              <w:pStyle w:val="TableHeading"/>
              <w:rPr>
                <w:b w:val="0"/>
                <w:color w:val="FFFFFF" w:themeColor="background1"/>
              </w:rPr>
            </w:pPr>
            <w:r w:rsidRPr="00B64534">
              <w:rPr>
                <w:bCs/>
                <w:color w:val="FFFFFF" w:themeColor="background1"/>
              </w:rPr>
              <w:t>Support cost</w:t>
            </w:r>
            <w:r>
              <w:rPr>
                <w:bCs/>
                <w:color w:val="FFFFFF" w:themeColor="background1"/>
              </w:rPr>
              <w:t xml:space="preserve"> </w:t>
            </w:r>
          </w:p>
        </w:tc>
        <w:tc>
          <w:tcPr>
            <w:tcW w:w="992" w:type="pct"/>
            <w:shd w:val="clear" w:color="000000" w:fill="404040"/>
            <w:vAlign w:val="center"/>
          </w:tcPr>
          <w:p w14:paraId="7F90E3AE" w14:textId="338737F9" w:rsidR="00D7517D" w:rsidRPr="00B64534" w:rsidRDefault="00D7517D" w:rsidP="00C17CC3">
            <w:pPr>
              <w:pStyle w:val="TableHeading"/>
              <w:rPr>
                <w:b w:val="0"/>
                <w:color w:val="FFFFFF" w:themeColor="background1"/>
              </w:rPr>
            </w:pPr>
            <w:r w:rsidRPr="00B64534">
              <w:rPr>
                <w:bCs/>
                <w:color w:val="FFFFFF" w:themeColor="background1"/>
              </w:rPr>
              <w:t>Total cost</w:t>
            </w:r>
            <w:r>
              <w:rPr>
                <w:bCs/>
                <w:color w:val="FFFFFF" w:themeColor="background1"/>
              </w:rPr>
              <w:t xml:space="preserve"> </w:t>
            </w:r>
          </w:p>
        </w:tc>
      </w:tr>
      <w:tr w:rsidR="00D7517D" w14:paraId="28B30422" w14:textId="77777777" w:rsidTr="00512435">
        <w:trPr>
          <w:trHeight w:val="226"/>
        </w:trPr>
        <w:tc>
          <w:tcPr>
            <w:tcW w:w="2024" w:type="pct"/>
            <w:tcBorders>
              <w:bottom w:val="single" w:sz="6" w:space="0" w:color="auto"/>
            </w:tcBorders>
            <w:vAlign w:val="center"/>
          </w:tcPr>
          <w:p w14:paraId="42FB305C" w14:textId="1F7BB1E0" w:rsidR="00D7517D" w:rsidRPr="006E3208" w:rsidRDefault="00D7517D" w:rsidP="00D7517D">
            <w:pPr>
              <w:keepNext/>
              <w:spacing w:after="0"/>
              <w:rPr>
                <w:rFonts w:cs="Arial"/>
                <w:sz w:val="18"/>
                <w:szCs w:val="18"/>
              </w:rPr>
            </w:pPr>
            <w:r w:rsidRPr="006E3208">
              <w:rPr>
                <w:rFonts w:cs="Arial"/>
                <w:sz w:val="18"/>
                <w:szCs w:val="18"/>
              </w:rPr>
              <w:t>Administering the carrier licensing regime; granting permits and considering submarine protection zone applications</w:t>
            </w:r>
          </w:p>
        </w:tc>
        <w:tc>
          <w:tcPr>
            <w:tcW w:w="992" w:type="pct"/>
            <w:tcBorders>
              <w:bottom w:val="single" w:sz="6" w:space="0" w:color="auto"/>
            </w:tcBorders>
            <w:shd w:val="clear" w:color="auto" w:fill="auto"/>
          </w:tcPr>
          <w:p w14:paraId="397B1942" w14:textId="562302F2" w:rsidR="00D7517D" w:rsidRPr="006E3208" w:rsidRDefault="00D7517D" w:rsidP="00C17CC3">
            <w:pPr>
              <w:keepNext/>
              <w:spacing w:after="0"/>
              <w:rPr>
                <w:rFonts w:cs="Arial"/>
                <w:color w:val="000000"/>
                <w:sz w:val="18"/>
                <w:szCs w:val="18"/>
              </w:rPr>
            </w:pPr>
            <w:r w:rsidRPr="006E3208">
              <w:rPr>
                <w:sz w:val="18"/>
                <w:szCs w:val="18"/>
              </w:rPr>
              <w:t>$437,109</w:t>
            </w:r>
          </w:p>
        </w:tc>
        <w:tc>
          <w:tcPr>
            <w:tcW w:w="992" w:type="pct"/>
            <w:tcBorders>
              <w:bottom w:val="single" w:sz="6" w:space="0" w:color="auto"/>
            </w:tcBorders>
            <w:shd w:val="clear" w:color="auto" w:fill="auto"/>
          </w:tcPr>
          <w:p w14:paraId="4284B8AA" w14:textId="3F9EC944" w:rsidR="00D7517D" w:rsidRPr="006E3208" w:rsidRDefault="00D7517D" w:rsidP="00C17CC3">
            <w:pPr>
              <w:keepNext/>
              <w:spacing w:after="0"/>
              <w:rPr>
                <w:rFonts w:cs="Arial"/>
                <w:color w:val="000000"/>
                <w:sz w:val="18"/>
                <w:szCs w:val="18"/>
              </w:rPr>
            </w:pPr>
            <w:r w:rsidRPr="006E3208">
              <w:rPr>
                <w:sz w:val="18"/>
                <w:szCs w:val="18"/>
              </w:rPr>
              <w:t>$678,646</w:t>
            </w:r>
          </w:p>
        </w:tc>
        <w:tc>
          <w:tcPr>
            <w:tcW w:w="992" w:type="pct"/>
            <w:tcBorders>
              <w:bottom w:val="single" w:sz="6" w:space="0" w:color="auto"/>
            </w:tcBorders>
            <w:shd w:val="clear" w:color="auto" w:fill="auto"/>
          </w:tcPr>
          <w:p w14:paraId="78AD3ABB" w14:textId="039CD2B5" w:rsidR="00D7517D" w:rsidRPr="006E3208" w:rsidRDefault="00D7517D" w:rsidP="00C17CC3">
            <w:pPr>
              <w:keepNext/>
              <w:spacing w:after="0"/>
              <w:rPr>
                <w:rFonts w:cs="Arial"/>
                <w:color w:val="000000"/>
                <w:sz w:val="18"/>
                <w:szCs w:val="18"/>
              </w:rPr>
            </w:pPr>
            <w:r w:rsidRPr="006E3208">
              <w:rPr>
                <w:sz w:val="18"/>
                <w:szCs w:val="18"/>
              </w:rPr>
              <w:t>$1,115,755</w:t>
            </w:r>
          </w:p>
        </w:tc>
      </w:tr>
      <w:tr w:rsidR="00512435" w14:paraId="39D8D572" w14:textId="77777777" w:rsidTr="00512435">
        <w:trPr>
          <w:trHeight w:val="21"/>
        </w:trPr>
        <w:tc>
          <w:tcPr>
            <w:tcW w:w="2024" w:type="pct"/>
            <w:shd w:val="clear" w:color="auto" w:fill="auto"/>
          </w:tcPr>
          <w:p w14:paraId="608D1BFE" w14:textId="6FBA441B" w:rsidR="00512435" w:rsidRPr="00D67111" w:rsidRDefault="00512435" w:rsidP="00512435">
            <w:pPr>
              <w:keepNext/>
              <w:spacing w:after="0"/>
              <w:rPr>
                <w:rFonts w:cs="Arial"/>
                <w:b/>
                <w:iCs/>
                <w:color w:val="000000" w:themeColor="text1"/>
                <w:sz w:val="18"/>
                <w:szCs w:val="18"/>
              </w:rPr>
            </w:pPr>
            <w:r w:rsidRPr="00D67111">
              <w:rPr>
                <w:sz w:val="18"/>
                <w:szCs w:val="18"/>
              </w:rPr>
              <w:t xml:space="preserve">Managing outsourced arrangements and numbering allocation </w:t>
            </w:r>
          </w:p>
        </w:tc>
        <w:tc>
          <w:tcPr>
            <w:tcW w:w="992" w:type="pct"/>
            <w:shd w:val="clear" w:color="auto" w:fill="auto"/>
          </w:tcPr>
          <w:p w14:paraId="2077C09C" w14:textId="57D3B5AB" w:rsidR="00512435" w:rsidRPr="00D67111" w:rsidRDefault="00512435" w:rsidP="00C17CC3">
            <w:pPr>
              <w:keepNext/>
              <w:spacing w:after="0"/>
              <w:rPr>
                <w:sz w:val="18"/>
                <w:szCs w:val="18"/>
              </w:rPr>
            </w:pPr>
            <w:r w:rsidRPr="00D67111">
              <w:rPr>
                <w:sz w:val="18"/>
                <w:szCs w:val="18"/>
              </w:rPr>
              <w:t>$243,259</w:t>
            </w:r>
          </w:p>
        </w:tc>
        <w:tc>
          <w:tcPr>
            <w:tcW w:w="992" w:type="pct"/>
            <w:shd w:val="clear" w:color="auto" w:fill="auto"/>
          </w:tcPr>
          <w:p w14:paraId="2D24D247" w14:textId="6FED56AE" w:rsidR="00512435" w:rsidRPr="00D67111" w:rsidRDefault="00512435" w:rsidP="00C17CC3">
            <w:pPr>
              <w:keepNext/>
              <w:spacing w:after="0"/>
              <w:rPr>
                <w:sz w:val="18"/>
                <w:szCs w:val="18"/>
              </w:rPr>
            </w:pPr>
            <w:r w:rsidRPr="00D67111">
              <w:rPr>
                <w:sz w:val="18"/>
                <w:szCs w:val="18"/>
              </w:rPr>
              <w:t>$103,212</w:t>
            </w:r>
          </w:p>
        </w:tc>
        <w:tc>
          <w:tcPr>
            <w:tcW w:w="992" w:type="pct"/>
            <w:shd w:val="clear" w:color="auto" w:fill="auto"/>
          </w:tcPr>
          <w:p w14:paraId="78A3AAB5" w14:textId="7F23512F" w:rsidR="00512435" w:rsidRPr="00D67111" w:rsidRDefault="00512435" w:rsidP="00C17CC3">
            <w:pPr>
              <w:keepNext/>
              <w:spacing w:after="0"/>
              <w:rPr>
                <w:sz w:val="18"/>
                <w:szCs w:val="18"/>
              </w:rPr>
            </w:pPr>
            <w:r w:rsidRPr="00D67111">
              <w:rPr>
                <w:sz w:val="18"/>
                <w:szCs w:val="18"/>
              </w:rPr>
              <w:t>$346,471</w:t>
            </w:r>
          </w:p>
        </w:tc>
      </w:tr>
      <w:tr w:rsidR="00D7517D" w14:paraId="35920D2B" w14:textId="77777777" w:rsidTr="003D5194">
        <w:trPr>
          <w:trHeight w:val="21"/>
        </w:trPr>
        <w:tc>
          <w:tcPr>
            <w:tcW w:w="2024" w:type="pct"/>
            <w:shd w:val="clear" w:color="auto" w:fill="D9D9D9" w:themeFill="background1" w:themeFillShade="D9"/>
            <w:vAlign w:val="center"/>
          </w:tcPr>
          <w:p w14:paraId="76B24AEA" w14:textId="77777777" w:rsidR="00D7517D" w:rsidRPr="006E3208" w:rsidRDefault="00D7517D" w:rsidP="00D7517D">
            <w:pPr>
              <w:keepNext/>
              <w:spacing w:after="0"/>
              <w:rPr>
                <w:rFonts w:cs="Arial"/>
                <w:b/>
                <w:iCs/>
                <w:color w:val="000000" w:themeColor="text1"/>
                <w:sz w:val="18"/>
                <w:szCs w:val="18"/>
              </w:rPr>
            </w:pPr>
            <w:r w:rsidRPr="006E3208">
              <w:rPr>
                <w:rFonts w:cs="Arial"/>
                <w:b/>
                <w:iCs/>
                <w:color w:val="000000" w:themeColor="text1"/>
                <w:sz w:val="18"/>
                <w:szCs w:val="18"/>
              </w:rPr>
              <w:t>Total costs</w:t>
            </w:r>
          </w:p>
        </w:tc>
        <w:tc>
          <w:tcPr>
            <w:tcW w:w="992" w:type="pct"/>
            <w:shd w:val="clear" w:color="000000" w:fill="D9D9D9"/>
          </w:tcPr>
          <w:p w14:paraId="30F0E68C" w14:textId="36EA04E1" w:rsidR="00D7517D" w:rsidRPr="006E3208" w:rsidRDefault="00D7517D" w:rsidP="00C17CC3">
            <w:pPr>
              <w:keepNext/>
              <w:spacing w:after="0"/>
              <w:rPr>
                <w:rFonts w:cs="Arial"/>
                <w:b/>
                <w:bCs/>
                <w:color w:val="000000"/>
                <w:sz w:val="18"/>
                <w:szCs w:val="18"/>
              </w:rPr>
            </w:pPr>
            <w:r w:rsidRPr="006E3208">
              <w:rPr>
                <w:sz w:val="18"/>
                <w:szCs w:val="18"/>
              </w:rPr>
              <w:t>$</w:t>
            </w:r>
            <w:r w:rsidR="00855426">
              <w:rPr>
                <w:sz w:val="18"/>
                <w:szCs w:val="18"/>
              </w:rPr>
              <w:t>680,368</w:t>
            </w:r>
          </w:p>
        </w:tc>
        <w:tc>
          <w:tcPr>
            <w:tcW w:w="992" w:type="pct"/>
            <w:shd w:val="clear" w:color="000000" w:fill="D9D9D9"/>
          </w:tcPr>
          <w:p w14:paraId="24C9664C" w14:textId="4ACA07C0" w:rsidR="00D7517D" w:rsidRPr="006E3208" w:rsidRDefault="00D7517D" w:rsidP="00C17CC3">
            <w:pPr>
              <w:keepNext/>
              <w:spacing w:after="0"/>
              <w:rPr>
                <w:rFonts w:cs="Arial"/>
                <w:b/>
                <w:bCs/>
                <w:color w:val="000000"/>
                <w:sz w:val="18"/>
                <w:szCs w:val="18"/>
              </w:rPr>
            </w:pPr>
            <w:r w:rsidRPr="006E3208">
              <w:rPr>
                <w:sz w:val="18"/>
                <w:szCs w:val="18"/>
              </w:rPr>
              <w:t>$</w:t>
            </w:r>
            <w:r w:rsidR="00855426">
              <w:rPr>
                <w:sz w:val="18"/>
                <w:szCs w:val="18"/>
              </w:rPr>
              <w:t>781,858</w:t>
            </w:r>
          </w:p>
        </w:tc>
        <w:tc>
          <w:tcPr>
            <w:tcW w:w="992" w:type="pct"/>
            <w:shd w:val="clear" w:color="000000" w:fill="D9D9D9"/>
          </w:tcPr>
          <w:p w14:paraId="5D66387D" w14:textId="43982CB0" w:rsidR="00D7517D" w:rsidRPr="006E3208" w:rsidRDefault="00D7517D" w:rsidP="00C17CC3">
            <w:pPr>
              <w:keepNext/>
              <w:spacing w:after="0"/>
              <w:rPr>
                <w:rFonts w:cs="Arial"/>
                <w:b/>
                <w:bCs/>
                <w:color w:val="000000"/>
                <w:sz w:val="18"/>
                <w:szCs w:val="18"/>
              </w:rPr>
            </w:pPr>
            <w:r w:rsidRPr="006E3208">
              <w:rPr>
                <w:sz w:val="18"/>
                <w:szCs w:val="18"/>
              </w:rPr>
              <w:t>$1,</w:t>
            </w:r>
            <w:r w:rsidR="00855426">
              <w:rPr>
                <w:sz w:val="18"/>
                <w:szCs w:val="18"/>
              </w:rPr>
              <w:t>462,226</w:t>
            </w:r>
          </w:p>
        </w:tc>
      </w:tr>
      <w:bookmarkEnd w:id="63"/>
    </w:tbl>
    <w:p w14:paraId="33F97216" w14:textId="77777777" w:rsidR="00D7517D" w:rsidRDefault="00D7517D" w:rsidP="0031688A">
      <w:pPr>
        <w:spacing w:after="80"/>
      </w:pPr>
    </w:p>
    <w:p w14:paraId="62D302CE" w14:textId="77777777" w:rsidR="009E783D" w:rsidRPr="003F7E3A" w:rsidRDefault="009E783D" w:rsidP="00B6368D">
      <w:pPr>
        <w:pStyle w:val="Bodysubheader0"/>
        <w:spacing w:after="80"/>
      </w:pPr>
      <w:r w:rsidRPr="003F7E3A">
        <w:t>Other outputs</w:t>
      </w:r>
    </w:p>
    <w:p w14:paraId="541F78AB" w14:textId="5CB47CC1" w:rsidR="009E783D" w:rsidRDefault="009E783D" w:rsidP="009E783D">
      <w:r w:rsidRPr="00A84CBD">
        <w:t xml:space="preserve">All other </w:t>
      </w:r>
      <w:r>
        <w:t>outputs</w:t>
      </w:r>
      <w:r w:rsidRPr="00A84CBD">
        <w:t xml:space="preserve"> in relation to </w:t>
      </w:r>
      <w:r w:rsidR="00AC1A83">
        <w:t xml:space="preserve">the </w:t>
      </w:r>
      <w:r w:rsidRPr="00A84CBD">
        <w:t>ACMA’s telecommunications functions and powers are considered in this category</w:t>
      </w:r>
      <w:r w:rsidR="00261225">
        <w:t>,</w:t>
      </w:r>
      <w:r w:rsidRPr="00A84CBD">
        <w:t xml:space="preserve"> including dealing with the telecommunications industry on national interest</w:t>
      </w:r>
      <w:r w:rsidR="003F6205">
        <w:t xml:space="preserve"> issues</w:t>
      </w:r>
      <w:r w:rsidRPr="00A84CBD">
        <w:t>.</w:t>
      </w:r>
    </w:p>
    <w:p w14:paraId="63CFBCBB" w14:textId="0F90D203" w:rsidR="00D7517D" w:rsidRPr="009E1880" w:rsidRDefault="00D7517D" w:rsidP="00434DE0">
      <w:r w:rsidRPr="00D92E67">
        <w:t xml:space="preserve">Table 7 provides details </w:t>
      </w:r>
      <w:r w:rsidR="00D92E67" w:rsidRPr="00D92E67">
        <w:t>of</w:t>
      </w:r>
      <w:r w:rsidRPr="00D92E67">
        <w:t xml:space="preserve"> the activities </w:t>
      </w:r>
      <w:r w:rsidR="00D92E67" w:rsidRPr="00D92E67">
        <w:t>provided</w:t>
      </w:r>
      <w:r w:rsidRPr="00D92E67">
        <w:t xml:space="preserve"> under this output along with direct costs and support costs.</w:t>
      </w:r>
    </w:p>
    <w:p w14:paraId="0EA46753" w14:textId="34C78287" w:rsidR="00D7517D" w:rsidRPr="001D64D9" w:rsidRDefault="00D7517D" w:rsidP="00D7517D">
      <w:pPr>
        <w:pStyle w:val="ACMATableHeader"/>
      </w:pPr>
      <w:r>
        <w:t>Other outputs</w:t>
      </w:r>
      <w:r w:rsidR="00CB72DF">
        <w:t>—</w:t>
      </w:r>
      <w:r>
        <w:t xml:space="preserve">activities and costs </w:t>
      </w:r>
      <w:r w:rsidR="00452183">
        <w:t xml:space="preserve">for </w:t>
      </w:r>
      <w:r>
        <w:t>2018</w:t>
      </w:r>
      <w:r w:rsidRPr="001D64D9">
        <w:t>–1</w:t>
      </w:r>
      <w:r>
        <w:t>9</w:t>
      </w:r>
      <w:r w:rsidR="00452183">
        <w:t xml:space="preserve"> ACLC</w:t>
      </w:r>
      <w:r w:rsidRPr="001D64D9">
        <w:t xml:space="preserve"> (based on 201</w:t>
      </w:r>
      <w:r>
        <w:t>7</w:t>
      </w:r>
      <w:r w:rsidRPr="001D64D9">
        <w:t>–1</w:t>
      </w:r>
      <w:r>
        <w:t>8</w:t>
      </w:r>
      <w:r w:rsidRPr="001D64D9">
        <w:t xml:space="preserve"> costs)</w:t>
      </w:r>
    </w:p>
    <w:tbl>
      <w:tblPr>
        <w:tblW w:w="48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2989"/>
        <w:gridCol w:w="1465"/>
        <w:gridCol w:w="1465"/>
        <w:gridCol w:w="1465"/>
      </w:tblGrid>
      <w:tr w:rsidR="00D7517D" w:rsidRPr="00B64534" w14:paraId="1C6210E1" w14:textId="77777777" w:rsidTr="003D5194">
        <w:trPr>
          <w:trHeight w:val="361"/>
          <w:tblHeader/>
        </w:trPr>
        <w:tc>
          <w:tcPr>
            <w:tcW w:w="2024" w:type="pct"/>
            <w:shd w:val="clear" w:color="auto" w:fill="404040" w:themeFill="text1" w:themeFillTint="BF"/>
            <w:vAlign w:val="center"/>
          </w:tcPr>
          <w:p w14:paraId="2E57B39E" w14:textId="77777777" w:rsidR="00D7517D" w:rsidRPr="00B64534" w:rsidRDefault="00D7517D" w:rsidP="003D5194">
            <w:pPr>
              <w:pStyle w:val="TableHeading"/>
              <w:rPr>
                <w:b w:val="0"/>
                <w:color w:val="FFFFFF" w:themeColor="background1"/>
              </w:rPr>
            </w:pPr>
            <w:r>
              <w:rPr>
                <w:color w:val="FFFFFF" w:themeColor="background1"/>
              </w:rPr>
              <w:t>Activity</w:t>
            </w:r>
          </w:p>
        </w:tc>
        <w:tc>
          <w:tcPr>
            <w:tcW w:w="992" w:type="pct"/>
            <w:shd w:val="clear" w:color="000000" w:fill="404040"/>
            <w:vAlign w:val="center"/>
          </w:tcPr>
          <w:p w14:paraId="7592907B" w14:textId="786705A9" w:rsidR="00D7517D" w:rsidRPr="00B64534" w:rsidRDefault="00D7517D" w:rsidP="00C17CC3">
            <w:pPr>
              <w:pStyle w:val="TableHeading"/>
              <w:rPr>
                <w:b w:val="0"/>
                <w:color w:val="FFFFFF" w:themeColor="background1"/>
              </w:rPr>
            </w:pPr>
            <w:r w:rsidRPr="00B64534">
              <w:rPr>
                <w:bCs/>
                <w:color w:val="FFFFFF" w:themeColor="background1"/>
              </w:rPr>
              <w:t>Direct cost</w:t>
            </w:r>
            <w:r>
              <w:rPr>
                <w:bCs/>
                <w:color w:val="FFFFFF" w:themeColor="background1"/>
              </w:rPr>
              <w:t xml:space="preserve"> </w:t>
            </w:r>
          </w:p>
        </w:tc>
        <w:tc>
          <w:tcPr>
            <w:tcW w:w="992" w:type="pct"/>
            <w:shd w:val="clear" w:color="000000" w:fill="404040"/>
            <w:vAlign w:val="center"/>
          </w:tcPr>
          <w:p w14:paraId="12BDC7F5" w14:textId="3BC3162B" w:rsidR="00D7517D" w:rsidRPr="00B64534" w:rsidRDefault="00D7517D" w:rsidP="00C17CC3">
            <w:pPr>
              <w:pStyle w:val="TableHeading"/>
              <w:rPr>
                <w:b w:val="0"/>
                <w:color w:val="FFFFFF" w:themeColor="background1"/>
              </w:rPr>
            </w:pPr>
            <w:r w:rsidRPr="00B64534">
              <w:rPr>
                <w:bCs/>
                <w:color w:val="FFFFFF" w:themeColor="background1"/>
              </w:rPr>
              <w:t>Support cost</w:t>
            </w:r>
            <w:r>
              <w:rPr>
                <w:bCs/>
                <w:color w:val="FFFFFF" w:themeColor="background1"/>
              </w:rPr>
              <w:t xml:space="preserve"> </w:t>
            </w:r>
          </w:p>
        </w:tc>
        <w:tc>
          <w:tcPr>
            <w:tcW w:w="992" w:type="pct"/>
            <w:shd w:val="clear" w:color="000000" w:fill="404040"/>
            <w:vAlign w:val="center"/>
          </w:tcPr>
          <w:p w14:paraId="15ACAC7E" w14:textId="18805949" w:rsidR="00D7517D" w:rsidRPr="00B64534" w:rsidRDefault="00D7517D" w:rsidP="00C17CC3">
            <w:pPr>
              <w:pStyle w:val="TableHeading"/>
              <w:rPr>
                <w:b w:val="0"/>
                <w:color w:val="FFFFFF" w:themeColor="background1"/>
              </w:rPr>
            </w:pPr>
            <w:r w:rsidRPr="00B64534">
              <w:rPr>
                <w:bCs/>
                <w:color w:val="FFFFFF" w:themeColor="background1"/>
              </w:rPr>
              <w:t>Total cost</w:t>
            </w:r>
            <w:r>
              <w:rPr>
                <w:bCs/>
                <w:color w:val="FFFFFF" w:themeColor="background1"/>
              </w:rPr>
              <w:t xml:space="preserve"> </w:t>
            </w:r>
          </w:p>
        </w:tc>
      </w:tr>
      <w:tr w:rsidR="00D7517D" w14:paraId="78C45B98" w14:textId="77777777" w:rsidTr="003D5194">
        <w:trPr>
          <w:trHeight w:val="226"/>
        </w:trPr>
        <w:tc>
          <w:tcPr>
            <w:tcW w:w="2024" w:type="pct"/>
          </w:tcPr>
          <w:p w14:paraId="3674DE1E" w14:textId="67A33B91" w:rsidR="00D7517D" w:rsidRPr="00F029AA" w:rsidRDefault="00D7517D" w:rsidP="00D7517D">
            <w:pPr>
              <w:keepNext/>
              <w:spacing w:after="0"/>
              <w:rPr>
                <w:rFonts w:cs="Arial"/>
                <w:sz w:val="18"/>
                <w:szCs w:val="18"/>
              </w:rPr>
            </w:pPr>
            <w:r w:rsidRPr="00F029AA">
              <w:rPr>
                <w:sz w:val="18"/>
                <w:szCs w:val="18"/>
              </w:rPr>
              <w:t>Administering the carrier licence charging arrangement and costing of regulatory activities associated with telecommunications</w:t>
            </w:r>
          </w:p>
        </w:tc>
        <w:tc>
          <w:tcPr>
            <w:tcW w:w="992" w:type="pct"/>
            <w:shd w:val="clear" w:color="auto" w:fill="auto"/>
          </w:tcPr>
          <w:p w14:paraId="3C79E676" w14:textId="7204EA13" w:rsidR="00D7517D" w:rsidRPr="00F029AA" w:rsidRDefault="00D7517D" w:rsidP="00C17CC3">
            <w:pPr>
              <w:keepNext/>
              <w:spacing w:after="0"/>
              <w:rPr>
                <w:sz w:val="18"/>
                <w:szCs w:val="18"/>
              </w:rPr>
            </w:pPr>
            <w:r w:rsidRPr="00F029AA">
              <w:rPr>
                <w:sz w:val="18"/>
                <w:szCs w:val="18"/>
              </w:rPr>
              <w:t>$11,127</w:t>
            </w:r>
          </w:p>
        </w:tc>
        <w:tc>
          <w:tcPr>
            <w:tcW w:w="992" w:type="pct"/>
            <w:shd w:val="clear" w:color="auto" w:fill="auto"/>
          </w:tcPr>
          <w:p w14:paraId="2B8B143C" w14:textId="74044FDD" w:rsidR="00D7517D" w:rsidRPr="00F029AA" w:rsidRDefault="00D7517D" w:rsidP="00C17CC3">
            <w:pPr>
              <w:keepNext/>
              <w:spacing w:after="0"/>
              <w:rPr>
                <w:sz w:val="18"/>
                <w:szCs w:val="18"/>
              </w:rPr>
            </w:pPr>
            <w:r w:rsidRPr="00F029AA">
              <w:rPr>
                <w:sz w:val="18"/>
                <w:szCs w:val="18"/>
              </w:rPr>
              <w:t>$207,915</w:t>
            </w:r>
            <w:r w:rsidR="00255144">
              <w:rPr>
                <w:rStyle w:val="FootnoteReference"/>
                <w:sz w:val="18"/>
                <w:szCs w:val="18"/>
              </w:rPr>
              <w:footnoteReference w:id="14"/>
            </w:r>
          </w:p>
        </w:tc>
        <w:tc>
          <w:tcPr>
            <w:tcW w:w="992" w:type="pct"/>
            <w:shd w:val="clear" w:color="auto" w:fill="auto"/>
          </w:tcPr>
          <w:p w14:paraId="119413B2" w14:textId="7926A8B7" w:rsidR="00D7517D" w:rsidRPr="00F029AA" w:rsidRDefault="00D7517D" w:rsidP="00C17CC3">
            <w:pPr>
              <w:keepNext/>
              <w:spacing w:after="0"/>
              <w:rPr>
                <w:sz w:val="18"/>
                <w:szCs w:val="18"/>
              </w:rPr>
            </w:pPr>
            <w:r w:rsidRPr="00F029AA">
              <w:rPr>
                <w:sz w:val="18"/>
                <w:szCs w:val="18"/>
              </w:rPr>
              <w:t>$219,042</w:t>
            </w:r>
          </w:p>
        </w:tc>
      </w:tr>
      <w:tr w:rsidR="00D7517D" w14:paraId="38547E98" w14:textId="77777777" w:rsidTr="003D5194">
        <w:trPr>
          <w:trHeight w:val="226"/>
        </w:trPr>
        <w:tc>
          <w:tcPr>
            <w:tcW w:w="2024" w:type="pct"/>
          </w:tcPr>
          <w:p w14:paraId="792E3691" w14:textId="64E753D3" w:rsidR="00D7517D" w:rsidRPr="00F029AA" w:rsidRDefault="00D7517D" w:rsidP="00D7517D">
            <w:pPr>
              <w:keepNext/>
              <w:spacing w:after="0"/>
              <w:rPr>
                <w:rFonts w:cs="Arial"/>
                <w:sz w:val="18"/>
                <w:szCs w:val="18"/>
              </w:rPr>
            </w:pPr>
            <w:r w:rsidRPr="00F029AA">
              <w:rPr>
                <w:sz w:val="18"/>
                <w:szCs w:val="18"/>
              </w:rPr>
              <w:t>Considering and implementing the potential for self-regulation of functions relating to the IPND</w:t>
            </w:r>
            <w:r w:rsidR="00CB72DF">
              <w:rPr>
                <w:sz w:val="18"/>
                <w:szCs w:val="18"/>
              </w:rPr>
              <w:t>—</w:t>
            </w:r>
            <w:r w:rsidR="00AC1A83">
              <w:t xml:space="preserve">the </w:t>
            </w:r>
            <w:r w:rsidRPr="00F029AA">
              <w:rPr>
                <w:sz w:val="18"/>
                <w:szCs w:val="18"/>
              </w:rPr>
              <w:t>ACMA review recommendation</w:t>
            </w:r>
          </w:p>
        </w:tc>
        <w:tc>
          <w:tcPr>
            <w:tcW w:w="992" w:type="pct"/>
            <w:shd w:val="clear" w:color="auto" w:fill="auto"/>
          </w:tcPr>
          <w:p w14:paraId="7CF046AB" w14:textId="4194CD51" w:rsidR="00D7517D" w:rsidRPr="00F029AA" w:rsidRDefault="00D7517D" w:rsidP="00C17CC3">
            <w:pPr>
              <w:keepNext/>
              <w:spacing w:after="0"/>
              <w:rPr>
                <w:rFonts w:cs="Arial"/>
                <w:color w:val="000000"/>
                <w:sz w:val="18"/>
                <w:szCs w:val="18"/>
              </w:rPr>
            </w:pPr>
            <w:r w:rsidRPr="00F029AA">
              <w:rPr>
                <w:sz w:val="18"/>
                <w:szCs w:val="18"/>
              </w:rPr>
              <w:t>$29,324</w:t>
            </w:r>
          </w:p>
        </w:tc>
        <w:tc>
          <w:tcPr>
            <w:tcW w:w="992" w:type="pct"/>
            <w:shd w:val="clear" w:color="auto" w:fill="auto"/>
          </w:tcPr>
          <w:p w14:paraId="28D400D7" w14:textId="37F2FB8C" w:rsidR="00D7517D" w:rsidRPr="00F029AA" w:rsidRDefault="00D7517D" w:rsidP="00C17CC3">
            <w:pPr>
              <w:keepNext/>
              <w:spacing w:after="0"/>
              <w:rPr>
                <w:rFonts w:cs="Arial"/>
                <w:color w:val="000000"/>
                <w:sz w:val="18"/>
                <w:szCs w:val="18"/>
              </w:rPr>
            </w:pPr>
            <w:r w:rsidRPr="00F029AA">
              <w:rPr>
                <w:sz w:val="18"/>
                <w:szCs w:val="18"/>
              </w:rPr>
              <w:t>$29,06</w:t>
            </w:r>
            <w:r w:rsidR="00F029AA">
              <w:rPr>
                <w:sz w:val="18"/>
                <w:szCs w:val="18"/>
              </w:rPr>
              <w:t>8</w:t>
            </w:r>
          </w:p>
        </w:tc>
        <w:tc>
          <w:tcPr>
            <w:tcW w:w="992" w:type="pct"/>
            <w:shd w:val="clear" w:color="auto" w:fill="auto"/>
          </w:tcPr>
          <w:p w14:paraId="6830EF2D" w14:textId="5B235D74" w:rsidR="00D7517D" w:rsidRPr="00F029AA" w:rsidRDefault="00D7517D" w:rsidP="00C17CC3">
            <w:pPr>
              <w:keepNext/>
              <w:spacing w:after="0"/>
              <w:rPr>
                <w:rFonts w:cs="Arial"/>
                <w:color w:val="000000"/>
                <w:sz w:val="18"/>
                <w:szCs w:val="18"/>
              </w:rPr>
            </w:pPr>
            <w:r w:rsidRPr="00F029AA">
              <w:rPr>
                <w:sz w:val="18"/>
                <w:szCs w:val="18"/>
              </w:rPr>
              <w:t>$58,392</w:t>
            </w:r>
          </w:p>
        </w:tc>
      </w:tr>
      <w:tr w:rsidR="00D7517D" w14:paraId="4C502136" w14:textId="77777777" w:rsidTr="003D5194">
        <w:trPr>
          <w:trHeight w:val="21"/>
        </w:trPr>
        <w:tc>
          <w:tcPr>
            <w:tcW w:w="2024" w:type="pct"/>
            <w:shd w:val="clear" w:color="auto" w:fill="D9D9D9" w:themeFill="background1" w:themeFillShade="D9"/>
            <w:vAlign w:val="center"/>
          </w:tcPr>
          <w:p w14:paraId="1C89609E" w14:textId="77777777" w:rsidR="00D7517D" w:rsidRPr="00F029AA" w:rsidRDefault="00D7517D" w:rsidP="00D7517D">
            <w:pPr>
              <w:keepNext/>
              <w:spacing w:after="0"/>
              <w:rPr>
                <w:rFonts w:cs="Arial"/>
                <w:b/>
                <w:iCs/>
                <w:color w:val="000000" w:themeColor="text1"/>
                <w:sz w:val="18"/>
                <w:szCs w:val="18"/>
              </w:rPr>
            </w:pPr>
            <w:r w:rsidRPr="00F029AA">
              <w:rPr>
                <w:rFonts w:cs="Arial"/>
                <w:b/>
                <w:iCs/>
                <w:color w:val="000000" w:themeColor="text1"/>
                <w:sz w:val="18"/>
                <w:szCs w:val="18"/>
              </w:rPr>
              <w:t>Total costs</w:t>
            </w:r>
          </w:p>
        </w:tc>
        <w:tc>
          <w:tcPr>
            <w:tcW w:w="992" w:type="pct"/>
            <w:shd w:val="clear" w:color="000000" w:fill="D9D9D9"/>
          </w:tcPr>
          <w:p w14:paraId="5D4C473E" w14:textId="073EA5B6" w:rsidR="00D7517D" w:rsidRPr="00F029AA" w:rsidRDefault="00D7517D" w:rsidP="00C17CC3">
            <w:pPr>
              <w:keepNext/>
              <w:spacing w:after="0"/>
              <w:rPr>
                <w:rFonts w:cs="Arial"/>
                <w:b/>
                <w:bCs/>
                <w:color w:val="000000"/>
                <w:sz w:val="18"/>
                <w:szCs w:val="18"/>
              </w:rPr>
            </w:pPr>
            <w:r w:rsidRPr="00F029AA">
              <w:rPr>
                <w:sz w:val="18"/>
                <w:szCs w:val="18"/>
              </w:rPr>
              <w:t>$40,451</w:t>
            </w:r>
          </w:p>
        </w:tc>
        <w:tc>
          <w:tcPr>
            <w:tcW w:w="992" w:type="pct"/>
            <w:shd w:val="clear" w:color="000000" w:fill="D9D9D9"/>
          </w:tcPr>
          <w:p w14:paraId="5255F80E" w14:textId="1047EF7D" w:rsidR="00D7517D" w:rsidRPr="00F029AA" w:rsidRDefault="00D7517D" w:rsidP="00C17CC3">
            <w:pPr>
              <w:keepNext/>
              <w:spacing w:after="0"/>
              <w:rPr>
                <w:rFonts w:cs="Arial"/>
                <w:b/>
                <w:bCs/>
                <w:color w:val="000000"/>
                <w:sz w:val="18"/>
                <w:szCs w:val="18"/>
              </w:rPr>
            </w:pPr>
            <w:r w:rsidRPr="00F029AA">
              <w:rPr>
                <w:sz w:val="18"/>
                <w:szCs w:val="18"/>
              </w:rPr>
              <w:t>$236,98</w:t>
            </w:r>
            <w:r w:rsidR="00F029AA">
              <w:rPr>
                <w:sz w:val="18"/>
                <w:szCs w:val="18"/>
              </w:rPr>
              <w:t>3</w:t>
            </w:r>
          </w:p>
        </w:tc>
        <w:tc>
          <w:tcPr>
            <w:tcW w:w="992" w:type="pct"/>
            <w:shd w:val="clear" w:color="000000" w:fill="D9D9D9"/>
          </w:tcPr>
          <w:p w14:paraId="471A0575" w14:textId="3FCC226A" w:rsidR="00D7517D" w:rsidRPr="00F029AA" w:rsidRDefault="00D7517D" w:rsidP="00C17CC3">
            <w:pPr>
              <w:keepNext/>
              <w:spacing w:after="0"/>
              <w:rPr>
                <w:rFonts w:cs="Arial"/>
                <w:b/>
                <w:bCs/>
                <w:color w:val="000000"/>
                <w:sz w:val="18"/>
                <w:szCs w:val="18"/>
              </w:rPr>
            </w:pPr>
            <w:r w:rsidRPr="00F029AA">
              <w:rPr>
                <w:sz w:val="18"/>
                <w:szCs w:val="18"/>
              </w:rPr>
              <w:t>$277,434</w:t>
            </w:r>
          </w:p>
        </w:tc>
      </w:tr>
    </w:tbl>
    <w:p w14:paraId="18CD7E86" w14:textId="77777777" w:rsidR="00D7517D" w:rsidRDefault="00D7517D" w:rsidP="0031688A">
      <w:pPr>
        <w:spacing w:after="80"/>
      </w:pPr>
    </w:p>
    <w:p w14:paraId="6B87D674" w14:textId="6C6E1904" w:rsidR="009E783D" w:rsidRDefault="009E783D" w:rsidP="00372EAE">
      <w:r w:rsidRPr="00A85742">
        <w:t xml:space="preserve">Further details about </w:t>
      </w:r>
      <w:r w:rsidR="00AC1A83">
        <w:t xml:space="preserve">the </w:t>
      </w:r>
      <w:r w:rsidRPr="00A85742">
        <w:t xml:space="preserve">ACMA’s telecommunications </w:t>
      </w:r>
      <w:r>
        <w:t>activities</w:t>
      </w:r>
      <w:r w:rsidRPr="00A85742">
        <w:t xml:space="preserve"> </w:t>
      </w:r>
      <w:r w:rsidR="00387831">
        <w:t>are set out in</w:t>
      </w:r>
      <w:r w:rsidRPr="00A85742">
        <w:t xml:space="preserve"> </w:t>
      </w:r>
      <w:r w:rsidR="00AC1A83">
        <w:t xml:space="preserve">the </w:t>
      </w:r>
      <w:hyperlink r:id="rId27" w:history="1">
        <w:r w:rsidR="009D3691" w:rsidRPr="009850A4">
          <w:rPr>
            <w:rStyle w:val="Hyperlink"/>
            <w:i/>
            <w:iCs/>
          </w:rPr>
          <w:t>ACMA annual report 2017–18</w:t>
        </w:r>
      </w:hyperlink>
      <w:r w:rsidRPr="00A85742">
        <w:t>.</w:t>
      </w:r>
    </w:p>
    <w:p w14:paraId="553B2211" w14:textId="77777777" w:rsidR="009E783D" w:rsidRPr="005D0BC8" w:rsidRDefault="009E783D" w:rsidP="003F7E3A">
      <w:pPr>
        <w:pStyle w:val="Heading3"/>
      </w:pPr>
      <w:bookmarkStart w:id="64" w:name="_Toc417990948"/>
      <w:bookmarkStart w:id="65" w:name="_Toc511634390"/>
      <w:bookmarkStart w:id="66" w:name="_Toc26786330"/>
      <w:r w:rsidRPr="003F7E3A">
        <w:t>3.1.2</w:t>
      </w:r>
      <w:r w:rsidRPr="003F7E3A">
        <w:tab/>
        <w:t>Costs of the activity</w:t>
      </w:r>
      <w:bookmarkEnd w:id="64"/>
      <w:bookmarkEnd w:id="65"/>
      <w:bookmarkEnd w:id="66"/>
    </w:p>
    <w:p w14:paraId="5896BED1" w14:textId="54D75475" w:rsidR="009E783D" w:rsidRPr="005D0BC8" w:rsidRDefault="00FF1C39" w:rsidP="009E783D">
      <w:r>
        <w:t>D</w:t>
      </w:r>
      <w:r w:rsidR="009E783D" w:rsidRPr="00A84CBD">
        <w:t>etermin</w:t>
      </w:r>
      <w:r>
        <w:t>ing</w:t>
      </w:r>
      <w:r w:rsidR="009E783D" w:rsidRPr="00A84CBD">
        <w:t xml:space="preserve"> </w:t>
      </w:r>
      <w:r w:rsidR="00AC1A83">
        <w:t xml:space="preserve">the </w:t>
      </w:r>
      <w:r w:rsidR="009E783D" w:rsidRPr="00A84CBD">
        <w:t xml:space="preserve">ACMA’s costs to be recovered </w:t>
      </w:r>
      <w:r w:rsidR="009E783D">
        <w:t>under</w:t>
      </w:r>
      <w:r w:rsidR="009E783D" w:rsidRPr="00A84CBD">
        <w:t xml:space="preserve"> the ACLC is subject to </w:t>
      </w:r>
      <w:r w:rsidR="009E783D" w:rsidRPr="00285099">
        <w:t xml:space="preserve">a rigorous process using an </w:t>
      </w:r>
      <w:r w:rsidR="00E50A27">
        <w:t>A</w:t>
      </w:r>
      <w:r w:rsidR="009E783D" w:rsidRPr="00285099">
        <w:t>ctivity</w:t>
      </w:r>
      <w:r w:rsidR="00E50A27">
        <w:t xml:space="preserve"> B</w:t>
      </w:r>
      <w:r w:rsidR="009E783D" w:rsidRPr="00285099">
        <w:t xml:space="preserve">ased </w:t>
      </w:r>
      <w:r w:rsidR="00DF6D88">
        <w:t>Management</w:t>
      </w:r>
      <w:r w:rsidR="00DF6D88" w:rsidRPr="00285099">
        <w:t xml:space="preserve"> </w:t>
      </w:r>
      <w:r w:rsidR="009E783D" w:rsidRPr="00285099">
        <w:t>(AB</w:t>
      </w:r>
      <w:r w:rsidR="00DF6D88">
        <w:t>M</w:t>
      </w:r>
      <w:r w:rsidR="009E783D" w:rsidRPr="00285099">
        <w:t xml:space="preserve">) </w:t>
      </w:r>
      <w:r w:rsidR="00D16A06">
        <w:t>system</w:t>
      </w:r>
      <w:r w:rsidR="009E783D" w:rsidRPr="00285099">
        <w:t xml:space="preserve">. </w:t>
      </w:r>
      <w:r w:rsidR="001E6B67" w:rsidRPr="00285099">
        <w:t xml:space="preserve">The system </w:t>
      </w:r>
      <w:r w:rsidR="004D642B" w:rsidRPr="00285099">
        <w:t>track</w:t>
      </w:r>
      <w:r w:rsidR="00CF110C">
        <w:t>s</w:t>
      </w:r>
      <w:r w:rsidR="004D642B" w:rsidRPr="00285099">
        <w:t xml:space="preserve"> </w:t>
      </w:r>
      <w:r w:rsidR="009E783D" w:rsidRPr="00285099">
        <w:t xml:space="preserve">direct and support costs </w:t>
      </w:r>
      <w:r w:rsidR="004D642B" w:rsidRPr="00285099">
        <w:t xml:space="preserve">and </w:t>
      </w:r>
      <w:r w:rsidR="00E22916" w:rsidRPr="00285099">
        <w:t xml:space="preserve">the type </w:t>
      </w:r>
      <w:r w:rsidR="004D642B" w:rsidRPr="00285099">
        <w:t xml:space="preserve">of expenses </w:t>
      </w:r>
      <w:r w:rsidR="009E783D" w:rsidRPr="00285099">
        <w:t xml:space="preserve">incurred by </w:t>
      </w:r>
      <w:r w:rsidR="00AC1A83">
        <w:t xml:space="preserve">the </w:t>
      </w:r>
      <w:r w:rsidR="009E783D" w:rsidRPr="00285099">
        <w:t xml:space="preserve">ACMA in </w:t>
      </w:r>
      <w:r w:rsidR="009E783D" w:rsidRPr="00285099">
        <w:lastRenderedPageBreak/>
        <w:t>exercising its telecommunications functions and powers</w:t>
      </w:r>
      <w:r w:rsidR="001E6B67" w:rsidRPr="00285099">
        <w:t>.</w:t>
      </w:r>
      <w:r w:rsidR="009E783D" w:rsidRPr="00285099">
        <w:t xml:space="preserve"> </w:t>
      </w:r>
      <w:r w:rsidR="00851BD7" w:rsidRPr="00285099">
        <w:t>As in prior year</w:t>
      </w:r>
      <w:r w:rsidR="004A3214">
        <w:t>s</w:t>
      </w:r>
      <w:r w:rsidR="004D642B" w:rsidRPr="00285099">
        <w:t>, t</w:t>
      </w:r>
      <w:r w:rsidR="009E783D" w:rsidRPr="00285099">
        <w:t>ime is used as a primary means of allocating direct costs to activities</w:t>
      </w:r>
      <w:r w:rsidR="00261225">
        <w:t>,</w:t>
      </w:r>
      <w:r w:rsidR="009E783D" w:rsidRPr="00285099">
        <w:t xml:space="preserve"> while support costs are allocated using an appropriate cost driver (further detail on cost drivers is provided later in this section).</w:t>
      </w:r>
      <w:r w:rsidR="009E783D" w:rsidRPr="00A84CBD">
        <w:t xml:space="preserve"> </w:t>
      </w:r>
    </w:p>
    <w:p w14:paraId="2A232D32" w14:textId="5BD84AF2" w:rsidR="00434461" w:rsidRDefault="00AC1A83" w:rsidP="009E783D">
      <w:r>
        <w:t xml:space="preserve">The </w:t>
      </w:r>
      <w:r w:rsidR="00CF110C" w:rsidRPr="00A84CBD">
        <w:t>ACMA conducts agency-wide surveys twice a year</w:t>
      </w:r>
      <w:r w:rsidR="00CF110C" w:rsidRPr="00A84CBD" w:rsidDel="00CF110C">
        <w:t xml:space="preserve"> </w:t>
      </w:r>
      <w:r w:rsidR="00CF110C">
        <w:t>t</w:t>
      </w:r>
      <w:r w:rsidR="009E783D" w:rsidRPr="00A84CBD">
        <w:t xml:space="preserve">o ensure the allocation base for the </w:t>
      </w:r>
      <w:r w:rsidR="0023777F" w:rsidRPr="00A84CBD">
        <w:t>AB</w:t>
      </w:r>
      <w:r w:rsidR="0023777F">
        <w:t>M</w:t>
      </w:r>
      <w:r w:rsidR="0023777F" w:rsidRPr="00A84CBD">
        <w:t xml:space="preserve"> </w:t>
      </w:r>
      <w:r w:rsidR="009E783D" w:rsidRPr="00A84CBD">
        <w:t>model remains accurate.</w:t>
      </w:r>
      <w:r w:rsidR="009E783D">
        <w:t xml:space="preserve"> </w:t>
      </w:r>
    </w:p>
    <w:p w14:paraId="2289A5C4" w14:textId="13C0188F" w:rsidR="009E783D" w:rsidRDefault="009E783D" w:rsidP="009E783D">
      <w:bookmarkStart w:id="67" w:name="_Hlk8810358"/>
      <w:r w:rsidRPr="00AD4C5D">
        <w:t xml:space="preserve">Table </w:t>
      </w:r>
      <w:r w:rsidR="00F53A67">
        <w:t>8</w:t>
      </w:r>
      <w:r w:rsidRPr="00AD4C5D">
        <w:t xml:space="preserve"> </w:t>
      </w:r>
      <w:r w:rsidR="004A3561">
        <w:t>summarises</w:t>
      </w:r>
      <w:r w:rsidRPr="00AD4C5D">
        <w:t xml:space="preserve"> the direct costs and support costs of </w:t>
      </w:r>
      <w:r w:rsidR="00AC1A83">
        <w:t xml:space="preserve">the </w:t>
      </w:r>
      <w:r w:rsidRPr="00AD4C5D">
        <w:t>ACMA’s component</w:t>
      </w:r>
      <w:r w:rsidR="00CF110C">
        <w:t>s</w:t>
      </w:r>
      <w:r w:rsidRPr="00AD4C5D">
        <w:t xml:space="preserve"> at </w:t>
      </w:r>
      <w:r w:rsidR="004A3561">
        <w:t>the</w:t>
      </w:r>
      <w:r w:rsidRPr="00AD4C5D">
        <w:t xml:space="preserve"> </w:t>
      </w:r>
      <w:r>
        <w:t>output</w:t>
      </w:r>
      <w:r w:rsidRPr="00AD4C5D">
        <w:t xml:space="preserve"> level</w:t>
      </w:r>
      <w:r w:rsidR="00261225">
        <w:t>.</w:t>
      </w:r>
    </w:p>
    <w:p w14:paraId="15A91870" w14:textId="1853F8B7" w:rsidR="00C03710" w:rsidRPr="001D64D9" w:rsidRDefault="00AC1A83" w:rsidP="006A56FD">
      <w:pPr>
        <w:pStyle w:val="ACMATableHeader"/>
        <w:keepNext/>
      </w:pPr>
      <w:bookmarkStart w:id="68" w:name="_Hlk8810612"/>
      <w:bookmarkEnd w:id="67"/>
      <w:r>
        <w:t xml:space="preserve">The </w:t>
      </w:r>
      <w:r w:rsidR="00C03710" w:rsidRPr="001D64D9">
        <w:t>ACMA’s component</w:t>
      </w:r>
      <w:r w:rsidR="00690BDA">
        <w:t>s</w:t>
      </w:r>
      <w:r w:rsidR="00C03710" w:rsidRPr="001D64D9">
        <w:t xml:space="preserve"> at </w:t>
      </w:r>
      <w:r w:rsidR="00FD404F" w:rsidRPr="001D64D9">
        <w:t>output level</w:t>
      </w:r>
      <w:r w:rsidR="00452183">
        <w:t xml:space="preserve"> for</w:t>
      </w:r>
      <w:r w:rsidR="00FD404F" w:rsidRPr="001D64D9">
        <w:t xml:space="preserve"> 201</w:t>
      </w:r>
      <w:r w:rsidR="00F53A67">
        <w:t>8</w:t>
      </w:r>
      <w:r w:rsidR="00FD404F" w:rsidRPr="001D64D9">
        <w:t>–1</w:t>
      </w:r>
      <w:r w:rsidR="00F53A67">
        <w:t>9</w:t>
      </w:r>
      <w:r w:rsidR="00386FB7" w:rsidRPr="001D64D9">
        <w:t xml:space="preserve"> </w:t>
      </w:r>
      <w:r w:rsidR="00452183">
        <w:t xml:space="preserve">ACLC </w:t>
      </w:r>
      <w:r w:rsidR="00386FB7" w:rsidRPr="001D64D9">
        <w:t>(based on 201</w:t>
      </w:r>
      <w:r w:rsidR="00F53A67">
        <w:t>7</w:t>
      </w:r>
      <w:r w:rsidR="00AA0DBC" w:rsidRPr="001D64D9">
        <w:t>–</w:t>
      </w:r>
      <w:r w:rsidR="00F53A67">
        <w:t>18</w:t>
      </w:r>
      <w:r w:rsidR="00D8038E" w:rsidRPr="001D64D9">
        <w:t xml:space="preserve"> costs)</w:t>
      </w:r>
    </w:p>
    <w:tbl>
      <w:tblPr>
        <w:tblW w:w="48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2989"/>
        <w:gridCol w:w="1465"/>
        <w:gridCol w:w="1465"/>
        <w:gridCol w:w="1465"/>
      </w:tblGrid>
      <w:tr w:rsidR="00192225" w:rsidRPr="00B4771B" w14:paraId="0E728A2E" w14:textId="77777777" w:rsidTr="00410995">
        <w:trPr>
          <w:trHeight w:val="361"/>
          <w:tblHeader/>
        </w:trPr>
        <w:tc>
          <w:tcPr>
            <w:tcW w:w="2024" w:type="pct"/>
            <w:shd w:val="clear" w:color="auto" w:fill="404040" w:themeFill="text1" w:themeFillTint="BF"/>
            <w:vAlign w:val="center"/>
          </w:tcPr>
          <w:p w14:paraId="131B3810" w14:textId="77777777" w:rsidR="00192225" w:rsidRPr="00B64534" w:rsidRDefault="00192225" w:rsidP="00AA0DBC">
            <w:pPr>
              <w:pStyle w:val="TableHeading"/>
              <w:rPr>
                <w:b w:val="0"/>
                <w:color w:val="FFFFFF" w:themeColor="background1"/>
              </w:rPr>
            </w:pPr>
            <w:bookmarkStart w:id="69" w:name="_Hlk8810785"/>
            <w:bookmarkEnd w:id="68"/>
            <w:r w:rsidRPr="00B64534">
              <w:rPr>
                <w:color w:val="FFFFFF" w:themeColor="background1"/>
              </w:rPr>
              <w:t>Output</w:t>
            </w:r>
          </w:p>
        </w:tc>
        <w:tc>
          <w:tcPr>
            <w:tcW w:w="992" w:type="pct"/>
            <w:shd w:val="clear" w:color="000000" w:fill="404040"/>
            <w:vAlign w:val="center"/>
          </w:tcPr>
          <w:p w14:paraId="16427A35" w14:textId="0E77C4A1" w:rsidR="00192225" w:rsidRPr="00B64534" w:rsidRDefault="00192225" w:rsidP="00BA2689">
            <w:pPr>
              <w:pStyle w:val="TableHeading"/>
              <w:rPr>
                <w:b w:val="0"/>
                <w:color w:val="FFFFFF" w:themeColor="background1"/>
              </w:rPr>
            </w:pPr>
            <w:r w:rsidRPr="00B64534">
              <w:rPr>
                <w:bCs/>
                <w:color w:val="FFFFFF" w:themeColor="background1"/>
              </w:rPr>
              <w:t>Direct cost</w:t>
            </w:r>
            <w:r w:rsidR="00CF110C">
              <w:rPr>
                <w:bCs/>
                <w:color w:val="FFFFFF" w:themeColor="background1"/>
              </w:rPr>
              <w:t xml:space="preserve"> </w:t>
            </w:r>
          </w:p>
        </w:tc>
        <w:tc>
          <w:tcPr>
            <w:tcW w:w="992" w:type="pct"/>
            <w:shd w:val="clear" w:color="000000" w:fill="404040"/>
            <w:vAlign w:val="center"/>
          </w:tcPr>
          <w:p w14:paraId="0F57062B" w14:textId="2E5BAFE6" w:rsidR="00192225" w:rsidRPr="00B64534" w:rsidRDefault="00192225" w:rsidP="00BA2689">
            <w:pPr>
              <w:pStyle w:val="TableHeading"/>
              <w:rPr>
                <w:b w:val="0"/>
                <w:color w:val="FFFFFF" w:themeColor="background1"/>
              </w:rPr>
            </w:pPr>
            <w:r w:rsidRPr="00B64534">
              <w:rPr>
                <w:bCs/>
                <w:color w:val="FFFFFF" w:themeColor="background1"/>
              </w:rPr>
              <w:t>Support cost</w:t>
            </w:r>
            <w:r w:rsidR="00CF110C">
              <w:rPr>
                <w:bCs/>
                <w:color w:val="FFFFFF" w:themeColor="background1"/>
              </w:rPr>
              <w:t xml:space="preserve"> </w:t>
            </w:r>
          </w:p>
        </w:tc>
        <w:tc>
          <w:tcPr>
            <w:tcW w:w="992" w:type="pct"/>
            <w:shd w:val="clear" w:color="000000" w:fill="404040"/>
            <w:vAlign w:val="center"/>
          </w:tcPr>
          <w:p w14:paraId="18945AF8" w14:textId="69D5B3B3" w:rsidR="00192225" w:rsidRPr="00B64534" w:rsidRDefault="00192225" w:rsidP="00BA2689">
            <w:pPr>
              <w:pStyle w:val="TableHeading"/>
              <w:rPr>
                <w:b w:val="0"/>
                <w:color w:val="FFFFFF" w:themeColor="background1"/>
              </w:rPr>
            </w:pPr>
            <w:r w:rsidRPr="00B64534">
              <w:rPr>
                <w:bCs/>
                <w:color w:val="FFFFFF" w:themeColor="background1"/>
              </w:rPr>
              <w:t>Total cost</w:t>
            </w:r>
            <w:r w:rsidR="00CF110C">
              <w:rPr>
                <w:bCs/>
                <w:color w:val="FFFFFF" w:themeColor="background1"/>
              </w:rPr>
              <w:t xml:space="preserve"> </w:t>
            </w:r>
          </w:p>
        </w:tc>
      </w:tr>
      <w:tr w:rsidR="00F53A67" w:rsidRPr="00B4771B" w14:paraId="295345E8" w14:textId="77777777" w:rsidTr="00410995">
        <w:trPr>
          <w:trHeight w:val="226"/>
        </w:trPr>
        <w:tc>
          <w:tcPr>
            <w:tcW w:w="2024" w:type="pct"/>
            <w:vAlign w:val="center"/>
          </w:tcPr>
          <w:p w14:paraId="5B2BAF05" w14:textId="77777777" w:rsidR="00F53A67" w:rsidRPr="00F029AA" w:rsidRDefault="00F53A67" w:rsidP="00F53A67">
            <w:pPr>
              <w:keepNext/>
              <w:spacing w:after="0"/>
              <w:rPr>
                <w:rFonts w:cs="Arial"/>
                <w:sz w:val="18"/>
                <w:szCs w:val="18"/>
              </w:rPr>
            </w:pPr>
            <w:r w:rsidRPr="00F029AA">
              <w:rPr>
                <w:rFonts w:cs="Arial"/>
                <w:sz w:val="18"/>
                <w:szCs w:val="18"/>
              </w:rPr>
              <w:t xml:space="preserve">Regulation development  </w:t>
            </w:r>
          </w:p>
        </w:tc>
        <w:tc>
          <w:tcPr>
            <w:tcW w:w="992" w:type="pct"/>
            <w:shd w:val="clear" w:color="auto" w:fill="auto"/>
          </w:tcPr>
          <w:p w14:paraId="35E64861" w14:textId="3698C722" w:rsidR="00F53A67" w:rsidRPr="00F029AA" w:rsidRDefault="00F53A67" w:rsidP="00BA2689">
            <w:pPr>
              <w:keepNext/>
              <w:spacing w:after="0"/>
              <w:rPr>
                <w:rFonts w:cs="Arial"/>
                <w:color w:val="000000"/>
                <w:sz w:val="18"/>
                <w:szCs w:val="18"/>
              </w:rPr>
            </w:pPr>
            <w:r w:rsidRPr="00F029AA">
              <w:rPr>
                <w:sz w:val="18"/>
                <w:szCs w:val="18"/>
              </w:rPr>
              <w:t>$3,053,763</w:t>
            </w:r>
          </w:p>
        </w:tc>
        <w:tc>
          <w:tcPr>
            <w:tcW w:w="992" w:type="pct"/>
            <w:shd w:val="clear" w:color="auto" w:fill="auto"/>
          </w:tcPr>
          <w:p w14:paraId="5E738ADA" w14:textId="3B36800D" w:rsidR="00F53A67" w:rsidRPr="00F029AA" w:rsidRDefault="00F53A67" w:rsidP="00BA2689">
            <w:pPr>
              <w:keepNext/>
              <w:spacing w:after="0"/>
              <w:rPr>
                <w:rFonts w:cs="Arial"/>
                <w:color w:val="000000"/>
                <w:sz w:val="18"/>
                <w:szCs w:val="18"/>
              </w:rPr>
            </w:pPr>
            <w:r w:rsidRPr="00F029AA">
              <w:rPr>
                <w:sz w:val="18"/>
                <w:szCs w:val="18"/>
              </w:rPr>
              <w:t>$3,412,444</w:t>
            </w:r>
          </w:p>
        </w:tc>
        <w:tc>
          <w:tcPr>
            <w:tcW w:w="992" w:type="pct"/>
            <w:shd w:val="clear" w:color="auto" w:fill="auto"/>
          </w:tcPr>
          <w:p w14:paraId="11A2B054" w14:textId="5D9ED044" w:rsidR="00F53A67" w:rsidRPr="00F029AA" w:rsidRDefault="00F53A67" w:rsidP="00BA2689">
            <w:pPr>
              <w:keepNext/>
              <w:spacing w:after="0"/>
              <w:rPr>
                <w:rFonts w:cs="Arial"/>
                <w:color w:val="000000"/>
                <w:sz w:val="18"/>
                <w:szCs w:val="18"/>
              </w:rPr>
            </w:pPr>
            <w:r w:rsidRPr="00F029AA">
              <w:rPr>
                <w:sz w:val="18"/>
                <w:szCs w:val="18"/>
              </w:rPr>
              <w:t>$6,466,207</w:t>
            </w:r>
          </w:p>
        </w:tc>
      </w:tr>
      <w:tr w:rsidR="00F53A67" w:rsidRPr="00B4771B" w14:paraId="1E299B3A" w14:textId="77777777" w:rsidTr="00410995">
        <w:trPr>
          <w:trHeight w:val="288"/>
        </w:trPr>
        <w:tc>
          <w:tcPr>
            <w:tcW w:w="2024" w:type="pct"/>
            <w:vAlign w:val="center"/>
          </w:tcPr>
          <w:p w14:paraId="7AADA261" w14:textId="77777777" w:rsidR="00F53A67" w:rsidRPr="00F029AA" w:rsidRDefault="00F53A67" w:rsidP="00F53A67">
            <w:pPr>
              <w:keepNext/>
              <w:spacing w:after="0"/>
              <w:rPr>
                <w:rFonts w:cs="Arial"/>
                <w:sz w:val="18"/>
                <w:szCs w:val="18"/>
              </w:rPr>
            </w:pPr>
            <w:r w:rsidRPr="00F029AA">
              <w:rPr>
                <w:rFonts w:cs="Arial"/>
                <w:sz w:val="18"/>
                <w:szCs w:val="18"/>
              </w:rPr>
              <w:t>Industry monitoring and NBN</w:t>
            </w:r>
          </w:p>
        </w:tc>
        <w:tc>
          <w:tcPr>
            <w:tcW w:w="992" w:type="pct"/>
            <w:shd w:val="clear" w:color="auto" w:fill="auto"/>
          </w:tcPr>
          <w:p w14:paraId="723B5FEB" w14:textId="32FA4111" w:rsidR="00F53A67" w:rsidRPr="00F029AA" w:rsidRDefault="00F53A67" w:rsidP="00BA2689">
            <w:pPr>
              <w:keepNext/>
              <w:spacing w:after="0"/>
              <w:rPr>
                <w:rFonts w:cs="Arial"/>
                <w:color w:val="000000"/>
                <w:sz w:val="18"/>
                <w:szCs w:val="18"/>
              </w:rPr>
            </w:pPr>
            <w:r w:rsidRPr="00F029AA">
              <w:rPr>
                <w:sz w:val="18"/>
                <w:szCs w:val="18"/>
              </w:rPr>
              <w:t>$432,688</w:t>
            </w:r>
          </w:p>
        </w:tc>
        <w:tc>
          <w:tcPr>
            <w:tcW w:w="992" w:type="pct"/>
            <w:shd w:val="clear" w:color="auto" w:fill="auto"/>
          </w:tcPr>
          <w:p w14:paraId="6ADB9DCC" w14:textId="004941DF" w:rsidR="00F53A67" w:rsidRPr="00F029AA" w:rsidRDefault="00F53A67" w:rsidP="00BA2689">
            <w:pPr>
              <w:keepNext/>
              <w:spacing w:after="0"/>
              <w:rPr>
                <w:rFonts w:cs="Arial"/>
                <w:color w:val="000000"/>
                <w:sz w:val="18"/>
                <w:szCs w:val="18"/>
              </w:rPr>
            </w:pPr>
            <w:r w:rsidRPr="00F029AA">
              <w:rPr>
                <w:sz w:val="18"/>
                <w:szCs w:val="18"/>
              </w:rPr>
              <w:t>$580,972</w:t>
            </w:r>
          </w:p>
        </w:tc>
        <w:tc>
          <w:tcPr>
            <w:tcW w:w="992" w:type="pct"/>
            <w:shd w:val="clear" w:color="auto" w:fill="auto"/>
          </w:tcPr>
          <w:p w14:paraId="06419CD0" w14:textId="1F880B16" w:rsidR="00F53A67" w:rsidRPr="00F029AA" w:rsidRDefault="00F53A67" w:rsidP="00BA2689">
            <w:pPr>
              <w:keepNext/>
              <w:spacing w:after="0"/>
              <w:rPr>
                <w:rFonts w:cs="Arial"/>
                <w:color w:val="000000"/>
                <w:sz w:val="18"/>
                <w:szCs w:val="18"/>
              </w:rPr>
            </w:pPr>
            <w:r w:rsidRPr="00F029AA">
              <w:rPr>
                <w:sz w:val="18"/>
                <w:szCs w:val="18"/>
              </w:rPr>
              <w:t>$1,013,660</w:t>
            </w:r>
          </w:p>
        </w:tc>
      </w:tr>
      <w:tr w:rsidR="00F53A67" w:rsidRPr="00B4771B" w14:paraId="6D01790D" w14:textId="77777777" w:rsidTr="00410995">
        <w:trPr>
          <w:trHeight w:val="294"/>
        </w:trPr>
        <w:tc>
          <w:tcPr>
            <w:tcW w:w="2024" w:type="pct"/>
            <w:vAlign w:val="center"/>
          </w:tcPr>
          <w:p w14:paraId="3D34B45F" w14:textId="4E4D3135" w:rsidR="00F53A67" w:rsidRPr="00F029AA" w:rsidRDefault="00F53A67" w:rsidP="00F53A67">
            <w:pPr>
              <w:keepNext/>
              <w:spacing w:after="0"/>
              <w:rPr>
                <w:rFonts w:cs="Arial"/>
                <w:sz w:val="18"/>
                <w:szCs w:val="18"/>
              </w:rPr>
            </w:pPr>
            <w:r w:rsidRPr="00F029AA">
              <w:rPr>
                <w:rFonts w:cs="Arial"/>
                <w:sz w:val="18"/>
                <w:szCs w:val="18"/>
              </w:rPr>
              <w:t>Compliance</w:t>
            </w:r>
            <w:r w:rsidR="00690BDA">
              <w:rPr>
                <w:rFonts w:cs="Arial"/>
                <w:sz w:val="18"/>
                <w:szCs w:val="18"/>
              </w:rPr>
              <w:t>,</w:t>
            </w:r>
            <w:r w:rsidRPr="00F029AA">
              <w:rPr>
                <w:rFonts w:cs="Arial"/>
                <w:sz w:val="18"/>
                <w:szCs w:val="18"/>
              </w:rPr>
              <w:t xml:space="preserve"> enforcement</w:t>
            </w:r>
            <w:r w:rsidR="00690BDA">
              <w:rPr>
                <w:rFonts w:cs="Arial"/>
                <w:sz w:val="18"/>
                <w:szCs w:val="18"/>
              </w:rPr>
              <w:t xml:space="preserve"> and consumer safeguard</w:t>
            </w:r>
            <w:r w:rsidR="008A0447">
              <w:rPr>
                <w:rFonts w:cs="Arial"/>
                <w:sz w:val="18"/>
                <w:szCs w:val="18"/>
              </w:rPr>
              <w:t>s</w:t>
            </w:r>
          </w:p>
        </w:tc>
        <w:tc>
          <w:tcPr>
            <w:tcW w:w="992" w:type="pct"/>
            <w:shd w:val="clear" w:color="auto" w:fill="auto"/>
          </w:tcPr>
          <w:p w14:paraId="29F8721C" w14:textId="2AF830CE" w:rsidR="00F53A67" w:rsidRPr="00F029AA" w:rsidRDefault="00F53A67" w:rsidP="00BA2689">
            <w:pPr>
              <w:keepNext/>
              <w:spacing w:after="0"/>
              <w:rPr>
                <w:rFonts w:cs="Arial"/>
                <w:color w:val="000000"/>
                <w:sz w:val="18"/>
                <w:szCs w:val="18"/>
              </w:rPr>
            </w:pPr>
            <w:r w:rsidRPr="00F029AA">
              <w:rPr>
                <w:sz w:val="18"/>
                <w:szCs w:val="18"/>
              </w:rPr>
              <w:t>$1,</w:t>
            </w:r>
            <w:r w:rsidR="00855426">
              <w:rPr>
                <w:sz w:val="18"/>
                <w:szCs w:val="18"/>
              </w:rPr>
              <w:t>609,445</w:t>
            </w:r>
          </w:p>
        </w:tc>
        <w:tc>
          <w:tcPr>
            <w:tcW w:w="992" w:type="pct"/>
            <w:shd w:val="clear" w:color="auto" w:fill="auto"/>
          </w:tcPr>
          <w:p w14:paraId="3B3E6E98" w14:textId="0E751054" w:rsidR="00F53A67" w:rsidRPr="00F029AA" w:rsidRDefault="00F53A67" w:rsidP="00BA2689">
            <w:pPr>
              <w:keepNext/>
              <w:spacing w:after="0"/>
              <w:rPr>
                <w:rFonts w:cs="Arial"/>
                <w:color w:val="000000"/>
                <w:sz w:val="18"/>
                <w:szCs w:val="18"/>
              </w:rPr>
            </w:pPr>
            <w:r w:rsidRPr="00F029AA">
              <w:rPr>
                <w:sz w:val="18"/>
                <w:szCs w:val="18"/>
              </w:rPr>
              <w:t>$2,</w:t>
            </w:r>
            <w:r w:rsidR="00855426">
              <w:rPr>
                <w:sz w:val="18"/>
                <w:szCs w:val="18"/>
              </w:rPr>
              <w:t>568,771</w:t>
            </w:r>
          </w:p>
        </w:tc>
        <w:tc>
          <w:tcPr>
            <w:tcW w:w="992" w:type="pct"/>
            <w:shd w:val="clear" w:color="auto" w:fill="auto"/>
          </w:tcPr>
          <w:p w14:paraId="65258F90" w14:textId="3C00108D" w:rsidR="00F53A67" w:rsidRPr="00F029AA" w:rsidRDefault="00F53A67" w:rsidP="00BA2689">
            <w:pPr>
              <w:keepNext/>
              <w:spacing w:after="0"/>
              <w:rPr>
                <w:rFonts w:cs="Arial"/>
                <w:color w:val="000000"/>
                <w:sz w:val="18"/>
                <w:szCs w:val="18"/>
              </w:rPr>
            </w:pPr>
            <w:r w:rsidRPr="00F029AA">
              <w:rPr>
                <w:sz w:val="18"/>
                <w:szCs w:val="18"/>
              </w:rPr>
              <w:t>$4,</w:t>
            </w:r>
            <w:r w:rsidR="00855426">
              <w:rPr>
                <w:sz w:val="18"/>
                <w:szCs w:val="18"/>
              </w:rPr>
              <w:t>178,216</w:t>
            </w:r>
          </w:p>
        </w:tc>
      </w:tr>
      <w:tr w:rsidR="00F53A67" w:rsidRPr="00B4771B" w14:paraId="637DA35B" w14:textId="77777777" w:rsidTr="00410995">
        <w:trPr>
          <w:trHeight w:val="157"/>
        </w:trPr>
        <w:tc>
          <w:tcPr>
            <w:tcW w:w="2024" w:type="pct"/>
            <w:vAlign w:val="center"/>
          </w:tcPr>
          <w:p w14:paraId="6C8DDD95" w14:textId="65F16E67" w:rsidR="00F53A67" w:rsidRPr="00F029AA" w:rsidRDefault="00F53A67" w:rsidP="00F53A67">
            <w:pPr>
              <w:keepNext/>
              <w:spacing w:after="0"/>
              <w:rPr>
                <w:rFonts w:cs="Arial"/>
                <w:sz w:val="18"/>
                <w:szCs w:val="18"/>
              </w:rPr>
            </w:pPr>
            <w:r w:rsidRPr="00F029AA">
              <w:rPr>
                <w:rFonts w:cs="Arial"/>
                <w:sz w:val="18"/>
                <w:szCs w:val="18"/>
              </w:rPr>
              <w:t>Licensing and allocation</w:t>
            </w:r>
          </w:p>
        </w:tc>
        <w:tc>
          <w:tcPr>
            <w:tcW w:w="992" w:type="pct"/>
            <w:shd w:val="clear" w:color="auto" w:fill="auto"/>
          </w:tcPr>
          <w:p w14:paraId="197A92B2" w14:textId="6987C73D" w:rsidR="00F53A67" w:rsidRPr="00F029AA" w:rsidRDefault="00F53A67" w:rsidP="00BA2689">
            <w:pPr>
              <w:keepNext/>
              <w:spacing w:after="0"/>
              <w:rPr>
                <w:rFonts w:cs="Arial"/>
                <w:color w:val="000000"/>
                <w:sz w:val="18"/>
                <w:szCs w:val="18"/>
              </w:rPr>
            </w:pPr>
            <w:r w:rsidRPr="00F029AA">
              <w:rPr>
                <w:sz w:val="18"/>
                <w:szCs w:val="18"/>
              </w:rPr>
              <w:t>$</w:t>
            </w:r>
            <w:r w:rsidR="00855426">
              <w:rPr>
                <w:sz w:val="18"/>
                <w:szCs w:val="18"/>
              </w:rPr>
              <w:t>680,368</w:t>
            </w:r>
          </w:p>
        </w:tc>
        <w:tc>
          <w:tcPr>
            <w:tcW w:w="992" w:type="pct"/>
            <w:shd w:val="clear" w:color="auto" w:fill="auto"/>
          </w:tcPr>
          <w:p w14:paraId="0E5A69FE" w14:textId="18F35D15" w:rsidR="00F53A67" w:rsidRPr="00F029AA" w:rsidRDefault="00F53A67" w:rsidP="00BA2689">
            <w:pPr>
              <w:keepNext/>
              <w:spacing w:after="0"/>
              <w:rPr>
                <w:rFonts w:cs="Arial"/>
                <w:color w:val="000000"/>
                <w:sz w:val="18"/>
                <w:szCs w:val="18"/>
              </w:rPr>
            </w:pPr>
            <w:r w:rsidRPr="00F029AA">
              <w:rPr>
                <w:sz w:val="18"/>
                <w:szCs w:val="18"/>
              </w:rPr>
              <w:t>$</w:t>
            </w:r>
            <w:r w:rsidR="00855426">
              <w:rPr>
                <w:sz w:val="18"/>
                <w:szCs w:val="18"/>
              </w:rPr>
              <w:t>781,858</w:t>
            </w:r>
          </w:p>
        </w:tc>
        <w:tc>
          <w:tcPr>
            <w:tcW w:w="992" w:type="pct"/>
            <w:shd w:val="clear" w:color="auto" w:fill="auto"/>
          </w:tcPr>
          <w:p w14:paraId="3DA0F902" w14:textId="4B46B403" w:rsidR="00F53A67" w:rsidRPr="00F029AA" w:rsidRDefault="00F53A67" w:rsidP="00BA2689">
            <w:pPr>
              <w:keepNext/>
              <w:spacing w:after="0"/>
              <w:rPr>
                <w:rFonts w:cs="Arial"/>
                <w:color w:val="000000"/>
                <w:sz w:val="18"/>
                <w:szCs w:val="18"/>
              </w:rPr>
            </w:pPr>
            <w:r w:rsidRPr="00F029AA">
              <w:rPr>
                <w:sz w:val="18"/>
                <w:szCs w:val="18"/>
              </w:rPr>
              <w:t>$1,</w:t>
            </w:r>
            <w:r w:rsidR="00855426">
              <w:rPr>
                <w:sz w:val="18"/>
                <w:szCs w:val="18"/>
              </w:rPr>
              <w:t>462,226</w:t>
            </w:r>
          </w:p>
        </w:tc>
      </w:tr>
      <w:tr w:rsidR="00F53A67" w:rsidRPr="00B4771B" w14:paraId="2DFCA484" w14:textId="77777777" w:rsidTr="00410995">
        <w:trPr>
          <w:trHeight w:val="219"/>
        </w:trPr>
        <w:tc>
          <w:tcPr>
            <w:tcW w:w="2024" w:type="pct"/>
            <w:vAlign w:val="center"/>
          </w:tcPr>
          <w:p w14:paraId="65F0CDE5" w14:textId="77777777" w:rsidR="00F53A67" w:rsidRPr="00F029AA" w:rsidRDefault="00F53A67" w:rsidP="00F53A67">
            <w:pPr>
              <w:keepNext/>
              <w:spacing w:after="0"/>
              <w:rPr>
                <w:rFonts w:cs="Arial"/>
                <w:sz w:val="18"/>
                <w:szCs w:val="18"/>
              </w:rPr>
            </w:pPr>
            <w:r w:rsidRPr="00F029AA">
              <w:rPr>
                <w:rFonts w:cs="Arial"/>
                <w:sz w:val="18"/>
                <w:szCs w:val="18"/>
              </w:rPr>
              <w:t>Other outputs</w:t>
            </w:r>
          </w:p>
        </w:tc>
        <w:tc>
          <w:tcPr>
            <w:tcW w:w="992" w:type="pct"/>
            <w:shd w:val="clear" w:color="auto" w:fill="auto"/>
          </w:tcPr>
          <w:p w14:paraId="6217C359" w14:textId="00421342" w:rsidR="00F53A67" w:rsidRPr="00F029AA" w:rsidRDefault="00F53A67" w:rsidP="00BA2689">
            <w:pPr>
              <w:keepNext/>
              <w:spacing w:after="0"/>
              <w:rPr>
                <w:rFonts w:cs="Arial"/>
                <w:color w:val="000000"/>
                <w:sz w:val="18"/>
                <w:szCs w:val="18"/>
              </w:rPr>
            </w:pPr>
            <w:r w:rsidRPr="00F029AA">
              <w:rPr>
                <w:sz w:val="18"/>
                <w:szCs w:val="18"/>
              </w:rPr>
              <w:t>$40,451</w:t>
            </w:r>
          </w:p>
        </w:tc>
        <w:tc>
          <w:tcPr>
            <w:tcW w:w="992" w:type="pct"/>
            <w:shd w:val="clear" w:color="auto" w:fill="auto"/>
          </w:tcPr>
          <w:p w14:paraId="44AE2285" w14:textId="467ECE06" w:rsidR="00F53A67" w:rsidRPr="00F029AA" w:rsidRDefault="00F53A67" w:rsidP="00BA2689">
            <w:pPr>
              <w:keepNext/>
              <w:spacing w:after="0"/>
              <w:rPr>
                <w:rFonts w:cs="Arial"/>
                <w:color w:val="000000"/>
                <w:sz w:val="18"/>
                <w:szCs w:val="18"/>
              </w:rPr>
            </w:pPr>
            <w:r w:rsidRPr="00F029AA">
              <w:rPr>
                <w:sz w:val="18"/>
                <w:szCs w:val="18"/>
              </w:rPr>
              <w:t>$236,98</w:t>
            </w:r>
            <w:r w:rsidR="00F029AA" w:rsidRPr="00F029AA">
              <w:rPr>
                <w:sz w:val="18"/>
                <w:szCs w:val="18"/>
              </w:rPr>
              <w:t>3</w:t>
            </w:r>
          </w:p>
        </w:tc>
        <w:tc>
          <w:tcPr>
            <w:tcW w:w="992" w:type="pct"/>
            <w:shd w:val="clear" w:color="auto" w:fill="auto"/>
          </w:tcPr>
          <w:p w14:paraId="676F2573" w14:textId="2D90AB0C" w:rsidR="00F53A67" w:rsidRPr="00F029AA" w:rsidRDefault="00F53A67" w:rsidP="00BA2689">
            <w:pPr>
              <w:keepNext/>
              <w:spacing w:after="0"/>
              <w:rPr>
                <w:rFonts w:cs="Arial"/>
                <w:color w:val="000000"/>
                <w:sz w:val="18"/>
                <w:szCs w:val="18"/>
              </w:rPr>
            </w:pPr>
            <w:r w:rsidRPr="00F029AA">
              <w:rPr>
                <w:sz w:val="18"/>
                <w:szCs w:val="18"/>
              </w:rPr>
              <w:t>$277,434</w:t>
            </w:r>
          </w:p>
        </w:tc>
      </w:tr>
      <w:tr w:rsidR="00A65186" w:rsidRPr="00B4771B" w14:paraId="3F8576AF" w14:textId="77777777" w:rsidTr="00E23A41">
        <w:trPr>
          <w:trHeight w:val="219"/>
        </w:trPr>
        <w:tc>
          <w:tcPr>
            <w:tcW w:w="2024" w:type="pct"/>
            <w:shd w:val="clear" w:color="auto" w:fill="D9D9D9" w:themeFill="background1" w:themeFillShade="D9"/>
            <w:vAlign w:val="center"/>
          </w:tcPr>
          <w:p w14:paraId="154A27D1" w14:textId="0C0ECF18" w:rsidR="00A65186" w:rsidRPr="00E23A41" w:rsidRDefault="00A65186" w:rsidP="00A65186">
            <w:pPr>
              <w:keepNext/>
              <w:spacing w:after="0"/>
              <w:rPr>
                <w:rFonts w:cs="Arial"/>
                <w:b/>
                <w:bCs/>
                <w:sz w:val="18"/>
                <w:szCs w:val="18"/>
              </w:rPr>
            </w:pPr>
            <w:r w:rsidRPr="00E23A41">
              <w:rPr>
                <w:rFonts w:cs="Arial"/>
                <w:b/>
                <w:bCs/>
                <w:sz w:val="18"/>
                <w:szCs w:val="18"/>
              </w:rPr>
              <w:t>Total costs</w:t>
            </w:r>
          </w:p>
        </w:tc>
        <w:tc>
          <w:tcPr>
            <w:tcW w:w="992" w:type="pct"/>
            <w:shd w:val="clear" w:color="auto" w:fill="D9D9D9" w:themeFill="background1" w:themeFillShade="D9"/>
          </w:tcPr>
          <w:p w14:paraId="58E64288" w14:textId="5291909E" w:rsidR="00A65186" w:rsidRPr="00F029AA" w:rsidRDefault="00A65186" w:rsidP="00BA2689">
            <w:pPr>
              <w:keepNext/>
              <w:spacing w:after="0"/>
              <w:rPr>
                <w:sz w:val="18"/>
                <w:szCs w:val="18"/>
              </w:rPr>
            </w:pPr>
            <w:r w:rsidRPr="00F029AA">
              <w:rPr>
                <w:sz w:val="18"/>
                <w:szCs w:val="18"/>
              </w:rPr>
              <w:t>$5,816,715</w:t>
            </w:r>
          </w:p>
        </w:tc>
        <w:tc>
          <w:tcPr>
            <w:tcW w:w="992" w:type="pct"/>
            <w:shd w:val="clear" w:color="auto" w:fill="D9D9D9" w:themeFill="background1" w:themeFillShade="D9"/>
          </w:tcPr>
          <w:p w14:paraId="149351CC" w14:textId="3565D3DE" w:rsidR="00A65186" w:rsidRPr="00F029AA" w:rsidRDefault="00A65186" w:rsidP="00BA2689">
            <w:pPr>
              <w:keepNext/>
              <w:spacing w:after="0"/>
              <w:rPr>
                <w:sz w:val="18"/>
                <w:szCs w:val="18"/>
              </w:rPr>
            </w:pPr>
            <w:r w:rsidRPr="00F029AA">
              <w:rPr>
                <w:sz w:val="18"/>
                <w:szCs w:val="18"/>
              </w:rPr>
              <w:t>$7,581,028</w:t>
            </w:r>
          </w:p>
        </w:tc>
        <w:tc>
          <w:tcPr>
            <w:tcW w:w="992" w:type="pct"/>
            <w:shd w:val="clear" w:color="auto" w:fill="D9D9D9" w:themeFill="background1" w:themeFillShade="D9"/>
          </w:tcPr>
          <w:p w14:paraId="72B5B248" w14:textId="1E7DB6A7" w:rsidR="00A65186" w:rsidRPr="00F029AA" w:rsidRDefault="00A65186" w:rsidP="00BA2689">
            <w:pPr>
              <w:keepNext/>
              <w:spacing w:after="0"/>
              <w:rPr>
                <w:sz w:val="18"/>
                <w:szCs w:val="18"/>
              </w:rPr>
            </w:pPr>
            <w:r w:rsidRPr="00F029AA">
              <w:rPr>
                <w:sz w:val="18"/>
                <w:szCs w:val="18"/>
              </w:rPr>
              <w:t>$13,397,743</w:t>
            </w:r>
          </w:p>
        </w:tc>
      </w:tr>
    </w:tbl>
    <w:bookmarkEnd w:id="69"/>
    <w:p w14:paraId="27A07EB0" w14:textId="19C11DE1" w:rsidR="009E783D" w:rsidRPr="005D0BC8" w:rsidRDefault="00961A56" w:rsidP="003F7E3A">
      <w:pPr>
        <w:spacing w:before="240"/>
      </w:pPr>
      <w:r>
        <w:t>Direct costs are those</w:t>
      </w:r>
      <w:r w:rsidR="009E783D" w:rsidRPr="00A84CBD">
        <w:t xml:space="preserve"> costs </w:t>
      </w:r>
      <w:r w:rsidR="00386FB7">
        <w:t xml:space="preserve">that are </w:t>
      </w:r>
      <w:r w:rsidR="009E783D" w:rsidRPr="00A84CBD">
        <w:t xml:space="preserve">directly </w:t>
      </w:r>
      <w:r w:rsidR="00386FB7">
        <w:t xml:space="preserve">attributed to outputs and activities performed </w:t>
      </w:r>
      <w:r w:rsidR="009E783D" w:rsidRPr="00A84CBD">
        <w:t xml:space="preserve">by the relevant </w:t>
      </w:r>
      <w:r w:rsidR="009E783D">
        <w:t>operational</w:t>
      </w:r>
      <w:r w:rsidR="009E783D" w:rsidRPr="00A84CBD">
        <w:t xml:space="preserve"> areas</w:t>
      </w:r>
      <w:r w:rsidR="00386FB7">
        <w:t xml:space="preserve"> </w:t>
      </w:r>
      <w:r w:rsidR="00CF110C">
        <w:t xml:space="preserve">that </w:t>
      </w:r>
      <w:r w:rsidR="003E5D58">
        <w:t>are involved in service provision</w:t>
      </w:r>
      <w:r w:rsidR="00386FB7">
        <w:t xml:space="preserve">. </w:t>
      </w:r>
      <w:r w:rsidRPr="00961A56">
        <w:t>Direct costs include staff salaries and other expenses (for example, contractors, consultants, suppliers, office consumables, travel) in relation to the operational areas carrying out telecommunications activities.</w:t>
      </w:r>
      <w:r>
        <w:t xml:space="preserve"> </w:t>
      </w:r>
      <w:r w:rsidR="009E783D" w:rsidRPr="00A84CBD">
        <w:t>The</w:t>
      </w:r>
      <w:r>
        <w:t>se</w:t>
      </w:r>
      <w:r w:rsidR="003E5D58">
        <w:t xml:space="preserve"> direct</w:t>
      </w:r>
      <w:r w:rsidR="009E783D" w:rsidRPr="00A84CBD">
        <w:t xml:space="preserve"> costs are attributed to their activities bas</w:t>
      </w:r>
      <w:r w:rsidR="00E87055">
        <w:t>ed on</w:t>
      </w:r>
      <w:r w:rsidR="009E783D" w:rsidRPr="00A84CBD">
        <w:t xml:space="preserve"> information provided via the agency</w:t>
      </w:r>
      <w:r w:rsidR="00A37EF7">
        <w:t>-</w:t>
      </w:r>
      <w:r w:rsidR="009E783D" w:rsidRPr="00A84CBD">
        <w:t>wide survey</w:t>
      </w:r>
      <w:r w:rsidR="00E87055">
        <w:t>,</w:t>
      </w:r>
      <w:r w:rsidR="009E783D" w:rsidRPr="00A84CBD">
        <w:t xml:space="preserve"> which reflects the consumption of resources relevant to telecommunications functions and powers. </w:t>
      </w:r>
    </w:p>
    <w:p w14:paraId="06D32376" w14:textId="4DF946D9" w:rsidR="009F69F8" w:rsidRDefault="004A3214" w:rsidP="003F7E3A">
      <w:r>
        <w:t>S</w:t>
      </w:r>
      <w:r w:rsidR="009E783D" w:rsidRPr="008E0DB6">
        <w:t xml:space="preserve">upport costs are </w:t>
      </w:r>
      <w:r w:rsidR="00E87055" w:rsidRPr="008E0DB6">
        <w:t>those</w:t>
      </w:r>
      <w:r w:rsidR="009E783D" w:rsidRPr="008E0DB6">
        <w:t xml:space="preserve"> </w:t>
      </w:r>
      <w:r w:rsidR="00961A56" w:rsidRPr="008E0DB6">
        <w:t xml:space="preserve">costs not directly attributed to any </w:t>
      </w:r>
      <w:proofErr w:type="gramStart"/>
      <w:r w:rsidR="00961A56" w:rsidRPr="008E0DB6">
        <w:t>particular output</w:t>
      </w:r>
      <w:proofErr w:type="gramEnd"/>
      <w:r w:rsidR="00961A56" w:rsidRPr="008E0DB6">
        <w:t xml:space="preserve"> or activity. </w:t>
      </w:r>
      <w:r w:rsidR="00D801ED">
        <w:t xml:space="preserve">They are allocated to activities performed by the relevant operational areas </w:t>
      </w:r>
      <w:r w:rsidR="009F69F8">
        <w:t>(</w:t>
      </w:r>
      <w:r w:rsidR="00D801ED">
        <w:t xml:space="preserve">including </w:t>
      </w:r>
      <w:r w:rsidR="009F69F8">
        <w:t>areas perform</w:t>
      </w:r>
      <w:r w:rsidR="00690BDA">
        <w:t>ing</w:t>
      </w:r>
      <w:r w:rsidR="009F69F8">
        <w:t xml:space="preserve"> telecommunications activities) using the most suitable drivers (shown in Table 9) which can be reliably measured. </w:t>
      </w:r>
      <w:r w:rsidR="00961A56" w:rsidRPr="008E0DB6">
        <w:t xml:space="preserve">The support costs relate </w:t>
      </w:r>
      <w:r w:rsidR="00D14215" w:rsidRPr="008E0DB6">
        <w:t xml:space="preserve">to </w:t>
      </w:r>
      <w:r w:rsidR="00961A56" w:rsidRPr="008E0DB6">
        <w:t xml:space="preserve">the cost of services provided by </w:t>
      </w:r>
      <w:r w:rsidR="000202B6" w:rsidRPr="008E0DB6">
        <w:t>corporate services</w:t>
      </w:r>
      <w:r w:rsidR="00CF110C">
        <w:t>,</w:t>
      </w:r>
      <w:r w:rsidR="000202B6" w:rsidRPr="008E0DB6">
        <w:t xml:space="preserve"> which include </w:t>
      </w:r>
      <w:r w:rsidR="009E783D" w:rsidRPr="008E0DB6">
        <w:t>information technology (IT), finance, human resources, facilities, legal</w:t>
      </w:r>
      <w:r w:rsidR="007A7B4C" w:rsidRPr="008E0DB6">
        <w:t>, Authority</w:t>
      </w:r>
      <w:r w:rsidR="009E783D" w:rsidRPr="008E0DB6">
        <w:t xml:space="preserve"> and other </w:t>
      </w:r>
      <w:r w:rsidR="009D3691">
        <w:t>costs</w:t>
      </w:r>
      <w:r w:rsidR="009E783D" w:rsidRPr="008E0DB6">
        <w:t xml:space="preserve">. </w:t>
      </w:r>
    </w:p>
    <w:p w14:paraId="63379183" w14:textId="706E2F87" w:rsidR="00130B63" w:rsidRDefault="00367A15" w:rsidP="003F7E3A">
      <w:r w:rsidRPr="008E0DB6">
        <w:t>The support costs not only include indirect costs (overheads) such as depreciation</w:t>
      </w:r>
      <w:r w:rsidR="00CF110C">
        <w:t xml:space="preserve"> and</w:t>
      </w:r>
      <w:r w:rsidR="00CF110C" w:rsidRPr="008E0DB6">
        <w:t xml:space="preserve"> </w:t>
      </w:r>
      <w:r w:rsidR="00130B63" w:rsidRPr="008E0DB6">
        <w:t>occupancy e</w:t>
      </w:r>
      <w:r w:rsidRPr="008E0DB6">
        <w:t>xpenses</w:t>
      </w:r>
      <w:r w:rsidR="00CF110C">
        <w:t>,</w:t>
      </w:r>
      <w:r w:rsidRPr="008E0DB6">
        <w:t xml:space="preserve"> </w:t>
      </w:r>
      <w:r w:rsidR="008E0DB6" w:rsidRPr="008E0DB6">
        <w:t xml:space="preserve">but </w:t>
      </w:r>
      <w:r w:rsidRPr="008E0DB6">
        <w:t xml:space="preserve">also </w:t>
      </w:r>
      <w:r w:rsidR="00F53A67">
        <w:t xml:space="preserve">include expenses for </w:t>
      </w:r>
      <w:r w:rsidRPr="008E0DB6">
        <w:t>all support service</w:t>
      </w:r>
      <w:r w:rsidR="00130B63" w:rsidRPr="008E0DB6">
        <w:t xml:space="preserve"> area</w:t>
      </w:r>
      <w:r w:rsidRPr="008E0DB6">
        <w:t xml:space="preserve">s </w:t>
      </w:r>
      <w:r w:rsidR="00D979D0">
        <w:t>(</w:t>
      </w:r>
      <w:r w:rsidR="009D3691">
        <w:t>for example</w:t>
      </w:r>
      <w:r w:rsidR="00D979D0">
        <w:t xml:space="preserve"> </w:t>
      </w:r>
      <w:r w:rsidR="009D3691">
        <w:t>c</w:t>
      </w:r>
      <w:r w:rsidR="00D979D0">
        <w:t xml:space="preserve">orporate </w:t>
      </w:r>
      <w:r w:rsidR="009D3691">
        <w:t>s</w:t>
      </w:r>
      <w:r w:rsidR="00D979D0">
        <w:t xml:space="preserve">ervices, </w:t>
      </w:r>
      <w:r w:rsidR="009D3691">
        <w:t>l</w:t>
      </w:r>
      <w:r w:rsidR="00D979D0">
        <w:t xml:space="preserve">egal and Authority) </w:t>
      </w:r>
      <w:r w:rsidR="008E0DB6" w:rsidRPr="008E0DB6">
        <w:t xml:space="preserve">such as </w:t>
      </w:r>
      <w:r w:rsidRPr="008E0DB6">
        <w:t>staff salaries, contractors, consultants, suppliers</w:t>
      </w:r>
      <w:r w:rsidR="00130B63" w:rsidRPr="008E0DB6">
        <w:t xml:space="preserve"> and other expenses. </w:t>
      </w:r>
      <w:r w:rsidR="00366A20">
        <w:t>Accordingly</w:t>
      </w:r>
      <w:r w:rsidR="00914FAE">
        <w:t>,</w:t>
      </w:r>
      <w:r w:rsidR="00BA51A8" w:rsidRPr="00BA51A8">
        <w:t xml:space="preserve"> direct costs do not include overhead costs as they form part of the support costs</w:t>
      </w:r>
      <w:r w:rsidR="00BA51A8">
        <w:t>.</w:t>
      </w:r>
      <w:r w:rsidR="00BA51A8" w:rsidRPr="00BA51A8">
        <w:t xml:space="preserve"> </w:t>
      </w:r>
      <w:r w:rsidR="00130B63" w:rsidRPr="008E0DB6">
        <w:t>As a result, the support costs are comparatively higher than the direct costs</w:t>
      </w:r>
      <w:r w:rsidR="00914FAE">
        <w:t xml:space="preserve">. </w:t>
      </w:r>
      <w:r w:rsidR="00D979D0" w:rsidRPr="00D979D0">
        <w:t>The review conducted by independent auditors in the previous years agreed to the categorisation of costs as disclosed</w:t>
      </w:r>
      <w:r w:rsidR="00D979D0">
        <w:t>.</w:t>
      </w:r>
    </w:p>
    <w:p w14:paraId="0F5587CE" w14:textId="62B2A835" w:rsidR="00434DE0" w:rsidRDefault="00434DE0" w:rsidP="003F7E3A"/>
    <w:p w14:paraId="785A5C91" w14:textId="5ED22951" w:rsidR="00F029AA" w:rsidRDefault="00F029AA" w:rsidP="00F029AA">
      <w:pPr>
        <w:spacing w:after="0"/>
      </w:pPr>
    </w:p>
    <w:p w14:paraId="3F87F572" w14:textId="6CCD4601" w:rsidR="00F029AA" w:rsidRDefault="00F029AA" w:rsidP="00F029AA">
      <w:pPr>
        <w:spacing w:after="0"/>
      </w:pPr>
    </w:p>
    <w:p w14:paraId="1A03886E" w14:textId="1495A560" w:rsidR="00F029AA" w:rsidRDefault="00F029AA" w:rsidP="00F029AA">
      <w:pPr>
        <w:spacing w:after="0"/>
      </w:pPr>
    </w:p>
    <w:p w14:paraId="4BF61D4E" w14:textId="3BCF137A" w:rsidR="00F029AA" w:rsidRDefault="00F029AA" w:rsidP="00F029AA">
      <w:pPr>
        <w:spacing w:after="0"/>
      </w:pPr>
    </w:p>
    <w:p w14:paraId="122AF681" w14:textId="77777777" w:rsidR="00F029AA" w:rsidRDefault="00F029AA" w:rsidP="00F029AA">
      <w:pPr>
        <w:spacing w:after="0"/>
      </w:pPr>
    </w:p>
    <w:p w14:paraId="4AFCE804" w14:textId="6729EC64" w:rsidR="005A105D" w:rsidRPr="00F53A67" w:rsidRDefault="005A105D" w:rsidP="00F53A67">
      <w:pPr>
        <w:pStyle w:val="ACMATableHeader"/>
      </w:pPr>
      <w:r w:rsidRPr="00F53A67">
        <w:lastRenderedPageBreak/>
        <w:t>Allocation of</w:t>
      </w:r>
      <w:r w:rsidR="005F64B1">
        <w:t xml:space="preserve"> the</w:t>
      </w:r>
      <w:r w:rsidRPr="00F53A67">
        <w:t xml:space="preserve"> AC</w:t>
      </w:r>
      <w:r w:rsidR="003051AC" w:rsidRPr="00F53A67">
        <w:t>MA</w:t>
      </w:r>
      <w:r w:rsidRPr="00F53A67">
        <w:t>’s support costs</w:t>
      </w:r>
      <w:r w:rsidR="00E33CBA" w:rsidRPr="00F53A67">
        <w:t xml:space="preserve"> (cost drivers)</w:t>
      </w:r>
    </w:p>
    <w:tbl>
      <w:tblPr>
        <w:tblStyle w:val="TableGrid"/>
        <w:tblW w:w="7980" w:type="dxa"/>
        <w:tblInd w:w="-5" w:type="dxa"/>
        <w:tblLayout w:type="fixed"/>
        <w:tblCellMar>
          <w:top w:w="57" w:type="dxa"/>
          <w:bottom w:w="57" w:type="dxa"/>
        </w:tblCellMar>
        <w:tblLook w:val="04A0" w:firstRow="1" w:lastRow="0" w:firstColumn="1" w:lastColumn="0" w:noHBand="0" w:noVBand="1"/>
        <w:tblCaption w:val="Allocation of ACCC’s support costs"/>
        <w:tblDescription w:val="Includes categories, cost drivers and allocation methods."/>
      </w:tblPr>
      <w:tblGrid>
        <w:gridCol w:w="3119"/>
        <w:gridCol w:w="4861"/>
      </w:tblGrid>
      <w:tr w:rsidR="005A105D" w:rsidRPr="009A2EB4" w14:paraId="086F3518" w14:textId="77777777" w:rsidTr="0031688A">
        <w:trPr>
          <w:tblHeader/>
        </w:trPr>
        <w:tc>
          <w:tcPr>
            <w:tcW w:w="3119" w:type="dxa"/>
            <w:shd w:val="clear" w:color="auto" w:fill="404040" w:themeFill="text1" w:themeFillTint="BF"/>
          </w:tcPr>
          <w:p w14:paraId="635DBFDC" w14:textId="77777777" w:rsidR="005A105D" w:rsidRPr="00451B25" w:rsidRDefault="005A105D" w:rsidP="00F31CCF">
            <w:pPr>
              <w:pStyle w:val="TableHeading"/>
              <w:rPr>
                <w:rFonts w:eastAsia="SimSun"/>
                <w:b w:val="0"/>
                <w:color w:val="FFFFFF" w:themeColor="background1"/>
                <w:lang w:eastAsia="en-US"/>
              </w:rPr>
            </w:pPr>
            <w:r w:rsidRPr="00451B25">
              <w:rPr>
                <w:rFonts w:eastAsia="SimSun"/>
                <w:color w:val="FFFFFF" w:themeColor="background1"/>
                <w:lang w:eastAsia="en-US"/>
              </w:rPr>
              <w:t>Category</w:t>
            </w:r>
          </w:p>
        </w:tc>
        <w:tc>
          <w:tcPr>
            <w:tcW w:w="4861" w:type="dxa"/>
            <w:shd w:val="clear" w:color="auto" w:fill="404040" w:themeFill="text1" w:themeFillTint="BF"/>
          </w:tcPr>
          <w:p w14:paraId="1E965608" w14:textId="77777777" w:rsidR="005A105D" w:rsidRPr="00451B25" w:rsidRDefault="005A105D" w:rsidP="00F31CCF">
            <w:pPr>
              <w:pStyle w:val="TableHeading"/>
              <w:rPr>
                <w:rFonts w:eastAsia="SimSun"/>
                <w:color w:val="FFFFFF" w:themeColor="background1"/>
                <w:lang w:eastAsia="en-US"/>
              </w:rPr>
            </w:pPr>
            <w:r>
              <w:rPr>
                <w:rFonts w:eastAsia="SimSun"/>
                <w:color w:val="FFFFFF" w:themeColor="background1"/>
                <w:lang w:eastAsia="en-US"/>
              </w:rPr>
              <w:t>Cost driver</w:t>
            </w:r>
          </w:p>
        </w:tc>
      </w:tr>
      <w:tr w:rsidR="005A105D" w:rsidRPr="009A2EB4" w14:paraId="49055EBB" w14:textId="77777777" w:rsidTr="0031688A">
        <w:tc>
          <w:tcPr>
            <w:tcW w:w="3119" w:type="dxa"/>
            <w:vAlign w:val="center"/>
          </w:tcPr>
          <w:p w14:paraId="2D54986F" w14:textId="77777777" w:rsidR="005A105D" w:rsidRPr="009A2EB4" w:rsidRDefault="005A105D" w:rsidP="00F31CCF">
            <w:pPr>
              <w:spacing w:after="0"/>
              <w:rPr>
                <w:rFonts w:eastAsia="SimSun" w:cs="Arial"/>
                <w:szCs w:val="20"/>
                <w:lang w:eastAsia="en-US"/>
              </w:rPr>
            </w:pPr>
            <w:r>
              <w:rPr>
                <w:rFonts w:cs="Arial"/>
              </w:rPr>
              <w:t>Authority</w:t>
            </w:r>
          </w:p>
        </w:tc>
        <w:tc>
          <w:tcPr>
            <w:tcW w:w="4861" w:type="dxa"/>
          </w:tcPr>
          <w:p w14:paraId="2168B570" w14:textId="4D6F9822" w:rsidR="005A105D" w:rsidRDefault="00366A20" w:rsidP="00366A20">
            <w:pPr>
              <w:spacing w:after="0"/>
              <w:rPr>
                <w:rFonts w:eastAsia="SimSun" w:cs="Arial"/>
                <w:szCs w:val="20"/>
                <w:lang w:eastAsia="en-US"/>
              </w:rPr>
            </w:pPr>
            <w:r>
              <w:rPr>
                <w:rFonts w:eastAsia="SimSun" w:cs="Arial"/>
                <w:szCs w:val="20"/>
                <w:lang w:eastAsia="en-US"/>
              </w:rPr>
              <w:t>Average staffing level (ASL) applicable to r</w:t>
            </w:r>
            <w:r w:rsidR="0072457B">
              <w:rPr>
                <w:rFonts w:eastAsia="SimSun" w:cs="Arial"/>
                <w:szCs w:val="20"/>
                <w:lang w:eastAsia="en-US"/>
              </w:rPr>
              <w:t>ecipient cost centre</w:t>
            </w:r>
          </w:p>
        </w:tc>
      </w:tr>
      <w:tr w:rsidR="005A105D" w:rsidRPr="009A2EB4" w14:paraId="023A9857" w14:textId="77777777" w:rsidTr="0031688A">
        <w:tc>
          <w:tcPr>
            <w:tcW w:w="3119" w:type="dxa"/>
            <w:vAlign w:val="center"/>
          </w:tcPr>
          <w:p w14:paraId="6E100BFD" w14:textId="77777777" w:rsidR="005A105D" w:rsidRPr="009A2EB4" w:rsidRDefault="0072457B" w:rsidP="00F31CCF">
            <w:pPr>
              <w:spacing w:after="0"/>
              <w:rPr>
                <w:rFonts w:eastAsia="SimSun" w:cs="Arial"/>
                <w:szCs w:val="20"/>
                <w:lang w:eastAsia="en-US"/>
              </w:rPr>
            </w:pPr>
            <w:r>
              <w:rPr>
                <w:rFonts w:cs="Arial"/>
              </w:rPr>
              <w:t>People and finance</w:t>
            </w:r>
          </w:p>
        </w:tc>
        <w:tc>
          <w:tcPr>
            <w:tcW w:w="4861" w:type="dxa"/>
          </w:tcPr>
          <w:p w14:paraId="78A8E3DD" w14:textId="3169F656" w:rsidR="005A105D" w:rsidRPr="009A2EB4" w:rsidRDefault="00366A20" w:rsidP="00366A20">
            <w:pPr>
              <w:spacing w:after="0"/>
              <w:rPr>
                <w:rFonts w:eastAsia="SimSun" w:cs="Arial"/>
                <w:szCs w:val="20"/>
                <w:lang w:eastAsia="en-US"/>
              </w:rPr>
            </w:pPr>
            <w:r>
              <w:rPr>
                <w:rFonts w:eastAsia="SimSun" w:cs="Arial"/>
                <w:szCs w:val="20"/>
                <w:lang w:eastAsia="en-US"/>
              </w:rPr>
              <w:t>ASL applicable to r</w:t>
            </w:r>
            <w:r w:rsidR="0072457B" w:rsidRPr="0072457B">
              <w:rPr>
                <w:rFonts w:eastAsia="SimSun" w:cs="Arial"/>
                <w:szCs w:val="20"/>
                <w:lang w:eastAsia="en-US"/>
              </w:rPr>
              <w:t>ecipient cost centre</w:t>
            </w:r>
          </w:p>
        </w:tc>
      </w:tr>
      <w:tr w:rsidR="00366A20" w:rsidRPr="009A2EB4" w14:paraId="23BD37A4" w14:textId="77777777" w:rsidTr="0031688A">
        <w:tc>
          <w:tcPr>
            <w:tcW w:w="3119" w:type="dxa"/>
            <w:vAlign w:val="center"/>
          </w:tcPr>
          <w:p w14:paraId="1CF2E93F" w14:textId="77777777" w:rsidR="00366A20" w:rsidRPr="009A2EB4" w:rsidRDefault="00366A20" w:rsidP="00366A20">
            <w:pPr>
              <w:spacing w:after="0"/>
              <w:rPr>
                <w:rFonts w:eastAsia="SimSun" w:cs="Arial"/>
                <w:szCs w:val="20"/>
                <w:lang w:eastAsia="en-US"/>
              </w:rPr>
            </w:pPr>
            <w:r>
              <w:rPr>
                <w:rFonts w:cs="Arial"/>
              </w:rPr>
              <w:t>Media</w:t>
            </w:r>
          </w:p>
        </w:tc>
        <w:tc>
          <w:tcPr>
            <w:tcW w:w="4861" w:type="dxa"/>
          </w:tcPr>
          <w:p w14:paraId="2DEACCBD" w14:textId="491C1B88" w:rsidR="00366A20" w:rsidRPr="009A2EB4" w:rsidRDefault="00366A20" w:rsidP="00366A20">
            <w:pPr>
              <w:spacing w:after="0"/>
              <w:rPr>
                <w:rFonts w:eastAsia="SimSun" w:cs="Arial"/>
                <w:szCs w:val="20"/>
                <w:lang w:eastAsia="en-US"/>
              </w:rPr>
            </w:pPr>
            <w:r>
              <w:rPr>
                <w:rFonts w:eastAsia="SimSun" w:cs="Arial"/>
                <w:szCs w:val="20"/>
                <w:lang w:eastAsia="en-US"/>
              </w:rPr>
              <w:t>ASL applicable to r</w:t>
            </w:r>
            <w:r w:rsidRPr="0072457B">
              <w:rPr>
                <w:rFonts w:eastAsia="SimSun" w:cs="Arial"/>
                <w:szCs w:val="20"/>
                <w:lang w:eastAsia="en-US"/>
              </w:rPr>
              <w:t>ecipient cost centre</w:t>
            </w:r>
          </w:p>
        </w:tc>
      </w:tr>
      <w:tr w:rsidR="00366A20" w:rsidRPr="009A2EB4" w14:paraId="44F1287A" w14:textId="77777777" w:rsidTr="0031688A">
        <w:tc>
          <w:tcPr>
            <w:tcW w:w="3119" w:type="dxa"/>
            <w:vAlign w:val="center"/>
          </w:tcPr>
          <w:p w14:paraId="2D0C6546" w14:textId="77777777" w:rsidR="00366A20" w:rsidRPr="009A2EB4" w:rsidRDefault="00366A20" w:rsidP="00366A20">
            <w:pPr>
              <w:spacing w:after="0"/>
              <w:rPr>
                <w:rFonts w:eastAsia="SimSun" w:cs="Arial"/>
                <w:szCs w:val="20"/>
                <w:lang w:eastAsia="en-US"/>
              </w:rPr>
            </w:pPr>
            <w:r>
              <w:rPr>
                <w:rFonts w:cs="Arial"/>
              </w:rPr>
              <w:t>Information and facilities</w:t>
            </w:r>
          </w:p>
        </w:tc>
        <w:tc>
          <w:tcPr>
            <w:tcW w:w="4861" w:type="dxa"/>
          </w:tcPr>
          <w:p w14:paraId="4F95E7F9" w14:textId="56590586" w:rsidR="00366A20" w:rsidRDefault="00366A20" w:rsidP="00366A20">
            <w:pPr>
              <w:spacing w:after="0"/>
              <w:rPr>
                <w:rFonts w:eastAsia="SimSun" w:cs="Arial"/>
                <w:szCs w:val="20"/>
                <w:lang w:eastAsia="en-US"/>
              </w:rPr>
            </w:pPr>
            <w:r>
              <w:rPr>
                <w:rFonts w:eastAsia="SimSun" w:cs="Arial"/>
                <w:szCs w:val="20"/>
                <w:lang w:eastAsia="en-US"/>
              </w:rPr>
              <w:t>ASL applicable to r</w:t>
            </w:r>
            <w:r w:rsidRPr="0072457B">
              <w:rPr>
                <w:rFonts w:eastAsia="SimSun" w:cs="Arial"/>
                <w:szCs w:val="20"/>
                <w:lang w:eastAsia="en-US"/>
              </w:rPr>
              <w:t>ecipient cost centre</w:t>
            </w:r>
          </w:p>
        </w:tc>
      </w:tr>
      <w:tr w:rsidR="005A105D" w:rsidRPr="009A2EB4" w14:paraId="717A3A11" w14:textId="77777777" w:rsidTr="0031688A">
        <w:tc>
          <w:tcPr>
            <w:tcW w:w="3119" w:type="dxa"/>
            <w:vAlign w:val="center"/>
          </w:tcPr>
          <w:p w14:paraId="72AAB52C" w14:textId="77777777" w:rsidR="005A105D" w:rsidRPr="009A2EB4" w:rsidRDefault="005A105D" w:rsidP="00F31CCF">
            <w:pPr>
              <w:spacing w:after="0"/>
              <w:rPr>
                <w:rFonts w:eastAsia="SimSun" w:cs="Arial"/>
                <w:szCs w:val="20"/>
                <w:lang w:eastAsia="en-US"/>
              </w:rPr>
            </w:pPr>
            <w:r w:rsidRPr="009A2EB4">
              <w:rPr>
                <w:rFonts w:cs="Arial"/>
              </w:rPr>
              <w:t>Property</w:t>
            </w:r>
            <w:r w:rsidR="0072457B">
              <w:rPr>
                <w:rFonts w:cs="Arial"/>
              </w:rPr>
              <w:t xml:space="preserve"> operating expenses</w:t>
            </w:r>
          </w:p>
        </w:tc>
        <w:tc>
          <w:tcPr>
            <w:tcW w:w="4861" w:type="dxa"/>
          </w:tcPr>
          <w:p w14:paraId="19F5458F" w14:textId="3100D47C" w:rsidR="005A105D" w:rsidRPr="009A2EB4" w:rsidRDefault="0072457B" w:rsidP="0072457B">
            <w:pPr>
              <w:spacing w:after="0"/>
              <w:rPr>
                <w:rFonts w:eastAsia="SimSun" w:cs="Arial"/>
                <w:szCs w:val="20"/>
                <w:lang w:eastAsia="en-US"/>
              </w:rPr>
            </w:pPr>
            <w:r>
              <w:rPr>
                <w:rFonts w:eastAsia="SimSun" w:cs="Arial"/>
                <w:szCs w:val="20"/>
                <w:lang w:eastAsia="en-US"/>
              </w:rPr>
              <w:t>Number of workstations</w:t>
            </w:r>
          </w:p>
        </w:tc>
      </w:tr>
      <w:tr w:rsidR="005A105D" w:rsidRPr="009A2EB4" w14:paraId="0134547E" w14:textId="77777777" w:rsidTr="0031688A">
        <w:tc>
          <w:tcPr>
            <w:tcW w:w="3119" w:type="dxa"/>
            <w:vAlign w:val="center"/>
          </w:tcPr>
          <w:p w14:paraId="79128413" w14:textId="77777777" w:rsidR="005A105D" w:rsidRPr="009A2EB4" w:rsidRDefault="005A105D" w:rsidP="00F31CCF">
            <w:pPr>
              <w:spacing w:after="0"/>
              <w:rPr>
                <w:rFonts w:eastAsia="SimSun" w:cs="Arial"/>
                <w:szCs w:val="20"/>
                <w:lang w:eastAsia="en-US"/>
              </w:rPr>
            </w:pPr>
            <w:r w:rsidRPr="009A2EB4">
              <w:rPr>
                <w:rFonts w:cs="Arial"/>
              </w:rPr>
              <w:t>Asset usage</w:t>
            </w:r>
          </w:p>
        </w:tc>
        <w:tc>
          <w:tcPr>
            <w:tcW w:w="4861" w:type="dxa"/>
          </w:tcPr>
          <w:p w14:paraId="5661CE4D" w14:textId="77777777" w:rsidR="005A105D" w:rsidRPr="009A2EB4" w:rsidRDefault="003A4873" w:rsidP="00F31CCF">
            <w:pPr>
              <w:spacing w:after="0"/>
              <w:rPr>
                <w:rFonts w:eastAsia="SimSun" w:cs="Arial"/>
                <w:szCs w:val="20"/>
                <w:lang w:eastAsia="en-US"/>
              </w:rPr>
            </w:pPr>
            <w:r>
              <w:rPr>
                <w:rFonts w:eastAsia="SimSun" w:cs="Arial"/>
                <w:szCs w:val="20"/>
                <w:lang w:eastAsia="en-US"/>
              </w:rPr>
              <w:t>Percentage split based on asset usage</w:t>
            </w:r>
          </w:p>
        </w:tc>
      </w:tr>
      <w:tr w:rsidR="005A105D" w:rsidRPr="009A2EB4" w14:paraId="25EC7050" w14:textId="77777777" w:rsidTr="0031688A">
        <w:tc>
          <w:tcPr>
            <w:tcW w:w="3119" w:type="dxa"/>
            <w:vAlign w:val="center"/>
          </w:tcPr>
          <w:p w14:paraId="4F9A0432" w14:textId="77777777" w:rsidR="005A105D" w:rsidRPr="009A2EB4" w:rsidRDefault="005A105D" w:rsidP="00F31CCF">
            <w:pPr>
              <w:spacing w:after="0"/>
              <w:rPr>
                <w:rFonts w:cs="Arial"/>
              </w:rPr>
            </w:pPr>
            <w:r>
              <w:rPr>
                <w:rFonts w:cs="Arial"/>
              </w:rPr>
              <w:t>Legal</w:t>
            </w:r>
          </w:p>
        </w:tc>
        <w:tc>
          <w:tcPr>
            <w:tcW w:w="4861" w:type="dxa"/>
          </w:tcPr>
          <w:p w14:paraId="629FC243" w14:textId="77777777" w:rsidR="005A105D" w:rsidRDefault="0072457B" w:rsidP="00F31CCF">
            <w:pPr>
              <w:spacing w:after="0"/>
              <w:rPr>
                <w:rFonts w:eastAsia="SimSun" w:cs="Arial"/>
                <w:szCs w:val="20"/>
                <w:lang w:eastAsia="en-US"/>
              </w:rPr>
            </w:pPr>
            <w:r>
              <w:rPr>
                <w:rFonts w:eastAsia="SimSun" w:cs="Arial"/>
                <w:szCs w:val="20"/>
                <w:lang w:eastAsia="en-US"/>
              </w:rPr>
              <w:t>Percentage split based on resource usage</w:t>
            </w:r>
          </w:p>
        </w:tc>
      </w:tr>
    </w:tbl>
    <w:p w14:paraId="06D48E89" w14:textId="51E78EE6" w:rsidR="009E783D" w:rsidRDefault="0014060A" w:rsidP="00EB69C6">
      <w:pPr>
        <w:spacing w:before="240"/>
      </w:pPr>
      <w:r>
        <w:t>T</w:t>
      </w:r>
      <w:r w:rsidR="00CD6E7B" w:rsidRPr="00285099">
        <w:t xml:space="preserve">able </w:t>
      </w:r>
      <w:r w:rsidR="00296813">
        <w:t>10</w:t>
      </w:r>
      <w:r w:rsidR="00CD6E7B" w:rsidRPr="00285099">
        <w:t xml:space="preserve"> outlines </w:t>
      </w:r>
      <w:r w:rsidR="000648BF" w:rsidRPr="00285099">
        <w:t xml:space="preserve">a </w:t>
      </w:r>
      <w:r w:rsidR="00A80792" w:rsidRPr="00285099">
        <w:t>breakdown</w:t>
      </w:r>
      <w:r w:rsidR="000648BF" w:rsidRPr="00285099">
        <w:t xml:space="preserve"> o</w:t>
      </w:r>
      <w:r w:rsidR="004D642B" w:rsidRPr="00285099">
        <w:t>f expenses</w:t>
      </w:r>
      <w:r w:rsidR="002F33E4" w:rsidRPr="00285099">
        <w:t xml:space="preserve"> </w:t>
      </w:r>
      <w:r w:rsidR="00515E31">
        <w:t xml:space="preserve">included in </w:t>
      </w:r>
      <w:r w:rsidR="005F64B1">
        <w:t xml:space="preserve">the </w:t>
      </w:r>
      <w:r w:rsidR="002F33E4" w:rsidRPr="00285099">
        <w:t xml:space="preserve">ACMA’s </w:t>
      </w:r>
      <w:r w:rsidR="00B2195A">
        <w:t xml:space="preserve">cost </w:t>
      </w:r>
      <w:r w:rsidR="002F33E4" w:rsidRPr="00285099">
        <w:t>component</w:t>
      </w:r>
      <w:r w:rsidR="00B2195A">
        <w:t>s</w:t>
      </w:r>
      <w:r w:rsidR="002F33E4" w:rsidRPr="00285099">
        <w:t xml:space="preserve"> for the</w:t>
      </w:r>
      <w:r w:rsidR="00F8031A">
        <w:t xml:space="preserve"> </w:t>
      </w:r>
      <w:r w:rsidR="00515E31">
        <w:t>ACLC amount for the 2018</w:t>
      </w:r>
      <w:r w:rsidR="00E74157">
        <w:t>–</w:t>
      </w:r>
      <w:r w:rsidR="00515E31">
        <w:t>2019 financial year</w:t>
      </w:r>
      <w:r w:rsidR="00F47C96" w:rsidRPr="00285099">
        <w:t xml:space="preserve"> </w:t>
      </w:r>
      <w:r w:rsidR="007E1651">
        <w:t>in</w:t>
      </w:r>
      <w:r w:rsidR="007E1651" w:rsidRPr="00285099">
        <w:t xml:space="preserve"> </w:t>
      </w:r>
      <w:r w:rsidR="00F47C96" w:rsidRPr="00285099">
        <w:t xml:space="preserve">comparison to the </w:t>
      </w:r>
      <w:r w:rsidR="00285099" w:rsidRPr="00285099">
        <w:t>previous</w:t>
      </w:r>
      <w:r w:rsidR="00851BD7" w:rsidRPr="00285099">
        <w:t xml:space="preserve"> year</w:t>
      </w:r>
      <w:r w:rsidR="00F47C96" w:rsidRPr="00285099">
        <w:t xml:space="preserve">. </w:t>
      </w:r>
      <w:r w:rsidR="004D642B" w:rsidRPr="00285099">
        <w:t xml:space="preserve">The </w:t>
      </w:r>
      <w:r w:rsidR="00F47C96" w:rsidRPr="00285099">
        <w:t>employee costs incl</w:t>
      </w:r>
      <w:r w:rsidR="00851BD7" w:rsidRPr="00285099">
        <w:t>ude salaries and staff on-costs and</w:t>
      </w:r>
      <w:r w:rsidR="00F47C96" w:rsidRPr="00285099">
        <w:t xml:space="preserve"> the operating costs essentially relate to </w:t>
      </w:r>
      <w:r w:rsidR="00851BD7" w:rsidRPr="00285099">
        <w:t>expenses incurred</w:t>
      </w:r>
      <w:r w:rsidR="0082468A">
        <w:t>,</w:t>
      </w:r>
      <w:r w:rsidR="00851BD7" w:rsidRPr="00285099">
        <w:t xml:space="preserve"> </w:t>
      </w:r>
      <w:r w:rsidR="00E87055">
        <w:t xml:space="preserve">including </w:t>
      </w:r>
      <w:r w:rsidR="00F47C96" w:rsidRPr="00285099">
        <w:t>contractors, consultants, travel, supplies</w:t>
      </w:r>
      <w:r w:rsidR="00A0328F">
        <w:t xml:space="preserve"> and</w:t>
      </w:r>
      <w:r w:rsidR="00F47C96" w:rsidRPr="00285099">
        <w:t xml:space="preserve"> occupancy</w:t>
      </w:r>
      <w:r w:rsidR="003751CA" w:rsidRPr="00285099">
        <w:t>. Depreciation and write-offs</w:t>
      </w:r>
      <w:r w:rsidR="00A75447" w:rsidRPr="00285099">
        <w:t xml:space="preserve"> of non-financial assets represent the </w:t>
      </w:r>
      <w:r w:rsidR="00851BD7" w:rsidRPr="00285099">
        <w:t>loss of service</w:t>
      </w:r>
      <w:r w:rsidR="00BC77EA" w:rsidRPr="00285099">
        <w:t xml:space="preserve"> potential </w:t>
      </w:r>
      <w:r w:rsidR="009A378C" w:rsidRPr="00285099">
        <w:t>of assets attributable to the tel</w:t>
      </w:r>
      <w:r w:rsidR="00A80792" w:rsidRPr="00285099">
        <w:t xml:space="preserve">ecommunications services </w:t>
      </w:r>
      <w:r w:rsidR="004B09E0">
        <w:t xml:space="preserve">included for the purpose of determining the </w:t>
      </w:r>
      <w:r w:rsidR="00AB0869" w:rsidRPr="00285099">
        <w:t>ACLC</w:t>
      </w:r>
      <w:r w:rsidR="003751CA" w:rsidRPr="00285099">
        <w:t>.</w:t>
      </w:r>
      <w:r w:rsidR="009A378C" w:rsidRPr="00285099">
        <w:t xml:space="preserve"> T</w:t>
      </w:r>
      <w:r w:rsidR="00A75447" w:rsidRPr="00285099">
        <w:t xml:space="preserve">hese costs are subsets of both the direct and </w:t>
      </w:r>
      <w:r w:rsidR="00296813">
        <w:t>support</w:t>
      </w:r>
      <w:r w:rsidR="00A75447" w:rsidRPr="00285099">
        <w:t xml:space="preserve"> costs </w:t>
      </w:r>
      <w:r w:rsidR="009609AC">
        <w:t>shown</w:t>
      </w:r>
      <w:r w:rsidR="009609AC" w:rsidRPr="00285099">
        <w:t xml:space="preserve"> </w:t>
      </w:r>
      <w:r w:rsidR="00A75447" w:rsidRPr="00285099">
        <w:t xml:space="preserve">in Table </w:t>
      </w:r>
      <w:r w:rsidR="00296813">
        <w:t>8</w:t>
      </w:r>
      <w:r w:rsidR="00A75447" w:rsidRPr="00285099">
        <w:t xml:space="preserve">. </w:t>
      </w:r>
    </w:p>
    <w:p w14:paraId="236CD3A5" w14:textId="02EFE08F" w:rsidR="00CD6E7B" w:rsidRPr="00296813" w:rsidRDefault="005F64B1" w:rsidP="00296813">
      <w:pPr>
        <w:pStyle w:val="ACMATableHeader"/>
      </w:pPr>
      <w:r>
        <w:t xml:space="preserve">The </w:t>
      </w:r>
      <w:r w:rsidR="00CD6E7B" w:rsidRPr="00296813">
        <w:t>ACMA’s cost component</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The ACMA’s cost component"/>
        <w:tblDescription w:val="Includes ACMA employee, operating and depreciation and write-off costs, less revenue received from activities on a fee-for-service basis.  "/>
      </w:tblPr>
      <w:tblGrid>
        <w:gridCol w:w="3111"/>
        <w:gridCol w:w="1701"/>
        <w:gridCol w:w="1701"/>
        <w:gridCol w:w="1142"/>
      </w:tblGrid>
      <w:tr w:rsidR="00CD6E7B" w:rsidRPr="004B029D" w14:paraId="6EE5661C" w14:textId="77777777" w:rsidTr="00C13C55">
        <w:trPr>
          <w:cantSplit/>
          <w:trHeight w:val="377"/>
          <w:tblHeader/>
          <w:jc w:val="right"/>
        </w:trPr>
        <w:tc>
          <w:tcPr>
            <w:tcW w:w="2032" w:type="pct"/>
            <w:shd w:val="clear" w:color="auto" w:fill="404040" w:themeFill="text1" w:themeFillTint="BF"/>
            <w:vAlign w:val="center"/>
          </w:tcPr>
          <w:p w14:paraId="21002B6C" w14:textId="77777777" w:rsidR="00CD6E7B" w:rsidRPr="001A3BDB" w:rsidRDefault="00CD6E7B" w:rsidP="001A3BDB">
            <w:pPr>
              <w:pStyle w:val="TableHeading"/>
              <w:rPr>
                <w:b w:val="0"/>
                <w:color w:val="FFFFFF" w:themeColor="background1"/>
              </w:rPr>
            </w:pPr>
            <w:r w:rsidRPr="001A3BDB">
              <w:rPr>
                <w:color w:val="FFFFFF" w:themeColor="background1"/>
              </w:rPr>
              <w:t>Costs</w:t>
            </w:r>
          </w:p>
        </w:tc>
        <w:tc>
          <w:tcPr>
            <w:tcW w:w="1111" w:type="pct"/>
            <w:shd w:val="clear" w:color="auto" w:fill="404040" w:themeFill="text1" w:themeFillTint="BF"/>
            <w:vAlign w:val="center"/>
          </w:tcPr>
          <w:p w14:paraId="1E8E96D8" w14:textId="7DBF8A7A" w:rsidR="00CD6E7B" w:rsidRPr="001A3BDB" w:rsidRDefault="00CD6E7B" w:rsidP="00EB7AE9">
            <w:pPr>
              <w:pStyle w:val="TableHeading"/>
              <w:spacing w:after="80"/>
              <w:rPr>
                <w:b w:val="0"/>
                <w:color w:val="FFFFFF" w:themeColor="background1"/>
              </w:rPr>
            </w:pPr>
            <w:r w:rsidRPr="001A3BDB">
              <w:rPr>
                <w:color w:val="FFFFFF" w:themeColor="background1"/>
              </w:rPr>
              <w:t>201</w:t>
            </w:r>
            <w:r w:rsidR="00C13C55">
              <w:rPr>
                <w:color w:val="FFFFFF" w:themeColor="background1"/>
              </w:rPr>
              <w:t>8</w:t>
            </w:r>
            <w:r w:rsidRPr="001A3BDB">
              <w:rPr>
                <w:color w:val="FFFFFF" w:themeColor="background1"/>
              </w:rPr>
              <w:t>–1</w:t>
            </w:r>
            <w:r w:rsidR="00C13C55">
              <w:rPr>
                <w:color w:val="FFFFFF" w:themeColor="background1"/>
              </w:rPr>
              <w:t>9</w:t>
            </w:r>
          </w:p>
          <w:p w14:paraId="5F3D9051" w14:textId="411F7747" w:rsidR="00CD6E7B" w:rsidRPr="001A3BDB" w:rsidRDefault="0047093B" w:rsidP="00EB7AE9">
            <w:pPr>
              <w:pStyle w:val="TableHeading"/>
              <w:rPr>
                <w:b w:val="0"/>
                <w:color w:val="FFFFFF" w:themeColor="background1"/>
              </w:rPr>
            </w:pPr>
            <w:r>
              <w:rPr>
                <w:color w:val="FFFFFF" w:themeColor="background1"/>
              </w:rPr>
              <w:t>(b</w:t>
            </w:r>
            <w:r w:rsidR="00CD6E7B" w:rsidRPr="001A3BDB">
              <w:rPr>
                <w:color w:val="FFFFFF" w:themeColor="background1"/>
              </w:rPr>
              <w:t>ased on 201</w:t>
            </w:r>
            <w:r w:rsidR="00C13C55">
              <w:rPr>
                <w:color w:val="FFFFFF" w:themeColor="background1"/>
              </w:rPr>
              <w:t>7</w:t>
            </w:r>
            <w:r w:rsidR="00CD6E7B" w:rsidRPr="001A3BDB">
              <w:rPr>
                <w:color w:val="FFFFFF" w:themeColor="background1"/>
              </w:rPr>
              <w:t>–1</w:t>
            </w:r>
            <w:r w:rsidR="00C13C55">
              <w:rPr>
                <w:color w:val="FFFFFF" w:themeColor="background1"/>
              </w:rPr>
              <w:t>8</w:t>
            </w:r>
            <w:r w:rsidR="00CD6E7B" w:rsidRPr="001A3BDB">
              <w:rPr>
                <w:color w:val="FFFFFF" w:themeColor="background1"/>
              </w:rPr>
              <w:t xml:space="preserve"> costs</w:t>
            </w:r>
            <w:r>
              <w:rPr>
                <w:color w:val="FFFFFF" w:themeColor="background1"/>
              </w:rPr>
              <w:t>)</w:t>
            </w:r>
          </w:p>
        </w:tc>
        <w:tc>
          <w:tcPr>
            <w:tcW w:w="1111" w:type="pct"/>
            <w:shd w:val="clear" w:color="auto" w:fill="404040" w:themeFill="text1" w:themeFillTint="BF"/>
            <w:vAlign w:val="center"/>
          </w:tcPr>
          <w:p w14:paraId="57D667F0" w14:textId="4A55E5E3" w:rsidR="00CD6E7B" w:rsidRPr="001A3BDB" w:rsidRDefault="00CD6E7B" w:rsidP="00EB7AE9">
            <w:pPr>
              <w:pStyle w:val="TableHeading"/>
              <w:spacing w:after="80"/>
              <w:rPr>
                <w:b w:val="0"/>
                <w:color w:val="FFFFFF" w:themeColor="background1"/>
              </w:rPr>
            </w:pPr>
            <w:r w:rsidRPr="001A3BDB">
              <w:rPr>
                <w:color w:val="FFFFFF" w:themeColor="background1"/>
              </w:rPr>
              <w:t>201</w:t>
            </w:r>
            <w:r w:rsidR="007B76CB">
              <w:rPr>
                <w:color w:val="FFFFFF" w:themeColor="background1"/>
              </w:rPr>
              <w:t>7</w:t>
            </w:r>
            <w:r w:rsidRPr="001A3BDB">
              <w:rPr>
                <w:color w:val="FFFFFF" w:themeColor="background1"/>
              </w:rPr>
              <w:t>–1</w:t>
            </w:r>
            <w:r w:rsidR="007B76CB">
              <w:rPr>
                <w:color w:val="FFFFFF" w:themeColor="background1"/>
              </w:rPr>
              <w:t>8</w:t>
            </w:r>
          </w:p>
          <w:p w14:paraId="575E4D55" w14:textId="6EBE2F2D" w:rsidR="00CD6E7B" w:rsidRPr="001A3BDB" w:rsidRDefault="0047093B" w:rsidP="00EB7AE9">
            <w:pPr>
              <w:pStyle w:val="TableHeading"/>
              <w:rPr>
                <w:b w:val="0"/>
                <w:color w:val="FFFFFF" w:themeColor="background1"/>
              </w:rPr>
            </w:pPr>
            <w:r>
              <w:rPr>
                <w:color w:val="FFFFFF" w:themeColor="background1"/>
              </w:rPr>
              <w:t>(b</w:t>
            </w:r>
            <w:r w:rsidR="00CD6E7B" w:rsidRPr="001A3BDB">
              <w:rPr>
                <w:color w:val="FFFFFF" w:themeColor="background1"/>
              </w:rPr>
              <w:t>ased on 201</w:t>
            </w:r>
            <w:r w:rsidR="00C13C55">
              <w:rPr>
                <w:color w:val="FFFFFF" w:themeColor="background1"/>
              </w:rPr>
              <w:t>6</w:t>
            </w:r>
            <w:r w:rsidR="00CD6E7B" w:rsidRPr="001A3BDB">
              <w:rPr>
                <w:color w:val="FFFFFF" w:themeColor="background1"/>
              </w:rPr>
              <w:t>–1</w:t>
            </w:r>
            <w:r w:rsidR="00C13C55">
              <w:rPr>
                <w:color w:val="FFFFFF" w:themeColor="background1"/>
              </w:rPr>
              <w:t>7</w:t>
            </w:r>
            <w:r w:rsidR="00CD6E7B" w:rsidRPr="001A3BDB">
              <w:rPr>
                <w:color w:val="FFFFFF" w:themeColor="background1"/>
              </w:rPr>
              <w:t xml:space="preserve"> costs</w:t>
            </w:r>
            <w:r>
              <w:rPr>
                <w:color w:val="FFFFFF" w:themeColor="background1"/>
              </w:rPr>
              <w:t>)</w:t>
            </w:r>
          </w:p>
        </w:tc>
        <w:tc>
          <w:tcPr>
            <w:tcW w:w="746" w:type="pct"/>
            <w:shd w:val="clear" w:color="auto" w:fill="404040" w:themeFill="text1" w:themeFillTint="BF"/>
            <w:vAlign w:val="center"/>
          </w:tcPr>
          <w:p w14:paraId="57C9AC57" w14:textId="77777777" w:rsidR="00CD6E7B" w:rsidRPr="001A3BDB" w:rsidRDefault="00CD6E7B" w:rsidP="00EB7AE9">
            <w:pPr>
              <w:pStyle w:val="TableHeading"/>
              <w:rPr>
                <w:b w:val="0"/>
                <w:color w:val="FFFFFF" w:themeColor="background1"/>
              </w:rPr>
            </w:pPr>
            <w:r w:rsidRPr="001A3BDB">
              <w:rPr>
                <w:color w:val="FFFFFF" w:themeColor="background1"/>
              </w:rPr>
              <w:t>% change*</w:t>
            </w:r>
          </w:p>
        </w:tc>
      </w:tr>
      <w:tr w:rsidR="00296813" w:rsidRPr="004B029D" w14:paraId="6869064F" w14:textId="77777777" w:rsidTr="00C13C55">
        <w:trPr>
          <w:cantSplit/>
          <w:trHeight w:val="242"/>
          <w:tblHeader/>
          <w:jc w:val="right"/>
        </w:trPr>
        <w:tc>
          <w:tcPr>
            <w:tcW w:w="2032" w:type="pct"/>
            <w:vAlign w:val="center"/>
          </w:tcPr>
          <w:p w14:paraId="718B3E93" w14:textId="77777777" w:rsidR="00296813" w:rsidRDefault="00296813" w:rsidP="00296813">
            <w:pPr>
              <w:spacing w:after="0"/>
              <w:rPr>
                <w:rFonts w:cs="Arial"/>
                <w:color w:val="000000"/>
                <w:szCs w:val="20"/>
              </w:rPr>
            </w:pPr>
            <w:r>
              <w:rPr>
                <w:rFonts w:cs="Arial"/>
                <w:color w:val="000000"/>
                <w:szCs w:val="20"/>
              </w:rPr>
              <w:t>Employees</w:t>
            </w:r>
          </w:p>
        </w:tc>
        <w:tc>
          <w:tcPr>
            <w:tcW w:w="1111" w:type="pct"/>
            <w:shd w:val="clear" w:color="auto" w:fill="auto"/>
            <w:vAlign w:val="center"/>
          </w:tcPr>
          <w:p w14:paraId="05EC77BB" w14:textId="48F3F75A" w:rsidR="00296813" w:rsidRDefault="00296813" w:rsidP="00BA2689">
            <w:pPr>
              <w:spacing w:after="0"/>
              <w:rPr>
                <w:rFonts w:cs="Arial"/>
                <w:color w:val="000000"/>
                <w:szCs w:val="20"/>
              </w:rPr>
            </w:pPr>
            <w:r>
              <w:rPr>
                <w:rFonts w:cs="Arial"/>
                <w:color w:val="000000"/>
                <w:szCs w:val="20"/>
              </w:rPr>
              <w:t>$</w:t>
            </w:r>
            <w:r w:rsidR="00C13C55">
              <w:rPr>
                <w:rFonts w:cs="Arial"/>
                <w:color w:val="000000"/>
                <w:szCs w:val="20"/>
              </w:rPr>
              <w:t>8,589,512</w:t>
            </w:r>
          </w:p>
        </w:tc>
        <w:tc>
          <w:tcPr>
            <w:tcW w:w="1111" w:type="pct"/>
            <w:shd w:val="clear" w:color="auto" w:fill="auto"/>
          </w:tcPr>
          <w:p w14:paraId="5BB9EAD1" w14:textId="78EB7CD8" w:rsidR="00296813" w:rsidRPr="00A261CF" w:rsidRDefault="00296813" w:rsidP="00BA2689">
            <w:pPr>
              <w:spacing w:after="0"/>
              <w:rPr>
                <w:rFonts w:cs="Arial"/>
                <w:color w:val="000000"/>
                <w:szCs w:val="20"/>
                <w:highlight w:val="yellow"/>
              </w:rPr>
            </w:pPr>
            <w:r w:rsidRPr="00BA0081">
              <w:t>$9,107,688</w:t>
            </w:r>
          </w:p>
        </w:tc>
        <w:tc>
          <w:tcPr>
            <w:tcW w:w="746" w:type="pct"/>
            <w:shd w:val="clear" w:color="auto" w:fill="auto"/>
            <w:vAlign w:val="center"/>
          </w:tcPr>
          <w:p w14:paraId="06724260" w14:textId="10C20DEC" w:rsidR="00296813" w:rsidRDefault="00296813" w:rsidP="00BA2689">
            <w:pPr>
              <w:spacing w:after="0"/>
              <w:rPr>
                <w:rFonts w:cs="Arial"/>
                <w:color w:val="000000"/>
                <w:szCs w:val="20"/>
              </w:rPr>
            </w:pPr>
            <w:r>
              <w:rPr>
                <w:rFonts w:cs="Arial"/>
                <w:color w:val="000000"/>
                <w:szCs w:val="20"/>
              </w:rPr>
              <w:t>(</w:t>
            </w:r>
            <w:r w:rsidR="00C13C55">
              <w:rPr>
                <w:rFonts w:cs="Arial"/>
                <w:color w:val="000000"/>
                <w:szCs w:val="20"/>
              </w:rPr>
              <w:t>5.7</w:t>
            </w:r>
            <w:r>
              <w:rPr>
                <w:rFonts w:cs="Arial"/>
                <w:color w:val="000000"/>
                <w:szCs w:val="20"/>
              </w:rPr>
              <w:t>%)</w:t>
            </w:r>
          </w:p>
        </w:tc>
      </w:tr>
      <w:tr w:rsidR="00296813" w:rsidRPr="004B029D" w14:paraId="40472AF0" w14:textId="77777777" w:rsidTr="00C13C55">
        <w:trPr>
          <w:cantSplit/>
          <w:trHeight w:val="162"/>
          <w:tblHeader/>
          <w:jc w:val="right"/>
        </w:trPr>
        <w:tc>
          <w:tcPr>
            <w:tcW w:w="2032" w:type="pct"/>
            <w:vAlign w:val="center"/>
          </w:tcPr>
          <w:p w14:paraId="2023EFB3" w14:textId="77777777" w:rsidR="00296813" w:rsidRDefault="00296813" w:rsidP="00296813">
            <w:pPr>
              <w:spacing w:after="0"/>
              <w:rPr>
                <w:rFonts w:cs="Arial"/>
                <w:color w:val="000000"/>
                <w:szCs w:val="20"/>
              </w:rPr>
            </w:pPr>
            <w:r>
              <w:rPr>
                <w:rFonts w:cs="Arial"/>
                <w:color w:val="000000"/>
                <w:szCs w:val="20"/>
              </w:rPr>
              <w:t>Operating</w:t>
            </w:r>
          </w:p>
        </w:tc>
        <w:tc>
          <w:tcPr>
            <w:tcW w:w="1111" w:type="pct"/>
            <w:shd w:val="clear" w:color="auto" w:fill="auto"/>
            <w:vAlign w:val="center"/>
          </w:tcPr>
          <w:p w14:paraId="1DAF6831" w14:textId="487B3F74" w:rsidR="00296813" w:rsidRDefault="00296813" w:rsidP="00BA2689">
            <w:pPr>
              <w:spacing w:after="0"/>
              <w:rPr>
                <w:rFonts w:cs="Arial"/>
                <w:color w:val="000000"/>
                <w:szCs w:val="20"/>
              </w:rPr>
            </w:pPr>
            <w:r>
              <w:rPr>
                <w:rFonts w:cs="Arial"/>
                <w:color w:val="000000"/>
                <w:szCs w:val="20"/>
              </w:rPr>
              <w:t>$</w:t>
            </w:r>
            <w:r w:rsidR="00C13C55">
              <w:rPr>
                <w:rFonts w:cs="Arial"/>
                <w:color w:val="000000"/>
                <w:szCs w:val="20"/>
              </w:rPr>
              <w:t>2,752,521</w:t>
            </w:r>
          </w:p>
        </w:tc>
        <w:tc>
          <w:tcPr>
            <w:tcW w:w="1111" w:type="pct"/>
            <w:shd w:val="clear" w:color="auto" w:fill="auto"/>
          </w:tcPr>
          <w:p w14:paraId="6D3CE22F" w14:textId="05B59DDB" w:rsidR="00296813" w:rsidRPr="00CB6DEB" w:rsidRDefault="00296813" w:rsidP="00BA2689">
            <w:pPr>
              <w:spacing w:after="0"/>
              <w:rPr>
                <w:rFonts w:cs="Arial"/>
                <w:color w:val="000000"/>
                <w:szCs w:val="20"/>
              </w:rPr>
            </w:pPr>
            <w:r w:rsidRPr="00BA0081">
              <w:t>$3,062,674</w:t>
            </w:r>
          </w:p>
        </w:tc>
        <w:tc>
          <w:tcPr>
            <w:tcW w:w="746" w:type="pct"/>
            <w:shd w:val="clear" w:color="auto" w:fill="auto"/>
            <w:vAlign w:val="center"/>
          </w:tcPr>
          <w:p w14:paraId="53BE22BA" w14:textId="6653D130" w:rsidR="00296813" w:rsidRDefault="00C13C55" w:rsidP="00BA2689">
            <w:pPr>
              <w:spacing w:after="0"/>
              <w:rPr>
                <w:rFonts w:cs="Arial"/>
                <w:color w:val="000000"/>
                <w:szCs w:val="20"/>
              </w:rPr>
            </w:pPr>
            <w:r>
              <w:rPr>
                <w:rFonts w:cs="Arial"/>
                <w:color w:val="000000"/>
                <w:szCs w:val="20"/>
              </w:rPr>
              <w:t>(</w:t>
            </w:r>
            <w:r w:rsidR="00296813">
              <w:rPr>
                <w:rFonts w:cs="Arial"/>
                <w:color w:val="000000"/>
                <w:szCs w:val="20"/>
              </w:rPr>
              <w:t>1</w:t>
            </w:r>
            <w:r>
              <w:rPr>
                <w:rFonts w:cs="Arial"/>
                <w:color w:val="000000"/>
                <w:szCs w:val="20"/>
              </w:rPr>
              <w:t>0.1</w:t>
            </w:r>
            <w:r w:rsidR="00296813">
              <w:rPr>
                <w:rFonts w:cs="Arial"/>
                <w:color w:val="000000"/>
                <w:szCs w:val="20"/>
              </w:rPr>
              <w:t>%</w:t>
            </w:r>
            <w:r>
              <w:rPr>
                <w:rFonts w:cs="Arial"/>
                <w:color w:val="000000"/>
                <w:szCs w:val="20"/>
              </w:rPr>
              <w:t>)</w:t>
            </w:r>
          </w:p>
        </w:tc>
      </w:tr>
      <w:tr w:rsidR="00296813" w:rsidRPr="004B029D" w14:paraId="393619D6" w14:textId="77777777" w:rsidTr="00C13C55">
        <w:trPr>
          <w:cantSplit/>
          <w:trHeight w:val="210"/>
          <w:tblHeader/>
          <w:jc w:val="right"/>
        </w:trPr>
        <w:tc>
          <w:tcPr>
            <w:tcW w:w="2032" w:type="pct"/>
            <w:vAlign w:val="center"/>
          </w:tcPr>
          <w:p w14:paraId="05470C36" w14:textId="77777777" w:rsidR="00296813" w:rsidRDefault="00296813" w:rsidP="00296813">
            <w:pPr>
              <w:spacing w:after="0"/>
              <w:rPr>
                <w:rFonts w:cs="Arial"/>
                <w:color w:val="000000"/>
                <w:szCs w:val="20"/>
              </w:rPr>
            </w:pPr>
            <w:r>
              <w:rPr>
                <w:rFonts w:cs="Arial"/>
                <w:color w:val="000000"/>
                <w:szCs w:val="20"/>
              </w:rPr>
              <w:t>Depreciation and write-off</w:t>
            </w:r>
          </w:p>
        </w:tc>
        <w:tc>
          <w:tcPr>
            <w:tcW w:w="1111" w:type="pct"/>
            <w:shd w:val="clear" w:color="auto" w:fill="auto"/>
            <w:vAlign w:val="center"/>
          </w:tcPr>
          <w:p w14:paraId="11AC30FD" w14:textId="3E4E3EB7" w:rsidR="00296813" w:rsidRDefault="00296813" w:rsidP="00BA2689">
            <w:pPr>
              <w:spacing w:after="0"/>
              <w:rPr>
                <w:rFonts w:cs="Arial"/>
                <w:color w:val="000000"/>
                <w:szCs w:val="20"/>
              </w:rPr>
            </w:pPr>
            <w:r>
              <w:rPr>
                <w:rFonts w:cs="Arial"/>
                <w:color w:val="000000"/>
                <w:szCs w:val="20"/>
              </w:rPr>
              <w:t>$2,</w:t>
            </w:r>
            <w:r w:rsidR="00C13C55">
              <w:rPr>
                <w:rFonts w:cs="Arial"/>
                <w:color w:val="000000"/>
                <w:szCs w:val="20"/>
              </w:rPr>
              <w:t>131,464</w:t>
            </w:r>
          </w:p>
        </w:tc>
        <w:tc>
          <w:tcPr>
            <w:tcW w:w="1111" w:type="pct"/>
            <w:shd w:val="clear" w:color="auto" w:fill="auto"/>
          </w:tcPr>
          <w:p w14:paraId="15E00453" w14:textId="70DF350A" w:rsidR="00296813" w:rsidRPr="00CB6DEB" w:rsidRDefault="00296813" w:rsidP="00BA2689">
            <w:pPr>
              <w:spacing w:after="0"/>
              <w:rPr>
                <w:rFonts w:cs="Arial"/>
                <w:color w:val="000000"/>
                <w:szCs w:val="20"/>
              </w:rPr>
            </w:pPr>
            <w:r w:rsidRPr="00BA0081">
              <w:t>$2,267,896</w:t>
            </w:r>
          </w:p>
        </w:tc>
        <w:tc>
          <w:tcPr>
            <w:tcW w:w="746" w:type="pct"/>
            <w:shd w:val="clear" w:color="auto" w:fill="auto"/>
            <w:vAlign w:val="center"/>
          </w:tcPr>
          <w:p w14:paraId="4E129049" w14:textId="617DC9CD" w:rsidR="00296813" w:rsidRDefault="00C13C55" w:rsidP="00BA2689">
            <w:pPr>
              <w:spacing w:after="0"/>
              <w:rPr>
                <w:rFonts w:cs="Arial"/>
                <w:color w:val="000000"/>
                <w:szCs w:val="20"/>
              </w:rPr>
            </w:pPr>
            <w:r>
              <w:rPr>
                <w:rFonts w:cs="Arial"/>
                <w:color w:val="000000"/>
                <w:szCs w:val="20"/>
              </w:rPr>
              <w:t>(</w:t>
            </w:r>
            <w:r w:rsidR="00296813">
              <w:rPr>
                <w:rFonts w:cs="Arial"/>
                <w:color w:val="000000"/>
                <w:szCs w:val="20"/>
              </w:rPr>
              <w:t>6</w:t>
            </w:r>
            <w:r>
              <w:rPr>
                <w:rFonts w:cs="Arial"/>
                <w:color w:val="000000"/>
                <w:szCs w:val="20"/>
              </w:rPr>
              <w:t>.0</w:t>
            </w:r>
            <w:r w:rsidR="00296813">
              <w:rPr>
                <w:rFonts w:cs="Arial"/>
                <w:color w:val="000000"/>
                <w:szCs w:val="20"/>
              </w:rPr>
              <w:t>%</w:t>
            </w:r>
            <w:r>
              <w:rPr>
                <w:rFonts w:cs="Arial"/>
                <w:color w:val="000000"/>
                <w:szCs w:val="20"/>
              </w:rPr>
              <w:t>)</w:t>
            </w:r>
          </w:p>
        </w:tc>
      </w:tr>
      <w:tr w:rsidR="00296813" w:rsidRPr="004B029D" w14:paraId="3816EB9D" w14:textId="77777777" w:rsidTr="00C13C55">
        <w:trPr>
          <w:cantSplit/>
          <w:trHeight w:val="129"/>
          <w:tblHeader/>
          <w:jc w:val="right"/>
        </w:trPr>
        <w:tc>
          <w:tcPr>
            <w:tcW w:w="2032" w:type="pct"/>
            <w:shd w:val="clear" w:color="auto" w:fill="D9D9D9" w:themeFill="background1" w:themeFillShade="D9"/>
            <w:vAlign w:val="center"/>
          </w:tcPr>
          <w:p w14:paraId="6B89EDFF" w14:textId="77777777" w:rsidR="00296813" w:rsidRDefault="00296813" w:rsidP="00296813">
            <w:pPr>
              <w:spacing w:after="0"/>
              <w:rPr>
                <w:rFonts w:cs="Arial"/>
                <w:b/>
                <w:bCs/>
                <w:color w:val="000000"/>
                <w:szCs w:val="20"/>
              </w:rPr>
            </w:pPr>
            <w:r>
              <w:rPr>
                <w:rFonts w:cs="Arial"/>
                <w:b/>
                <w:bCs/>
                <w:color w:val="000000"/>
                <w:szCs w:val="20"/>
              </w:rPr>
              <w:t>Total ACMA costs</w:t>
            </w:r>
          </w:p>
        </w:tc>
        <w:tc>
          <w:tcPr>
            <w:tcW w:w="1111" w:type="pct"/>
            <w:shd w:val="clear" w:color="auto" w:fill="D9D9D9" w:themeFill="background1" w:themeFillShade="D9"/>
            <w:vAlign w:val="center"/>
          </w:tcPr>
          <w:p w14:paraId="257C45E0" w14:textId="41CE7842" w:rsidR="00296813" w:rsidRDefault="00296813" w:rsidP="00BA2689">
            <w:pPr>
              <w:spacing w:after="0"/>
              <w:rPr>
                <w:rFonts w:cs="Arial"/>
                <w:b/>
                <w:bCs/>
                <w:color w:val="000000"/>
                <w:szCs w:val="20"/>
              </w:rPr>
            </w:pPr>
            <w:r>
              <w:rPr>
                <w:rFonts w:cs="Arial"/>
                <w:b/>
                <w:bCs/>
                <w:color w:val="000000"/>
                <w:szCs w:val="20"/>
              </w:rPr>
              <w:t>$1</w:t>
            </w:r>
            <w:r w:rsidR="00C13C55">
              <w:rPr>
                <w:rFonts w:cs="Arial"/>
                <w:b/>
                <w:bCs/>
                <w:color w:val="000000"/>
                <w:szCs w:val="20"/>
              </w:rPr>
              <w:t>3,473,497</w:t>
            </w:r>
          </w:p>
        </w:tc>
        <w:tc>
          <w:tcPr>
            <w:tcW w:w="1111" w:type="pct"/>
            <w:shd w:val="clear" w:color="auto" w:fill="D9D9D9" w:themeFill="background1" w:themeFillShade="D9"/>
          </w:tcPr>
          <w:p w14:paraId="2B916E21" w14:textId="0B47DC82" w:rsidR="00296813" w:rsidRPr="00296813" w:rsidRDefault="00296813" w:rsidP="00BA2689">
            <w:pPr>
              <w:spacing w:after="0"/>
              <w:rPr>
                <w:rFonts w:cs="Arial"/>
                <w:b/>
                <w:bCs/>
                <w:color w:val="000000"/>
                <w:szCs w:val="20"/>
              </w:rPr>
            </w:pPr>
            <w:r w:rsidRPr="00296813">
              <w:rPr>
                <w:b/>
              </w:rPr>
              <w:t>$14,438,258</w:t>
            </w:r>
          </w:p>
        </w:tc>
        <w:tc>
          <w:tcPr>
            <w:tcW w:w="746" w:type="pct"/>
            <w:shd w:val="clear" w:color="auto" w:fill="D9D9D9" w:themeFill="background1" w:themeFillShade="D9"/>
            <w:vAlign w:val="center"/>
          </w:tcPr>
          <w:p w14:paraId="053AB3F8" w14:textId="1996F22D" w:rsidR="00296813" w:rsidRPr="00205AC5" w:rsidRDefault="00296813" w:rsidP="00BA2689">
            <w:pPr>
              <w:spacing w:after="0"/>
              <w:rPr>
                <w:rFonts w:cs="Arial"/>
                <w:b/>
                <w:bCs/>
                <w:color w:val="000000"/>
                <w:szCs w:val="20"/>
              </w:rPr>
            </w:pPr>
            <w:r w:rsidRPr="00205AC5">
              <w:rPr>
                <w:rFonts w:cs="Arial"/>
                <w:b/>
                <w:bCs/>
                <w:color w:val="000000"/>
                <w:szCs w:val="20"/>
              </w:rPr>
              <w:t>(</w:t>
            </w:r>
            <w:r w:rsidR="00C13C55" w:rsidRPr="00205AC5">
              <w:rPr>
                <w:rFonts w:cs="Arial"/>
                <w:b/>
                <w:bCs/>
                <w:color w:val="000000"/>
                <w:szCs w:val="20"/>
              </w:rPr>
              <w:t>6.7</w:t>
            </w:r>
            <w:r w:rsidRPr="00205AC5">
              <w:rPr>
                <w:rFonts w:cs="Arial"/>
                <w:b/>
                <w:bCs/>
                <w:color w:val="000000"/>
                <w:szCs w:val="20"/>
              </w:rPr>
              <w:t>%)</w:t>
            </w:r>
          </w:p>
        </w:tc>
      </w:tr>
      <w:tr w:rsidR="00C13C55" w:rsidRPr="004B029D" w14:paraId="1D315960" w14:textId="77777777" w:rsidTr="003D5194">
        <w:trPr>
          <w:cantSplit/>
          <w:trHeight w:val="1169"/>
          <w:tblHeader/>
          <w:jc w:val="right"/>
        </w:trPr>
        <w:tc>
          <w:tcPr>
            <w:tcW w:w="2032" w:type="pct"/>
            <w:shd w:val="clear" w:color="auto" w:fill="auto"/>
            <w:vAlign w:val="center"/>
          </w:tcPr>
          <w:p w14:paraId="6259BA8D" w14:textId="4E224ACC" w:rsidR="00C13C55" w:rsidRPr="00A261CF" w:rsidRDefault="00C13C55" w:rsidP="00C13C55">
            <w:pPr>
              <w:spacing w:after="0"/>
              <w:rPr>
                <w:rFonts w:cs="Arial"/>
                <w:bCs/>
                <w:color w:val="000000"/>
                <w:szCs w:val="20"/>
              </w:rPr>
            </w:pPr>
            <w:r w:rsidRPr="00A261CF">
              <w:rPr>
                <w:rFonts w:cs="Arial"/>
                <w:bCs/>
                <w:color w:val="000000"/>
                <w:szCs w:val="20"/>
              </w:rPr>
              <w:t xml:space="preserve">Less: </w:t>
            </w:r>
            <w:r w:rsidR="009D3691">
              <w:rPr>
                <w:rFonts w:cs="Arial"/>
                <w:bCs/>
                <w:color w:val="000000"/>
                <w:szCs w:val="20"/>
              </w:rPr>
              <w:t>r</w:t>
            </w:r>
            <w:r w:rsidRPr="00A261CF">
              <w:rPr>
                <w:rFonts w:cs="Arial"/>
                <w:bCs/>
                <w:color w:val="000000"/>
                <w:szCs w:val="20"/>
              </w:rPr>
              <w:t xml:space="preserve">evenue received </w:t>
            </w:r>
            <w:r>
              <w:rPr>
                <w:rFonts w:cs="Arial"/>
                <w:bCs/>
                <w:color w:val="000000"/>
                <w:szCs w:val="20"/>
              </w:rPr>
              <w:t xml:space="preserve">from </w:t>
            </w:r>
            <w:r w:rsidRPr="00A261CF">
              <w:rPr>
                <w:rFonts w:cs="Arial"/>
              </w:rPr>
              <w:t>activities delivered on a fee-for-service basis</w:t>
            </w:r>
            <w:r>
              <w:rPr>
                <w:rFonts w:cs="Arial"/>
              </w:rPr>
              <w:t xml:space="preserve"> (see Attachment A—</w:t>
            </w:r>
            <w:r w:rsidRPr="004E2F7E">
              <w:rPr>
                <w:rFonts w:cs="Arial"/>
              </w:rPr>
              <w:t>Telecommunications activities not included in the ACLC</w:t>
            </w:r>
            <w:r>
              <w:rPr>
                <w:rFonts w:cs="Arial"/>
              </w:rPr>
              <w:t>)</w:t>
            </w:r>
          </w:p>
        </w:tc>
        <w:tc>
          <w:tcPr>
            <w:tcW w:w="1111" w:type="pct"/>
            <w:shd w:val="clear" w:color="auto" w:fill="auto"/>
            <w:vAlign w:val="center"/>
          </w:tcPr>
          <w:p w14:paraId="2756AF3B" w14:textId="65DCB963" w:rsidR="00C13C55" w:rsidRPr="00A261CF" w:rsidRDefault="00C13C55" w:rsidP="00BA2689">
            <w:pPr>
              <w:spacing w:after="0"/>
              <w:rPr>
                <w:rFonts w:cs="Arial"/>
                <w:bCs/>
                <w:color w:val="000000"/>
                <w:szCs w:val="20"/>
              </w:rPr>
            </w:pPr>
            <w:r>
              <w:rPr>
                <w:rFonts w:cs="Arial"/>
                <w:bCs/>
                <w:color w:val="000000"/>
                <w:szCs w:val="20"/>
              </w:rPr>
              <w:t>$75,754</w:t>
            </w:r>
          </w:p>
        </w:tc>
        <w:tc>
          <w:tcPr>
            <w:tcW w:w="1111" w:type="pct"/>
            <w:shd w:val="clear" w:color="auto" w:fill="auto"/>
            <w:vAlign w:val="center"/>
          </w:tcPr>
          <w:p w14:paraId="438D3583" w14:textId="3B293E0A" w:rsidR="00C13C55" w:rsidRPr="00A261CF" w:rsidRDefault="00C13C55" w:rsidP="00BA2689">
            <w:pPr>
              <w:spacing w:after="0"/>
              <w:rPr>
                <w:rFonts w:cs="Arial"/>
                <w:bCs/>
                <w:color w:val="000000"/>
                <w:szCs w:val="20"/>
              </w:rPr>
            </w:pPr>
            <w:r>
              <w:rPr>
                <w:rFonts w:cs="Arial"/>
                <w:bCs/>
                <w:color w:val="000000"/>
                <w:szCs w:val="20"/>
              </w:rPr>
              <w:t>$134,239</w:t>
            </w:r>
          </w:p>
        </w:tc>
        <w:tc>
          <w:tcPr>
            <w:tcW w:w="746" w:type="pct"/>
            <w:shd w:val="clear" w:color="auto" w:fill="auto"/>
            <w:vAlign w:val="center"/>
          </w:tcPr>
          <w:p w14:paraId="1B4ABC95" w14:textId="5518672F" w:rsidR="00C13C55" w:rsidRPr="00A261CF" w:rsidRDefault="00C13C55" w:rsidP="00BA2689">
            <w:pPr>
              <w:spacing w:after="0"/>
              <w:rPr>
                <w:rFonts w:cs="Arial"/>
                <w:color w:val="000000"/>
                <w:szCs w:val="20"/>
              </w:rPr>
            </w:pPr>
            <w:r>
              <w:rPr>
                <w:rFonts w:cs="Arial"/>
                <w:color w:val="000000"/>
                <w:szCs w:val="20"/>
              </w:rPr>
              <w:t>(43.6%)</w:t>
            </w:r>
          </w:p>
        </w:tc>
      </w:tr>
      <w:tr w:rsidR="00296813" w:rsidRPr="004B029D" w14:paraId="12884F4D" w14:textId="77777777" w:rsidTr="00C13C55">
        <w:trPr>
          <w:cantSplit/>
          <w:trHeight w:val="172"/>
          <w:tblHeader/>
          <w:jc w:val="right"/>
        </w:trPr>
        <w:tc>
          <w:tcPr>
            <w:tcW w:w="2032" w:type="pct"/>
            <w:shd w:val="clear" w:color="auto" w:fill="D9D9D9" w:themeFill="background1" w:themeFillShade="D9"/>
            <w:vAlign w:val="center"/>
          </w:tcPr>
          <w:p w14:paraId="093E8907" w14:textId="18BDE03B" w:rsidR="00296813" w:rsidRDefault="00296813" w:rsidP="00296813">
            <w:pPr>
              <w:spacing w:after="0"/>
              <w:rPr>
                <w:rFonts w:cs="Arial"/>
                <w:b/>
                <w:bCs/>
                <w:color w:val="000000"/>
                <w:szCs w:val="20"/>
              </w:rPr>
            </w:pPr>
            <w:r>
              <w:rPr>
                <w:rFonts w:cs="Arial"/>
                <w:b/>
                <w:bCs/>
                <w:color w:val="000000"/>
                <w:szCs w:val="20"/>
              </w:rPr>
              <w:t>Total costs for ACLC</w:t>
            </w:r>
          </w:p>
        </w:tc>
        <w:tc>
          <w:tcPr>
            <w:tcW w:w="1111" w:type="pct"/>
            <w:shd w:val="clear" w:color="auto" w:fill="D9D9D9" w:themeFill="background1" w:themeFillShade="D9"/>
            <w:vAlign w:val="center"/>
          </w:tcPr>
          <w:p w14:paraId="3F1B7A28" w14:textId="4F47A207" w:rsidR="00296813" w:rsidRDefault="00296813" w:rsidP="00BA2689">
            <w:pPr>
              <w:spacing w:after="0"/>
              <w:rPr>
                <w:rFonts w:cs="Arial"/>
                <w:b/>
                <w:bCs/>
                <w:color w:val="000000"/>
                <w:szCs w:val="20"/>
              </w:rPr>
            </w:pPr>
            <w:r>
              <w:rPr>
                <w:rFonts w:cs="Arial"/>
                <w:b/>
                <w:bCs/>
                <w:color w:val="000000"/>
                <w:szCs w:val="20"/>
              </w:rPr>
              <w:t>$1</w:t>
            </w:r>
            <w:r w:rsidR="00C13C55">
              <w:rPr>
                <w:rFonts w:cs="Arial"/>
                <w:b/>
                <w:bCs/>
                <w:color w:val="000000"/>
                <w:szCs w:val="20"/>
              </w:rPr>
              <w:t>3,397,743</w:t>
            </w:r>
          </w:p>
        </w:tc>
        <w:tc>
          <w:tcPr>
            <w:tcW w:w="1111" w:type="pct"/>
            <w:shd w:val="clear" w:color="auto" w:fill="D9D9D9" w:themeFill="background1" w:themeFillShade="D9"/>
          </w:tcPr>
          <w:p w14:paraId="1C2A153E" w14:textId="7F2C976F" w:rsidR="00296813" w:rsidRPr="00296813" w:rsidRDefault="00296813" w:rsidP="00BA2689">
            <w:pPr>
              <w:spacing w:after="0"/>
              <w:rPr>
                <w:rFonts w:cs="Arial"/>
                <w:b/>
                <w:bCs/>
                <w:color w:val="000000"/>
                <w:szCs w:val="20"/>
              </w:rPr>
            </w:pPr>
            <w:r w:rsidRPr="00296813">
              <w:rPr>
                <w:b/>
              </w:rPr>
              <w:t>$14,304,019</w:t>
            </w:r>
          </w:p>
        </w:tc>
        <w:tc>
          <w:tcPr>
            <w:tcW w:w="746" w:type="pct"/>
            <w:shd w:val="clear" w:color="auto" w:fill="D9D9D9" w:themeFill="background1" w:themeFillShade="D9"/>
            <w:vAlign w:val="center"/>
          </w:tcPr>
          <w:p w14:paraId="157DB4A8" w14:textId="1EA7DF31" w:rsidR="00296813" w:rsidRPr="00205AC5" w:rsidRDefault="00296813" w:rsidP="00BA2689">
            <w:pPr>
              <w:spacing w:after="0"/>
              <w:rPr>
                <w:rFonts w:cs="Arial"/>
                <w:b/>
                <w:bCs/>
                <w:color w:val="000000"/>
                <w:szCs w:val="20"/>
              </w:rPr>
            </w:pPr>
            <w:r w:rsidRPr="00205AC5">
              <w:rPr>
                <w:rFonts w:cs="Arial"/>
                <w:b/>
                <w:bCs/>
                <w:color w:val="000000"/>
                <w:szCs w:val="20"/>
              </w:rPr>
              <w:t>(</w:t>
            </w:r>
            <w:r w:rsidR="00C13C55" w:rsidRPr="00205AC5">
              <w:rPr>
                <w:rFonts w:cs="Arial"/>
                <w:b/>
                <w:bCs/>
                <w:color w:val="000000"/>
                <w:szCs w:val="20"/>
              </w:rPr>
              <w:t>6.3</w:t>
            </w:r>
            <w:r w:rsidRPr="00205AC5">
              <w:rPr>
                <w:rFonts w:cs="Arial"/>
                <w:b/>
                <w:bCs/>
                <w:color w:val="000000"/>
                <w:szCs w:val="20"/>
              </w:rPr>
              <w:t>%)</w:t>
            </w:r>
          </w:p>
        </w:tc>
      </w:tr>
    </w:tbl>
    <w:p w14:paraId="1256EE47" w14:textId="4DE5583D" w:rsidR="00CD6E7B" w:rsidRDefault="00CD6E7B" w:rsidP="001A3BDB">
      <w:pPr>
        <w:pStyle w:val="ACMASpaceaftertable"/>
      </w:pPr>
      <w:r w:rsidRPr="001A3BDB">
        <w:rPr>
          <w:i/>
          <w:sz w:val="16"/>
          <w:szCs w:val="16"/>
        </w:rPr>
        <w:t>*</w:t>
      </w:r>
      <w:r w:rsidR="009D3691">
        <w:rPr>
          <w:i/>
          <w:sz w:val="16"/>
          <w:szCs w:val="16"/>
        </w:rPr>
        <w:t>I</w:t>
      </w:r>
      <w:r w:rsidRPr="001A3BDB">
        <w:rPr>
          <w:i/>
          <w:sz w:val="16"/>
          <w:szCs w:val="16"/>
        </w:rPr>
        <w:t>ncrease/(decrease</w:t>
      </w:r>
      <w:r w:rsidR="00670770">
        <w:rPr>
          <w:i/>
          <w:sz w:val="16"/>
          <w:szCs w:val="16"/>
        </w:rPr>
        <w:t>)</w:t>
      </w:r>
      <w:r w:rsidR="00BA2689">
        <w:rPr>
          <w:i/>
          <w:sz w:val="16"/>
          <w:szCs w:val="16"/>
        </w:rPr>
        <w:t>.</w:t>
      </w:r>
    </w:p>
    <w:p w14:paraId="31B673E7" w14:textId="54F4DA25" w:rsidR="004C73A8" w:rsidRDefault="009D3691" w:rsidP="004C73A8">
      <w:pPr>
        <w:spacing w:after="80"/>
        <w:rPr>
          <w:rFonts w:cs="Arial"/>
        </w:rPr>
      </w:pPr>
      <w:r>
        <w:t xml:space="preserve">The </w:t>
      </w:r>
      <w:r w:rsidR="004C73A8">
        <w:t xml:space="preserve">ACMA’s cost component has decreased by 6.3 per cent ($0.9 million) from the </w:t>
      </w:r>
      <w:r w:rsidR="004C73A8">
        <w:rPr>
          <w:rFonts w:cs="Arial"/>
        </w:rPr>
        <w:t xml:space="preserve">previous financial year. The decrease is </w:t>
      </w:r>
      <w:r w:rsidR="00BF371A">
        <w:rPr>
          <w:rFonts w:cs="Arial"/>
        </w:rPr>
        <w:t>essentially</w:t>
      </w:r>
      <w:r w:rsidR="004C73A8">
        <w:rPr>
          <w:rFonts w:cs="Arial"/>
        </w:rPr>
        <w:t xml:space="preserve"> attributable to:</w:t>
      </w:r>
    </w:p>
    <w:p w14:paraId="4CD21C64" w14:textId="011C0DA0" w:rsidR="004C73A8" w:rsidRPr="001269E9" w:rsidRDefault="00D17F6E" w:rsidP="004C73A8">
      <w:pPr>
        <w:pStyle w:val="ListBullet"/>
        <w:numPr>
          <w:ilvl w:val="0"/>
          <w:numId w:val="35"/>
        </w:numPr>
      </w:pPr>
      <w:bookmarkStart w:id="70" w:name="_Hlk8984233"/>
      <w:r w:rsidRPr="001269E9">
        <w:t>c</w:t>
      </w:r>
      <w:r w:rsidR="004C73A8" w:rsidRPr="001269E9">
        <w:t xml:space="preserve">ompletion of </w:t>
      </w:r>
      <w:r w:rsidR="008A0447">
        <w:t xml:space="preserve">a </w:t>
      </w:r>
      <w:r w:rsidR="004C73A8" w:rsidRPr="001269E9">
        <w:t>coordinated national program of cabling inspections and associated</w:t>
      </w:r>
      <w:r w:rsidR="006E0BB2">
        <w:t> </w:t>
      </w:r>
      <w:r w:rsidR="004C73A8" w:rsidRPr="001269E9">
        <w:t xml:space="preserve">investigations into non-compliance </w:t>
      </w:r>
      <w:r w:rsidR="00AD5E9C">
        <w:t>that was a Priority Compliance Area</w:t>
      </w:r>
      <w:r w:rsidR="006E0BB2">
        <w:t> </w:t>
      </w:r>
      <w:r w:rsidR="004C73A8" w:rsidRPr="001269E9">
        <w:t>in 2016</w:t>
      </w:r>
      <w:r w:rsidR="00E74157">
        <w:t>–</w:t>
      </w:r>
      <w:r w:rsidR="004C73A8" w:rsidRPr="001269E9">
        <w:t>17</w:t>
      </w:r>
    </w:p>
    <w:p w14:paraId="0DAB4638" w14:textId="7BB26EA0" w:rsidR="004C73A8" w:rsidRPr="001269E9" w:rsidRDefault="008A0447" w:rsidP="004C73A8">
      <w:pPr>
        <w:pStyle w:val="ListBullet"/>
        <w:numPr>
          <w:ilvl w:val="0"/>
          <w:numId w:val="35"/>
        </w:numPr>
      </w:pPr>
      <w:r>
        <w:t>r</w:t>
      </w:r>
      <w:r w:rsidR="00255144">
        <w:t>e</w:t>
      </w:r>
      <w:r>
        <w:t>-</w:t>
      </w:r>
      <w:r w:rsidR="00255144">
        <w:t xml:space="preserve">prioritisation of resources in </w:t>
      </w:r>
      <w:r w:rsidR="00A71F52" w:rsidRPr="001269E9">
        <w:t>making telecommunications labelling notices and standards</w:t>
      </w:r>
    </w:p>
    <w:p w14:paraId="4498F189" w14:textId="10E68D52" w:rsidR="00A71F52" w:rsidRPr="001269E9" w:rsidRDefault="00D17F6E" w:rsidP="00EB7AE9">
      <w:pPr>
        <w:pStyle w:val="ListBulletLast"/>
      </w:pPr>
      <w:r w:rsidRPr="001269E9">
        <w:t xml:space="preserve">reduction in workload in relation to </w:t>
      </w:r>
      <w:r w:rsidR="003D5194" w:rsidRPr="001269E9">
        <w:t>the registration of</w:t>
      </w:r>
      <w:r w:rsidRPr="001269E9">
        <w:t xml:space="preserve"> telecommunications operational codes. Only one code was registered in 2017</w:t>
      </w:r>
      <w:r w:rsidR="00E74157">
        <w:t>–</w:t>
      </w:r>
      <w:r w:rsidRPr="001269E9">
        <w:t>18</w:t>
      </w:r>
      <w:r w:rsidR="00C35A69">
        <w:t>.</w:t>
      </w:r>
    </w:p>
    <w:bookmarkEnd w:id="70"/>
    <w:p w14:paraId="115E3F96" w14:textId="65A43EF1" w:rsidR="00A71F52" w:rsidRDefault="005F64B1" w:rsidP="00DC5161">
      <w:r>
        <w:lastRenderedPageBreak/>
        <w:t xml:space="preserve">The </w:t>
      </w:r>
      <w:r w:rsidR="004D51E1">
        <w:t xml:space="preserve">ACMA’s </w:t>
      </w:r>
      <w:r w:rsidR="004D51E1" w:rsidRPr="004D51E1">
        <w:t>cost</w:t>
      </w:r>
      <w:r w:rsidR="004D51E1">
        <w:t>s</w:t>
      </w:r>
      <w:r w:rsidR="004D51E1" w:rsidRPr="004D51E1">
        <w:t xml:space="preserve"> take all productivity gains and operational savings into account, </w:t>
      </w:r>
      <w:r w:rsidR="004D51E1" w:rsidRPr="008E0DB6">
        <w:t xml:space="preserve">including the efficient use of resources as a result of the application of an efficiency dividend. </w:t>
      </w:r>
    </w:p>
    <w:p w14:paraId="5D3EEB20" w14:textId="76B80402" w:rsidR="00CB1822" w:rsidRPr="00763532" w:rsidRDefault="00BF371A" w:rsidP="00DC5161">
      <w:bookmarkStart w:id="71" w:name="_Hlk8984256"/>
      <w:r w:rsidRPr="00763532">
        <w:t>During the 2017</w:t>
      </w:r>
      <w:r w:rsidR="00E74157">
        <w:t>–</w:t>
      </w:r>
      <w:r w:rsidRPr="00763532">
        <w:t>18 financial year, an independent review of</w:t>
      </w:r>
      <w:r w:rsidR="005F64B1" w:rsidRPr="005F64B1">
        <w:t xml:space="preserve"> </w:t>
      </w:r>
      <w:r w:rsidR="005F64B1">
        <w:t>the</w:t>
      </w:r>
      <w:r w:rsidRPr="00763532">
        <w:t xml:space="preserve"> ACMA’s cost base </w:t>
      </w:r>
      <w:r w:rsidR="00CB1822" w:rsidRPr="00763532">
        <w:t xml:space="preserve">was undertaken by Deloitte Australia to ensure </w:t>
      </w:r>
      <w:r w:rsidR="005F64B1">
        <w:t xml:space="preserve">the </w:t>
      </w:r>
      <w:r w:rsidR="00CB1822" w:rsidRPr="00763532">
        <w:t xml:space="preserve">ACMA is effectively delivering on its responsibilities and minimising costs to industry. </w:t>
      </w:r>
      <w:r w:rsidR="00683407">
        <w:t>The r</w:t>
      </w:r>
      <w:r w:rsidR="00CB1822" w:rsidRPr="00763532">
        <w:t xml:space="preserve">eview included detailed corporate benchmarking, comparisons against </w:t>
      </w:r>
      <w:r w:rsidR="002338EB">
        <w:t>several</w:t>
      </w:r>
      <w:r w:rsidR="00CB1822" w:rsidRPr="00763532">
        <w:t xml:space="preserve"> other regulators, international benchmarking and industry-based trend analysis of costs and performance outcomes.</w:t>
      </w:r>
    </w:p>
    <w:p w14:paraId="0DD96BE5" w14:textId="767433EE" w:rsidR="003C7026" w:rsidRPr="00763532" w:rsidRDefault="00CB1822" w:rsidP="00DC5161">
      <w:r w:rsidRPr="00763532">
        <w:t xml:space="preserve">The review concluded that </w:t>
      </w:r>
      <w:r w:rsidR="005F64B1">
        <w:t xml:space="preserve">the </w:t>
      </w:r>
      <w:r w:rsidRPr="00763532">
        <w:t>ACMA is operating efficiently, in accordance with the Department of Finance Cost Recovery Guidelines.</w:t>
      </w:r>
      <w:r w:rsidR="006C5153" w:rsidRPr="00763532">
        <w:t xml:space="preserve"> </w:t>
      </w:r>
      <w:r w:rsidR="003C7026" w:rsidRPr="00763532">
        <w:t xml:space="preserve">In relation to costs to the industry, the review found the calculation of the ACLC to be logical and </w:t>
      </w:r>
      <w:r w:rsidR="001269E9" w:rsidRPr="00763532">
        <w:t xml:space="preserve">that costs are </w:t>
      </w:r>
      <w:r w:rsidR="003C7026" w:rsidRPr="00763532">
        <w:t>attribute</w:t>
      </w:r>
      <w:r w:rsidR="001269E9" w:rsidRPr="00763532">
        <w:t>d</w:t>
      </w:r>
      <w:r w:rsidR="003C7026" w:rsidRPr="00763532">
        <w:t xml:space="preserve"> appropriately. </w:t>
      </w:r>
      <w:r w:rsidR="008D179B" w:rsidRPr="00763532">
        <w:t xml:space="preserve">The review also reported that </w:t>
      </w:r>
      <w:r w:rsidR="005F64B1">
        <w:t xml:space="preserve">the </w:t>
      </w:r>
      <w:r w:rsidR="008D179B" w:rsidRPr="00763532">
        <w:t xml:space="preserve">ACMA </w:t>
      </w:r>
      <w:r w:rsidR="007C6429">
        <w:t>h</w:t>
      </w:r>
      <w:r w:rsidR="008D179B" w:rsidRPr="00763532">
        <w:t xml:space="preserve">as </w:t>
      </w:r>
      <w:r w:rsidR="007C6429">
        <w:t xml:space="preserve">a </w:t>
      </w:r>
      <w:r w:rsidR="008D179B" w:rsidRPr="00763532">
        <w:t xml:space="preserve">developed </w:t>
      </w:r>
      <w:r w:rsidR="000320BD">
        <w:t xml:space="preserve">cost recovery </w:t>
      </w:r>
      <w:r w:rsidR="008D179B" w:rsidRPr="00763532">
        <w:t>cost</w:t>
      </w:r>
      <w:r w:rsidR="001269E9" w:rsidRPr="00763532">
        <w:t xml:space="preserve">ing framework </w:t>
      </w:r>
      <w:r w:rsidR="008D179B" w:rsidRPr="00763532">
        <w:t xml:space="preserve">to ensure it </w:t>
      </w:r>
      <w:r w:rsidR="00763532" w:rsidRPr="00763532">
        <w:t>is</w:t>
      </w:r>
      <w:r w:rsidR="008D179B" w:rsidRPr="00763532">
        <w:t xml:space="preserve"> consistent in costing its cost recovery activities</w:t>
      </w:r>
      <w:r w:rsidR="00EB69C6">
        <w:t>.</w:t>
      </w:r>
    </w:p>
    <w:bookmarkEnd w:id="71"/>
    <w:p w14:paraId="63B47BE2" w14:textId="0AC0D767" w:rsidR="00DC5161" w:rsidRDefault="00DC5161" w:rsidP="00DC5161">
      <w:r w:rsidRPr="00734804">
        <w:t xml:space="preserve">The ACLC does not include the costs associated with the telecommunications services listed in </w:t>
      </w:r>
      <w:r w:rsidRPr="00043FDB">
        <w:t xml:space="preserve">Attachment </w:t>
      </w:r>
      <w:r w:rsidR="00F773AA">
        <w:t>A</w:t>
      </w:r>
      <w:r w:rsidRPr="00734804">
        <w:t>, as they are either budget-funded or delivered on a fee</w:t>
      </w:r>
      <w:r w:rsidR="00531DDE">
        <w:noBreakHyphen/>
      </w:r>
      <w:r w:rsidRPr="00734804">
        <w:t>for</w:t>
      </w:r>
      <w:r w:rsidR="00531DDE">
        <w:noBreakHyphen/>
      </w:r>
      <w:r w:rsidRPr="00734804">
        <w:t>service basis.</w:t>
      </w:r>
    </w:p>
    <w:p w14:paraId="1E016F2F" w14:textId="6291945F" w:rsidR="009E783D" w:rsidRDefault="009E783D" w:rsidP="003F7E3A">
      <w:pPr>
        <w:pStyle w:val="Heading2"/>
        <w:spacing w:after="240"/>
      </w:pPr>
      <w:bookmarkStart w:id="72" w:name="_Toc417990949"/>
      <w:bookmarkStart w:id="73" w:name="_Toc511634391"/>
      <w:bookmarkStart w:id="74" w:name="_Toc26786331"/>
      <w:r w:rsidRPr="003F7E3A">
        <w:t>3.2</w:t>
      </w:r>
      <w:r w:rsidRPr="003F7E3A">
        <w:tab/>
        <w:t>Determination of cost component</w:t>
      </w:r>
      <w:r w:rsidR="00627665">
        <w:t xml:space="preserve"> for </w:t>
      </w:r>
      <w:r w:rsidRPr="003F7E3A">
        <w:t xml:space="preserve">the ACCC’s </w:t>
      </w:r>
      <w:bookmarkEnd w:id="72"/>
      <w:r w:rsidRPr="003F7E3A">
        <w:t>activity</w:t>
      </w:r>
      <w:bookmarkEnd w:id="73"/>
      <w:bookmarkEnd w:id="74"/>
    </w:p>
    <w:p w14:paraId="7686BDFA" w14:textId="591B1917" w:rsidR="007368D9" w:rsidRPr="007368D9" w:rsidRDefault="007368D9" w:rsidP="007368D9">
      <w:bookmarkStart w:id="75" w:name="_Hlk10636742"/>
      <w:r w:rsidRPr="007368D9">
        <w:t>Under paragraph 15(1)(b) of the Act, the ACCC must determine the proportion of its costs incurred during 2017–18 that are attributable to its telecommunications functions and powers.</w:t>
      </w:r>
      <w:r>
        <w:t xml:space="preserve"> </w:t>
      </w:r>
      <w:bookmarkStart w:id="76" w:name="_Hlk10714984"/>
      <w:r w:rsidR="0062091B">
        <w:t>Accordingly</w:t>
      </w:r>
      <w:bookmarkStart w:id="77" w:name="_Hlk10540423"/>
      <w:r w:rsidR="0062091B">
        <w:t>, t</w:t>
      </w:r>
      <w:r>
        <w:t>he</w:t>
      </w:r>
      <w:r w:rsidRPr="007368D9">
        <w:t xml:space="preserve"> </w:t>
      </w:r>
      <w:r w:rsidR="0062091B">
        <w:t xml:space="preserve">information in this section has been provided by the ACCC </w:t>
      </w:r>
      <w:r w:rsidRPr="007368D9">
        <w:t>setting out the cost recovery model it has used to determine the</w:t>
      </w:r>
      <w:r w:rsidR="0062091B">
        <w:t xml:space="preserve"> costs</w:t>
      </w:r>
      <w:r w:rsidRPr="007368D9">
        <w:t>.</w:t>
      </w:r>
      <w:bookmarkEnd w:id="76"/>
      <w:bookmarkEnd w:id="77"/>
    </w:p>
    <w:p w14:paraId="38132EFF" w14:textId="77777777" w:rsidR="009E783D" w:rsidRPr="003F7E3A" w:rsidRDefault="009E783D" w:rsidP="00914FAE">
      <w:pPr>
        <w:pStyle w:val="Heading3"/>
        <w:spacing w:before="240" w:after="80"/>
      </w:pPr>
      <w:bookmarkStart w:id="78" w:name="_Toc417990950"/>
      <w:bookmarkStart w:id="79" w:name="_Toc511634392"/>
      <w:bookmarkStart w:id="80" w:name="_Toc26786332"/>
      <w:bookmarkEnd w:id="75"/>
      <w:r w:rsidRPr="003F7E3A">
        <w:t>3.2.1</w:t>
      </w:r>
      <w:r w:rsidRPr="003F7E3A">
        <w:tab/>
        <w:t>Outputs and business processes of the activity</w:t>
      </w:r>
      <w:bookmarkEnd w:id="78"/>
      <w:bookmarkEnd w:id="79"/>
      <w:bookmarkEnd w:id="80"/>
    </w:p>
    <w:p w14:paraId="140DFC9D" w14:textId="085D1A15" w:rsidR="00372EAE" w:rsidRDefault="00372EAE" w:rsidP="00EF0497">
      <w:pPr>
        <w:keepNext/>
        <w:keepLines/>
        <w:spacing w:after="80"/>
        <w:rPr>
          <w:iCs/>
          <w:lang w:eastAsia="en-US"/>
        </w:rPr>
      </w:pPr>
      <w:r w:rsidRPr="009A2EB4">
        <w:rPr>
          <w:iCs/>
          <w:lang w:eastAsia="en-US"/>
        </w:rPr>
        <w:t xml:space="preserve">Part XIC of the </w:t>
      </w:r>
      <w:r w:rsidR="00B1182A" w:rsidRPr="00395A41">
        <w:rPr>
          <w:iCs/>
          <w:lang w:eastAsia="en-US"/>
        </w:rPr>
        <w:t>Competition and Consumer Act</w:t>
      </w:r>
      <w:r w:rsidR="00F071C8">
        <w:rPr>
          <w:iCs/>
          <w:lang w:eastAsia="en-US"/>
        </w:rPr>
        <w:t xml:space="preserve"> </w:t>
      </w:r>
      <w:r w:rsidRPr="009A2EB4">
        <w:rPr>
          <w:iCs/>
          <w:lang w:eastAsia="en-US"/>
        </w:rPr>
        <w:t xml:space="preserve">contains the framework for </w:t>
      </w:r>
      <w:r w:rsidR="00F006F8">
        <w:rPr>
          <w:iCs/>
          <w:lang w:eastAsia="en-US"/>
        </w:rPr>
        <w:t xml:space="preserve">the </w:t>
      </w:r>
      <w:r w:rsidRPr="009A2EB4">
        <w:rPr>
          <w:iCs/>
          <w:lang w:eastAsia="en-US"/>
        </w:rPr>
        <w:t>economic regulation of the communications industry. The ACCC is responsible for:</w:t>
      </w:r>
    </w:p>
    <w:p w14:paraId="77A0DB0A" w14:textId="7B100C1C" w:rsidR="0046793D" w:rsidRPr="009A2EB4" w:rsidRDefault="0046793D" w:rsidP="00EF0497">
      <w:pPr>
        <w:pStyle w:val="ListBullet"/>
        <w:keepNext/>
        <w:keepLines/>
        <w:rPr>
          <w:rFonts w:eastAsia="SimSun"/>
          <w:lang w:eastAsia="en-US"/>
        </w:rPr>
      </w:pPr>
      <w:r w:rsidRPr="009A2EB4">
        <w:rPr>
          <w:rFonts w:eastAsia="SimSun"/>
          <w:lang w:eastAsia="en-US"/>
        </w:rPr>
        <w:t xml:space="preserve">conducting inquiries </w:t>
      </w:r>
      <w:r w:rsidRPr="00395A41">
        <w:rPr>
          <w:rFonts w:eastAsia="SimSun"/>
        </w:rPr>
        <w:t>into</w:t>
      </w:r>
      <w:r w:rsidRPr="009A2EB4">
        <w:rPr>
          <w:rFonts w:eastAsia="SimSun"/>
          <w:lang w:eastAsia="en-US"/>
        </w:rPr>
        <w:t xml:space="preserve"> which communications services should be regulated</w:t>
      </w:r>
    </w:p>
    <w:p w14:paraId="70FFFDD3" w14:textId="31AD90FF" w:rsidR="0046793D" w:rsidRPr="009A2EB4" w:rsidRDefault="0046793D" w:rsidP="00EF0497">
      <w:pPr>
        <w:pStyle w:val="ListBullet"/>
        <w:keepNext/>
        <w:keepLines/>
        <w:rPr>
          <w:rFonts w:eastAsia="SimSun"/>
          <w:lang w:eastAsia="en-US"/>
        </w:rPr>
      </w:pPr>
      <w:r w:rsidRPr="009A2EB4">
        <w:rPr>
          <w:rFonts w:eastAsia="SimSun"/>
          <w:lang w:eastAsia="en-US"/>
        </w:rPr>
        <w:t xml:space="preserve">conducting inquiries into the making of access determinations for regulated services </w:t>
      </w:r>
      <w:r>
        <w:rPr>
          <w:rFonts w:eastAsia="SimSun"/>
          <w:lang w:eastAsia="en-US"/>
        </w:rPr>
        <w:t>that</w:t>
      </w:r>
      <w:r w:rsidRPr="009A2EB4">
        <w:rPr>
          <w:rFonts w:eastAsia="SimSun"/>
          <w:lang w:eastAsia="en-US"/>
        </w:rPr>
        <w:t xml:space="preserve"> will contain price (or a method of ascertaining price) and non-price terms and conditions of access</w:t>
      </w:r>
    </w:p>
    <w:p w14:paraId="27B976C6" w14:textId="6AA0662B" w:rsidR="0046793D" w:rsidRPr="009A2EB4" w:rsidRDefault="0046793D" w:rsidP="00EF0497">
      <w:pPr>
        <w:pStyle w:val="ListBullet"/>
        <w:keepNext/>
        <w:keepLines/>
        <w:rPr>
          <w:rFonts w:eastAsia="SimSun"/>
          <w:lang w:eastAsia="en-US"/>
        </w:rPr>
      </w:pPr>
      <w:r w:rsidRPr="009A2EB4">
        <w:rPr>
          <w:rFonts w:eastAsia="SimSun"/>
          <w:lang w:eastAsia="en-US"/>
        </w:rPr>
        <w:t>making binding rules of conduct (if needed) to address specific competition issues</w:t>
      </w:r>
    </w:p>
    <w:p w14:paraId="110E4BCB" w14:textId="267C702A" w:rsidR="0046793D" w:rsidRPr="009A2EB4" w:rsidRDefault="0046793D" w:rsidP="00EF0497">
      <w:pPr>
        <w:pStyle w:val="ListBullet"/>
        <w:keepNext/>
        <w:keepLines/>
        <w:rPr>
          <w:rFonts w:eastAsia="SimSun"/>
          <w:lang w:eastAsia="en-US"/>
        </w:rPr>
      </w:pPr>
      <w:r w:rsidRPr="009A2EB4">
        <w:rPr>
          <w:rFonts w:eastAsia="SimSun"/>
          <w:lang w:eastAsia="en-US"/>
        </w:rPr>
        <w:t xml:space="preserve">investigating allegations of access providers failing to comply with the standard access obligations and/or non-discrimination obligations in the </w:t>
      </w:r>
      <w:r w:rsidRPr="00395A41">
        <w:rPr>
          <w:rFonts w:eastAsia="SimSun"/>
          <w:lang w:eastAsia="en-US"/>
        </w:rPr>
        <w:t>Competition and Consumer Act</w:t>
      </w:r>
    </w:p>
    <w:p w14:paraId="6C7E779F" w14:textId="77777777" w:rsidR="0046793D" w:rsidRPr="009A2EB4" w:rsidRDefault="0046793D" w:rsidP="0046793D">
      <w:pPr>
        <w:pStyle w:val="ListBulletLast"/>
        <w:rPr>
          <w:rFonts w:eastAsia="SimSun"/>
          <w:lang w:eastAsia="en-US"/>
        </w:rPr>
      </w:pPr>
      <w:r w:rsidRPr="009A2EB4">
        <w:rPr>
          <w:rFonts w:eastAsia="SimSun"/>
          <w:lang w:eastAsia="en-US"/>
        </w:rPr>
        <w:t xml:space="preserve">assessing special </w:t>
      </w:r>
      <w:r w:rsidRPr="00395A41">
        <w:rPr>
          <w:rFonts w:eastAsia="SimSun"/>
        </w:rPr>
        <w:t>access</w:t>
      </w:r>
      <w:r w:rsidRPr="009A2EB4">
        <w:rPr>
          <w:rFonts w:eastAsia="SimSun"/>
          <w:lang w:eastAsia="en-US"/>
        </w:rPr>
        <w:t xml:space="preserve"> undertakings (SAUs), which if accepted by the ACCC, will provide terms and conditions for access to regulated services. </w:t>
      </w:r>
    </w:p>
    <w:p w14:paraId="20D183AF" w14:textId="77777777" w:rsidR="00BA2689" w:rsidRDefault="0046793D" w:rsidP="0046793D">
      <w:pPr>
        <w:spacing w:after="80"/>
        <w:rPr>
          <w:lang w:eastAsia="en-US"/>
        </w:rPr>
      </w:pPr>
      <w:r w:rsidRPr="009A2EB4">
        <w:rPr>
          <w:lang w:eastAsia="en-US"/>
        </w:rPr>
        <w:t xml:space="preserve">Part XIB of the </w:t>
      </w:r>
      <w:r w:rsidRPr="00395A41">
        <w:rPr>
          <w:lang w:eastAsia="en-US"/>
        </w:rPr>
        <w:t>Competition and Consumer Act</w:t>
      </w:r>
      <w:r w:rsidRPr="00400A7F">
        <w:rPr>
          <w:i/>
          <w:lang w:eastAsia="en-US"/>
        </w:rPr>
        <w:t xml:space="preserve"> </w:t>
      </w:r>
      <w:r w:rsidRPr="009A2EB4">
        <w:rPr>
          <w:lang w:eastAsia="en-US"/>
        </w:rPr>
        <w:t>enables a quick response to instances of anti-competitive conduct in the communications industry and allows the ACCC to impose specific information</w:t>
      </w:r>
      <w:r>
        <w:rPr>
          <w:lang w:eastAsia="en-US"/>
        </w:rPr>
        <w:t>-</w:t>
      </w:r>
      <w:r w:rsidRPr="009A2EB4">
        <w:rPr>
          <w:lang w:eastAsia="en-US"/>
        </w:rPr>
        <w:t xml:space="preserve">gathering obligations on industry participants to assist with the ACCC’s administration and enforcement of the </w:t>
      </w:r>
      <w:r w:rsidRPr="00395A41">
        <w:rPr>
          <w:lang w:eastAsia="en-US"/>
        </w:rPr>
        <w:t>Competition and Consumer Act</w:t>
      </w:r>
      <w:r w:rsidRPr="009A2EB4">
        <w:rPr>
          <w:lang w:eastAsia="en-US"/>
        </w:rPr>
        <w:t xml:space="preserve">. </w:t>
      </w:r>
    </w:p>
    <w:p w14:paraId="4ABFF689" w14:textId="7A68C81A" w:rsidR="0046793D" w:rsidRPr="009A2EB4" w:rsidRDefault="0046793D" w:rsidP="0046793D">
      <w:pPr>
        <w:spacing w:after="80"/>
        <w:rPr>
          <w:lang w:eastAsia="en-US"/>
        </w:rPr>
      </w:pPr>
      <w:r w:rsidRPr="009A2EB4">
        <w:rPr>
          <w:lang w:eastAsia="en-US"/>
        </w:rPr>
        <w:t>The ACCC’s responsibilities under Part XIB include:</w:t>
      </w:r>
    </w:p>
    <w:p w14:paraId="4161D5A3" w14:textId="0EE7CE5B" w:rsidR="0046793D" w:rsidRPr="009A2EB4" w:rsidRDefault="0046793D" w:rsidP="0046793D">
      <w:pPr>
        <w:pStyle w:val="ListBullet"/>
        <w:rPr>
          <w:rFonts w:eastAsia="SimSun"/>
          <w:lang w:eastAsia="en-US"/>
        </w:rPr>
      </w:pPr>
      <w:r w:rsidRPr="009A2EB4">
        <w:rPr>
          <w:rFonts w:eastAsia="SimSun"/>
          <w:lang w:eastAsia="en-US"/>
        </w:rPr>
        <w:t>investigating allegations of anti-competitive conduct</w:t>
      </w:r>
    </w:p>
    <w:p w14:paraId="614DAF52" w14:textId="6DE43D64" w:rsidR="0046793D" w:rsidRPr="009A2EB4" w:rsidRDefault="0046793D" w:rsidP="0046793D">
      <w:pPr>
        <w:pStyle w:val="ListBullet"/>
        <w:rPr>
          <w:rFonts w:eastAsia="SimSun"/>
          <w:lang w:eastAsia="en-US"/>
        </w:rPr>
      </w:pPr>
      <w:r w:rsidRPr="009A2EB4">
        <w:rPr>
          <w:rFonts w:eastAsia="SimSun"/>
          <w:lang w:eastAsia="en-US"/>
        </w:rPr>
        <w:t>considering exemption applications for anti-competitive conduct</w:t>
      </w:r>
    </w:p>
    <w:p w14:paraId="7C4BC636" w14:textId="68141857" w:rsidR="0046793D" w:rsidRPr="009A2EB4" w:rsidRDefault="0046793D" w:rsidP="0046793D">
      <w:pPr>
        <w:pStyle w:val="ListBullet"/>
        <w:rPr>
          <w:rFonts w:eastAsia="SimSun"/>
          <w:lang w:eastAsia="en-US"/>
        </w:rPr>
      </w:pPr>
      <w:r w:rsidRPr="009A2EB4">
        <w:rPr>
          <w:rFonts w:eastAsia="SimSun"/>
          <w:lang w:eastAsia="en-US"/>
        </w:rPr>
        <w:t xml:space="preserve">reporting as part of </w:t>
      </w:r>
      <w:r w:rsidRPr="00043FDB">
        <w:rPr>
          <w:rFonts w:eastAsia="SimSun"/>
          <w:lang w:eastAsia="en-US"/>
        </w:rPr>
        <w:t xml:space="preserve">the </w:t>
      </w:r>
      <w:r w:rsidRPr="009A2EB4">
        <w:rPr>
          <w:rFonts w:eastAsia="SimSun"/>
          <w:lang w:eastAsia="en-US"/>
        </w:rPr>
        <w:t>mandatory and discretionary reporting requirements</w:t>
      </w:r>
    </w:p>
    <w:p w14:paraId="01FFF544" w14:textId="27CBAF26" w:rsidR="0046793D" w:rsidRPr="009A2EB4" w:rsidRDefault="00936B69" w:rsidP="0046793D">
      <w:pPr>
        <w:pStyle w:val="ListBulletLast"/>
        <w:rPr>
          <w:rFonts w:eastAsia="SimSun"/>
          <w:lang w:eastAsia="en-US"/>
        </w:rPr>
      </w:pPr>
      <w:r>
        <w:rPr>
          <w:rFonts w:eastAsia="SimSun"/>
        </w:rPr>
        <w:t xml:space="preserve">monitoring </w:t>
      </w:r>
      <w:r w:rsidR="0046793D" w:rsidRPr="00144A3A">
        <w:rPr>
          <w:rFonts w:eastAsia="SimSun"/>
        </w:rPr>
        <w:t>industry</w:t>
      </w:r>
      <w:r w:rsidR="0046793D" w:rsidRPr="009A2EB4">
        <w:rPr>
          <w:rFonts w:eastAsia="SimSun"/>
          <w:lang w:eastAsia="en-US"/>
        </w:rPr>
        <w:t xml:space="preserve">, including the </w:t>
      </w:r>
      <w:r w:rsidR="0046793D">
        <w:rPr>
          <w:rFonts w:eastAsia="SimSun"/>
          <w:lang w:eastAsia="en-US"/>
        </w:rPr>
        <w:t xml:space="preserve">NBN Wholesale </w:t>
      </w:r>
      <w:r w:rsidR="004A3214">
        <w:rPr>
          <w:rFonts w:eastAsia="SimSun"/>
          <w:lang w:eastAsia="en-US"/>
        </w:rPr>
        <w:t>I</w:t>
      </w:r>
      <w:r w:rsidR="0046793D">
        <w:rPr>
          <w:rFonts w:eastAsia="SimSun"/>
          <w:lang w:eastAsia="en-US"/>
        </w:rPr>
        <w:t xml:space="preserve">ndicators Report, the Telstra Customer Access Network snapshot, </w:t>
      </w:r>
      <w:r w:rsidR="009C53E0">
        <w:rPr>
          <w:rFonts w:eastAsia="SimSun"/>
          <w:lang w:eastAsia="en-US"/>
        </w:rPr>
        <w:t xml:space="preserve">and </w:t>
      </w:r>
      <w:r w:rsidR="0046793D">
        <w:rPr>
          <w:rFonts w:eastAsia="SimSun"/>
          <w:lang w:eastAsia="en-US"/>
        </w:rPr>
        <w:t>the Telstra Economic Model reports</w:t>
      </w:r>
      <w:r w:rsidR="009C53E0">
        <w:rPr>
          <w:rFonts w:eastAsia="SimSun"/>
          <w:lang w:eastAsia="en-US"/>
        </w:rPr>
        <w:t>.</w:t>
      </w:r>
    </w:p>
    <w:p w14:paraId="5370D7B1" w14:textId="4B007A65" w:rsidR="0046793D" w:rsidRPr="009A2EB4" w:rsidRDefault="0046793D" w:rsidP="0046793D">
      <w:pPr>
        <w:spacing w:after="80"/>
        <w:rPr>
          <w:rFonts w:cs="Arial"/>
          <w:iCs/>
          <w:lang w:eastAsia="en-US"/>
        </w:rPr>
      </w:pPr>
      <w:r w:rsidRPr="00DF204A">
        <w:rPr>
          <w:rFonts w:cs="Arial"/>
          <w:iCs/>
          <w:szCs w:val="20"/>
          <w:lang w:eastAsia="en-US"/>
        </w:rPr>
        <w:lastRenderedPageBreak/>
        <w:t xml:space="preserve">The ACCC also has responsibilities under the Telco Act </w:t>
      </w:r>
      <w:r w:rsidR="002B5189" w:rsidRPr="00DF204A">
        <w:rPr>
          <w:rFonts w:cs="Arial"/>
          <w:iCs/>
          <w:szCs w:val="20"/>
          <w:lang w:eastAsia="en-US"/>
        </w:rPr>
        <w:t>for</w:t>
      </w:r>
      <w:r w:rsidRPr="00DF204A">
        <w:rPr>
          <w:rFonts w:cs="Arial"/>
          <w:iCs/>
          <w:szCs w:val="20"/>
          <w:lang w:eastAsia="en-US"/>
        </w:rPr>
        <w:t xml:space="preserve"> facilities access and</w:t>
      </w:r>
      <w:r w:rsidRPr="009A2EB4">
        <w:rPr>
          <w:rFonts w:cs="Arial"/>
          <w:iCs/>
          <w:szCs w:val="20"/>
          <w:lang w:eastAsia="en-US"/>
        </w:rPr>
        <w:t xml:space="preserve"> structural reform. This includes </w:t>
      </w:r>
      <w:r w:rsidRPr="009A2EB4">
        <w:t>monitoring Telstra’s</w:t>
      </w:r>
      <w:r w:rsidRPr="009A2EB4">
        <w:rPr>
          <w:rFonts w:asciiTheme="minorHAnsi" w:hAnsiTheme="minorHAnsi"/>
          <w:iCs/>
          <w:sz w:val="24"/>
          <w:lang w:eastAsia="en-US"/>
        </w:rPr>
        <w:t xml:space="preserve"> </w:t>
      </w:r>
      <w:r w:rsidRPr="009A2EB4">
        <w:rPr>
          <w:rFonts w:cs="Arial"/>
          <w:iCs/>
          <w:lang w:eastAsia="en-US"/>
        </w:rPr>
        <w:t>compliance with its structural separation undertaking (SSU) and plan</w:t>
      </w:r>
      <w:r>
        <w:rPr>
          <w:rFonts w:cs="Arial"/>
          <w:iCs/>
          <w:lang w:eastAsia="en-US"/>
        </w:rPr>
        <w:t>ning</w:t>
      </w:r>
      <w:r w:rsidRPr="009A2EB4">
        <w:rPr>
          <w:rFonts w:cs="Arial"/>
          <w:iCs/>
          <w:lang w:eastAsia="en-US"/>
        </w:rPr>
        <w:t xml:space="preserve"> for migrating services to the NBN. As well as the ACCC’s specific statutory obligations, it also has resources dedicated to:</w:t>
      </w:r>
    </w:p>
    <w:p w14:paraId="2B0F7EAA" w14:textId="65F6BAEA" w:rsidR="0046793D" w:rsidRPr="009A2EB4" w:rsidRDefault="002B5189" w:rsidP="0046793D">
      <w:pPr>
        <w:pStyle w:val="ListBullet"/>
        <w:rPr>
          <w:rFonts w:eastAsia="SimSun"/>
          <w:lang w:eastAsia="en-US"/>
        </w:rPr>
      </w:pPr>
      <w:r>
        <w:rPr>
          <w:rFonts w:eastAsia="SimSun"/>
          <w:lang w:eastAsia="en-US"/>
        </w:rPr>
        <w:t xml:space="preserve">conducting </w:t>
      </w:r>
      <w:r w:rsidR="0046793D" w:rsidRPr="009A2EB4">
        <w:rPr>
          <w:rFonts w:eastAsia="SimSun"/>
          <w:lang w:eastAsia="en-US"/>
        </w:rPr>
        <w:t>market and competition analysis and investigations (especially under Part IV</w:t>
      </w:r>
      <w:r w:rsidR="0046793D">
        <w:rPr>
          <w:rFonts w:eastAsia="SimSun"/>
          <w:lang w:eastAsia="en-US"/>
        </w:rPr>
        <w:t xml:space="preserve"> of the </w:t>
      </w:r>
      <w:r w:rsidR="0046793D" w:rsidRPr="00395A41">
        <w:rPr>
          <w:rFonts w:eastAsia="SimSun"/>
          <w:lang w:eastAsia="en-US"/>
        </w:rPr>
        <w:t>Competition and Consumer Act</w:t>
      </w:r>
      <w:r w:rsidR="0046793D" w:rsidRPr="00AA0DBC">
        <w:rPr>
          <w:rFonts w:eastAsia="SimSun"/>
          <w:lang w:eastAsia="en-US"/>
        </w:rPr>
        <w:t>)</w:t>
      </w:r>
      <w:r w:rsidR="0046793D" w:rsidRPr="009A2EB4">
        <w:rPr>
          <w:rFonts w:eastAsia="SimSun"/>
          <w:lang w:eastAsia="en-US"/>
        </w:rPr>
        <w:t xml:space="preserve"> </w:t>
      </w:r>
      <w:r>
        <w:rPr>
          <w:rFonts w:eastAsia="SimSun"/>
          <w:lang w:eastAsia="en-US"/>
        </w:rPr>
        <w:t>for</w:t>
      </w:r>
      <w:r w:rsidR="0046793D" w:rsidRPr="009A2EB4">
        <w:rPr>
          <w:rFonts w:eastAsia="SimSun"/>
          <w:lang w:eastAsia="en-US"/>
        </w:rPr>
        <w:t xml:space="preserve"> content, media and application services delivered over communications networks</w:t>
      </w:r>
    </w:p>
    <w:p w14:paraId="0C7B16AE" w14:textId="456D7FC5" w:rsidR="0046793D" w:rsidRPr="009A2EB4" w:rsidRDefault="0046793D" w:rsidP="0046793D">
      <w:pPr>
        <w:pStyle w:val="ListBullet"/>
        <w:rPr>
          <w:rFonts w:eastAsia="SimSun"/>
          <w:lang w:eastAsia="en-US"/>
        </w:rPr>
      </w:pPr>
      <w:r w:rsidRPr="005B6A50">
        <w:rPr>
          <w:rFonts w:eastAsia="SimSun"/>
          <w:lang w:eastAsia="en-US"/>
        </w:rPr>
        <w:t>considering engineering issues relevant to its statutory role in the communications sector</w:t>
      </w:r>
    </w:p>
    <w:p w14:paraId="6921B94C" w14:textId="14CB7D77" w:rsidR="0046793D" w:rsidRPr="009A2EB4" w:rsidRDefault="0046793D" w:rsidP="0046793D">
      <w:pPr>
        <w:pStyle w:val="ListBullet"/>
        <w:rPr>
          <w:rFonts w:eastAsia="SimSun"/>
          <w:lang w:eastAsia="en-US"/>
        </w:rPr>
      </w:pPr>
      <w:r w:rsidRPr="009A2EB4">
        <w:rPr>
          <w:rFonts w:eastAsia="SimSun"/>
          <w:lang w:eastAsia="en-US"/>
        </w:rPr>
        <w:t>advising other areas of the ACCC on implications of convergent technologies in the context of mergers, adjudication and enforcement activities</w:t>
      </w:r>
    </w:p>
    <w:p w14:paraId="4DCE7944" w14:textId="18E733FF" w:rsidR="0046793D" w:rsidRDefault="0046793D" w:rsidP="0046793D">
      <w:pPr>
        <w:pStyle w:val="ListBullet"/>
        <w:rPr>
          <w:rFonts w:eastAsia="SimSun"/>
          <w:lang w:eastAsia="en-US"/>
        </w:rPr>
      </w:pPr>
      <w:r w:rsidRPr="009A2EB4">
        <w:rPr>
          <w:rFonts w:eastAsia="SimSun"/>
          <w:lang w:eastAsia="en-US"/>
        </w:rPr>
        <w:t xml:space="preserve">formulating briefing material and submissions to major government reviews, such as inquiries regarding the NBN, Senate </w:t>
      </w:r>
      <w:r w:rsidR="00FB1498">
        <w:rPr>
          <w:rFonts w:eastAsia="SimSun"/>
          <w:lang w:eastAsia="en-US"/>
        </w:rPr>
        <w:t>E</w:t>
      </w:r>
      <w:r w:rsidRPr="009A2EB4">
        <w:rPr>
          <w:rFonts w:eastAsia="SimSun"/>
          <w:lang w:eastAsia="en-US"/>
        </w:rPr>
        <w:t>stimates and other public inquiries</w:t>
      </w:r>
    </w:p>
    <w:p w14:paraId="5CF7A769" w14:textId="4E556BBF" w:rsidR="009C53E0" w:rsidRPr="009C53E0" w:rsidRDefault="009C53E0" w:rsidP="009C53E0">
      <w:pPr>
        <w:pStyle w:val="ListBullet"/>
        <w:rPr>
          <w:rFonts w:eastAsia="SimSun"/>
          <w:lang w:eastAsia="en-US"/>
        </w:rPr>
      </w:pPr>
      <w:r w:rsidRPr="009C53E0">
        <w:rPr>
          <w:rFonts w:eastAsia="SimSun"/>
          <w:lang w:eastAsia="en-US"/>
        </w:rPr>
        <w:t>providing industry guidance where appropriate to improve the operation of markets</w:t>
      </w:r>
    </w:p>
    <w:p w14:paraId="050F0BAF" w14:textId="77777777" w:rsidR="0046793D" w:rsidRDefault="0046793D" w:rsidP="0046793D">
      <w:pPr>
        <w:pStyle w:val="ListBulletLast"/>
        <w:rPr>
          <w:rFonts w:eastAsia="SimSun"/>
          <w:lang w:eastAsia="en-US"/>
        </w:rPr>
      </w:pPr>
      <w:r w:rsidRPr="009A2EB4">
        <w:rPr>
          <w:rFonts w:eastAsia="SimSun"/>
          <w:lang w:eastAsia="en-US"/>
        </w:rPr>
        <w:t>drafting speeches and public presentations for commissioners and senior managers.</w:t>
      </w:r>
    </w:p>
    <w:p w14:paraId="2D3FF438" w14:textId="6C64410A" w:rsidR="0046793D" w:rsidRDefault="0046793D" w:rsidP="0046793D">
      <w:pPr>
        <w:rPr>
          <w:rFonts w:cs="Arial"/>
          <w:szCs w:val="20"/>
          <w:lang w:eastAsia="en-US"/>
        </w:rPr>
      </w:pPr>
      <w:r w:rsidRPr="007E73E2">
        <w:rPr>
          <w:rFonts w:cs="Arial"/>
          <w:szCs w:val="20"/>
          <w:lang w:eastAsia="en-US"/>
        </w:rPr>
        <w:t xml:space="preserve">The key communications outputs </w:t>
      </w:r>
      <w:r w:rsidR="002B5189">
        <w:rPr>
          <w:rFonts w:cs="Arial"/>
          <w:szCs w:val="20"/>
          <w:lang w:eastAsia="en-US"/>
        </w:rPr>
        <w:t>are outlined below.</w:t>
      </w:r>
    </w:p>
    <w:p w14:paraId="474F0C09" w14:textId="723B0E7D" w:rsidR="00B80B82" w:rsidRPr="00B80B82" w:rsidRDefault="00B80B82" w:rsidP="009C4FCC">
      <w:pPr>
        <w:pStyle w:val="BodySubHeader"/>
        <w:spacing w:after="80"/>
        <w:rPr>
          <w:lang w:eastAsia="en-US"/>
        </w:rPr>
      </w:pPr>
      <w:r w:rsidRPr="00B80B82">
        <w:rPr>
          <w:lang w:eastAsia="en-US"/>
        </w:rPr>
        <w:t xml:space="preserve">Communications </w:t>
      </w:r>
      <w:r w:rsidR="009D3691">
        <w:rPr>
          <w:lang w:eastAsia="en-US"/>
        </w:rPr>
        <w:t>m</w:t>
      </w:r>
      <w:r w:rsidRPr="00B80B82">
        <w:rPr>
          <w:lang w:eastAsia="en-US"/>
        </w:rPr>
        <w:t xml:space="preserve">arkets and </w:t>
      </w:r>
      <w:r w:rsidR="009D3691">
        <w:rPr>
          <w:lang w:eastAsia="en-US"/>
        </w:rPr>
        <w:t>a</w:t>
      </w:r>
      <w:r w:rsidRPr="00B80B82">
        <w:rPr>
          <w:lang w:eastAsia="en-US"/>
        </w:rPr>
        <w:t>dvocacy</w:t>
      </w:r>
    </w:p>
    <w:p w14:paraId="3E8D8A3D" w14:textId="1EFACD24" w:rsidR="00B80B82" w:rsidRPr="00B80B82" w:rsidRDefault="00F037E7" w:rsidP="00B80B82">
      <w:pPr>
        <w:pStyle w:val="ListBullet"/>
        <w:rPr>
          <w:rFonts w:eastAsia="SimSun"/>
          <w:lang w:eastAsia="en-US"/>
        </w:rPr>
      </w:pPr>
      <w:r>
        <w:rPr>
          <w:rFonts w:eastAsia="SimSun"/>
          <w:lang w:eastAsia="en-US"/>
        </w:rPr>
        <w:t>C</w:t>
      </w:r>
      <w:r w:rsidR="00B80B82" w:rsidRPr="00B80B82">
        <w:rPr>
          <w:rFonts w:eastAsia="SimSun"/>
          <w:lang w:eastAsia="en-US"/>
        </w:rPr>
        <w:t xml:space="preserve">oncluding the ACCC’s communications market study with the release of a final report in April 2018 containing </w:t>
      </w:r>
      <w:proofErr w:type="gramStart"/>
      <w:r w:rsidR="00B80B82" w:rsidRPr="00B80B82">
        <w:rPr>
          <w:rFonts w:eastAsia="SimSun"/>
          <w:lang w:eastAsia="en-US"/>
        </w:rPr>
        <w:t>a number of</w:t>
      </w:r>
      <w:proofErr w:type="gramEnd"/>
      <w:r w:rsidR="00B80B82" w:rsidRPr="00B80B82">
        <w:rPr>
          <w:rFonts w:eastAsia="SimSun"/>
          <w:lang w:eastAsia="en-US"/>
        </w:rPr>
        <w:t xml:space="preserve"> policy recommendations and actions</w:t>
      </w:r>
      <w:r w:rsidR="004A3561">
        <w:rPr>
          <w:rFonts w:eastAsia="SimSun"/>
          <w:lang w:eastAsia="en-US"/>
        </w:rPr>
        <w:t>.</w:t>
      </w:r>
    </w:p>
    <w:p w14:paraId="56FD1F40" w14:textId="4C870C8E" w:rsidR="00B80B82" w:rsidRPr="00B80B82" w:rsidRDefault="00F238B0" w:rsidP="00B80B82">
      <w:pPr>
        <w:pStyle w:val="ListBullet"/>
        <w:rPr>
          <w:rFonts w:eastAsia="SimSun"/>
          <w:lang w:eastAsia="en-US"/>
        </w:rPr>
      </w:pPr>
      <w:r>
        <w:rPr>
          <w:rFonts w:eastAsia="SimSun"/>
          <w:lang w:eastAsia="en-US"/>
        </w:rPr>
        <w:t>I</w:t>
      </w:r>
      <w:r w:rsidR="00B80B82" w:rsidRPr="00B80B82">
        <w:rPr>
          <w:rFonts w:eastAsia="SimSun"/>
          <w:lang w:eastAsia="en-US"/>
        </w:rPr>
        <w:t xml:space="preserve">ssuing the annual telecommunications report, </w:t>
      </w:r>
      <w:r w:rsidR="00B80B82" w:rsidRPr="00B80B82">
        <w:rPr>
          <w:rFonts w:eastAsia="SimSun"/>
          <w:i/>
          <w:lang w:eastAsia="en-US"/>
        </w:rPr>
        <w:t>Competition and price changes in telecommunications services in Australia 2016</w:t>
      </w:r>
      <w:r w:rsidR="00E74157">
        <w:t>–</w:t>
      </w:r>
      <w:r w:rsidR="00B80B82" w:rsidRPr="00B80B82">
        <w:rPr>
          <w:rFonts w:eastAsia="SimSun"/>
          <w:i/>
          <w:lang w:eastAsia="en-US"/>
        </w:rPr>
        <w:t xml:space="preserve">17 </w:t>
      </w:r>
      <w:r w:rsidR="00B80B82" w:rsidRPr="00B80B82">
        <w:rPr>
          <w:rFonts w:eastAsia="SimSun"/>
          <w:lang w:eastAsia="en-US"/>
        </w:rPr>
        <w:t>(Division 11 report)</w:t>
      </w:r>
      <w:r w:rsidR="004A3561">
        <w:rPr>
          <w:rFonts w:eastAsia="SimSun"/>
          <w:lang w:eastAsia="en-US"/>
        </w:rPr>
        <w:t>.</w:t>
      </w:r>
    </w:p>
    <w:p w14:paraId="47A4B2F7" w14:textId="3ADDAB19" w:rsidR="00B80B82" w:rsidRPr="00B80B82" w:rsidRDefault="00E07A23" w:rsidP="00B80B82">
      <w:pPr>
        <w:pStyle w:val="ListBullet"/>
        <w:rPr>
          <w:rFonts w:eastAsia="SimSun"/>
          <w:lang w:eastAsia="en-US"/>
        </w:rPr>
      </w:pPr>
      <w:r>
        <w:rPr>
          <w:rFonts w:eastAsia="SimSun"/>
          <w:lang w:eastAsia="en-US"/>
        </w:rPr>
        <w:t>I</w:t>
      </w:r>
      <w:r w:rsidR="00B80B82" w:rsidRPr="00B80B82">
        <w:rPr>
          <w:rFonts w:eastAsia="SimSun"/>
          <w:lang w:eastAsia="en-US"/>
        </w:rPr>
        <w:t>mproving marketing practices for broadband services to promote compliance with Australian Consumer Law and encourage more informed communications markets</w:t>
      </w:r>
      <w:r w:rsidR="00451E07">
        <w:rPr>
          <w:rFonts w:eastAsia="SimSun"/>
          <w:lang w:eastAsia="en-US"/>
        </w:rPr>
        <w:t>.</w:t>
      </w:r>
    </w:p>
    <w:p w14:paraId="147289F8" w14:textId="682F79A0" w:rsidR="00B80B82" w:rsidRPr="00B80B82" w:rsidRDefault="008A0447" w:rsidP="00B80B82">
      <w:pPr>
        <w:pStyle w:val="ListBullet"/>
        <w:rPr>
          <w:rFonts w:eastAsia="SimSun"/>
          <w:lang w:eastAsia="en-US"/>
        </w:rPr>
      </w:pPr>
      <w:r>
        <w:rPr>
          <w:rFonts w:eastAsia="SimSun"/>
          <w:lang w:eastAsia="en-US"/>
        </w:rPr>
        <w:t>Ongoing</w:t>
      </w:r>
      <w:r w:rsidRPr="00B80B82">
        <w:rPr>
          <w:rFonts w:eastAsia="SimSun"/>
          <w:lang w:eastAsia="en-US"/>
        </w:rPr>
        <w:t xml:space="preserve"> </w:t>
      </w:r>
      <w:r w:rsidR="00B80B82" w:rsidRPr="00B80B82">
        <w:rPr>
          <w:rFonts w:eastAsia="SimSun"/>
          <w:lang w:eastAsia="en-US"/>
        </w:rPr>
        <w:t>releas</w:t>
      </w:r>
      <w:r>
        <w:rPr>
          <w:rFonts w:eastAsia="SimSun"/>
          <w:lang w:eastAsia="en-US"/>
        </w:rPr>
        <w:t>e of</w:t>
      </w:r>
      <w:r w:rsidR="00B80B82" w:rsidRPr="00B80B82">
        <w:rPr>
          <w:rFonts w:eastAsia="SimSun"/>
          <w:lang w:eastAsia="en-US"/>
        </w:rPr>
        <w:t xml:space="preserve"> quarterly report</w:t>
      </w:r>
      <w:r>
        <w:rPr>
          <w:rFonts w:eastAsia="SimSun"/>
          <w:lang w:eastAsia="en-US"/>
        </w:rPr>
        <w:t>s</w:t>
      </w:r>
      <w:r w:rsidR="00B80B82" w:rsidRPr="00B80B82">
        <w:rPr>
          <w:rFonts w:eastAsia="SimSun"/>
          <w:lang w:eastAsia="en-US"/>
        </w:rPr>
        <w:t xml:space="preserve"> on broadband performance data </w:t>
      </w:r>
      <w:r>
        <w:rPr>
          <w:rFonts w:eastAsia="SimSun"/>
          <w:lang w:eastAsia="en-US"/>
        </w:rPr>
        <w:t>(from</w:t>
      </w:r>
      <w:r w:rsidRPr="00B80B82">
        <w:rPr>
          <w:rFonts w:eastAsia="SimSun"/>
          <w:lang w:eastAsia="en-US"/>
        </w:rPr>
        <w:t xml:space="preserve"> </w:t>
      </w:r>
      <w:r w:rsidR="00B80B82" w:rsidRPr="00B80B82">
        <w:rPr>
          <w:rFonts w:eastAsia="SimSun"/>
          <w:lang w:eastAsia="en-US"/>
        </w:rPr>
        <w:t>March</w:t>
      </w:r>
      <w:r w:rsidR="007A77B1">
        <w:rPr>
          <w:rFonts w:eastAsia="SimSun"/>
          <w:lang w:eastAsia="en-US"/>
        </w:rPr>
        <w:t> </w:t>
      </w:r>
      <w:r w:rsidR="00B80B82" w:rsidRPr="00B80B82">
        <w:rPr>
          <w:rFonts w:eastAsia="SimSun"/>
          <w:lang w:eastAsia="en-US"/>
        </w:rPr>
        <w:t>2018</w:t>
      </w:r>
      <w:r>
        <w:rPr>
          <w:rFonts w:eastAsia="SimSun"/>
          <w:lang w:eastAsia="en-US"/>
        </w:rPr>
        <w:t>)</w:t>
      </w:r>
      <w:r w:rsidR="00B80B82" w:rsidRPr="00B80B82">
        <w:rPr>
          <w:rFonts w:eastAsia="SimSun"/>
          <w:lang w:eastAsia="en-US"/>
        </w:rPr>
        <w:t xml:space="preserve"> under the ACCC’s MBA program</w:t>
      </w:r>
      <w:r w:rsidR="004A3561">
        <w:rPr>
          <w:rFonts w:eastAsia="SimSun"/>
          <w:lang w:eastAsia="en-US"/>
        </w:rPr>
        <w:t>.</w:t>
      </w:r>
    </w:p>
    <w:p w14:paraId="0923B993" w14:textId="1DD5143F" w:rsidR="00B80B82" w:rsidRPr="00B80B82" w:rsidRDefault="00E07A23" w:rsidP="00B80B82">
      <w:pPr>
        <w:pStyle w:val="ListBullet"/>
        <w:rPr>
          <w:rFonts w:eastAsia="SimSun"/>
          <w:lang w:eastAsia="en-US"/>
        </w:rPr>
      </w:pPr>
      <w:r>
        <w:rPr>
          <w:rFonts w:eastAsia="SimSun"/>
          <w:lang w:eastAsia="en-US"/>
        </w:rPr>
        <w:t>I</w:t>
      </w:r>
      <w:r w:rsidR="00B80B82" w:rsidRPr="00B80B82">
        <w:rPr>
          <w:rFonts w:eastAsia="SimSun"/>
          <w:lang w:eastAsia="en-US"/>
        </w:rPr>
        <w:t xml:space="preserve">ssuing a </w:t>
      </w:r>
      <w:r w:rsidR="00AD2563">
        <w:rPr>
          <w:rFonts w:eastAsia="SimSun"/>
          <w:lang w:eastAsia="en-US"/>
        </w:rPr>
        <w:t>r</w:t>
      </w:r>
      <w:r w:rsidR="00B80B82" w:rsidRPr="00B80B82">
        <w:rPr>
          <w:rFonts w:eastAsia="SimSun"/>
          <w:lang w:eastAsia="en-US"/>
        </w:rPr>
        <w:t>ecord</w:t>
      </w:r>
      <w:r w:rsidR="00AD2563">
        <w:rPr>
          <w:rFonts w:eastAsia="SimSun"/>
          <w:lang w:eastAsia="en-US"/>
        </w:rPr>
        <w:t>-k</w:t>
      </w:r>
      <w:r w:rsidR="00B80B82" w:rsidRPr="00B80B82">
        <w:rPr>
          <w:rFonts w:eastAsia="SimSun"/>
          <w:lang w:eastAsia="en-US"/>
        </w:rPr>
        <w:t>eeping rule to assist in the validation and reporting of service information for the MBA program</w:t>
      </w:r>
      <w:r w:rsidR="004A3561">
        <w:rPr>
          <w:rFonts w:eastAsia="SimSun"/>
          <w:lang w:eastAsia="en-US"/>
        </w:rPr>
        <w:t>.</w:t>
      </w:r>
    </w:p>
    <w:p w14:paraId="3A930502" w14:textId="64726D8A" w:rsidR="00B80B82" w:rsidRPr="00B80B82" w:rsidRDefault="00E07A23" w:rsidP="00B80B82">
      <w:pPr>
        <w:pStyle w:val="ListBullet"/>
        <w:rPr>
          <w:rFonts w:eastAsia="SimSun"/>
          <w:lang w:eastAsia="en-US"/>
        </w:rPr>
      </w:pPr>
      <w:r>
        <w:rPr>
          <w:rFonts w:eastAsia="SimSun"/>
          <w:lang w:eastAsia="en-US"/>
        </w:rPr>
        <w:t>P</w:t>
      </w:r>
      <w:r w:rsidR="00B80B82" w:rsidRPr="00B80B82">
        <w:rPr>
          <w:rFonts w:eastAsia="SimSun"/>
          <w:lang w:eastAsia="en-US"/>
        </w:rPr>
        <w:t>roviding advice to other government agencies and departments on request about competition issues arising from restructuring the communications sector towards a wholesale-only access model</w:t>
      </w:r>
      <w:r w:rsidR="004A3561">
        <w:rPr>
          <w:rFonts w:eastAsia="SimSun"/>
          <w:lang w:eastAsia="en-US"/>
        </w:rPr>
        <w:t>.</w:t>
      </w:r>
    </w:p>
    <w:p w14:paraId="3533F7F1" w14:textId="08E56745" w:rsidR="00B80B82" w:rsidRPr="00B80B82" w:rsidRDefault="00E07A23" w:rsidP="00B80B82">
      <w:pPr>
        <w:pStyle w:val="ListBullet"/>
        <w:rPr>
          <w:rFonts w:eastAsia="SimSun"/>
          <w:lang w:eastAsia="en-US"/>
        </w:rPr>
      </w:pPr>
      <w:r>
        <w:rPr>
          <w:rFonts w:eastAsia="SimSun"/>
          <w:lang w:eastAsia="en-US"/>
        </w:rPr>
        <w:t>P</w:t>
      </w:r>
      <w:r w:rsidR="00B80B82" w:rsidRPr="00B80B82">
        <w:rPr>
          <w:rFonts w:eastAsia="SimSun"/>
          <w:lang w:eastAsia="en-US"/>
        </w:rPr>
        <w:t>roviding submissions and advice to</w:t>
      </w:r>
      <w:r w:rsidR="005F64B1" w:rsidRPr="005F64B1">
        <w:t xml:space="preserve"> </w:t>
      </w:r>
      <w:r w:rsidR="005F64B1">
        <w:t>the</w:t>
      </w:r>
      <w:r w:rsidR="00B80B82" w:rsidRPr="00B80B82">
        <w:rPr>
          <w:rFonts w:eastAsia="SimSun"/>
          <w:lang w:eastAsia="en-US"/>
        </w:rPr>
        <w:t xml:space="preserve"> ACMA’s proposed measures to improve consumer experience in migration to and using the NBN</w:t>
      </w:r>
      <w:r w:rsidR="004A3561">
        <w:rPr>
          <w:rFonts w:eastAsia="SimSun"/>
          <w:lang w:eastAsia="en-US"/>
        </w:rPr>
        <w:t>.</w:t>
      </w:r>
    </w:p>
    <w:p w14:paraId="25BBA6B4" w14:textId="1508213E" w:rsidR="00B80B82" w:rsidRPr="00B80B82" w:rsidRDefault="00E07A23" w:rsidP="00B80B82">
      <w:pPr>
        <w:pStyle w:val="ListBullet"/>
        <w:rPr>
          <w:rFonts w:eastAsia="SimSun"/>
          <w:lang w:eastAsia="en-US"/>
        </w:rPr>
      </w:pPr>
      <w:r>
        <w:rPr>
          <w:rFonts w:eastAsia="SimSun"/>
          <w:lang w:eastAsia="en-US"/>
        </w:rPr>
        <w:t>U</w:t>
      </w:r>
      <w:r w:rsidR="00B80B82" w:rsidRPr="00B80B82">
        <w:rPr>
          <w:rFonts w:eastAsia="SimSun"/>
          <w:lang w:eastAsia="en-US"/>
        </w:rPr>
        <w:t>ndertaking compliance and enforcement activities regarding the Competition and Consumer Act</w:t>
      </w:r>
      <w:r w:rsidR="00B80B82" w:rsidRPr="00B80B82">
        <w:rPr>
          <w:rFonts w:eastAsia="SimSun"/>
          <w:i/>
          <w:lang w:eastAsia="en-US"/>
        </w:rPr>
        <w:t xml:space="preserve"> </w:t>
      </w:r>
      <w:r w:rsidR="00B80B82" w:rsidRPr="00B80B82">
        <w:rPr>
          <w:rFonts w:eastAsia="SimSun"/>
          <w:lang w:eastAsia="en-US"/>
        </w:rPr>
        <w:t>and wholesale telecommunications markets (Part IV, Part XIB, NBN SAU and Telstra SSU), which included instituting Federal Court proceedings regarding misleading representations Optus made to its customers in connection with migrating customers from its HFC network to the NBN.</w:t>
      </w:r>
    </w:p>
    <w:p w14:paraId="2AF70C2D" w14:textId="58158554" w:rsidR="00B80B82" w:rsidRPr="00B80B82" w:rsidRDefault="00E07A23" w:rsidP="00B80B82">
      <w:pPr>
        <w:pStyle w:val="ListBullet"/>
        <w:spacing w:after="240"/>
        <w:rPr>
          <w:rFonts w:eastAsia="SimSun"/>
          <w:lang w:eastAsia="en-US"/>
        </w:rPr>
      </w:pPr>
      <w:r>
        <w:rPr>
          <w:rFonts w:eastAsia="SimSun"/>
          <w:lang w:eastAsia="en-US"/>
        </w:rPr>
        <w:t>P</w:t>
      </w:r>
      <w:r w:rsidR="00B80B82" w:rsidRPr="00B80B82">
        <w:rPr>
          <w:rFonts w:eastAsia="SimSun"/>
          <w:lang w:eastAsia="en-US"/>
        </w:rPr>
        <w:t xml:space="preserve">articipating in </w:t>
      </w:r>
      <w:proofErr w:type="gramStart"/>
      <w:r w:rsidR="00B80B82" w:rsidRPr="00B80B82">
        <w:rPr>
          <w:rFonts w:eastAsia="SimSun"/>
          <w:lang w:eastAsia="en-US"/>
        </w:rPr>
        <w:t>a number of</w:t>
      </w:r>
      <w:proofErr w:type="gramEnd"/>
      <w:r w:rsidR="00B80B82" w:rsidRPr="00B80B82">
        <w:rPr>
          <w:rFonts w:eastAsia="SimSun"/>
          <w:lang w:eastAsia="en-US"/>
        </w:rPr>
        <w:t xml:space="preserve"> industry-led working groups and forums with important implications for competition and consumer outcomes.</w:t>
      </w:r>
    </w:p>
    <w:p w14:paraId="41788971" w14:textId="74738B04" w:rsidR="00B80B82" w:rsidRPr="00DE097F" w:rsidRDefault="00B80B82" w:rsidP="00DE097F">
      <w:pPr>
        <w:pStyle w:val="BodySubHeader"/>
        <w:spacing w:after="80"/>
        <w:rPr>
          <w:lang w:eastAsia="en-US"/>
        </w:rPr>
      </w:pPr>
      <w:r w:rsidRPr="00DE097F">
        <w:rPr>
          <w:lang w:eastAsia="en-US"/>
        </w:rPr>
        <w:t>Mobiles, transmission and consumer (including NBN)</w:t>
      </w:r>
    </w:p>
    <w:p w14:paraId="483D9708" w14:textId="329526B5" w:rsidR="00B80B82" w:rsidRPr="00B80B82" w:rsidRDefault="00F238B0" w:rsidP="00B02D11">
      <w:pPr>
        <w:pStyle w:val="ListBullet"/>
        <w:spacing w:after="240"/>
        <w:rPr>
          <w:rFonts w:eastAsia="SimSun"/>
          <w:lang w:eastAsia="en-US"/>
        </w:rPr>
      </w:pPr>
      <w:r>
        <w:rPr>
          <w:rFonts w:eastAsia="SimSun"/>
          <w:lang w:eastAsia="en-US"/>
        </w:rPr>
        <w:t>M</w:t>
      </w:r>
      <w:r w:rsidR="00B80B82" w:rsidRPr="00B80B82">
        <w:rPr>
          <w:rFonts w:eastAsia="SimSun"/>
          <w:lang w:eastAsia="en-US"/>
        </w:rPr>
        <w:t>onitoring NBN Co’s compliance and performing other functions under NBN Co’s SAU (given by NBN Co and accepted by the ACCC in late 2013), which sets out price and non-price terms of access to the NBN</w:t>
      </w:r>
      <w:r w:rsidR="004A3561">
        <w:rPr>
          <w:rFonts w:eastAsia="SimSun"/>
          <w:lang w:eastAsia="en-US"/>
        </w:rPr>
        <w:t>.</w:t>
      </w:r>
    </w:p>
    <w:p w14:paraId="7DD7E5B8" w14:textId="003F9B0C" w:rsidR="00B80B82" w:rsidRPr="00B80B82" w:rsidRDefault="00E07A23" w:rsidP="00B80B82">
      <w:pPr>
        <w:pStyle w:val="ListBullet"/>
        <w:rPr>
          <w:rFonts w:eastAsia="SimSun"/>
          <w:lang w:eastAsia="en-US"/>
        </w:rPr>
      </w:pPr>
      <w:r>
        <w:rPr>
          <w:rFonts w:eastAsia="SimSun"/>
          <w:lang w:eastAsia="en-US"/>
        </w:rPr>
        <w:t>A</w:t>
      </w:r>
      <w:r w:rsidR="00B80B82" w:rsidRPr="00B80B82">
        <w:rPr>
          <w:rFonts w:eastAsia="SimSun"/>
          <w:lang w:eastAsia="en-US"/>
        </w:rPr>
        <w:t>ssessing a variation proposed by NBN Co to the SAU accepted by the ACCC in 2013 and issuing a draft decision</w:t>
      </w:r>
      <w:r w:rsidR="004A3561">
        <w:rPr>
          <w:rFonts w:eastAsia="SimSun"/>
          <w:lang w:eastAsia="en-US"/>
        </w:rPr>
        <w:t>.</w:t>
      </w:r>
    </w:p>
    <w:p w14:paraId="5E94BF8C" w14:textId="61128BC7" w:rsidR="00B80B82" w:rsidRPr="00B80B82" w:rsidRDefault="00E07A23" w:rsidP="00B80B82">
      <w:pPr>
        <w:pStyle w:val="ListBullet"/>
        <w:rPr>
          <w:rFonts w:eastAsia="SimSun"/>
          <w:lang w:eastAsia="en-US"/>
        </w:rPr>
      </w:pPr>
      <w:r>
        <w:rPr>
          <w:rFonts w:eastAsia="SimSun"/>
          <w:lang w:eastAsia="en-US"/>
        </w:rPr>
        <w:lastRenderedPageBreak/>
        <w:t>C</w:t>
      </w:r>
      <w:r w:rsidR="00B80B82" w:rsidRPr="00B80B82">
        <w:rPr>
          <w:rFonts w:eastAsia="SimSun"/>
          <w:lang w:eastAsia="en-US"/>
        </w:rPr>
        <w:t>ommencing an inquiry into the continued declaration of domestic transmission capacity services</w:t>
      </w:r>
      <w:r w:rsidR="004A3561">
        <w:rPr>
          <w:rFonts w:eastAsia="SimSun"/>
          <w:lang w:eastAsia="en-US"/>
        </w:rPr>
        <w:t>.</w:t>
      </w:r>
    </w:p>
    <w:p w14:paraId="0B8559DF" w14:textId="12767EC5" w:rsidR="00B80B82" w:rsidRPr="00B80B82" w:rsidRDefault="00E07A23" w:rsidP="00B80B82">
      <w:pPr>
        <w:pStyle w:val="ListBullet"/>
        <w:rPr>
          <w:rFonts w:eastAsia="SimSun"/>
          <w:lang w:eastAsia="en-US"/>
        </w:rPr>
      </w:pPr>
      <w:r>
        <w:rPr>
          <w:rFonts w:eastAsia="SimSun"/>
          <w:lang w:eastAsia="en-US"/>
        </w:rPr>
        <w:t>I</w:t>
      </w:r>
      <w:r w:rsidR="00B80B82" w:rsidRPr="00B80B82">
        <w:rPr>
          <w:rFonts w:eastAsia="SimSun"/>
          <w:lang w:eastAsia="en-US"/>
        </w:rPr>
        <w:t>ssuing final determinations on the NBN Co SAU annual revenue determination (Long Term Revenue Constraint Methodology determination) for 2017</w:t>
      </w:r>
      <w:r w:rsidR="00E74157">
        <w:t>–</w:t>
      </w:r>
      <w:r w:rsidR="00B80B82" w:rsidRPr="00B80B82">
        <w:rPr>
          <w:rFonts w:eastAsia="SimSun"/>
          <w:lang w:eastAsia="en-US"/>
        </w:rPr>
        <w:t>18</w:t>
      </w:r>
      <w:r w:rsidR="004A3561">
        <w:rPr>
          <w:rFonts w:eastAsia="SimSun"/>
          <w:lang w:eastAsia="en-US"/>
        </w:rPr>
        <w:t>.</w:t>
      </w:r>
    </w:p>
    <w:p w14:paraId="15D564BB" w14:textId="54C6A36A" w:rsidR="00B80B82" w:rsidRPr="00B80B82" w:rsidRDefault="00E07A23" w:rsidP="00B80B82">
      <w:pPr>
        <w:pStyle w:val="ListBullet"/>
        <w:rPr>
          <w:rFonts w:eastAsia="SimSun"/>
          <w:lang w:eastAsia="en-US"/>
        </w:rPr>
      </w:pPr>
      <w:r>
        <w:rPr>
          <w:rFonts w:eastAsia="SimSun"/>
          <w:lang w:eastAsia="en-US"/>
        </w:rPr>
        <w:t>U</w:t>
      </w:r>
      <w:r w:rsidR="00B80B82" w:rsidRPr="00B80B82">
        <w:rPr>
          <w:rFonts w:eastAsia="SimSun"/>
          <w:lang w:eastAsia="en-US"/>
        </w:rPr>
        <w:t>ndertaking NBN pricing and SAU financial/pricing compliance</w:t>
      </w:r>
      <w:r w:rsidR="004A3561">
        <w:rPr>
          <w:rFonts w:eastAsia="SimSun"/>
          <w:lang w:eastAsia="en-US"/>
        </w:rPr>
        <w:t>.</w:t>
      </w:r>
    </w:p>
    <w:p w14:paraId="36860D8F" w14:textId="66EA02C9" w:rsidR="00B80B82" w:rsidRPr="00B80B82" w:rsidRDefault="00AD2563" w:rsidP="00B80B82">
      <w:pPr>
        <w:pStyle w:val="ListBullet"/>
        <w:rPr>
          <w:rFonts w:eastAsia="SimSun"/>
          <w:lang w:eastAsia="en-US"/>
        </w:rPr>
      </w:pPr>
      <w:r>
        <w:rPr>
          <w:rFonts w:eastAsia="SimSun"/>
          <w:lang w:eastAsia="en-US"/>
        </w:rPr>
        <w:t>E</w:t>
      </w:r>
      <w:r w:rsidR="00B80B82" w:rsidRPr="00B80B82">
        <w:rPr>
          <w:rFonts w:eastAsia="SimSun"/>
          <w:lang w:eastAsia="en-US"/>
        </w:rPr>
        <w:t>xamining NBN wholesale service standards and considering whether regulatory intervention would be required to improve customer experience</w:t>
      </w:r>
      <w:r w:rsidR="004A3561">
        <w:rPr>
          <w:rFonts w:eastAsia="SimSun"/>
          <w:lang w:eastAsia="en-US"/>
        </w:rPr>
        <w:t>.</w:t>
      </w:r>
    </w:p>
    <w:p w14:paraId="4FC3068F" w14:textId="0AA2DBD0" w:rsidR="00B80B82" w:rsidRPr="00B80B82" w:rsidRDefault="00E07A23" w:rsidP="00B80B82">
      <w:pPr>
        <w:pStyle w:val="ListBullet"/>
        <w:rPr>
          <w:rFonts w:eastAsia="SimSun"/>
          <w:lang w:eastAsia="en-US"/>
        </w:rPr>
      </w:pPr>
      <w:r>
        <w:rPr>
          <w:rFonts w:eastAsia="SimSun"/>
          <w:lang w:eastAsia="en-US"/>
        </w:rPr>
        <w:t>P</w:t>
      </w:r>
      <w:r w:rsidR="00B80B82" w:rsidRPr="00B80B82">
        <w:rPr>
          <w:rFonts w:eastAsia="SimSun"/>
          <w:lang w:eastAsia="en-US"/>
        </w:rPr>
        <w:t>roviding advice to other areas on matters such as mergers or authorisation applications relating to transmission markets and compliance and consumer matters relating to NBN</w:t>
      </w:r>
      <w:r w:rsidR="004A3561">
        <w:rPr>
          <w:rFonts w:eastAsia="SimSun"/>
          <w:lang w:eastAsia="en-US"/>
        </w:rPr>
        <w:t>.</w:t>
      </w:r>
    </w:p>
    <w:p w14:paraId="07DF6D1A" w14:textId="757A8043" w:rsidR="00B80B82" w:rsidRPr="00B80B82" w:rsidRDefault="00E07A23" w:rsidP="00B80B82">
      <w:pPr>
        <w:pStyle w:val="ListBullet"/>
        <w:rPr>
          <w:rFonts w:eastAsia="SimSun"/>
          <w:lang w:eastAsia="en-US"/>
        </w:rPr>
      </w:pPr>
      <w:r>
        <w:rPr>
          <w:rFonts w:eastAsia="SimSun"/>
          <w:lang w:eastAsia="en-US"/>
        </w:rPr>
        <w:t>F</w:t>
      </w:r>
      <w:r w:rsidR="00B80B82" w:rsidRPr="00B80B82">
        <w:rPr>
          <w:rFonts w:eastAsia="SimSun"/>
          <w:lang w:eastAsia="en-US"/>
        </w:rPr>
        <w:t>inalising an inquiry deciding not to declare a domestic mobile roaming access service and instead identifying measures to improve regional mobile coverage in consultation with stakeholders</w:t>
      </w:r>
      <w:r w:rsidR="00451E07">
        <w:rPr>
          <w:rFonts w:eastAsia="SimSun"/>
          <w:lang w:eastAsia="en-US"/>
        </w:rPr>
        <w:t>.</w:t>
      </w:r>
    </w:p>
    <w:p w14:paraId="2169270F" w14:textId="0A0FBAAA" w:rsidR="00B80B82" w:rsidRPr="00B80B82" w:rsidRDefault="00E07A23" w:rsidP="00B80B82">
      <w:pPr>
        <w:pStyle w:val="ListBullet"/>
        <w:rPr>
          <w:rFonts w:eastAsia="SimSun"/>
          <w:lang w:eastAsia="en-US"/>
        </w:rPr>
      </w:pPr>
      <w:r>
        <w:rPr>
          <w:rFonts w:eastAsia="SimSun"/>
          <w:lang w:eastAsia="en-US"/>
        </w:rPr>
        <w:t>R</w:t>
      </w:r>
      <w:r w:rsidR="00B80B82" w:rsidRPr="00B80B82">
        <w:rPr>
          <w:rFonts w:eastAsia="SimSun"/>
          <w:lang w:eastAsia="en-US"/>
        </w:rPr>
        <w:t>epresenting the ACCC on the TCP Code review</w:t>
      </w:r>
      <w:r w:rsidR="004A3561">
        <w:rPr>
          <w:rFonts w:eastAsia="SimSun"/>
          <w:lang w:eastAsia="en-US"/>
        </w:rPr>
        <w:t>.</w:t>
      </w:r>
    </w:p>
    <w:p w14:paraId="5A0C2F28" w14:textId="4E42DA73" w:rsidR="00B80B82" w:rsidRPr="00B80B82" w:rsidRDefault="00E07A23" w:rsidP="00B80B82">
      <w:pPr>
        <w:pStyle w:val="ListBullet"/>
        <w:rPr>
          <w:rFonts w:eastAsia="SimSun"/>
          <w:lang w:eastAsia="en-US"/>
        </w:rPr>
      </w:pPr>
      <w:r>
        <w:rPr>
          <w:rFonts w:eastAsia="SimSun"/>
          <w:lang w:eastAsia="en-US"/>
        </w:rPr>
        <w:t>P</w:t>
      </w:r>
      <w:r w:rsidR="00B80B82" w:rsidRPr="00B80B82">
        <w:rPr>
          <w:rFonts w:eastAsia="SimSun"/>
          <w:lang w:eastAsia="en-US"/>
        </w:rPr>
        <w:t>roviding advice to ministers, other government agencies and departments on request (</w:t>
      </w:r>
      <w:r w:rsidR="003B1F20">
        <w:rPr>
          <w:rFonts w:eastAsia="SimSun"/>
          <w:lang w:eastAsia="en-US"/>
        </w:rPr>
        <w:t xml:space="preserve">examples include advice </w:t>
      </w:r>
      <w:r w:rsidR="00B80B82" w:rsidRPr="00B80B82">
        <w:rPr>
          <w:rFonts w:eastAsia="SimSun"/>
          <w:lang w:eastAsia="en-US"/>
        </w:rPr>
        <w:t>on NBN non-commercial funding options, transmission and aggregation markets, and market developments) including on spectrum allocation limits</w:t>
      </w:r>
      <w:r w:rsidR="004A3561">
        <w:rPr>
          <w:rFonts w:eastAsia="SimSun"/>
          <w:lang w:eastAsia="en-US"/>
        </w:rPr>
        <w:t>.</w:t>
      </w:r>
    </w:p>
    <w:p w14:paraId="207A0107" w14:textId="660C3C58" w:rsidR="00B80B82" w:rsidRPr="00B80B82" w:rsidRDefault="00E07A23" w:rsidP="00B80B82">
      <w:pPr>
        <w:pStyle w:val="ListBullet"/>
        <w:rPr>
          <w:rFonts w:eastAsia="SimSun"/>
          <w:lang w:eastAsia="en-US"/>
        </w:rPr>
      </w:pPr>
      <w:r>
        <w:rPr>
          <w:rFonts w:eastAsia="SimSun"/>
          <w:lang w:eastAsia="en-US"/>
        </w:rPr>
        <w:t>M</w:t>
      </w:r>
      <w:r w:rsidR="00B80B82" w:rsidRPr="00B80B82">
        <w:rPr>
          <w:rFonts w:eastAsia="SimSun"/>
          <w:lang w:eastAsia="en-US"/>
        </w:rPr>
        <w:t>aintaining and collecting data through the Infrastructure and Exchange Facilities Record Keeping Rules</w:t>
      </w:r>
      <w:r w:rsidR="004A3561">
        <w:rPr>
          <w:rFonts w:eastAsia="SimSun"/>
          <w:lang w:eastAsia="en-US"/>
        </w:rPr>
        <w:t>.</w:t>
      </w:r>
    </w:p>
    <w:p w14:paraId="038627D0" w14:textId="3E8A849A" w:rsidR="00B80B82" w:rsidRPr="00B80B82" w:rsidRDefault="00E07A23" w:rsidP="00B80B82">
      <w:pPr>
        <w:pStyle w:val="ListBullet"/>
        <w:rPr>
          <w:rFonts w:eastAsia="SimSun"/>
          <w:lang w:eastAsia="en-US"/>
        </w:rPr>
      </w:pPr>
      <w:r>
        <w:rPr>
          <w:rFonts w:eastAsia="SimSun"/>
          <w:lang w:eastAsia="en-US"/>
        </w:rPr>
        <w:t>R</w:t>
      </w:r>
      <w:r w:rsidR="00B80B82" w:rsidRPr="00B80B82">
        <w:rPr>
          <w:rFonts w:eastAsia="SimSun"/>
          <w:lang w:eastAsia="en-US"/>
        </w:rPr>
        <w:t xml:space="preserve">eviewing the NBN </w:t>
      </w:r>
      <w:bookmarkStart w:id="81" w:name="_Hlk10713290"/>
      <w:r w:rsidR="00B80B82" w:rsidRPr="00B80B82">
        <w:rPr>
          <w:rFonts w:eastAsia="SimSun"/>
          <w:lang w:eastAsia="en-US"/>
        </w:rPr>
        <w:t>S</w:t>
      </w:r>
      <w:r w:rsidR="00DF204A">
        <w:rPr>
          <w:rFonts w:eastAsia="SimSun"/>
          <w:lang w:eastAsia="en-US"/>
        </w:rPr>
        <w:t xml:space="preserve">ervices in </w:t>
      </w:r>
      <w:r w:rsidR="00B80B82" w:rsidRPr="00B80B82">
        <w:rPr>
          <w:rFonts w:eastAsia="SimSun"/>
          <w:lang w:eastAsia="en-US"/>
        </w:rPr>
        <w:t>O</w:t>
      </w:r>
      <w:r w:rsidR="00DF204A">
        <w:rPr>
          <w:rFonts w:eastAsia="SimSun"/>
          <w:lang w:eastAsia="en-US"/>
        </w:rPr>
        <w:t xml:space="preserve">peration </w:t>
      </w:r>
      <w:bookmarkEnd w:id="81"/>
      <w:r w:rsidR="00DF204A">
        <w:rPr>
          <w:rFonts w:eastAsia="SimSun"/>
          <w:lang w:eastAsia="en-US"/>
        </w:rPr>
        <w:t>(SIO)</w:t>
      </w:r>
      <w:r w:rsidR="00B80B82" w:rsidRPr="00B80B82">
        <w:rPr>
          <w:rFonts w:eastAsia="SimSun"/>
          <w:lang w:eastAsia="en-US"/>
        </w:rPr>
        <w:t xml:space="preserve"> Record Keeping Rules and publishing relevant extracts in quarterly reports on NBN wholesale market indicators</w:t>
      </w:r>
      <w:r w:rsidR="004A3561">
        <w:rPr>
          <w:rFonts w:eastAsia="SimSun"/>
          <w:lang w:eastAsia="en-US"/>
        </w:rPr>
        <w:t>.</w:t>
      </w:r>
    </w:p>
    <w:p w14:paraId="4CB207DD" w14:textId="2684AEBA" w:rsidR="00B80B82" w:rsidRPr="00B80B82" w:rsidRDefault="00E07A23" w:rsidP="00B80B82">
      <w:pPr>
        <w:pStyle w:val="ListBullet"/>
        <w:rPr>
          <w:rFonts w:eastAsia="SimSun"/>
          <w:lang w:eastAsia="en-US"/>
        </w:rPr>
      </w:pPr>
      <w:r>
        <w:rPr>
          <w:rFonts w:eastAsia="SimSun"/>
          <w:lang w:eastAsia="en-US"/>
        </w:rPr>
        <w:t>C</w:t>
      </w:r>
      <w:r w:rsidR="00B80B82" w:rsidRPr="00B80B82">
        <w:rPr>
          <w:rFonts w:eastAsia="SimSun"/>
          <w:lang w:eastAsia="en-US"/>
        </w:rPr>
        <w:t>onsulting and engaging with industry on a range of regulatory matters, including telecommunications consumer issues, numbering, consumer issues about NBN migration, and mobiles and transmission markets</w:t>
      </w:r>
      <w:r w:rsidR="00B80B82" w:rsidRPr="00B80B82">
        <w:t xml:space="preserve"> </w:t>
      </w:r>
      <w:r w:rsidR="00B80B82" w:rsidRPr="00B80B82">
        <w:rPr>
          <w:rFonts w:eastAsia="SimSun"/>
          <w:lang w:eastAsia="en-US"/>
        </w:rPr>
        <w:t>with special attention to regional and rural areas of Australia.</w:t>
      </w:r>
    </w:p>
    <w:p w14:paraId="65083A90" w14:textId="77777777" w:rsidR="00B80B82" w:rsidRPr="00B80B82" w:rsidRDefault="00B80B82" w:rsidP="009C4FCC">
      <w:pPr>
        <w:pStyle w:val="BodySubHeader"/>
        <w:spacing w:after="80"/>
        <w:rPr>
          <w:lang w:eastAsia="en-US"/>
        </w:rPr>
      </w:pPr>
      <w:r w:rsidRPr="00B80B82">
        <w:rPr>
          <w:lang w:eastAsia="en-US"/>
        </w:rPr>
        <w:t>Wireline markets</w:t>
      </w:r>
    </w:p>
    <w:p w14:paraId="07BB99EE" w14:textId="7F93AC44" w:rsidR="00B80B82" w:rsidRPr="00B80B82" w:rsidRDefault="00F238B0" w:rsidP="00B80B82">
      <w:pPr>
        <w:pStyle w:val="ListBullet"/>
        <w:rPr>
          <w:rFonts w:eastAsia="SimSun"/>
          <w:lang w:eastAsia="en-US"/>
        </w:rPr>
      </w:pPr>
      <w:r>
        <w:rPr>
          <w:rFonts w:eastAsia="SimSun"/>
          <w:lang w:eastAsia="en-US"/>
        </w:rPr>
        <w:t>R</w:t>
      </w:r>
      <w:r w:rsidR="00B80B82" w:rsidRPr="00B80B82">
        <w:rPr>
          <w:rFonts w:eastAsia="SimSun"/>
          <w:lang w:eastAsia="en-US"/>
        </w:rPr>
        <w:t xml:space="preserve">eporting annually to the </w:t>
      </w:r>
      <w:r w:rsidR="00832602">
        <w:rPr>
          <w:rFonts w:eastAsia="SimSun"/>
          <w:lang w:eastAsia="en-US"/>
        </w:rPr>
        <w:t xml:space="preserve">Minister </w:t>
      </w:r>
      <w:r w:rsidR="00B80B82" w:rsidRPr="00B80B82">
        <w:rPr>
          <w:rFonts w:eastAsia="SimSun"/>
          <w:lang w:eastAsia="en-US"/>
        </w:rPr>
        <w:t>on Telstra’s compliance with its SSU, while</w:t>
      </w:r>
      <w:r w:rsidR="00B80B82" w:rsidRPr="00B80B82">
        <w:rPr>
          <w:rFonts w:eastAsia="SimSun"/>
          <w:i/>
          <w:iCs/>
          <w:lang w:eastAsia="en-US"/>
        </w:rPr>
        <w:t xml:space="preserve"> </w:t>
      </w:r>
      <w:r w:rsidR="00B80B82" w:rsidRPr="00B80B82">
        <w:rPr>
          <w:rFonts w:eastAsia="SimSun"/>
          <w:lang w:eastAsia="en-US"/>
        </w:rPr>
        <w:t>continuing to monitor Telstra’s compliance with the SSU for 2017</w:t>
      </w:r>
      <w:r w:rsidR="00E74157">
        <w:t>–</w:t>
      </w:r>
      <w:r w:rsidR="00B80B82" w:rsidRPr="00B80B82">
        <w:rPr>
          <w:rFonts w:eastAsia="SimSun"/>
          <w:lang w:eastAsia="en-US"/>
        </w:rPr>
        <w:t xml:space="preserve">18. </w:t>
      </w:r>
    </w:p>
    <w:p w14:paraId="430CFD5A" w14:textId="06F878F5" w:rsidR="00B80B82" w:rsidRPr="00B80B82" w:rsidRDefault="00E07A23" w:rsidP="00B80B82">
      <w:pPr>
        <w:pStyle w:val="ListBullet"/>
        <w:rPr>
          <w:rFonts w:eastAsia="SimSun"/>
          <w:lang w:eastAsia="en-US"/>
        </w:rPr>
      </w:pPr>
      <w:r>
        <w:rPr>
          <w:rFonts w:eastAsia="SimSun"/>
          <w:lang w:eastAsia="en-US"/>
        </w:rPr>
        <w:t>I</w:t>
      </w:r>
      <w:r w:rsidR="00B80B82" w:rsidRPr="00B80B82">
        <w:rPr>
          <w:rFonts w:eastAsia="SimSun"/>
          <w:lang w:eastAsia="en-US"/>
        </w:rPr>
        <w:t xml:space="preserve">ssuing the annual telecommunications report, </w:t>
      </w:r>
      <w:r w:rsidR="00B80B82" w:rsidRPr="00B80B82">
        <w:rPr>
          <w:rFonts w:eastAsia="SimSun"/>
          <w:i/>
          <w:lang w:eastAsia="en-US"/>
        </w:rPr>
        <w:t>Competition and price changes in telecommunications services in Australia 2016</w:t>
      </w:r>
      <w:r w:rsidR="00E74157">
        <w:t>–</w:t>
      </w:r>
      <w:r w:rsidR="00B80B82" w:rsidRPr="00B80B82">
        <w:rPr>
          <w:rFonts w:eastAsia="SimSun"/>
          <w:i/>
          <w:lang w:eastAsia="en-US"/>
        </w:rPr>
        <w:t xml:space="preserve">17 </w:t>
      </w:r>
      <w:r w:rsidR="00B80B82" w:rsidRPr="00B80B82">
        <w:rPr>
          <w:rFonts w:eastAsia="SimSun"/>
          <w:lang w:eastAsia="en-US"/>
        </w:rPr>
        <w:t>(Division 12 report)</w:t>
      </w:r>
      <w:r w:rsidR="004A3561">
        <w:rPr>
          <w:rFonts w:eastAsia="SimSun"/>
          <w:lang w:eastAsia="en-US"/>
        </w:rPr>
        <w:t>.</w:t>
      </w:r>
    </w:p>
    <w:p w14:paraId="646040E2" w14:textId="7F7180D5" w:rsidR="00B80B82" w:rsidRPr="00B80B82" w:rsidRDefault="00E07A23" w:rsidP="00B80B82">
      <w:pPr>
        <w:pStyle w:val="ListBullet"/>
        <w:spacing w:after="120"/>
        <w:rPr>
          <w:rFonts w:eastAsia="SimSun"/>
          <w:lang w:eastAsia="en-US"/>
        </w:rPr>
      </w:pPr>
      <w:r>
        <w:rPr>
          <w:rFonts w:eastAsia="SimSun"/>
          <w:lang w:eastAsia="en-US"/>
        </w:rPr>
        <w:t>C</w:t>
      </w:r>
      <w:r w:rsidR="00B80B82" w:rsidRPr="00B80B82">
        <w:rPr>
          <w:rFonts w:eastAsia="SimSun"/>
          <w:lang w:eastAsia="en-US"/>
        </w:rPr>
        <w:t>onsulting and engaging with industry on a range of regulatory matters, including variations and additions to the Telstra Migration Plan</w:t>
      </w:r>
      <w:r w:rsidR="004A3561">
        <w:rPr>
          <w:rFonts w:eastAsia="SimSun"/>
          <w:lang w:eastAsia="en-US"/>
        </w:rPr>
        <w:t>.</w:t>
      </w:r>
    </w:p>
    <w:p w14:paraId="5BA5FA1D" w14:textId="7FC35295" w:rsidR="00B80B82" w:rsidRPr="00B80B82" w:rsidRDefault="00E07A23" w:rsidP="00B80B82">
      <w:pPr>
        <w:pStyle w:val="ListBullet"/>
        <w:rPr>
          <w:rFonts w:eastAsia="SimSun"/>
          <w:lang w:eastAsia="en-US"/>
        </w:rPr>
      </w:pPr>
      <w:r>
        <w:rPr>
          <w:rFonts w:eastAsia="SimSun"/>
          <w:lang w:eastAsia="en-US"/>
        </w:rPr>
        <w:t>R</w:t>
      </w:r>
      <w:r w:rsidR="00B80B82" w:rsidRPr="00B80B82">
        <w:rPr>
          <w:rFonts w:eastAsia="SimSun"/>
          <w:lang w:eastAsia="en-US"/>
        </w:rPr>
        <w:t>eviewing the Division 12 Record Keeping Rules and methodology for determining changes in prices paid for telecommunications services</w:t>
      </w:r>
      <w:r w:rsidR="004A3561">
        <w:rPr>
          <w:rFonts w:eastAsia="SimSun"/>
          <w:lang w:eastAsia="en-US"/>
        </w:rPr>
        <w:t>.</w:t>
      </w:r>
    </w:p>
    <w:p w14:paraId="0979067A" w14:textId="64BFF1E8" w:rsidR="00B80B82" w:rsidRPr="00B80B82" w:rsidRDefault="00E07A23" w:rsidP="00B80B82">
      <w:pPr>
        <w:pStyle w:val="ListBullet"/>
        <w:rPr>
          <w:rFonts w:eastAsia="SimSun"/>
          <w:lang w:eastAsia="en-US"/>
        </w:rPr>
      </w:pPr>
      <w:r>
        <w:rPr>
          <w:rFonts w:eastAsia="SimSun"/>
          <w:lang w:eastAsia="en-US"/>
        </w:rPr>
        <w:t>P</w:t>
      </w:r>
      <w:r w:rsidR="00B80B82" w:rsidRPr="00B80B82">
        <w:rPr>
          <w:rFonts w:eastAsia="SimSun"/>
          <w:lang w:eastAsia="en-US"/>
        </w:rPr>
        <w:t>roviding advice to other government agencies and departments on request</w:t>
      </w:r>
      <w:r w:rsidR="004A3561">
        <w:rPr>
          <w:rFonts w:eastAsia="SimSun"/>
          <w:lang w:eastAsia="en-US"/>
        </w:rPr>
        <w:t>.</w:t>
      </w:r>
    </w:p>
    <w:p w14:paraId="51677130" w14:textId="283C1E5F" w:rsidR="00B80B82" w:rsidRPr="00B80B82" w:rsidRDefault="00E07A23" w:rsidP="00B80B82">
      <w:pPr>
        <w:pStyle w:val="ListBulletLast"/>
        <w:rPr>
          <w:b/>
          <w:szCs w:val="20"/>
          <w:lang w:eastAsia="en-US"/>
        </w:rPr>
      </w:pPr>
      <w:r>
        <w:rPr>
          <w:rFonts w:eastAsia="SimSun"/>
          <w:lang w:eastAsia="en-US"/>
        </w:rPr>
        <w:t>A</w:t>
      </w:r>
      <w:r w:rsidR="00B80B82" w:rsidRPr="00B80B82">
        <w:rPr>
          <w:rFonts w:eastAsia="SimSun"/>
          <w:lang w:eastAsia="en-US"/>
        </w:rPr>
        <w:t>ssessing agreements in relation to lodgement of quarterly reports.</w:t>
      </w:r>
    </w:p>
    <w:p w14:paraId="3ABB7D20" w14:textId="77777777" w:rsidR="00B80B82" w:rsidRPr="00B80B82" w:rsidRDefault="00B80B82" w:rsidP="009C4FCC">
      <w:pPr>
        <w:pStyle w:val="BodySubHeader"/>
        <w:spacing w:after="80"/>
        <w:rPr>
          <w:lang w:eastAsia="en-US"/>
        </w:rPr>
      </w:pPr>
      <w:r w:rsidRPr="00B80B82">
        <w:rPr>
          <w:lang w:eastAsia="en-US"/>
        </w:rPr>
        <w:t>Other outputs</w:t>
      </w:r>
    </w:p>
    <w:p w14:paraId="45BC1356" w14:textId="77777777" w:rsidR="00B80B82" w:rsidRPr="00B80B82" w:rsidRDefault="00B80B82" w:rsidP="00B80B82">
      <w:pPr>
        <w:rPr>
          <w:rFonts w:eastAsia="SimSun"/>
          <w:lang w:eastAsia="en-US"/>
        </w:rPr>
      </w:pPr>
      <w:r w:rsidRPr="00B80B82">
        <w:rPr>
          <w:rFonts w:eastAsia="SimSun"/>
          <w:lang w:eastAsia="en-US"/>
        </w:rPr>
        <w:t xml:space="preserve">All other outputs in relation to the ACCC’s telecommunications functions and powers are considered in this category, including strategic liaison and coordination of regulatory affairs.  </w:t>
      </w:r>
    </w:p>
    <w:p w14:paraId="036DDD9E" w14:textId="77777777" w:rsidR="00B80B82" w:rsidRPr="00B80B82" w:rsidRDefault="00B80B82" w:rsidP="009C4FCC">
      <w:pPr>
        <w:pStyle w:val="Heading3"/>
        <w:spacing w:after="80"/>
      </w:pPr>
      <w:bookmarkStart w:id="82" w:name="_Toc26786333"/>
      <w:r w:rsidRPr="00B80B82">
        <w:t>3.2.2</w:t>
      </w:r>
      <w:r w:rsidRPr="00B80B82">
        <w:tab/>
        <w:t>Costs of the activity</w:t>
      </w:r>
      <w:bookmarkEnd w:id="82"/>
    </w:p>
    <w:p w14:paraId="28DBA17C" w14:textId="47D31DBD" w:rsidR="00B80B82" w:rsidRPr="00B80B82" w:rsidRDefault="00B80B82" w:rsidP="00B80B82">
      <w:r w:rsidRPr="00B80B82">
        <w:t xml:space="preserve">The determination of the ACCC’s </w:t>
      </w:r>
      <w:r w:rsidR="003A7775">
        <w:t xml:space="preserve">telecommunications </w:t>
      </w:r>
      <w:r w:rsidRPr="00B80B82">
        <w:t xml:space="preserve">costs to be recovered under the ACLC is based on a cost allocation model. There has been no change in the methodology used to determine the costs from the previous financial year. Both direct and support (indirect) costs incurred by the ACCC in exercising its telecommunications functions and powers are captured by the model. Telecommunication activities are </w:t>
      </w:r>
      <w:r w:rsidRPr="00B80B82">
        <w:lastRenderedPageBreak/>
        <w:t xml:space="preserve">aligned to discrete cost centres to capture direct costs. Support costs are allocated using an appropriate cost driver (further detail on support costs is provided later in this section). </w:t>
      </w:r>
    </w:p>
    <w:p w14:paraId="0CCED689" w14:textId="210CD6B7" w:rsidR="00B80B82" w:rsidRPr="00B80B82" w:rsidRDefault="00B80B82" w:rsidP="00B80B82">
      <w:r w:rsidRPr="00B80B82">
        <w:t>The activity costs produced by the ACCC’s cost allocation model for 2017–18 are based on the cost of services in accordance with the ACCC’s 2017–18 audited financial statements.</w:t>
      </w:r>
    </w:p>
    <w:p w14:paraId="7608F9FE" w14:textId="74DDDB17" w:rsidR="00B80B82" w:rsidRPr="00B80B82" w:rsidRDefault="00B80B82" w:rsidP="00B80B82">
      <w:pPr>
        <w:spacing w:after="80"/>
      </w:pPr>
      <w:r w:rsidRPr="00B80B82">
        <w:t>Delivery costs of the MBA program (</w:t>
      </w:r>
      <w:r w:rsidRPr="00B80B82">
        <w:rPr>
          <w:i/>
        </w:rPr>
        <w:t>Cost Recovery Implementation Statement</w:t>
      </w:r>
      <w:r w:rsidR="00AD2563">
        <w:rPr>
          <w:i/>
        </w:rPr>
        <w:t>—</w:t>
      </w:r>
      <w:r w:rsidRPr="00B80B82">
        <w:rPr>
          <w:i/>
        </w:rPr>
        <w:t>Addendum: Measuring Broadband Australia program</w:t>
      </w:r>
      <w:r w:rsidRPr="00B80B82">
        <w:t xml:space="preserve"> is provided</w:t>
      </w:r>
      <w:r w:rsidR="005E12B5">
        <w:t xml:space="preserve"> in the 2017-18 ACLC CRIS available</w:t>
      </w:r>
      <w:r w:rsidRPr="00B80B82">
        <w:t xml:space="preserve"> on</w:t>
      </w:r>
      <w:r w:rsidR="005F64B1" w:rsidRPr="005F64B1">
        <w:t xml:space="preserve"> </w:t>
      </w:r>
      <w:r w:rsidR="005F64B1">
        <w:t>the</w:t>
      </w:r>
      <w:r w:rsidRPr="00B80B82">
        <w:t xml:space="preserve"> </w:t>
      </w:r>
      <w:r w:rsidRPr="005E12B5">
        <w:t>ACMA website</w:t>
      </w:r>
      <w:r w:rsidRPr="00B80B82">
        <w:t>), which formally commenced in July 2017, are not included in the ACLC cost calculations</w:t>
      </w:r>
      <w:r w:rsidR="00E1275C">
        <w:t xml:space="preserve"> disclosed in Table 11 below</w:t>
      </w:r>
      <w:r w:rsidRPr="00B80B82">
        <w:t xml:space="preserve">. Supplier costs </w:t>
      </w:r>
      <w:r w:rsidR="00316FB7">
        <w:t xml:space="preserve">and overheads </w:t>
      </w:r>
      <w:r w:rsidRPr="00B80B82">
        <w:t xml:space="preserve">for that program are tracked separately and are disclosed in Attachment B. However, </w:t>
      </w:r>
      <w:r w:rsidR="009C4FCC">
        <w:t>the following costs are applicable to the ACLC</w:t>
      </w:r>
      <w:r w:rsidRPr="00B80B82">
        <w:t>:</w:t>
      </w:r>
    </w:p>
    <w:p w14:paraId="516B7644" w14:textId="077A1741" w:rsidR="00B80B82" w:rsidRPr="00B80B82" w:rsidRDefault="00AD2563" w:rsidP="0073625C">
      <w:pPr>
        <w:pStyle w:val="ListBullet"/>
      </w:pPr>
      <w:r>
        <w:t>S</w:t>
      </w:r>
      <w:r w:rsidR="00B80B82" w:rsidRPr="00B80B82">
        <w:t>taff working in the ACCC’s telecommunications regulation function in 2017</w:t>
      </w:r>
      <w:r w:rsidR="00E74157">
        <w:t>–</w:t>
      </w:r>
      <w:r w:rsidR="00B80B82" w:rsidRPr="00B80B82">
        <w:t xml:space="preserve">18 incurred </w:t>
      </w:r>
      <w:r w:rsidR="00B80B82" w:rsidRPr="0073625C">
        <w:t>costs</w:t>
      </w:r>
      <w:r w:rsidR="00B80B82" w:rsidRPr="00B80B82">
        <w:t xml:space="preserve"> related to the MBA program’s establishment and oversight, including the procurement process for an outsourced provider. These costs are included in </w:t>
      </w:r>
      <w:r w:rsidR="00354985">
        <w:t xml:space="preserve">the </w:t>
      </w:r>
      <w:r w:rsidR="00231D7A">
        <w:t>amount disclosed in Table 11</w:t>
      </w:r>
      <w:r>
        <w:t>.</w:t>
      </w:r>
      <w:r w:rsidR="00B80B82" w:rsidRPr="00B80B82">
        <w:t xml:space="preserve"> </w:t>
      </w:r>
    </w:p>
    <w:p w14:paraId="22A4E53F" w14:textId="13A737C2" w:rsidR="00B80B82" w:rsidRPr="00B80B82" w:rsidRDefault="00AD2563" w:rsidP="00B80B82">
      <w:pPr>
        <w:pStyle w:val="ListBulletLast"/>
      </w:pPr>
      <w:r>
        <w:t>R</w:t>
      </w:r>
      <w:r w:rsidR="00B80B82" w:rsidRPr="00B80B82">
        <w:t xml:space="preserve">esponsibility for any investigative and regulation work resulting from the MBA program’s findings will fall to ACCC staff as part of their business-as-usual telecommunications regulation function. </w:t>
      </w:r>
      <w:bookmarkStart w:id="83" w:name="_Hlk10637510"/>
      <w:r w:rsidR="00B80B82" w:rsidRPr="00B80B82">
        <w:t xml:space="preserve">These costs will </w:t>
      </w:r>
      <w:r w:rsidR="00231D7A">
        <w:t xml:space="preserve">not form part of the MBA program costs, </w:t>
      </w:r>
      <w:bookmarkStart w:id="84" w:name="_Hlk10720115"/>
      <w:r w:rsidR="00231D7A">
        <w:t xml:space="preserve">instead </w:t>
      </w:r>
      <w:r w:rsidR="00CE60AA">
        <w:t xml:space="preserve">they </w:t>
      </w:r>
      <w:r w:rsidR="00231D7A">
        <w:t xml:space="preserve">will be recovered </w:t>
      </w:r>
      <w:r w:rsidR="00CE60AA">
        <w:t>through future</w:t>
      </w:r>
      <w:r w:rsidR="00DF204A">
        <w:t xml:space="preserve"> </w:t>
      </w:r>
      <w:r w:rsidR="00B80B82" w:rsidRPr="00B80B82">
        <w:t>ACLC</w:t>
      </w:r>
      <w:r w:rsidR="00CE60AA">
        <w:t xml:space="preserve"> attributable to paragraph 15(1)(b) of the Act</w:t>
      </w:r>
      <w:bookmarkEnd w:id="84"/>
      <w:r w:rsidR="00B80B82" w:rsidRPr="00B80B82">
        <w:t>.</w:t>
      </w:r>
    </w:p>
    <w:bookmarkEnd w:id="83"/>
    <w:p w14:paraId="2AFB73DC" w14:textId="147A0A2F" w:rsidR="00B80B82" w:rsidRPr="00B80B82" w:rsidRDefault="00B80B82" w:rsidP="00B80B82">
      <w:r w:rsidRPr="00B80B82">
        <w:t xml:space="preserve">Table </w:t>
      </w:r>
      <w:r w:rsidR="00673D1F">
        <w:t>11</w:t>
      </w:r>
      <w:r w:rsidRPr="00B80B82">
        <w:t xml:space="preserve"> provides details for the direct and support costs </w:t>
      </w:r>
      <w:r w:rsidR="00DF1B09">
        <w:t>that the ACCC proposes to include in its determination of costs for the purpose of paragraph 15(1)(b) of the Act</w:t>
      </w:r>
      <w:r w:rsidR="00DF204A">
        <w:t>.</w:t>
      </w:r>
    </w:p>
    <w:p w14:paraId="16DEF842" w14:textId="3E83E7E5" w:rsidR="00156B53" w:rsidRPr="00673D1F" w:rsidRDefault="00156B53" w:rsidP="00673D1F">
      <w:pPr>
        <w:pStyle w:val="ACMATableHeader"/>
      </w:pPr>
      <w:r w:rsidRPr="00673D1F">
        <w:t>The ACCC’s component at output level, 201</w:t>
      </w:r>
      <w:r w:rsidR="00B80B82" w:rsidRPr="00673D1F">
        <w:t>8</w:t>
      </w:r>
      <w:r w:rsidRPr="00673D1F">
        <w:t>–1</w:t>
      </w:r>
      <w:r w:rsidR="00B80B82" w:rsidRPr="00673D1F">
        <w:t>9</w:t>
      </w:r>
      <w:r w:rsidRPr="00673D1F">
        <w:t xml:space="preserve"> </w:t>
      </w:r>
      <w:r w:rsidR="00AD2563">
        <w:br/>
      </w:r>
      <w:r w:rsidRPr="00673D1F">
        <w:t>(based on 201</w:t>
      </w:r>
      <w:r w:rsidR="00B80B82" w:rsidRPr="00673D1F">
        <w:t>7</w:t>
      </w:r>
      <w:r w:rsidRPr="00673D1F">
        <w:t>–1</w:t>
      </w:r>
      <w:r w:rsidR="00B80B82" w:rsidRPr="00673D1F">
        <w:t>8</w:t>
      </w:r>
      <w:r w:rsidRPr="00673D1F">
        <w:t xml:space="preserve"> costs)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4009"/>
        <w:gridCol w:w="1138"/>
        <w:gridCol w:w="1281"/>
        <w:gridCol w:w="1227"/>
      </w:tblGrid>
      <w:tr w:rsidR="00156B53" w:rsidRPr="00B4771B" w14:paraId="777A3BC7" w14:textId="77777777" w:rsidTr="000269F7">
        <w:trPr>
          <w:trHeight w:val="361"/>
          <w:tblHeader/>
        </w:trPr>
        <w:tc>
          <w:tcPr>
            <w:tcW w:w="4009" w:type="dxa"/>
            <w:shd w:val="clear" w:color="auto" w:fill="404040" w:themeFill="text1" w:themeFillTint="BF"/>
          </w:tcPr>
          <w:p w14:paraId="02E6C124" w14:textId="77777777" w:rsidR="00156B53" w:rsidRPr="00AE2FD7" w:rsidRDefault="00156B53" w:rsidP="000269F7">
            <w:pPr>
              <w:pStyle w:val="TableHeading"/>
              <w:rPr>
                <w:b w:val="0"/>
                <w:color w:val="FFFFFF" w:themeColor="background1"/>
              </w:rPr>
            </w:pPr>
            <w:r w:rsidRPr="00AE2FD7">
              <w:rPr>
                <w:color w:val="FFFFFF" w:themeColor="background1"/>
              </w:rPr>
              <w:t>Output activity</w:t>
            </w:r>
          </w:p>
        </w:tc>
        <w:tc>
          <w:tcPr>
            <w:tcW w:w="1138" w:type="dxa"/>
            <w:shd w:val="clear" w:color="auto" w:fill="404040" w:themeFill="text1" w:themeFillTint="BF"/>
          </w:tcPr>
          <w:p w14:paraId="698C284A" w14:textId="77777777" w:rsidR="00156B53" w:rsidRPr="00AE2FD7" w:rsidRDefault="00156B53" w:rsidP="00965E8B">
            <w:pPr>
              <w:pStyle w:val="TableHeading"/>
              <w:rPr>
                <w:b w:val="0"/>
                <w:color w:val="FFFFFF" w:themeColor="background1"/>
              </w:rPr>
            </w:pPr>
            <w:r w:rsidRPr="00AE2FD7">
              <w:rPr>
                <w:color w:val="FFFFFF" w:themeColor="background1"/>
              </w:rPr>
              <w:t>Direct cost</w:t>
            </w:r>
            <w:r>
              <w:rPr>
                <w:color w:val="FFFFFF" w:themeColor="background1"/>
              </w:rPr>
              <w:t>s</w:t>
            </w:r>
          </w:p>
        </w:tc>
        <w:tc>
          <w:tcPr>
            <w:tcW w:w="1281" w:type="dxa"/>
            <w:shd w:val="clear" w:color="auto" w:fill="404040" w:themeFill="text1" w:themeFillTint="BF"/>
          </w:tcPr>
          <w:p w14:paraId="40F29127" w14:textId="77777777" w:rsidR="00156B53" w:rsidRPr="00AE2FD7" w:rsidRDefault="00156B53" w:rsidP="00965E8B">
            <w:pPr>
              <w:pStyle w:val="TableHeading"/>
              <w:rPr>
                <w:b w:val="0"/>
                <w:color w:val="FFFFFF" w:themeColor="background1"/>
              </w:rPr>
            </w:pPr>
            <w:r w:rsidRPr="00AE2FD7">
              <w:rPr>
                <w:color w:val="FFFFFF" w:themeColor="background1"/>
              </w:rPr>
              <w:t>Support cost</w:t>
            </w:r>
            <w:r>
              <w:rPr>
                <w:color w:val="FFFFFF" w:themeColor="background1"/>
              </w:rPr>
              <w:t>s</w:t>
            </w:r>
          </w:p>
        </w:tc>
        <w:tc>
          <w:tcPr>
            <w:tcW w:w="1227" w:type="dxa"/>
            <w:tcBorders>
              <w:top w:val="single" w:sz="6" w:space="0" w:color="auto"/>
            </w:tcBorders>
            <w:shd w:val="clear" w:color="auto" w:fill="404040" w:themeFill="text1" w:themeFillTint="BF"/>
          </w:tcPr>
          <w:p w14:paraId="34B74FB9" w14:textId="77777777" w:rsidR="00156B53" w:rsidRPr="00AE2FD7" w:rsidRDefault="00156B53" w:rsidP="00965E8B">
            <w:pPr>
              <w:pStyle w:val="TableHeading"/>
              <w:rPr>
                <w:b w:val="0"/>
                <w:color w:val="FFFFFF" w:themeColor="background1"/>
              </w:rPr>
            </w:pPr>
            <w:r w:rsidRPr="00AE2FD7">
              <w:rPr>
                <w:color w:val="FFFFFF" w:themeColor="background1"/>
              </w:rPr>
              <w:t xml:space="preserve">Total </w:t>
            </w:r>
            <w:r>
              <w:rPr>
                <w:color w:val="FFFFFF" w:themeColor="background1"/>
              </w:rPr>
              <w:br/>
            </w:r>
            <w:r w:rsidRPr="00AE2FD7">
              <w:rPr>
                <w:color w:val="FFFFFF" w:themeColor="background1"/>
              </w:rPr>
              <w:t>cost</w:t>
            </w:r>
          </w:p>
        </w:tc>
      </w:tr>
      <w:tr w:rsidR="00B80B82" w:rsidRPr="00B4771B" w14:paraId="31BA2023" w14:textId="77777777" w:rsidTr="000269F7">
        <w:trPr>
          <w:trHeight w:val="256"/>
        </w:trPr>
        <w:tc>
          <w:tcPr>
            <w:tcW w:w="4009" w:type="dxa"/>
          </w:tcPr>
          <w:p w14:paraId="27543DC0" w14:textId="294FD1AA" w:rsidR="00B80B82" w:rsidRPr="00F45CD9" w:rsidRDefault="00B80B82" w:rsidP="00B80B82">
            <w:pPr>
              <w:keepNext/>
              <w:spacing w:after="0"/>
              <w:rPr>
                <w:rFonts w:cs="Arial"/>
                <w:szCs w:val="20"/>
              </w:rPr>
            </w:pPr>
            <w:r>
              <w:rPr>
                <w:rFonts w:cs="Arial"/>
                <w:szCs w:val="20"/>
              </w:rPr>
              <w:t>Communications markets and advocacy</w:t>
            </w:r>
          </w:p>
        </w:tc>
        <w:tc>
          <w:tcPr>
            <w:tcW w:w="1138" w:type="dxa"/>
          </w:tcPr>
          <w:p w14:paraId="65D1BD59" w14:textId="7AED8784" w:rsidR="00B80B82" w:rsidRPr="00B80B82" w:rsidRDefault="00B80B82" w:rsidP="00965E8B">
            <w:pPr>
              <w:keepNext/>
              <w:spacing w:after="0"/>
              <w:rPr>
                <w:rFonts w:cs="Arial"/>
                <w:color w:val="000000"/>
                <w:szCs w:val="20"/>
              </w:rPr>
            </w:pPr>
            <w:r w:rsidRPr="00B80B82">
              <w:t>$3,062,941</w:t>
            </w:r>
          </w:p>
        </w:tc>
        <w:tc>
          <w:tcPr>
            <w:tcW w:w="1281" w:type="dxa"/>
          </w:tcPr>
          <w:p w14:paraId="3A59EDED" w14:textId="3EFD7C29" w:rsidR="00B80B82" w:rsidRPr="00B80B82" w:rsidRDefault="00B80B82" w:rsidP="00965E8B">
            <w:pPr>
              <w:keepNext/>
              <w:spacing w:after="0"/>
              <w:rPr>
                <w:rFonts w:cs="Arial"/>
                <w:color w:val="000000"/>
                <w:szCs w:val="20"/>
              </w:rPr>
            </w:pPr>
            <w:r w:rsidRPr="00B80B82">
              <w:t>$1,560,763</w:t>
            </w:r>
          </w:p>
        </w:tc>
        <w:tc>
          <w:tcPr>
            <w:tcW w:w="1227" w:type="dxa"/>
          </w:tcPr>
          <w:p w14:paraId="27097AD6" w14:textId="4E20DEB5" w:rsidR="00B80B82" w:rsidRPr="000C27AF" w:rsidRDefault="00B80B82" w:rsidP="00965E8B">
            <w:pPr>
              <w:keepNext/>
              <w:spacing w:after="0"/>
              <w:rPr>
                <w:rFonts w:cs="Arial"/>
                <w:color w:val="000000"/>
                <w:szCs w:val="20"/>
              </w:rPr>
            </w:pPr>
            <w:r w:rsidRPr="000C27AF">
              <w:t>$4,623,704</w:t>
            </w:r>
          </w:p>
        </w:tc>
      </w:tr>
      <w:tr w:rsidR="00B80B82" w:rsidRPr="00B4771B" w14:paraId="374C8DA9" w14:textId="77777777" w:rsidTr="0053132B">
        <w:trPr>
          <w:trHeight w:val="446"/>
        </w:trPr>
        <w:tc>
          <w:tcPr>
            <w:tcW w:w="4009" w:type="dxa"/>
          </w:tcPr>
          <w:p w14:paraId="4C6FA1A0" w14:textId="77777777" w:rsidR="00B80B82" w:rsidRPr="00F45CD9" w:rsidRDefault="00B80B82" w:rsidP="00B80B82">
            <w:pPr>
              <w:keepNext/>
              <w:spacing w:after="0"/>
              <w:rPr>
                <w:rFonts w:cs="Arial"/>
                <w:szCs w:val="20"/>
              </w:rPr>
            </w:pPr>
            <w:r w:rsidRPr="00F70BD3">
              <w:rPr>
                <w:rFonts w:cs="Arial"/>
                <w:szCs w:val="20"/>
              </w:rPr>
              <w:t xml:space="preserve">Mobiles, </w:t>
            </w:r>
            <w:r>
              <w:rPr>
                <w:rFonts w:cs="Arial"/>
                <w:szCs w:val="20"/>
              </w:rPr>
              <w:t>t</w:t>
            </w:r>
            <w:r w:rsidRPr="00F70BD3">
              <w:rPr>
                <w:rFonts w:cs="Arial"/>
                <w:szCs w:val="20"/>
              </w:rPr>
              <w:t xml:space="preserve">ransmission and </w:t>
            </w:r>
            <w:r>
              <w:rPr>
                <w:rFonts w:cs="Arial"/>
                <w:szCs w:val="20"/>
              </w:rPr>
              <w:t>c</w:t>
            </w:r>
            <w:r w:rsidRPr="00F70BD3">
              <w:rPr>
                <w:rFonts w:cs="Arial"/>
                <w:szCs w:val="20"/>
              </w:rPr>
              <w:t>onsumer</w:t>
            </w:r>
            <w:r>
              <w:rPr>
                <w:rFonts w:cs="Arial"/>
                <w:szCs w:val="20"/>
              </w:rPr>
              <w:t xml:space="preserve"> (including NBN)</w:t>
            </w:r>
          </w:p>
        </w:tc>
        <w:tc>
          <w:tcPr>
            <w:tcW w:w="1138" w:type="dxa"/>
            <w:vAlign w:val="center"/>
          </w:tcPr>
          <w:p w14:paraId="719858D4" w14:textId="6D347E85" w:rsidR="00B80B82" w:rsidRPr="00B80B82" w:rsidRDefault="00B80B82" w:rsidP="00965E8B">
            <w:pPr>
              <w:keepNext/>
              <w:spacing w:after="0"/>
              <w:rPr>
                <w:rFonts w:cs="Arial"/>
                <w:color w:val="000000"/>
                <w:szCs w:val="20"/>
              </w:rPr>
            </w:pPr>
            <w:r w:rsidRPr="00B80B82">
              <w:t>$2,554,691</w:t>
            </w:r>
          </w:p>
        </w:tc>
        <w:tc>
          <w:tcPr>
            <w:tcW w:w="1281" w:type="dxa"/>
            <w:vAlign w:val="center"/>
          </w:tcPr>
          <w:p w14:paraId="7C94B7D2" w14:textId="5EBA9276" w:rsidR="00B80B82" w:rsidRPr="00B80B82" w:rsidRDefault="00B80B82" w:rsidP="00965E8B">
            <w:pPr>
              <w:keepNext/>
              <w:spacing w:after="0"/>
              <w:rPr>
                <w:rFonts w:cs="Arial"/>
                <w:color w:val="000000"/>
                <w:szCs w:val="20"/>
              </w:rPr>
            </w:pPr>
            <w:r w:rsidRPr="00B80B82">
              <w:t>$1,301,778</w:t>
            </w:r>
          </w:p>
        </w:tc>
        <w:tc>
          <w:tcPr>
            <w:tcW w:w="1227" w:type="dxa"/>
            <w:vAlign w:val="center"/>
          </w:tcPr>
          <w:p w14:paraId="705CE866" w14:textId="23C0EE00" w:rsidR="00B80B82" w:rsidRPr="000C27AF" w:rsidRDefault="00B80B82" w:rsidP="00965E8B">
            <w:pPr>
              <w:keepNext/>
              <w:spacing w:after="0"/>
              <w:rPr>
                <w:rFonts w:cs="Arial"/>
                <w:color w:val="000000"/>
                <w:szCs w:val="20"/>
              </w:rPr>
            </w:pPr>
            <w:r w:rsidRPr="000C27AF">
              <w:t>$3,856,469</w:t>
            </w:r>
          </w:p>
        </w:tc>
      </w:tr>
      <w:tr w:rsidR="00B80B82" w:rsidRPr="00B4771B" w14:paraId="3A3B32F7" w14:textId="77777777" w:rsidTr="000269F7">
        <w:trPr>
          <w:trHeight w:val="255"/>
        </w:trPr>
        <w:tc>
          <w:tcPr>
            <w:tcW w:w="4009" w:type="dxa"/>
          </w:tcPr>
          <w:p w14:paraId="0EE368EF" w14:textId="77777777" w:rsidR="00B80B82" w:rsidRPr="00F45CD9" w:rsidRDefault="00B80B82" w:rsidP="00B80B82">
            <w:pPr>
              <w:keepNext/>
              <w:spacing w:after="0"/>
              <w:rPr>
                <w:rFonts w:cs="Arial"/>
                <w:szCs w:val="20"/>
              </w:rPr>
            </w:pPr>
            <w:r w:rsidRPr="00F70BD3">
              <w:rPr>
                <w:rFonts w:cs="Arial"/>
                <w:szCs w:val="20"/>
              </w:rPr>
              <w:t xml:space="preserve">Wireline </w:t>
            </w:r>
            <w:r>
              <w:rPr>
                <w:rFonts w:cs="Arial"/>
                <w:szCs w:val="20"/>
              </w:rPr>
              <w:t>m</w:t>
            </w:r>
            <w:r w:rsidRPr="00F70BD3">
              <w:rPr>
                <w:rFonts w:cs="Arial"/>
                <w:szCs w:val="20"/>
              </w:rPr>
              <w:t>arkets</w:t>
            </w:r>
          </w:p>
        </w:tc>
        <w:tc>
          <w:tcPr>
            <w:tcW w:w="1138" w:type="dxa"/>
          </w:tcPr>
          <w:p w14:paraId="453D58D0" w14:textId="55F97A11" w:rsidR="00B80B82" w:rsidRPr="00B80B82" w:rsidRDefault="00B80B82" w:rsidP="00965E8B">
            <w:pPr>
              <w:keepNext/>
              <w:spacing w:after="0"/>
              <w:rPr>
                <w:rFonts w:cs="Arial"/>
                <w:color w:val="000000"/>
                <w:szCs w:val="20"/>
              </w:rPr>
            </w:pPr>
            <w:r w:rsidRPr="00B80B82">
              <w:t>$1,460,621</w:t>
            </w:r>
          </w:p>
        </w:tc>
        <w:tc>
          <w:tcPr>
            <w:tcW w:w="1281" w:type="dxa"/>
          </w:tcPr>
          <w:p w14:paraId="5D85020C" w14:textId="0BB88448" w:rsidR="00B80B82" w:rsidRPr="00B80B82" w:rsidRDefault="00B80B82" w:rsidP="00965E8B">
            <w:pPr>
              <w:keepNext/>
              <w:spacing w:after="0"/>
              <w:rPr>
                <w:rFonts w:cs="Arial"/>
                <w:color w:val="000000"/>
                <w:szCs w:val="20"/>
              </w:rPr>
            </w:pPr>
            <w:r w:rsidRPr="00B80B82">
              <w:t>$744,279</w:t>
            </w:r>
          </w:p>
        </w:tc>
        <w:tc>
          <w:tcPr>
            <w:tcW w:w="1227" w:type="dxa"/>
          </w:tcPr>
          <w:p w14:paraId="52AC6212" w14:textId="65A73D2E" w:rsidR="00B80B82" w:rsidRPr="000C27AF" w:rsidRDefault="00B80B82" w:rsidP="00965E8B">
            <w:pPr>
              <w:keepNext/>
              <w:spacing w:after="0"/>
              <w:rPr>
                <w:rFonts w:cs="Arial"/>
                <w:color w:val="000000"/>
                <w:szCs w:val="20"/>
              </w:rPr>
            </w:pPr>
            <w:r w:rsidRPr="000C27AF">
              <w:t>$2,204,900</w:t>
            </w:r>
          </w:p>
        </w:tc>
      </w:tr>
      <w:tr w:rsidR="00B80B82" w:rsidRPr="00B4771B" w14:paraId="7057A116" w14:textId="77777777" w:rsidTr="000269F7">
        <w:trPr>
          <w:trHeight w:val="147"/>
        </w:trPr>
        <w:tc>
          <w:tcPr>
            <w:tcW w:w="4009" w:type="dxa"/>
            <w:tcBorders>
              <w:bottom w:val="single" w:sz="6" w:space="0" w:color="auto"/>
            </w:tcBorders>
          </w:tcPr>
          <w:p w14:paraId="0C1F1330" w14:textId="77777777" w:rsidR="00B80B82" w:rsidRPr="00F45CD9" w:rsidRDefault="00B80B82" w:rsidP="00B80B82">
            <w:pPr>
              <w:keepNext/>
              <w:spacing w:after="0"/>
              <w:rPr>
                <w:rFonts w:cs="Arial"/>
                <w:szCs w:val="20"/>
              </w:rPr>
            </w:pPr>
            <w:r w:rsidRPr="00F45CD9">
              <w:rPr>
                <w:rFonts w:cs="Arial"/>
                <w:szCs w:val="20"/>
              </w:rPr>
              <w:t xml:space="preserve">Other </w:t>
            </w:r>
            <w:r>
              <w:rPr>
                <w:rFonts w:cs="Arial"/>
                <w:szCs w:val="20"/>
              </w:rPr>
              <w:t>outputs</w:t>
            </w:r>
          </w:p>
        </w:tc>
        <w:tc>
          <w:tcPr>
            <w:tcW w:w="1138" w:type="dxa"/>
            <w:tcBorders>
              <w:bottom w:val="single" w:sz="6" w:space="0" w:color="auto"/>
            </w:tcBorders>
          </w:tcPr>
          <w:p w14:paraId="1F2FC9AB" w14:textId="6F93D96C" w:rsidR="00B80B82" w:rsidRPr="00B80B82" w:rsidRDefault="00B80B82" w:rsidP="00965E8B">
            <w:pPr>
              <w:keepNext/>
              <w:spacing w:after="0"/>
              <w:rPr>
                <w:rFonts w:cs="Arial"/>
                <w:color w:val="000000"/>
                <w:szCs w:val="20"/>
              </w:rPr>
            </w:pPr>
            <w:r w:rsidRPr="00B80B82">
              <w:t>$714,734</w:t>
            </w:r>
          </w:p>
        </w:tc>
        <w:tc>
          <w:tcPr>
            <w:tcW w:w="1281" w:type="dxa"/>
            <w:tcBorders>
              <w:bottom w:val="single" w:sz="6" w:space="0" w:color="auto"/>
            </w:tcBorders>
          </w:tcPr>
          <w:p w14:paraId="07586590" w14:textId="572D956E" w:rsidR="00B80B82" w:rsidRPr="00B80B82" w:rsidRDefault="00B80B82" w:rsidP="00965E8B">
            <w:pPr>
              <w:keepNext/>
              <w:spacing w:after="0"/>
              <w:rPr>
                <w:rFonts w:cs="Arial"/>
                <w:color w:val="000000"/>
                <w:szCs w:val="20"/>
              </w:rPr>
            </w:pPr>
            <w:r w:rsidRPr="00B80B82">
              <w:t>$364,202</w:t>
            </w:r>
          </w:p>
        </w:tc>
        <w:tc>
          <w:tcPr>
            <w:tcW w:w="1227" w:type="dxa"/>
            <w:tcBorders>
              <w:bottom w:val="single" w:sz="6" w:space="0" w:color="auto"/>
            </w:tcBorders>
          </w:tcPr>
          <w:p w14:paraId="653D00E1" w14:textId="2DA2BDD3" w:rsidR="00B80B82" w:rsidRPr="000C27AF" w:rsidRDefault="00B80B82" w:rsidP="00965E8B">
            <w:pPr>
              <w:keepNext/>
              <w:spacing w:after="0"/>
              <w:rPr>
                <w:rFonts w:cs="Arial"/>
                <w:color w:val="000000"/>
                <w:szCs w:val="20"/>
              </w:rPr>
            </w:pPr>
            <w:r w:rsidRPr="000C27AF">
              <w:t>$1,078,936</w:t>
            </w:r>
          </w:p>
        </w:tc>
      </w:tr>
      <w:tr w:rsidR="00B80B82" w:rsidRPr="00B4771B" w14:paraId="30313EC0" w14:textId="77777777" w:rsidTr="000269F7">
        <w:trPr>
          <w:trHeight w:val="95"/>
        </w:trPr>
        <w:tc>
          <w:tcPr>
            <w:tcW w:w="4009" w:type="dxa"/>
            <w:shd w:val="clear" w:color="auto" w:fill="D9D9D9" w:themeFill="background1" w:themeFillShade="D9"/>
          </w:tcPr>
          <w:p w14:paraId="6CCBB1AA" w14:textId="77777777" w:rsidR="00B80B82" w:rsidRPr="00F45CD9" w:rsidRDefault="00B80B82" w:rsidP="00B80B82">
            <w:pPr>
              <w:keepNext/>
              <w:spacing w:after="0"/>
              <w:rPr>
                <w:rFonts w:cs="Arial"/>
                <w:b/>
                <w:iCs/>
                <w:color w:val="000000" w:themeColor="text1"/>
                <w:szCs w:val="20"/>
              </w:rPr>
            </w:pPr>
            <w:r w:rsidRPr="00F45CD9">
              <w:rPr>
                <w:rFonts w:cs="Arial"/>
                <w:b/>
                <w:iCs/>
                <w:color w:val="000000" w:themeColor="text1"/>
                <w:szCs w:val="20"/>
              </w:rPr>
              <w:t>Total costs</w:t>
            </w:r>
          </w:p>
        </w:tc>
        <w:tc>
          <w:tcPr>
            <w:tcW w:w="1138" w:type="dxa"/>
            <w:shd w:val="clear" w:color="auto" w:fill="D9D9D9" w:themeFill="background1" w:themeFillShade="D9"/>
          </w:tcPr>
          <w:p w14:paraId="5D6BBD85" w14:textId="729772E2" w:rsidR="00B80B82" w:rsidRPr="00B80B82" w:rsidRDefault="00B80B82" w:rsidP="00965E8B">
            <w:pPr>
              <w:keepNext/>
              <w:spacing w:after="0"/>
              <w:rPr>
                <w:rFonts w:cs="Arial"/>
                <w:b/>
                <w:bCs/>
                <w:color w:val="000000"/>
                <w:szCs w:val="20"/>
              </w:rPr>
            </w:pPr>
            <w:r w:rsidRPr="00B80B82">
              <w:t>$7,792,987</w:t>
            </w:r>
          </w:p>
        </w:tc>
        <w:tc>
          <w:tcPr>
            <w:tcW w:w="1281" w:type="dxa"/>
            <w:shd w:val="clear" w:color="auto" w:fill="D9D9D9" w:themeFill="background1" w:themeFillShade="D9"/>
          </w:tcPr>
          <w:p w14:paraId="09526D6A" w14:textId="15647AD4" w:rsidR="00B80B82" w:rsidRPr="00B80B82" w:rsidRDefault="00B80B82" w:rsidP="00965E8B">
            <w:pPr>
              <w:keepNext/>
              <w:spacing w:after="0"/>
              <w:rPr>
                <w:rFonts w:cs="Arial"/>
                <w:b/>
                <w:bCs/>
                <w:color w:val="000000"/>
                <w:szCs w:val="20"/>
              </w:rPr>
            </w:pPr>
            <w:r w:rsidRPr="00B80B82">
              <w:t>$3,971,022</w:t>
            </w:r>
          </w:p>
        </w:tc>
        <w:tc>
          <w:tcPr>
            <w:tcW w:w="1227" w:type="dxa"/>
            <w:shd w:val="clear" w:color="auto" w:fill="D9D9D9" w:themeFill="background1" w:themeFillShade="D9"/>
          </w:tcPr>
          <w:p w14:paraId="3A3C23AC" w14:textId="0DA69BA5" w:rsidR="00B80B82" w:rsidRPr="000C27AF" w:rsidRDefault="00B80B82" w:rsidP="00965E8B">
            <w:pPr>
              <w:keepNext/>
              <w:spacing w:after="0"/>
              <w:rPr>
                <w:rFonts w:cs="Arial"/>
                <w:bCs/>
                <w:color w:val="000000"/>
                <w:szCs w:val="20"/>
              </w:rPr>
            </w:pPr>
            <w:r w:rsidRPr="000C27AF">
              <w:t>$11,764,009</w:t>
            </w:r>
          </w:p>
        </w:tc>
      </w:tr>
    </w:tbl>
    <w:p w14:paraId="6C41073E" w14:textId="77777777" w:rsidR="00156B53" w:rsidRDefault="00156B53" w:rsidP="00434DE0">
      <w:pPr>
        <w:spacing w:after="0"/>
      </w:pPr>
    </w:p>
    <w:p w14:paraId="15BFB7E8" w14:textId="27D8B0BF" w:rsidR="00616057" w:rsidRDefault="00616057" w:rsidP="00616057">
      <w:pPr>
        <w:rPr>
          <w:rFonts w:eastAsia="SimSun" w:cs="Arial"/>
          <w:szCs w:val="20"/>
          <w:lang w:eastAsia="en-US"/>
        </w:rPr>
      </w:pPr>
      <w:r w:rsidRPr="009A2EB4">
        <w:rPr>
          <w:rFonts w:eastAsia="SimSun" w:cs="Arial"/>
          <w:szCs w:val="20"/>
          <w:lang w:eastAsia="en-US"/>
        </w:rPr>
        <w:t xml:space="preserve">Direct costs are the costs incurred directly by the ACCC’s </w:t>
      </w:r>
      <w:r>
        <w:rPr>
          <w:rFonts w:eastAsia="SimSun" w:cs="Arial"/>
          <w:szCs w:val="20"/>
          <w:lang w:eastAsia="en-US"/>
        </w:rPr>
        <w:t>c</w:t>
      </w:r>
      <w:r w:rsidRPr="009A2EB4">
        <w:rPr>
          <w:rFonts w:eastAsia="SimSun" w:cs="Arial"/>
          <w:szCs w:val="20"/>
          <w:lang w:eastAsia="en-US"/>
        </w:rPr>
        <w:t xml:space="preserve">ommunications function housed within the ACCC’s Infrastructure Regulation Division. These costs are </w:t>
      </w:r>
      <w:r>
        <w:rPr>
          <w:rFonts w:eastAsia="SimSun" w:cs="Arial"/>
          <w:szCs w:val="20"/>
          <w:lang w:eastAsia="en-US"/>
        </w:rPr>
        <w:t xml:space="preserve">attributed to </w:t>
      </w:r>
      <w:r w:rsidRPr="009A2EB4">
        <w:rPr>
          <w:rFonts w:eastAsia="SimSun" w:cs="Arial"/>
          <w:szCs w:val="20"/>
          <w:lang w:eastAsia="en-US"/>
        </w:rPr>
        <w:t xml:space="preserve">discrete cost centres aligned with the </w:t>
      </w:r>
      <w:r>
        <w:rPr>
          <w:rFonts w:eastAsia="SimSun" w:cs="Arial"/>
          <w:szCs w:val="20"/>
          <w:lang w:eastAsia="en-US"/>
        </w:rPr>
        <w:t xml:space="preserve">telecommunication </w:t>
      </w:r>
      <w:r w:rsidRPr="009A2EB4">
        <w:rPr>
          <w:rFonts w:eastAsia="SimSun" w:cs="Arial"/>
          <w:szCs w:val="20"/>
          <w:lang w:eastAsia="en-US"/>
        </w:rPr>
        <w:t>output activities</w:t>
      </w:r>
      <w:r>
        <w:rPr>
          <w:rFonts w:eastAsia="SimSun" w:cs="Arial"/>
          <w:szCs w:val="20"/>
          <w:lang w:eastAsia="en-US"/>
        </w:rPr>
        <w:t xml:space="preserve">. </w:t>
      </w:r>
      <w:r w:rsidRPr="009A2EB4">
        <w:rPr>
          <w:rFonts w:eastAsia="SimSun" w:cs="Arial"/>
          <w:szCs w:val="20"/>
          <w:lang w:eastAsia="en-US"/>
        </w:rPr>
        <w:t>The</w:t>
      </w:r>
      <w:r>
        <w:rPr>
          <w:rFonts w:eastAsia="SimSun" w:cs="Arial"/>
          <w:szCs w:val="20"/>
          <w:lang w:eastAsia="en-US"/>
        </w:rPr>
        <w:t xml:space="preserve">y </w:t>
      </w:r>
      <w:r w:rsidRPr="009A2EB4">
        <w:rPr>
          <w:rFonts w:eastAsia="SimSun" w:cs="Arial"/>
          <w:szCs w:val="20"/>
          <w:lang w:eastAsia="en-US"/>
        </w:rPr>
        <w:t xml:space="preserve">include staff salaries and other expenses </w:t>
      </w:r>
      <w:r w:rsidR="001C1C15">
        <w:rPr>
          <w:rFonts w:eastAsia="SimSun" w:cs="Arial"/>
          <w:szCs w:val="20"/>
          <w:lang w:eastAsia="en-US"/>
        </w:rPr>
        <w:t>for</w:t>
      </w:r>
      <w:r w:rsidRPr="009A2EB4">
        <w:rPr>
          <w:rFonts w:eastAsia="SimSun" w:cs="Arial"/>
          <w:szCs w:val="20"/>
          <w:lang w:eastAsia="en-US"/>
        </w:rPr>
        <w:t xml:space="preserve"> the </w:t>
      </w:r>
      <w:r>
        <w:rPr>
          <w:rFonts w:eastAsia="SimSun" w:cs="Arial"/>
          <w:szCs w:val="20"/>
          <w:lang w:eastAsia="en-US"/>
        </w:rPr>
        <w:t>c</w:t>
      </w:r>
      <w:r w:rsidRPr="009A2EB4">
        <w:rPr>
          <w:rFonts w:eastAsia="SimSun" w:cs="Arial"/>
          <w:szCs w:val="20"/>
          <w:lang w:eastAsia="en-US"/>
        </w:rPr>
        <w:t>ommunications function carrying out the activities (for example, contractors, consultants, suppliers,</w:t>
      </w:r>
      <w:r>
        <w:rPr>
          <w:rFonts w:eastAsia="SimSun" w:cs="Arial"/>
          <w:szCs w:val="20"/>
          <w:lang w:eastAsia="en-US"/>
        </w:rPr>
        <w:t xml:space="preserve"> travel and office consumables). An annual review of e</w:t>
      </w:r>
      <w:r w:rsidRPr="009A2EB4">
        <w:rPr>
          <w:rFonts w:eastAsia="SimSun" w:cs="Arial"/>
          <w:szCs w:val="20"/>
          <w:lang w:eastAsia="en-US"/>
        </w:rPr>
        <w:t>xecutive effort</w:t>
      </w:r>
      <w:r>
        <w:rPr>
          <w:rFonts w:eastAsia="SimSun" w:cs="Arial"/>
          <w:szCs w:val="20"/>
          <w:lang w:eastAsia="en-US"/>
        </w:rPr>
        <w:t xml:space="preserve"> related to the telecommunication function provides a consistent approach for capturing costs into the allocation model.</w:t>
      </w:r>
    </w:p>
    <w:p w14:paraId="76FF05C9" w14:textId="77E4328C" w:rsidR="00616057" w:rsidRDefault="00616057" w:rsidP="00616057">
      <w:pPr>
        <w:spacing w:after="80"/>
        <w:rPr>
          <w:rFonts w:eastAsia="SimSun" w:cs="Arial"/>
          <w:szCs w:val="20"/>
          <w:lang w:eastAsia="en-US"/>
        </w:rPr>
      </w:pPr>
      <w:r w:rsidRPr="009A2EB4">
        <w:rPr>
          <w:rFonts w:eastAsia="SimSun" w:cs="Arial"/>
          <w:szCs w:val="20"/>
          <w:lang w:eastAsia="en-US"/>
        </w:rPr>
        <w:t xml:space="preserve">The support costs are the costs incurred by the ACCC’s </w:t>
      </w:r>
      <w:r>
        <w:rPr>
          <w:rFonts w:eastAsia="SimSun" w:cs="Arial"/>
          <w:szCs w:val="20"/>
          <w:lang w:eastAsia="en-US"/>
        </w:rPr>
        <w:t>corporate divisions,</w:t>
      </w:r>
      <w:r w:rsidRPr="00136822">
        <w:rPr>
          <w:rFonts w:cs="Arial"/>
          <w:lang w:eastAsia="en-US"/>
        </w:rPr>
        <w:t xml:space="preserve"> </w:t>
      </w:r>
      <w:r w:rsidRPr="009A2EB4">
        <w:rPr>
          <w:rFonts w:cs="Arial"/>
          <w:lang w:eastAsia="en-US"/>
        </w:rPr>
        <w:t>including finance, human resources, legal, property, IT, and regulatory.</w:t>
      </w:r>
      <w:r w:rsidRPr="00136822">
        <w:rPr>
          <w:rFonts w:cs="Arial"/>
          <w:lang w:eastAsia="en-US"/>
        </w:rPr>
        <w:t xml:space="preserve"> </w:t>
      </w:r>
      <w:r w:rsidRPr="009A2EB4">
        <w:rPr>
          <w:rFonts w:eastAsia="SimSun" w:cs="Arial"/>
          <w:szCs w:val="20"/>
          <w:lang w:eastAsia="en-US"/>
        </w:rPr>
        <w:t>The costs include all support staff salaries and other expenses in relation to corporate support services (for example</w:t>
      </w:r>
      <w:r>
        <w:rPr>
          <w:rFonts w:eastAsia="SimSun" w:cs="Arial"/>
          <w:szCs w:val="20"/>
          <w:lang w:eastAsia="en-US"/>
        </w:rPr>
        <w:t>,</w:t>
      </w:r>
      <w:r w:rsidRPr="009A2EB4">
        <w:rPr>
          <w:rFonts w:eastAsia="SimSun" w:cs="Arial"/>
          <w:szCs w:val="20"/>
          <w:lang w:eastAsia="en-US"/>
        </w:rPr>
        <w:t xml:space="preserve"> consultancies, suppliers, depreciation and property</w:t>
      </w:r>
      <w:r>
        <w:rPr>
          <w:rFonts w:eastAsia="SimSun" w:cs="Arial"/>
          <w:szCs w:val="20"/>
          <w:lang w:eastAsia="en-US"/>
        </w:rPr>
        <w:t>/accommodation</w:t>
      </w:r>
      <w:r w:rsidRPr="009A2EB4">
        <w:rPr>
          <w:rFonts w:eastAsia="SimSun" w:cs="Arial"/>
          <w:szCs w:val="20"/>
          <w:lang w:eastAsia="en-US"/>
        </w:rPr>
        <w:t>).</w:t>
      </w:r>
      <w:r>
        <w:rPr>
          <w:rFonts w:eastAsia="SimSun" w:cs="Arial"/>
          <w:szCs w:val="20"/>
          <w:lang w:eastAsia="en-US"/>
        </w:rPr>
        <w:t xml:space="preserve"> </w:t>
      </w:r>
      <w:r w:rsidRPr="009A2EB4">
        <w:rPr>
          <w:rFonts w:eastAsia="SimSun" w:cs="Arial"/>
          <w:szCs w:val="20"/>
          <w:lang w:eastAsia="en-US"/>
        </w:rPr>
        <w:t xml:space="preserve">These costs are allocated to activities using three cost drivers: </w:t>
      </w:r>
      <w:r>
        <w:rPr>
          <w:rFonts w:eastAsia="SimSun" w:cs="Arial"/>
          <w:szCs w:val="20"/>
          <w:lang w:eastAsia="en-US"/>
        </w:rPr>
        <w:t xml:space="preserve"> </w:t>
      </w:r>
    </w:p>
    <w:p w14:paraId="0E6AFCB2" w14:textId="71DACF75" w:rsidR="00277027" w:rsidRPr="00277027" w:rsidRDefault="00277027" w:rsidP="00277027">
      <w:pPr>
        <w:pStyle w:val="ListBullet"/>
        <w:rPr>
          <w:rFonts w:eastAsia="SimSun"/>
          <w:lang w:eastAsia="en-US"/>
        </w:rPr>
      </w:pPr>
      <w:r w:rsidRPr="00277027">
        <w:rPr>
          <w:rFonts w:eastAsia="SimSun"/>
          <w:lang w:eastAsia="en-US"/>
        </w:rPr>
        <w:lastRenderedPageBreak/>
        <w:t xml:space="preserve">legal expenditure driver—allocates the in-house legal support function, based on a proportion of usage </w:t>
      </w:r>
    </w:p>
    <w:p w14:paraId="308DED4D" w14:textId="5DD56316" w:rsidR="00616057" w:rsidRDefault="00616057" w:rsidP="001C1C15">
      <w:pPr>
        <w:pStyle w:val="ListBullet"/>
        <w:rPr>
          <w:rFonts w:eastAsia="SimSun"/>
          <w:lang w:eastAsia="en-US"/>
        </w:rPr>
      </w:pPr>
      <w:r>
        <w:rPr>
          <w:rFonts w:eastAsia="SimSun"/>
          <w:lang w:eastAsia="en-US"/>
        </w:rPr>
        <w:t>non-legal expenditure driver</w:t>
      </w:r>
      <w:r w:rsidR="001C1C15">
        <w:rPr>
          <w:rFonts w:eastAsia="SimSun"/>
          <w:lang w:eastAsia="en-US"/>
        </w:rPr>
        <w:t>—</w:t>
      </w:r>
      <w:r>
        <w:rPr>
          <w:rFonts w:eastAsia="SimSun"/>
          <w:lang w:eastAsia="en-US"/>
        </w:rPr>
        <w:t>allocate</w:t>
      </w:r>
      <w:r w:rsidR="001C1C15">
        <w:rPr>
          <w:rFonts w:eastAsia="SimSun"/>
          <w:lang w:eastAsia="en-US"/>
        </w:rPr>
        <w:t>s</w:t>
      </w:r>
      <w:r>
        <w:rPr>
          <w:rFonts w:eastAsia="SimSun"/>
          <w:lang w:eastAsia="en-US"/>
        </w:rPr>
        <w:t xml:space="preserve"> corporate costs not easily attributed to usage or headcount (for example, executive governance, assurance and strategic support)</w:t>
      </w:r>
    </w:p>
    <w:p w14:paraId="4FD5716C" w14:textId="41B22569" w:rsidR="00616057" w:rsidRDefault="00616057" w:rsidP="00EB7AE9">
      <w:pPr>
        <w:pStyle w:val="ListBulletLast"/>
        <w:rPr>
          <w:rFonts w:eastAsia="SimSun"/>
          <w:lang w:eastAsia="en-US"/>
        </w:rPr>
      </w:pPr>
      <w:r w:rsidRPr="007A0FC8">
        <w:rPr>
          <w:rFonts w:eastAsia="SimSun"/>
          <w:lang w:eastAsia="en-US"/>
        </w:rPr>
        <w:t>ASL driver</w:t>
      </w:r>
      <w:r w:rsidR="001C1C15">
        <w:rPr>
          <w:rFonts w:eastAsia="SimSun"/>
          <w:lang w:eastAsia="en-US"/>
        </w:rPr>
        <w:t>—</w:t>
      </w:r>
      <w:r w:rsidRPr="007A0FC8">
        <w:rPr>
          <w:rFonts w:eastAsia="SimSun"/>
          <w:lang w:eastAsia="en-US"/>
        </w:rPr>
        <w:t>allocate</w:t>
      </w:r>
      <w:r w:rsidR="001C1C15">
        <w:rPr>
          <w:rFonts w:eastAsia="SimSun"/>
          <w:lang w:eastAsia="en-US"/>
        </w:rPr>
        <w:t>s</w:t>
      </w:r>
      <w:r w:rsidRPr="007A0FC8">
        <w:rPr>
          <w:rFonts w:eastAsia="SimSun"/>
          <w:lang w:eastAsia="en-US"/>
        </w:rPr>
        <w:t xml:space="preserve"> overhead costs that are driven more by staffing than expenditure (</w:t>
      </w:r>
      <w:r>
        <w:rPr>
          <w:rFonts w:eastAsia="SimSun"/>
          <w:lang w:eastAsia="en-US"/>
        </w:rPr>
        <w:t>for example, human resources, IT</w:t>
      </w:r>
      <w:r w:rsidRPr="007A0FC8">
        <w:rPr>
          <w:rFonts w:eastAsia="SimSun"/>
          <w:lang w:eastAsia="en-US"/>
        </w:rPr>
        <w:t xml:space="preserve"> support and property costs)</w:t>
      </w:r>
      <w:r w:rsidR="00AF689C">
        <w:rPr>
          <w:rFonts w:eastAsia="SimSun"/>
          <w:lang w:eastAsia="en-US"/>
        </w:rPr>
        <w:t>.</w:t>
      </w:r>
    </w:p>
    <w:p w14:paraId="56FA3CCE" w14:textId="3B4EF886" w:rsidR="006428C7" w:rsidRDefault="006428C7" w:rsidP="00A0125E">
      <w:pPr>
        <w:rPr>
          <w:rFonts w:cs="Arial"/>
          <w:lang w:eastAsia="en-US"/>
        </w:rPr>
      </w:pPr>
      <w:r w:rsidRPr="009D54C2">
        <w:rPr>
          <w:rFonts w:cs="Arial"/>
          <w:lang w:eastAsia="en-US"/>
        </w:rPr>
        <w:t xml:space="preserve">The output costs reported in Table </w:t>
      </w:r>
      <w:r w:rsidR="00673D1F">
        <w:rPr>
          <w:rFonts w:cs="Arial"/>
          <w:lang w:eastAsia="en-US"/>
        </w:rPr>
        <w:t>11</w:t>
      </w:r>
      <w:r w:rsidRPr="009D54C2">
        <w:rPr>
          <w:rFonts w:cs="Arial"/>
          <w:lang w:eastAsia="en-US"/>
        </w:rPr>
        <w:t xml:space="preserve"> are the cost object captured </w:t>
      </w:r>
      <w:r w:rsidR="00C6603A">
        <w:rPr>
          <w:rFonts w:cs="Arial"/>
          <w:lang w:eastAsia="en-US"/>
        </w:rPr>
        <w:t xml:space="preserve">at a lowest level </w:t>
      </w:r>
      <w:r w:rsidRPr="009D54C2">
        <w:rPr>
          <w:rFonts w:cs="Arial"/>
          <w:lang w:eastAsia="en-US"/>
        </w:rPr>
        <w:t xml:space="preserve">by </w:t>
      </w:r>
      <w:r w:rsidR="00F02932">
        <w:rPr>
          <w:rFonts w:cs="Arial"/>
          <w:lang w:eastAsia="en-US"/>
        </w:rPr>
        <w:t xml:space="preserve">the </w:t>
      </w:r>
      <w:r w:rsidRPr="009D54C2">
        <w:rPr>
          <w:rFonts w:cs="Arial"/>
          <w:lang w:eastAsia="en-US"/>
        </w:rPr>
        <w:t xml:space="preserve">ACCC. </w:t>
      </w:r>
      <w:r w:rsidR="009D54C2" w:rsidRPr="009D54C2">
        <w:rPr>
          <w:rFonts w:cs="Arial"/>
          <w:lang w:eastAsia="en-US"/>
        </w:rPr>
        <w:t>As an activity</w:t>
      </w:r>
      <w:r w:rsidR="001C1C15">
        <w:rPr>
          <w:rFonts w:cs="Arial"/>
          <w:lang w:eastAsia="en-US"/>
        </w:rPr>
        <w:t>-</w:t>
      </w:r>
      <w:r w:rsidR="009D54C2" w:rsidRPr="009D54C2">
        <w:rPr>
          <w:rFonts w:cs="Arial"/>
          <w:lang w:eastAsia="en-US"/>
        </w:rPr>
        <w:t>based cost system is not used by the ACCC, th</w:t>
      </w:r>
      <w:r w:rsidR="00F773AA" w:rsidRPr="009D54C2">
        <w:rPr>
          <w:rFonts w:cs="Arial"/>
          <w:lang w:eastAsia="en-US"/>
        </w:rPr>
        <w:t>ese costs are captured at cost object level</w:t>
      </w:r>
      <w:r w:rsidR="009D54C2" w:rsidRPr="009D54C2">
        <w:rPr>
          <w:rFonts w:cs="Arial"/>
          <w:lang w:eastAsia="en-US"/>
        </w:rPr>
        <w:t xml:space="preserve">. </w:t>
      </w:r>
    </w:p>
    <w:p w14:paraId="58FB8CD7" w14:textId="260B5ED7" w:rsidR="00A0125E" w:rsidRDefault="00A0125E" w:rsidP="00A0125E">
      <w:pPr>
        <w:rPr>
          <w:rFonts w:cs="Arial"/>
          <w:lang w:eastAsia="en-US"/>
        </w:rPr>
      </w:pPr>
      <w:r>
        <w:rPr>
          <w:rFonts w:cs="Arial"/>
          <w:lang w:eastAsia="en-US"/>
        </w:rPr>
        <w:t xml:space="preserve">Table </w:t>
      </w:r>
      <w:r w:rsidR="00673D1F">
        <w:rPr>
          <w:rFonts w:cs="Arial"/>
          <w:lang w:eastAsia="en-US"/>
        </w:rPr>
        <w:t>12</w:t>
      </w:r>
      <w:r w:rsidRPr="00083A83">
        <w:rPr>
          <w:rFonts w:cs="Arial"/>
          <w:lang w:eastAsia="en-US"/>
        </w:rPr>
        <w:t xml:space="preserve"> sets out the allocation method</w:t>
      </w:r>
      <w:r w:rsidR="00F87191">
        <w:rPr>
          <w:rFonts w:cs="Arial"/>
          <w:lang w:eastAsia="en-US"/>
        </w:rPr>
        <w:t xml:space="preserve"> to be </w:t>
      </w:r>
      <w:r w:rsidRPr="00083A83">
        <w:rPr>
          <w:rFonts w:cs="Arial"/>
          <w:lang w:eastAsia="en-US"/>
        </w:rPr>
        <w:t xml:space="preserve">applied </w:t>
      </w:r>
      <w:r w:rsidR="00F87191">
        <w:rPr>
          <w:rFonts w:cs="Arial"/>
          <w:lang w:eastAsia="en-US"/>
        </w:rPr>
        <w:t xml:space="preserve">by the ACCC </w:t>
      </w:r>
      <w:r w:rsidRPr="00083A83">
        <w:rPr>
          <w:rFonts w:cs="Arial"/>
          <w:lang w:eastAsia="en-US"/>
        </w:rPr>
        <w:t>to each of the corporate</w:t>
      </w:r>
      <w:r>
        <w:rPr>
          <w:rFonts w:cs="Arial"/>
          <w:lang w:eastAsia="en-US"/>
        </w:rPr>
        <w:t xml:space="preserve"> categories</w:t>
      </w:r>
      <w:r w:rsidRPr="009A2EB4">
        <w:rPr>
          <w:rFonts w:cs="Arial"/>
          <w:lang w:eastAsia="en-US"/>
        </w:rPr>
        <w:t>.</w:t>
      </w:r>
    </w:p>
    <w:p w14:paraId="4557046C" w14:textId="4277C3CA" w:rsidR="00A0125E" w:rsidRPr="00673D1F" w:rsidRDefault="00A0125E" w:rsidP="00673D1F">
      <w:pPr>
        <w:pStyle w:val="ACMATableHeader"/>
      </w:pPr>
      <w:r w:rsidRPr="00673D1F">
        <w:t xml:space="preserve">Allocation of </w:t>
      </w:r>
      <w:r w:rsidR="00085F34">
        <w:t xml:space="preserve">the </w:t>
      </w:r>
      <w:r w:rsidRPr="00673D1F">
        <w:t>ACCC’s support costs</w:t>
      </w:r>
    </w:p>
    <w:tbl>
      <w:tblPr>
        <w:tblStyle w:val="TableGrid"/>
        <w:tblW w:w="7513" w:type="dxa"/>
        <w:tblInd w:w="-5" w:type="dxa"/>
        <w:tblLayout w:type="fixed"/>
        <w:tblCellMar>
          <w:top w:w="57" w:type="dxa"/>
          <w:bottom w:w="57" w:type="dxa"/>
        </w:tblCellMar>
        <w:tblLook w:val="04A0" w:firstRow="1" w:lastRow="0" w:firstColumn="1" w:lastColumn="0" w:noHBand="0" w:noVBand="1"/>
        <w:tblCaption w:val="Allocation of ACCC’s support costs"/>
        <w:tblDescription w:val="Includes categories, cost drivers and allocation methods."/>
      </w:tblPr>
      <w:tblGrid>
        <w:gridCol w:w="2835"/>
        <w:gridCol w:w="1418"/>
        <w:gridCol w:w="3260"/>
      </w:tblGrid>
      <w:tr w:rsidR="00A0125E" w:rsidRPr="009A2EB4" w14:paraId="61C551F7" w14:textId="77777777" w:rsidTr="00451B25">
        <w:trPr>
          <w:tblHeader/>
        </w:trPr>
        <w:tc>
          <w:tcPr>
            <w:tcW w:w="2835" w:type="dxa"/>
            <w:shd w:val="clear" w:color="auto" w:fill="404040" w:themeFill="text1" w:themeFillTint="BF"/>
          </w:tcPr>
          <w:p w14:paraId="365187CA" w14:textId="77777777" w:rsidR="00A0125E" w:rsidRPr="00451B25" w:rsidRDefault="00A0125E" w:rsidP="007A371B">
            <w:pPr>
              <w:pStyle w:val="TableHeading"/>
              <w:keepNext/>
              <w:keepLines/>
              <w:rPr>
                <w:rFonts w:eastAsia="SimSun"/>
                <w:b w:val="0"/>
                <w:color w:val="FFFFFF" w:themeColor="background1"/>
                <w:lang w:eastAsia="en-US"/>
              </w:rPr>
            </w:pPr>
            <w:r w:rsidRPr="00451B25">
              <w:rPr>
                <w:rFonts w:eastAsia="SimSun"/>
                <w:color w:val="FFFFFF" w:themeColor="background1"/>
                <w:lang w:eastAsia="en-US"/>
              </w:rPr>
              <w:t>Category</w:t>
            </w:r>
          </w:p>
        </w:tc>
        <w:tc>
          <w:tcPr>
            <w:tcW w:w="1418" w:type="dxa"/>
            <w:shd w:val="clear" w:color="auto" w:fill="404040" w:themeFill="text1" w:themeFillTint="BF"/>
          </w:tcPr>
          <w:p w14:paraId="70D32114" w14:textId="77777777" w:rsidR="00A0125E" w:rsidRPr="00451B25" w:rsidRDefault="00A0125E" w:rsidP="007A371B">
            <w:pPr>
              <w:pStyle w:val="TableHeading"/>
              <w:keepNext/>
              <w:keepLines/>
              <w:rPr>
                <w:rFonts w:eastAsia="SimSun"/>
                <w:b w:val="0"/>
                <w:color w:val="FFFFFF" w:themeColor="background1"/>
                <w:lang w:eastAsia="en-US"/>
              </w:rPr>
            </w:pPr>
            <w:r w:rsidRPr="00451B25">
              <w:rPr>
                <w:rFonts w:eastAsia="SimSun"/>
                <w:color w:val="FFFFFF" w:themeColor="background1"/>
                <w:lang w:eastAsia="en-US"/>
              </w:rPr>
              <w:t xml:space="preserve">Cost </w:t>
            </w:r>
            <w:r w:rsidR="00DA5037" w:rsidRPr="00451B25">
              <w:rPr>
                <w:rFonts w:eastAsia="SimSun"/>
                <w:color w:val="FFFFFF" w:themeColor="background1"/>
                <w:lang w:eastAsia="en-US"/>
              </w:rPr>
              <w:t>d</w:t>
            </w:r>
            <w:r w:rsidRPr="00451B25">
              <w:rPr>
                <w:rFonts w:eastAsia="SimSun"/>
                <w:color w:val="FFFFFF" w:themeColor="background1"/>
                <w:lang w:eastAsia="en-US"/>
              </w:rPr>
              <w:t>river</w:t>
            </w:r>
          </w:p>
        </w:tc>
        <w:tc>
          <w:tcPr>
            <w:tcW w:w="3260" w:type="dxa"/>
            <w:shd w:val="clear" w:color="auto" w:fill="404040" w:themeFill="text1" w:themeFillTint="BF"/>
          </w:tcPr>
          <w:p w14:paraId="6EA8EE27" w14:textId="77777777" w:rsidR="00A0125E" w:rsidRPr="00451B25" w:rsidRDefault="00A0125E" w:rsidP="007A371B">
            <w:pPr>
              <w:pStyle w:val="TableHeading"/>
              <w:keepNext/>
              <w:keepLines/>
              <w:rPr>
                <w:rFonts w:eastAsia="SimSun"/>
                <w:b w:val="0"/>
                <w:color w:val="FFFFFF" w:themeColor="background1"/>
                <w:lang w:eastAsia="en-US"/>
              </w:rPr>
            </w:pPr>
            <w:r w:rsidRPr="00451B25">
              <w:rPr>
                <w:rFonts w:eastAsia="SimSun"/>
                <w:color w:val="FFFFFF" w:themeColor="background1"/>
                <w:lang w:eastAsia="en-US"/>
              </w:rPr>
              <w:t xml:space="preserve">Allocation </w:t>
            </w:r>
            <w:r w:rsidR="00DA5037" w:rsidRPr="00451B25">
              <w:rPr>
                <w:rFonts w:eastAsia="SimSun"/>
                <w:color w:val="FFFFFF" w:themeColor="background1"/>
                <w:lang w:eastAsia="en-US"/>
              </w:rPr>
              <w:t>m</w:t>
            </w:r>
            <w:r w:rsidRPr="00451B25">
              <w:rPr>
                <w:rFonts w:eastAsia="SimSun"/>
                <w:color w:val="FFFFFF" w:themeColor="background1"/>
                <w:lang w:eastAsia="en-US"/>
              </w:rPr>
              <w:t>ethod</w:t>
            </w:r>
          </w:p>
        </w:tc>
      </w:tr>
      <w:tr w:rsidR="00A0125E" w:rsidRPr="009A2EB4" w14:paraId="79C6352B" w14:textId="77777777" w:rsidTr="00451B25">
        <w:tc>
          <w:tcPr>
            <w:tcW w:w="2835" w:type="dxa"/>
            <w:vAlign w:val="center"/>
          </w:tcPr>
          <w:p w14:paraId="69E65E0C" w14:textId="77777777" w:rsidR="00A0125E" w:rsidRPr="009A2EB4" w:rsidRDefault="00A0125E" w:rsidP="007A371B">
            <w:pPr>
              <w:keepNext/>
              <w:keepLines/>
              <w:spacing w:after="0"/>
              <w:rPr>
                <w:rFonts w:eastAsia="SimSun" w:cs="Arial"/>
                <w:szCs w:val="20"/>
                <w:lang w:eastAsia="en-US"/>
              </w:rPr>
            </w:pPr>
            <w:r w:rsidRPr="009A2EB4">
              <w:rPr>
                <w:rFonts w:cs="Arial"/>
              </w:rPr>
              <w:t>Executive</w:t>
            </w:r>
          </w:p>
        </w:tc>
        <w:tc>
          <w:tcPr>
            <w:tcW w:w="1418" w:type="dxa"/>
            <w:vMerge w:val="restart"/>
            <w:vAlign w:val="center"/>
          </w:tcPr>
          <w:p w14:paraId="45B2F316" w14:textId="77777777" w:rsidR="00A0125E" w:rsidRPr="009A2EB4" w:rsidRDefault="00616057" w:rsidP="007A371B">
            <w:pPr>
              <w:keepNext/>
              <w:keepLines/>
              <w:spacing w:after="0"/>
              <w:rPr>
                <w:rFonts w:eastAsia="SimSun" w:cs="Arial"/>
                <w:szCs w:val="20"/>
                <w:lang w:eastAsia="en-US"/>
              </w:rPr>
            </w:pPr>
            <w:r>
              <w:rPr>
                <w:rFonts w:eastAsia="SimSun" w:cs="Arial"/>
                <w:szCs w:val="20"/>
                <w:lang w:eastAsia="en-US"/>
              </w:rPr>
              <w:t>Non-legal costs</w:t>
            </w:r>
          </w:p>
        </w:tc>
        <w:tc>
          <w:tcPr>
            <w:tcW w:w="3260" w:type="dxa"/>
            <w:vMerge w:val="restart"/>
            <w:vAlign w:val="center"/>
          </w:tcPr>
          <w:p w14:paraId="7D246F13" w14:textId="77777777" w:rsidR="00A0125E" w:rsidRPr="009A2EB4" w:rsidRDefault="00A0125E" w:rsidP="007A371B">
            <w:pPr>
              <w:keepNext/>
              <w:keepLines/>
              <w:spacing w:after="0"/>
              <w:rPr>
                <w:rFonts w:eastAsia="SimSun" w:cs="Arial"/>
                <w:szCs w:val="20"/>
                <w:lang w:eastAsia="en-US"/>
              </w:rPr>
            </w:pPr>
            <w:r>
              <w:rPr>
                <w:rFonts w:eastAsia="SimSun" w:cs="Arial"/>
                <w:szCs w:val="20"/>
                <w:lang w:eastAsia="en-US"/>
              </w:rPr>
              <w:t>Percentage allocation based on the p</w:t>
            </w:r>
            <w:r w:rsidRPr="00A464F6">
              <w:rPr>
                <w:rFonts w:eastAsia="SimSun" w:cs="Arial"/>
                <w:szCs w:val="20"/>
                <w:lang w:eastAsia="en-US"/>
              </w:rPr>
              <w:t xml:space="preserve">roportion of the </w:t>
            </w:r>
            <w:r w:rsidR="00DA5037">
              <w:rPr>
                <w:rFonts w:eastAsia="SimSun" w:cs="Arial"/>
                <w:szCs w:val="20"/>
                <w:lang w:eastAsia="en-US"/>
              </w:rPr>
              <w:t>c</w:t>
            </w:r>
            <w:r w:rsidRPr="00A464F6">
              <w:rPr>
                <w:rFonts w:eastAsia="SimSun" w:cs="Arial"/>
                <w:szCs w:val="20"/>
                <w:lang w:eastAsia="en-US"/>
              </w:rPr>
              <w:t xml:space="preserve">ommunications function </w:t>
            </w:r>
            <w:r>
              <w:rPr>
                <w:rFonts w:eastAsia="SimSun" w:cs="Arial"/>
                <w:szCs w:val="20"/>
                <w:lang w:eastAsia="en-US"/>
              </w:rPr>
              <w:t xml:space="preserve">component </w:t>
            </w:r>
            <w:r w:rsidRPr="00A464F6">
              <w:rPr>
                <w:rFonts w:eastAsia="SimSun" w:cs="Arial"/>
                <w:szCs w:val="20"/>
                <w:lang w:eastAsia="en-US"/>
              </w:rPr>
              <w:t xml:space="preserve">to the ACCC’s operational </w:t>
            </w:r>
            <w:r w:rsidR="00DA5037">
              <w:rPr>
                <w:rFonts w:eastAsia="SimSun" w:cs="Arial"/>
                <w:szCs w:val="20"/>
                <w:lang w:eastAsia="en-US"/>
              </w:rPr>
              <w:t>d</w:t>
            </w:r>
            <w:r w:rsidRPr="00A464F6">
              <w:rPr>
                <w:rFonts w:eastAsia="SimSun" w:cs="Arial"/>
                <w:szCs w:val="20"/>
                <w:lang w:eastAsia="en-US"/>
              </w:rPr>
              <w:t>ivisions</w:t>
            </w:r>
            <w:r>
              <w:rPr>
                <w:rFonts w:eastAsia="SimSun" w:cs="Arial"/>
                <w:szCs w:val="20"/>
                <w:lang w:eastAsia="en-US"/>
              </w:rPr>
              <w:t>* component</w:t>
            </w:r>
          </w:p>
        </w:tc>
      </w:tr>
      <w:tr w:rsidR="00A0125E" w:rsidRPr="009A2EB4" w14:paraId="70096347" w14:textId="77777777" w:rsidTr="00451B25">
        <w:tc>
          <w:tcPr>
            <w:tcW w:w="2835" w:type="dxa"/>
            <w:vAlign w:val="center"/>
          </w:tcPr>
          <w:p w14:paraId="43F2A9D5" w14:textId="77777777" w:rsidR="00A0125E" w:rsidRPr="009A2EB4" w:rsidRDefault="00A0125E" w:rsidP="007A371B">
            <w:pPr>
              <w:keepNext/>
              <w:keepLines/>
              <w:spacing w:after="0"/>
              <w:rPr>
                <w:rFonts w:eastAsia="SimSun" w:cs="Arial"/>
                <w:szCs w:val="20"/>
                <w:lang w:eastAsia="en-US"/>
              </w:rPr>
            </w:pPr>
            <w:r w:rsidRPr="009A2EB4">
              <w:rPr>
                <w:rFonts w:cs="Arial"/>
              </w:rPr>
              <w:t>Corporate management</w:t>
            </w:r>
          </w:p>
        </w:tc>
        <w:tc>
          <w:tcPr>
            <w:tcW w:w="1418" w:type="dxa"/>
            <w:vMerge/>
            <w:vAlign w:val="center"/>
          </w:tcPr>
          <w:p w14:paraId="4F6A29EB" w14:textId="77777777" w:rsidR="00A0125E" w:rsidRPr="009A2EB4" w:rsidRDefault="00A0125E" w:rsidP="007A371B">
            <w:pPr>
              <w:keepNext/>
              <w:keepLines/>
              <w:spacing w:after="0"/>
              <w:rPr>
                <w:rFonts w:eastAsia="SimSun" w:cs="Arial"/>
                <w:szCs w:val="20"/>
                <w:lang w:eastAsia="en-US"/>
              </w:rPr>
            </w:pPr>
          </w:p>
        </w:tc>
        <w:tc>
          <w:tcPr>
            <w:tcW w:w="3260" w:type="dxa"/>
            <w:vMerge/>
            <w:vAlign w:val="center"/>
          </w:tcPr>
          <w:p w14:paraId="36D6F889" w14:textId="77777777" w:rsidR="00A0125E" w:rsidRPr="009A2EB4" w:rsidRDefault="00A0125E" w:rsidP="007A371B">
            <w:pPr>
              <w:keepNext/>
              <w:keepLines/>
              <w:spacing w:after="0"/>
              <w:jc w:val="right"/>
              <w:rPr>
                <w:rFonts w:eastAsia="SimSun" w:cs="Arial"/>
                <w:szCs w:val="20"/>
                <w:lang w:eastAsia="en-US"/>
              </w:rPr>
            </w:pPr>
          </w:p>
        </w:tc>
      </w:tr>
      <w:tr w:rsidR="00A0125E" w:rsidRPr="009A2EB4" w14:paraId="5243A718" w14:textId="77777777" w:rsidTr="00451B25">
        <w:tc>
          <w:tcPr>
            <w:tcW w:w="2835" w:type="dxa"/>
            <w:vAlign w:val="center"/>
          </w:tcPr>
          <w:p w14:paraId="33328DE2" w14:textId="77777777" w:rsidR="00A0125E" w:rsidRPr="009A2EB4" w:rsidRDefault="00A0125E" w:rsidP="007A371B">
            <w:pPr>
              <w:keepNext/>
              <w:keepLines/>
              <w:spacing w:after="0"/>
              <w:rPr>
                <w:rFonts w:eastAsia="SimSun" w:cs="Arial"/>
                <w:szCs w:val="20"/>
                <w:lang w:eastAsia="en-US"/>
              </w:rPr>
            </w:pPr>
            <w:r w:rsidRPr="009A2EB4">
              <w:rPr>
                <w:rFonts w:cs="Arial"/>
              </w:rPr>
              <w:t>Corporate services</w:t>
            </w:r>
          </w:p>
        </w:tc>
        <w:tc>
          <w:tcPr>
            <w:tcW w:w="1418" w:type="dxa"/>
            <w:vMerge/>
            <w:vAlign w:val="center"/>
          </w:tcPr>
          <w:p w14:paraId="3579F0F1" w14:textId="77777777" w:rsidR="00A0125E" w:rsidRPr="009A2EB4" w:rsidRDefault="00A0125E" w:rsidP="007A371B">
            <w:pPr>
              <w:keepNext/>
              <w:keepLines/>
              <w:spacing w:after="0"/>
              <w:rPr>
                <w:rFonts w:eastAsia="SimSun" w:cs="Arial"/>
                <w:szCs w:val="20"/>
                <w:lang w:eastAsia="en-US"/>
              </w:rPr>
            </w:pPr>
          </w:p>
        </w:tc>
        <w:tc>
          <w:tcPr>
            <w:tcW w:w="3260" w:type="dxa"/>
            <w:vMerge/>
            <w:vAlign w:val="center"/>
          </w:tcPr>
          <w:p w14:paraId="221D1F3A" w14:textId="77777777" w:rsidR="00A0125E" w:rsidRPr="009A2EB4" w:rsidRDefault="00A0125E" w:rsidP="007A371B">
            <w:pPr>
              <w:keepNext/>
              <w:keepLines/>
              <w:spacing w:after="0"/>
              <w:jc w:val="right"/>
              <w:rPr>
                <w:rFonts w:eastAsia="SimSun" w:cs="Arial"/>
                <w:szCs w:val="20"/>
                <w:lang w:eastAsia="en-US"/>
              </w:rPr>
            </w:pPr>
          </w:p>
        </w:tc>
      </w:tr>
      <w:tr w:rsidR="00A0125E" w:rsidRPr="009A2EB4" w14:paraId="31B45FC8" w14:textId="77777777" w:rsidTr="00451B25">
        <w:tc>
          <w:tcPr>
            <w:tcW w:w="2835" w:type="dxa"/>
            <w:vAlign w:val="center"/>
          </w:tcPr>
          <w:p w14:paraId="086E3850" w14:textId="77777777" w:rsidR="00A0125E" w:rsidRPr="009A2EB4" w:rsidRDefault="00A0125E" w:rsidP="007A371B">
            <w:pPr>
              <w:keepNext/>
              <w:keepLines/>
              <w:spacing w:after="0"/>
              <w:rPr>
                <w:rFonts w:eastAsia="SimSun" w:cs="Arial"/>
                <w:szCs w:val="20"/>
                <w:lang w:eastAsia="en-US"/>
              </w:rPr>
            </w:pPr>
            <w:r w:rsidRPr="009A2EB4">
              <w:rPr>
                <w:rFonts w:cs="Arial"/>
              </w:rPr>
              <w:t>Finance</w:t>
            </w:r>
          </w:p>
        </w:tc>
        <w:tc>
          <w:tcPr>
            <w:tcW w:w="1418" w:type="dxa"/>
            <w:vMerge/>
            <w:vAlign w:val="center"/>
          </w:tcPr>
          <w:p w14:paraId="0772FA75" w14:textId="77777777" w:rsidR="00A0125E" w:rsidRPr="009A2EB4" w:rsidRDefault="00A0125E" w:rsidP="007A371B">
            <w:pPr>
              <w:keepNext/>
              <w:keepLines/>
              <w:spacing w:after="0"/>
              <w:rPr>
                <w:rFonts w:eastAsia="SimSun" w:cs="Arial"/>
                <w:szCs w:val="20"/>
                <w:lang w:eastAsia="en-US"/>
              </w:rPr>
            </w:pPr>
          </w:p>
        </w:tc>
        <w:tc>
          <w:tcPr>
            <w:tcW w:w="3260" w:type="dxa"/>
            <w:vMerge/>
            <w:vAlign w:val="center"/>
          </w:tcPr>
          <w:p w14:paraId="60FF001E" w14:textId="77777777" w:rsidR="00A0125E" w:rsidRPr="009A2EB4" w:rsidRDefault="00A0125E" w:rsidP="007A371B">
            <w:pPr>
              <w:keepNext/>
              <w:keepLines/>
              <w:spacing w:after="0"/>
              <w:jc w:val="right"/>
              <w:rPr>
                <w:rFonts w:eastAsia="SimSun" w:cs="Arial"/>
                <w:szCs w:val="20"/>
                <w:lang w:eastAsia="en-US"/>
              </w:rPr>
            </w:pPr>
          </w:p>
        </w:tc>
      </w:tr>
      <w:tr w:rsidR="00A0125E" w:rsidRPr="009A2EB4" w14:paraId="6176C08E" w14:textId="77777777" w:rsidTr="00451B25">
        <w:tc>
          <w:tcPr>
            <w:tcW w:w="2835" w:type="dxa"/>
            <w:vAlign w:val="center"/>
          </w:tcPr>
          <w:p w14:paraId="6FCB502C" w14:textId="77777777" w:rsidR="00A0125E" w:rsidRPr="009A2EB4" w:rsidRDefault="00A0125E" w:rsidP="007A371B">
            <w:pPr>
              <w:keepNext/>
              <w:keepLines/>
              <w:spacing w:after="0"/>
              <w:rPr>
                <w:rFonts w:eastAsia="SimSun" w:cs="Arial"/>
                <w:szCs w:val="20"/>
                <w:lang w:eastAsia="en-US"/>
              </w:rPr>
            </w:pPr>
            <w:r w:rsidRPr="009A2EB4">
              <w:rPr>
                <w:rFonts w:cs="Arial"/>
              </w:rPr>
              <w:t>Strategic communications</w:t>
            </w:r>
          </w:p>
        </w:tc>
        <w:tc>
          <w:tcPr>
            <w:tcW w:w="1418" w:type="dxa"/>
            <w:vMerge/>
            <w:vAlign w:val="center"/>
          </w:tcPr>
          <w:p w14:paraId="65CFA3FD" w14:textId="77777777" w:rsidR="00A0125E" w:rsidRPr="009A2EB4" w:rsidRDefault="00A0125E" w:rsidP="007A371B">
            <w:pPr>
              <w:keepNext/>
              <w:keepLines/>
              <w:spacing w:after="0"/>
              <w:rPr>
                <w:rFonts w:eastAsia="SimSun" w:cs="Arial"/>
                <w:szCs w:val="20"/>
                <w:lang w:eastAsia="en-US"/>
              </w:rPr>
            </w:pPr>
          </w:p>
        </w:tc>
        <w:tc>
          <w:tcPr>
            <w:tcW w:w="3260" w:type="dxa"/>
            <w:vMerge/>
            <w:vAlign w:val="center"/>
          </w:tcPr>
          <w:p w14:paraId="69D3126D" w14:textId="77777777" w:rsidR="00A0125E" w:rsidRPr="009A2EB4" w:rsidRDefault="00A0125E" w:rsidP="007A371B">
            <w:pPr>
              <w:keepNext/>
              <w:keepLines/>
              <w:spacing w:after="0"/>
              <w:jc w:val="right"/>
              <w:rPr>
                <w:rFonts w:eastAsia="SimSun" w:cs="Arial"/>
                <w:szCs w:val="20"/>
                <w:lang w:eastAsia="en-US"/>
              </w:rPr>
            </w:pPr>
          </w:p>
        </w:tc>
      </w:tr>
      <w:tr w:rsidR="00A0125E" w:rsidRPr="009A2EB4" w14:paraId="528DAF44" w14:textId="77777777" w:rsidTr="00451B25">
        <w:tc>
          <w:tcPr>
            <w:tcW w:w="2835" w:type="dxa"/>
            <w:vAlign w:val="center"/>
          </w:tcPr>
          <w:p w14:paraId="23C5E313" w14:textId="77777777" w:rsidR="00A0125E" w:rsidRPr="009A2EB4" w:rsidRDefault="00A0125E" w:rsidP="007A371B">
            <w:pPr>
              <w:keepNext/>
              <w:keepLines/>
              <w:spacing w:after="0"/>
              <w:rPr>
                <w:rFonts w:eastAsia="SimSun" w:cs="Arial"/>
                <w:szCs w:val="20"/>
                <w:lang w:eastAsia="en-US"/>
              </w:rPr>
            </w:pPr>
            <w:r w:rsidRPr="009A2EB4">
              <w:rPr>
                <w:rFonts w:cs="Arial"/>
              </w:rPr>
              <w:t>Information and technology</w:t>
            </w:r>
          </w:p>
        </w:tc>
        <w:tc>
          <w:tcPr>
            <w:tcW w:w="1418" w:type="dxa"/>
            <w:vMerge w:val="restart"/>
            <w:vAlign w:val="center"/>
          </w:tcPr>
          <w:p w14:paraId="79A5216C" w14:textId="77777777" w:rsidR="00A0125E" w:rsidRPr="009A2EB4" w:rsidRDefault="00A0125E" w:rsidP="007A371B">
            <w:pPr>
              <w:keepNext/>
              <w:keepLines/>
              <w:spacing w:after="0"/>
              <w:rPr>
                <w:rFonts w:eastAsia="SimSun" w:cs="Arial"/>
                <w:szCs w:val="20"/>
                <w:lang w:eastAsia="en-US"/>
              </w:rPr>
            </w:pPr>
            <w:r>
              <w:rPr>
                <w:rFonts w:eastAsia="SimSun" w:cs="Arial"/>
                <w:szCs w:val="20"/>
                <w:lang w:eastAsia="en-US"/>
              </w:rPr>
              <w:t>ASL</w:t>
            </w:r>
          </w:p>
        </w:tc>
        <w:tc>
          <w:tcPr>
            <w:tcW w:w="3260" w:type="dxa"/>
            <w:vMerge/>
            <w:vAlign w:val="center"/>
          </w:tcPr>
          <w:p w14:paraId="4F001E0D" w14:textId="77777777" w:rsidR="00A0125E" w:rsidRPr="009A2EB4" w:rsidRDefault="00A0125E" w:rsidP="007A371B">
            <w:pPr>
              <w:keepNext/>
              <w:keepLines/>
              <w:spacing w:after="0"/>
              <w:jc w:val="center"/>
              <w:rPr>
                <w:rFonts w:eastAsia="SimSun" w:cs="Arial"/>
                <w:szCs w:val="20"/>
                <w:lang w:eastAsia="en-US"/>
              </w:rPr>
            </w:pPr>
          </w:p>
        </w:tc>
      </w:tr>
      <w:tr w:rsidR="00A0125E" w:rsidRPr="009A2EB4" w14:paraId="7F360205" w14:textId="77777777" w:rsidTr="00451B25">
        <w:tc>
          <w:tcPr>
            <w:tcW w:w="2835" w:type="dxa"/>
            <w:vAlign w:val="center"/>
          </w:tcPr>
          <w:p w14:paraId="208995AD" w14:textId="77777777" w:rsidR="00A0125E" w:rsidRPr="009A2EB4" w:rsidRDefault="00A0125E" w:rsidP="007A371B">
            <w:pPr>
              <w:keepNext/>
              <w:keepLines/>
              <w:spacing w:after="0"/>
              <w:rPr>
                <w:rFonts w:eastAsia="SimSun" w:cs="Arial"/>
                <w:szCs w:val="20"/>
                <w:lang w:eastAsia="en-US"/>
              </w:rPr>
            </w:pPr>
            <w:r w:rsidRPr="009A2EB4">
              <w:rPr>
                <w:rFonts w:cs="Arial"/>
              </w:rPr>
              <w:t>Human resources</w:t>
            </w:r>
          </w:p>
        </w:tc>
        <w:tc>
          <w:tcPr>
            <w:tcW w:w="1418" w:type="dxa"/>
            <w:vMerge/>
            <w:vAlign w:val="center"/>
          </w:tcPr>
          <w:p w14:paraId="593FDCBF" w14:textId="77777777" w:rsidR="00A0125E" w:rsidRPr="009A2EB4" w:rsidRDefault="00A0125E" w:rsidP="007A371B">
            <w:pPr>
              <w:keepNext/>
              <w:keepLines/>
              <w:spacing w:after="0"/>
              <w:rPr>
                <w:rFonts w:eastAsia="SimSun" w:cs="Arial"/>
                <w:szCs w:val="20"/>
                <w:lang w:eastAsia="en-US"/>
              </w:rPr>
            </w:pPr>
          </w:p>
        </w:tc>
        <w:tc>
          <w:tcPr>
            <w:tcW w:w="3260" w:type="dxa"/>
            <w:vMerge/>
            <w:vAlign w:val="center"/>
          </w:tcPr>
          <w:p w14:paraId="02046F7F" w14:textId="77777777" w:rsidR="00A0125E" w:rsidRPr="009A2EB4" w:rsidRDefault="00A0125E" w:rsidP="007A371B">
            <w:pPr>
              <w:keepNext/>
              <w:keepLines/>
              <w:spacing w:after="0"/>
              <w:jc w:val="center"/>
              <w:rPr>
                <w:rFonts w:eastAsia="SimSun" w:cs="Arial"/>
                <w:szCs w:val="20"/>
                <w:lang w:eastAsia="en-US"/>
              </w:rPr>
            </w:pPr>
          </w:p>
        </w:tc>
      </w:tr>
      <w:tr w:rsidR="00A0125E" w:rsidRPr="009A2EB4" w14:paraId="68A17834" w14:textId="77777777" w:rsidTr="00451B25">
        <w:tc>
          <w:tcPr>
            <w:tcW w:w="2835" w:type="dxa"/>
            <w:vAlign w:val="center"/>
          </w:tcPr>
          <w:p w14:paraId="55F8846F" w14:textId="77777777" w:rsidR="00A0125E" w:rsidRPr="009A2EB4" w:rsidRDefault="00A0125E" w:rsidP="007A371B">
            <w:pPr>
              <w:keepNext/>
              <w:keepLines/>
              <w:spacing w:after="0"/>
              <w:rPr>
                <w:rFonts w:eastAsia="SimSun" w:cs="Arial"/>
                <w:szCs w:val="20"/>
                <w:lang w:eastAsia="en-US"/>
              </w:rPr>
            </w:pPr>
            <w:r w:rsidRPr="009A2EB4">
              <w:rPr>
                <w:rFonts w:cs="Arial"/>
              </w:rPr>
              <w:t>Property</w:t>
            </w:r>
          </w:p>
        </w:tc>
        <w:tc>
          <w:tcPr>
            <w:tcW w:w="1418" w:type="dxa"/>
            <w:vMerge/>
            <w:vAlign w:val="center"/>
          </w:tcPr>
          <w:p w14:paraId="39FD8897" w14:textId="77777777" w:rsidR="00A0125E" w:rsidRPr="009A2EB4" w:rsidRDefault="00A0125E" w:rsidP="007A371B">
            <w:pPr>
              <w:keepNext/>
              <w:keepLines/>
              <w:spacing w:after="0"/>
              <w:rPr>
                <w:rFonts w:eastAsia="SimSun" w:cs="Arial"/>
                <w:szCs w:val="20"/>
                <w:lang w:eastAsia="en-US"/>
              </w:rPr>
            </w:pPr>
          </w:p>
        </w:tc>
        <w:tc>
          <w:tcPr>
            <w:tcW w:w="3260" w:type="dxa"/>
            <w:vMerge/>
            <w:vAlign w:val="center"/>
          </w:tcPr>
          <w:p w14:paraId="4E6DE2C5" w14:textId="77777777" w:rsidR="00A0125E" w:rsidRPr="009A2EB4" w:rsidRDefault="00A0125E" w:rsidP="007A371B">
            <w:pPr>
              <w:keepNext/>
              <w:keepLines/>
              <w:spacing w:after="0"/>
              <w:jc w:val="center"/>
              <w:rPr>
                <w:rFonts w:eastAsia="SimSun" w:cs="Arial"/>
                <w:szCs w:val="20"/>
                <w:lang w:eastAsia="en-US"/>
              </w:rPr>
            </w:pPr>
          </w:p>
        </w:tc>
      </w:tr>
      <w:tr w:rsidR="00A0125E" w:rsidRPr="009A2EB4" w14:paraId="3AF3CEB3" w14:textId="77777777" w:rsidTr="00451B25">
        <w:tc>
          <w:tcPr>
            <w:tcW w:w="2835" w:type="dxa"/>
            <w:vAlign w:val="center"/>
          </w:tcPr>
          <w:p w14:paraId="158D5E86" w14:textId="77777777" w:rsidR="00A0125E" w:rsidRPr="009A2EB4" w:rsidRDefault="00A0125E" w:rsidP="007A371B">
            <w:pPr>
              <w:keepNext/>
              <w:keepLines/>
              <w:spacing w:after="0"/>
              <w:rPr>
                <w:rFonts w:eastAsia="SimSun" w:cs="Arial"/>
                <w:szCs w:val="20"/>
                <w:lang w:eastAsia="en-US"/>
              </w:rPr>
            </w:pPr>
            <w:r w:rsidRPr="009A2EB4">
              <w:rPr>
                <w:rFonts w:cs="Arial"/>
              </w:rPr>
              <w:t>Asset usage</w:t>
            </w:r>
          </w:p>
        </w:tc>
        <w:tc>
          <w:tcPr>
            <w:tcW w:w="1418" w:type="dxa"/>
            <w:vMerge/>
            <w:vAlign w:val="center"/>
          </w:tcPr>
          <w:p w14:paraId="6B700947" w14:textId="77777777" w:rsidR="00A0125E" w:rsidRPr="009A2EB4" w:rsidRDefault="00A0125E" w:rsidP="007A371B">
            <w:pPr>
              <w:keepNext/>
              <w:keepLines/>
              <w:spacing w:after="0"/>
              <w:rPr>
                <w:rFonts w:eastAsia="SimSun" w:cs="Arial"/>
                <w:szCs w:val="20"/>
                <w:lang w:eastAsia="en-US"/>
              </w:rPr>
            </w:pPr>
          </w:p>
        </w:tc>
        <w:tc>
          <w:tcPr>
            <w:tcW w:w="3260" w:type="dxa"/>
            <w:vMerge/>
            <w:vAlign w:val="center"/>
          </w:tcPr>
          <w:p w14:paraId="4420D763" w14:textId="77777777" w:rsidR="00A0125E" w:rsidRPr="009A2EB4" w:rsidRDefault="00A0125E" w:rsidP="007A371B">
            <w:pPr>
              <w:keepNext/>
              <w:keepLines/>
              <w:spacing w:after="0"/>
              <w:jc w:val="center"/>
              <w:rPr>
                <w:rFonts w:eastAsia="SimSun" w:cs="Arial"/>
                <w:szCs w:val="20"/>
                <w:lang w:eastAsia="en-US"/>
              </w:rPr>
            </w:pPr>
          </w:p>
        </w:tc>
      </w:tr>
      <w:tr w:rsidR="00A0125E" w:rsidRPr="009A2EB4" w14:paraId="41618211" w14:textId="77777777" w:rsidTr="00451B25">
        <w:tc>
          <w:tcPr>
            <w:tcW w:w="2835" w:type="dxa"/>
            <w:vAlign w:val="center"/>
          </w:tcPr>
          <w:p w14:paraId="364D8BC9" w14:textId="77777777" w:rsidR="00A0125E" w:rsidRPr="009A2EB4" w:rsidRDefault="00A0125E" w:rsidP="007A371B">
            <w:pPr>
              <w:keepNext/>
              <w:keepLines/>
              <w:spacing w:after="0"/>
              <w:rPr>
                <w:rFonts w:cs="Arial"/>
              </w:rPr>
            </w:pPr>
            <w:r>
              <w:rPr>
                <w:rFonts w:cs="Arial"/>
              </w:rPr>
              <w:t>Legal</w:t>
            </w:r>
          </w:p>
        </w:tc>
        <w:tc>
          <w:tcPr>
            <w:tcW w:w="1418" w:type="dxa"/>
            <w:vAlign w:val="center"/>
          </w:tcPr>
          <w:p w14:paraId="57F860EE" w14:textId="77777777" w:rsidR="00A0125E" w:rsidRPr="009A2EB4" w:rsidRDefault="00A0125E" w:rsidP="007A371B">
            <w:pPr>
              <w:keepNext/>
              <w:keepLines/>
              <w:spacing w:after="0"/>
              <w:rPr>
                <w:rFonts w:eastAsia="SimSun" w:cs="Arial"/>
                <w:szCs w:val="20"/>
                <w:lang w:eastAsia="en-US"/>
              </w:rPr>
            </w:pPr>
            <w:r>
              <w:rPr>
                <w:rFonts w:eastAsia="SimSun" w:cs="Arial"/>
                <w:szCs w:val="20"/>
                <w:lang w:eastAsia="en-US"/>
              </w:rPr>
              <w:t xml:space="preserve">Legal </w:t>
            </w:r>
            <w:r w:rsidR="00DA5037">
              <w:rPr>
                <w:rFonts w:eastAsia="SimSun" w:cs="Arial"/>
                <w:szCs w:val="20"/>
                <w:lang w:eastAsia="en-US"/>
              </w:rPr>
              <w:t>c</w:t>
            </w:r>
            <w:r>
              <w:rPr>
                <w:rFonts w:eastAsia="SimSun" w:cs="Arial"/>
                <w:szCs w:val="20"/>
                <w:lang w:eastAsia="en-US"/>
              </w:rPr>
              <w:t>osts</w:t>
            </w:r>
          </w:p>
        </w:tc>
        <w:tc>
          <w:tcPr>
            <w:tcW w:w="3260" w:type="dxa"/>
            <w:vMerge/>
            <w:vAlign w:val="center"/>
          </w:tcPr>
          <w:p w14:paraId="6EAB6C2A" w14:textId="77777777" w:rsidR="00A0125E" w:rsidRPr="009A2EB4" w:rsidRDefault="00A0125E" w:rsidP="007A371B">
            <w:pPr>
              <w:keepNext/>
              <w:keepLines/>
              <w:spacing w:after="0"/>
              <w:jc w:val="center"/>
              <w:rPr>
                <w:rFonts w:eastAsia="SimSun" w:cs="Arial"/>
                <w:szCs w:val="20"/>
                <w:lang w:eastAsia="en-US"/>
              </w:rPr>
            </w:pPr>
          </w:p>
        </w:tc>
      </w:tr>
    </w:tbl>
    <w:p w14:paraId="54C794ED" w14:textId="77777777" w:rsidR="00400A7F" w:rsidRDefault="00A0125E" w:rsidP="007A371B">
      <w:pPr>
        <w:pStyle w:val="ACMASpaceaftertable"/>
        <w:keepNext/>
        <w:keepLines/>
        <w:rPr>
          <w:rFonts w:eastAsia="SimSun"/>
          <w:lang w:eastAsia="en-US"/>
        </w:rPr>
      </w:pPr>
      <w:r>
        <w:rPr>
          <w:i/>
          <w:sz w:val="16"/>
          <w:szCs w:val="16"/>
        </w:rPr>
        <w:t xml:space="preserve">*ACCC’s operational </w:t>
      </w:r>
      <w:r w:rsidR="00DA5037">
        <w:rPr>
          <w:i/>
          <w:sz w:val="16"/>
          <w:szCs w:val="16"/>
        </w:rPr>
        <w:t>d</w:t>
      </w:r>
      <w:r>
        <w:rPr>
          <w:i/>
          <w:sz w:val="16"/>
          <w:szCs w:val="16"/>
        </w:rPr>
        <w:t>ivisions perform consumer and competition regulatory and enforcement functions.</w:t>
      </w:r>
    </w:p>
    <w:p w14:paraId="287C94CC" w14:textId="1D4218A0" w:rsidR="002334CC" w:rsidRPr="002334CC" w:rsidRDefault="00B80B82" w:rsidP="00EB7AE9">
      <w:pPr>
        <w:spacing w:after="80"/>
        <w:rPr>
          <w:rFonts w:eastAsia="SimSun"/>
          <w:lang w:eastAsia="en-US"/>
        </w:rPr>
      </w:pPr>
      <w:r w:rsidRPr="002334CC">
        <w:rPr>
          <w:rFonts w:eastAsia="SimSun"/>
          <w:lang w:eastAsia="en-US"/>
        </w:rPr>
        <w:t xml:space="preserve">The ACCC’s </w:t>
      </w:r>
      <w:r w:rsidR="00F81968">
        <w:rPr>
          <w:rFonts w:eastAsia="SimSun"/>
          <w:lang w:eastAsia="en-US"/>
        </w:rPr>
        <w:t xml:space="preserve">costs to be determined for the purpose of the </w:t>
      </w:r>
      <w:r w:rsidRPr="002334CC">
        <w:rPr>
          <w:rFonts w:eastAsia="SimSun"/>
          <w:lang w:eastAsia="en-US"/>
        </w:rPr>
        <w:t>2018</w:t>
      </w:r>
      <w:r w:rsidR="00670770">
        <w:rPr>
          <w:rFonts w:eastAsia="SimSun"/>
          <w:lang w:eastAsia="en-US"/>
        </w:rPr>
        <w:t>–</w:t>
      </w:r>
      <w:r w:rsidRPr="002334CC">
        <w:rPr>
          <w:rFonts w:eastAsia="SimSun"/>
          <w:lang w:eastAsia="en-US"/>
        </w:rPr>
        <w:t xml:space="preserve">19 </w:t>
      </w:r>
      <w:r w:rsidR="00F81968">
        <w:rPr>
          <w:rFonts w:eastAsia="SimSun"/>
          <w:lang w:eastAsia="en-US"/>
        </w:rPr>
        <w:t xml:space="preserve">ACLC (excluding the MBA costs, which are discussed in Attachment B) </w:t>
      </w:r>
      <w:r w:rsidRPr="002334CC">
        <w:rPr>
          <w:rFonts w:eastAsia="SimSun"/>
          <w:lang w:eastAsia="en-US"/>
        </w:rPr>
        <w:t>ha</w:t>
      </w:r>
      <w:r w:rsidR="00FB1498">
        <w:rPr>
          <w:rFonts w:eastAsia="SimSun"/>
          <w:lang w:eastAsia="en-US"/>
        </w:rPr>
        <w:t>ve</w:t>
      </w:r>
      <w:r w:rsidRPr="002334CC">
        <w:rPr>
          <w:rFonts w:eastAsia="SimSun"/>
          <w:lang w:eastAsia="en-US"/>
        </w:rPr>
        <w:t xml:space="preserve"> been calculated at $11,764,009. This represents a $1,345,164 (10.3 per cent) decrease from the previous year, largely driven by:</w:t>
      </w:r>
    </w:p>
    <w:p w14:paraId="5296CA1F" w14:textId="76F3410C" w:rsidR="00B80B82" w:rsidRPr="002334CC" w:rsidRDefault="00965E8B" w:rsidP="00965E8B">
      <w:pPr>
        <w:pStyle w:val="ListBullet"/>
        <w:rPr>
          <w:rFonts w:eastAsia="SimSun"/>
          <w:lang w:eastAsia="en-US"/>
        </w:rPr>
      </w:pPr>
      <w:r>
        <w:rPr>
          <w:rFonts w:eastAsia="SimSun"/>
          <w:lang w:eastAsia="en-US"/>
        </w:rPr>
        <w:t>E</w:t>
      </w:r>
      <w:r w:rsidR="00B80B82" w:rsidRPr="002334CC">
        <w:rPr>
          <w:rFonts w:eastAsia="SimSun"/>
          <w:lang w:eastAsia="en-US"/>
        </w:rPr>
        <w:t xml:space="preserve">mployee costs from corporate support functions </w:t>
      </w:r>
      <w:r w:rsidR="00083F84">
        <w:rPr>
          <w:rFonts w:eastAsia="SimSun"/>
          <w:lang w:eastAsia="en-US"/>
        </w:rPr>
        <w:t>being</w:t>
      </w:r>
      <w:r w:rsidR="00B80B82" w:rsidRPr="002334CC">
        <w:rPr>
          <w:rFonts w:eastAsia="SimSun"/>
          <w:lang w:eastAsia="en-US"/>
        </w:rPr>
        <w:t xml:space="preserve"> spread across more business lines in 2017</w:t>
      </w:r>
      <w:r w:rsidR="00E74157">
        <w:t>–</w:t>
      </w:r>
      <w:r w:rsidR="00B80B82" w:rsidRPr="002334CC">
        <w:rPr>
          <w:rFonts w:eastAsia="SimSun"/>
          <w:lang w:eastAsia="en-US"/>
        </w:rPr>
        <w:t>18 due to the ACCC and the</w:t>
      </w:r>
      <w:r w:rsidR="00F14B7D">
        <w:rPr>
          <w:rFonts w:eastAsia="SimSun"/>
          <w:lang w:eastAsia="en-US"/>
        </w:rPr>
        <w:t xml:space="preserve"> Australian Energy Regulator (</w:t>
      </w:r>
      <w:r w:rsidR="00D121D6">
        <w:rPr>
          <w:rFonts w:eastAsia="SimSun"/>
          <w:lang w:eastAsia="en-US"/>
        </w:rPr>
        <w:t>AER</w:t>
      </w:r>
      <w:r w:rsidR="00F14B7D">
        <w:rPr>
          <w:rFonts w:eastAsia="SimSun"/>
          <w:lang w:eastAsia="en-US"/>
        </w:rPr>
        <w:t>)</w:t>
      </w:r>
      <w:r w:rsidR="00B80B82" w:rsidRPr="002334CC">
        <w:rPr>
          <w:rFonts w:eastAsia="SimSun"/>
          <w:lang w:eastAsia="en-US"/>
        </w:rPr>
        <w:t xml:space="preserve"> being funded for budget measures involving new (or expanded) functions and market studies</w:t>
      </w:r>
      <w:r>
        <w:rPr>
          <w:rFonts w:eastAsia="SimSun"/>
          <w:lang w:eastAsia="en-US"/>
        </w:rPr>
        <w:t>.</w:t>
      </w:r>
    </w:p>
    <w:p w14:paraId="2E97CBB6" w14:textId="6D1359F9" w:rsidR="002334CC" w:rsidRPr="002334CC" w:rsidRDefault="00965E8B" w:rsidP="00EB7AE9">
      <w:pPr>
        <w:pStyle w:val="ListBulletLast"/>
        <w:rPr>
          <w:rFonts w:eastAsia="SimSun"/>
          <w:lang w:eastAsia="en-US"/>
        </w:rPr>
      </w:pPr>
      <w:r>
        <w:rPr>
          <w:rFonts w:eastAsia="SimSun"/>
          <w:lang w:eastAsia="en-US"/>
        </w:rPr>
        <w:t>T</w:t>
      </w:r>
      <w:r w:rsidR="00B80B82" w:rsidRPr="002334CC">
        <w:rPr>
          <w:rFonts w:eastAsia="SimSun"/>
          <w:lang w:eastAsia="en-US"/>
        </w:rPr>
        <w:t>elecommunications staff transferr</w:t>
      </w:r>
      <w:r w:rsidR="00083F84">
        <w:rPr>
          <w:rFonts w:eastAsia="SimSun"/>
          <w:lang w:eastAsia="en-US"/>
        </w:rPr>
        <w:t>ing</w:t>
      </w:r>
      <w:r w:rsidR="00B80B82" w:rsidRPr="002334CC">
        <w:rPr>
          <w:rFonts w:eastAsia="SimSun"/>
          <w:lang w:eastAsia="en-US"/>
        </w:rPr>
        <w:t xml:space="preserve"> to other areas within the ACCC and the AER to progress the urgent delivery of the new budget measures. Filling the staff vacancies was not an immediate priority as the telecommunications regulation cycle was largely in a downward phase due to many access declarations and determinations finalised in 2016</w:t>
      </w:r>
      <w:r w:rsidR="00E74157">
        <w:t>–</w:t>
      </w:r>
      <w:r w:rsidR="00B80B82" w:rsidRPr="002334CC">
        <w:rPr>
          <w:rFonts w:eastAsia="SimSun"/>
          <w:lang w:eastAsia="en-US"/>
        </w:rPr>
        <w:t>17 and early 2017</w:t>
      </w:r>
      <w:r w:rsidR="00E74157">
        <w:t>–</w:t>
      </w:r>
      <w:r w:rsidR="00B80B82" w:rsidRPr="002334CC">
        <w:rPr>
          <w:rFonts w:eastAsia="SimSun"/>
          <w:lang w:eastAsia="en-US"/>
        </w:rPr>
        <w:t xml:space="preserve">18. </w:t>
      </w:r>
    </w:p>
    <w:p w14:paraId="1F416E80" w14:textId="68D9C946" w:rsidR="00B80B82" w:rsidRDefault="00B80B82" w:rsidP="00B80B82">
      <w:pPr>
        <w:rPr>
          <w:rFonts w:eastAsia="SimSun"/>
          <w:lang w:eastAsia="en-US"/>
        </w:rPr>
      </w:pPr>
      <w:r w:rsidRPr="002334CC">
        <w:rPr>
          <w:rFonts w:eastAsia="SimSun"/>
          <w:lang w:eastAsia="en-US"/>
        </w:rPr>
        <w:t xml:space="preserve">The reduction in employee costs was partially offset by an increase in consultancies. The increase results from the one-off engagement of market experts to help progress the market study of the telecommunications sector and provide independent procurement advice on the tender process for the </w:t>
      </w:r>
      <w:r w:rsidR="009D3691">
        <w:rPr>
          <w:rFonts w:eastAsia="SimSun"/>
          <w:lang w:eastAsia="en-US"/>
        </w:rPr>
        <w:t>MBA</w:t>
      </w:r>
      <w:r w:rsidRPr="002334CC">
        <w:rPr>
          <w:rFonts w:eastAsia="SimSun"/>
          <w:lang w:eastAsia="en-US"/>
        </w:rPr>
        <w:t xml:space="preserve"> program.   </w:t>
      </w:r>
    </w:p>
    <w:p w14:paraId="4F69D1C7" w14:textId="7CAC7AB8" w:rsidR="00616057" w:rsidRPr="00197CD7" w:rsidRDefault="00616057" w:rsidP="00673D1F">
      <w:pPr>
        <w:pStyle w:val="ACMATableHeader"/>
        <w:rPr>
          <w:rFonts w:eastAsia="SimSun"/>
          <w:color w:val="auto"/>
        </w:rPr>
      </w:pPr>
      <w:r w:rsidRPr="00197CD7">
        <w:rPr>
          <w:color w:val="auto"/>
        </w:rPr>
        <w:t xml:space="preserve">The </w:t>
      </w:r>
      <w:r w:rsidRPr="0053132B">
        <w:rPr>
          <w:color w:val="auto"/>
        </w:rPr>
        <w:t>ACCC’s cost component</w:t>
      </w:r>
    </w:p>
    <w:tbl>
      <w:tblPr>
        <w:tblStyle w:val="TableGrid"/>
        <w:tblW w:w="7513" w:type="dxa"/>
        <w:tblInd w:w="-5" w:type="dxa"/>
        <w:tblLayout w:type="fixed"/>
        <w:tblCellMar>
          <w:top w:w="57" w:type="dxa"/>
          <w:bottom w:w="57" w:type="dxa"/>
        </w:tblCellMar>
        <w:tblLook w:val="04A0" w:firstRow="1" w:lastRow="0" w:firstColumn="1" w:lastColumn="0" w:noHBand="0" w:noVBand="1"/>
        <w:tblCaption w:val="The ACCC’s cost component"/>
        <w:tblDescription w:val="Includes costs for employees, consultancy and travel, and overheads as well as percentage change."/>
      </w:tblPr>
      <w:tblGrid>
        <w:gridCol w:w="2089"/>
        <w:gridCol w:w="1880"/>
        <w:gridCol w:w="1985"/>
        <w:gridCol w:w="1559"/>
      </w:tblGrid>
      <w:tr w:rsidR="00616057" w:rsidRPr="009A2EB4" w14:paraId="3E044C0A" w14:textId="77777777" w:rsidTr="000269F7">
        <w:trPr>
          <w:tblHeader/>
        </w:trPr>
        <w:tc>
          <w:tcPr>
            <w:tcW w:w="2089" w:type="dxa"/>
            <w:shd w:val="clear" w:color="auto" w:fill="404040" w:themeFill="text1" w:themeFillTint="BF"/>
          </w:tcPr>
          <w:p w14:paraId="29A1911E" w14:textId="77777777" w:rsidR="00616057" w:rsidRPr="00451B25" w:rsidRDefault="00616057" w:rsidP="000269F7">
            <w:pPr>
              <w:pStyle w:val="TableHeading"/>
              <w:rPr>
                <w:rFonts w:eastAsia="SimSun"/>
                <w:b w:val="0"/>
                <w:color w:val="FFFFFF" w:themeColor="background1"/>
                <w:lang w:eastAsia="en-US"/>
              </w:rPr>
            </w:pPr>
            <w:r w:rsidRPr="00451B25">
              <w:rPr>
                <w:rFonts w:eastAsia="SimSun"/>
                <w:color w:val="FFFFFF" w:themeColor="background1"/>
                <w:lang w:eastAsia="en-US"/>
              </w:rPr>
              <w:lastRenderedPageBreak/>
              <w:t>Costs</w:t>
            </w:r>
          </w:p>
        </w:tc>
        <w:tc>
          <w:tcPr>
            <w:tcW w:w="1880" w:type="dxa"/>
            <w:shd w:val="clear" w:color="auto" w:fill="404040" w:themeFill="text1" w:themeFillTint="BF"/>
          </w:tcPr>
          <w:p w14:paraId="3648ECDD" w14:textId="12C98558" w:rsidR="00616057" w:rsidRPr="00451B25" w:rsidRDefault="00616057" w:rsidP="00965E8B">
            <w:pPr>
              <w:pStyle w:val="TableHeading"/>
              <w:spacing w:after="80"/>
              <w:rPr>
                <w:rFonts w:eastAsia="SimSun"/>
                <w:b w:val="0"/>
                <w:color w:val="FFFFFF" w:themeColor="background1"/>
                <w:lang w:eastAsia="en-US"/>
              </w:rPr>
            </w:pPr>
            <w:r w:rsidRPr="00451B25">
              <w:rPr>
                <w:rFonts w:eastAsia="SimSun"/>
                <w:color w:val="FFFFFF" w:themeColor="background1"/>
                <w:lang w:eastAsia="en-US"/>
              </w:rPr>
              <w:t>201</w:t>
            </w:r>
            <w:r w:rsidR="002334CC">
              <w:rPr>
                <w:rFonts w:eastAsia="SimSun"/>
                <w:color w:val="FFFFFF" w:themeColor="background1"/>
                <w:lang w:eastAsia="en-US"/>
              </w:rPr>
              <w:t>8</w:t>
            </w:r>
            <w:r w:rsidRPr="00451B25">
              <w:rPr>
                <w:rFonts w:eastAsia="SimSun"/>
                <w:color w:val="FFFFFF" w:themeColor="background1"/>
                <w:lang w:eastAsia="en-US"/>
              </w:rPr>
              <w:t>–1</w:t>
            </w:r>
            <w:r w:rsidR="002334CC">
              <w:rPr>
                <w:rFonts w:eastAsia="SimSun"/>
                <w:color w:val="FFFFFF" w:themeColor="background1"/>
                <w:lang w:eastAsia="en-US"/>
              </w:rPr>
              <w:t>9</w:t>
            </w:r>
          </w:p>
          <w:p w14:paraId="26B3A045" w14:textId="1A7A3370" w:rsidR="00616057" w:rsidRPr="00451B25" w:rsidRDefault="00616057" w:rsidP="00965E8B">
            <w:pPr>
              <w:pStyle w:val="TableHeading"/>
              <w:rPr>
                <w:rFonts w:eastAsia="SimSun"/>
                <w:b w:val="0"/>
                <w:color w:val="FFFFFF" w:themeColor="background1"/>
                <w:lang w:eastAsia="en-US"/>
              </w:rPr>
            </w:pPr>
            <w:r w:rsidRPr="00451B25">
              <w:rPr>
                <w:rFonts w:eastAsia="SimSun"/>
                <w:color w:val="FFFFFF" w:themeColor="background1"/>
                <w:lang w:eastAsia="en-US"/>
              </w:rPr>
              <w:t xml:space="preserve">(based on </w:t>
            </w:r>
            <w:r w:rsidRPr="00451B25">
              <w:rPr>
                <w:rFonts w:eastAsia="SimSun"/>
                <w:color w:val="FFFFFF" w:themeColor="background1"/>
                <w:lang w:eastAsia="en-US"/>
              </w:rPr>
              <w:br/>
              <w:t>201</w:t>
            </w:r>
            <w:r w:rsidR="002334CC">
              <w:rPr>
                <w:rFonts w:eastAsia="SimSun"/>
                <w:color w:val="FFFFFF" w:themeColor="background1"/>
                <w:lang w:eastAsia="en-US"/>
              </w:rPr>
              <w:t>7</w:t>
            </w:r>
            <w:r w:rsidRPr="00451B25">
              <w:rPr>
                <w:rFonts w:eastAsia="SimSun"/>
                <w:color w:val="FFFFFF" w:themeColor="background1"/>
                <w:lang w:eastAsia="en-US"/>
              </w:rPr>
              <w:t>–1</w:t>
            </w:r>
            <w:r w:rsidR="002334CC">
              <w:rPr>
                <w:rFonts w:eastAsia="SimSun"/>
                <w:color w:val="FFFFFF" w:themeColor="background1"/>
                <w:lang w:eastAsia="en-US"/>
              </w:rPr>
              <w:t>8</w:t>
            </w:r>
            <w:r w:rsidRPr="00451B25">
              <w:rPr>
                <w:rFonts w:eastAsia="SimSun"/>
                <w:color w:val="FFFFFF" w:themeColor="background1"/>
                <w:lang w:eastAsia="en-US"/>
              </w:rPr>
              <w:t xml:space="preserve"> costs)</w:t>
            </w:r>
          </w:p>
        </w:tc>
        <w:tc>
          <w:tcPr>
            <w:tcW w:w="1985" w:type="dxa"/>
            <w:shd w:val="clear" w:color="auto" w:fill="404040" w:themeFill="text1" w:themeFillTint="BF"/>
          </w:tcPr>
          <w:p w14:paraId="54184391" w14:textId="2F507FEB" w:rsidR="00616057" w:rsidRPr="00451B25" w:rsidRDefault="00616057" w:rsidP="00965E8B">
            <w:pPr>
              <w:pStyle w:val="TableHeading"/>
              <w:spacing w:after="80"/>
              <w:rPr>
                <w:rFonts w:eastAsia="SimSun"/>
                <w:b w:val="0"/>
                <w:color w:val="FFFFFF" w:themeColor="background1"/>
                <w:lang w:eastAsia="en-US"/>
              </w:rPr>
            </w:pPr>
            <w:r w:rsidRPr="00451B25">
              <w:rPr>
                <w:rFonts w:eastAsia="SimSun"/>
                <w:color w:val="FFFFFF" w:themeColor="background1"/>
                <w:lang w:eastAsia="en-US"/>
              </w:rPr>
              <w:t>201</w:t>
            </w:r>
            <w:r w:rsidR="002334CC">
              <w:rPr>
                <w:rFonts w:eastAsia="SimSun"/>
                <w:color w:val="FFFFFF" w:themeColor="background1"/>
                <w:lang w:eastAsia="en-US"/>
              </w:rPr>
              <w:t>7</w:t>
            </w:r>
            <w:r w:rsidRPr="00451B25">
              <w:rPr>
                <w:rFonts w:eastAsia="SimSun"/>
                <w:color w:val="FFFFFF" w:themeColor="background1"/>
                <w:lang w:eastAsia="en-US"/>
              </w:rPr>
              <w:t>–1</w:t>
            </w:r>
            <w:r w:rsidR="002334CC">
              <w:rPr>
                <w:rFonts w:eastAsia="SimSun"/>
                <w:color w:val="FFFFFF" w:themeColor="background1"/>
                <w:lang w:eastAsia="en-US"/>
              </w:rPr>
              <w:t>8</w:t>
            </w:r>
          </w:p>
          <w:p w14:paraId="41E4FCF9" w14:textId="3F93FC16" w:rsidR="00616057" w:rsidRPr="00451B25" w:rsidRDefault="00616057" w:rsidP="00965E8B">
            <w:pPr>
              <w:pStyle w:val="TableHeading"/>
              <w:rPr>
                <w:rFonts w:eastAsia="SimSun"/>
                <w:b w:val="0"/>
                <w:color w:val="FFFFFF" w:themeColor="background1"/>
                <w:lang w:eastAsia="en-US"/>
              </w:rPr>
            </w:pPr>
            <w:r w:rsidRPr="00451B25">
              <w:rPr>
                <w:rFonts w:eastAsia="SimSun"/>
                <w:color w:val="FFFFFF" w:themeColor="background1"/>
                <w:lang w:eastAsia="en-US"/>
              </w:rPr>
              <w:t xml:space="preserve">(based on </w:t>
            </w:r>
            <w:r w:rsidRPr="00451B25">
              <w:rPr>
                <w:rFonts w:eastAsia="SimSun"/>
                <w:color w:val="FFFFFF" w:themeColor="background1"/>
                <w:lang w:eastAsia="en-US"/>
              </w:rPr>
              <w:br/>
              <w:t>201</w:t>
            </w:r>
            <w:r w:rsidR="002334CC">
              <w:rPr>
                <w:rFonts w:eastAsia="SimSun"/>
                <w:color w:val="FFFFFF" w:themeColor="background1"/>
                <w:lang w:eastAsia="en-US"/>
              </w:rPr>
              <w:t>6</w:t>
            </w:r>
            <w:r w:rsidRPr="00451B25">
              <w:rPr>
                <w:rFonts w:eastAsia="SimSun"/>
                <w:color w:val="FFFFFF" w:themeColor="background1"/>
                <w:lang w:eastAsia="en-US"/>
              </w:rPr>
              <w:t>–1</w:t>
            </w:r>
            <w:r w:rsidR="002334CC">
              <w:rPr>
                <w:rFonts w:eastAsia="SimSun"/>
                <w:color w:val="FFFFFF" w:themeColor="background1"/>
                <w:lang w:eastAsia="en-US"/>
              </w:rPr>
              <w:t>7</w:t>
            </w:r>
            <w:r w:rsidRPr="00451B25">
              <w:rPr>
                <w:rFonts w:eastAsia="SimSun"/>
                <w:color w:val="FFFFFF" w:themeColor="background1"/>
                <w:lang w:eastAsia="en-US"/>
              </w:rPr>
              <w:t xml:space="preserve"> costs)</w:t>
            </w:r>
          </w:p>
        </w:tc>
        <w:tc>
          <w:tcPr>
            <w:tcW w:w="1559" w:type="dxa"/>
            <w:shd w:val="clear" w:color="auto" w:fill="404040" w:themeFill="text1" w:themeFillTint="BF"/>
          </w:tcPr>
          <w:p w14:paraId="08C9BA7F" w14:textId="77777777" w:rsidR="00616057" w:rsidRPr="00451B25" w:rsidRDefault="00616057" w:rsidP="00965E8B">
            <w:pPr>
              <w:pStyle w:val="TableHeading"/>
              <w:rPr>
                <w:rFonts w:eastAsia="SimSun"/>
                <w:b w:val="0"/>
                <w:color w:val="FFFFFF" w:themeColor="background1"/>
                <w:lang w:eastAsia="en-US"/>
              </w:rPr>
            </w:pPr>
            <w:r w:rsidRPr="00451B25">
              <w:rPr>
                <w:rFonts w:eastAsia="SimSun"/>
                <w:color w:val="FFFFFF" w:themeColor="background1"/>
                <w:lang w:eastAsia="en-US"/>
              </w:rPr>
              <w:t>% change*</w:t>
            </w:r>
          </w:p>
        </w:tc>
      </w:tr>
      <w:tr w:rsidR="002334CC" w:rsidRPr="009A2EB4" w14:paraId="1DA99E78" w14:textId="77777777" w:rsidTr="000269F7">
        <w:tc>
          <w:tcPr>
            <w:tcW w:w="2089" w:type="dxa"/>
          </w:tcPr>
          <w:p w14:paraId="45E5F46C" w14:textId="77777777" w:rsidR="002334CC" w:rsidRPr="009A2EB4" w:rsidRDefault="002334CC" w:rsidP="002334CC">
            <w:pPr>
              <w:spacing w:after="0"/>
              <w:rPr>
                <w:rFonts w:eastAsia="SimSun" w:cs="Arial"/>
                <w:szCs w:val="20"/>
                <w:lang w:eastAsia="en-US"/>
              </w:rPr>
            </w:pPr>
            <w:r w:rsidRPr="009A2EB4">
              <w:rPr>
                <w:rFonts w:eastAsia="Calibri" w:cs="Arial"/>
                <w:szCs w:val="20"/>
              </w:rPr>
              <w:t>Employees</w:t>
            </w:r>
          </w:p>
        </w:tc>
        <w:tc>
          <w:tcPr>
            <w:tcW w:w="1880" w:type="dxa"/>
          </w:tcPr>
          <w:p w14:paraId="21DEB671" w14:textId="65AC2170" w:rsidR="002334CC" w:rsidRPr="009A2EB4" w:rsidRDefault="002334CC" w:rsidP="00965E8B">
            <w:pPr>
              <w:spacing w:after="0"/>
              <w:rPr>
                <w:rFonts w:eastAsia="SimSun" w:cs="Arial"/>
                <w:szCs w:val="20"/>
                <w:lang w:eastAsia="en-US"/>
              </w:rPr>
            </w:pPr>
            <w:r w:rsidRPr="00FC618D">
              <w:t xml:space="preserve"> $7,994,219 </w:t>
            </w:r>
          </w:p>
        </w:tc>
        <w:tc>
          <w:tcPr>
            <w:tcW w:w="1985" w:type="dxa"/>
          </w:tcPr>
          <w:p w14:paraId="7809D368" w14:textId="197D75DB" w:rsidR="002334CC" w:rsidRPr="009A2EB4" w:rsidRDefault="002334CC" w:rsidP="00965E8B">
            <w:pPr>
              <w:spacing w:after="0"/>
              <w:rPr>
                <w:rFonts w:eastAsia="SimSun" w:cs="Arial"/>
                <w:szCs w:val="20"/>
                <w:lang w:eastAsia="en-US"/>
              </w:rPr>
            </w:pPr>
            <w:r w:rsidRPr="00FC618D">
              <w:t xml:space="preserve"> $9,438,026 </w:t>
            </w:r>
          </w:p>
        </w:tc>
        <w:tc>
          <w:tcPr>
            <w:tcW w:w="1559" w:type="dxa"/>
          </w:tcPr>
          <w:p w14:paraId="2C002C20" w14:textId="7FD152E0" w:rsidR="002334CC" w:rsidRPr="009A2EB4" w:rsidRDefault="002334CC" w:rsidP="00965E8B">
            <w:pPr>
              <w:spacing w:after="0"/>
              <w:rPr>
                <w:rFonts w:eastAsia="SimSun" w:cs="Arial"/>
                <w:szCs w:val="20"/>
                <w:lang w:eastAsia="en-US"/>
              </w:rPr>
            </w:pPr>
            <w:r w:rsidRPr="00FC618D">
              <w:rPr>
                <w:rFonts w:cs="Arial"/>
                <w:color w:val="000000"/>
                <w:szCs w:val="20"/>
              </w:rPr>
              <w:t>(15.3%)</w:t>
            </w:r>
          </w:p>
        </w:tc>
      </w:tr>
      <w:tr w:rsidR="002334CC" w:rsidRPr="009A2EB4" w14:paraId="0BE15FEB" w14:textId="77777777" w:rsidTr="000269F7">
        <w:tc>
          <w:tcPr>
            <w:tcW w:w="2089" w:type="dxa"/>
          </w:tcPr>
          <w:p w14:paraId="0F312914" w14:textId="77777777" w:rsidR="002334CC" w:rsidRPr="009A2EB4" w:rsidRDefault="002334CC" w:rsidP="002334CC">
            <w:pPr>
              <w:spacing w:after="0"/>
              <w:rPr>
                <w:rFonts w:eastAsia="SimSun" w:cs="Arial"/>
                <w:szCs w:val="20"/>
                <w:lang w:eastAsia="en-US"/>
              </w:rPr>
            </w:pPr>
            <w:r w:rsidRPr="009A2EB4">
              <w:rPr>
                <w:rFonts w:eastAsia="Calibri" w:cs="Arial"/>
                <w:szCs w:val="20"/>
              </w:rPr>
              <w:t>Consultancy and travel</w:t>
            </w:r>
          </w:p>
        </w:tc>
        <w:tc>
          <w:tcPr>
            <w:tcW w:w="1880" w:type="dxa"/>
          </w:tcPr>
          <w:p w14:paraId="6C01A2AE" w14:textId="29CA6329" w:rsidR="002334CC" w:rsidRPr="009A2EB4" w:rsidRDefault="002334CC" w:rsidP="00965E8B">
            <w:pPr>
              <w:spacing w:after="0"/>
              <w:rPr>
                <w:rFonts w:eastAsia="SimSun" w:cs="Arial"/>
                <w:szCs w:val="20"/>
                <w:lang w:eastAsia="en-US"/>
              </w:rPr>
            </w:pPr>
            <w:r w:rsidRPr="00FC618D">
              <w:t xml:space="preserve"> $544,592 </w:t>
            </w:r>
          </w:p>
        </w:tc>
        <w:tc>
          <w:tcPr>
            <w:tcW w:w="1985" w:type="dxa"/>
          </w:tcPr>
          <w:p w14:paraId="15CAD2D1" w14:textId="29FDDB88" w:rsidR="002334CC" w:rsidRPr="009A2EB4" w:rsidRDefault="002334CC" w:rsidP="00965E8B">
            <w:pPr>
              <w:spacing w:after="0"/>
              <w:rPr>
                <w:rFonts w:eastAsia="SimSun" w:cs="Arial"/>
                <w:szCs w:val="20"/>
                <w:lang w:eastAsia="en-US"/>
              </w:rPr>
            </w:pPr>
            <w:r w:rsidRPr="00FC618D">
              <w:t xml:space="preserve"> $368,941 </w:t>
            </w:r>
          </w:p>
        </w:tc>
        <w:tc>
          <w:tcPr>
            <w:tcW w:w="1559" w:type="dxa"/>
          </w:tcPr>
          <w:p w14:paraId="21065B18" w14:textId="791D9B93" w:rsidR="002334CC" w:rsidRPr="009A2EB4" w:rsidRDefault="002334CC" w:rsidP="00965E8B">
            <w:pPr>
              <w:spacing w:after="0"/>
              <w:rPr>
                <w:rFonts w:eastAsia="SimSun" w:cs="Arial"/>
                <w:szCs w:val="20"/>
                <w:lang w:eastAsia="en-US"/>
              </w:rPr>
            </w:pPr>
            <w:r w:rsidRPr="00FC618D">
              <w:rPr>
                <w:rFonts w:cs="Arial"/>
                <w:color w:val="000000"/>
                <w:szCs w:val="20"/>
              </w:rPr>
              <w:t>47.6%</w:t>
            </w:r>
          </w:p>
        </w:tc>
      </w:tr>
      <w:tr w:rsidR="002334CC" w:rsidRPr="009A2EB4" w14:paraId="5B1C918C" w14:textId="77777777" w:rsidTr="000269F7">
        <w:tc>
          <w:tcPr>
            <w:tcW w:w="2089" w:type="dxa"/>
          </w:tcPr>
          <w:p w14:paraId="602976B0" w14:textId="77777777" w:rsidR="002334CC" w:rsidRPr="009A2EB4" w:rsidRDefault="002334CC" w:rsidP="002334CC">
            <w:pPr>
              <w:spacing w:after="0"/>
              <w:rPr>
                <w:rFonts w:eastAsia="SimSun" w:cs="Arial"/>
                <w:szCs w:val="20"/>
                <w:lang w:eastAsia="en-US"/>
              </w:rPr>
            </w:pPr>
            <w:r w:rsidRPr="009A2EB4">
              <w:rPr>
                <w:rFonts w:eastAsia="Calibri" w:cs="Arial"/>
                <w:szCs w:val="20"/>
              </w:rPr>
              <w:t xml:space="preserve">Overheads </w:t>
            </w:r>
          </w:p>
        </w:tc>
        <w:tc>
          <w:tcPr>
            <w:tcW w:w="1880" w:type="dxa"/>
          </w:tcPr>
          <w:p w14:paraId="31BB203F" w14:textId="5DC35616" w:rsidR="002334CC" w:rsidRPr="009A2EB4" w:rsidRDefault="002334CC" w:rsidP="00965E8B">
            <w:pPr>
              <w:spacing w:after="0"/>
              <w:rPr>
                <w:rFonts w:eastAsia="SimSun" w:cs="Arial"/>
                <w:szCs w:val="20"/>
                <w:lang w:eastAsia="en-US"/>
              </w:rPr>
            </w:pPr>
            <w:r w:rsidRPr="00FC618D">
              <w:t xml:space="preserve"> $3,225,198 </w:t>
            </w:r>
          </w:p>
        </w:tc>
        <w:tc>
          <w:tcPr>
            <w:tcW w:w="1985" w:type="dxa"/>
          </w:tcPr>
          <w:p w14:paraId="72D0D059" w14:textId="27F9DD77" w:rsidR="002334CC" w:rsidRPr="009A2EB4" w:rsidRDefault="002334CC" w:rsidP="00965E8B">
            <w:pPr>
              <w:spacing w:after="0"/>
              <w:rPr>
                <w:rFonts w:eastAsia="SimSun" w:cs="Arial"/>
                <w:szCs w:val="20"/>
                <w:lang w:eastAsia="en-US"/>
              </w:rPr>
            </w:pPr>
            <w:r w:rsidRPr="00FC618D">
              <w:t xml:space="preserve"> $3,302,206 </w:t>
            </w:r>
          </w:p>
        </w:tc>
        <w:tc>
          <w:tcPr>
            <w:tcW w:w="1559" w:type="dxa"/>
            <w:tcBorders>
              <w:bottom w:val="single" w:sz="4" w:space="0" w:color="auto"/>
            </w:tcBorders>
          </w:tcPr>
          <w:p w14:paraId="4FD5E0C4" w14:textId="400E873B" w:rsidR="002334CC" w:rsidRPr="009A2EB4" w:rsidRDefault="002334CC" w:rsidP="00965E8B">
            <w:pPr>
              <w:spacing w:after="0"/>
              <w:rPr>
                <w:rFonts w:eastAsia="SimSun" w:cs="Arial"/>
                <w:szCs w:val="20"/>
                <w:lang w:eastAsia="en-US"/>
              </w:rPr>
            </w:pPr>
            <w:r w:rsidRPr="00FC618D">
              <w:rPr>
                <w:rFonts w:cs="Arial"/>
                <w:color w:val="000000"/>
                <w:szCs w:val="20"/>
              </w:rPr>
              <w:t>(2.3%)</w:t>
            </w:r>
          </w:p>
        </w:tc>
      </w:tr>
      <w:tr w:rsidR="002334CC" w:rsidRPr="009A2EB4" w14:paraId="2E07FF70" w14:textId="77777777" w:rsidTr="000269F7">
        <w:tc>
          <w:tcPr>
            <w:tcW w:w="2089" w:type="dxa"/>
            <w:shd w:val="clear" w:color="auto" w:fill="D9D9D9" w:themeFill="background1" w:themeFillShade="D9"/>
          </w:tcPr>
          <w:p w14:paraId="72089999" w14:textId="77777777" w:rsidR="002334CC" w:rsidRPr="009A2EB4" w:rsidRDefault="002334CC" w:rsidP="002334CC">
            <w:pPr>
              <w:spacing w:after="0"/>
              <w:rPr>
                <w:rFonts w:eastAsia="SimSun" w:cs="Arial"/>
                <w:szCs w:val="20"/>
                <w:lang w:eastAsia="en-US"/>
              </w:rPr>
            </w:pPr>
            <w:r w:rsidRPr="009A2EB4">
              <w:rPr>
                <w:rFonts w:eastAsia="Calibri" w:cs="Arial"/>
                <w:b/>
                <w:bCs/>
                <w:szCs w:val="20"/>
              </w:rPr>
              <w:t>Total costs</w:t>
            </w:r>
          </w:p>
        </w:tc>
        <w:tc>
          <w:tcPr>
            <w:tcW w:w="1880" w:type="dxa"/>
            <w:shd w:val="clear" w:color="auto" w:fill="D9D9D9" w:themeFill="background1" w:themeFillShade="D9"/>
          </w:tcPr>
          <w:p w14:paraId="4EF97872" w14:textId="22111093" w:rsidR="002334CC" w:rsidRPr="009A2EB4" w:rsidRDefault="002334CC" w:rsidP="00965E8B">
            <w:pPr>
              <w:spacing w:after="0"/>
              <w:rPr>
                <w:rFonts w:eastAsia="SimSun" w:cs="Arial"/>
                <w:szCs w:val="20"/>
                <w:lang w:eastAsia="en-US"/>
              </w:rPr>
            </w:pPr>
            <w:r w:rsidRPr="00FC618D">
              <w:rPr>
                <w:rFonts w:cs="Arial"/>
                <w:b/>
                <w:bCs/>
                <w:color w:val="000000"/>
                <w:szCs w:val="20"/>
              </w:rPr>
              <w:t>$11,764,009</w:t>
            </w:r>
          </w:p>
        </w:tc>
        <w:tc>
          <w:tcPr>
            <w:tcW w:w="1985" w:type="dxa"/>
            <w:shd w:val="clear" w:color="auto" w:fill="D9D9D9" w:themeFill="background1" w:themeFillShade="D9"/>
          </w:tcPr>
          <w:p w14:paraId="538E7C9D" w14:textId="3D3C8D9D" w:rsidR="002334CC" w:rsidRPr="009A2EB4" w:rsidRDefault="002334CC" w:rsidP="00965E8B">
            <w:pPr>
              <w:spacing w:after="0"/>
              <w:rPr>
                <w:rFonts w:eastAsia="SimSun" w:cs="Arial"/>
                <w:szCs w:val="20"/>
                <w:lang w:eastAsia="en-US"/>
              </w:rPr>
            </w:pPr>
            <w:r w:rsidRPr="00FC618D">
              <w:rPr>
                <w:rFonts w:cs="Arial"/>
                <w:b/>
                <w:bCs/>
                <w:color w:val="000000"/>
                <w:szCs w:val="20"/>
              </w:rPr>
              <w:t>$13,109,173</w:t>
            </w:r>
          </w:p>
        </w:tc>
        <w:tc>
          <w:tcPr>
            <w:tcW w:w="1559" w:type="dxa"/>
            <w:shd w:val="clear" w:color="auto" w:fill="D9D9D9" w:themeFill="background1" w:themeFillShade="D9"/>
          </w:tcPr>
          <w:p w14:paraId="1C4F6CA7" w14:textId="65943AA8" w:rsidR="002334CC" w:rsidRPr="009A2EB4" w:rsidRDefault="002334CC" w:rsidP="00965E8B">
            <w:pPr>
              <w:spacing w:after="0"/>
              <w:rPr>
                <w:rFonts w:eastAsia="SimSun" w:cs="Arial"/>
                <w:szCs w:val="20"/>
                <w:lang w:eastAsia="en-US"/>
              </w:rPr>
            </w:pPr>
            <w:r w:rsidRPr="00FC618D">
              <w:rPr>
                <w:rFonts w:cs="Arial"/>
                <w:b/>
                <w:bCs/>
                <w:color w:val="000000"/>
                <w:szCs w:val="20"/>
              </w:rPr>
              <w:t>(10.3%)</w:t>
            </w:r>
          </w:p>
        </w:tc>
      </w:tr>
    </w:tbl>
    <w:p w14:paraId="03DF2B15" w14:textId="7D528F90" w:rsidR="0093407C" w:rsidRDefault="0093407C" w:rsidP="0093407C">
      <w:pPr>
        <w:pStyle w:val="ACMASpaceaftertable"/>
      </w:pPr>
      <w:r w:rsidRPr="001A3BDB">
        <w:rPr>
          <w:i/>
          <w:sz w:val="16"/>
          <w:szCs w:val="16"/>
        </w:rPr>
        <w:t>*</w:t>
      </w:r>
      <w:r w:rsidR="00965E8B">
        <w:rPr>
          <w:i/>
          <w:sz w:val="16"/>
          <w:szCs w:val="16"/>
        </w:rPr>
        <w:t>I</w:t>
      </w:r>
      <w:r w:rsidRPr="001A3BDB">
        <w:rPr>
          <w:i/>
          <w:sz w:val="16"/>
          <w:szCs w:val="16"/>
        </w:rPr>
        <w:t>ncrease/</w:t>
      </w:r>
      <w:r w:rsidRPr="00BD44CE">
        <w:rPr>
          <w:iCs/>
          <w:sz w:val="16"/>
          <w:szCs w:val="16"/>
        </w:rPr>
        <w:t>(</w:t>
      </w:r>
      <w:r w:rsidRPr="001A3BDB">
        <w:rPr>
          <w:i/>
          <w:sz w:val="16"/>
          <w:szCs w:val="16"/>
        </w:rPr>
        <w:t>decrease</w:t>
      </w:r>
      <w:r w:rsidR="00670770">
        <w:rPr>
          <w:i/>
          <w:sz w:val="16"/>
          <w:szCs w:val="16"/>
        </w:rPr>
        <w:t>)</w:t>
      </w:r>
      <w:r w:rsidR="00627665">
        <w:t>.</w:t>
      </w:r>
    </w:p>
    <w:p w14:paraId="23846B5E" w14:textId="1668AFD0" w:rsidR="009E783D" w:rsidRDefault="009E783D" w:rsidP="003F7E3A">
      <w:pPr>
        <w:pStyle w:val="Heading2"/>
        <w:spacing w:after="240"/>
      </w:pPr>
      <w:bookmarkStart w:id="85" w:name="_Toc417990952"/>
      <w:bookmarkStart w:id="86" w:name="_Toc511634394"/>
      <w:bookmarkStart w:id="87" w:name="_Toc26786334"/>
      <w:r w:rsidRPr="003F7E3A">
        <w:t>3.3</w:t>
      </w:r>
      <w:r w:rsidRPr="003F7E3A">
        <w:tab/>
        <w:t>Determination of cost component</w:t>
      </w:r>
      <w:r w:rsidR="00627665">
        <w:t xml:space="preserve"> for </w:t>
      </w:r>
      <w:r w:rsidRPr="003F7E3A">
        <w:t xml:space="preserve">the ITU </w:t>
      </w:r>
      <w:bookmarkEnd w:id="85"/>
      <w:r w:rsidRPr="003F7E3A">
        <w:t>activity</w:t>
      </w:r>
      <w:bookmarkEnd w:id="86"/>
      <w:bookmarkEnd w:id="87"/>
    </w:p>
    <w:p w14:paraId="620A9665" w14:textId="7A0290B3" w:rsidR="00BB73E8" w:rsidRPr="00BB73E8" w:rsidRDefault="00BB73E8" w:rsidP="00BB73E8">
      <w:bookmarkStart w:id="88" w:name="_Hlk10637913"/>
      <w:r>
        <w:t>The</w:t>
      </w:r>
      <w:r w:rsidRPr="007368D9">
        <w:t xml:space="preserve"> </w:t>
      </w:r>
      <w:r>
        <w:t xml:space="preserve">information in this section has been provided by </w:t>
      </w:r>
      <w:proofErr w:type="spellStart"/>
      <w:r>
        <w:t>DoCA</w:t>
      </w:r>
      <w:proofErr w:type="spellEnd"/>
      <w:r w:rsidR="004B4A19">
        <w:t>,</w:t>
      </w:r>
      <w:r>
        <w:t xml:space="preserve"> </w:t>
      </w:r>
      <w:r w:rsidRPr="007368D9">
        <w:t xml:space="preserve">setting out the cost recovery model it has used </w:t>
      </w:r>
      <w:r w:rsidR="004C7DEC">
        <w:t>for the calculation of relevant cost</w:t>
      </w:r>
      <w:r w:rsidR="00FB1498">
        <w:t>s</w:t>
      </w:r>
      <w:r w:rsidR="004C7DEC">
        <w:t xml:space="preserve"> </w:t>
      </w:r>
      <w:r w:rsidR="00765013">
        <w:t xml:space="preserve">to be included in </w:t>
      </w:r>
      <w:r w:rsidR="003C516D">
        <w:t xml:space="preserve">the </w:t>
      </w:r>
      <w:r w:rsidR="00765013">
        <w:t xml:space="preserve">ACMA’s determination </w:t>
      </w:r>
      <w:r w:rsidR="004C7DEC">
        <w:t>under paragraph 15(1)(c) of the Act.</w:t>
      </w:r>
    </w:p>
    <w:p w14:paraId="2A17CB78" w14:textId="77777777" w:rsidR="009E783D" w:rsidRPr="003F7E3A" w:rsidRDefault="009E783D" w:rsidP="009C4FCC">
      <w:pPr>
        <w:pStyle w:val="Heading3"/>
        <w:spacing w:after="80"/>
      </w:pPr>
      <w:bookmarkStart w:id="89" w:name="_Toc417990953"/>
      <w:bookmarkStart w:id="90" w:name="_Toc511634395"/>
      <w:bookmarkStart w:id="91" w:name="_Toc26786335"/>
      <w:bookmarkEnd w:id="88"/>
      <w:r w:rsidRPr="003F7E3A">
        <w:t>3.3.1</w:t>
      </w:r>
      <w:r w:rsidRPr="003F7E3A">
        <w:tab/>
        <w:t>Outputs and business processes of the activity</w:t>
      </w:r>
      <w:bookmarkEnd w:id="89"/>
      <w:bookmarkEnd w:id="90"/>
      <w:bookmarkEnd w:id="91"/>
    </w:p>
    <w:p w14:paraId="6DE577A8" w14:textId="4F76094E" w:rsidR="009E783D" w:rsidRPr="003F7E3A" w:rsidRDefault="009E783D" w:rsidP="009E783D">
      <w:pPr>
        <w:rPr>
          <w:rFonts w:ascii="Calibri" w:hAnsi="Calibri"/>
          <w:szCs w:val="22"/>
        </w:rPr>
      </w:pPr>
      <w:r>
        <w:t xml:space="preserve">This cost component </w:t>
      </w:r>
      <w:r w:rsidR="00627665">
        <w:t>(</w:t>
      </w:r>
      <w:r w:rsidR="009627ED">
        <w:t xml:space="preserve">determined by </w:t>
      </w:r>
      <w:r w:rsidR="003C516D">
        <w:t xml:space="preserve">the </w:t>
      </w:r>
      <w:r w:rsidR="009627ED">
        <w:t xml:space="preserve">ACMA </w:t>
      </w:r>
      <w:r w:rsidR="00627665" w:rsidRPr="00627665">
        <w:t>under paragraph 15(1)(c) of the Act</w:t>
      </w:r>
      <w:r w:rsidR="00627665">
        <w:t>)</w:t>
      </w:r>
      <w:r w:rsidR="00627665" w:rsidRPr="00627665">
        <w:t xml:space="preserve"> </w:t>
      </w:r>
      <w:r w:rsidR="00894618">
        <w:t xml:space="preserve">represents </w:t>
      </w:r>
      <w:r>
        <w:t xml:space="preserve">the </w:t>
      </w:r>
      <w:r w:rsidR="00894618">
        <w:t xml:space="preserve">proportion of the </w:t>
      </w:r>
      <w:r>
        <w:t xml:space="preserve">Commonwealth’s annual contribution to the </w:t>
      </w:r>
      <w:r w:rsidR="00765C1E">
        <w:t xml:space="preserve">ITU </w:t>
      </w:r>
      <w:r>
        <w:t>budget associated with telecommunications for the calendar year 201</w:t>
      </w:r>
      <w:r w:rsidR="00327F11">
        <w:t>8</w:t>
      </w:r>
      <w:r>
        <w:t xml:space="preserve">. The </w:t>
      </w:r>
      <w:r w:rsidR="00AD2433">
        <w:t xml:space="preserve">applicable </w:t>
      </w:r>
      <w:r>
        <w:t xml:space="preserve">amount is </w:t>
      </w:r>
      <w:r w:rsidR="00894618">
        <w:t xml:space="preserve">determined using </w:t>
      </w:r>
      <w:r>
        <w:t>calculat</w:t>
      </w:r>
      <w:r w:rsidR="00894618">
        <w:t>ions p</w:t>
      </w:r>
      <w:r w:rsidR="007E51E9">
        <w:t xml:space="preserve">rovided </w:t>
      </w:r>
      <w:r>
        <w:t xml:space="preserve">by </w:t>
      </w:r>
      <w:proofErr w:type="spellStart"/>
      <w:r>
        <w:t>DoC</w:t>
      </w:r>
      <w:r w:rsidR="005822FA">
        <w:t>A</w:t>
      </w:r>
      <w:proofErr w:type="spellEnd"/>
      <w:r>
        <w:t xml:space="preserve">. </w:t>
      </w:r>
    </w:p>
    <w:p w14:paraId="172C69A9" w14:textId="6A43CF55" w:rsidR="00616057" w:rsidRDefault="00616057" w:rsidP="00616057">
      <w:r w:rsidRPr="004C43A7">
        <w:t xml:space="preserve">The ITU is the specialised United Nations agency responsible for international cooperation </w:t>
      </w:r>
      <w:r w:rsidR="00765C1E">
        <w:t>for</w:t>
      </w:r>
      <w:r w:rsidR="00765C1E" w:rsidRPr="004C43A7">
        <w:t xml:space="preserve"> </w:t>
      </w:r>
      <w:r w:rsidRPr="004C43A7">
        <w:t xml:space="preserve">the use of telecommunications and the radiofrequency spectrum. It establishes treaty agreements and recommends standards for telecommunications and radiocommunications (including satellite) services. </w:t>
      </w:r>
      <w:r>
        <w:t>There are 193 m</w:t>
      </w:r>
      <w:r w:rsidRPr="004C43A7">
        <w:t>ember</w:t>
      </w:r>
      <w:r>
        <w:t xml:space="preserve"> states</w:t>
      </w:r>
      <w:r w:rsidRPr="004C43A7">
        <w:t xml:space="preserve"> of the ITU and </w:t>
      </w:r>
      <w:r>
        <w:t xml:space="preserve">more than </w:t>
      </w:r>
      <w:r w:rsidRPr="004C43A7">
        <w:t xml:space="preserve">700 non-government </w:t>
      </w:r>
      <w:r>
        <w:t>members</w:t>
      </w:r>
      <w:r w:rsidRPr="004C43A7">
        <w:t xml:space="preserve">. </w:t>
      </w:r>
      <w:proofErr w:type="spellStart"/>
      <w:r w:rsidRPr="004C43A7">
        <w:t>D</w:t>
      </w:r>
      <w:r>
        <w:t>oCA</w:t>
      </w:r>
      <w:proofErr w:type="spellEnd"/>
      <w:r w:rsidRPr="004C43A7">
        <w:t xml:space="preserve"> manages Australia's membershi</w:t>
      </w:r>
      <w:r>
        <w:t>p and engagement in the ITU.</w:t>
      </w:r>
      <w:r w:rsidRPr="0058511A">
        <w:t xml:space="preserve"> </w:t>
      </w:r>
      <w:r>
        <w:t>Australian organisations, both government and private, engage with the ITU. As the ITU forms part of the regulatory framework, it is appropriate to attribute ITU costs to the licensed carriers through the ACLC.</w:t>
      </w:r>
    </w:p>
    <w:p w14:paraId="1B0ADE83" w14:textId="77777777" w:rsidR="00765C1E" w:rsidRDefault="00616057" w:rsidP="007A371B">
      <w:pPr>
        <w:spacing w:after="80"/>
      </w:pPr>
      <w:r w:rsidRPr="004C43A7">
        <w:t>The ITU’s work is carried out by three sectors</w:t>
      </w:r>
      <w:r w:rsidR="00765C1E">
        <w:t>:</w:t>
      </w:r>
    </w:p>
    <w:p w14:paraId="26F3937D" w14:textId="2CFA472F" w:rsidR="00765C1E" w:rsidRDefault="00616057" w:rsidP="007A371B">
      <w:pPr>
        <w:pStyle w:val="ListBullet"/>
      </w:pPr>
      <w:r w:rsidRPr="004C43A7">
        <w:t>Radiocommunication Sector (ITU-R</w:t>
      </w:r>
      <w:r w:rsidR="00765C1E" w:rsidRPr="004C43A7">
        <w:t>)</w:t>
      </w:r>
      <w:r w:rsidR="007B2F6C">
        <w:t>—</w:t>
      </w:r>
      <w:r w:rsidR="00765C1E" w:rsidRPr="004C43A7">
        <w:t>manag</w:t>
      </w:r>
      <w:r w:rsidR="007B2F6C">
        <w:t>es</w:t>
      </w:r>
      <w:r w:rsidR="00765C1E" w:rsidRPr="004C43A7">
        <w:t xml:space="preserve"> the finite natural resources of </w:t>
      </w:r>
      <w:r w:rsidR="00765C1E">
        <w:t xml:space="preserve">the </w:t>
      </w:r>
      <w:r w:rsidR="00765C1E" w:rsidRPr="004C43A7">
        <w:t>radiofrequenc</w:t>
      </w:r>
      <w:r w:rsidR="007B2F6C">
        <w:t>y spectrum and satellite orbits</w:t>
      </w:r>
    </w:p>
    <w:p w14:paraId="19888661" w14:textId="18899517" w:rsidR="00765C1E" w:rsidRDefault="00616057" w:rsidP="007A371B">
      <w:pPr>
        <w:pStyle w:val="ListBullet"/>
      </w:pPr>
      <w:r w:rsidRPr="004C43A7">
        <w:t>Development Sector (ITU-D)</w:t>
      </w:r>
      <w:r w:rsidR="00765C1E">
        <w:t>—</w:t>
      </w:r>
      <w:r w:rsidR="00765C1E" w:rsidRPr="004C43A7">
        <w:t>assist</w:t>
      </w:r>
      <w:r w:rsidR="00765C1E">
        <w:t>s</w:t>
      </w:r>
      <w:r w:rsidR="00765C1E" w:rsidRPr="004C43A7">
        <w:t xml:space="preserve"> developing countries </w:t>
      </w:r>
      <w:r w:rsidR="007B2F6C">
        <w:t>with</w:t>
      </w:r>
      <w:r w:rsidR="00765C1E" w:rsidRPr="004C43A7">
        <w:t xml:space="preserve"> information and communication technologies (ICTs), including promoting access to ICTs and actions that narrow the digital divide</w:t>
      </w:r>
    </w:p>
    <w:p w14:paraId="1DDE352A" w14:textId="76BB2AE4" w:rsidR="00616057" w:rsidRDefault="00616057" w:rsidP="007A371B">
      <w:pPr>
        <w:pStyle w:val="ListBulletLast"/>
      </w:pPr>
      <w:r w:rsidRPr="004C43A7">
        <w:t>Telecommunicati</w:t>
      </w:r>
      <w:r>
        <w:t>on Standardisation Sector (ITU-T)</w:t>
      </w:r>
      <w:r w:rsidR="007B2F6C">
        <w:t>—</w:t>
      </w:r>
      <w:r w:rsidR="00765C1E" w:rsidRPr="004C43A7">
        <w:t>develops voluntary standards called ITU-T Recommendations</w:t>
      </w:r>
      <w:r>
        <w:t>.</w:t>
      </w:r>
      <w:r w:rsidRPr="004C43A7">
        <w:t xml:space="preserve"> </w:t>
      </w:r>
    </w:p>
    <w:p w14:paraId="70AA4BA5" w14:textId="77777777" w:rsidR="00616057" w:rsidRDefault="00616057" w:rsidP="00616057">
      <w:pPr>
        <w:spacing w:after="80"/>
      </w:pPr>
      <w:r>
        <w:t xml:space="preserve">The ITU is responsible for </w:t>
      </w:r>
      <w:proofErr w:type="gramStart"/>
      <w:r>
        <w:t>a number of</w:t>
      </w:r>
      <w:proofErr w:type="gramEnd"/>
      <w:r>
        <w:t xml:space="preserve"> treaties, including:</w:t>
      </w:r>
    </w:p>
    <w:p w14:paraId="5024EC68" w14:textId="712963FA" w:rsidR="00616057" w:rsidRPr="00AC6621" w:rsidRDefault="00616057" w:rsidP="00616057">
      <w:pPr>
        <w:pStyle w:val="ListBullet"/>
        <w:rPr>
          <w:rFonts w:ascii="Calibri" w:hAnsi="Calibri"/>
          <w:szCs w:val="22"/>
        </w:rPr>
      </w:pPr>
      <w:r>
        <w:t xml:space="preserve">the ITU Constitution and Convention, which governs the organisation and </w:t>
      </w:r>
      <w:r w:rsidR="007B2F6C">
        <w:t xml:space="preserve">its </w:t>
      </w:r>
      <w:r>
        <w:t>engagement</w:t>
      </w:r>
    </w:p>
    <w:p w14:paraId="338E282D" w14:textId="5461B48C" w:rsidR="00616057" w:rsidRPr="00AC6621" w:rsidRDefault="00616057" w:rsidP="00616057">
      <w:pPr>
        <w:pStyle w:val="ListBullet"/>
        <w:rPr>
          <w:rFonts w:ascii="Calibri" w:hAnsi="Calibri"/>
          <w:szCs w:val="22"/>
        </w:rPr>
      </w:pPr>
      <w:r>
        <w:t xml:space="preserve">the Radio Regulations, </w:t>
      </w:r>
      <w:r w:rsidR="007B2F6C">
        <w:t xml:space="preserve">which govern </w:t>
      </w:r>
      <w:r>
        <w:t>the use of radiofrequency spectrum</w:t>
      </w:r>
    </w:p>
    <w:p w14:paraId="6FA80A61" w14:textId="3C3E387A" w:rsidR="00616057" w:rsidRPr="00AC6621" w:rsidRDefault="00616057" w:rsidP="00616057">
      <w:pPr>
        <w:pStyle w:val="ListBulletLast"/>
        <w:rPr>
          <w:rFonts w:ascii="Calibri" w:hAnsi="Calibri"/>
          <w:szCs w:val="22"/>
        </w:rPr>
      </w:pPr>
      <w:r>
        <w:t xml:space="preserve">the </w:t>
      </w:r>
      <w:r w:rsidRPr="00596F9C">
        <w:t>International Telecommunication Regulations</w:t>
      </w:r>
      <w:r>
        <w:t xml:space="preserve">, </w:t>
      </w:r>
      <w:r w:rsidR="007B2F6C">
        <w:t xml:space="preserve">which </w:t>
      </w:r>
      <w:r w:rsidR="007B2F6C" w:rsidRPr="00596F9C">
        <w:t>facilitat</w:t>
      </w:r>
      <w:r w:rsidR="007B2F6C">
        <w:t>e</w:t>
      </w:r>
      <w:r w:rsidR="007B2F6C" w:rsidRPr="00596F9C">
        <w:t xml:space="preserve"> </w:t>
      </w:r>
      <w:r w:rsidRPr="00596F9C">
        <w:t xml:space="preserve">the interconnection of international telecommunication services. </w:t>
      </w:r>
    </w:p>
    <w:p w14:paraId="1CA328BF" w14:textId="77777777" w:rsidR="009E783D" w:rsidRDefault="009E783D" w:rsidP="00927525">
      <w:pPr>
        <w:pStyle w:val="Heading3"/>
        <w:spacing w:after="80"/>
      </w:pPr>
      <w:bookmarkStart w:id="92" w:name="_Toc417990954"/>
      <w:bookmarkStart w:id="93" w:name="_Toc511634396"/>
      <w:bookmarkStart w:id="94" w:name="_Toc26786336"/>
      <w:r w:rsidRPr="003F7E3A">
        <w:t>3.3.2</w:t>
      </w:r>
      <w:r w:rsidRPr="003F7E3A">
        <w:tab/>
        <w:t>Costs of the activity</w:t>
      </w:r>
      <w:bookmarkEnd w:id="92"/>
      <w:bookmarkEnd w:id="93"/>
      <w:bookmarkEnd w:id="94"/>
    </w:p>
    <w:p w14:paraId="6B668EE4" w14:textId="22D21748" w:rsidR="007B2F6C" w:rsidRDefault="009C64BD" w:rsidP="007B2F6C">
      <w:r w:rsidRPr="00D057F7">
        <w:t xml:space="preserve">The Commonwealth contributions to the ITU are </w:t>
      </w:r>
      <w:r w:rsidR="00CE09A4">
        <w:t>paid</w:t>
      </w:r>
      <w:r w:rsidRPr="00D057F7">
        <w:t xml:space="preserve"> by </w:t>
      </w:r>
      <w:proofErr w:type="spellStart"/>
      <w:r w:rsidRPr="00D057F7">
        <w:t>DoCA</w:t>
      </w:r>
      <w:proofErr w:type="spellEnd"/>
      <w:r w:rsidRPr="00D057F7">
        <w:t xml:space="preserve"> each year as appropriated </w:t>
      </w:r>
      <w:r w:rsidR="00927525">
        <w:t>through</w:t>
      </w:r>
      <w:r w:rsidRPr="00D057F7">
        <w:t xml:space="preserve"> the budget process. </w:t>
      </w:r>
      <w:r w:rsidRPr="00041F26">
        <w:t>The contribution for the 201</w:t>
      </w:r>
      <w:r w:rsidR="00327F11">
        <w:t>8</w:t>
      </w:r>
      <w:r w:rsidRPr="00041F26">
        <w:t xml:space="preserve"> calendar year </w:t>
      </w:r>
      <w:r w:rsidRPr="00041F26">
        <w:lastRenderedPageBreak/>
        <w:t xml:space="preserve">was </w:t>
      </w:r>
      <w:r w:rsidR="00316FB7">
        <w:t xml:space="preserve">Swiss Francs </w:t>
      </w:r>
      <w:r w:rsidRPr="00041F26">
        <w:t>4,725,000</w:t>
      </w:r>
      <w:r w:rsidR="007B2F6C">
        <w:t xml:space="preserve"> (</w:t>
      </w:r>
      <w:r w:rsidR="007B2F6C" w:rsidRPr="00041F26">
        <w:t>AUD 6,</w:t>
      </w:r>
      <w:r w:rsidR="00327F11">
        <w:t>594,557,</w:t>
      </w:r>
      <w:r w:rsidR="007B2F6C">
        <w:t xml:space="preserve"> using </w:t>
      </w:r>
      <w:r w:rsidR="007B2F6C" w:rsidRPr="00041F26">
        <w:t>the exchange rate at the time payment was made</w:t>
      </w:r>
      <w:r w:rsidR="007B2F6C">
        <w:t>)</w:t>
      </w:r>
      <w:r w:rsidR="007B2F6C" w:rsidRPr="00041F26">
        <w:t>.</w:t>
      </w:r>
      <w:r w:rsidR="007B2F6C" w:rsidRPr="00D057F7">
        <w:t xml:space="preserve"> </w:t>
      </w:r>
    </w:p>
    <w:p w14:paraId="15E975D1" w14:textId="567586E6" w:rsidR="002E71D3" w:rsidRDefault="009C64BD" w:rsidP="009C64BD">
      <w:r>
        <w:t xml:space="preserve">The ITU has provided the </w:t>
      </w:r>
      <w:r w:rsidRPr="00041F26">
        <w:t xml:space="preserve">following </w:t>
      </w:r>
      <w:r>
        <w:t>output costs</w:t>
      </w:r>
      <w:r w:rsidRPr="00041F26">
        <w:t xml:space="preserve"> for 201</w:t>
      </w:r>
      <w:r w:rsidR="00327F11">
        <w:t>8</w:t>
      </w:r>
      <w:r>
        <w:t xml:space="preserve"> in Swiss Francs: ITU-T, 2</w:t>
      </w:r>
      <w:r w:rsidR="00327F11">
        <w:t>7,433</w:t>
      </w:r>
      <w:r>
        <w:t>,000; ITU-R, 5</w:t>
      </w:r>
      <w:r w:rsidR="00327F11">
        <w:t>5,024</w:t>
      </w:r>
      <w:r>
        <w:t>,000. To determine the telecommunication component of the Commonwealth’s 201</w:t>
      </w:r>
      <w:r w:rsidR="00327F11">
        <w:t>8</w:t>
      </w:r>
      <w:r>
        <w:t xml:space="preserve"> contribution,</w:t>
      </w:r>
      <w:r w:rsidR="003C516D" w:rsidRPr="003C516D">
        <w:t xml:space="preserve"> </w:t>
      </w:r>
      <w:r w:rsidR="003C516D">
        <w:t>the</w:t>
      </w:r>
      <w:r>
        <w:t xml:space="preserve"> </w:t>
      </w:r>
      <w:r w:rsidR="00E03CB3">
        <w:t xml:space="preserve">ACMA has, on the advice from </w:t>
      </w:r>
      <w:proofErr w:type="spellStart"/>
      <w:r w:rsidRPr="0014060A">
        <w:t>DoCA</w:t>
      </w:r>
      <w:proofErr w:type="spellEnd"/>
      <w:r w:rsidR="00E03CB3">
        <w:t>,</w:t>
      </w:r>
      <w:r>
        <w:t xml:space="preserve"> considered ITU-T’s share of the </w:t>
      </w:r>
      <w:r w:rsidRPr="00ED0289">
        <w:t xml:space="preserve">combined output costs for ITU-T and ITU-R. As </w:t>
      </w:r>
      <w:r w:rsidR="00157F82">
        <w:t>outlined</w:t>
      </w:r>
      <w:r w:rsidRPr="00ED0289">
        <w:t xml:space="preserve"> in Table</w:t>
      </w:r>
      <w:r>
        <w:t xml:space="preserve"> </w:t>
      </w:r>
      <w:r w:rsidR="00927525">
        <w:t>14</w:t>
      </w:r>
      <w:r w:rsidRPr="00ED0289">
        <w:t xml:space="preserve">, the </w:t>
      </w:r>
      <w:r w:rsidR="00927525">
        <w:t xml:space="preserve">cost </w:t>
      </w:r>
      <w:r w:rsidRPr="00ED0289">
        <w:t xml:space="preserve">component of the contribution associated with </w:t>
      </w:r>
      <w:r w:rsidR="00927525">
        <w:t xml:space="preserve">the ACLC is the </w:t>
      </w:r>
      <w:r w:rsidRPr="00ED0289">
        <w:t xml:space="preserve">ITU-T activities </w:t>
      </w:r>
      <w:r w:rsidR="00927525">
        <w:t>of</w:t>
      </w:r>
      <w:r w:rsidRPr="00ED0289">
        <w:t xml:space="preserve"> AUD 2,</w:t>
      </w:r>
      <w:r w:rsidR="00327F11">
        <w:t>194,009</w:t>
      </w:r>
      <w:r w:rsidRPr="00ED0289">
        <w:t xml:space="preserve">. </w:t>
      </w:r>
      <w:r w:rsidR="003B21DE" w:rsidRPr="003B21DE">
        <w:t xml:space="preserve">The increase of 9.51 per cent from the previous year is partly due to an increase in the split for the ITU-T expenditure, compared to the ITU-R expenditure in 2018 and partly as a result of differences in exchange rates at the time of payment. </w:t>
      </w:r>
    </w:p>
    <w:p w14:paraId="70FB7F65" w14:textId="0A50CA0A" w:rsidR="009C64BD" w:rsidRDefault="009C64BD" w:rsidP="009C64BD">
      <w:r>
        <w:t xml:space="preserve">Table </w:t>
      </w:r>
      <w:r w:rsidR="00673D1F">
        <w:t>14</w:t>
      </w:r>
      <w:r w:rsidRPr="00A84CBD">
        <w:t xml:space="preserve"> provides the comparison of ITU contribut</w:t>
      </w:r>
      <w:r>
        <w:t>ions for the calendar years 201</w:t>
      </w:r>
      <w:r w:rsidR="00327F11">
        <w:t>7</w:t>
      </w:r>
      <w:r>
        <w:t xml:space="preserve"> and 201</w:t>
      </w:r>
      <w:r w:rsidR="004C13FF">
        <w:t>8</w:t>
      </w:r>
      <w:r>
        <w:t>.</w:t>
      </w:r>
    </w:p>
    <w:p w14:paraId="7B5343DE" w14:textId="5A4DF2E8" w:rsidR="009C64BD" w:rsidRPr="00673D1F" w:rsidRDefault="009C64BD" w:rsidP="00673D1F">
      <w:pPr>
        <w:pStyle w:val="ACMATableHeader"/>
      </w:pPr>
      <w:r w:rsidRPr="00673D1F">
        <w:t xml:space="preserve">Costs associated with </w:t>
      </w:r>
      <w:r w:rsidR="00B27039" w:rsidRPr="00673D1F">
        <w:t>ITU-T</w:t>
      </w:r>
      <w:r w:rsidRPr="00673D1F">
        <w:t xml:space="preserve"> and </w:t>
      </w:r>
      <w:r w:rsidR="00B27039" w:rsidRPr="00673D1F">
        <w:t>ITU-R</w:t>
      </w:r>
      <w:r w:rsidRPr="00673D1F">
        <w:t xml:space="preserve"> activities</w:t>
      </w:r>
    </w:p>
    <w:tbl>
      <w:tblPr>
        <w:tblW w:w="8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1977"/>
        <w:gridCol w:w="2121"/>
        <w:gridCol w:w="2386"/>
        <w:gridCol w:w="1872"/>
      </w:tblGrid>
      <w:tr w:rsidR="009C64BD" w:rsidRPr="00E11BCD" w14:paraId="37F117BD" w14:textId="77777777" w:rsidTr="000269F7">
        <w:trPr>
          <w:trHeight w:val="410"/>
        </w:trPr>
        <w:tc>
          <w:tcPr>
            <w:tcW w:w="1183" w:type="pct"/>
            <w:tcBorders>
              <w:bottom w:val="single" w:sz="6" w:space="0" w:color="auto"/>
            </w:tcBorders>
            <w:shd w:val="clear" w:color="auto" w:fill="404040" w:themeFill="text1" w:themeFillTint="BF"/>
            <w:vAlign w:val="center"/>
          </w:tcPr>
          <w:p w14:paraId="445F975B" w14:textId="77777777" w:rsidR="009C64BD" w:rsidRPr="00936B69" w:rsidRDefault="009C64BD" w:rsidP="007A371B">
            <w:pPr>
              <w:pStyle w:val="TableHeading"/>
              <w:keepNext/>
              <w:keepLines/>
              <w:rPr>
                <w:color w:val="FFFFFF" w:themeColor="background1"/>
              </w:rPr>
            </w:pPr>
          </w:p>
        </w:tc>
        <w:tc>
          <w:tcPr>
            <w:tcW w:w="1269" w:type="pct"/>
            <w:tcBorders>
              <w:bottom w:val="single" w:sz="6" w:space="0" w:color="auto"/>
            </w:tcBorders>
            <w:shd w:val="clear" w:color="auto" w:fill="404040" w:themeFill="text1" w:themeFillTint="BF"/>
            <w:tcMar>
              <w:left w:w="0" w:type="dxa"/>
              <w:right w:w="0" w:type="dxa"/>
            </w:tcMar>
            <w:vAlign w:val="center"/>
          </w:tcPr>
          <w:p w14:paraId="223E53B4" w14:textId="7D5E2735" w:rsidR="009C64BD" w:rsidRPr="00936B69" w:rsidRDefault="00B27039" w:rsidP="00965E8B">
            <w:pPr>
              <w:pStyle w:val="TableHeading"/>
              <w:keepNext/>
              <w:keepLines/>
              <w:rPr>
                <w:color w:val="FFFFFF" w:themeColor="background1"/>
              </w:rPr>
            </w:pPr>
            <w:r w:rsidRPr="00936B69">
              <w:rPr>
                <w:color w:val="FFFFFF" w:themeColor="background1"/>
              </w:rPr>
              <w:t>ITU-T</w:t>
            </w:r>
          </w:p>
        </w:tc>
        <w:tc>
          <w:tcPr>
            <w:tcW w:w="1428" w:type="pct"/>
            <w:tcBorders>
              <w:bottom w:val="single" w:sz="6" w:space="0" w:color="auto"/>
            </w:tcBorders>
            <w:shd w:val="clear" w:color="auto" w:fill="404040" w:themeFill="text1" w:themeFillTint="BF"/>
            <w:vAlign w:val="center"/>
          </w:tcPr>
          <w:p w14:paraId="4C1DEB78" w14:textId="20131AA9" w:rsidR="009C64BD" w:rsidRPr="0014060A" w:rsidRDefault="00B27039" w:rsidP="00965E8B">
            <w:pPr>
              <w:pStyle w:val="TableHeading"/>
              <w:keepNext/>
              <w:keepLines/>
              <w:rPr>
                <w:color w:val="FFFFFF" w:themeColor="background1"/>
              </w:rPr>
            </w:pPr>
            <w:r>
              <w:rPr>
                <w:color w:val="FFFFFF" w:themeColor="background1"/>
              </w:rPr>
              <w:t>ITU-R</w:t>
            </w:r>
          </w:p>
        </w:tc>
        <w:tc>
          <w:tcPr>
            <w:tcW w:w="1120" w:type="pct"/>
            <w:tcBorders>
              <w:bottom w:val="single" w:sz="6" w:space="0" w:color="auto"/>
            </w:tcBorders>
            <w:shd w:val="clear" w:color="auto" w:fill="404040" w:themeFill="text1" w:themeFillTint="BF"/>
            <w:vAlign w:val="center"/>
          </w:tcPr>
          <w:p w14:paraId="32DF3495" w14:textId="77777777" w:rsidR="009C64BD" w:rsidRPr="0014060A" w:rsidRDefault="009C64BD" w:rsidP="00965E8B">
            <w:pPr>
              <w:pStyle w:val="TableHeading"/>
              <w:keepNext/>
              <w:keepLines/>
              <w:rPr>
                <w:color w:val="FFFFFF" w:themeColor="background1"/>
              </w:rPr>
            </w:pPr>
            <w:r w:rsidRPr="0014060A">
              <w:rPr>
                <w:color w:val="FFFFFF" w:themeColor="background1"/>
              </w:rPr>
              <w:t>Total</w:t>
            </w:r>
          </w:p>
        </w:tc>
      </w:tr>
      <w:tr w:rsidR="009C64BD" w:rsidRPr="00E11BCD" w14:paraId="260DD765" w14:textId="77777777" w:rsidTr="000269F7">
        <w:trPr>
          <w:trHeight w:hRule="exact" w:val="386"/>
        </w:trPr>
        <w:tc>
          <w:tcPr>
            <w:tcW w:w="1183" w:type="pct"/>
            <w:tcBorders>
              <w:bottom w:val="single" w:sz="6" w:space="0" w:color="auto"/>
            </w:tcBorders>
            <w:shd w:val="clear" w:color="auto" w:fill="D9D9D9" w:themeFill="background1" w:themeFillShade="D9"/>
            <w:vAlign w:val="center"/>
          </w:tcPr>
          <w:p w14:paraId="37287ECF" w14:textId="77777777" w:rsidR="009C64BD" w:rsidRPr="000D6F80" w:rsidRDefault="009C64BD" w:rsidP="00B27039">
            <w:pPr>
              <w:keepNext/>
              <w:keepLines/>
              <w:spacing w:after="0"/>
              <w:jc w:val="center"/>
              <w:rPr>
                <w:rFonts w:cs="Arial"/>
                <w:b/>
                <w:szCs w:val="20"/>
              </w:rPr>
            </w:pPr>
          </w:p>
        </w:tc>
        <w:tc>
          <w:tcPr>
            <w:tcW w:w="1269" w:type="pct"/>
            <w:tcBorders>
              <w:bottom w:val="single" w:sz="6" w:space="0" w:color="auto"/>
            </w:tcBorders>
            <w:shd w:val="clear" w:color="auto" w:fill="D9D9D9" w:themeFill="background1" w:themeFillShade="D9"/>
            <w:vAlign w:val="center"/>
          </w:tcPr>
          <w:p w14:paraId="27959A2D" w14:textId="77777777" w:rsidR="009C64BD" w:rsidRDefault="009C64BD" w:rsidP="00965E8B">
            <w:pPr>
              <w:keepNext/>
              <w:keepLines/>
              <w:spacing w:after="0"/>
              <w:rPr>
                <w:rFonts w:cs="Arial"/>
                <w:b/>
                <w:szCs w:val="20"/>
              </w:rPr>
            </w:pPr>
            <w:r w:rsidRPr="000D6F80">
              <w:rPr>
                <w:rFonts w:cs="Arial"/>
                <w:b/>
                <w:szCs w:val="20"/>
              </w:rPr>
              <w:t>AUD</w:t>
            </w:r>
          </w:p>
        </w:tc>
        <w:tc>
          <w:tcPr>
            <w:tcW w:w="1428" w:type="pct"/>
            <w:tcBorders>
              <w:bottom w:val="single" w:sz="6" w:space="0" w:color="auto"/>
            </w:tcBorders>
            <w:shd w:val="clear" w:color="auto" w:fill="D9D9D9" w:themeFill="background1" w:themeFillShade="D9"/>
            <w:vAlign w:val="center"/>
          </w:tcPr>
          <w:p w14:paraId="3148750F" w14:textId="77777777" w:rsidR="009C64BD" w:rsidRDefault="009C64BD" w:rsidP="00965E8B">
            <w:pPr>
              <w:keepNext/>
              <w:keepLines/>
              <w:spacing w:after="0"/>
              <w:rPr>
                <w:rFonts w:cs="Arial"/>
                <w:b/>
                <w:szCs w:val="20"/>
              </w:rPr>
            </w:pPr>
            <w:r w:rsidRPr="000D6F80">
              <w:rPr>
                <w:rFonts w:cs="Arial"/>
                <w:b/>
                <w:szCs w:val="20"/>
              </w:rPr>
              <w:t>AUD</w:t>
            </w:r>
          </w:p>
        </w:tc>
        <w:tc>
          <w:tcPr>
            <w:tcW w:w="1120" w:type="pct"/>
            <w:tcBorders>
              <w:bottom w:val="single" w:sz="6" w:space="0" w:color="auto"/>
            </w:tcBorders>
            <w:shd w:val="clear" w:color="auto" w:fill="D9D9D9" w:themeFill="background1" w:themeFillShade="D9"/>
            <w:vAlign w:val="center"/>
          </w:tcPr>
          <w:p w14:paraId="43BF8994" w14:textId="77777777" w:rsidR="009C64BD" w:rsidRDefault="009C64BD" w:rsidP="00965E8B">
            <w:pPr>
              <w:keepNext/>
              <w:keepLines/>
              <w:spacing w:after="0"/>
              <w:rPr>
                <w:rFonts w:cs="Arial"/>
                <w:b/>
                <w:szCs w:val="20"/>
              </w:rPr>
            </w:pPr>
            <w:r w:rsidRPr="000D6F80">
              <w:rPr>
                <w:rFonts w:cs="Arial"/>
                <w:b/>
                <w:szCs w:val="20"/>
              </w:rPr>
              <w:t>AUD</w:t>
            </w:r>
          </w:p>
        </w:tc>
      </w:tr>
      <w:tr w:rsidR="004C13FF" w:rsidRPr="00E11BCD" w14:paraId="4E8A40EB" w14:textId="77777777" w:rsidTr="009A5D20">
        <w:trPr>
          <w:trHeight w:hRule="exact" w:val="386"/>
        </w:trPr>
        <w:tc>
          <w:tcPr>
            <w:tcW w:w="1183" w:type="pct"/>
            <w:vAlign w:val="center"/>
          </w:tcPr>
          <w:p w14:paraId="7C0D155B" w14:textId="6987091E" w:rsidR="004C13FF" w:rsidRPr="00E11BCD" w:rsidRDefault="004C13FF" w:rsidP="004C13FF">
            <w:pPr>
              <w:keepNext/>
              <w:keepLines/>
              <w:spacing w:after="0"/>
              <w:ind w:right="-142"/>
              <w:rPr>
                <w:rFonts w:cs="Arial"/>
                <w:bCs/>
                <w:szCs w:val="20"/>
              </w:rPr>
            </w:pPr>
            <w:r w:rsidRPr="00E11BCD">
              <w:rPr>
                <w:rFonts w:cs="Arial"/>
                <w:bCs/>
                <w:szCs w:val="20"/>
              </w:rPr>
              <w:t>201</w:t>
            </w:r>
            <w:r>
              <w:rPr>
                <w:rFonts w:cs="Arial"/>
                <w:bCs/>
                <w:szCs w:val="20"/>
              </w:rPr>
              <w:t>8</w:t>
            </w:r>
          </w:p>
        </w:tc>
        <w:tc>
          <w:tcPr>
            <w:tcW w:w="1269" w:type="pct"/>
          </w:tcPr>
          <w:p w14:paraId="1CF931D5" w14:textId="2B0B53C6" w:rsidR="004C13FF" w:rsidRDefault="004C13FF" w:rsidP="00965E8B">
            <w:pPr>
              <w:keepNext/>
              <w:keepLines/>
              <w:spacing w:after="0"/>
              <w:rPr>
                <w:rFonts w:cs="Arial"/>
                <w:bCs/>
                <w:szCs w:val="20"/>
              </w:rPr>
            </w:pPr>
            <w:r w:rsidRPr="00B67926">
              <w:t>2,194,009</w:t>
            </w:r>
          </w:p>
        </w:tc>
        <w:tc>
          <w:tcPr>
            <w:tcW w:w="1428" w:type="pct"/>
          </w:tcPr>
          <w:p w14:paraId="1EF96FE7" w14:textId="74719EA4" w:rsidR="004C13FF" w:rsidRDefault="004C13FF" w:rsidP="00965E8B">
            <w:pPr>
              <w:keepNext/>
              <w:keepLines/>
              <w:spacing w:after="0"/>
              <w:ind w:right="34"/>
              <w:rPr>
                <w:rFonts w:cs="Arial"/>
                <w:bCs/>
                <w:szCs w:val="20"/>
              </w:rPr>
            </w:pPr>
            <w:r w:rsidRPr="00B67926">
              <w:t>4,400,548</w:t>
            </w:r>
          </w:p>
        </w:tc>
        <w:tc>
          <w:tcPr>
            <w:tcW w:w="1120" w:type="pct"/>
          </w:tcPr>
          <w:p w14:paraId="6246BB3F" w14:textId="4C6F5AB2" w:rsidR="004C13FF" w:rsidRDefault="004C13FF" w:rsidP="00965E8B">
            <w:pPr>
              <w:keepNext/>
              <w:keepLines/>
              <w:spacing w:after="0"/>
              <w:rPr>
                <w:rFonts w:cs="Arial"/>
                <w:bCs/>
                <w:szCs w:val="20"/>
              </w:rPr>
            </w:pPr>
            <w:r w:rsidRPr="00B67926">
              <w:t xml:space="preserve"> 6,594,557 </w:t>
            </w:r>
          </w:p>
        </w:tc>
      </w:tr>
      <w:tr w:rsidR="004C13FF" w:rsidRPr="009C16DA" w14:paraId="327D1538" w14:textId="77777777" w:rsidTr="009A5D20">
        <w:trPr>
          <w:trHeight w:hRule="exact" w:val="386"/>
        </w:trPr>
        <w:tc>
          <w:tcPr>
            <w:tcW w:w="1183" w:type="pct"/>
            <w:vAlign w:val="center"/>
          </w:tcPr>
          <w:p w14:paraId="28E959D4" w14:textId="486D5F1B" w:rsidR="004C13FF" w:rsidRPr="00E11BCD" w:rsidRDefault="004C13FF" w:rsidP="004C13FF">
            <w:pPr>
              <w:keepNext/>
              <w:keepLines/>
              <w:spacing w:after="0"/>
              <w:ind w:right="-142"/>
              <w:rPr>
                <w:rFonts w:cs="Arial"/>
                <w:bCs/>
                <w:szCs w:val="20"/>
              </w:rPr>
            </w:pPr>
            <w:r>
              <w:rPr>
                <w:rFonts w:cs="Arial"/>
                <w:bCs/>
                <w:szCs w:val="20"/>
              </w:rPr>
              <w:t>2017</w:t>
            </w:r>
          </w:p>
        </w:tc>
        <w:tc>
          <w:tcPr>
            <w:tcW w:w="1269" w:type="pct"/>
          </w:tcPr>
          <w:p w14:paraId="1B27E76B" w14:textId="5BDC91E3" w:rsidR="004C13FF" w:rsidRDefault="004C13FF" w:rsidP="00965E8B">
            <w:pPr>
              <w:keepNext/>
              <w:keepLines/>
              <w:spacing w:after="0"/>
              <w:rPr>
                <w:rFonts w:cs="Arial"/>
                <w:bCs/>
                <w:szCs w:val="20"/>
              </w:rPr>
            </w:pPr>
            <w:r w:rsidRPr="00B67926">
              <w:t>2,003,511</w:t>
            </w:r>
          </w:p>
        </w:tc>
        <w:tc>
          <w:tcPr>
            <w:tcW w:w="1428" w:type="pct"/>
          </w:tcPr>
          <w:p w14:paraId="64E5BFB2" w14:textId="3B2DEE9C" w:rsidR="004C13FF" w:rsidRDefault="004C13FF" w:rsidP="00965E8B">
            <w:pPr>
              <w:keepNext/>
              <w:keepLines/>
              <w:spacing w:after="0"/>
              <w:ind w:right="34"/>
              <w:rPr>
                <w:rFonts w:cs="Arial"/>
                <w:bCs/>
                <w:szCs w:val="20"/>
              </w:rPr>
            </w:pPr>
            <w:r w:rsidRPr="00B67926">
              <w:t>4,438,646</w:t>
            </w:r>
          </w:p>
        </w:tc>
        <w:tc>
          <w:tcPr>
            <w:tcW w:w="1120" w:type="pct"/>
          </w:tcPr>
          <w:p w14:paraId="5CF808F9" w14:textId="37EB9FC2" w:rsidR="004C13FF" w:rsidRDefault="004C13FF" w:rsidP="00965E8B">
            <w:pPr>
              <w:keepNext/>
              <w:keepLines/>
              <w:spacing w:after="0"/>
              <w:rPr>
                <w:rFonts w:cs="Arial"/>
                <w:bCs/>
                <w:szCs w:val="20"/>
              </w:rPr>
            </w:pPr>
            <w:r w:rsidRPr="00B67926">
              <w:t>6,442,157</w:t>
            </w:r>
          </w:p>
        </w:tc>
      </w:tr>
      <w:tr w:rsidR="004C13FF" w:rsidRPr="00E11BCD" w14:paraId="37D1E6B7" w14:textId="77777777" w:rsidTr="000269F7">
        <w:trPr>
          <w:trHeight w:hRule="exact" w:val="386"/>
        </w:trPr>
        <w:tc>
          <w:tcPr>
            <w:tcW w:w="1183" w:type="pct"/>
            <w:tcBorders>
              <w:top w:val="single" w:sz="6" w:space="0" w:color="auto"/>
              <w:bottom w:val="single" w:sz="6" w:space="0" w:color="auto"/>
              <w:right w:val="single" w:sz="6" w:space="0" w:color="auto"/>
            </w:tcBorders>
            <w:vAlign w:val="center"/>
          </w:tcPr>
          <w:p w14:paraId="03A3DA3E" w14:textId="77777777" w:rsidR="004C13FF" w:rsidRPr="00E11BCD" w:rsidRDefault="004C13FF" w:rsidP="004C13FF">
            <w:pPr>
              <w:keepNext/>
              <w:keepLines/>
              <w:spacing w:after="0"/>
              <w:ind w:right="-142"/>
              <w:rPr>
                <w:rFonts w:cs="Arial"/>
                <w:bCs/>
                <w:szCs w:val="20"/>
              </w:rPr>
            </w:pPr>
            <w:r>
              <w:rPr>
                <w:rFonts w:cs="Arial"/>
                <w:bCs/>
                <w:szCs w:val="20"/>
              </w:rPr>
              <w:t>Increase/(decrease)</w:t>
            </w:r>
          </w:p>
        </w:tc>
        <w:tc>
          <w:tcPr>
            <w:tcW w:w="1269" w:type="pct"/>
            <w:tcBorders>
              <w:top w:val="single" w:sz="6" w:space="0" w:color="auto"/>
              <w:left w:val="single" w:sz="6" w:space="0" w:color="auto"/>
              <w:bottom w:val="single" w:sz="6" w:space="0" w:color="auto"/>
              <w:right w:val="single" w:sz="6" w:space="0" w:color="auto"/>
            </w:tcBorders>
            <w:shd w:val="clear" w:color="auto" w:fill="auto"/>
            <w:vAlign w:val="center"/>
          </w:tcPr>
          <w:p w14:paraId="3FF82848" w14:textId="18E32344" w:rsidR="004C13FF" w:rsidRDefault="004C13FF" w:rsidP="00965E8B">
            <w:pPr>
              <w:keepNext/>
              <w:keepLines/>
              <w:spacing w:after="0"/>
              <w:rPr>
                <w:rFonts w:cs="Arial"/>
                <w:bCs/>
                <w:szCs w:val="20"/>
              </w:rPr>
            </w:pPr>
            <w:r>
              <w:rPr>
                <w:rFonts w:cs="Arial"/>
                <w:bCs/>
                <w:color w:val="000000"/>
                <w:szCs w:val="20"/>
              </w:rPr>
              <w:t xml:space="preserve">9.51%  </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2E2E2EFE" w14:textId="49358890" w:rsidR="004C13FF" w:rsidRDefault="004C13FF" w:rsidP="00965E8B">
            <w:pPr>
              <w:keepNext/>
              <w:keepLines/>
              <w:spacing w:after="0"/>
              <w:rPr>
                <w:rFonts w:cs="Arial"/>
                <w:bCs/>
                <w:szCs w:val="20"/>
              </w:rPr>
            </w:pPr>
            <w:r>
              <w:rPr>
                <w:rFonts w:cs="Arial"/>
                <w:bCs/>
                <w:color w:val="000000"/>
                <w:szCs w:val="20"/>
              </w:rPr>
              <w:t>(0.86%)</w:t>
            </w:r>
            <w:r w:rsidRPr="00430DC2">
              <w:rPr>
                <w:rFonts w:cs="Arial"/>
                <w:bCs/>
                <w:color w:val="000000"/>
                <w:szCs w:val="20"/>
              </w:rPr>
              <w:t xml:space="preserve">  </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3CCDA223" w14:textId="2C6BAE61" w:rsidR="004C13FF" w:rsidRDefault="004C13FF" w:rsidP="00965E8B">
            <w:pPr>
              <w:keepNext/>
              <w:keepLines/>
              <w:spacing w:after="0"/>
              <w:rPr>
                <w:rFonts w:cs="Arial"/>
                <w:bCs/>
                <w:szCs w:val="20"/>
              </w:rPr>
            </w:pPr>
            <w:r>
              <w:rPr>
                <w:rFonts w:cs="Arial"/>
                <w:bCs/>
                <w:color w:val="000000"/>
                <w:szCs w:val="20"/>
              </w:rPr>
              <w:t>2.37%</w:t>
            </w:r>
            <w:r w:rsidRPr="00430DC2">
              <w:rPr>
                <w:rFonts w:cs="Arial"/>
                <w:bCs/>
                <w:color w:val="000000"/>
                <w:szCs w:val="20"/>
              </w:rPr>
              <w:t xml:space="preserve"> </w:t>
            </w:r>
          </w:p>
        </w:tc>
      </w:tr>
      <w:tr w:rsidR="004C13FF" w:rsidRPr="00E11BCD" w14:paraId="74407F52" w14:textId="77777777" w:rsidTr="009A5D20">
        <w:trPr>
          <w:trHeight w:hRule="exact" w:val="386"/>
        </w:trPr>
        <w:tc>
          <w:tcPr>
            <w:tcW w:w="1183" w:type="pct"/>
            <w:tcBorders>
              <w:top w:val="single" w:sz="6" w:space="0" w:color="auto"/>
              <w:bottom w:val="single" w:sz="6" w:space="0" w:color="auto"/>
              <w:right w:val="single" w:sz="6" w:space="0" w:color="auto"/>
            </w:tcBorders>
            <w:vAlign w:val="center"/>
          </w:tcPr>
          <w:p w14:paraId="0A8CD7B2" w14:textId="71466E98" w:rsidR="004C13FF" w:rsidRPr="00E11BCD" w:rsidRDefault="004C13FF" w:rsidP="004C13FF">
            <w:pPr>
              <w:keepNext/>
              <w:keepLines/>
              <w:spacing w:after="0"/>
              <w:ind w:right="-142"/>
              <w:rPr>
                <w:rFonts w:cs="Arial"/>
                <w:bCs/>
                <w:szCs w:val="20"/>
              </w:rPr>
            </w:pPr>
            <w:r>
              <w:rPr>
                <w:rFonts w:cs="Arial"/>
                <w:bCs/>
                <w:szCs w:val="20"/>
              </w:rPr>
              <w:t>Ratio 2018</w:t>
            </w:r>
          </w:p>
        </w:tc>
        <w:tc>
          <w:tcPr>
            <w:tcW w:w="1269" w:type="pct"/>
            <w:tcBorders>
              <w:top w:val="single" w:sz="6" w:space="0" w:color="auto"/>
              <w:left w:val="single" w:sz="6" w:space="0" w:color="auto"/>
              <w:bottom w:val="single" w:sz="6" w:space="0" w:color="auto"/>
              <w:right w:val="single" w:sz="6" w:space="0" w:color="auto"/>
            </w:tcBorders>
            <w:shd w:val="clear" w:color="auto" w:fill="auto"/>
          </w:tcPr>
          <w:p w14:paraId="583B79A4" w14:textId="3207F2C3" w:rsidR="004C13FF" w:rsidRDefault="004C13FF" w:rsidP="00965E8B">
            <w:pPr>
              <w:keepNext/>
              <w:keepLines/>
              <w:spacing w:after="0"/>
              <w:rPr>
                <w:rFonts w:cs="Arial"/>
                <w:bCs/>
                <w:szCs w:val="20"/>
              </w:rPr>
            </w:pPr>
            <w:r w:rsidRPr="003E1125">
              <w:t>33.27%</w:t>
            </w:r>
          </w:p>
        </w:tc>
        <w:tc>
          <w:tcPr>
            <w:tcW w:w="1428" w:type="pct"/>
            <w:tcBorders>
              <w:top w:val="single" w:sz="6" w:space="0" w:color="auto"/>
              <w:left w:val="single" w:sz="6" w:space="0" w:color="auto"/>
              <w:bottom w:val="single" w:sz="6" w:space="0" w:color="auto"/>
              <w:right w:val="single" w:sz="6" w:space="0" w:color="auto"/>
            </w:tcBorders>
            <w:shd w:val="clear" w:color="auto" w:fill="auto"/>
          </w:tcPr>
          <w:p w14:paraId="7CB66855" w14:textId="0D9D0DB8" w:rsidR="004C13FF" w:rsidRDefault="004C13FF" w:rsidP="00965E8B">
            <w:pPr>
              <w:keepNext/>
              <w:keepLines/>
              <w:spacing w:after="0"/>
              <w:ind w:right="34"/>
              <w:rPr>
                <w:rFonts w:cs="Arial"/>
                <w:bCs/>
                <w:szCs w:val="20"/>
              </w:rPr>
            </w:pPr>
            <w:r w:rsidRPr="003E1125">
              <w:t>66.73%</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7CCD8A53" w14:textId="77777777" w:rsidR="004C13FF" w:rsidRPr="00E11BCD" w:rsidRDefault="004C13FF" w:rsidP="00965E8B">
            <w:pPr>
              <w:keepNext/>
              <w:keepLines/>
              <w:spacing w:after="0"/>
              <w:rPr>
                <w:rFonts w:cs="Arial"/>
                <w:bCs/>
                <w:szCs w:val="20"/>
              </w:rPr>
            </w:pPr>
            <w:r>
              <w:rPr>
                <w:rFonts w:cs="Arial"/>
                <w:bCs/>
                <w:color w:val="000000"/>
                <w:szCs w:val="20"/>
              </w:rPr>
              <w:t> </w:t>
            </w:r>
          </w:p>
        </w:tc>
      </w:tr>
      <w:tr w:rsidR="004C13FF" w:rsidRPr="00E11BCD" w14:paraId="31EF0C96" w14:textId="77777777" w:rsidTr="009A5D20">
        <w:trPr>
          <w:trHeight w:hRule="exact" w:val="386"/>
        </w:trPr>
        <w:tc>
          <w:tcPr>
            <w:tcW w:w="1183" w:type="pct"/>
            <w:tcBorders>
              <w:top w:val="single" w:sz="6" w:space="0" w:color="auto"/>
              <w:bottom w:val="single" w:sz="6" w:space="0" w:color="auto"/>
              <w:right w:val="single" w:sz="6" w:space="0" w:color="auto"/>
            </w:tcBorders>
            <w:vAlign w:val="center"/>
          </w:tcPr>
          <w:p w14:paraId="69615FA7" w14:textId="457C88C3" w:rsidR="004C13FF" w:rsidRPr="00E11BCD" w:rsidRDefault="004C13FF" w:rsidP="004C13FF">
            <w:pPr>
              <w:keepNext/>
              <w:keepLines/>
              <w:spacing w:after="0"/>
              <w:ind w:right="-142"/>
              <w:rPr>
                <w:rFonts w:cs="Arial"/>
                <w:bCs/>
                <w:szCs w:val="20"/>
              </w:rPr>
            </w:pPr>
            <w:r>
              <w:rPr>
                <w:rFonts w:cs="Arial"/>
                <w:bCs/>
                <w:szCs w:val="20"/>
              </w:rPr>
              <w:t>Ratio 2017</w:t>
            </w:r>
          </w:p>
        </w:tc>
        <w:tc>
          <w:tcPr>
            <w:tcW w:w="1269" w:type="pct"/>
            <w:tcBorders>
              <w:top w:val="single" w:sz="6" w:space="0" w:color="auto"/>
              <w:left w:val="single" w:sz="6" w:space="0" w:color="auto"/>
              <w:bottom w:val="single" w:sz="6" w:space="0" w:color="auto"/>
              <w:right w:val="single" w:sz="6" w:space="0" w:color="auto"/>
            </w:tcBorders>
            <w:shd w:val="clear" w:color="auto" w:fill="auto"/>
          </w:tcPr>
          <w:p w14:paraId="579F750A" w14:textId="693F50B2" w:rsidR="004C13FF" w:rsidRDefault="004C13FF" w:rsidP="00965E8B">
            <w:pPr>
              <w:keepNext/>
              <w:keepLines/>
              <w:spacing w:after="0"/>
              <w:rPr>
                <w:rFonts w:cs="Arial"/>
                <w:bCs/>
                <w:szCs w:val="20"/>
              </w:rPr>
            </w:pPr>
            <w:r w:rsidRPr="003E1125">
              <w:t>31.10%</w:t>
            </w:r>
          </w:p>
        </w:tc>
        <w:tc>
          <w:tcPr>
            <w:tcW w:w="1428" w:type="pct"/>
            <w:tcBorders>
              <w:top w:val="single" w:sz="6" w:space="0" w:color="auto"/>
              <w:left w:val="single" w:sz="6" w:space="0" w:color="auto"/>
              <w:bottom w:val="single" w:sz="6" w:space="0" w:color="auto"/>
              <w:right w:val="single" w:sz="6" w:space="0" w:color="auto"/>
            </w:tcBorders>
            <w:shd w:val="clear" w:color="auto" w:fill="auto"/>
          </w:tcPr>
          <w:p w14:paraId="1B59E5A4" w14:textId="4AB02B52" w:rsidR="004C13FF" w:rsidRDefault="004C13FF" w:rsidP="00965E8B">
            <w:pPr>
              <w:keepNext/>
              <w:keepLines/>
              <w:spacing w:after="0"/>
              <w:ind w:right="34"/>
              <w:rPr>
                <w:rFonts w:cs="Arial"/>
                <w:bCs/>
                <w:szCs w:val="20"/>
              </w:rPr>
            </w:pPr>
            <w:r w:rsidRPr="003E1125">
              <w:t>68.90%</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62CB725C" w14:textId="77777777" w:rsidR="004C13FF" w:rsidRPr="00E11BCD" w:rsidRDefault="004C13FF" w:rsidP="00965E8B">
            <w:pPr>
              <w:keepNext/>
              <w:keepLines/>
              <w:spacing w:after="0"/>
              <w:rPr>
                <w:rFonts w:cs="Arial"/>
                <w:bCs/>
                <w:szCs w:val="20"/>
              </w:rPr>
            </w:pPr>
            <w:r>
              <w:rPr>
                <w:rFonts w:cs="Arial"/>
                <w:bCs/>
                <w:color w:val="000000"/>
                <w:szCs w:val="20"/>
              </w:rPr>
              <w:t> </w:t>
            </w:r>
          </w:p>
        </w:tc>
      </w:tr>
      <w:tr w:rsidR="009C64BD" w:rsidRPr="00E11BCD" w14:paraId="205A15E0" w14:textId="77777777" w:rsidTr="000269F7">
        <w:trPr>
          <w:trHeight w:hRule="exact" w:val="386"/>
        </w:trPr>
        <w:tc>
          <w:tcPr>
            <w:tcW w:w="1183" w:type="pct"/>
            <w:shd w:val="clear" w:color="auto" w:fill="D9D9D9" w:themeFill="background1" w:themeFillShade="D9"/>
            <w:vAlign w:val="center"/>
          </w:tcPr>
          <w:p w14:paraId="3AC2B62D" w14:textId="77777777" w:rsidR="009C64BD" w:rsidRPr="000D6F80" w:rsidRDefault="009C64BD" w:rsidP="00B27039">
            <w:pPr>
              <w:keepNext/>
              <w:keepLines/>
              <w:spacing w:after="0"/>
              <w:ind w:right="-142"/>
              <w:jc w:val="center"/>
              <w:rPr>
                <w:rFonts w:cs="Arial"/>
                <w:b/>
                <w:szCs w:val="20"/>
              </w:rPr>
            </w:pPr>
          </w:p>
        </w:tc>
        <w:tc>
          <w:tcPr>
            <w:tcW w:w="1269" w:type="pct"/>
            <w:shd w:val="clear" w:color="auto" w:fill="D9D9D9" w:themeFill="background1" w:themeFillShade="D9"/>
            <w:vAlign w:val="center"/>
          </w:tcPr>
          <w:p w14:paraId="5AD3B476" w14:textId="77777777" w:rsidR="009C64BD" w:rsidRDefault="009C64BD" w:rsidP="00965E8B">
            <w:pPr>
              <w:keepNext/>
              <w:keepLines/>
              <w:spacing w:after="0"/>
              <w:rPr>
                <w:rFonts w:cs="Arial"/>
                <w:b/>
                <w:szCs w:val="20"/>
              </w:rPr>
            </w:pPr>
            <w:r>
              <w:rPr>
                <w:rFonts w:cs="Arial"/>
                <w:b/>
                <w:szCs w:val="20"/>
              </w:rPr>
              <w:t>Swiss Francs</w:t>
            </w:r>
          </w:p>
        </w:tc>
        <w:tc>
          <w:tcPr>
            <w:tcW w:w="1428" w:type="pct"/>
            <w:shd w:val="clear" w:color="auto" w:fill="D9D9D9" w:themeFill="background1" w:themeFillShade="D9"/>
            <w:vAlign w:val="center"/>
          </w:tcPr>
          <w:p w14:paraId="06BF0416" w14:textId="77777777" w:rsidR="009C64BD" w:rsidRDefault="009C64BD" w:rsidP="00965E8B">
            <w:pPr>
              <w:keepNext/>
              <w:keepLines/>
              <w:spacing w:after="0"/>
              <w:ind w:right="34"/>
              <w:rPr>
                <w:rFonts w:cs="Arial"/>
                <w:b/>
                <w:szCs w:val="20"/>
              </w:rPr>
            </w:pPr>
            <w:r>
              <w:rPr>
                <w:rFonts w:cs="Arial"/>
                <w:b/>
                <w:szCs w:val="20"/>
              </w:rPr>
              <w:t>Swiss Francs</w:t>
            </w:r>
          </w:p>
        </w:tc>
        <w:tc>
          <w:tcPr>
            <w:tcW w:w="1120" w:type="pct"/>
            <w:shd w:val="clear" w:color="auto" w:fill="D9D9D9" w:themeFill="background1" w:themeFillShade="D9"/>
            <w:vAlign w:val="center"/>
          </w:tcPr>
          <w:p w14:paraId="690C8513" w14:textId="77777777" w:rsidR="009C64BD" w:rsidRDefault="009C64BD" w:rsidP="00965E8B">
            <w:pPr>
              <w:keepNext/>
              <w:keepLines/>
              <w:spacing w:after="0"/>
              <w:rPr>
                <w:rFonts w:cs="Arial"/>
                <w:b/>
                <w:szCs w:val="20"/>
              </w:rPr>
            </w:pPr>
            <w:r>
              <w:rPr>
                <w:rFonts w:cs="Arial"/>
                <w:b/>
                <w:szCs w:val="20"/>
              </w:rPr>
              <w:t>Swiss Francs</w:t>
            </w:r>
          </w:p>
        </w:tc>
      </w:tr>
      <w:tr w:rsidR="004C13FF" w:rsidRPr="00E11BCD" w14:paraId="2545F301" w14:textId="77777777" w:rsidTr="009A5D20">
        <w:trPr>
          <w:trHeight w:hRule="exact" w:val="386"/>
        </w:trPr>
        <w:tc>
          <w:tcPr>
            <w:tcW w:w="1183" w:type="pct"/>
            <w:tcBorders>
              <w:top w:val="single" w:sz="6" w:space="0" w:color="auto"/>
              <w:bottom w:val="single" w:sz="6" w:space="0" w:color="auto"/>
              <w:right w:val="single" w:sz="6" w:space="0" w:color="auto"/>
            </w:tcBorders>
            <w:vAlign w:val="center"/>
          </w:tcPr>
          <w:p w14:paraId="3B060266" w14:textId="2DC62858" w:rsidR="004C13FF" w:rsidRPr="00E11BCD" w:rsidRDefault="004C13FF" w:rsidP="004C13FF">
            <w:pPr>
              <w:keepNext/>
              <w:keepLines/>
              <w:spacing w:after="0"/>
              <w:ind w:right="-142"/>
              <w:rPr>
                <w:rFonts w:cs="Arial"/>
                <w:bCs/>
                <w:szCs w:val="20"/>
              </w:rPr>
            </w:pPr>
            <w:r>
              <w:rPr>
                <w:rFonts w:cs="Arial"/>
                <w:bCs/>
                <w:szCs w:val="20"/>
              </w:rPr>
              <w:t>2018</w:t>
            </w:r>
          </w:p>
        </w:tc>
        <w:tc>
          <w:tcPr>
            <w:tcW w:w="1269" w:type="pct"/>
            <w:tcBorders>
              <w:top w:val="single" w:sz="6" w:space="0" w:color="auto"/>
              <w:left w:val="single" w:sz="6" w:space="0" w:color="auto"/>
              <w:bottom w:val="single" w:sz="6" w:space="0" w:color="auto"/>
              <w:right w:val="single" w:sz="6" w:space="0" w:color="auto"/>
            </w:tcBorders>
            <w:shd w:val="clear" w:color="auto" w:fill="auto"/>
          </w:tcPr>
          <w:p w14:paraId="7096DC97" w14:textId="6726F63E" w:rsidR="004C13FF" w:rsidRDefault="004C13FF" w:rsidP="00965E8B">
            <w:pPr>
              <w:keepNext/>
              <w:keepLines/>
              <w:spacing w:after="0"/>
              <w:rPr>
                <w:rFonts w:cs="Arial"/>
                <w:bCs/>
                <w:szCs w:val="20"/>
              </w:rPr>
            </w:pPr>
            <w:r w:rsidRPr="00B01D53">
              <w:t>1,57</w:t>
            </w:r>
            <w:r>
              <w:t>2,008</w:t>
            </w:r>
          </w:p>
        </w:tc>
        <w:tc>
          <w:tcPr>
            <w:tcW w:w="1428" w:type="pct"/>
            <w:tcBorders>
              <w:top w:val="single" w:sz="6" w:space="0" w:color="auto"/>
              <w:left w:val="single" w:sz="6" w:space="0" w:color="auto"/>
              <w:bottom w:val="single" w:sz="6" w:space="0" w:color="auto"/>
              <w:right w:val="single" w:sz="6" w:space="0" w:color="auto"/>
            </w:tcBorders>
            <w:shd w:val="clear" w:color="auto" w:fill="auto"/>
          </w:tcPr>
          <w:p w14:paraId="66998F61" w14:textId="67651C31" w:rsidR="004C13FF" w:rsidRDefault="004C13FF" w:rsidP="00965E8B">
            <w:pPr>
              <w:keepNext/>
              <w:keepLines/>
              <w:spacing w:after="0"/>
              <w:ind w:right="34"/>
              <w:rPr>
                <w:rFonts w:cs="Arial"/>
                <w:bCs/>
                <w:szCs w:val="20"/>
              </w:rPr>
            </w:pPr>
            <w:r w:rsidRPr="00B01D53">
              <w:t>3,15</w:t>
            </w:r>
            <w:r>
              <w:t>2,992</w:t>
            </w:r>
          </w:p>
        </w:tc>
        <w:tc>
          <w:tcPr>
            <w:tcW w:w="1120" w:type="pct"/>
            <w:tcBorders>
              <w:top w:val="single" w:sz="6" w:space="0" w:color="auto"/>
              <w:left w:val="single" w:sz="6" w:space="0" w:color="auto"/>
              <w:bottom w:val="single" w:sz="6" w:space="0" w:color="auto"/>
              <w:right w:val="single" w:sz="6" w:space="0" w:color="auto"/>
            </w:tcBorders>
            <w:shd w:val="clear" w:color="auto" w:fill="auto"/>
          </w:tcPr>
          <w:p w14:paraId="2C1E6643" w14:textId="5F5F28C1" w:rsidR="004C13FF" w:rsidRDefault="004C13FF" w:rsidP="00965E8B">
            <w:pPr>
              <w:keepNext/>
              <w:keepLines/>
              <w:spacing w:after="0"/>
              <w:rPr>
                <w:rFonts w:cs="Arial"/>
                <w:bCs/>
                <w:szCs w:val="20"/>
              </w:rPr>
            </w:pPr>
            <w:r w:rsidRPr="00B01D53">
              <w:t xml:space="preserve"> 4,725,000 </w:t>
            </w:r>
          </w:p>
        </w:tc>
      </w:tr>
      <w:tr w:rsidR="004C13FF" w:rsidRPr="00E11BCD" w14:paraId="229FD190" w14:textId="77777777" w:rsidTr="009A5D20">
        <w:trPr>
          <w:trHeight w:hRule="exact" w:val="386"/>
        </w:trPr>
        <w:tc>
          <w:tcPr>
            <w:tcW w:w="1183" w:type="pct"/>
            <w:tcBorders>
              <w:top w:val="single" w:sz="6" w:space="0" w:color="auto"/>
              <w:bottom w:val="single" w:sz="6" w:space="0" w:color="auto"/>
              <w:right w:val="single" w:sz="6" w:space="0" w:color="auto"/>
            </w:tcBorders>
            <w:vAlign w:val="center"/>
          </w:tcPr>
          <w:p w14:paraId="07883EF7" w14:textId="622645A0" w:rsidR="004C13FF" w:rsidRPr="00E11BCD" w:rsidRDefault="004C13FF" w:rsidP="004C13FF">
            <w:pPr>
              <w:keepNext/>
              <w:keepLines/>
              <w:spacing w:after="0"/>
              <w:ind w:right="-142"/>
              <w:rPr>
                <w:rFonts w:cs="Arial"/>
                <w:bCs/>
                <w:szCs w:val="20"/>
              </w:rPr>
            </w:pPr>
            <w:r>
              <w:rPr>
                <w:rFonts w:cs="Arial"/>
                <w:bCs/>
                <w:szCs w:val="20"/>
              </w:rPr>
              <w:t>2017</w:t>
            </w:r>
          </w:p>
        </w:tc>
        <w:tc>
          <w:tcPr>
            <w:tcW w:w="1269" w:type="pct"/>
            <w:tcBorders>
              <w:top w:val="single" w:sz="6" w:space="0" w:color="auto"/>
              <w:left w:val="single" w:sz="6" w:space="0" w:color="auto"/>
              <w:bottom w:val="single" w:sz="6" w:space="0" w:color="auto"/>
              <w:right w:val="single" w:sz="6" w:space="0" w:color="auto"/>
            </w:tcBorders>
            <w:shd w:val="clear" w:color="auto" w:fill="auto"/>
          </w:tcPr>
          <w:p w14:paraId="10E435CB" w14:textId="0BF15F11" w:rsidR="004C13FF" w:rsidRDefault="004C13FF" w:rsidP="00965E8B">
            <w:pPr>
              <w:keepNext/>
              <w:keepLines/>
              <w:spacing w:after="0"/>
              <w:rPr>
                <w:rFonts w:cs="Arial"/>
                <w:bCs/>
                <w:szCs w:val="20"/>
              </w:rPr>
            </w:pPr>
            <w:r w:rsidRPr="00B01D53">
              <w:t>1,469,475</w:t>
            </w:r>
          </w:p>
        </w:tc>
        <w:tc>
          <w:tcPr>
            <w:tcW w:w="1428" w:type="pct"/>
            <w:tcBorders>
              <w:top w:val="single" w:sz="6" w:space="0" w:color="auto"/>
              <w:left w:val="single" w:sz="6" w:space="0" w:color="auto"/>
              <w:bottom w:val="single" w:sz="6" w:space="0" w:color="auto"/>
              <w:right w:val="single" w:sz="6" w:space="0" w:color="auto"/>
            </w:tcBorders>
            <w:shd w:val="clear" w:color="auto" w:fill="auto"/>
          </w:tcPr>
          <w:p w14:paraId="1DF058BB" w14:textId="2979C69F" w:rsidR="004C13FF" w:rsidRDefault="004C13FF" w:rsidP="00965E8B">
            <w:pPr>
              <w:keepNext/>
              <w:keepLines/>
              <w:spacing w:after="0"/>
              <w:ind w:right="34"/>
              <w:rPr>
                <w:rFonts w:cs="Arial"/>
                <w:bCs/>
                <w:szCs w:val="20"/>
              </w:rPr>
            </w:pPr>
            <w:r w:rsidRPr="00B01D53">
              <w:t>3,255,525</w:t>
            </w:r>
          </w:p>
        </w:tc>
        <w:tc>
          <w:tcPr>
            <w:tcW w:w="1120" w:type="pct"/>
            <w:tcBorders>
              <w:top w:val="single" w:sz="6" w:space="0" w:color="auto"/>
              <w:left w:val="single" w:sz="6" w:space="0" w:color="auto"/>
              <w:bottom w:val="single" w:sz="6" w:space="0" w:color="auto"/>
              <w:right w:val="single" w:sz="6" w:space="0" w:color="auto"/>
            </w:tcBorders>
            <w:shd w:val="clear" w:color="auto" w:fill="auto"/>
          </w:tcPr>
          <w:p w14:paraId="2888C950" w14:textId="2BA0045A" w:rsidR="004C13FF" w:rsidRDefault="004C13FF" w:rsidP="00965E8B">
            <w:pPr>
              <w:keepNext/>
              <w:keepLines/>
              <w:spacing w:after="0"/>
              <w:rPr>
                <w:rFonts w:cs="Arial"/>
                <w:bCs/>
                <w:szCs w:val="20"/>
              </w:rPr>
            </w:pPr>
            <w:r w:rsidRPr="00B01D53">
              <w:t xml:space="preserve"> 4,725,000 </w:t>
            </w:r>
          </w:p>
        </w:tc>
      </w:tr>
      <w:tr w:rsidR="004C13FF" w:rsidRPr="00E11BCD" w14:paraId="67BA1CC5" w14:textId="77777777" w:rsidTr="000269F7">
        <w:trPr>
          <w:trHeight w:hRule="exact" w:val="386"/>
        </w:trPr>
        <w:tc>
          <w:tcPr>
            <w:tcW w:w="1183" w:type="pct"/>
            <w:tcBorders>
              <w:top w:val="single" w:sz="6" w:space="0" w:color="auto"/>
              <w:bottom w:val="single" w:sz="6" w:space="0" w:color="auto"/>
              <w:right w:val="single" w:sz="6" w:space="0" w:color="auto"/>
            </w:tcBorders>
            <w:vAlign w:val="center"/>
          </w:tcPr>
          <w:p w14:paraId="6837506F" w14:textId="77777777" w:rsidR="004C13FF" w:rsidRPr="00E11BCD" w:rsidRDefault="004C13FF" w:rsidP="004C13FF">
            <w:pPr>
              <w:keepNext/>
              <w:keepLines/>
              <w:spacing w:after="0"/>
              <w:ind w:right="-142"/>
              <w:rPr>
                <w:rFonts w:cs="Arial"/>
                <w:bCs/>
                <w:szCs w:val="20"/>
              </w:rPr>
            </w:pPr>
            <w:r w:rsidRPr="00E11BCD">
              <w:rPr>
                <w:rFonts w:cs="Arial"/>
                <w:bCs/>
                <w:szCs w:val="20"/>
              </w:rPr>
              <w:t>Increase/(</w:t>
            </w:r>
            <w:r>
              <w:rPr>
                <w:rFonts w:cs="Arial"/>
                <w:bCs/>
                <w:szCs w:val="20"/>
              </w:rPr>
              <w:t>d</w:t>
            </w:r>
            <w:r w:rsidRPr="00E11BCD">
              <w:rPr>
                <w:rFonts w:cs="Arial"/>
                <w:bCs/>
                <w:szCs w:val="20"/>
              </w:rPr>
              <w:t>ecrease)</w:t>
            </w:r>
          </w:p>
        </w:tc>
        <w:tc>
          <w:tcPr>
            <w:tcW w:w="1269" w:type="pct"/>
            <w:tcBorders>
              <w:top w:val="single" w:sz="6" w:space="0" w:color="auto"/>
              <w:left w:val="single" w:sz="6" w:space="0" w:color="auto"/>
              <w:bottom w:val="single" w:sz="6" w:space="0" w:color="auto"/>
              <w:right w:val="single" w:sz="6" w:space="0" w:color="auto"/>
            </w:tcBorders>
            <w:shd w:val="clear" w:color="auto" w:fill="auto"/>
            <w:vAlign w:val="center"/>
          </w:tcPr>
          <w:p w14:paraId="2D15AB56" w14:textId="4ACF6322" w:rsidR="004C13FF" w:rsidRDefault="004C13FF" w:rsidP="00965E8B">
            <w:pPr>
              <w:keepNext/>
              <w:keepLines/>
              <w:spacing w:after="0"/>
              <w:rPr>
                <w:rFonts w:cs="Arial"/>
                <w:bCs/>
                <w:szCs w:val="20"/>
              </w:rPr>
            </w:pPr>
            <w:r>
              <w:rPr>
                <w:rFonts w:cs="Arial"/>
                <w:bCs/>
                <w:color w:val="000000"/>
                <w:szCs w:val="20"/>
              </w:rPr>
              <w:t>6.98</w:t>
            </w:r>
            <w:r w:rsidRPr="00430DC2">
              <w:rPr>
                <w:rFonts w:cs="Arial"/>
                <w:bCs/>
                <w:color w:val="000000"/>
                <w:szCs w:val="20"/>
              </w:rPr>
              <w:t xml:space="preserve">%  </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335AC322" w14:textId="3839878B" w:rsidR="004C13FF" w:rsidRDefault="004C13FF" w:rsidP="00965E8B">
            <w:pPr>
              <w:keepNext/>
              <w:keepLines/>
              <w:spacing w:after="0"/>
              <w:ind w:right="34"/>
              <w:rPr>
                <w:rFonts w:cs="Arial"/>
                <w:bCs/>
                <w:szCs w:val="20"/>
              </w:rPr>
            </w:pPr>
            <w:r>
              <w:rPr>
                <w:rFonts w:cs="Arial"/>
                <w:bCs/>
                <w:color w:val="000000"/>
                <w:szCs w:val="20"/>
              </w:rPr>
              <w:t>(3.15</w:t>
            </w:r>
            <w:r w:rsidRPr="00430DC2">
              <w:rPr>
                <w:rFonts w:cs="Arial"/>
                <w:bCs/>
                <w:color w:val="000000"/>
                <w:szCs w:val="20"/>
              </w:rPr>
              <w:t>%</w:t>
            </w:r>
            <w:r>
              <w:rPr>
                <w:rFonts w:cs="Arial"/>
                <w:bCs/>
                <w:color w:val="000000"/>
                <w:szCs w:val="20"/>
              </w:rPr>
              <w:t xml:space="preserve">)  </w:t>
            </w: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tcPr>
          <w:p w14:paraId="3BFCAE5E" w14:textId="77777777" w:rsidR="004C13FF" w:rsidRPr="00E11BCD" w:rsidRDefault="004C13FF" w:rsidP="00965E8B">
            <w:pPr>
              <w:keepNext/>
              <w:keepLines/>
              <w:spacing w:after="0"/>
              <w:rPr>
                <w:rFonts w:cs="Arial"/>
                <w:bCs/>
                <w:szCs w:val="20"/>
              </w:rPr>
            </w:pPr>
            <w:r>
              <w:rPr>
                <w:rFonts w:cs="Arial"/>
                <w:bCs/>
                <w:color w:val="000000"/>
                <w:szCs w:val="20"/>
              </w:rPr>
              <w:t> </w:t>
            </w:r>
          </w:p>
        </w:tc>
      </w:tr>
    </w:tbl>
    <w:p w14:paraId="5E3ED503" w14:textId="77777777" w:rsidR="009C64BD" w:rsidRDefault="009C64BD" w:rsidP="009E783D"/>
    <w:p w14:paraId="2B7ECDA0" w14:textId="4E8C383B" w:rsidR="009E783D" w:rsidRPr="0039521A" w:rsidRDefault="009E783D" w:rsidP="003F7E3A">
      <w:pPr>
        <w:pStyle w:val="Heading2"/>
        <w:spacing w:after="240"/>
      </w:pPr>
      <w:bookmarkStart w:id="95" w:name="_Toc417990955"/>
      <w:bookmarkStart w:id="96" w:name="_Toc511634397"/>
      <w:bookmarkStart w:id="97" w:name="_Toc26786337"/>
      <w:r w:rsidRPr="003F7E3A">
        <w:t>3.4</w:t>
      </w:r>
      <w:r w:rsidRPr="003F7E3A">
        <w:tab/>
        <w:t xml:space="preserve">Determination of cost component </w:t>
      </w:r>
      <w:r w:rsidR="00627665">
        <w:t>for the d</w:t>
      </w:r>
      <w:r w:rsidRPr="003F7E3A">
        <w:t xml:space="preserve">evelopment </w:t>
      </w:r>
      <w:r w:rsidR="008779EF">
        <w:t xml:space="preserve">or variation </w:t>
      </w:r>
      <w:r w:rsidRPr="003F7E3A">
        <w:t>of consumer protection codes</w:t>
      </w:r>
      <w:bookmarkEnd w:id="95"/>
      <w:bookmarkEnd w:id="96"/>
      <w:bookmarkEnd w:id="97"/>
    </w:p>
    <w:p w14:paraId="3AA33E6E" w14:textId="77777777" w:rsidR="009E783D" w:rsidRPr="005D0BC8" w:rsidRDefault="009E783D" w:rsidP="003F7E3A">
      <w:pPr>
        <w:pStyle w:val="Heading3"/>
      </w:pPr>
      <w:bookmarkStart w:id="98" w:name="_Toc417990956"/>
      <w:bookmarkStart w:id="99" w:name="_Toc511634398"/>
      <w:bookmarkStart w:id="100" w:name="_Toc26786338"/>
      <w:r w:rsidRPr="003F7E3A">
        <w:t>3.4.1</w:t>
      </w:r>
      <w:r w:rsidRPr="003F7E3A">
        <w:tab/>
        <w:t>Outputs and business processes of the activity</w:t>
      </w:r>
      <w:bookmarkEnd w:id="98"/>
      <w:bookmarkEnd w:id="99"/>
      <w:bookmarkEnd w:id="100"/>
    </w:p>
    <w:p w14:paraId="7BDBB443" w14:textId="491E5084" w:rsidR="00B27039" w:rsidRDefault="009E783D" w:rsidP="009E783D">
      <w:r w:rsidRPr="00A84CBD">
        <w:t xml:space="preserve">This component </w:t>
      </w:r>
      <w:r w:rsidR="00627665">
        <w:t>(</w:t>
      </w:r>
      <w:r w:rsidR="000544DC">
        <w:t xml:space="preserve">to be determined by </w:t>
      </w:r>
      <w:r w:rsidR="003C516D">
        <w:t xml:space="preserve">the </w:t>
      </w:r>
      <w:r w:rsidR="000544DC">
        <w:t xml:space="preserve">ACMA </w:t>
      </w:r>
      <w:r w:rsidR="00627665" w:rsidRPr="00627665">
        <w:t>under paragraph 15(</w:t>
      </w:r>
      <w:proofErr w:type="gramStart"/>
      <w:r w:rsidR="00627665" w:rsidRPr="00627665">
        <w:t>1)(</w:t>
      </w:r>
      <w:proofErr w:type="gramEnd"/>
      <w:r w:rsidR="00627665" w:rsidRPr="00627665">
        <w:t>ca) of the Act</w:t>
      </w:r>
      <w:r w:rsidR="00627665">
        <w:t>)</w:t>
      </w:r>
      <w:r w:rsidR="00627665" w:rsidRPr="00627665">
        <w:t xml:space="preserve"> </w:t>
      </w:r>
      <w:r w:rsidRPr="00A84CBD">
        <w:t xml:space="preserve">represents the sum of the amounts paid under section 136C of the </w:t>
      </w:r>
      <w:r w:rsidR="009B7744" w:rsidRPr="00391111">
        <w:t>Telco Act</w:t>
      </w:r>
      <w:r w:rsidRPr="000F3887">
        <w:rPr>
          <w:i/>
        </w:rPr>
        <w:t xml:space="preserve"> </w:t>
      </w:r>
      <w:r w:rsidR="002D0C18">
        <w:t>during</w:t>
      </w:r>
      <w:r w:rsidRPr="00A84CBD">
        <w:t xml:space="preserve"> the immediately preceding financial year (</w:t>
      </w:r>
      <w:r w:rsidR="00D172BB">
        <w:t>the 201</w:t>
      </w:r>
      <w:r w:rsidR="00463BDB">
        <w:t>7</w:t>
      </w:r>
      <w:r w:rsidR="00D172BB">
        <w:t>–1</w:t>
      </w:r>
      <w:r w:rsidR="00463BDB">
        <w:t>8</w:t>
      </w:r>
      <w:r w:rsidRPr="00A84CBD">
        <w:t xml:space="preserve"> financial year). Section 136C of the </w:t>
      </w:r>
      <w:r w:rsidR="009B7744" w:rsidRPr="00391111">
        <w:t>Telco</w:t>
      </w:r>
      <w:r w:rsidR="009B7744" w:rsidRPr="004923E7">
        <w:t xml:space="preserve"> </w:t>
      </w:r>
      <w:r w:rsidR="009B7744" w:rsidRPr="00391111">
        <w:t>Act</w:t>
      </w:r>
      <w:r w:rsidRPr="00A84CBD">
        <w:t xml:space="preserve"> </w:t>
      </w:r>
      <w:r w:rsidR="00F25B6A">
        <w:t>requires</w:t>
      </w:r>
      <w:r w:rsidR="003C516D" w:rsidRPr="003C516D">
        <w:t xml:space="preserve"> </w:t>
      </w:r>
      <w:r w:rsidR="003C516D">
        <w:t>the</w:t>
      </w:r>
      <w:r w:rsidRPr="00A84CBD">
        <w:t xml:space="preserve"> ACMA</w:t>
      </w:r>
      <w:r w:rsidR="00B27039">
        <w:t xml:space="preserve"> (</w:t>
      </w:r>
      <w:r w:rsidR="00F25B6A">
        <w:t>providing certain statutory preconditions are met</w:t>
      </w:r>
      <w:r w:rsidR="00B27039">
        <w:t>)</w:t>
      </w:r>
      <w:r w:rsidR="00B27039" w:rsidRPr="00A84CBD">
        <w:t xml:space="preserve"> </w:t>
      </w:r>
      <w:r w:rsidRPr="00A84CBD">
        <w:t xml:space="preserve">to make </w:t>
      </w:r>
      <w:r w:rsidR="00F25B6A">
        <w:t xml:space="preserve">a </w:t>
      </w:r>
      <w:r w:rsidRPr="00A84CBD">
        <w:t xml:space="preserve">payment on behalf of the Commonwealth </w:t>
      </w:r>
      <w:r w:rsidR="00F25B6A">
        <w:t xml:space="preserve">to reimburse the costs incurred by a telecommunications industry body or association </w:t>
      </w:r>
      <w:r w:rsidRPr="00A84CBD">
        <w:t xml:space="preserve">for the development </w:t>
      </w:r>
      <w:r w:rsidR="00F25B6A">
        <w:t xml:space="preserve">or variation </w:t>
      </w:r>
      <w:r w:rsidRPr="00A84CBD">
        <w:t xml:space="preserve">of </w:t>
      </w:r>
      <w:r w:rsidR="00F25B6A">
        <w:t xml:space="preserve">an </w:t>
      </w:r>
      <w:r w:rsidRPr="00A84CBD">
        <w:t xml:space="preserve">industry code </w:t>
      </w:r>
      <w:r>
        <w:t>(the output of this activity)</w:t>
      </w:r>
      <w:r w:rsidR="00F25B6A">
        <w:t>.</w:t>
      </w:r>
      <w:r w:rsidR="00462477">
        <w:t xml:space="preserve"> </w:t>
      </w:r>
    </w:p>
    <w:p w14:paraId="239ECA7E" w14:textId="487222CA" w:rsidR="009E783D" w:rsidRDefault="00F25B6A" w:rsidP="009E783D">
      <w:r>
        <w:t xml:space="preserve">The industry body or association must first have obtained </w:t>
      </w:r>
      <w:r w:rsidR="00F02932">
        <w:t xml:space="preserve">a </w:t>
      </w:r>
      <w:r>
        <w:t xml:space="preserve">declaration from </w:t>
      </w:r>
      <w:r w:rsidR="003C516D">
        <w:t xml:space="preserve">the </w:t>
      </w:r>
      <w:r w:rsidR="009E783D" w:rsidRPr="00A84CBD">
        <w:t xml:space="preserve">ACMA </w:t>
      </w:r>
      <w:r>
        <w:t xml:space="preserve">under section 136B of </w:t>
      </w:r>
      <w:r w:rsidRPr="00A84CBD">
        <w:t xml:space="preserve">the </w:t>
      </w:r>
      <w:r w:rsidR="009B7744" w:rsidRPr="00391111">
        <w:t>Telco Act</w:t>
      </w:r>
      <w:r w:rsidRPr="00A84CBD">
        <w:t xml:space="preserve"> </w:t>
      </w:r>
      <w:r w:rsidR="009E783D">
        <w:t xml:space="preserve">to </w:t>
      </w:r>
      <w:r>
        <w:t xml:space="preserve">be eligible </w:t>
      </w:r>
      <w:r w:rsidR="006A1AC8">
        <w:t xml:space="preserve">to claim reimbursement of these </w:t>
      </w:r>
      <w:r w:rsidR="009E783D">
        <w:t>cost</w:t>
      </w:r>
      <w:r w:rsidR="00B73AEB">
        <w:t>s</w:t>
      </w:r>
      <w:r w:rsidR="009E783D">
        <w:t xml:space="preserve"> and, within two years, provide a detailed claim in relation </w:t>
      </w:r>
      <w:r w:rsidR="00D866D4">
        <w:t xml:space="preserve">to </w:t>
      </w:r>
      <w:r w:rsidR="009E783D">
        <w:t xml:space="preserve">the code </w:t>
      </w:r>
      <w:r w:rsidR="009E783D">
        <w:lastRenderedPageBreak/>
        <w:t xml:space="preserve">development </w:t>
      </w:r>
      <w:r>
        <w:t xml:space="preserve">or variation </w:t>
      </w:r>
      <w:r w:rsidR="009E783D">
        <w:t>costs</w:t>
      </w:r>
      <w:r w:rsidR="009E783D" w:rsidRPr="00A84CBD">
        <w:t xml:space="preserve">. </w:t>
      </w:r>
      <w:r w:rsidR="009E783D">
        <w:t xml:space="preserve">The </w:t>
      </w:r>
      <w:r w:rsidR="003E5D16">
        <w:t xml:space="preserve">cost of </w:t>
      </w:r>
      <w:r w:rsidR="009E783D">
        <w:t xml:space="preserve">the development </w:t>
      </w:r>
      <w:r w:rsidR="003E5D16">
        <w:t xml:space="preserve">or variation </w:t>
      </w:r>
      <w:r w:rsidR="009E783D">
        <w:t xml:space="preserve">of </w:t>
      </w:r>
      <w:r w:rsidR="003E5D16">
        <w:t xml:space="preserve">an industry </w:t>
      </w:r>
      <w:r w:rsidR="009E783D">
        <w:t xml:space="preserve">code </w:t>
      </w:r>
      <w:r w:rsidR="003E5D16">
        <w:t>is</w:t>
      </w:r>
      <w:r w:rsidR="009E783D">
        <w:t xml:space="preserve"> </w:t>
      </w:r>
      <w:r w:rsidR="003E5D16">
        <w:t xml:space="preserve">required to be </w:t>
      </w:r>
      <w:r w:rsidR="009E783D">
        <w:t xml:space="preserve">verified by an independent </w:t>
      </w:r>
      <w:r w:rsidR="00462477">
        <w:t>a</w:t>
      </w:r>
      <w:r w:rsidR="009E783D">
        <w:t xml:space="preserve">uditor </w:t>
      </w:r>
      <w:r w:rsidR="003E5D16">
        <w:t xml:space="preserve">at the time the code or variation is submitted to </w:t>
      </w:r>
      <w:r w:rsidR="003C516D">
        <w:t xml:space="preserve">the </w:t>
      </w:r>
      <w:r w:rsidR="003E5D16">
        <w:t>ACMA</w:t>
      </w:r>
      <w:r w:rsidR="009E783D">
        <w:t xml:space="preserve"> and </w:t>
      </w:r>
      <w:r w:rsidR="003E5D16">
        <w:t xml:space="preserve">must be </w:t>
      </w:r>
      <w:r w:rsidR="009E783D">
        <w:t xml:space="preserve">assessed by ACMA </w:t>
      </w:r>
      <w:r w:rsidR="003E5D16">
        <w:t xml:space="preserve">as a </w:t>
      </w:r>
      <w:r w:rsidR="008A0447">
        <w:t xml:space="preserve">reimbursable </w:t>
      </w:r>
      <w:r w:rsidR="003E5D16">
        <w:t>cost</w:t>
      </w:r>
      <w:r w:rsidR="00DF2939">
        <w:t xml:space="preserve"> in accordance with the Telco Act</w:t>
      </w:r>
      <w:r w:rsidR="003E5D16">
        <w:t xml:space="preserve"> </w:t>
      </w:r>
      <w:r w:rsidR="009E783D">
        <w:t>pr</w:t>
      </w:r>
      <w:r w:rsidR="003F7E3A">
        <w:t>ior to any payment being made.</w:t>
      </w:r>
    </w:p>
    <w:p w14:paraId="1DCB1705" w14:textId="5B0A1866" w:rsidR="009E783D" w:rsidRDefault="009E783D" w:rsidP="009E783D">
      <w:r>
        <w:t xml:space="preserve">Communications Alliance </w:t>
      </w:r>
      <w:r w:rsidR="008A2FC3">
        <w:t xml:space="preserve">Ltd </w:t>
      </w:r>
      <w:r w:rsidR="00451B25">
        <w:t xml:space="preserve">(CA) </w:t>
      </w:r>
      <w:r>
        <w:t xml:space="preserve">is an industry body </w:t>
      </w:r>
      <w:r w:rsidR="00462477">
        <w:t xml:space="preserve">that </w:t>
      </w:r>
      <w:r>
        <w:t xml:space="preserve">represents the telecommunications industry and develops codes as required. </w:t>
      </w:r>
      <w:r w:rsidR="008A0447">
        <w:t xml:space="preserve">An industry body is only eligible to seek </w:t>
      </w:r>
      <w:r>
        <w:t xml:space="preserve">reimbursement </w:t>
      </w:r>
      <w:r w:rsidR="008A0447">
        <w:t>for development or variation of consumer codes</w:t>
      </w:r>
      <w:r w:rsidR="00F133BF">
        <w:t xml:space="preserve"> (i.e. where industry codes wholly or mainly </w:t>
      </w:r>
      <w:r>
        <w:t>deal with matters relating to the relationship between carriage service providers and their retail customers</w:t>
      </w:r>
      <w:r w:rsidR="00F133BF">
        <w:t>)</w:t>
      </w:r>
      <w:r>
        <w:t xml:space="preserve">. The industry codes are a key component of the </w:t>
      </w:r>
      <w:r w:rsidR="00F02932">
        <w:t>co</w:t>
      </w:r>
      <w:r>
        <w:t>-regulatory approach to regulation in the telecommunications sector</w:t>
      </w:r>
      <w:r w:rsidR="00F133BF">
        <w:t>, which is intended to</w:t>
      </w:r>
      <w:r>
        <w:t xml:space="preserve"> provide consumer protection in an efficient manner</w:t>
      </w:r>
      <w:r w:rsidR="00B73AEB">
        <w:t>,</w:t>
      </w:r>
      <w:r>
        <w:t xml:space="preserve"> with a low regulatory burden on industry.</w:t>
      </w:r>
      <w:r w:rsidR="001B038E">
        <w:t xml:space="preserve"> Industry codes, as </w:t>
      </w:r>
      <w:r w:rsidR="0006216F">
        <w:t xml:space="preserve">a form of </w:t>
      </w:r>
      <w:r w:rsidR="00F02932">
        <w:t>co</w:t>
      </w:r>
      <w:r w:rsidR="0006216F">
        <w:t>-</w:t>
      </w:r>
      <w:r w:rsidR="001B038E">
        <w:t>regulation, form part of the telecommunications regulatory framework and it is appropriate to attribute these costs to the licensed carriers through the ACLC.</w:t>
      </w:r>
    </w:p>
    <w:p w14:paraId="133EED17" w14:textId="77777777" w:rsidR="009E783D" w:rsidRPr="005D0BC8" w:rsidRDefault="009E783D" w:rsidP="003F7E3A">
      <w:pPr>
        <w:pStyle w:val="Heading3"/>
      </w:pPr>
      <w:bookmarkStart w:id="101" w:name="_Toc417990957"/>
      <w:bookmarkStart w:id="102" w:name="_Toc511634399"/>
      <w:bookmarkStart w:id="103" w:name="_Toc26786339"/>
      <w:r w:rsidRPr="003F7E3A">
        <w:t>3.4.2</w:t>
      </w:r>
      <w:r w:rsidRPr="003F7E3A">
        <w:tab/>
        <w:t>Costs of the activity</w:t>
      </w:r>
      <w:bookmarkEnd w:id="101"/>
      <w:bookmarkEnd w:id="102"/>
      <w:bookmarkEnd w:id="103"/>
    </w:p>
    <w:p w14:paraId="3C72E5D3" w14:textId="5DAD6BCF" w:rsidR="009E783D" w:rsidRPr="003F7E3A" w:rsidRDefault="001E5229" w:rsidP="003F7E3A">
      <w:bookmarkStart w:id="104" w:name="_Hlk8984411"/>
      <w:r w:rsidRPr="00763532">
        <w:t>N</w:t>
      </w:r>
      <w:r w:rsidR="009E783D" w:rsidRPr="00763532">
        <w:t>o payment was</w:t>
      </w:r>
      <w:r w:rsidR="00D172BB" w:rsidRPr="00763532">
        <w:t xml:space="preserve"> made </w:t>
      </w:r>
      <w:r w:rsidR="00D866D4" w:rsidRPr="00763532">
        <w:t xml:space="preserve">by </w:t>
      </w:r>
      <w:r w:rsidR="003C516D">
        <w:t xml:space="preserve">the </w:t>
      </w:r>
      <w:r w:rsidR="00D866D4" w:rsidRPr="00763532">
        <w:t xml:space="preserve">ACMA </w:t>
      </w:r>
      <w:r w:rsidR="000153DA" w:rsidRPr="00763532">
        <w:t>for the 2016</w:t>
      </w:r>
      <w:r w:rsidR="00462477" w:rsidRPr="00763532">
        <w:t>–</w:t>
      </w:r>
      <w:r w:rsidR="000153DA" w:rsidRPr="00763532">
        <w:t>17</w:t>
      </w:r>
      <w:r w:rsidR="009E783D" w:rsidRPr="00763532">
        <w:t xml:space="preserve"> </w:t>
      </w:r>
      <w:r w:rsidR="001B68DB" w:rsidRPr="00763532">
        <w:t>and 2017</w:t>
      </w:r>
      <w:r w:rsidR="00E74157">
        <w:t>–</w:t>
      </w:r>
      <w:r w:rsidR="001B68DB" w:rsidRPr="00763532">
        <w:t xml:space="preserve">18 </w:t>
      </w:r>
      <w:r w:rsidR="009E783D" w:rsidRPr="00763532">
        <w:t>financial year</w:t>
      </w:r>
      <w:r w:rsidR="001B68DB" w:rsidRPr="00763532">
        <w:t>s</w:t>
      </w:r>
      <w:r w:rsidR="009E783D" w:rsidRPr="00763532">
        <w:t xml:space="preserve"> as no </w:t>
      </w:r>
      <w:r w:rsidR="00D866D4" w:rsidRPr="00763532">
        <w:t>claim for reimbursement was received from C</w:t>
      </w:r>
      <w:r w:rsidR="00451B25" w:rsidRPr="00763532">
        <w:t>A</w:t>
      </w:r>
      <w:bookmarkEnd w:id="104"/>
      <w:r w:rsidR="00FB1498">
        <w:t xml:space="preserve"> or any other eligible body.</w:t>
      </w:r>
    </w:p>
    <w:p w14:paraId="1EE79E68" w14:textId="2A02A285" w:rsidR="009E783D" w:rsidRDefault="009E783D" w:rsidP="003F7E3A">
      <w:pPr>
        <w:pStyle w:val="Heading2"/>
        <w:spacing w:after="240"/>
      </w:pPr>
      <w:bookmarkStart w:id="105" w:name="_Toc417990958"/>
      <w:bookmarkStart w:id="106" w:name="_Toc511634400"/>
      <w:bookmarkStart w:id="107" w:name="_Toc26786340"/>
      <w:r w:rsidRPr="003F7E3A">
        <w:t>3.5</w:t>
      </w:r>
      <w:r w:rsidRPr="003F7E3A">
        <w:tab/>
        <w:t xml:space="preserve">Determination of cost component </w:t>
      </w:r>
      <w:r w:rsidR="00B27039">
        <w:t xml:space="preserve">for </w:t>
      </w:r>
      <w:r w:rsidR="00347085">
        <w:t>g</w:t>
      </w:r>
      <w:r w:rsidRPr="003F7E3A">
        <w:t>overnment grant</w:t>
      </w:r>
      <w:r w:rsidR="00FB1498">
        <w:t>s</w:t>
      </w:r>
      <w:r w:rsidRPr="003F7E3A">
        <w:t xml:space="preserve"> for consumer representation </w:t>
      </w:r>
      <w:r w:rsidR="00FB1498">
        <w:t>and research</w:t>
      </w:r>
      <w:bookmarkEnd w:id="105"/>
      <w:bookmarkEnd w:id="106"/>
      <w:bookmarkEnd w:id="107"/>
    </w:p>
    <w:p w14:paraId="0BB22321" w14:textId="364D0263" w:rsidR="00BB73E8" w:rsidRPr="00BB73E8" w:rsidRDefault="00BB73E8" w:rsidP="00BB73E8">
      <w:r>
        <w:t>The</w:t>
      </w:r>
      <w:r w:rsidRPr="007368D9">
        <w:t xml:space="preserve"> </w:t>
      </w:r>
      <w:r>
        <w:t xml:space="preserve">information in this section has been provided by </w:t>
      </w:r>
      <w:proofErr w:type="spellStart"/>
      <w:r>
        <w:t>DoCA</w:t>
      </w:r>
      <w:proofErr w:type="spellEnd"/>
      <w:r w:rsidR="004B4A19">
        <w:t>,</w:t>
      </w:r>
      <w:r>
        <w:t xml:space="preserve"> </w:t>
      </w:r>
      <w:r w:rsidRPr="007368D9">
        <w:t>setting out the cost recovery model it has used to determine the</w:t>
      </w:r>
      <w:r>
        <w:t xml:space="preserve"> costs</w:t>
      </w:r>
      <w:r w:rsidRPr="007368D9">
        <w:t>.</w:t>
      </w:r>
    </w:p>
    <w:p w14:paraId="36B4AB96" w14:textId="77777777" w:rsidR="009E783D" w:rsidRPr="003F7E3A" w:rsidRDefault="009E783D" w:rsidP="00927525">
      <w:pPr>
        <w:pStyle w:val="Heading3"/>
        <w:spacing w:after="80"/>
      </w:pPr>
      <w:bookmarkStart w:id="108" w:name="_Toc417990959"/>
      <w:bookmarkStart w:id="109" w:name="_Toc511634401"/>
      <w:bookmarkStart w:id="110" w:name="_Toc26786341"/>
      <w:r w:rsidRPr="003F7E3A">
        <w:t>3.5.1</w:t>
      </w:r>
      <w:r w:rsidRPr="003F7E3A">
        <w:tab/>
        <w:t>Outputs and business processes of the activity</w:t>
      </w:r>
      <w:bookmarkEnd w:id="108"/>
      <w:bookmarkEnd w:id="109"/>
      <w:bookmarkEnd w:id="110"/>
    </w:p>
    <w:p w14:paraId="4C276EFC" w14:textId="5A4676F8" w:rsidR="009E783D" w:rsidRPr="003F7E3A" w:rsidRDefault="00B27039" w:rsidP="009E783D">
      <w:pPr>
        <w:rPr>
          <w:rFonts w:ascii="Calibri" w:hAnsi="Calibri"/>
          <w:szCs w:val="22"/>
        </w:rPr>
      </w:pPr>
      <w:r>
        <w:t>Under s</w:t>
      </w:r>
      <w:r w:rsidR="009E783D" w:rsidRPr="00596F9C">
        <w:t xml:space="preserve">ection 593 of the </w:t>
      </w:r>
      <w:r w:rsidR="009B7744" w:rsidRPr="00391111">
        <w:rPr>
          <w:iCs/>
        </w:rPr>
        <w:t>Telco Act</w:t>
      </w:r>
      <w:r>
        <w:rPr>
          <w:iCs/>
        </w:rPr>
        <w:t>,</w:t>
      </w:r>
      <w:r w:rsidR="009E783D" w:rsidRPr="00596F9C">
        <w:t xml:space="preserve"> the </w:t>
      </w:r>
      <w:r w:rsidR="00A7508A">
        <w:t>M</w:t>
      </w:r>
      <w:r w:rsidR="009E783D" w:rsidRPr="00596F9C">
        <w:t xml:space="preserve">inister, on behalf of the Commonwealth, </w:t>
      </w:r>
      <w:r w:rsidR="004C3BA8">
        <w:t xml:space="preserve">has </w:t>
      </w:r>
      <w:r w:rsidR="009E783D" w:rsidRPr="00596F9C">
        <w:t>the power to make a grant of financial assistance to a consumer body for purposes in connection with the representation of the interests of consumers in relation to telecommunications issues. Th</w:t>
      </w:r>
      <w:r w:rsidR="00F37E39">
        <w:t xml:space="preserve">e total </w:t>
      </w:r>
      <w:r w:rsidR="009E783D" w:rsidRPr="00596F9C">
        <w:t xml:space="preserve">grant </w:t>
      </w:r>
      <w:r w:rsidR="00F37E39">
        <w:t xml:space="preserve">likely to be made for </w:t>
      </w:r>
      <w:r w:rsidR="009E783D" w:rsidRPr="00596F9C">
        <w:t>the 201</w:t>
      </w:r>
      <w:r w:rsidR="009A5D20">
        <w:t>8</w:t>
      </w:r>
      <w:r w:rsidR="00462477">
        <w:t>–</w:t>
      </w:r>
      <w:r w:rsidR="00D172BB">
        <w:t>1</w:t>
      </w:r>
      <w:r w:rsidR="009A5D20">
        <w:t>9</w:t>
      </w:r>
      <w:r w:rsidR="009E783D" w:rsidRPr="00596F9C">
        <w:t xml:space="preserve"> financial year</w:t>
      </w:r>
      <w:r w:rsidR="00F37E39">
        <w:t xml:space="preserve"> was determined by </w:t>
      </w:r>
      <w:proofErr w:type="spellStart"/>
      <w:r w:rsidR="00F37E39">
        <w:t>DoCA</w:t>
      </w:r>
      <w:proofErr w:type="spellEnd"/>
      <w:r w:rsidR="00F37E39">
        <w:t>.</w:t>
      </w:r>
    </w:p>
    <w:p w14:paraId="1FD99D0E" w14:textId="313178C9" w:rsidR="009E783D" w:rsidRPr="00596F9C" w:rsidRDefault="009E783D" w:rsidP="009E783D">
      <w:r w:rsidRPr="00596F9C">
        <w:t>Since 2009</w:t>
      </w:r>
      <w:r w:rsidR="00347085">
        <w:t>–</w:t>
      </w:r>
      <w:r w:rsidRPr="00596F9C">
        <w:t xml:space="preserve">10, </w:t>
      </w:r>
      <w:r w:rsidR="00DA73AF">
        <w:t xml:space="preserve">a </w:t>
      </w:r>
      <w:r w:rsidRPr="00596F9C">
        <w:t xml:space="preserve">grant has been provided to </w:t>
      </w:r>
      <w:r w:rsidR="0067534E">
        <w:t xml:space="preserve">the </w:t>
      </w:r>
      <w:r w:rsidR="004E2F7E" w:rsidRPr="00C320F6">
        <w:rPr>
          <w:rFonts w:cs="Arial"/>
          <w:szCs w:val="20"/>
        </w:rPr>
        <w:t xml:space="preserve">Australian Communications Consumer Action </w:t>
      </w:r>
      <w:r w:rsidR="004E2F7E" w:rsidRPr="004E2F7E">
        <w:rPr>
          <w:rFonts w:cs="Arial"/>
          <w:szCs w:val="20"/>
        </w:rPr>
        <w:t>Network</w:t>
      </w:r>
      <w:r w:rsidR="004E2F7E" w:rsidRPr="004E2F7E">
        <w:t xml:space="preserve"> (</w:t>
      </w:r>
      <w:r w:rsidRPr="0014060A">
        <w:t>ACCAN</w:t>
      </w:r>
      <w:r w:rsidR="004E2F7E">
        <w:t>)</w:t>
      </w:r>
      <w:r w:rsidRPr="00596F9C">
        <w:t xml:space="preserve">. ACCAN is provided </w:t>
      </w:r>
      <w:r>
        <w:t xml:space="preserve">with </w:t>
      </w:r>
      <w:r w:rsidRPr="00596F9C">
        <w:t xml:space="preserve">around </w:t>
      </w:r>
      <w:r w:rsidR="001071EB">
        <w:t>$2</w:t>
      </w:r>
      <w:r w:rsidR="001071EB" w:rsidRPr="001071EB">
        <w:t xml:space="preserve"> </w:t>
      </w:r>
      <w:r w:rsidRPr="001071EB">
        <w:t xml:space="preserve">million </w:t>
      </w:r>
      <w:r w:rsidRPr="00596F9C">
        <w:t xml:space="preserve">per annum as part of a multi-year </w:t>
      </w:r>
      <w:r w:rsidR="00DA73AF">
        <w:t xml:space="preserve">grant </w:t>
      </w:r>
      <w:r w:rsidR="004C3BA8">
        <w:t>a</w:t>
      </w:r>
      <w:r w:rsidRPr="00596F9C">
        <w:t xml:space="preserve">greement until </w:t>
      </w:r>
      <w:r w:rsidR="00EC2F26">
        <w:t>31</w:t>
      </w:r>
      <w:r w:rsidR="0067534E">
        <w:t xml:space="preserve"> May </w:t>
      </w:r>
      <w:r w:rsidR="00EC2F26">
        <w:t>2022</w:t>
      </w:r>
      <w:r w:rsidRPr="00596F9C">
        <w:t xml:space="preserve">. Milestone payments </w:t>
      </w:r>
      <w:r w:rsidR="0067534E">
        <w:t>for completing each stage of the activity</w:t>
      </w:r>
      <w:r w:rsidR="00E264B6">
        <w:t>,</w:t>
      </w:r>
      <w:r w:rsidR="0067534E">
        <w:t xml:space="preserve"> as set out in the </w:t>
      </w:r>
      <w:r w:rsidR="00DA73AF">
        <w:t>grant</w:t>
      </w:r>
      <w:r w:rsidR="0067534E">
        <w:t xml:space="preserve"> </w:t>
      </w:r>
      <w:r w:rsidR="004C3BA8">
        <w:t>a</w:t>
      </w:r>
      <w:r w:rsidRPr="00596F9C">
        <w:t>greement</w:t>
      </w:r>
      <w:r w:rsidR="00E264B6">
        <w:t>,</w:t>
      </w:r>
      <w:r w:rsidRPr="00596F9C">
        <w:t xml:space="preserve"> are made directly </w:t>
      </w:r>
      <w:r w:rsidR="00035A55">
        <w:t xml:space="preserve">by </w:t>
      </w:r>
      <w:proofErr w:type="spellStart"/>
      <w:r w:rsidR="00DA73AF">
        <w:t>DoCA</w:t>
      </w:r>
      <w:proofErr w:type="spellEnd"/>
      <w:r w:rsidR="00F133BF">
        <w:t xml:space="preserve"> as the Commonwealth delegate</w:t>
      </w:r>
      <w:r w:rsidR="003F7E3A">
        <w:t xml:space="preserve">. </w:t>
      </w:r>
    </w:p>
    <w:p w14:paraId="7A6ADDF3" w14:textId="11EE398B" w:rsidR="009E783D" w:rsidRPr="003F7E3A" w:rsidRDefault="009E783D" w:rsidP="003F7E3A">
      <w:pPr>
        <w:rPr>
          <w:rFonts w:ascii="Calibri" w:hAnsi="Calibri"/>
          <w:szCs w:val="22"/>
        </w:rPr>
      </w:pPr>
      <w:r w:rsidRPr="00596F9C">
        <w:t xml:space="preserve">ACCAN represents consumer interests in telecommunications, </w:t>
      </w:r>
      <w:r w:rsidR="00D172BB">
        <w:t>conducts research on current and emerging issues</w:t>
      </w:r>
      <w:r w:rsidR="00E264B6">
        <w:t>,</w:t>
      </w:r>
      <w:r w:rsidR="00D172BB">
        <w:t xml:space="preserve"> and </w:t>
      </w:r>
      <w:r w:rsidRPr="00596F9C">
        <w:t xml:space="preserve">disseminates </w:t>
      </w:r>
      <w:r w:rsidR="00D172BB">
        <w:t>educational material t</w:t>
      </w:r>
      <w:r w:rsidRPr="00596F9C">
        <w:t>o consumers</w:t>
      </w:r>
      <w:r w:rsidR="00D172BB">
        <w:t xml:space="preserve">. ACCAN </w:t>
      </w:r>
      <w:r w:rsidRPr="00596F9C">
        <w:t>coordinates responses to government</w:t>
      </w:r>
      <w:r w:rsidR="00347085">
        <w:t>-</w:t>
      </w:r>
      <w:r w:rsidRPr="00596F9C">
        <w:t xml:space="preserve">initiated processes and conducts conferences and workshops. </w:t>
      </w:r>
      <w:r w:rsidR="008B1F63">
        <w:t>Consumer education and advocacy form part of the telecommunications regulatory framework and it is appropriate to attribute these costs to the licensed carriers through the ACLC.</w:t>
      </w:r>
    </w:p>
    <w:p w14:paraId="70D1B87F" w14:textId="7A450365" w:rsidR="009E783D" w:rsidRPr="00596F9C" w:rsidRDefault="009E783D" w:rsidP="009E783D">
      <w:r w:rsidRPr="00596F9C">
        <w:t xml:space="preserve">ACCAN operates a competitive Independent Grants </w:t>
      </w:r>
      <w:r w:rsidR="00463BDB">
        <w:t>Program</w:t>
      </w:r>
      <w:r w:rsidRPr="00596F9C">
        <w:t xml:space="preserve">, which allows individuals and organisations to undertake research or representation projects in the interest of the telecommunications consumer. Further information can be obtained from </w:t>
      </w:r>
      <w:hyperlink r:id="rId28" w:history="1">
        <w:r w:rsidRPr="00965E8B">
          <w:rPr>
            <w:rStyle w:val="Hyperlink"/>
          </w:rPr>
          <w:t>ACCAN’s website</w:t>
        </w:r>
      </w:hyperlink>
      <w:r w:rsidR="00965E8B">
        <w:t>.</w:t>
      </w:r>
    </w:p>
    <w:p w14:paraId="389FDED7" w14:textId="77777777" w:rsidR="009E783D" w:rsidRDefault="009E783D" w:rsidP="00927525">
      <w:pPr>
        <w:pStyle w:val="Heading3"/>
        <w:spacing w:after="80"/>
      </w:pPr>
      <w:bookmarkStart w:id="111" w:name="_Toc417990960"/>
      <w:bookmarkStart w:id="112" w:name="_Toc511634402"/>
      <w:bookmarkStart w:id="113" w:name="_Toc26786342"/>
      <w:r w:rsidRPr="003F7E3A">
        <w:t>3.5.2</w:t>
      </w:r>
      <w:r w:rsidRPr="003F7E3A">
        <w:tab/>
        <w:t>Costs of the activity</w:t>
      </w:r>
      <w:bookmarkEnd w:id="111"/>
      <w:bookmarkEnd w:id="112"/>
      <w:bookmarkEnd w:id="113"/>
    </w:p>
    <w:p w14:paraId="6834BDF0" w14:textId="593B7FA0" w:rsidR="000109E0" w:rsidRDefault="00DA73AF" w:rsidP="009E783D">
      <w:r>
        <w:t xml:space="preserve">The </w:t>
      </w:r>
      <w:r w:rsidR="00A7508A">
        <w:t>M</w:t>
      </w:r>
      <w:r>
        <w:t>inister has made a legislative instrument determining that an amount of $</w:t>
      </w:r>
      <w:r w:rsidR="008311DE">
        <w:t xml:space="preserve">2,296,000 is </w:t>
      </w:r>
      <w:r w:rsidR="00D172BB">
        <w:t>estimate</w:t>
      </w:r>
      <w:r w:rsidR="008311DE">
        <w:t>d</w:t>
      </w:r>
      <w:r w:rsidR="00D172BB">
        <w:t xml:space="preserve"> </w:t>
      </w:r>
      <w:r w:rsidR="008311DE">
        <w:t xml:space="preserve">to be paid in grants under section 593 </w:t>
      </w:r>
      <w:r w:rsidR="003B4C03">
        <w:t xml:space="preserve">of the Act </w:t>
      </w:r>
      <w:r w:rsidR="008311DE">
        <w:t xml:space="preserve">during </w:t>
      </w:r>
      <w:r w:rsidR="00D172BB">
        <w:t xml:space="preserve">the </w:t>
      </w:r>
      <w:r w:rsidR="00D172BB">
        <w:lastRenderedPageBreak/>
        <w:t>201</w:t>
      </w:r>
      <w:r w:rsidR="00463BDB">
        <w:t>8</w:t>
      </w:r>
      <w:r w:rsidR="00462477">
        <w:t>–</w:t>
      </w:r>
      <w:r w:rsidR="00D172BB">
        <w:t>1</w:t>
      </w:r>
      <w:r w:rsidR="00463BDB">
        <w:t>9</w:t>
      </w:r>
      <w:r w:rsidR="009E783D">
        <w:t xml:space="preserve"> financial year</w:t>
      </w:r>
      <w:r w:rsidR="000109E0">
        <w:t>.</w:t>
      </w:r>
      <w:r w:rsidR="00F0187E">
        <w:t xml:space="preserve"> A breakdown of the expected use of the grants by ACCAN as the likely recipient has been provided by ACCAN </w:t>
      </w:r>
      <w:r w:rsidR="00F067A4">
        <w:t>a</w:t>
      </w:r>
      <w:r w:rsidR="00F0187E">
        <w:t>s shown below.</w:t>
      </w:r>
    </w:p>
    <w:p w14:paraId="4A67863D" w14:textId="1D678325" w:rsidR="000109E0" w:rsidRPr="00673D1F" w:rsidRDefault="000109E0" w:rsidP="00673D1F">
      <w:pPr>
        <w:pStyle w:val="ACMATableHeader"/>
      </w:pPr>
      <w:r w:rsidRPr="00673D1F">
        <w:t>Consumer representation grant</w:t>
      </w:r>
      <w:r w:rsidR="00D60493" w:rsidRPr="00673D1F">
        <w:t xml:space="preserve"> </w:t>
      </w:r>
      <w:r w:rsidRPr="00673D1F">
        <w:t>program</w:t>
      </w:r>
    </w:p>
    <w:tbl>
      <w:tblPr>
        <w:tblStyle w:val="TableGrid"/>
        <w:tblW w:w="0" w:type="auto"/>
        <w:tblCellMar>
          <w:top w:w="57" w:type="dxa"/>
          <w:bottom w:w="57" w:type="dxa"/>
        </w:tblCellMar>
        <w:tblLook w:val="04A0" w:firstRow="1" w:lastRow="0" w:firstColumn="1" w:lastColumn="0" w:noHBand="0" w:noVBand="1"/>
        <w:tblCaption w:val="Consumer representation grant program"/>
        <w:tblDescription w:val="Includes expenses and costs."/>
      </w:tblPr>
      <w:tblGrid>
        <w:gridCol w:w="5949"/>
        <w:gridCol w:w="1712"/>
      </w:tblGrid>
      <w:tr w:rsidR="000109E0" w14:paraId="22E426CB" w14:textId="77777777" w:rsidTr="00CE6BED">
        <w:trPr>
          <w:tblHeader/>
        </w:trPr>
        <w:tc>
          <w:tcPr>
            <w:tcW w:w="5949" w:type="dxa"/>
            <w:shd w:val="clear" w:color="auto" w:fill="404040" w:themeFill="text1" w:themeFillTint="BF"/>
          </w:tcPr>
          <w:p w14:paraId="0095BB24" w14:textId="77777777" w:rsidR="000109E0" w:rsidRPr="00CE6BED" w:rsidRDefault="00EA782A" w:rsidP="00CE6BED">
            <w:pPr>
              <w:pStyle w:val="TableHeading"/>
              <w:keepNext/>
              <w:rPr>
                <w:b w:val="0"/>
                <w:color w:val="FFFFFF" w:themeColor="background1"/>
              </w:rPr>
            </w:pPr>
            <w:r w:rsidRPr="00CE6BED">
              <w:rPr>
                <w:color w:val="FFFFFF" w:themeColor="background1"/>
              </w:rPr>
              <w:t>Expense</w:t>
            </w:r>
          </w:p>
        </w:tc>
        <w:tc>
          <w:tcPr>
            <w:tcW w:w="1712" w:type="dxa"/>
            <w:shd w:val="clear" w:color="auto" w:fill="404040" w:themeFill="text1" w:themeFillTint="BF"/>
          </w:tcPr>
          <w:p w14:paraId="0B38F38D" w14:textId="3BAD9D35" w:rsidR="000109E0" w:rsidRPr="00CE6BED" w:rsidRDefault="000109E0" w:rsidP="00965E8B">
            <w:pPr>
              <w:pStyle w:val="TableHeading"/>
              <w:keepNext/>
              <w:rPr>
                <w:b w:val="0"/>
                <w:color w:val="FFFFFF" w:themeColor="background1"/>
              </w:rPr>
            </w:pPr>
            <w:r w:rsidRPr="00CE6BED">
              <w:rPr>
                <w:color w:val="FFFFFF" w:themeColor="background1"/>
              </w:rPr>
              <w:t>Cost (m</w:t>
            </w:r>
            <w:r w:rsidR="00EA782A" w:rsidRPr="00CE6BED">
              <w:rPr>
                <w:color w:val="FFFFFF" w:themeColor="background1"/>
              </w:rPr>
              <w:t>illion</w:t>
            </w:r>
            <w:r w:rsidRPr="00CE6BED">
              <w:rPr>
                <w:color w:val="FFFFFF" w:themeColor="background1"/>
              </w:rPr>
              <w:t>)</w:t>
            </w:r>
          </w:p>
        </w:tc>
      </w:tr>
      <w:tr w:rsidR="00463BDB" w14:paraId="7A257A52" w14:textId="77777777" w:rsidTr="00FE218D">
        <w:tc>
          <w:tcPr>
            <w:tcW w:w="5949" w:type="dxa"/>
            <w:vAlign w:val="center"/>
          </w:tcPr>
          <w:p w14:paraId="25B0EC10" w14:textId="77777777" w:rsidR="00463BDB" w:rsidRDefault="00463BDB" w:rsidP="00463BDB">
            <w:pPr>
              <w:keepNext/>
              <w:spacing w:after="0"/>
            </w:pPr>
            <w:r>
              <w:t>Employee expenses</w:t>
            </w:r>
          </w:p>
        </w:tc>
        <w:tc>
          <w:tcPr>
            <w:tcW w:w="1712" w:type="dxa"/>
            <w:tcBorders>
              <w:top w:val="single" w:sz="4" w:space="0" w:color="auto"/>
              <w:left w:val="single" w:sz="4" w:space="0" w:color="auto"/>
              <w:bottom w:val="single" w:sz="4" w:space="0" w:color="auto"/>
              <w:right w:val="single" w:sz="4" w:space="0" w:color="auto"/>
            </w:tcBorders>
            <w:vAlign w:val="center"/>
          </w:tcPr>
          <w:p w14:paraId="0F5CE763" w14:textId="780898DE" w:rsidR="00463BDB" w:rsidRDefault="00AE51BB" w:rsidP="00965E8B">
            <w:pPr>
              <w:keepNext/>
              <w:spacing w:after="0"/>
            </w:pPr>
            <w:r>
              <w:t>$</w:t>
            </w:r>
            <w:r w:rsidR="00463BDB">
              <w:t>1.432</w:t>
            </w:r>
          </w:p>
        </w:tc>
      </w:tr>
      <w:tr w:rsidR="00463BDB" w14:paraId="03EEB189" w14:textId="77777777" w:rsidTr="00FE218D">
        <w:tc>
          <w:tcPr>
            <w:tcW w:w="5949" w:type="dxa"/>
            <w:vAlign w:val="center"/>
          </w:tcPr>
          <w:p w14:paraId="0AD28A93" w14:textId="77777777" w:rsidR="00463BDB" w:rsidRDefault="00463BDB" w:rsidP="00463BDB">
            <w:pPr>
              <w:keepNext/>
              <w:spacing w:after="0"/>
            </w:pPr>
            <w:r>
              <w:t>Administration expenses</w:t>
            </w:r>
          </w:p>
        </w:tc>
        <w:tc>
          <w:tcPr>
            <w:tcW w:w="1712" w:type="dxa"/>
            <w:tcBorders>
              <w:top w:val="single" w:sz="4" w:space="0" w:color="auto"/>
              <w:left w:val="single" w:sz="4" w:space="0" w:color="auto"/>
              <w:bottom w:val="single" w:sz="4" w:space="0" w:color="auto"/>
              <w:right w:val="single" w:sz="4" w:space="0" w:color="auto"/>
            </w:tcBorders>
            <w:vAlign w:val="center"/>
          </w:tcPr>
          <w:p w14:paraId="4A1ADF20" w14:textId="7CDD853D" w:rsidR="00463BDB" w:rsidRDefault="00AE51BB" w:rsidP="00965E8B">
            <w:pPr>
              <w:keepNext/>
              <w:spacing w:after="0"/>
            </w:pPr>
            <w:r>
              <w:t>$</w:t>
            </w:r>
            <w:r w:rsidR="00463BDB">
              <w:t>0.446</w:t>
            </w:r>
          </w:p>
        </w:tc>
      </w:tr>
      <w:tr w:rsidR="00463BDB" w14:paraId="5A9A669C" w14:textId="77777777" w:rsidTr="00FE218D">
        <w:tc>
          <w:tcPr>
            <w:tcW w:w="5949" w:type="dxa"/>
            <w:vAlign w:val="center"/>
          </w:tcPr>
          <w:p w14:paraId="771D7F40" w14:textId="77777777" w:rsidR="00463BDB" w:rsidRDefault="00463BDB" w:rsidP="00463BDB">
            <w:pPr>
              <w:keepNext/>
              <w:spacing w:after="0"/>
            </w:pPr>
            <w:r>
              <w:t>Independent grants program research projects</w:t>
            </w:r>
          </w:p>
        </w:tc>
        <w:tc>
          <w:tcPr>
            <w:tcW w:w="1712" w:type="dxa"/>
            <w:tcBorders>
              <w:top w:val="single" w:sz="4" w:space="0" w:color="auto"/>
              <w:left w:val="single" w:sz="4" w:space="0" w:color="auto"/>
              <w:bottom w:val="single" w:sz="4" w:space="0" w:color="auto"/>
              <w:right w:val="single" w:sz="4" w:space="0" w:color="auto"/>
            </w:tcBorders>
            <w:vAlign w:val="center"/>
          </w:tcPr>
          <w:p w14:paraId="41A7BA14" w14:textId="594D7A75" w:rsidR="00463BDB" w:rsidRDefault="00AE51BB" w:rsidP="00965E8B">
            <w:pPr>
              <w:keepNext/>
              <w:spacing w:after="0"/>
            </w:pPr>
            <w:r>
              <w:t>$</w:t>
            </w:r>
            <w:r w:rsidR="00463BDB">
              <w:t>0.358</w:t>
            </w:r>
          </w:p>
        </w:tc>
      </w:tr>
      <w:tr w:rsidR="00463BDB" w14:paraId="043C9F0A" w14:textId="77777777" w:rsidTr="00FE218D">
        <w:tc>
          <w:tcPr>
            <w:tcW w:w="5949" w:type="dxa"/>
            <w:vAlign w:val="center"/>
          </w:tcPr>
          <w:p w14:paraId="705F443D" w14:textId="77777777" w:rsidR="00463BDB" w:rsidRDefault="00463BDB" w:rsidP="00463BDB">
            <w:pPr>
              <w:keepNext/>
              <w:spacing w:after="0"/>
            </w:pPr>
            <w:r>
              <w:t>Committee expenses, travel, accommodation</w:t>
            </w:r>
          </w:p>
        </w:tc>
        <w:tc>
          <w:tcPr>
            <w:tcW w:w="1712" w:type="dxa"/>
            <w:tcBorders>
              <w:top w:val="single" w:sz="4" w:space="0" w:color="auto"/>
              <w:left w:val="single" w:sz="4" w:space="0" w:color="auto"/>
              <w:bottom w:val="single" w:sz="4" w:space="0" w:color="auto"/>
              <w:right w:val="single" w:sz="4" w:space="0" w:color="auto"/>
            </w:tcBorders>
            <w:vAlign w:val="center"/>
          </w:tcPr>
          <w:p w14:paraId="11C9C2A3" w14:textId="0C5FB9BE" w:rsidR="00463BDB" w:rsidRDefault="00AE51BB" w:rsidP="00965E8B">
            <w:pPr>
              <w:keepNext/>
              <w:spacing w:after="0"/>
            </w:pPr>
            <w:r>
              <w:t>$</w:t>
            </w:r>
            <w:r w:rsidR="00463BDB">
              <w:t>0.060</w:t>
            </w:r>
          </w:p>
        </w:tc>
      </w:tr>
      <w:tr w:rsidR="00463BDB" w14:paraId="4F63B4D1" w14:textId="77777777" w:rsidTr="00FE218D">
        <w:tc>
          <w:tcPr>
            <w:tcW w:w="5949" w:type="dxa"/>
            <w:shd w:val="clear" w:color="auto" w:fill="D9D9D9" w:themeFill="background1" w:themeFillShade="D9"/>
            <w:vAlign w:val="center"/>
          </w:tcPr>
          <w:p w14:paraId="24AE0279" w14:textId="77777777" w:rsidR="00463BDB" w:rsidRDefault="00463BDB" w:rsidP="00463BDB">
            <w:pPr>
              <w:keepNext/>
              <w:spacing w:after="0"/>
            </w:pPr>
            <w:r>
              <w:rPr>
                <w:b/>
                <w:bCs/>
              </w:rPr>
              <w:t>Total</w:t>
            </w:r>
          </w:p>
        </w:tc>
        <w:tc>
          <w:tcPr>
            <w:tcW w:w="1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1AC81" w14:textId="4F655C54" w:rsidR="00463BDB" w:rsidRDefault="00AE51BB" w:rsidP="00965E8B">
            <w:pPr>
              <w:keepNext/>
              <w:spacing w:after="0"/>
            </w:pPr>
            <w:r>
              <w:rPr>
                <w:b/>
                <w:bCs/>
              </w:rPr>
              <w:t>$</w:t>
            </w:r>
            <w:r w:rsidR="00463BDB">
              <w:rPr>
                <w:b/>
                <w:bCs/>
              </w:rPr>
              <w:t>2.296</w:t>
            </w:r>
          </w:p>
        </w:tc>
      </w:tr>
    </w:tbl>
    <w:p w14:paraId="478A4F71" w14:textId="77777777" w:rsidR="009E783D" w:rsidRDefault="009E783D" w:rsidP="003F7E3A">
      <w:pPr>
        <w:pStyle w:val="Heading2"/>
      </w:pPr>
      <w:bookmarkStart w:id="114" w:name="_Toc355953991"/>
      <w:bookmarkStart w:id="115" w:name="_Toc385256320"/>
      <w:bookmarkStart w:id="116" w:name="_Toc417990961"/>
      <w:bookmarkStart w:id="117" w:name="_Toc511634403"/>
      <w:bookmarkStart w:id="118" w:name="_Toc26786343"/>
      <w:bookmarkStart w:id="119" w:name="calculationofcosts"/>
      <w:bookmarkEnd w:id="44"/>
      <w:r w:rsidRPr="003F7E3A">
        <w:t>3.6</w:t>
      </w:r>
      <w:r w:rsidRPr="003F7E3A">
        <w:tab/>
      </w:r>
      <w:bookmarkEnd w:id="114"/>
      <w:bookmarkEnd w:id="115"/>
      <w:r w:rsidRPr="003F7E3A">
        <w:t>Design of cost recovery charges</w:t>
      </w:r>
      <w:bookmarkEnd w:id="116"/>
      <w:bookmarkEnd w:id="117"/>
      <w:bookmarkEnd w:id="118"/>
    </w:p>
    <w:p w14:paraId="20167C7E" w14:textId="22AE67CD" w:rsidR="009E783D" w:rsidRDefault="009E783D" w:rsidP="009E783D">
      <w:r w:rsidRPr="00A84CBD">
        <w:t>The ACLC is imposed as a levy</w:t>
      </w:r>
      <w:r>
        <w:t xml:space="preserve">, which </w:t>
      </w:r>
      <w:r w:rsidRPr="00A84CBD">
        <w:t>is considered appropriate as it encompasses a number of regulatory and other activities that may not be easily or cost effectively</w:t>
      </w:r>
      <w:r w:rsidR="00FE0E5A">
        <w:t xml:space="preserve"> be</w:t>
      </w:r>
      <w:r w:rsidRPr="00A84CBD">
        <w:t xml:space="preserve"> attributed to individual licensed carriers and </w:t>
      </w:r>
      <w:r w:rsidR="00FE0E5A">
        <w:t>therefore</w:t>
      </w:r>
      <w:r w:rsidR="00FE0E5A" w:rsidRPr="00A84CBD">
        <w:t xml:space="preserve"> </w:t>
      </w:r>
      <w:r w:rsidRPr="00A84CBD">
        <w:t>translated into direct fees,</w:t>
      </w:r>
      <w:r w:rsidR="00A47C06">
        <w:t xml:space="preserve"> </w:t>
      </w:r>
      <w:r w:rsidRPr="00A84CBD">
        <w:t xml:space="preserve">but can be attributed to the </w:t>
      </w:r>
      <w:r w:rsidR="00F0187E">
        <w:t xml:space="preserve">cost of regulation for the </w:t>
      </w:r>
      <w:r w:rsidRPr="00A84CBD">
        <w:t>telecommunications industry as a group</w:t>
      </w:r>
      <w:r w:rsidR="00B46902">
        <w:t xml:space="preserve">. </w:t>
      </w:r>
      <w:r w:rsidR="00EF4F4D">
        <w:t>The use of a carrier’s e</w:t>
      </w:r>
      <w:r w:rsidR="00B46902">
        <w:t xml:space="preserve">ligible revenue </w:t>
      </w:r>
      <w:r w:rsidR="00EF4F4D">
        <w:t xml:space="preserve">to calculate the carrier’s ACLC </w:t>
      </w:r>
      <w:r w:rsidR="00B46902">
        <w:t xml:space="preserve">provides a reasonable reflection of effort and costs, and industry understands and accepts this methodology. Furthermore, </w:t>
      </w:r>
      <w:r w:rsidR="00EF4F4D">
        <w:t xml:space="preserve">the </w:t>
      </w:r>
      <w:r w:rsidR="00B46902">
        <w:t>eligible revenue of licensed carriers is utilised for the calculation of the Telecommunications Industry Levy</w:t>
      </w:r>
      <w:r w:rsidR="0091656A">
        <w:t xml:space="preserve"> imposed under the </w:t>
      </w:r>
      <w:r w:rsidR="00603AA0">
        <w:rPr>
          <w:i/>
        </w:rPr>
        <w:t xml:space="preserve">Telecommunications (Industry Levy) Act 2012 </w:t>
      </w:r>
      <w:r w:rsidR="00603AA0">
        <w:t>and assessed and collected by</w:t>
      </w:r>
      <w:r w:rsidR="00472A4F" w:rsidRPr="00472A4F">
        <w:t xml:space="preserve"> </w:t>
      </w:r>
      <w:r w:rsidR="00472A4F">
        <w:t>the</w:t>
      </w:r>
      <w:r w:rsidR="00603AA0">
        <w:t xml:space="preserve"> ACMA in accordance with the </w:t>
      </w:r>
      <w:r w:rsidR="0091656A">
        <w:rPr>
          <w:i/>
        </w:rPr>
        <w:t>Telecommunications (Consumer Protection and Service Standards) Act 1999</w:t>
      </w:r>
      <w:r w:rsidR="0091656A">
        <w:t xml:space="preserve"> (TCPSS Act)</w:t>
      </w:r>
      <w:r w:rsidRPr="00A84CBD">
        <w:t>.</w:t>
      </w:r>
    </w:p>
    <w:p w14:paraId="7988FF13" w14:textId="44A0298F" w:rsidR="009D3CF3" w:rsidRDefault="00472A4F" w:rsidP="009E783D">
      <w:pPr>
        <w:rPr>
          <w:snapToGrid w:val="0"/>
        </w:rPr>
      </w:pPr>
      <w:bookmarkStart w:id="120" w:name="_Hlk8984486"/>
      <w:r>
        <w:t xml:space="preserve">The </w:t>
      </w:r>
      <w:r w:rsidR="00860618">
        <w:rPr>
          <w:snapToGrid w:val="0"/>
        </w:rPr>
        <w:t xml:space="preserve">ACMA is required by the </w:t>
      </w:r>
      <w:r w:rsidR="00CE6FA6">
        <w:rPr>
          <w:snapToGrid w:val="0"/>
        </w:rPr>
        <w:t xml:space="preserve">2017 Direction </w:t>
      </w:r>
      <w:r w:rsidR="00737BD8">
        <w:rPr>
          <w:rFonts w:cs="Arial"/>
        </w:rPr>
        <w:t xml:space="preserve">to ensure that the ACLC payable by any non-participating persons, as defined in the </w:t>
      </w:r>
      <w:bookmarkStart w:id="121" w:name="_Hlk13576071"/>
      <w:r w:rsidR="00A75418" w:rsidRPr="00BD44CE">
        <w:rPr>
          <w:snapToGrid w:val="0"/>
        </w:rPr>
        <w:t>Telecommunications (Participating Persons) Determination 2015</w:t>
      </w:r>
      <w:bookmarkEnd w:id="121"/>
      <w:r w:rsidR="00A75418" w:rsidRPr="00763532">
        <w:rPr>
          <w:snapToGrid w:val="0"/>
        </w:rPr>
        <w:t xml:space="preserve"> </w:t>
      </w:r>
      <w:r w:rsidR="00737BD8">
        <w:rPr>
          <w:snapToGrid w:val="0"/>
        </w:rPr>
        <w:t>is zero</w:t>
      </w:r>
      <w:r w:rsidR="00717751">
        <w:rPr>
          <w:snapToGrid w:val="0"/>
        </w:rPr>
        <w:t xml:space="preserve">, effectively exempting such carriers from </w:t>
      </w:r>
      <w:r w:rsidR="00B046BE">
        <w:rPr>
          <w:snapToGrid w:val="0"/>
        </w:rPr>
        <w:t xml:space="preserve">contributing to the costs of </w:t>
      </w:r>
      <w:r w:rsidR="00C860C5">
        <w:rPr>
          <w:snapToGrid w:val="0"/>
        </w:rPr>
        <w:t>telecommunications</w:t>
      </w:r>
      <w:r w:rsidR="00B046BE">
        <w:rPr>
          <w:snapToGrid w:val="0"/>
        </w:rPr>
        <w:t xml:space="preserve"> regulations through the ACLC. </w:t>
      </w:r>
      <w:r w:rsidR="001E5229" w:rsidRPr="00763532">
        <w:t>A</w:t>
      </w:r>
      <w:r w:rsidR="00B046BE">
        <w:t xml:space="preserve">ny change to this approach would require a change to the </w:t>
      </w:r>
      <w:r w:rsidR="00CE6FA6">
        <w:t>2017</w:t>
      </w:r>
      <w:r w:rsidR="00B046BE">
        <w:t xml:space="preserve"> Direction or a change </w:t>
      </w:r>
      <w:r w:rsidR="00E62FBB">
        <w:t>to the</w:t>
      </w:r>
      <w:r w:rsidR="00BC04C6">
        <w:t xml:space="preserve"> </w:t>
      </w:r>
      <w:r w:rsidR="00BC04C6" w:rsidRPr="00BD44CE">
        <w:t>Telecommunications (Participating Persons) Determination 2015</w:t>
      </w:r>
      <w:r w:rsidR="00CE6FA6">
        <w:t xml:space="preserve">, each </w:t>
      </w:r>
      <w:r w:rsidR="00E62FBB">
        <w:t xml:space="preserve">made by the </w:t>
      </w:r>
      <w:r w:rsidR="00DE097F">
        <w:t>M</w:t>
      </w:r>
      <w:r w:rsidR="00E62FBB">
        <w:t>inister</w:t>
      </w:r>
      <w:r w:rsidR="00FA5060">
        <w:t xml:space="preserve">. </w:t>
      </w:r>
      <w:r w:rsidR="001E5229">
        <w:rPr>
          <w:snapToGrid w:val="0"/>
        </w:rPr>
        <w:t xml:space="preserve"> </w:t>
      </w:r>
    </w:p>
    <w:p w14:paraId="4A45162E" w14:textId="00B2CE65" w:rsidR="000E06F7" w:rsidRDefault="000E06F7" w:rsidP="000E06F7">
      <w:r w:rsidRPr="00C855AD">
        <w:t xml:space="preserve">In accordance with </w:t>
      </w:r>
      <w:r w:rsidRPr="00AA66E8">
        <w:t>the 2017 Direction, non</w:t>
      </w:r>
      <w:r w:rsidRPr="00C855AD">
        <w:t>-participating persons (</w:t>
      </w:r>
      <w:r>
        <w:t>generally</w:t>
      </w:r>
      <w:r w:rsidR="00A47C06">
        <w:t xml:space="preserve">, </w:t>
      </w:r>
      <w:r w:rsidRPr="00C855AD">
        <w:t>the smaller</w:t>
      </w:r>
      <w:r w:rsidRPr="00A84CBD">
        <w:t xml:space="preserve"> carriers) are </w:t>
      </w:r>
      <w:r>
        <w:t xml:space="preserve">required to be </w:t>
      </w:r>
      <w:r w:rsidRPr="00A84CBD">
        <w:t>exempted from</w:t>
      </w:r>
      <w:r>
        <w:t xml:space="preserve"> the liability to pay the ACLC. </w:t>
      </w:r>
      <w:r w:rsidRPr="00A84CBD">
        <w:t>While the total ACLC include</w:t>
      </w:r>
      <w:r>
        <w:t>s</w:t>
      </w:r>
      <w:r w:rsidRPr="00A84CBD">
        <w:t xml:space="preserve"> costs that may be incurred by</w:t>
      </w:r>
      <w:r w:rsidR="00472A4F">
        <w:t xml:space="preserve"> the</w:t>
      </w:r>
      <w:r w:rsidRPr="00A84CBD">
        <w:t xml:space="preserve"> ACMA</w:t>
      </w:r>
      <w:r>
        <w:t xml:space="preserve">, ACCC and </w:t>
      </w:r>
      <w:r w:rsidR="009D3691">
        <w:t xml:space="preserve">the </w:t>
      </w:r>
      <w:r w:rsidR="00DE097F">
        <w:t>M</w:t>
      </w:r>
      <w:r>
        <w:t>inister</w:t>
      </w:r>
      <w:r w:rsidRPr="00A84CBD">
        <w:t xml:space="preserve"> in regulating non-participating persons, </w:t>
      </w:r>
      <w:r w:rsidR="00472A4F">
        <w:t xml:space="preserve">the </w:t>
      </w:r>
      <w:r w:rsidRPr="00A84CBD">
        <w:t xml:space="preserve">ACMA estimates that the </w:t>
      </w:r>
      <w:r>
        <w:t xml:space="preserve">financial </w:t>
      </w:r>
      <w:r w:rsidRPr="00A84CBD">
        <w:t xml:space="preserve">impact of exempting non-participating persons from the liability to pay the ACLC is insignificant. </w:t>
      </w:r>
    </w:p>
    <w:p w14:paraId="19B2AA78" w14:textId="77777777" w:rsidR="009E783D" w:rsidRPr="005D0BC8" w:rsidRDefault="009E783D" w:rsidP="00AE51BB">
      <w:pPr>
        <w:pStyle w:val="Bodysubheader0"/>
        <w:spacing w:after="80"/>
      </w:pPr>
      <w:bookmarkStart w:id="122" w:name="OLE_LINK13"/>
      <w:bookmarkStart w:id="123" w:name="OLE_LINK14"/>
      <w:bookmarkEnd w:id="120"/>
      <w:r w:rsidRPr="00A84CBD">
        <w:rPr>
          <w:lang w:eastAsia="en-US"/>
        </w:rPr>
        <w:t>Establishment of individual levy amounts</w:t>
      </w:r>
    </w:p>
    <w:p w14:paraId="53AF15C9" w14:textId="5C374B23" w:rsidR="000110A0" w:rsidRDefault="009E783D" w:rsidP="009E783D">
      <w:r w:rsidRPr="00A84CBD">
        <w:t xml:space="preserve">For the purpose of ascertaining the levy for liable individual licensed carriers, their ‘eligible revenue’, as assessed by </w:t>
      </w:r>
      <w:r w:rsidR="00472A4F">
        <w:t xml:space="preserve">the </w:t>
      </w:r>
      <w:r w:rsidRPr="00A84CBD">
        <w:t xml:space="preserve">ACMA, </w:t>
      </w:r>
      <w:r w:rsidR="002E7A0B">
        <w:t xml:space="preserve">will </w:t>
      </w:r>
      <w:r w:rsidR="003A36E2">
        <w:t>be</w:t>
      </w:r>
      <w:r w:rsidRPr="00A84CBD">
        <w:t xml:space="preserve"> used as a basis for allocating the total ACLC</w:t>
      </w:r>
      <w:r w:rsidR="001B68DB">
        <w:t>, except the amount attributable to the MBA program</w:t>
      </w:r>
      <w:r w:rsidR="00593C38">
        <w:t>.</w:t>
      </w:r>
      <w:r w:rsidR="001B68DB">
        <w:t xml:space="preserve"> </w:t>
      </w:r>
      <w:r w:rsidR="00554004">
        <w:t xml:space="preserve"> </w:t>
      </w:r>
    </w:p>
    <w:p w14:paraId="76427603" w14:textId="66A4A5A5" w:rsidR="009E783D" w:rsidRPr="003F7E3A" w:rsidRDefault="000110A0" w:rsidP="009E783D">
      <w:bookmarkStart w:id="124" w:name="_Hlk10648058"/>
      <w:r>
        <w:t xml:space="preserve">In order to establish the individual levy amount </w:t>
      </w:r>
      <w:r w:rsidR="00E03CB3">
        <w:t xml:space="preserve">that relates to </w:t>
      </w:r>
      <w:r>
        <w:t xml:space="preserve">the </w:t>
      </w:r>
      <w:r w:rsidR="00554004">
        <w:t>MBA program</w:t>
      </w:r>
      <w:r>
        <w:t xml:space="preserve">,  </w:t>
      </w:r>
      <w:r w:rsidR="00FB1498">
        <w:t xml:space="preserve"> </w:t>
      </w:r>
      <w:r w:rsidR="00E03CB3">
        <w:t xml:space="preserve">a portion of the ACCC’s costs determined under s.15(1)(b) of the Act are to be allocated </w:t>
      </w:r>
      <w:r w:rsidR="00047BA9">
        <w:t xml:space="preserve">to individual </w:t>
      </w:r>
      <w:r w:rsidR="00E03CB3">
        <w:t xml:space="preserve">liable </w:t>
      </w:r>
      <w:r w:rsidR="00047BA9">
        <w:t>carriers (</w:t>
      </w:r>
      <w:r w:rsidR="009D3691">
        <w:t>that is,</w:t>
      </w:r>
      <w:r w:rsidR="00047BA9">
        <w:t xml:space="preserve"> participating persons)</w:t>
      </w:r>
      <w:r w:rsidR="00367116">
        <w:t xml:space="preserve"> </w:t>
      </w:r>
      <w:r w:rsidR="00572FA3">
        <w:t xml:space="preserve">is </w:t>
      </w:r>
      <w:r w:rsidR="00E03CB3">
        <w:t xml:space="preserve">on the basis of </w:t>
      </w:r>
      <w:r w:rsidR="00047BA9">
        <w:t xml:space="preserve">the </w:t>
      </w:r>
      <w:r>
        <w:t xml:space="preserve">number of </w:t>
      </w:r>
      <w:r w:rsidR="000E06F7" w:rsidRPr="000E06F7">
        <w:t>NBN fixed-line connections operated by monitored service providers</w:t>
      </w:r>
      <w:r w:rsidR="00047BA9">
        <w:t>. All the details including the formula for the calculation of th</w:t>
      </w:r>
      <w:r w:rsidR="00E03CB3">
        <w:t>is component of the</w:t>
      </w:r>
      <w:r w:rsidR="00047BA9">
        <w:t xml:space="preserve"> individual levy </w:t>
      </w:r>
      <w:r w:rsidR="004B4A19">
        <w:t>are</w:t>
      </w:r>
      <w:r w:rsidR="00047BA9">
        <w:t xml:space="preserve"> disclosed in section 3.2 of Attachment B</w:t>
      </w:r>
      <w:r w:rsidR="00593C38">
        <w:t>—</w:t>
      </w:r>
      <w:r w:rsidR="00047BA9">
        <w:t>CRIS Addendum.</w:t>
      </w:r>
    </w:p>
    <w:p w14:paraId="78CB429D" w14:textId="55636C59" w:rsidR="009E783D" w:rsidRDefault="00E90ADB" w:rsidP="006D4BFE">
      <w:bookmarkStart w:id="125" w:name="_Toc260128315"/>
      <w:bookmarkStart w:id="126" w:name="_Toc261431684"/>
      <w:bookmarkStart w:id="127" w:name="_Toc261431816"/>
      <w:bookmarkStart w:id="128" w:name="_Toc316465934"/>
      <w:bookmarkEnd w:id="124"/>
      <w:r>
        <w:lastRenderedPageBreak/>
        <w:t>T</w:t>
      </w:r>
      <w:r w:rsidR="009E783D" w:rsidRPr="00A84CBD">
        <w:t>he following formula</w:t>
      </w:r>
      <w:r w:rsidR="00E03CB3">
        <w:t xml:space="preserve"> will be</w:t>
      </w:r>
      <w:r w:rsidR="009E783D" w:rsidRPr="00A84CBD">
        <w:t xml:space="preserve"> used </w:t>
      </w:r>
      <w:r w:rsidR="00A47C06">
        <w:t>for</w:t>
      </w:r>
      <w:r w:rsidR="00F00BB0">
        <w:t xml:space="preserve"> </w:t>
      </w:r>
      <w:r w:rsidR="009E783D" w:rsidRPr="00A84CBD">
        <w:t>allocating the total charge</w:t>
      </w:r>
      <w:r w:rsidR="00AA66E8">
        <w:t xml:space="preserve"> (except the </w:t>
      </w:r>
      <w:r w:rsidR="00E03CB3">
        <w:t xml:space="preserve">component of the overall </w:t>
      </w:r>
      <w:r w:rsidR="00AA66E8">
        <w:t>charge applicable to the MBA program)</w:t>
      </w:r>
      <w:r w:rsidR="009E783D" w:rsidRPr="00A84CBD">
        <w:t xml:space="preserve"> to individual </w:t>
      </w:r>
      <w:r w:rsidR="00E03CB3" w:rsidRPr="00A84CBD">
        <w:t xml:space="preserve">liable </w:t>
      </w:r>
      <w:r w:rsidR="009E783D" w:rsidRPr="00A84CBD">
        <w:t>carriers</w:t>
      </w:r>
      <w:r w:rsidR="003A36E2">
        <w:t xml:space="preserve">, when the applicable </w:t>
      </w:r>
      <w:r w:rsidR="002E7A0B">
        <w:t xml:space="preserve">eligible </w:t>
      </w:r>
      <w:r w:rsidR="003A36E2">
        <w:t>revenue amounts become available</w:t>
      </w:r>
      <w:bookmarkEnd w:id="125"/>
      <w:bookmarkEnd w:id="126"/>
      <w:bookmarkEnd w:id="127"/>
      <w:bookmarkEnd w:id="128"/>
      <w:r w:rsidR="00A47C06">
        <w:t>.</w:t>
      </w:r>
      <w:r w:rsidR="00554004" w:rsidRPr="00554004">
        <w:t xml:space="preserve"> </w:t>
      </w:r>
      <w:r>
        <w:t>T</w:t>
      </w:r>
      <w:r w:rsidR="00554004" w:rsidRPr="00554004">
        <w:t xml:space="preserve">he formula allocates the total ACLC to the individual carriers, in the same proportion as their </w:t>
      </w:r>
      <w:r w:rsidR="00626187">
        <w:t>a</w:t>
      </w:r>
      <w:r w:rsidR="00554004" w:rsidRPr="00554004">
        <w:t>ssessed eligible revenue bears to the total assessed eligible revenue of all participating persons</w:t>
      </w:r>
      <w:r w:rsidR="00554004">
        <w:t>.</w:t>
      </w:r>
      <w:r w:rsidR="00B72E06">
        <w:t xml:space="preserve"> </w:t>
      </w:r>
    </w:p>
    <w:p w14:paraId="7B67218C" w14:textId="5073333E" w:rsidR="006D4BFE" w:rsidRPr="00E830D3" w:rsidRDefault="00A711D3" w:rsidP="00E830D3">
      <m:oMathPara>
        <m:oMathParaPr>
          <m:jc m:val="left"/>
        </m:oMathParaPr>
        <m:oMath>
          <m:d>
            <m:dPr>
              <m:ctrlPr>
                <w:rPr>
                  <w:rFonts w:ascii="Cambria Math" w:hAnsi="Cambria Math" w:cs="Arial"/>
                  <w:szCs w:val="20"/>
                </w:rPr>
              </m:ctrlPr>
            </m:dPr>
            <m:e>
              <m:r>
                <w:rPr>
                  <w:rFonts w:ascii="Cambria Math" w:hAnsi="Cambria Math" w:cs="Arial"/>
                  <w:szCs w:val="20"/>
                </w:rPr>
                <m:t>MCA-OTC</m:t>
              </m:r>
            </m:e>
          </m:d>
          <m:r>
            <w:rPr>
              <w:rFonts w:ascii="Cambria Math" w:hAnsi="Cambria Math" w:cs="Arial"/>
              <w:szCs w:val="20"/>
            </w:rPr>
            <m:t>×</m:t>
          </m:r>
          <m:f>
            <m:fPr>
              <m:ctrlPr>
                <w:rPr>
                  <w:rFonts w:ascii="Cambria Math" w:hAnsi="Cambria Math" w:cs="Arial"/>
                  <w:szCs w:val="20"/>
                </w:rPr>
              </m:ctrlPr>
            </m:fPr>
            <m:num>
              <m:r>
                <w:rPr>
                  <w:rFonts w:ascii="Cambria Math" w:hAnsi="Cambria Math" w:cs="Arial"/>
                  <w:szCs w:val="20"/>
                </w:rPr>
                <m:t>ER</m:t>
              </m:r>
            </m:num>
            <m:den>
              <m:r>
                <w:rPr>
                  <w:rFonts w:ascii="Cambria Math" w:hAnsi="Cambria Math" w:cs="Arial"/>
                  <w:szCs w:val="20"/>
                </w:rPr>
                <m:t>TER</m:t>
              </m:r>
            </m:den>
          </m:f>
        </m:oMath>
      </m:oMathPara>
    </w:p>
    <w:p w14:paraId="09344D38" w14:textId="77777777" w:rsidR="009E783D" w:rsidRPr="005D0BC8" w:rsidRDefault="009E783D" w:rsidP="000F59D2">
      <w:pPr>
        <w:spacing w:after="80"/>
      </w:pPr>
      <w:r w:rsidRPr="00A84CBD">
        <w:t>Where:</w:t>
      </w:r>
    </w:p>
    <w:p w14:paraId="368321D4" w14:textId="6053D068" w:rsidR="009E783D" w:rsidRDefault="009E783D" w:rsidP="00B72E06">
      <w:pPr>
        <w:pStyle w:val="ListBullet"/>
      </w:pPr>
      <w:r w:rsidRPr="003F7E3A">
        <w:t xml:space="preserve">MCA is the </w:t>
      </w:r>
      <w:r w:rsidRPr="00E830D3">
        <w:t>maximum</w:t>
      </w:r>
      <w:r w:rsidRPr="003F7E3A">
        <w:t xml:space="preserve"> charge amount</w:t>
      </w:r>
    </w:p>
    <w:p w14:paraId="0A6F1D25" w14:textId="6CE7F4F0" w:rsidR="004354C8" w:rsidRDefault="004354C8" w:rsidP="00E06DF3">
      <w:pPr>
        <w:pStyle w:val="ListBullet"/>
      </w:pPr>
      <w:r w:rsidRPr="003F7E3A">
        <w:t xml:space="preserve">OTC is the other </w:t>
      </w:r>
      <w:r w:rsidRPr="00FC5886">
        <w:t>telecommunications</w:t>
      </w:r>
      <w:r w:rsidRPr="003F7E3A">
        <w:t xml:space="preserve"> charges</w:t>
      </w:r>
      <w:r w:rsidR="0047101A">
        <w:rPr>
          <w:rStyle w:val="FootnoteReference"/>
        </w:rPr>
        <w:footnoteReference w:id="15"/>
      </w:r>
    </w:p>
    <w:p w14:paraId="0015F188" w14:textId="25C4CED3" w:rsidR="00E830D3" w:rsidRDefault="00E830D3" w:rsidP="00D102FF">
      <w:pPr>
        <w:pStyle w:val="ListBullet"/>
      </w:pPr>
      <w:r w:rsidRPr="003F7E3A">
        <w:t>ER is the individual carrier’s eligible revenue</w:t>
      </w:r>
      <w:r>
        <w:t xml:space="preserve"> for the 2017–18 financial year</w:t>
      </w:r>
    </w:p>
    <w:p w14:paraId="27F3E1C2" w14:textId="6B07FAFB" w:rsidR="004354C8" w:rsidRPr="003F7E3A" w:rsidRDefault="004354C8" w:rsidP="00962586">
      <w:pPr>
        <w:pStyle w:val="ListBulletLast"/>
      </w:pPr>
      <w:r w:rsidRPr="00A84CBD">
        <w:t>TER is the total eligible revenue</w:t>
      </w:r>
      <w:r>
        <w:t xml:space="preserve"> for the 2017–18 financial year.</w:t>
      </w:r>
    </w:p>
    <w:p w14:paraId="70F880E7" w14:textId="73556D94" w:rsidR="00D27069" w:rsidRDefault="009E783D" w:rsidP="000F59D2">
      <w:r w:rsidRPr="00A84CBD">
        <w:t xml:space="preserve">The ‘ER/TER’ determines the individual proportion of the carrier’s assessed eligible revenue relative to the total assessed eligible revenue for those carriers </w:t>
      </w:r>
      <w:r w:rsidR="000A64FA">
        <w:t>that</w:t>
      </w:r>
      <w:r w:rsidR="000A64FA" w:rsidRPr="00A84CBD">
        <w:t xml:space="preserve"> </w:t>
      </w:r>
      <w:r w:rsidRPr="00A84CBD">
        <w:t xml:space="preserve">are liable to pay the ACLC.  </w:t>
      </w:r>
      <w:bookmarkEnd w:id="122"/>
      <w:bookmarkEnd w:id="123"/>
    </w:p>
    <w:p w14:paraId="6E030EB4" w14:textId="504A56CE" w:rsidR="00367116" w:rsidRDefault="00367116" w:rsidP="00B72E06">
      <w:bookmarkStart w:id="129" w:name="_Hlk10648096"/>
      <w:r>
        <w:t>In the instrument</w:t>
      </w:r>
      <w:r w:rsidR="00C31952">
        <w:t>,</w:t>
      </w:r>
      <w:r>
        <w:t xml:space="preserve"> </w:t>
      </w:r>
      <w:r w:rsidR="00472A4F">
        <w:t xml:space="preserve">the </w:t>
      </w:r>
      <w:r>
        <w:t>ACMA propose</w:t>
      </w:r>
      <w:r w:rsidR="00A47C06">
        <w:t>s</w:t>
      </w:r>
      <w:r>
        <w:t xml:space="preserve"> to determine under </w:t>
      </w:r>
      <w:r w:rsidR="00F067A4">
        <w:t>sub</w:t>
      </w:r>
      <w:r>
        <w:t xml:space="preserve">section 14(1) of the Act, </w:t>
      </w:r>
      <w:r w:rsidR="004B4A19">
        <w:t xml:space="preserve">both methodologies (including the methodology </w:t>
      </w:r>
      <w:r w:rsidR="00E90ADB">
        <w:t>for the MBA program</w:t>
      </w:r>
      <w:r w:rsidR="00E03CB3">
        <w:t xml:space="preserve"> set out in Attachment B</w:t>
      </w:r>
      <w:r w:rsidR="00E90ADB">
        <w:t xml:space="preserve">) </w:t>
      </w:r>
      <w:r w:rsidR="00A47C06">
        <w:t xml:space="preserve">will be included </w:t>
      </w:r>
      <w:r w:rsidR="00E90ADB">
        <w:t>as specified above in order to establish the total individual levy amount payable by liable licenced carriers.</w:t>
      </w:r>
    </w:p>
    <w:bookmarkEnd w:id="129"/>
    <w:p w14:paraId="10C8718A" w14:textId="391A2F2A" w:rsidR="0053132B" w:rsidRDefault="009E783D" w:rsidP="00E06DF3">
      <w:r w:rsidRPr="00A84CBD">
        <w:t xml:space="preserve">The summary of all components </w:t>
      </w:r>
      <w:r w:rsidR="0013647F">
        <w:t xml:space="preserve">that are determined under </w:t>
      </w:r>
      <w:r w:rsidRPr="00A84CBD">
        <w:t xml:space="preserve">paragraphs 15(1)(a) to 15(1)(d) of the Act </w:t>
      </w:r>
      <w:r w:rsidRPr="0039435F">
        <w:t>(that is, sections 3.1, 3.2, 3.3, 3.4 and 3.5 in this CRIS</w:t>
      </w:r>
      <w:r w:rsidR="00A83A78">
        <w:t xml:space="preserve"> and section 3.1 of Attachment B</w:t>
      </w:r>
      <w:r w:rsidR="007B4F2E">
        <w:t>—</w:t>
      </w:r>
      <w:r w:rsidR="00A83A78">
        <w:t>CRIS Addendum</w:t>
      </w:r>
      <w:r w:rsidRPr="0039435F">
        <w:t xml:space="preserve">) </w:t>
      </w:r>
      <w:r w:rsidR="0013647F">
        <w:t>are set out</w:t>
      </w:r>
      <w:r w:rsidRPr="0039435F">
        <w:t xml:space="preserve"> in</w:t>
      </w:r>
      <w:r w:rsidRPr="00A84CBD">
        <w:t xml:space="preserve"> T</w:t>
      </w:r>
      <w:r w:rsidR="003F7E3A">
        <w:t>able</w:t>
      </w:r>
      <w:r w:rsidR="006D3409">
        <w:t> </w:t>
      </w:r>
      <w:r w:rsidR="000D4779">
        <w:t>1</w:t>
      </w:r>
      <w:r w:rsidR="00673D1F">
        <w:t>6</w:t>
      </w:r>
      <w:r w:rsidR="00C929DE">
        <w:t>.</w:t>
      </w:r>
    </w:p>
    <w:p w14:paraId="3C9029C9" w14:textId="019FE176" w:rsidR="00AC24CB" w:rsidRDefault="00AC24CB" w:rsidP="00E06DF3"/>
    <w:p w14:paraId="6D990C62" w14:textId="237D055D" w:rsidR="00AC24CB" w:rsidRDefault="00AC24CB" w:rsidP="00E06DF3"/>
    <w:p w14:paraId="6A9504CA" w14:textId="0851F5BA" w:rsidR="00AC24CB" w:rsidRDefault="00AC24CB" w:rsidP="00E06DF3"/>
    <w:p w14:paraId="4B4C8E5A" w14:textId="52FDEBDC" w:rsidR="00393C57" w:rsidRDefault="00393C57" w:rsidP="00E06DF3"/>
    <w:p w14:paraId="724E369A" w14:textId="3D91B06D" w:rsidR="00393C57" w:rsidRDefault="00393C57" w:rsidP="00E06DF3"/>
    <w:p w14:paraId="192A1074" w14:textId="7DC5F739" w:rsidR="00393C57" w:rsidRDefault="00393C57" w:rsidP="00E06DF3"/>
    <w:p w14:paraId="2EAA31AE" w14:textId="5240B04F" w:rsidR="00393C57" w:rsidRDefault="00393C57" w:rsidP="00E06DF3"/>
    <w:p w14:paraId="16B8A736" w14:textId="44F3744B" w:rsidR="00393C57" w:rsidRDefault="00393C57" w:rsidP="00E06DF3"/>
    <w:p w14:paraId="4AC14B7E" w14:textId="77777777" w:rsidR="00393C57" w:rsidRDefault="00393C57" w:rsidP="00E06DF3"/>
    <w:p w14:paraId="1227E289" w14:textId="1F2A49DC" w:rsidR="00AC24CB" w:rsidRDefault="00AC24CB" w:rsidP="00E06DF3"/>
    <w:p w14:paraId="3A5347F5" w14:textId="536F8DC1" w:rsidR="00D27069" w:rsidRPr="00E830D3" w:rsidRDefault="00D27069" w:rsidP="00393C57">
      <w:pPr>
        <w:pStyle w:val="ACMATableHeader"/>
        <w:keepNext/>
      </w:pPr>
      <w:r w:rsidRPr="00E830D3">
        <w:lastRenderedPageBreak/>
        <w:t>ACLC summary by cost component</w:t>
      </w:r>
    </w:p>
    <w:tbl>
      <w:tblPr>
        <w:tblpPr w:leftFromText="180" w:rightFromText="180" w:vertAnchor="text" w:horzAnchor="margin" w:tblpXSpec="right" w:tblpY="67"/>
        <w:tblW w:w="48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1464"/>
        <w:gridCol w:w="4197"/>
        <w:gridCol w:w="1797"/>
      </w:tblGrid>
      <w:tr w:rsidR="00501D5F" w:rsidRPr="000D6F80" w14:paraId="2A494AC3" w14:textId="77777777" w:rsidTr="005414AD">
        <w:trPr>
          <w:cantSplit/>
          <w:trHeight w:val="316"/>
          <w:tblHeader/>
        </w:trPr>
        <w:tc>
          <w:tcPr>
            <w:tcW w:w="981" w:type="pct"/>
            <w:shd w:val="clear" w:color="auto" w:fill="404040" w:themeFill="text1" w:themeFillTint="BF"/>
            <w:vAlign w:val="center"/>
          </w:tcPr>
          <w:p w14:paraId="2624E91E" w14:textId="6C2EFC2C" w:rsidR="00501D5F" w:rsidRPr="00CE6BED" w:rsidRDefault="00501D5F" w:rsidP="00501D5F">
            <w:pPr>
              <w:pStyle w:val="TableHeading"/>
              <w:rPr>
                <w:b w:val="0"/>
                <w:color w:val="FFFFFF" w:themeColor="background1"/>
              </w:rPr>
            </w:pPr>
            <w:r w:rsidRPr="00CE6BED">
              <w:rPr>
                <w:color w:val="FFFFFF" w:themeColor="background1"/>
              </w:rPr>
              <w:t>Reference in the Act</w:t>
            </w:r>
          </w:p>
        </w:tc>
        <w:tc>
          <w:tcPr>
            <w:tcW w:w="2812" w:type="pct"/>
            <w:shd w:val="clear" w:color="auto" w:fill="404040" w:themeFill="text1" w:themeFillTint="BF"/>
            <w:vAlign w:val="center"/>
          </w:tcPr>
          <w:p w14:paraId="710FF2DF" w14:textId="77777777" w:rsidR="00501D5F" w:rsidRPr="00CE6BED" w:rsidRDefault="00501D5F" w:rsidP="00501D5F">
            <w:pPr>
              <w:pStyle w:val="TableHeading"/>
              <w:rPr>
                <w:b w:val="0"/>
                <w:color w:val="FFFFFF" w:themeColor="background1"/>
                <w:highlight w:val="yellow"/>
              </w:rPr>
            </w:pPr>
            <w:r w:rsidRPr="00CE6BED">
              <w:rPr>
                <w:color w:val="FFFFFF" w:themeColor="background1"/>
              </w:rPr>
              <w:t>Cost component</w:t>
            </w:r>
          </w:p>
        </w:tc>
        <w:tc>
          <w:tcPr>
            <w:tcW w:w="1205" w:type="pct"/>
            <w:tcBorders>
              <w:top w:val="single" w:sz="6" w:space="0" w:color="auto"/>
            </w:tcBorders>
            <w:shd w:val="clear" w:color="auto" w:fill="404040" w:themeFill="text1" w:themeFillTint="BF"/>
            <w:vAlign w:val="center"/>
          </w:tcPr>
          <w:p w14:paraId="0BE54016" w14:textId="77777777" w:rsidR="00501D5F" w:rsidRPr="00CE6BED" w:rsidRDefault="00501D5F" w:rsidP="00501D5F">
            <w:pPr>
              <w:pStyle w:val="TableHeading"/>
              <w:spacing w:after="80"/>
              <w:rPr>
                <w:b w:val="0"/>
                <w:color w:val="FFFFFF" w:themeColor="background1"/>
              </w:rPr>
            </w:pPr>
            <w:r w:rsidRPr="00CE6BED">
              <w:rPr>
                <w:color w:val="FFFFFF" w:themeColor="background1"/>
              </w:rPr>
              <w:t>201</w:t>
            </w:r>
            <w:r>
              <w:rPr>
                <w:color w:val="FFFFFF" w:themeColor="background1"/>
              </w:rPr>
              <w:t>8</w:t>
            </w:r>
            <w:r w:rsidRPr="00CE6BED">
              <w:rPr>
                <w:color w:val="FFFFFF" w:themeColor="background1"/>
              </w:rPr>
              <w:t>–1</w:t>
            </w:r>
            <w:r>
              <w:rPr>
                <w:color w:val="FFFFFF" w:themeColor="background1"/>
              </w:rPr>
              <w:t>9</w:t>
            </w:r>
            <w:r w:rsidRPr="00CE6BED">
              <w:rPr>
                <w:color w:val="FFFFFF" w:themeColor="background1"/>
              </w:rPr>
              <w:t xml:space="preserve"> ACLC</w:t>
            </w:r>
          </w:p>
          <w:p w14:paraId="74D85532" w14:textId="712340CE" w:rsidR="00501D5F" w:rsidRPr="00CE6BED" w:rsidRDefault="009D3691" w:rsidP="00501D5F">
            <w:pPr>
              <w:pStyle w:val="TableHeading"/>
              <w:rPr>
                <w:b w:val="0"/>
                <w:color w:val="FFFFFF" w:themeColor="background1"/>
                <w:highlight w:val="yellow"/>
              </w:rPr>
            </w:pPr>
            <w:r>
              <w:rPr>
                <w:color w:val="FFFFFF" w:themeColor="background1"/>
              </w:rPr>
              <w:t>a</w:t>
            </w:r>
            <w:r w:rsidR="00501D5F" w:rsidRPr="00CE6BED">
              <w:rPr>
                <w:color w:val="FFFFFF" w:themeColor="background1"/>
              </w:rPr>
              <w:t>ctual</w:t>
            </w:r>
            <w:r w:rsidR="00501D5F" w:rsidRPr="001F572C">
              <w:rPr>
                <w:rStyle w:val="FootnoteReference"/>
                <w:rFonts w:cs="Arial"/>
                <w:b w:val="0"/>
                <w:iCs/>
                <w:color w:val="FFFFFF" w:themeColor="background1"/>
                <w:szCs w:val="20"/>
              </w:rPr>
              <w:footnoteReference w:id="16"/>
            </w:r>
          </w:p>
        </w:tc>
      </w:tr>
      <w:tr w:rsidR="00501D5F" w:rsidRPr="000D6F80" w14:paraId="7792A1F7" w14:textId="77777777" w:rsidTr="005414AD">
        <w:trPr>
          <w:cantSplit/>
          <w:trHeight w:val="238"/>
          <w:tblHeader/>
        </w:trPr>
        <w:tc>
          <w:tcPr>
            <w:tcW w:w="981" w:type="pct"/>
            <w:vAlign w:val="center"/>
          </w:tcPr>
          <w:p w14:paraId="58C5EE62" w14:textId="77777777" w:rsidR="00501D5F" w:rsidRPr="005414AD" w:rsidRDefault="00501D5F" w:rsidP="00501D5F">
            <w:pPr>
              <w:spacing w:after="0"/>
              <w:rPr>
                <w:rFonts w:cs="Arial"/>
                <w:szCs w:val="20"/>
              </w:rPr>
            </w:pPr>
            <w:r w:rsidRPr="005414AD">
              <w:rPr>
                <w:rFonts w:cs="Arial"/>
                <w:szCs w:val="20"/>
              </w:rPr>
              <w:t>15(1)(a)</w:t>
            </w:r>
          </w:p>
        </w:tc>
        <w:tc>
          <w:tcPr>
            <w:tcW w:w="2812" w:type="pct"/>
            <w:vAlign w:val="center"/>
          </w:tcPr>
          <w:p w14:paraId="3C5713BF" w14:textId="2D16BF59" w:rsidR="00501D5F" w:rsidRPr="005414AD" w:rsidRDefault="00472A4F" w:rsidP="00501D5F">
            <w:pPr>
              <w:spacing w:after="0"/>
              <w:ind w:right="-142"/>
              <w:rPr>
                <w:rFonts w:cs="Arial"/>
                <w:szCs w:val="20"/>
              </w:rPr>
            </w:pPr>
            <w:r w:rsidRPr="005414AD">
              <w:t xml:space="preserve">The </w:t>
            </w:r>
            <w:r w:rsidR="00501D5F" w:rsidRPr="005414AD">
              <w:rPr>
                <w:rFonts w:cs="Arial"/>
                <w:szCs w:val="20"/>
              </w:rPr>
              <w:t>ACMA’s cost component</w:t>
            </w:r>
          </w:p>
        </w:tc>
        <w:tc>
          <w:tcPr>
            <w:tcW w:w="1205" w:type="pct"/>
            <w:vAlign w:val="center"/>
          </w:tcPr>
          <w:p w14:paraId="739D60AC" w14:textId="77777777" w:rsidR="00501D5F" w:rsidRPr="005414AD" w:rsidRDefault="00501D5F" w:rsidP="00965E8B">
            <w:pPr>
              <w:spacing w:after="0"/>
              <w:ind w:right="35"/>
              <w:rPr>
                <w:rFonts w:cs="Arial"/>
                <w:szCs w:val="20"/>
              </w:rPr>
            </w:pPr>
            <w:r w:rsidRPr="005414AD">
              <w:rPr>
                <w:rFonts w:cs="Arial"/>
                <w:szCs w:val="20"/>
              </w:rPr>
              <w:t>$13,397,743</w:t>
            </w:r>
          </w:p>
        </w:tc>
      </w:tr>
      <w:tr w:rsidR="00501D5F" w:rsidRPr="000D6F80" w14:paraId="3AD09E08" w14:textId="77777777" w:rsidTr="005414AD">
        <w:trPr>
          <w:cantSplit/>
          <w:trHeight w:val="284"/>
          <w:tblHeader/>
        </w:trPr>
        <w:tc>
          <w:tcPr>
            <w:tcW w:w="981" w:type="pct"/>
            <w:vAlign w:val="center"/>
          </w:tcPr>
          <w:p w14:paraId="4F5C67C2" w14:textId="77777777" w:rsidR="00501D5F" w:rsidRPr="005414AD" w:rsidRDefault="00501D5F" w:rsidP="00501D5F">
            <w:pPr>
              <w:spacing w:after="0"/>
              <w:rPr>
                <w:rFonts w:cs="Arial"/>
                <w:szCs w:val="20"/>
              </w:rPr>
            </w:pPr>
            <w:r w:rsidRPr="005414AD">
              <w:rPr>
                <w:rFonts w:cs="Arial"/>
                <w:szCs w:val="20"/>
              </w:rPr>
              <w:t>15(1)(b)</w:t>
            </w:r>
          </w:p>
        </w:tc>
        <w:tc>
          <w:tcPr>
            <w:tcW w:w="2812" w:type="pct"/>
            <w:vAlign w:val="center"/>
          </w:tcPr>
          <w:p w14:paraId="27054E07" w14:textId="77777777" w:rsidR="00501D5F" w:rsidRPr="005414AD" w:rsidRDefault="00501D5F" w:rsidP="00501D5F">
            <w:pPr>
              <w:spacing w:after="0"/>
              <w:ind w:right="-142"/>
              <w:rPr>
                <w:rFonts w:cs="Arial"/>
                <w:szCs w:val="20"/>
              </w:rPr>
            </w:pPr>
            <w:r w:rsidRPr="005414AD">
              <w:rPr>
                <w:rFonts w:cs="Arial"/>
                <w:szCs w:val="20"/>
              </w:rPr>
              <w:t>ACCC’s cost component including the costs for the MBA program of $1,531,854 (see section 3.2 of Attachment B—CRIS Addendum</w:t>
            </w:r>
          </w:p>
        </w:tc>
        <w:tc>
          <w:tcPr>
            <w:tcW w:w="1205" w:type="pct"/>
            <w:vAlign w:val="center"/>
          </w:tcPr>
          <w:p w14:paraId="118F2023" w14:textId="77777777" w:rsidR="00501D5F" w:rsidRPr="005414AD" w:rsidRDefault="00501D5F" w:rsidP="00965E8B">
            <w:pPr>
              <w:spacing w:after="0"/>
              <w:ind w:right="35"/>
              <w:rPr>
                <w:rFonts w:cs="Arial"/>
                <w:szCs w:val="20"/>
              </w:rPr>
            </w:pPr>
            <w:r w:rsidRPr="005414AD">
              <w:rPr>
                <w:rFonts w:cs="Arial"/>
                <w:szCs w:val="20"/>
              </w:rPr>
              <w:t>$13,295,863</w:t>
            </w:r>
          </w:p>
        </w:tc>
      </w:tr>
      <w:tr w:rsidR="00501D5F" w:rsidRPr="000D6F80" w14:paraId="1D552BE0" w14:textId="77777777" w:rsidTr="005414AD">
        <w:trPr>
          <w:cantSplit/>
          <w:trHeight w:val="152"/>
          <w:tblHeader/>
        </w:trPr>
        <w:tc>
          <w:tcPr>
            <w:tcW w:w="981" w:type="pct"/>
            <w:vAlign w:val="center"/>
          </w:tcPr>
          <w:p w14:paraId="704B5F09" w14:textId="77777777" w:rsidR="00501D5F" w:rsidRPr="005414AD" w:rsidRDefault="00501D5F" w:rsidP="00501D5F">
            <w:pPr>
              <w:spacing w:after="0"/>
              <w:rPr>
                <w:rFonts w:cs="Arial"/>
                <w:szCs w:val="20"/>
              </w:rPr>
            </w:pPr>
            <w:r w:rsidRPr="005414AD">
              <w:rPr>
                <w:rFonts w:cs="Arial"/>
                <w:szCs w:val="20"/>
              </w:rPr>
              <w:t>15(1)(c)</w:t>
            </w:r>
          </w:p>
        </w:tc>
        <w:tc>
          <w:tcPr>
            <w:tcW w:w="2812" w:type="pct"/>
            <w:vAlign w:val="center"/>
          </w:tcPr>
          <w:p w14:paraId="1689DD13" w14:textId="77777777" w:rsidR="00501D5F" w:rsidRPr="005414AD" w:rsidRDefault="00501D5F" w:rsidP="00501D5F">
            <w:pPr>
              <w:spacing w:after="0"/>
              <w:ind w:right="-142"/>
              <w:rPr>
                <w:rFonts w:cs="Arial"/>
                <w:szCs w:val="20"/>
              </w:rPr>
            </w:pPr>
            <w:r w:rsidRPr="005414AD">
              <w:rPr>
                <w:rFonts w:cs="Arial"/>
                <w:szCs w:val="20"/>
              </w:rPr>
              <w:t>Determination of ITU contribution</w:t>
            </w:r>
          </w:p>
        </w:tc>
        <w:tc>
          <w:tcPr>
            <w:tcW w:w="1205" w:type="pct"/>
            <w:vAlign w:val="center"/>
          </w:tcPr>
          <w:p w14:paraId="41F2DEAB" w14:textId="77777777" w:rsidR="00501D5F" w:rsidRPr="005414AD" w:rsidRDefault="00501D5F" w:rsidP="00965E8B">
            <w:pPr>
              <w:spacing w:after="0"/>
              <w:ind w:right="35"/>
              <w:rPr>
                <w:rFonts w:cs="Arial"/>
                <w:szCs w:val="20"/>
              </w:rPr>
            </w:pPr>
            <w:r w:rsidRPr="005414AD">
              <w:rPr>
                <w:rFonts w:cs="Arial"/>
                <w:szCs w:val="20"/>
              </w:rPr>
              <w:t>$2,194,009</w:t>
            </w:r>
          </w:p>
        </w:tc>
      </w:tr>
      <w:tr w:rsidR="00501D5F" w:rsidRPr="000D6F80" w14:paraId="7A552433" w14:textId="77777777" w:rsidTr="005414AD">
        <w:trPr>
          <w:cantSplit/>
          <w:trHeight w:val="61"/>
          <w:tblHeader/>
        </w:trPr>
        <w:tc>
          <w:tcPr>
            <w:tcW w:w="981" w:type="pct"/>
            <w:vAlign w:val="center"/>
          </w:tcPr>
          <w:p w14:paraId="6780FD79" w14:textId="77777777" w:rsidR="00501D5F" w:rsidRPr="005414AD" w:rsidRDefault="00501D5F" w:rsidP="00501D5F">
            <w:pPr>
              <w:spacing w:after="0"/>
              <w:rPr>
                <w:rFonts w:cs="Arial"/>
                <w:szCs w:val="20"/>
              </w:rPr>
            </w:pPr>
            <w:r w:rsidRPr="005414AD">
              <w:rPr>
                <w:rFonts w:cs="Arial"/>
                <w:szCs w:val="20"/>
              </w:rPr>
              <w:t>15(</w:t>
            </w:r>
            <w:proofErr w:type="gramStart"/>
            <w:r w:rsidRPr="005414AD">
              <w:rPr>
                <w:rFonts w:cs="Arial"/>
                <w:szCs w:val="20"/>
              </w:rPr>
              <w:t>1)(</w:t>
            </w:r>
            <w:proofErr w:type="gramEnd"/>
            <w:r w:rsidRPr="005414AD">
              <w:rPr>
                <w:rFonts w:cs="Arial"/>
                <w:szCs w:val="20"/>
              </w:rPr>
              <w:t>ca)</w:t>
            </w:r>
          </w:p>
        </w:tc>
        <w:tc>
          <w:tcPr>
            <w:tcW w:w="2812" w:type="pct"/>
            <w:vAlign w:val="center"/>
          </w:tcPr>
          <w:p w14:paraId="5A8907A3" w14:textId="77777777" w:rsidR="00501D5F" w:rsidRPr="005414AD" w:rsidRDefault="00501D5F" w:rsidP="00501D5F">
            <w:pPr>
              <w:spacing w:after="0"/>
              <w:ind w:right="-142"/>
              <w:rPr>
                <w:rFonts w:cs="Arial"/>
                <w:szCs w:val="20"/>
              </w:rPr>
            </w:pPr>
            <w:r w:rsidRPr="005414AD">
              <w:rPr>
                <w:rFonts w:cs="Arial"/>
                <w:szCs w:val="20"/>
              </w:rPr>
              <w:t xml:space="preserve">Determination of costs for reimbursements of costs for development or variation of consumer protection related industry codes </w:t>
            </w:r>
          </w:p>
        </w:tc>
        <w:tc>
          <w:tcPr>
            <w:tcW w:w="1205" w:type="pct"/>
            <w:vAlign w:val="center"/>
          </w:tcPr>
          <w:p w14:paraId="55F6DBA5" w14:textId="77777777" w:rsidR="00501D5F" w:rsidRPr="005414AD" w:rsidRDefault="00501D5F" w:rsidP="00965E8B">
            <w:pPr>
              <w:spacing w:after="0"/>
              <w:ind w:right="35"/>
              <w:rPr>
                <w:rFonts w:cs="Arial"/>
                <w:szCs w:val="20"/>
              </w:rPr>
            </w:pPr>
            <w:r w:rsidRPr="005414AD">
              <w:rPr>
                <w:rFonts w:cs="Arial"/>
                <w:szCs w:val="20"/>
              </w:rPr>
              <w:t>Nil</w:t>
            </w:r>
          </w:p>
        </w:tc>
      </w:tr>
      <w:tr w:rsidR="00501D5F" w:rsidRPr="000D6F80" w14:paraId="2A0A91E2" w14:textId="77777777" w:rsidTr="005414AD">
        <w:trPr>
          <w:cantSplit/>
          <w:trHeight w:val="24"/>
          <w:tblHeader/>
        </w:trPr>
        <w:tc>
          <w:tcPr>
            <w:tcW w:w="981" w:type="pct"/>
            <w:vAlign w:val="center"/>
          </w:tcPr>
          <w:p w14:paraId="2F5AC1DF" w14:textId="77777777" w:rsidR="00501D5F" w:rsidRPr="005414AD" w:rsidRDefault="00501D5F" w:rsidP="00501D5F">
            <w:pPr>
              <w:spacing w:after="0"/>
              <w:rPr>
                <w:rFonts w:cs="Arial"/>
                <w:szCs w:val="20"/>
              </w:rPr>
            </w:pPr>
            <w:r w:rsidRPr="005414AD">
              <w:rPr>
                <w:rFonts w:cs="Arial"/>
                <w:szCs w:val="20"/>
              </w:rPr>
              <w:t>15(1)(d)</w:t>
            </w:r>
          </w:p>
        </w:tc>
        <w:tc>
          <w:tcPr>
            <w:tcW w:w="2812" w:type="pct"/>
            <w:vAlign w:val="center"/>
          </w:tcPr>
          <w:p w14:paraId="47CC5FE7" w14:textId="77777777" w:rsidR="00501D5F" w:rsidRPr="005414AD" w:rsidRDefault="00501D5F" w:rsidP="00501D5F">
            <w:pPr>
              <w:spacing w:after="0"/>
              <w:ind w:right="-142"/>
              <w:rPr>
                <w:rFonts w:cs="Arial"/>
                <w:szCs w:val="20"/>
              </w:rPr>
            </w:pPr>
            <w:r w:rsidRPr="005414AD">
              <w:rPr>
                <w:rFonts w:cs="Arial"/>
                <w:szCs w:val="20"/>
              </w:rPr>
              <w:t>Government grants—consumer representation and research</w:t>
            </w:r>
          </w:p>
        </w:tc>
        <w:tc>
          <w:tcPr>
            <w:tcW w:w="1205" w:type="pct"/>
            <w:vAlign w:val="center"/>
          </w:tcPr>
          <w:p w14:paraId="0687FD3C" w14:textId="77777777" w:rsidR="00501D5F" w:rsidRPr="005414AD" w:rsidRDefault="00501D5F" w:rsidP="00965E8B">
            <w:pPr>
              <w:spacing w:after="0"/>
              <w:ind w:right="35"/>
              <w:rPr>
                <w:rFonts w:cs="Arial"/>
                <w:szCs w:val="20"/>
              </w:rPr>
            </w:pPr>
            <w:r w:rsidRPr="005414AD">
              <w:rPr>
                <w:rFonts w:cs="Arial"/>
                <w:szCs w:val="20"/>
              </w:rPr>
              <w:t>$2,296,000</w:t>
            </w:r>
          </w:p>
        </w:tc>
      </w:tr>
      <w:tr w:rsidR="00501D5F" w:rsidRPr="000D6F80" w14:paraId="6F37D854" w14:textId="77777777" w:rsidTr="005414AD">
        <w:trPr>
          <w:cantSplit/>
          <w:trHeight w:val="24"/>
          <w:tblHeader/>
        </w:trPr>
        <w:tc>
          <w:tcPr>
            <w:tcW w:w="3795" w:type="pct"/>
            <w:gridSpan w:val="2"/>
            <w:shd w:val="clear" w:color="auto" w:fill="D9D9D9" w:themeFill="background1" w:themeFillShade="D9"/>
            <w:vAlign w:val="center"/>
          </w:tcPr>
          <w:p w14:paraId="728B4F95" w14:textId="77777777" w:rsidR="00501D5F" w:rsidRPr="005414AD" w:rsidRDefault="00501D5F" w:rsidP="00501D5F">
            <w:pPr>
              <w:spacing w:after="0"/>
              <w:ind w:right="-142"/>
              <w:rPr>
                <w:rFonts w:cs="Arial"/>
                <w:b/>
                <w:szCs w:val="20"/>
              </w:rPr>
            </w:pPr>
            <w:r w:rsidRPr="005414AD">
              <w:rPr>
                <w:rFonts w:cs="Arial"/>
                <w:b/>
                <w:szCs w:val="20"/>
              </w:rPr>
              <w:t>Total</w:t>
            </w:r>
          </w:p>
        </w:tc>
        <w:tc>
          <w:tcPr>
            <w:tcW w:w="1205" w:type="pct"/>
            <w:shd w:val="clear" w:color="auto" w:fill="D9D9D9" w:themeFill="background1" w:themeFillShade="D9"/>
            <w:vAlign w:val="center"/>
          </w:tcPr>
          <w:p w14:paraId="65790814" w14:textId="77777777" w:rsidR="00501D5F" w:rsidRPr="005414AD" w:rsidRDefault="00501D5F" w:rsidP="00965E8B">
            <w:pPr>
              <w:spacing w:after="0"/>
              <w:ind w:right="35"/>
              <w:rPr>
                <w:rFonts w:cs="Arial"/>
                <w:b/>
                <w:szCs w:val="20"/>
              </w:rPr>
            </w:pPr>
            <w:r w:rsidRPr="005414AD">
              <w:rPr>
                <w:rFonts w:cs="Arial"/>
                <w:b/>
                <w:szCs w:val="20"/>
              </w:rPr>
              <w:t>$31,183,615</w:t>
            </w:r>
          </w:p>
        </w:tc>
      </w:tr>
    </w:tbl>
    <w:p w14:paraId="0F691D8D" w14:textId="552D0F4D" w:rsidR="00501D5F" w:rsidRPr="00673D1F" w:rsidRDefault="00AC24CB" w:rsidP="005B1839">
      <w:r>
        <w:br/>
        <w:t>T</w:t>
      </w:r>
      <w:r w:rsidR="00501D5F" w:rsidRPr="00AF4312">
        <w:t xml:space="preserve">he ACLC amounts payable by carrier </w:t>
      </w:r>
      <w:r w:rsidR="00501D5F" w:rsidRPr="009F5C7C">
        <w:t>licensees for the period 1 July 2018 to 30</w:t>
      </w:r>
      <w:r w:rsidR="00B02D11">
        <w:t> </w:t>
      </w:r>
      <w:r w:rsidR="00501D5F" w:rsidRPr="009F5C7C">
        <w:t>June</w:t>
      </w:r>
      <w:r w:rsidR="00B02D11">
        <w:t> </w:t>
      </w:r>
      <w:r w:rsidR="00501D5F" w:rsidRPr="009F5C7C">
        <w:t xml:space="preserve">2019 are set out </w:t>
      </w:r>
      <w:r w:rsidR="00501D5F" w:rsidRPr="00B02D11">
        <w:t xml:space="preserve">in Attachment </w:t>
      </w:r>
      <w:r w:rsidR="009F5C7C" w:rsidRPr="00B02D11">
        <w:t>C</w:t>
      </w:r>
      <w:r w:rsidR="00501D5F" w:rsidRPr="00B02D11">
        <w:t xml:space="preserve"> with relevant</w:t>
      </w:r>
      <w:r w:rsidR="00501D5F" w:rsidRPr="00AF4312">
        <w:t xml:space="preserve"> calculatio</w:t>
      </w:r>
      <w:r w:rsidR="00501D5F" w:rsidRPr="009F5C7C">
        <w:t>ns</w:t>
      </w:r>
      <w:r w:rsidR="00501D5F">
        <w:t xml:space="preserve">. </w:t>
      </w:r>
    </w:p>
    <w:p w14:paraId="0B38ED5B" w14:textId="4BA6807C" w:rsidR="009E783D" w:rsidRDefault="009E783D" w:rsidP="009E783D">
      <w:pPr>
        <w:pStyle w:val="Heading1"/>
      </w:pPr>
      <w:bookmarkStart w:id="130" w:name="_Toc355953993"/>
      <w:bookmarkStart w:id="131" w:name="_Toc385256321"/>
      <w:bookmarkStart w:id="132" w:name="_Toc417990962"/>
      <w:bookmarkStart w:id="133" w:name="_Toc511634404"/>
      <w:bookmarkStart w:id="134" w:name="_Toc26786344"/>
      <w:r w:rsidRPr="00CC3F4B">
        <w:lastRenderedPageBreak/>
        <w:t xml:space="preserve">4. </w:t>
      </w:r>
      <w:r w:rsidRPr="00CC3F4B">
        <w:tab/>
      </w:r>
      <w:bookmarkEnd w:id="130"/>
      <w:bookmarkEnd w:id="131"/>
      <w:r>
        <w:t>Risk assessment</w:t>
      </w:r>
      <w:bookmarkEnd w:id="132"/>
      <w:bookmarkEnd w:id="133"/>
      <w:bookmarkEnd w:id="134"/>
    </w:p>
    <w:p w14:paraId="21F67A53" w14:textId="6ADF92DF" w:rsidR="005A5B87" w:rsidRDefault="009A3FCC" w:rsidP="009E783D">
      <w:pPr>
        <w:autoSpaceDE w:val="0"/>
        <w:autoSpaceDN w:val="0"/>
        <w:adjustRightInd w:val="0"/>
        <w:rPr>
          <w:rFonts w:eastAsia="Calibri" w:cs="Arial"/>
          <w:color w:val="000000"/>
          <w:szCs w:val="20"/>
          <w:lang w:eastAsia="en-US"/>
        </w:rPr>
      </w:pPr>
      <w:r>
        <w:rPr>
          <w:rFonts w:eastAsia="Calibri" w:cs="Arial"/>
          <w:color w:val="000000"/>
          <w:szCs w:val="20"/>
          <w:lang w:eastAsia="en-US"/>
        </w:rPr>
        <w:t xml:space="preserve">The </w:t>
      </w:r>
      <w:r w:rsidR="009E783D">
        <w:rPr>
          <w:rFonts w:eastAsia="Calibri" w:cs="Arial"/>
          <w:color w:val="000000"/>
          <w:szCs w:val="20"/>
          <w:lang w:eastAsia="en-US"/>
        </w:rPr>
        <w:t>ACMA has carried out a</w:t>
      </w:r>
      <w:r w:rsidR="009E783D" w:rsidRPr="00AA3240">
        <w:rPr>
          <w:rFonts w:eastAsia="Calibri" w:cs="Arial"/>
          <w:color w:val="000000"/>
          <w:szCs w:val="20"/>
          <w:lang w:eastAsia="en-US"/>
        </w:rPr>
        <w:t xml:space="preserve"> risk assessment for</w:t>
      </w:r>
      <w:r w:rsidR="000D4779">
        <w:rPr>
          <w:rFonts w:eastAsia="Calibri" w:cs="Arial"/>
          <w:color w:val="000000"/>
          <w:szCs w:val="20"/>
          <w:lang w:eastAsia="en-US"/>
        </w:rPr>
        <w:t xml:space="preserve"> each </w:t>
      </w:r>
      <w:r w:rsidR="00CF48FA">
        <w:rPr>
          <w:rFonts w:eastAsia="Calibri" w:cs="Arial"/>
          <w:color w:val="000000"/>
          <w:szCs w:val="20"/>
          <w:lang w:eastAsia="en-US"/>
        </w:rPr>
        <w:t xml:space="preserve">cost </w:t>
      </w:r>
      <w:r w:rsidR="000D4779">
        <w:rPr>
          <w:rFonts w:eastAsia="Calibri" w:cs="Arial"/>
          <w:color w:val="000000"/>
          <w:szCs w:val="20"/>
          <w:lang w:eastAsia="en-US"/>
        </w:rPr>
        <w:t>component of the 201</w:t>
      </w:r>
      <w:r w:rsidR="009655B5">
        <w:rPr>
          <w:rFonts w:eastAsia="Calibri" w:cs="Arial"/>
          <w:color w:val="000000"/>
          <w:szCs w:val="20"/>
          <w:lang w:eastAsia="en-US"/>
        </w:rPr>
        <w:t>8</w:t>
      </w:r>
      <w:r w:rsidR="004E3361">
        <w:rPr>
          <w:rFonts w:eastAsia="Calibri" w:cs="Arial"/>
          <w:color w:val="000000"/>
          <w:szCs w:val="20"/>
          <w:lang w:eastAsia="en-US"/>
        </w:rPr>
        <w:t>–</w:t>
      </w:r>
      <w:r w:rsidR="000D4779">
        <w:rPr>
          <w:rFonts w:eastAsia="Calibri" w:cs="Arial"/>
          <w:color w:val="000000"/>
          <w:szCs w:val="20"/>
          <w:lang w:eastAsia="en-US"/>
        </w:rPr>
        <w:t>1</w:t>
      </w:r>
      <w:r w:rsidR="009655B5">
        <w:rPr>
          <w:rFonts w:eastAsia="Calibri" w:cs="Arial"/>
          <w:color w:val="000000"/>
          <w:szCs w:val="20"/>
          <w:lang w:eastAsia="en-US"/>
        </w:rPr>
        <w:t>9</w:t>
      </w:r>
      <w:r w:rsidR="009E783D">
        <w:rPr>
          <w:rFonts w:eastAsia="Calibri" w:cs="Arial"/>
          <w:color w:val="000000"/>
          <w:szCs w:val="20"/>
          <w:lang w:eastAsia="en-US"/>
        </w:rPr>
        <w:t xml:space="preserve"> ACLC</w:t>
      </w:r>
      <w:r w:rsidR="004E3361">
        <w:rPr>
          <w:rFonts w:eastAsia="Calibri" w:cs="Arial"/>
          <w:color w:val="000000"/>
          <w:szCs w:val="20"/>
          <w:lang w:eastAsia="en-US"/>
        </w:rPr>
        <w:t>,</w:t>
      </w:r>
      <w:r w:rsidR="009E783D">
        <w:rPr>
          <w:rFonts w:eastAsia="Calibri" w:cs="Arial"/>
          <w:color w:val="000000"/>
          <w:szCs w:val="20"/>
          <w:lang w:eastAsia="en-US"/>
        </w:rPr>
        <w:t xml:space="preserve"> resulting in an overall rating of medium</w:t>
      </w:r>
      <w:r w:rsidR="000A64FA">
        <w:rPr>
          <w:rFonts w:eastAsia="Calibri" w:cs="Arial"/>
          <w:color w:val="000000"/>
          <w:szCs w:val="20"/>
          <w:lang w:eastAsia="en-US"/>
        </w:rPr>
        <w:t>. T</w:t>
      </w:r>
      <w:r w:rsidR="009E783D">
        <w:rPr>
          <w:rFonts w:eastAsia="Calibri" w:cs="Arial"/>
          <w:color w:val="000000"/>
          <w:szCs w:val="20"/>
          <w:lang w:eastAsia="en-US"/>
        </w:rPr>
        <w:t xml:space="preserve">he individual </w:t>
      </w:r>
      <w:r w:rsidR="003F7E3A">
        <w:rPr>
          <w:rFonts w:eastAsia="Calibri" w:cs="Arial"/>
          <w:color w:val="000000"/>
          <w:szCs w:val="20"/>
          <w:lang w:eastAsia="en-US"/>
        </w:rPr>
        <w:t>rating</w:t>
      </w:r>
      <w:r w:rsidR="004C3BA8">
        <w:rPr>
          <w:rFonts w:eastAsia="Calibri" w:cs="Arial"/>
          <w:color w:val="000000"/>
          <w:szCs w:val="20"/>
          <w:lang w:eastAsia="en-US"/>
        </w:rPr>
        <w:t>s</w:t>
      </w:r>
      <w:r w:rsidR="003F7E3A">
        <w:rPr>
          <w:rFonts w:eastAsia="Calibri" w:cs="Arial"/>
          <w:color w:val="000000"/>
          <w:szCs w:val="20"/>
          <w:lang w:eastAsia="en-US"/>
        </w:rPr>
        <w:t xml:space="preserve"> for each cost component</w:t>
      </w:r>
      <w:r w:rsidR="000A64FA">
        <w:rPr>
          <w:rFonts w:eastAsia="Calibri" w:cs="Arial"/>
          <w:color w:val="000000"/>
          <w:szCs w:val="20"/>
          <w:lang w:eastAsia="en-US"/>
        </w:rPr>
        <w:t xml:space="preserve"> are shown in Table 1</w:t>
      </w:r>
      <w:r w:rsidR="00673D1F">
        <w:rPr>
          <w:rFonts w:eastAsia="Calibri" w:cs="Arial"/>
          <w:color w:val="000000"/>
          <w:szCs w:val="20"/>
          <w:lang w:eastAsia="en-US"/>
        </w:rPr>
        <w:t>7</w:t>
      </w:r>
      <w:r w:rsidR="000A64FA">
        <w:rPr>
          <w:rFonts w:eastAsia="Calibri" w:cs="Arial"/>
          <w:color w:val="000000"/>
          <w:szCs w:val="20"/>
          <w:lang w:eastAsia="en-US"/>
        </w:rPr>
        <w:t xml:space="preserve"> and are b</w:t>
      </w:r>
      <w:r w:rsidR="000A64FA">
        <w:rPr>
          <w:szCs w:val="20"/>
        </w:rPr>
        <w:t xml:space="preserve">ased on assessment of the criteria in the </w:t>
      </w:r>
      <w:bookmarkStart w:id="135" w:name="_Hlk10550442"/>
      <w:r w:rsidR="000A64FA">
        <w:rPr>
          <w:szCs w:val="20"/>
        </w:rPr>
        <w:t>Charging Risk Assessment</w:t>
      </w:r>
      <w:bookmarkEnd w:id="135"/>
      <w:r w:rsidR="000A64FA">
        <w:rPr>
          <w:szCs w:val="20"/>
        </w:rPr>
        <w:t>.</w:t>
      </w:r>
      <w:r w:rsidR="000A64FA">
        <w:rPr>
          <w:rStyle w:val="FootnoteReference"/>
          <w:szCs w:val="20"/>
        </w:rPr>
        <w:footnoteReference w:id="17"/>
      </w:r>
    </w:p>
    <w:p w14:paraId="07BF99D2" w14:textId="6EC61AE6" w:rsidR="005A5B87" w:rsidRPr="00673D1F" w:rsidRDefault="005A5B87" w:rsidP="00673D1F">
      <w:pPr>
        <w:pStyle w:val="ACMATableHeader"/>
        <w:rPr>
          <w:rFonts w:eastAsia="Calibri"/>
        </w:rPr>
      </w:pPr>
      <w:r w:rsidRPr="00673D1F">
        <w:t>Risk rating</w:t>
      </w:r>
      <w:r w:rsidR="004C3BA8" w:rsidRPr="00673D1F">
        <w:t>s</w:t>
      </w:r>
      <w:r w:rsidRPr="00673D1F">
        <w:t xml:space="preserve"> for ACLC components</w:t>
      </w:r>
      <w:r w:rsidR="006D46E2" w:rsidRPr="00673D1F">
        <w:t xml:space="preserve"> </w:t>
      </w:r>
    </w:p>
    <w:tbl>
      <w:tblPr>
        <w:tblStyle w:val="TableGrid"/>
        <w:tblW w:w="0" w:type="auto"/>
        <w:tblCellMar>
          <w:top w:w="57" w:type="dxa"/>
          <w:bottom w:w="57" w:type="dxa"/>
        </w:tblCellMar>
        <w:tblLook w:val="04A0" w:firstRow="1" w:lastRow="0" w:firstColumn="1" w:lastColumn="0" w:noHBand="0" w:noVBand="1"/>
        <w:tblCaption w:val="Risk rating for ACLC components"/>
        <w:tblDescription w:val="Includes the reference in the Act, cost component and risk rating."/>
      </w:tblPr>
      <w:tblGrid>
        <w:gridCol w:w="2553"/>
        <w:gridCol w:w="3679"/>
        <w:gridCol w:w="1429"/>
      </w:tblGrid>
      <w:tr w:rsidR="005A5B87" w14:paraId="1A0D755E" w14:textId="77777777" w:rsidTr="00C32914">
        <w:trPr>
          <w:cantSplit/>
          <w:tblHeader/>
        </w:trPr>
        <w:tc>
          <w:tcPr>
            <w:tcW w:w="2553" w:type="dxa"/>
            <w:shd w:val="clear" w:color="auto" w:fill="404040" w:themeFill="text1" w:themeFillTint="BF"/>
          </w:tcPr>
          <w:p w14:paraId="5C7CD4B2"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Reference in the Act</w:t>
            </w:r>
          </w:p>
        </w:tc>
        <w:tc>
          <w:tcPr>
            <w:tcW w:w="3679" w:type="dxa"/>
            <w:shd w:val="clear" w:color="auto" w:fill="404040" w:themeFill="text1" w:themeFillTint="BF"/>
          </w:tcPr>
          <w:p w14:paraId="3BF88E7A"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Cost component</w:t>
            </w:r>
          </w:p>
        </w:tc>
        <w:tc>
          <w:tcPr>
            <w:tcW w:w="1429" w:type="dxa"/>
            <w:shd w:val="clear" w:color="auto" w:fill="404040" w:themeFill="text1" w:themeFillTint="BF"/>
          </w:tcPr>
          <w:p w14:paraId="497EA1AE" w14:textId="77777777" w:rsidR="005A5B87" w:rsidRPr="00CE6BED" w:rsidRDefault="005A5B87" w:rsidP="00CE6BED">
            <w:pPr>
              <w:pStyle w:val="TableHeading"/>
              <w:rPr>
                <w:rFonts w:eastAsia="Calibri"/>
                <w:color w:val="FFFFFF" w:themeColor="background1"/>
                <w:lang w:eastAsia="en-US"/>
              </w:rPr>
            </w:pPr>
            <w:r w:rsidRPr="00CE6BED">
              <w:rPr>
                <w:color w:val="FFFFFF" w:themeColor="background1"/>
              </w:rPr>
              <w:t>Risk rating</w:t>
            </w:r>
          </w:p>
        </w:tc>
      </w:tr>
      <w:tr w:rsidR="005A5B87" w14:paraId="33F22708" w14:textId="77777777" w:rsidTr="00C32914">
        <w:trPr>
          <w:cantSplit/>
          <w:tblHeader/>
        </w:trPr>
        <w:tc>
          <w:tcPr>
            <w:tcW w:w="2553" w:type="dxa"/>
          </w:tcPr>
          <w:p w14:paraId="115C52DF"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15(1)(a)</w:t>
            </w:r>
          </w:p>
        </w:tc>
        <w:tc>
          <w:tcPr>
            <w:tcW w:w="3679" w:type="dxa"/>
          </w:tcPr>
          <w:p w14:paraId="1DE3DF93" w14:textId="27E6D40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ACMA’s cost component</w:t>
            </w:r>
          </w:p>
        </w:tc>
        <w:tc>
          <w:tcPr>
            <w:tcW w:w="1429" w:type="dxa"/>
          </w:tcPr>
          <w:p w14:paraId="4A04C479"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7245FA12" w14:textId="77777777" w:rsidTr="00C32914">
        <w:trPr>
          <w:cantSplit/>
          <w:tblHeader/>
        </w:trPr>
        <w:tc>
          <w:tcPr>
            <w:tcW w:w="2553" w:type="dxa"/>
          </w:tcPr>
          <w:p w14:paraId="6BD025E9"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15(1)(b)</w:t>
            </w:r>
          </w:p>
        </w:tc>
        <w:tc>
          <w:tcPr>
            <w:tcW w:w="3679" w:type="dxa"/>
          </w:tcPr>
          <w:p w14:paraId="2B4B4AD7" w14:textId="39520D7E"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ACCC’s cost component</w:t>
            </w:r>
          </w:p>
        </w:tc>
        <w:tc>
          <w:tcPr>
            <w:tcW w:w="1429" w:type="dxa"/>
          </w:tcPr>
          <w:p w14:paraId="0282E2DD"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5F96F54F" w14:textId="77777777" w:rsidTr="00C32914">
        <w:trPr>
          <w:cantSplit/>
          <w:tblHeader/>
        </w:trPr>
        <w:tc>
          <w:tcPr>
            <w:tcW w:w="2553" w:type="dxa"/>
          </w:tcPr>
          <w:p w14:paraId="019770D1"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15(1)(c)</w:t>
            </w:r>
          </w:p>
        </w:tc>
        <w:tc>
          <w:tcPr>
            <w:tcW w:w="3679" w:type="dxa"/>
          </w:tcPr>
          <w:p w14:paraId="29CFB81A" w14:textId="1BDC7AAF" w:rsidR="005A5B87" w:rsidRDefault="00CF48FA" w:rsidP="00593B36">
            <w:pPr>
              <w:autoSpaceDE w:val="0"/>
              <w:autoSpaceDN w:val="0"/>
              <w:adjustRightInd w:val="0"/>
              <w:spacing w:after="0"/>
              <w:rPr>
                <w:rFonts w:eastAsia="Calibri" w:cs="Arial"/>
                <w:color w:val="000000"/>
                <w:szCs w:val="20"/>
                <w:lang w:eastAsia="en-US"/>
              </w:rPr>
            </w:pPr>
            <w:r>
              <w:rPr>
                <w:rFonts w:cs="Arial"/>
                <w:szCs w:val="20"/>
              </w:rPr>
              <w:t xml:space="preserve">Commonwealth’s </w:t>
            </w:r>
            <w:r w:rsidR="005A5B87" w:rsidRPr="000D6F80">
              <w:rPr>
                <w:rFonts w:cs="Arial"/>
                <w:szCs w:val="20"/>
              </w:rPr>
              <w:t>ITU contribution</w:t>
            </w:r>
          </w:p>
        </w:tc>
        <w:tc>
          <w:tcPr>
            <w:tcW w:w="1429" w:type="dxa"/>
          </w:tcPr>
          <w:p w14:paraId="20D67D70" w14:textId="7777777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683B6322" w14:textId="77777777" w:rsidTr="00C32914">
        <w:trPr>
          <w:cantSplit/>
          <w:tblHeader/>
        </w:trPr>
        <w:tc>
          <w:tcPr>
            <w:tcW w:w="2553" w:type="dxa"/>
          </w:tcPr>
          <w:p w14:paraId="3D4DC20F"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w:t>
            </w:r>
            <w:proofErr w:type="gramStart"/>
            <w:r w:rsidRPr="000D6F80">
              <w:rPr>
                <w:rFonts w:cs="Arial"/>
                <w:szCs w:val="20"/>
              </w:rPr>
              <w:t>1)(</w:t>
            </w:r>
            <w:proofErr w:type="gramEnd"/>
            <w:r w:rsidRPr="000D6F80">
              <w:rPr>
                <w:rFonts w:cs="Arial"/>
                <w:szCs w:val="20"/>
              </w:rPr>
              <w:t>ca)</w:t>
            </w:r>
          </w:p>
        </w:tc>
        <w:tc>
          <w:tcPr>
            <w:tcW w:w="3679" w:type="dxa"/>
          </w:tcPr>
          <w:p w14:paraId="6B1AA040" w14:textId="45449294" w:rsidR="005A5B87" w:rsidRDefault="005E3ED8" w:rsidP="005E3ED8">
            <w:pPr>
              <w:autoSpaceDE w:val="0"/>
              <w:autoSpaceDN w:val="0"/>
              <w:adjustRightInd w:val="0"/>
              <w:spacing w:after="0"/>
              <w:rPr>
                <w:rFonts w:eastAsia="Calibri" w:cs="Arial"/>
                <w:color w:val="000000"/>
                <w:szCs w:val="20"/>
                <w:lang w:eastAsia="en-US"/>
              </w:rPr>
            </w:pPr>
            <w:r>
              <w:rPr>
                <w:rFonts w:cs="Arial"/>
                <w:szCs w:val="20"/>
              </w:rPr>
              <w:t>Reimbursed</w:t>
            </w:r>
            <w:r w:rsidR="00CF48FA">
              <w:rPr>
                <w:rFonts w:cs="Arial"/>
                <w:szCs w:val="20"/>
              </w:rPr>
              <w:t xml:space="preserve"> costs of d</w:t>
            </w:r>
            <w:r w:rsidR="005A5B87" w:rsidRPr="000D6F80">
              <w:rPr>
                <w:rFonts w:cs="Arial"/>
                <w:szCs w:val="20"/>
              </w:rPr>
              <w:t xml:space="preserve">evelopment </w:t>
            </w:r>
            <w:r w:rsidR="00C37EAD">
              <w:rPr>
                <w:rFonts w:cs="Arial"/>
                <w:szCs w:val="20"/>
              </w:rPr>
              <w:t xml:space="preserve">or variation </w:t>
            </w:r>
            <w:r w:rsidR="005A5B87" w:rsidRPr="000D6F80">
              <w:rPr>
                <w:rFonts w:cs="Arial"/>
                <w:szCs w:val="20"/>
              </w:rPr>
              <w:t xml:space="preserve">of consumer protection related industry codes </w:t>
            </w:r>
          </w:p>
        </w:tc>
        <w:tc>
          <w:tcPr>
            <w:tcW w:w="1429" w:type="dxa"/>
          </w:tcPr>
          <w:p w14:paraId="7782992E" w14:textId="77777777" w:rsidR="005A5B87" w:rsidRDefault="005A30CB" w:rsidP="00593B36">
            <w:pPr>
              <w:autoSpaceDE w:val="0"/>
              <w:autoSpaceDN w:val="0"/>
              <w:adjustRightInd w:val="0"/>
              <w:spacing w:after="0"/>
              <w:rPr>
                <w:rFonts w:eastAsia="Calibri" w:cs="Arial"/>
                <w:color w:val="000000"/>
                <w:szCs w:val="20"/>
                <w:lang w:eastAsia="en-US"/>
              </w:rPr>
            </w:pPr>
            <w:r>
              <w:rPr>
                <w:rFonts w:cs="Arial"/>
                <w:szCs w:val="20"/>
              </w:rPr>
              <w:t>Low</w:t>
            </w:r>
          </w:p>
        </w:tc>
      </w:tr>
      <w:tr w:rsidR="005A5B87" w14:paraId="6D7C8CC3" w14:textId="77777777" w:rsidTr="00C32914">
        <w:trPr>
          <w:cantSplit/>
          <w:tblHeader/>
        </w:trPr>
        <w:tc>
          <w:tcPr>
            <w:tcW w:w="2553" w:type="dxa"/>
          </w:tcPr>
          <w:p w14:paraId="4956FF12" w14:textId="777777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15(1)(d)</w:t>
            </w:r>
          </w:p>
        </w:tc>
        <w:tc>
          <w:tcPr>
            <w:tcW w:w="3679" w:type="dxa"/>
          </w:tcPr>
          <w:p w14:paraId="298428B6" w14:textId="1B1AD263" w:rsidR="005A5B87" w:rsidRDefault="00501D5F" w:rsidP="00593B36">
            <w:pPr>
              <w:autoSpaceDE w:val="0"/>
              <w:autoSpaceDN w:val="0"/>
              <w:adjustRightInd w:val="0"/>
              <w:spacing w:after="0"/>
              <w:rPr>
                <w:rFonts w:eastAsia="Calibri" w:cs="Arial"/>
                <w:color w:val="000000"/>
                <w:szCs w:val="20"/>
                <w:lang w:eastAsia="en-US"/>
              </w:rPr>
            </w:pPr>
            <w:r>
              <w:rPr>
                <w:rFonts w:cs="Arial"/>
                <w:szCs w:val="20"/>
              </w:rPr>
              <w:t>G</w:t>
            </w:r>
            <w:r w:rsidR="005A5B87" w:rsidRPr="000D6F80">
              <w:rPr>
                <w:rFonts w:cs="Arial"/>
                <w:szCs w:val="20"/>
              </w:rPr>
              <w:t xml:space="preserve">overnment </w:t>
            </w:r>
            <w:r w:rsidR="004E3361">
              <w:rPr>
                <w:rFonts w:cs="Arial"/>
                <w:szCs w:val="20"/>
              </w:rPr>
              <w:t>g</w:t>
            </w:r>
            <w:r w:rsidR="005A5B87" w:rsidRPr="000D6F80">
              <w:rPr>
                <w:rFonts w:cs="Arial"/>
                <w:szCs w:val="20"/>
              </w:rPr>
              <w:t>rants</w:t>
            </w:r>
            <w:r w:rsidR="005A5B87">
              <w:rPr>
                <w:rFonts w:cs="Arial"/>
                <w:szCs w:val="20"/>
              </w:rPr>
              <w:t>—</w:t>
            </w:r>
            <w:r w:rsidR="00136A92" w:rsidRPr="00120B54">
              <w:rPr>
                <w:rFonts w:cs="Arial"/>
                <w:szCs w:val="20"/>
              </w:rPr>
              <w:t>c</w:t>
            </w:r>
            <w:r w:rsidR="005A5B87" w:rsidRPr="00120B54">
              <w:rPr>
                <w:rFonts w:cs="Arial"/>
                <w:szCs w:val="20"/>
              </w:rPr>
              <w:t xml:space="preserve">onsumer </w:t>
            </w:r>
            <w:r w:rsidR="00136A92" w:rsidRPr="00120B54">
              <w:rPr>
                <w:rFonts w:cs="Arial"/>
                <w:szCs w:val="20"/>
              </w:rPr>
              <w:t>r</w:t>
            </w:r>
            <w:r w:rsidR="005A5B87" w:rsidRPr="00120B54">
              <w:rPr>
                <w:rFonts w:cs="Arial"/>
                <w:szCs w:val="20"/>
              </w:rPr>
              <w:t xml:space="preserve">epresentation and </w:t>
            </w:r>
            <w:r w:rsidR="00136A92" w:rsidRPr="00120B54">
              <w:rPr>
                <w:rFonts w:cs="Arial"/>
                <w:szCs w:val="20"/>
              </w:rPr>
              <w:t>r</w:t>
            </w:r>
            <w:r w:rsidR="005A5B87" w:rsidRPr="00120B54">
              <w:rPr>
                <w:rFonts w:cs="Arial"/>
                <w:szCs w:val="20"/>
              </w:rPr>
              <w:t>esearch</w:t>
            </w:r>
          </w:p>
        </w:tc>
        <w:tc>
          <w:tcPr>
            <w:tcW w:w="1429" w:type="dxa"/>
          </w:tcPr>
          <w:p w14:paraId="4E1A996B" w14:textId="77777777" w:rsidR="005A5B87" w:rsidRDefault="00EA11C4" w:rsidP="00593B36">
            <w:pPr>
              <w:autoSpaceDE w:val="0"/>
              <w:autoSpaceDN w:val="0"/>
              <w:adjustRightInd w:val="0"/>
              <w:spacing w:after="0"/>
              <w:rPr>
                <w:rFonts w:eastAsia="Calibri" w:cs="Arial"/>
                <w:color w:val="000000"/>
                <w:szCs w:val="20"/>
                <w:lang w:eastAsia="en-US"/>
              </w:rPr>
            </w:pPr>
            <w:r>
              <w:rPr>
                <w:rFonts w:cs="Arial"/>
                <w:szCs w:val="20"/>
              </w:rPr>
              <w:t>Low</w:t>
            </w:r>
          </w:p>
        </w:tc>
      </w:tr>
      <w:tr w:rsidR="005A5B87" w14:paraId="08EAAB02" w14:textId="77777777" w:rsidTr="00C32914">
        <w:trPr>
          <w:cantSplit/>
          <w:tblHeader/>
        </w:trPr>
        <w:tc>
          <w:tcPr>
            <w:tcW w:w="6232" w:type="dxa"/>
            <w:gridSpan w:val="2"/>
            <w:shd w:val="clear" w:color="auto" w:fill="D9D9D9" w:themeFill="background1" w:themeFillShade="D9"/>
          </w:tcPr>
          <w:p w14:paraId="5E310E72" w14:textId="77777777" w:rsidR="005A5B87" w:rsidRDefault="005A5B87" w:rsidP="00593B36">
            <w:pPr>
              <w:autoSpaceDE w:val="0"/>
              <w:autoSpaceDN w:val="0"/>
              <w:adjustRightInd w:val="0"/>
              <w:spacing w:after="0"/>
              <w:rPr>
                <w:rFonts w:eastAsia="Calibri" w:cs="Arial"/>
                <w:color w:val="000000"/>
                <w:szCs w:val="20"/>
                <w:lang w:eastAsia="en-US"/>
              </w:rPr>
            </w:pPr>
            <w:r>
              <w:rPr>
                <w:rFonts w:cs="Arial"/>
                <w:b/>
                <w:szCs w:val="20"/>
              </w:rPr>
              <w:t>Overall rating</w:t>
            </w:r>
          </w:p>
        </w:tc>
        <w:tc>
          <w:tcPr>
            <w:tcW w:w="1429" w:type="dxa"/>
            <w:shd w:val="clear" w:color="auto" w:fill="D9D9D9" w:themeFill="background1" w:themeFillShade="D9"/>
          </w:tcPr>
          <w:p w14:paraId="1B042420" w14:textId="77777777" w:rsidR="005A5B87" w:rsidRPr="00593B36" w:rsidRDefault="005A5B87" w:rsidP="00593B36">
            <w:pPr>
              <w:autoSpaceDE w:val="0"/>
              <w:autoSpaceDN w:val="0"/>
              <w:adjustRightInd w:val="0"/>
              <w:spacing w:after="0"/>
              <w:rPr>
                <w:rFonts w:eastAsia="Calibri" w:cs="Arial"/>
                <w:b/>
                <w:color w:val="000000"/>
                <w:szCs w:val="20"/>
                <w:lang w:eastAsia="en-US"/>
              </w:rPr>
            </w:pPr>
            <w:r w:rsidRPr="00593B36">
              <w:rPr>
                <w:rFonts w:cs="Arial"/>
                <w:b/>
                <w:szCs w:val="20"/>
              </w:rPr>
              <w:t>Medium</w:t>
            </w:r>
          </w:p>
        </w:tc>
      </w:tr>
    </w:tbl>
    <w:p w14:paraId="58345BCA" w14:textId="1466045F" w:rsidR="009E783D" w:rsidRDefault="009E783D" w:rsidP="00D567BE">
      <w:pPr>
        <w:autoSpaceDE w:val="0"/>
        <w:autoSpaceDN w:val="0"/>
        <w:adjustRightInd w:val="0"/>
        <w:spacing w:before="240"/>
        <w:ind w:right="140"/>
        <w:rPr>
          <w:rFonts w:cs="Arial"/>
        </w:rPr>
      </w:pPr>
      <w:r w:rsidRPr="006C0E2E">
        <w:rPr>
          <w:szCs w:val="20"/>
        </w:rPr>
        <w:t xml:space="preserve">The overall risk rating of medium was derived mainly due to the </w:t>
      </w:r>
      <w:r w:rsidR="00343D4A">
        <w:rPr>
          <w:szCs w:val="20"/>
        </w:rPr>
        <w:t xml:space="preserve">overall </w:t>
      </w:r>
      <w:r w:rsidRPr="006C0E2E">
        <w:rPr>
          <w:szCs w:val="20"/>
        </w:rPr>
        <w:t xml:space="preserve">amount </w:t>
      </w:r>
      <w:r w:rsidR="00860A31">
        <w:rPr>
          <w:szCs w:val="20"/>
        </w:rPr>
        <w:t xml:space="preserve">to be subject to </w:t>
      </w:r>
      <w:r w:rsidRPr="006C0E2E">
        <w:rPr>
          <w:szCs w:val="20"/>
        </w:rPr>
        <w:t>this cost recovery arrangement, which exceeded $10</w:t>
      </w:r>
      <w:r w:rsidR="00C929DE">
        <w:rPr>
          <w:szCs w:val="20"/>
        </w:rPr>
        <w:t> </w:t>
      </w:r>
      <w:r w:rsidRPr="006C0E2E">
        <w:rPr>
          <w:szCs w:val="20"/>
        </w:rPr>
        <w:t>million</w:t>
      </w:r>
      <w:r w:rsidR="00682391">
        <w:rPr>
          <w:szCs w:val="20"/>
        </w:rPr>
        <w:t xml:space="preserve"> for paragraphs 15(1)(a) </w:t>
      </w:r>
      <w:r w:rsidR="00682391" w:rsidRPr="00656448">
        <w:rPr>
          <w:szCs w:val="20"/>
        </w:rPr>
        <w:t>and (b) of the Act</w:t>
      </w:r>
      <w:r w:rsidR="004C3BA8" w:rsidRPr="00656448">
        <w:rPr>
          <w:szCs w:val="20"/>
        </w:rPr>
        <w:t>,</w:t>
      </w:r>
      <w:r w:rsidRPr="00656448">
        <w:rPr>
          <w:szCs w:val="20"/>
        </w:rPr>
        <w:t xml:space="preserve"> and </w:t>
      </w:r>
      <w:r w:rsidR="00C37EAD">
        <w:rPr>
          <w:szCs w:val="20"/>
        </w:rPr>
        <w:t xml:space="preserve">because </w:t>
      </w:r>
      <w:r w:rsidR="00A45642" w:rsidRPr="00656448">
        <w:rPr>
          <w:szCs w:val="20"/>
        </w:rPr>
        <w:t>the amount</w:t>
      </w:r>
      <w:r w:rsidR="00F067A4">
        <w:rPr>
          <w:szCs w:val="20"/>
        </w:rPr>
        <w:t>s</w:t>
      </w:r>
      <w:r w:rsidR="00A45642" w:rsidRPr="00656448">
        <w:rPr>
          <w:szCs w:val="20"/>
        </w:rPr>
        <w:t xml:space="preserve"> to be recovered through ACLC </w:t>
      </w:r>
      <w:r w:rsidR="00004252" w:rsidRPr="00656448">
        <w:rPr>
          <w:szCs w:val="20"/>
        </w:rPr>
        <w:t>for paragraph</w:t>
      </w:r>
      <w:r w:rsidR="005D01DF">
        <w:rPr>
          <w:szCs w:val="20"/>
        </w:rPr>
        <w:t>s</w:t>
      </w:r>
      <w:r w:rsidR="00004252" w:rsidRPr="00656448">
        <w:rPr>
          <w:szCs w:val="20"/>
        </w:rPr>
        <w:t xml:space="preserve"> 15(1)(</w:t>
      </w:r>
      <w:r w:rsidR="005D01DF">
        <w:rPr>
          <w:szCs w:val="20"/>
        </w:rPr>
        <w:t>a</w:t>
      </w:r>
      <w:r w:rsidR="00004252" w:rsidRPr="00656448">
        <w:rPr>
          <w:szCs w:val="20"/>
        </w:rPr>
        <w:t xml:space="preserve">) </w:t>
      </w:r>
      <w:r w:rsidR="005D01DF">
        <w:rPr>
          <w:szCs w:val="20"/>
        </w:rPr>
        <w:t xml:space="preserve">and 15(1)(c) </w:t>
      </w:r>
      <w:r w:rsidR="00004252" w:rsidRPr="00656448">
        <w:rPr>
          <w:szCs w:val="20"/>
        </w:rPr>
        <w:t xml:space="preserve">of the Act </w:t>
      </w:r>
      <w:r w:rsidR="00A45642" w:rsidRPr="00656448">
        <w:rPr>
          <w:szCs w:val="20"/>
        </w:rPr>
        <w:t>ha</w:t>
      </w:r>
      <w:r w:rsidR="005D01DF">
        <w:rPr>
          <w:szCs w:val="20"/>
        </w:rPr>
        <w:t>ve</w:t>
      </w:r>
      <w:r w:rsidR="00A45642" w:rsidRPr="00656448">
        <w:rPr>
          <w:szCs w:val="20"/>
        </w:rPr>
        <w:t xml:space="preserve"> </w:t>
      </w:r>
      <w:r w:rsidR="005D01DF">
        <w:rPr>
          <w:szCs w:val="20"/>
        </w:rPr>
        <w:t xml:space="preserve">changed by </w:t>
      </w:r>
      <w:r w:rsidR="00A45642" w:rsidRPr="00004252">
        <w:rPr>
          <w:szCs w:val="20"/>
        </w:rPr>
        <w:t>more than</w:t>
      </w:r>
      <w:r w:rsidR="00583998">
        <w:rPr>
          <w:szCs w:val="20"/>
        </w:rPr>
        <w:t xml:space="preserve"> five</w:t>
      </w:r>
      <w:r w:rsidR="004C3BA8" w:rsidRPr="00004252">
        <w:rPr>
          <w:szCs w:val="20"/>
        </w:rPr>
        <w:t xml:space="preserve"> per cent</w:t>
      </w:r>
      <w:r w:rsidRPr="006C0E2E">
        <w:rPr>
          <w:szCs w:val="20"/>
        </w:rPr>
        <w:t>. However, t</w:t>
      </w:r>
      <w:r w:rsidRPr="006C0E2E">
        <w:rPr>
          <w:rFonts w:cs="Arial"/>
        </w:rPr>
        <w:t xml:space="preserve">here are no complexities associated with this charging </w:t>
      </w:r>
      <w:r w:rsidR="004E3361" w:rsidRPr="006C0E2E">
        <w:rPr>
          <w:rFonts w:cs="Arial"/>
        </w:rPr>
        <w:t>regime</w:t>
      </w:r>
      <w:r w:rsidRPr="006C0E2E">
        <w:rPr>
          <w:rFonts w:cs="Arial"/>
        </w:rPr>
        <w:t xml:space="preserve"> as there are no changes to the existing cost recovery arrangement from the previous year</w:t>
      </w:r>
      <w:r w:rsidR="005D01DF">
        <w:rPr>
          <w:rFonts w:cs="Arial"/>
        </w:rPr>
        <w:t xml:space="preserve"> for the ACLC other than the </w:t>
      </w:r>
      <w:r w:rsidR="00B53F9F">
        <w:rPr>
          <w:rFonts w:cs="Arial"/>
        </w:rPr>
        <w:t xml:space="preserve">distribution of the </w:t>
      </w:r>
      <w:r w:rsidR="005D01DF">
        <w:rPr>
          <w:rFonts w:cs="Arial"/>
        </w:rPr>
        <w:t>amount relat</w:t>
      </w:r>
      <w:r w:rsidR="00F067A4">
        <w:rPr>
          <w:rFonts w:cs="Arial"/>
        </w:rPr>
        <w:t>ing</w:t>
      </w:r>
      <w:r w:rsidR="005D01DF">
        <w:rPr>
          <w:rFonts w:cs="Arial"/>
        </w:rPr>
        <w:t xml:space="preserve"> to the MBA program</w:t>
      </w:r>
      <w:r w:rsidRPr="006C0E2E">
        <w:rPr>
          <w:rFonts w:cs="Arial"/>
        </w:rPr>
        <w:t xml:space="preserve">. The ACLC is being charged as a levy and does not require any </w:t>
      </w:r>
      <w:r w:rsidR="002D6B92">
        <w:rPr>
          <w:rFonts w:cs="Arial"/>
        </w:rPr>
        <w:t xml:space="preserve">new </w:t>
      </w:r>
      <w:r w:rsidRPr="006C0E2E">
        <w:rPr>
          <w:rFonts w:cs="Arial"/>
        </w:rPr>
        <w:t xml:space="preserve">legislation to be passed by the </w:t>
      </w:r>
      <w:r w:rsidR="001071EB">
        <w:rPr>
          <w:rFonts w:cs="Arial"/>
        </w:rPr>
        <w:t>p</w:t>
      </w:r>
      <w:r w:rsidRPr="001071EB">
        <w:rPr>
          <w:rFonts w:cs="Arial"/>
        </w:rPr>
        <w:t>arliament</w:t>
      </w:r>
      <w:r w:rsidR="004E3361">
        <w:rPr>
          <w:rFonts w:cs="Arial"/>
        </w:rPr>
        <w:t>,</w:t>
      </w:r>
      <w:r w:rsidRPr="006C0E2E">
        <w:rPr>
          <w:rFonts w:cs="Arial"/>
        </w:rPr>
        <w:t xml:space="preserve"> nor does it involve working with </w:t>
      </w:r>
      <w:r w:rsidRPr="006C0E2E">
        <w:rPr>
          <w:rFonts w:eastAsia="Calibri" w:cs="Arial"/>
          <w:color w:val="000000"/>
          <w:szCs w:val="20"/>
          <w:lang w:eastAsia="en-US"/>
        </w:rPr>
        <w:t>state, territory or local government entities</w:t>
      </w:r>
      <w:r w:rsidRPr="006C0E2E">
        <w:rPr>
          <w:rFonts w:cs="Arial"/>
        </w:rPr>
        <w:t xml:space="preserve">. </w:t>
      </w:r>
    </w:p>
    <w:p w14:paraId="3BF37DDF" w14:textId="04CC39CC" w:rsidR="009655B5" w:rsidRPr="00BD44CE" w:rsidRDefault="005D01DF" w:rsidP="00D567BE">
      <w:pPr>
        <w:autoSpaceDE w:val="0"/>
        <w:autoSpaceDN w:val="0"/>
        <w:adjustRightInd w:val="0"/>
        <w:spacing w:before="240"/>
        <w:ind w:right="140"/>
        <w:rPr>
          <w:snapToGrid w:val="0"/>
        </w:rPr>
      </w:pPr>
      <w:r w:rsidRPr="00A47C06">
        <w:rPr>
          <w:snapToGrid w:val="0"/>
        </w:rPr>
        <w:t xml:space="preserve">For the MBA program a risk rating is provided in </w:t>
      </w:r>
      <w:r w:rsidR="00FE4BD2">
        <w:rPr>
          <w:snapToGrid w:val="0"/>
        </w:rPr>
        <w:t>section</w:t>
      </w:r>
      <w:r w:rsidRPr="00A47C06">
        <w:rPr>
          <w:snapToGrid w:val="0"/>
        </w:rPr>
        <w:t xml:space="preserve"> 4 of the CRIS Addendum</w:t>
      </w:r>
      <w:r w:rsidR="008D4578">
        <w:rPr>
          <w:snapToGrid w:val="0"/>
        </w:rPr>
        <w:t>—</w:t>
      </w:r>
      <w:r w:rsidRPr="00A47C06">
        <w:rPr>
          <w:snapToGrid w:val="0"/>
        </w:rPr>
        <w:t xml:space="preserve"> Attachment B. </w:t>
      </w:r>
      <w:r w:rsidR="009655B5" w:rsidRPr="00A47C06">
        <w:rPr>
          <w:snapToGrid w:val="0"/>
        </w:rPr>
        <w:t xml:space="preserve">A Regulation Impact Statement was not </w:t>
      </w:r>
      <w:r w:rsidR="007E247E">
        <w:rPr>
          <w:snapToGrid w:val="0"/>
        </w:rPr>
        <w:t>required</w:t>
      </w:r>
      <w:r w:rsidR="009655B5" w:rsidRPr="00A47C06">
        <w:rPr>
          <w:snapToGrid w:val="0"/>
        </w:rPr>
        <w:t xml:space="preserve"> </w:t>
      </w:r>
      <w:r w:rsidR="00B53F9F">
        <w:rPr>
          <w:snapToGrid w:val="0"/>
        </w:rPr>
        <w:t xml:space="preserve">before the implementation of </w:t>
      </w:r>
      <w:r w:rsidR="009655B5" w:rsidRPr="00A47C06">
        <w:rPr>
          <w:snapToGrid w:val="0"/>
        </w:rPr>
        <w:t>the MBA program because the proposal was considered to have minor regulatory impacts</w:t>
      </w:r>
      <w:r w:rsidR="007E247E">
        <w:rPr>
          <w:snapToGrid w:val="0"/>
        </w:rPr>
        <w:t>.</w:t>
      </w:r>
    </w:p>
    <w:p w14:paraId="6BB23BA2" w14:textId="77777777" w:rsidR="009E783D" w:rsidRPr="006E7651" w:rsidRDefault="009E783D" w:rsidP="009E783D">
      <w:pPr>
        <w:pStyle w:val="Heading1"/>
      </w:pPr>
      <w:bookmarkStart w:id="136" w:name="_Toc417990963"/>
      <w:bookmarkStart w:id="137" w:name="_Toc511634405"/>
      <w:bookmarkStart w:id="138" w:name="_Toc26786345"/>
      <w:r>
        <w:lastRenderedPageBreak/>
        <w:t>5</w:t>
      </w:r>
      <w:r w:rsidRPr="00CC3F4B">
        <w:t xml:space="preserve">. </w:t>
      </w:r>
      <w:r w:rsidRPr="00CC3F4B">
        <w:tab/>
        <w:t>Stakeholder engagement</w:t>
      </w:r>
      <w:bookmarkEnd w:id="136"/>
      <w:bookmarkEnd w:id="137"/>
      <w:bookmarkEnd w:id="138"/>
    </w:p>
    <w:p w14:paraId="2FA69B3B" w14:textId="38D3EDA6" w:rsidR="00157B12" w:rsidRPr="00D35E14" w:rsidRDefault="00601C07" w:rsidP="00CE6BED">
      <w:pPr>
        <w:pStyle w:val="BodyText"/>
        <w:spacing w:after="80" w:line="240" w:lineRule="atLeast"/>
        <w:ind w:right="-142"/>
        <w:rPr>
          <w:rFonts w:cs="Arial"/>
          <w:i w:val="0"/>
          <w:color w:val="auto"/>
          <w:szCs w:val="20"/>
        </w:rPr>
      </w:pPr>
      <w:r>
        <w:rPr>
          <w:rFonts w:cs="Arial"/>
          <w:i w:val="0"/>
          <w:color w:val="auto"/>
          <w:szCs w:val="20"/>
        </w:rPr>
        <w:t xml:space="preserve">The </w:t>
      </w:r>
      <w:r w:rsidR="009E783D" w:rsidRPr="00D35E14">
        <w:rPr>
          <w:rFonts w:cs="Arial"/>
          <w:i w:val="0"/>
          <w:color w:val="auto"/>
          <w:szCs w:val="20"/>
        </w:rPr>
        <w:t xml:space="preserve">ACMA regularly consults with stakeholders </w:t>
      </w:r>
      <w:r w:rsidR="000A64FA">
        <w:rPr>
          <w:rFonts w:cs="Arial"/>
          <w:i w:val="0"/>
          <w:color w:val="auto"/>
          <w:szCs w:val="20"/>
        </w:rPr>
        <w:t>about</w:t>
      </w:r>
      <w:r w:rsidR="009E783D" w:rsidRPr="00D35E14">
        <w:rPr>
          <w:rFonts w:cs="Arial"/>
          <w:i w:val="0"/>
          <w:color w:val="auto"/>
          <w:szCs w:val="20"/>
        </w:rPr>
        <w:t xml:space="preserve"> telecommunications regulatory matters</w:t>
      </w:r>
      <w:r w:rsidR="007C3E84" w:rsidRPr="00D35E14">
        <w:rPr>
          <w:rFonts w:cs="Arial"/>
          <w:i w:val="0"/>
          <w:color w:val="auto"/>
          <w:szCs w:val="20"/>
        </w:rPr>
        <w:t>. In 201</w:t>
      </w:r>
      <w:r w:rsidR="001D29AD">
        <w:rPr>
          <w:rFonts w:cs="Arial"/>
          <w:i w:val="0"/>
          <w:color w:val="auto"/>
          <w:szCs w:val="20"/>
        </w:rPr>
        <w:t>7</w:t>
      </w:r>
      <w:r w:rsidR="004E3361">
        <w:rPr>
          <w:rFonts w:cs="Arial"/>
          <w:i w:val="0"/>
          <w:color w:val="auto"/>
          <w:szCs w:val="20"/>
        </w:rPr>
        <w:t>–</w:t>
      </w:r>
      <w:r w:rsidR="007C3E84" w:rsidRPr="00D35E14">
        <w:rPr>
          <w:rFonts w:cs="Arial"/>
          <w:i w:val="0"/>
          <w:color w:val="auto"/>
          <w:szCs w:val="20"/>
        </w:rPr>
        <w:t>1</w:t>
      </w:r>
      <w:r w:rsidR="001D29AD">
        <w:rPr>
          <w:rFonts w:cs="Arial"/>
          <w:i w:val="0"/>
          <w:color w:val="auto"/>
          <w:szCs w:val="20"/>
        </w:rPr>
        <w:t>8</w:t>
      </w:r>
      <w:r w:rsidR="00380B46">
        <w:rPr>
          <w:rFonts w:cs="Arial"/>
          <w:i w:val="0"/>
          <w:color w:val="auto"/>
          <w:szCs w:val="20"/>
        </w:rPr>
        <w:t>,</w:t>
      </w:r>
      <w:r w:rsidR="007C3E84" w:rsidRPr="00D35E14">
        <w:rPr>
          <w:rFonts w:cs="Arial"/>
          <w:i w:val="0"/>
          <w:color w:val="auto"/>
          <w:szCs w:val="20"/>
        </w:rPr>
        <w:t xml:space="preserve"> </w:t>
      </w:r>
      <w:r w:rsidRPr="00601C07">
        <w:rPr>
          <w:i w:val="0"/>
          <w:color w:val="auto"/>
        </w:rPr>
        <w:t>the</w:t>
      </w:r>
      <w:r w:rsidRPr="00601C07">
        <w:rPr>
          <w:color w:val="auto"/>
        </w:rPr>
        <w:t xml:space="preserve"> </w:t>
      </w:r>
      <w:r w:rsidR="007C3E84" w:rsidRPr="00D35E14">
        <w:rPr>
          <w:rFonts w:cs="Arial"/>
          <w:i w:val="0"/>
          <w:color w:val="auto"/>
          <w:szCs w:val="20"/>
        </w:rPr>
        <w:t xml:space="preserve">ACMA consulted on </w:t>
      </w:r>
      <w:proofErr w:type="gramStart"/>
      <w:r w:rsidR="007C3E84" w:rsidRPr="00D35E14">
        <w:rPr>
          <w:rFonts w:cs="Arial"/>
          <w:i w:val="0"/>
          <w:color w:val="auto"/>
          <w:szCs w:val="20"/>
        </w:rPr>
        <w:t xml:space="preserve">a </w:t>
      </w:r>
      <w:r w:rsidR="00796908" w:rsidRPr="00D35E14">
        <w:rPr>
          <w:rFonts w:cs="Arial"/>
          <w:i w:val="0"/>
          <w:color w:val="auto"/>
          <w:szCs w:val="20"/>
        </w:rPr>
        <w:t>number</w:t>
      </w:r>
      <w:r w:rsidR="00796908">
        <w:rPr>
          <w:rFonts w:cs="Arial"/>
          <w:i w:val="0"/>
          <w:color w:val="auto"/>
          <w:szCs w:val="20"/>
        </w:rPr>
        <w:t xml:space="preserve"> of</w:t>
      </w:r>
      <w:proofErr w:type="gramEnd"/>
      <w:r w:rsidR="00796908" w:rsidRPr="00D35E14">
        <w:rPr>
          <w:rFonts w:cs="Arial"/>
          <w:i w:val="0"/>
          <w:color w:val="auto"/>
          <w:szCs w:val="20"/>
        </w:rPr>
        <w:t xml:space="preserve"> </w:t>
      </w:r>
      <w:r w:rsidR="007C3E84" w:rsidRPr="00D35E14">
        <w:rPr>
          <w:rFonts w:cs="Arial"/>
          <w:i w:val="0"/>
          <w:color w:val="auto"/>
          <w:szCs w:val="20"/>
        </w:rPr>
        <w:t>matters</w:t>
      </w:r>
      <w:r w:rsidR="004E3361">
        <w:rPr>
          <w:rFonts w:cs="Arial"/>
          <w:i w:val="0"/>
          <w:color w:val="auto"/>
          <w:szCs w:val="20"/>
        </w:rPr>
        <w:t>,</w:t>
      </w:r>
      <w:r w:rsidR="007C3E84" w:rsidRPr="00D35E14">
        <w:rPr>
          <w:rFonts w:cs="Arial"/>
          <w:i w:val="0"/>
          <w:color w:val="auto"/>
          <w:szCs w:val="20"/>
        </w:rPr>
        <w:t xml:space="preserve"> </w:t>
      </w:r>
      <w:r w:rsidR="00157B12" w:rsidRPr="00D35E14">
        <w:rPr>
          <w:rFonts w:cs="Arial"/>
          <w:i w:val="0"/>
          <w:color w:val="auto"/>
          <w:szCs w:val="20"/>
        </w:rPr>
        <w:t>including:</w:t>
      </w:r>
    </w:p>
    <w:p w14:paraId="259DF722" w14:textId="3B7252A8" w:rsidR="005C2BF4" w:rsidRPr="005D74A1" w:rsidRDefault="002F2054" w:rsidP="0045658C">
      <w:pPr>
        <w:pStyle w:val="ListBullet"/>
      </w:pPr>
      <w:r>
        <w:t>p</w:t>
      </w:r>
      <w:r w:rsidR="003A5E07">
        <w:t xml:space="preserve">roposed </w:t>
      </w:r>
      <w:r w:rsidR="00E0754D" w:rsidRPr="005D74A1">
        <w:t xml:space="preserve">ACLC </w:t>
      </w:r>
      <w:r w:rsidR="003A5E07">
        <w:t xml:space="preserve">for the </w:t>
      </w:r>
      <w:r w:rsidR="00E0754D" w:rsidRPr="005D74A1">
        <w:t>2017</w:t>
      </w:r>
      <w:r w:rsidR="00E74157">
        <w:t>–</w:t>
      </w:r>
      <w:r w:rsidR="00E0754D" w:rsidRPr="005D74A1">
        <w:t>18</w:t>
      </w:r>
      <w:r w:rsidR="003A5E07">
        <w:t xml:space="preserve"> financial year</w:t>
      </w:r>
    </w:p>
    <w:p w14:paraId="09C1FB2D" w14:textId="2BD9C482" w:rsidR="00157B12" w:rsidRPr="005D74A1" w:rsidRDefault="00E0754D" w:rsidP="005C2BF4">
      <w:pPr>
        <w:pStyle w:val="ListBullet"/>
      </w:pPr>
      <w:r w:rsidRPr="005D74A1">
        <w:t>NBN rules</w:t>
      </w:r>
      <w:r w:rsidR="008D4578">
        <w:t>—</w:t>
      </w:r>
      <w:r w:rsidRPr="005D74A1">
        <w:t>service continuity</w:t>
      </w:r>
    </w:p>
    <w:p w14:paraId="71CDB43A" w14:textId="5C548205" w:rsidR="00963A16" w:rsidRPr="005D74A1" w:rsidRDefault="00E0754D" w:rsidP="0045658C">
      <w:pPr>
        <w:pStyle w:val="ListBullet"/>
      </w:pPr>
      <w:r w:rsidRPr="005D74A1">
        <w:t>NBN migration</w:t>
      </w:r>
      <w:r w:rsidR="008D4578">
        <w:t>—</w:t>
      </w:r>
      <w:r w:rsidRPr="005D74A1">
        <w:t>complaints handling rules</w:t>
      </w:r>
    </w:p>
    <w:p w14:paraId="7B880ED3" w14:textId="310CEF01" w:rsidR="00157B12" w:rsidRPr="005D74A1" w:rsidRDefault="009E783D" w:rsidP="0045658C">
      <w:pPr>
        <w:pStyle w:val="ListBullet"/>
      </w:pPr>
      <w:r w:rsidRPr="005D74A1">
        <w:t>administration of existing legislative and regulatory arrangements</w:t>
      </w:r>
    </w:p>
    <w:p w14:paraId="2DADBB4D" w14:textId="226AE911" w:rsidR="00157B12" w:rsidRPr="005D74A1" w:rsidRDefault="00DB3415" w:rsidP="00391111">
      <w:pPr>
        <w:pStyle w:val="ListBulletLast"/>
      </w:pPr>
      <w:r w:rsidRPr="005D74A1">
        <w:t xml:space="preserve">remaking </w:t>
      </w:r>
      <w:r w:rsidR="00963A16" w:rsidRPr="005D74A1">
        <w:t>certain</w:t>
      </w:r>
      <w:r w:rsidR="00E0307D" w:rsidRPr="005D74A1">
        <w:t xml:space="preserve"> </w:t>
      </w:r>
      <w:r w:rsidRPr="005D74A1">
        <w:t xml:space="preserve">telecommunications </w:t>
      </w:r>
      <w:r w:rsidR="00A65EEA" w:rsidRPr="005D74A1">
        <w:t>legi</w:t>
      </w:r>
      <w:r w:rsidR="00A65EEA">
        <w:t>slative</w:t>
      </w:r>
      <w:r w:rsidRPr="005D74A1">
        <w:t xml:space="preserve"> instruments</w:t>
      </w:r>
      <w:r w:rsidR="00C37EAD" w:rsidRPr="005D74A1">
        <w:t>.</w:t>
      </w:r>
    </w:p>
    <w:p w14:paraId="7CF73C2E" w14:textId="6E24158B" w:rsidR="00821566" w:rsidRPr="00231A0F" w:rsidRDefault="00821566" w:rsidP="00CE6BED">
      <w:pPr>
        <w:spacing w:after="80"/>
      </w:pPr>
      <w:r w:rsidRPr="00231A0F">
        <w:t xml:space="preserve">The ACCC </w:t>
      </w:r>
      <w:r w:rsidR="00A65EEA">
        <w:t xml:space="preserve">also advises that it </w:t>
      </w:r>
      <w:r w:rsidRPr="00231A0F">
        <w:t>has engaged with stakeholders through price</w:t>
      </w:r>
      <w:r w:rsidR="000A64FA">
        <w:t>-</w:t>
      </w:r>
      <w:r w:rsidRPr="00231A0F">
        <w:t>setting consultations and regulatory matters. The key areas of consultation in 201</w:t>
      </w:r>
      <w:r w:rsidR="006B01D1">
        <w:t>7</w:t>
      </w:r>
      <w:r w:rsidR="00E74157">
        <w:t>–</w:t>
      </w:r>
      <w:r w:rsidR="006B01D1">
        <w:t>18 i</w:t>
      </w:r>
      <w:r w:rsidRPr="00231A0F">
        <w:t xml:space="preserve">ncluded:  </w:t>
      </w:r>
    </w:p>
    <w:p w14:paraId="33CCAE4B" w14:textId="5839D67F" w:rsidR="00821566" w:rsidRPr="004E3361" w:rsidRDefault="00821566" w:rsidP="004E3361">
      <w:pPr>
        <w:pStyle w:val="ListBullet"/>
      </w:pPr>
      <w:r w:rsidRPr="004E3361">
        <w:t>promoting competition to ensure an efficiently functioning communications market</w:t>
      </w:r>
    </w:p>
    <w:p w14:paraId="4E473735" w14:textId="3DE6BDDF" w:rsidR="00821566" w:rsidRPr="004E3361" w:rsidRDefault="00821566" w:rsidP="004E3361">
      <w:pPr>
        <w:pStyle w:val="ListBullet"/>
      </w:pPr>
      <w:r w:rsidRPr="004E3361">
        <w:t>regulating access to infrastructure to support continuing competition and efficient investment in fixed</w:t>
      </w:r>
      <w:r w:rsidR="000A64FA">
        <w:t>-</w:t>
      </w:r>
      <w:r w:rsidRPr="004E3361">
        <w:t>line, mobiles and transmission markets while transitioning to the NBN</w:t>
      </w:r>
    </w:p>
    <w:p w14:paraId="1D1DBC6E" w14:textId="580EF7E4" w:rsidR="00821566" w:rsidRPr="00534F91" w:rsidRDefault="00821566" w:rsidP="004E3361">
      <w:pPr>
        <w:pStyle w:val="ListBullet"/>
      </w:pPr>
      <w:r w:rsidRPr="004E3361">
        <w:t>promoting competition through regulation of the NBN and encouraging transparency and</w:t>
      </w:r>
      <w:r w:rsidRPr="00534F91">
        <w:t xml:space="preserve"> appropriate consumer safeguards in the migration to the NBN</w:t>
      </w:r>
    </w:p>
    <w:p w14:paraId="18D28914" w14:textId="77777777" w:rsidR="00D3561C" w:rsidRPr="00D3561C" w:rsidRDefault="00821566" w:rsidP="00ED0289">
      <w:pPr>
        <w:pStyle w:val="ListBulletLast"/>
        <w:rPr>
          <w:szCs w:val="20"/>
        </w:rPr>
      </w:pPr>
      <w:r w:rsidRPr="00534F91">
        <w:t>monitoring industry consolidation and the impact on competition within the communications market</w:t>
      </w:r>
      <w:r w:rsidR="004E3361">
        <w:t>.</w:t>
      </w:r>
    </w:p>
    <w:p w14:paraId="6B1767DB" w14:textId="245EBC8B" w:rsidR="006B01D1" w:rsidRDefault="006B01D1" w:rsidP="00A45642">
      <w:pPr>
        <w:rPr>
          <w:rFonts w:cs="Arial"/>
        </w:rPr>
      </w:pPr>
      <w:r w:rsidRPr="006B01D1">
        <w:rPr>
          <w:rFonts w:cs="Arial"/>
        </w:rPr>
        <w:t xml:space="preserve">As part of maintaining an active involvement with industry, </w:t>
      </w:r>
      <w:r w:rsidR="00601C07">
        <w:rPr>
          <w:rFonts w:cs="Arial"/>
        </w:rPr>
        <w:t>the</w:t>
      </w:r>
      <w:r w:rsidR="00601C07" w:rsidRPr="006B01D1">
        <w:rPr>
          <w:rFonts w:cs="Arial"/>
        </w:rPr>
        <w:t xml:space="preserve"> </w:t>
      </w:r>
      <w:r w:rsidRPr="006B01D1">
        <w:rPr>
          <w:rFonts w:cs="Arial"/>
        </w:rPr>
        <w:t>ACMA provid</w:t>
      </w:r>
      <w:r w:rsidR="00F133BF">
        <w:rPr>
          <w:rFonts w:cs="Arial"/>
        </w:rPr>
        <w:t>ed</w:t>
      </w:r>
      <w:r w:rsidRPr="006B01D1">
        <w:rPr>
          <w:rFonts w:cs="Arial"/>
        </w:rPr>
        <w:t xml:space="preserve"> an opportunity for stakeholders to provide feedback on</w:t>
      </w:r>
      <w:r w:rsidR="00601C07">
        <w:rPr>
          <w:rFonts w:cs="Arial"/>
        </w:rPr>
        <w:t xml:space="preserve"> </w:t>
      </w:r>
      <w:r w:rsidR="00FE4BD2">
        <w:rPr>
          <w:rFonts w:cs="Arial"/>
        </w:rPr>
        <w:t>its</w:t>
      </w:r>
      <w:r w:rsidRPr="006B01D1">
        <w:rPr>
          <w:rFonts w:cs="Arial"/>
        </w:rPr>
        <w:t xml:space="preserve"> ACLC proposal</w:t>
      </w:r>
      <w:r w:rsidR="00E0754D">
        <w:rPr>
          <w:rFonts w:cs="Arial"/>
        </w:rPr>
        <w:t xml:space="preserve"> for 2018</w:t>
      </w:r>
      <w:r w:rsidR="00FE4BD2">
        <w:t>-</w:t>
      </w:r>
      <w:r w:rsidR="00E0754D">
        <w:rPr>
          <w:rFonts w:cs="Arial"/>
        </w:rPr>
        <w:t>19</w:t>
      </w:r>
      <w:r w:rsidRPr="006B01D1">
        <w:rPr>
          <w:rFonts w:cs="Arial"/>
        </w:rPr>
        <w:t>, which involves</w:t>
      </w:r>
      <w:r w:rsidR="00C31952">
        <w:rPr>
          <w:rFonts w:cs="Arial"/>
        </w:rPr>
        <w:t xml:space="preserve"> </w:t>
      </w:r>
      <w:r w:rsidR="00601C07">
        <w:rPr>
          <w:rFonts w:cs="Arial"/>
        </w:rPr>
        <w:t>the</w:t>
      </w:r>
      <w:r w:rsidR="00601C07" w:rsidRPr="006B01D1">
        <w:rPr>
          <w:rFonts w:cs="Arial"/>
        </w:rPr>
        <w:t xml:space="preserve"> </w:t>
      </w:r>
      <w:r w:rsidR="00A65EEA">
        <w:rPr>
          <w:rFonts w:cs="Arial"/>
        </w:rPr>
        <w:t xml:space="preserve">ACMA, the ACCC and the </w:t>
      </w:r>
      <w:r w:rsidR="00A7508A">
        <w:rPr>
          <w:rFonts w:cs="Arial"/>
        </w:rPr>
        <w:t>M</w:t>
      </w:r>
      <w:r w:rsidR="00A65EEA">
        <w:rPr>
          <w:rFonts w:cs="Arial"/>
        </w:rPr>
        <w:t xml:space="preserve">inister </w:t>
      </w:r>
      <w:r w:rsidRPr="006B01D1">
        <w:rPr>
          <w:rFonts w:cs="Arial"/>
        </w:rPr>
        <w:t>making new determinations under section</w:t>
      </w:r>
      <w:r w:rsidR="00A65EEA">
        <w:rPr>
          <w:rFonts w:cs="Arial"/>
        </w:rPr>
        <w:t xml:space="preserve"> 15 of the Act</w:t>
      </w:r>
      <w:r w:rsidRPr="006B01D1">
        <w:rPr>
          <w:rFonts w:cs="Arial"/>
        </w:rPr>
        <w:t>.</w:t>
      </w:r>
    </w:p>
    <w:p w14:paraId="5DA8BBC8" w14:textId="4D5D6125" w:rsidR="00CB6E96" w:rsidRPr="00B74C7F" w:rsidRDefault="00B53F9F" w:rsidP="00501D5F">
      <w:pPr>
        <w:rPr>
          <w:rFonts w:cs="Arial"/>
        </w:rPr>
      </w:pPr>
      <w:r w:rsidRPr="00D63521">
        <w:rPr>
          <w:rFonts w:cs="Arial"/>
        </w:rPr>
        <w:t xml:space="preserve">A consultation paper and a draft version of this CRIS were published on </w:t>
      </w:r>
      <w:r w:rsidR="00601C07">
        <w:rPr>
          <w:rFonts w:cs="Arial"/>
        </w:rPr>
        <w:t>the</w:t>
      </w:r>
      <w:r w:rsidR="00601C07" w:rsidRPr="006B01D1">
        <w:rPr>
          <w:rFonts w:cs="Arial"/>
        </w:rPr>
        <w:t xml:space="preserve"> </w:t>
      </w:r>
      <w:r w:rsidRPr="00D63521">
        <w:rPr>
          <w:rFonts w:cs="Arial"/>
        </w:rPr>
        <w:t xml:space="preserve">ACMA’s website for a four-week period from 22 July 2019 August for public comment. </w:t>
      </w:r>
      <w:r>
        <w:rPr>
          <w:rFonts w:cs="Arial"/>
        </w:rPr>
        <w:t>Telstra provided a submission during consultation. A late</w:t>
      </w:r>
      <w:r w:rsidRPr="00D63521">
        <w:rPr>
          <w:rFonts w:cs="Arial"/>
        </w:rPr>
        <w:t xml:space="preserve"> submission </w:t>
      </w:r>
      <w:r>
        <w:rPr>
          <w:rFonts w:cs="Arial"/>
        </w:rPr>
        <w:t xml:space="preserve">was </w:t>
      </w:r>
      <w:r w:rsidRPr="00D63521">
        <w:rPr>
          <w:rFonts w:cs="Arial"/>
        </w:rPr>
        <w:t>received from Communications Alliance Ltd</w:t>
      </w:r>
      <w:r>
        <w:rPr>
          <w:rFonts w:cs="Arial"/>
        </w:rPr>
        <w:t xml:space="preserve"> on 28 August 2019</w:t>
      </w:r>
      <w:r w:rsidRPr="00D63521">
        <w:rPr>
          <w:rFonts w:cs="Arial"/>
        </w:rPr>
        <w:t xml:space="preserve">. Both submissions raised queries </w:t>
      </w:r>
      <w:r>
        <w:rPr>
          <w:rFonts w:cs="Arial"/>
        </w:rPr>
        <w:t>on</w:t>
      </w:r>
      <w:r w:rsidRPr="00D63521">
        <w:rPr>
          <w:rFonts w:cs="Arial"/>
        </w:rPr>
        <w:t xml:space="preserve"> the need to quantify the benefits of the MBA program and the need for </w:t>
      </w:r>
      <w:r>
        <w:rPr>
          <w:rFonts w:cs="Arial"/>
        </w:rPr>
        <w:t xml:space="preserve">greater clarity </w:t>
      </w:r>
      <w:r w:rsidRPr="00B74C7F">
        <w:rPr>
          <w:rFonts w:cs="Arial"/>
        </w:rPr>
        <w:t>of costs to further improve transparency around the determination of the ACLC</w:t>
      </w:r>
      <w:r w:rsidR="00B74C7F" w:rsidRPr="00B74C7F">
        <w:rPr>
          <w:rFonts w:cs="Arial"/>
        </w:rPr>
        <w:t>.</w:t>
      </w:r>
    </w:p>
    <w:p w14:paraId="6DAB04DC" w14:textId="496909C6" w:rsidR="00AF4312" w:rsidRPr="0088294F" w:rsidRDefault="00AF4312" w:rsidP="00501D5F">
      <w:pPr>
        <w:rPr>
          <w:rFonts w:cs="Arial"/>
        </w:rPr>
      </w:pPr>
      <w:r w:rsidRPr="00B74C7F">
        <w:rPr>
          <w:rFonts w:cs="Arial"/>
        </w:rPr>
        <w:t>A summary of issues or recommendations in relation to the consultation is provided in Attachment D.</w:t>
      </w:r>
    </w:p>
    <w:p w14:paraId="46151F9B" w14:textId="77777777" w:rsidR="00501D5F" w:rsidRDefault="00501D5F" w:rsidP="00A45642">
      <w:pPr>
        <w:rPr>
          <w:rFonts w:cs="Arial"/>
        </w:rPr>
      </w:pPr>
    </w:p>
    <w:p w14:paraId="184A29B2" w14:textId="078738ED" w:rsidR="009E783D" w:rsidRPr="00CC3F4B" w:rsidRDefault="009E783D" w:rsidP="009E783D">
      <w:pPr>
        <w:pStyle w:val="Heading1"/>
      </w:pPr>
      <w:bookmarkStart w:id="139" w:name="_Toc355953992"/>
      <w:bookmarkStart w:id="140" w:name="_Toc385256322"/>
      <w:bookmarkStart w:id="141" w:name="_Toc417990964"/>
      <w:bookmarkStart w:id="142" w:name="_Toc511634406"/>
      <w:bookmarkStart w:id="143" w:name="_Toc26786346"/>
      <w:r>
        <w:lastRenderedPageBreak/>
        <w:t>6</w:t>
      </w:r>
      <w:r w:rsidRPr="00CC3F4B">
        <w:t xml:space="preserve">. </w:t>
      </w:r>
      <w:r w:rsidRPr="00CC3F4B">
        <w:tab/>
        <w:t>F</w:t>
      </w:r>
      <w:bookmarkEnd w:id="139"/>
      <w:r w:rsidRPr="00CC3F4B">
        <w:t xml:space="preserve">inancial </w:t>
      </w:r>
      <w:bookmarkEnd w:id="140"/>
      <w:r>
        <w:t>estimates</w:t>
      </w:r>
      <w:bookmarkEnd w:id="141"/>
      <w:bookmarkEnd w:id="142"/>
      <w:bookmarkEnd w:id="143"/>
    </w:p>
    <w:p w14:paraId="702E424A" w14:textId="169D45DF" w:rsidR="009E783D" w:rsidRDefault="009E783D" w:rsidP="009E783D">
      <w:pPr>
        <w:rPr>
          <w:rFonts w:cs="Arial"/>
          <w:iCs/>
        </w:rPr>
      </w:pPr>
      <w:r w:rsidRPr="00D201AF">
        <w:rPr>
          <w:rFonts w:cs="Arial"/>
          <w:iCs/>
        </w:rPr>
        <w:t xml:space="preserve">Financial estimates for </w:t>
      </w:r>
      <w:r>
        <w:rPr>
          <w:rFonts w:cs="Arial"/>
          <w:iCs/>
        </w:rPr>
        <w:t xml:space="preserve">each component of the ACLC </w:t>
      </w:r>
      <w:r w:rsidR="009164F5">
        <w:rPr>
          <w:rFonts w:cs="Arial"/>
          <w:iCs/>
        </w:rPr>
        <w:t>to be determined under secti</w:t>
      </w:r>
      <w:r w:rsidR="00423662">
        <w:rPr>
          <w:rFonts w:cs="Arial"/>
          <w:iCs/>
        </w:rPr>
        <w:t>on</w:t>
      </w:r>
      <w:r w:rsidR="00B74C7F">
        <w:rPr>
          <w:rFonts w:cs="Arial"/>
          <w:iCs/>
        </w:rPr>
        <w:t> </w:t>
      </w:r>
      <w:r w:rsidR="00423662">
        <w:rPr>
          <w:rFonts w:cs="Arial"/>
          <w:iCs/>
        </w:rPr>
        <w:t xml:space="preserve">15 </w:t>
      </w:r>
      <w:r w:rsidRPr="00D201AF">
        <w:rPr>
          <w:rFonts w:cs="Arial"/>
          <w:iCs/>
        </w:rPr>
        <w:t xml:space="preserve">for </w:t>
      </w:r>
      <w:r>
        <w:rPr>
          <w:rFonts w:cs="Arial"/>
          <w:iCs/>
        </w:rPr>
        <w:t>the financial year 2</w:t>
      </w:r>
      <w:r w:rsidR="00603395">
        <w:rPr>
          <w:rFonts w:cs="Arial"/>
          <w:iCs/>
        </w:rPr>
        <w:t>01</w:t>
      </w:r>
      <w:r w:rsidR="006754FE">
        <w:rPr>
          <w:rFonts w:cs="Arial"/>
          <w:iCs/>
        </w:rPr>
        <w:t>8</w:t>
      </w:r>
      <w:r w:rsidR="005A5B87">
        <w:rPr>
          <w:rFonts w:cs="Arial"/>
          <w:iCs/>
        </w:rPr>
        <w:t>–</w:t>
      </w:r>
      <w:r w:rsidR="00603395">
        <w:rPr>
          <w:rFonts w:cs="Arial"/>
          <w:iCs/>
        </w:rPr>
        <w:t>1</w:t>
      </w:r>
      <w:r w:rsidR="006754FE">
        <w:rPr>
          <w:rFonts w:cs="Arial"/>
          <w:iCs/>
        </w:rPr>
        <w:t>9</w:t>
      </w:r>
      <w:r w:rsidR="00423662">
        <w:rPr>
          <w:rFonts w:cs="Arial"/>
          <w:iCs/>
        </w:rPr>
        <w:t xml:space="preserve"> are provided in Table 18, along with </w:t>
      </w:r>
      <w:r w:rsidR="003A5E07">
        <w:rPr>
          <w:rFonts w:cs="Arial"/>
          <w:iCs/>
        </w:rPr>
        <w:t>forecast</w:t>
      </w:r>
      <w:r w:rsidR="00423662">
        <w:rPr>
          <w:rFonts w:cs="Arial"/>
          <w:iCs/>
        </w:rPr>
        <w:t xml:space="preserve">s </w:t>
      </w:r>
      <w:r w:rsidR="004D246B">
        <w:rPr>
          <w:rFonts w:cs="Arial"/>
          <w:iCs/>
        </w:rPr>
        <w:t xml:space="preserve">over the </w:t>
      </w:r>
      <w:r w:rsidR="00423662">
        <w:rPr>
          <w:rFonts w:cs="Arial"/>
          <w:iCs/>
        </w:rPr>
        <w:t xml:space="preserve">next </w:t>
      </w:r>
      <w:r w:rsidRPr="00D201AF">
        <w:rPr>
          <w:rFonts w:cs="Arial"/>
          <w:iCs/>
        </w:rPr>
        <w:t>three years</w:t>
      </w:r>
      <w:r w:rsidR="00D567BE">
        <w:rPr>
          <w:rFonts w:cs="Arial"/>
          <w:iCs/>
        </w:rPr>
        <w:t xml:space="preserve">. </w:t>
      </w:r>
    </w:p>
    <w:p w14:paraId="4DD0BE7C" w14:textId="5C287EB3" w:rsidR="004140FE" w:rsidRDefault="004140FE" w:rsidP="009E783D">
      <w:pPr>
        <w:rPr>
          <w:rFonts w:cs="Arial"/>
          <w:iCs/>
        </w:rPr>
      </w:pPr>
    </w:p>
    <w:p w14:paraId="18918933" w14:textId="224919C9" w:rsidR="004140FE" w:rsidRDefault="004140FE" w:rsidP="009E783D">
      <w:pPr>
        <w:rPr>
          <w:rFonts w:cs="Arial"/>
          <w:iCs/>
        </w:rPr>
      </w:pPr>
    </w:p>
    <w:p w14:paraId="696EE698" w14:textId="5E91465C" w:rsidR="004140FE" w:rsidRDefault="004140FE" w:rsidP="009E783D">
      <w:pPr>
        <w:rPr>
          <w:rFonts w:cs="Arial"/>
          <w:iCs/>
        </w:rPr>
      </w:pPr>
    </w:p>
    <w:p w14:paraId="06451BE8" w14:textId="244C36A6" w:rsidR="004140FE" w:rsidRDefault="004140FE" w:rsidP="009E783D">
      <w:pPr>
        <w:rPr>
          <w:rFonts w:cs="Arial"/>
          <w:iCs/>
        </w:rPr>
      </w:pPr>
    </w:p>
    <w:p w14:paraId="1AD94DF5" w14:textId="1D9066B4" w:rsidR="004140FE" w:rsidRDefault="004140FE" w:rsidP="009E783D">
      <w:pPr>
        <w:rPr>
          <w:rFonts w:cs="Arial"/>
          <w:iCs/>
        </w:rPr>
      </w:pPr>
    </w:p>
    <w:p w14:paraId="47C0D1CB" w14:textId="4B3D40BF" w:rsidR="004140FE" w:rsidRDefault="004140FE" w:rsidP="009E783D">
      <w:pPr>
        <w:rPr>
          <w:rFonts w:cs="Arial"/>
          <w:iCs/>
        </w:rPr>
      </w:pPr>
    </w:p>
    <w:p w14:paraId="07E9BDBA" w14:textId="2D202FFC" w:rsidR="004140FE" w:rsidRDefault="004140FE" w:rsidP="009E783D">
      <w:pPr>
        <w:rPr>
          <w:rFonts w:cs="Arial"/>
          <w:iCs/>
        </w:rPr>
      </w:pPr>
    </w:p>
    <w:p w14:paraId="46DD9EDA" w14:textId="3F23F5E6" w:rsidR="004140FE" w:rsidRDefault="004140FE" w:rsidP="009E783D">
      <w:pPr>
        <w:rPr>
          <w:rFonts w:cs="Arial"/>
          <w:iCs/>
        </w:rPr>
      </w:pPr>
    </w:p>
    <w:p w14:paraId="619D5730" w14:textId="6C26B616" w:rsidR="004140FE" w:rsidRDefault="004140FE" w:rsidP="009E783D">
      <w:pPr>
        <w:rPr>
          <w:rFonts w:cs="Arial"/>
          <w:iCs/>
        </w:rPr>
      </w:pPr>
    </w:p>
    <w:p w14:paraId="2424482E" w14:textId="1EF1CCA1" w:rsidR="004140FE" w:rsidRDefault="004140FE" w:rsidP="009E783D">
      <w:pPr>
        <w:rPr>
          <w:rFonts w:cs="Arial"/>
          <w:iCs/>
        </w:rPr>
      </w:pPr>
    </w:p>
    <w:p w14:paraId="3D43EDA4" w14:textId="72008C69" w:rsidR="004140FE" w:rsidRDefault="004140FE" w:rsidP="009E783D">
      <w:pPr>
        <w:rPr>
          <w:rFonts w:cs="Arial"/>
          <w:iCs/>
        </w:rPr>
      </w:pPr>
    </w:p>
    <w:p w14:paraId="1A177E33" w14:textId="12512D4B" w:rsidR="004140FE" w:rsidRDefault="004140FE" w:rsidP="009E783D">
      <w:pPr>
        <w:rPr>
          <w:rFonts w:cs="Arial"/>
          <w:iCs/>
        </w:rPr>
      </w:pPr>
    </w:p>
    <w:p w14:paraId="4F4343A7" w14:textId="62873A5A" w:rsidR="004140FE" w:rsidRDefault="004140FE" w:rsidP="009E783D">
      <w:pPr>
        <w:rPr>
          <w:rFonts w:cs="Arial"/>
          <w:iCs/>
        </w:rPr>
      </w:pPr>
    </w:p>
    <w:p w14:paraId="78D682FB" w14:textId="586BD3CA" w:rsidR="004140FE" w:rsidRDefault="004140FE" w:rsidP="009E783D">
      <w:pPr>
        <w:rPr>
          <w:rFonts w:cs="Arial"/>
          <w:iCs/>
        </w:rPr>
      </w:pPr>
    </w:p>
    <w:p w14:paraId="3BA8C8EB" w14:textId="5530C5B9" w:rsidR="004140FE" w:rsidRDefault="004140FE" w:rsidP="009E783D">
      <w:pPr>
        <w:rPr>
          <w:rFonts w:cs="Arial"/>
          <w:iCs/>
        </w:rPr>
      </w:pPr>
    </w:p>
    <w:p w14:paraId="4B1E28B1" w14:textId="5F0BEA03" w:rsidR="004140FE" w:rsidRDefault="004140FE" w:rsidP="009E783D">
      <w:pPr>
        <w:rPr>
          <w:rFonts w:cs="Arial"/>
          <w:iCs/>
        </w:rPr>
      </w:pPr>
    </w:p>
    <w:p w14:paraId="671D5B84" w14:textId="6C4CBC67" w:rsidR="004140FE" w:rsidRDefault="004140FE" w:rsidP="009E783D">
      <w:pPr>
        <w:rPr>
          <w:rFonts w:cs="Arial"/>
          <w:iCs/>
        </w:rPr>
      </w:pPr>
    </w:p>
    <w:p w14:paraId="56E4B95F" w14:textId="1FA85864" w:rsidR="004140FE" w:rsidRDefault="004140FE" w:rsidP="009E783D">
      <w:pPr>
        <w:rPr>
          <w:rFonts w:cs="Arial"/>
          <w:iCs/>
        </w:rPr>
      </w:pPr>
    </w:p>
    <w:p w14:paraId="1853B6DE" w14:textId="5E9B2183" w:rsidR="004140FE" w:rsidRDefault="004140FE" w:rsidP="009E783D">
      <w:pPr>
        <w:rPr>
          <w:rFonts w:cs="Arial"/>
          <w:iCs/>
        </w:rPr>
      </w:pPr>
    </w:p>
    <w:p w14:paraId="006187A5" w14:textId="389D6B61" w:rsidR="004140FE" w:rsidRDefault="004140FE" w:rsidP="009E783D">
      <w:pPr>
        <w:rPr>
          <w:rFonts w:cs="Arial"/>
          <w:iCs/>
        </w:rPr>
      </w:pPr>
    </w:p>
    <w:p w14:paraId="0A2D490D" w14:textId="06582D4D" w:rsidR="004140FE" w:rsidRDefault="004140FE" w:rsidP="009E783D">
      <w:pPr>
        <w:rPr>
          <w:rFonts w:cs="Arial"/>
          <w:iCs/>
        </w:rPr>
      </w:pPr>
    </w:p>
    <w:p w14:paraId="7FCE9193" w14:textId="32B3B3DB" w:rsidR="004140FE" w:rsidRDefault="004140FE" w:rsidP="009E783D">
      <w:pPr>
        <w:rPr>
          <w:rFonts w:cs="Arial"/>
          <w:iCs/>
        </w:rPr>
      </w:pPr>
    </w:p>
    <w:p w14:paraId="3307B15A" w14:textId="492B8689" w:rsidR="004140FE" w:rsidRDefault="004140FE" w:rsidP="009E783D">
      <w:pPr>
        <w:rPr>
          <w:rFonts w:cs="Arial"/>
          <w:iCs/>
        </w:rPr>
      </w:pPr>
    </w:p>
    <w:p w14:paraId="25D5227E" w14:textId="7C9904C0" w:rsidR="004140FE" w:rsidRDefault="004140FE" w:rsidP="009E783D">
      <w:pPr>
        <w:rPr>
          <w:rFonts w:cs="Arial"/>
          <w:iCs/>
        </w:rPr>
      </w:pPr>
    </w:p>
    <w:p w14:paraId="155836CF" w14:textId="77777777" w:rsidR="004140FE" w:rsidRDefault="004140FE" w:rsidP="009E783D">
      <w:pPr>
        <w:rPr>
          <w:rFonts w:cs="Arial"/>
          <w:iCs/>
        </w:rPr>
      </w:pPr>
    </w:p>
    <w:p w14:paraId="39B20CAA" w14:textId="3A6A221F" w:rsidR="000D5F25" w:rsidRPr="00673D1F" w:rsidRDefault="006174BB" w:rsidP="00673D1F">
      <w:pPr>
        <w:pStyle w:val="ACMATableHeader"/>
      </w:pPr>
      <w:r w:rsidRPr="00673D1F">
        <w:lastRenderedPageBreak/>
        <w:t>Financial estimates by activity</w:t>
      </w:r>
    </w:p>
    <w:tbl>
      <w:tblPr>
        <w:tblW w:w="9062" w:type="dxa"/>
        <w:tblLayout w:type="fixed"/>
        <w:tblCellMar>
          <w:top w:w="57" w:type="dxa"/>
          <w:left w:w="57" w:type="dxa"/>
          <w:bottom w:w="57" w:type="dxa"/>
          <w:right w:w="57" w:type="dxa"/>
        </w:tblCellMar>
        <w:tblLook w:val="04A0" w:firstRow="1" w:lastRow="0" w:firstColumn="1" w:lastColumn="0" w:noHBand="0" w:noVBand="1"/>
      </w:tblPr>
      <w:tblGrid>
        <w:gridCol w:w="964"/>
        <w:gridCol w:w="2287"/>
        <w:gridCol w:w="1162"/>
        <w:gridCol w:w="1162"/>
        <w:gridCol w:w="1162"/>
        <w:gridCol w:w="1162"/>
        <w:gridCol w:w="1163"/>
      </w:tblGrid>
      <w:tr w:rsidR="006174BB" w:rsidRPr="005A5B87" w14:paraId="0A1A0327" w14:textId="77777777" w:rsidTr="004140FE">
        <w:trPr>
          <w:trHeight w:val="649"/>
          <w:tblHeader/>
        </w:trPr>
        <w:tc>
          <w:tcPr>
            <w:tcW w:w="964" w:type="dxa"/>
            <w:vMerge w:val="restart"/>
            <w:tcBorders>
              <w:top w:val="single" w:sz="8" w:space="0" w:color="auto"/>
              <w:left w:val="single" w:sz="8" w:space="0" w:color="auto"/>
              <w:bottom w:val="single" w:sz="8" w:space="0" w:color="000000"/>
              <w:right w:val="single" w:sz="8" w:space="0" w:color="FFFFFF" w:themeColor="background1"/>
            </w:tcBorders>
            <w:shd w:val="clear" w:color="000000" w:fill="404040"/>
            <w:hideMark/>
          </w:tcPr>
          <w:p w14:paraId="7E9CB24A" w14:textId="77777777" w:rsidR="006174BB" w:rsidRPr="00CE6BED" w:rsidRDefault="006174BB" w:rsidP="00CE6BED">
            <w:pPr>
              <w:pStyle w:val="TableHeading"/>
              <w:rPr>
                <w:b w:val="0"/>
                <w:color w:val="FFFFFF" w:themeColor="background1"/>
              </w:rPr>
            </w:pPr>
            <w:r w:rsidRPr="00CE6BED">
              <w:rPr>
                <w:color w:val="FFFFFF" w:themeColor="background1"/>
              </w:rPr>
              <w:t>Ref</w:t>
            </w:r>
            <w:r w:rsidR="003F4664" w:rsidRPr="00CE6BED">
              <w:rPr>
                <w:color w:val="FFFFFF" w:themeColor="background1"/>
              </w:rPr>
              <w:t>.</w:t>
            </w:r>
            <w:r w:rsidRPr="00CE6BED">
              <w:rPr>
                <w:color w:val="FFFFFF" w:themeColor="background1"/>
              </w:rPr>
              <w:t xml:space="preserve"> in the Act</w:t>
            </w:r>
          </w:p>
        </w:tc>
        <w:tc>
          <w:tcPr>
            <w:tcW w:w="2287" w:type="dxa"/>
            <w:vMerge w:val="restart"/>
            <w:tcBorders>
              <w:top w:val="single" w:sz="8" w:space="0" w:color="auto"/>
              <w:left w:val="single" w:sz="8" w:space="0" w:color="FFFFFF" w:themeColor="background1"/>
              <w:bottom w:val="single" w:sz="8" w:space="0" w:color="000000"/>
              <w:right w:val="single" w:sz="8" w:space="0" w:color="FFFFFF" w:themeColor="background1"/>
            </w:tcBorders>
            <w:shd w:val="clear" w:color="000000" w:fill="404040"/>
            <w:hideMark/>
          </w:tcPr>
          <w:p w14:paraId="5C70CD99" w14:textId="77777777" w:rsidR="006174BB" w:rsidRPr="00CE6BED" w:rsidRDefault="009737B2" w:rsidP="00CE6BED">
            <w:pPr>
              <w:pStyle w:val="TableHeading"/>
              <w:rPr>
                <w:b w:val="0"/>
                <w:color w:val="FFFFFF" w:themeColor="background1"/>
              </w:rPr>
            </w:pPr>
            <w:r w:rsidRPr="00CE6BED">
              <w:rPr>
                <w:color w:val="FFFFFF" w:themeColor="background1"/>
              </w:rPr>
              <w:t>Component</w:t>
            </w:r>
          </w:p>
        </w:tc>
        <w:tc>
          <w:tcPr>
            <w:tcW w:w="1162" w:type="dxa"/>
            <w:tcBorders>
              <w:top w:val="single" w:sz="8" w:space="0" w:color="auto"/>
              <w:left w:val="single" w:sz="8" w:space="0" w:color="FFFFFF" w:themeColor="background1"/>
              <w:bottom w:val="nil"/>
              <w:right w:val="single" w:sz="8" w:space="0" w:color="FFFFFF" w:themeColor="background1"/>
            </w:tcBorders>
            <w:shd w:val="clear" w:color="000000" w:fill="404040"/>
            <w:hideMark/>
          </w:tcPr>
          <w:p w14:paraId="6E8C4537" w14:textId="3B78366B" w:rsidR="006174BB" w:rsidRPr="00CE6BED" w:rsidRDefault="00603395" w:rsidP="00C13A58">
            <w:pPr>
              <w:pStyle w:val="TableHeading"/>
              <w:rPr>
                <w:b w:val="0"/>
                <w:color w:val="FFFFFF" w:themeColor="background1"/>
              </w:rPr>
            </w:pPr>
            <w:r w:rsidRPr="00CE6BED">
              <w:rPr>
                <w:color w:val="FFFFFF" w:themeColor="background1"/>
              </w:rPr>
              <w:t>201</w:t>
            </w:r>
            <w:r w:rsidR="00E0754D">
              <w:rPr>
                <w:color w:val="FFFFFF" w:themeColor="background1"/>
              </w:rPr>
              <w:t>8</w:t>
            </w:r>
            <w:r w:rsidR="006174BB" w:rsidRPr="00CE6BED">
              <w:rPr>
                <w:color w:val="FFFFFF" w:themeColor="background1"/>
              </w:rPr>
              <w:t>–</w:t>
            </w:r>
            <w:r w:rsidRPr="00CE6BED">
              <w:rPr>
                <w:color w:val="FFFFFF" w:themeColor="background1"/>
              </w:rPr>
              <w:t>1</w:t>
            </w:r>
            <w:r w:rsidR="00E0754D">
              <w:rPr>
                <w:color w:val="FFFFFF" w:themeColor="background1"/>
              </w:rPr>
              <w:t>9</w:t>
            </w:r>
            <w:r w:rsidR="002A7CFA">
              <w:rPr>
                <w:color w:val="FFFFFF" w:themeColor="background1"/>
              </w:rPr>
              <w:t xml:space="preserve"> b</w:t>
            </w:r>
            <w:r w:rsidR="006174BB" w:rsidRPr="00CE6BED">
              <w:rPr>
                <w:color w:val="FFFFFF" w:themeColor="background1"/>
              </w:rPr>
              <w:t>udget</w:t>
            </w:r>
          </w:p>
        </w:tc>
        <w:tc>
          <w:tcPr>
            <w:tcW w:w="1162" w:type="dxa"/>
            <w:tcBorders>
              <w:top w:val="single" w:sz="8" w:space="0" w:color="auto"/>
              <w:left w:val="single" w:sz="8" w:space="0" w:color="FFFFFF" w:themeColor="background1"/>
              <w:bottom w:val="nil"/>
              <w:right w:val="single" w:sz="8" w:space="0" w:color="FFFFFF" w:themeColor="background1"/>
            </w:tcBorders>
            <w:shd w:val="clear" w:color="000000" w:fill="404040"/>
            <w:hideMark/>
          </w:tcPr>
          <w:p w14:paraId="164838A2" w14:textId="3AB07406" w:rsidR="006174BB" w:rsidRPr="00CE6BED" w:rsidRDefault="006174BB" w:rsidP="00C13A58">
            <w:pPr>
              <w:pStyle w:val="TableHeading"/>
              <w:rPr>
                <w:b w:val="0"/>
                <w:color w:val="FFFFFF" w:themeColor="background1"/>
              </w:rPr>
            </w:pPr>
            <w:r w:rsidRPr="00CE6BED">
              <w:rPr>
                <w:color w:val="FFFFFF" w:themeColor="background1"/>
              </w:rPr>
              <w:t>2</w:t>
            </w:r>
            <w:r w:rsidR="00603395" w:rsidRPr="00CE6BED">
              <w:rPr>
                <w:color w:val="FFFFFF" w:themeColor="background1"/>
              </w:rPr>
              <w:t>01</w:t>
            </w:r>
            <w:r w:rsidR="00E0754D">
              <w:rPr>
                <w:color w:val="FFFFFF" w:themeColor="background1"/>
              </w:rPr>
              <w:t>8</w:t>
            </w:r>
            <w:r w:rsidR="00603395" w:rsidRPr="00CE6BED">
              <w:rPr>
                <w:color w:val="FFFFFF" w:themeColor="background1"/>
              </w:rPr>
              <w:t>–1</w:t>
            </w:r>
            <w:r w:rsidR="00E0754D">
              <w:rPr>
                <w:color w:val="FFFFFF" w:themeColor="background1"/>
              </w:rPr>
              <w:t>9</w:t>
            </w:r>
            <w:r w:rsidR="002A7CFA">
              <w:rPr>
                <w:color w:val="FFFFFF" w:themeColor="background1"/>
              </w:rPr>
              <w:t xml:space="preserve"> revised b</w:t>
            </w:r>
            <w:r w:rsidRPr="00CE6BED">
              <w:rPr>
                <w:color w:val="FFFFFF" w:themeColor="background1"/>
              </w:rPr>
              <w:t>udget</w:t>
            </w:r>
          </w:p>
        </w:tc>
        <w:tc>
          <w:tcPr>
            <w:tcW w:w="1162" w:type="dxa"/>
            <w:tcBorders>
              <w:top w:val="single" w:sz="8" w:space="0" w:color="auto"/>
              <w:left w:val="single" w:sz="8" w:space="0" w:color="FFFFFF" w:themeColor="background1"/>
              <w:bottom w:val="nil"/>
              <w:right w:val="single" w:sz="8" w:space="0" w:color="FFFFFF" w:themeColor="background1"/>
            </w:tcBorders>
            <w:shd w:val="clear" w:color="000000" w:fill="404040"/>
            <w:hideMark/>
          </w:tcPr>
          <w:p w14:paraId="6BB156D2" w14:textId="4A7D05C9" w:rsidR="006174BB" w:rsidRPr="00CE6BED" w:rsidRDefault="00603395" w:rsidP="00C13A58">
            <w:pPr>
              <w:pStyle w:val="TableHeading"/>
              <w:rPr>
                <w:b w:val="0"/>
                <w:color w:val="FFFFFF" w:themeColor="background1"/>
              </w:rPr>
            </w:pPr>
            <w:r w:rsidRPr="00CE6BED">
              <w:rPr>
                <w:color w:val="FFFFFF" w:themeColor="background1"/>
              </w:rPr>
              <w:t>201</w:t>
            </w:r>
            <w:r w:rsidR="00E0754D">
              <w:rPr>
                <w:color w:val="FFFFFF" w:themeColor="background1"/>
              </w:rPr>
              <w:t>9</w:t>
            </w:r>
            <w:r w:rsidR="006174BB" w:rsidRPr="00CE6BED">
              <w:rPr>
                <w:color w:val="FFFFFF" w:themeColor="background1"/>
              </w:rPr>
              <w:t>–</w:t>
            </w:r>
            <w:r w:rsidR="00E0754D">
              <w:rPr>
                <w:color w:val="FFFFFF" w:themeColor="background1"/>
              </w:rPr>
              <w:t>20</w:t>
            </w:r>
            <w:r w:rsidR="002A7CFA">
              <w:rPr>
                <w:color w:val="FFFFFF" w:themeColor="background1"/>
              </w:rPr>
              <w:t xml:space="preserve"> b</w:t>
            </w:r>
            <w:r w:rsidR="006174BB" w:rsidRPr="00CE6BED">
              <w:rPr>
                <w:color w:val="FFFFFF" w:themeColor="background1"/>
              </w:rPr>
              <w:t>udget</w:t>
            </w:r>
          </w:p>
        </w:tc>
        <w:tc>
          <w:tcPr>
            <w:tcW w:w="1162" w:type="dxa"/>
            <w:tcBorders>
              <w:top w:val="single" w:sz="8" w:space="0" w:color="auto"/>
              <w:left w:val="single" w:sz="8" w:space="0" w:color="FFFFFF" w:themeColor="background1"/>
              <w:bottom w:val="nil"/>
              <w:right w:val="single" w:sz="8" w:space="0" w:color="FFFFFF" w:themeColor="background1"/>
            </w:tcBorders>
            <w:shd w:val="clear" w:color="000000" w:fill="404040"/>
            <w:hideMark/>
          </w:tcPr>
          <w:p w14:paraId="0D5CAA6E" w14:textId="2C94B786" w:rsidR="006174BB" w:rsidRPr="00CE6BED" w:rsidRDefault="006174BB" w:rsidP="00C13A58">
            <w:pPr>
              <w:pStyle w:val="TableHeading"/>
              <w:rPr>
                <w:b w:val="0"/>
                <w:color w:val="FFFFFF" w:themeColor="background1"/>
              </w:rPr>
            </w:pPr>
            <w:r w:rsidRPr="00CE6BED">
              <w:rPr>
                <w:color w:val="FFFFFF" w:themeColor="background1"/>
              </w:rPr>
              <w:t>2</w:t>
            </w:r>
            <w:r w:rsidR="00603395" w:rsidRPr="00CE6BED">
              <w:rPr>
                <w:color w:val="FFFFFF" w:themeColor="background1"/>
              </w:rPr>
              <w:t>0</w:t>
            </w:r>
            <w:r w:rsidR="00E0754D">
              <w:rPr>
                <w:color w:val="FFFFFF" w:themeColor="background1"/>
              </w:rPr>
              <w:t>20</w:t>
            </w:r>
            <w:r w:rsidRPr="00CE6BED">
              <w:rPr>
                <w:color w:val="FFFFFF" w:themeColor="background1"/>
              </w:rPr>
              <w:t>–</w:t>
            </w:r>
            <w:r w:rsidR="000269F7">
              <w:rPr>
                <w:color w:val="FFFFFF" w:themeColor="background1"/>
              </w:rPr>
              <w:t>2</w:t>
            </w:r>
            <w:r w:rsidR="00E0754D">
              <w:rPr>
                <w:color w:val="FFFFFF" w:themeColor="background1"/>
              </w:rPr>
              <w:t>1</w:t>
            </w:r>
            <w:r w:rsidR="002A7CFA">
              <w:rPr>
                <w:color w:val="FFFFFF" w:themeColor="background1"/>
              </w:rPr>
              <w:t xml:space="preserve"> b</w:t>
            </w:r>
            <w:r w:rsidRPr="00CE6BED">
              <w:rPr>
                <w:color w:val="FFFFFF" w:themeColor="background1"/>
              </w:rPr>
              <w:t>udget</w:t>
            </w:r>
          </w:p>
        </w:tc>
        <w:tc>
          <w:tcPr>
            <w:tcW w:w="1163" w:type="dxa"/>
            <w:tcBorders>
              <w:top w:val="single" w:sz="8" w:space="0" w:color="auto"/>
              <w:left w:val="single" w:sz="8" w:space="0" w:color="FFFFFF" w:themeColor="background1"/>
              <w:bottom w:val="nil"/>
              <w:right w:val="single" w:sz="8" w:space="0" w:color="auto"/>
            </w:tcBorders>
            <w:shd w:val="clear" w:color="000000" w:fill="404040"/>
            <w:hideMark/>
          </w:tcPr>
          <w:p w14:paraId="3703066B" w14:textId="3E444EBD" w:rsidR="006174BB" w:rsidRPr="00CE6BED" w:rsidRDefault="000269F7" w:rsidP="00C13A58">
            <w:pPr>
              <w:pStyle w:val="TableHeading"/>
              <w:rPr>
                <w:b w:val="0"/>
                <w:color w:val="FFFFFF" w:themeColor="background1"/>
              </w:rPr>
            </w:pPr>
            <w:r>
              <w:rPr>
                <w:color w:val="FFFFFF" w:themeColor="background1"/>
              </w:rPr>
              <w:t>202</w:t>
            </w:r>
            <w:r w:rsidR="00E0754D">
              <w:rPr>
                <w:color w:val="FFFFFF" w:themeColor="background1"/>
              </w:rPr>
              <w:t>1</w:t>
            </w:r>
            <w:r w:rsidR="006174BB" w:rsidRPr="00CE6BED">
              <w:rPr>
                <w:color w:val="FFFFFF" w:themeColor="background1"/>
              </w:rPr>
              <w:t>–</w:t>
            </w:r>
            <w:r>
              <w:rPr>
                <w:color w:val="FFFFFF" w:themeColor="background1"/>
              </w:rPr>
              <w:t>2</w:t>
            </w:r>
            <w:r w:rsidR="00E0754D">
              <w:rPr>
                <w:color w:val="FFFFFF" w:themeColor="background1"/>
              </w:rPr>
              <w:t>2</w:t>
            </w:r>
            <w:r w:rsidR="002A7CFA">
              <w:rPr>
                <w:color w:val="FFFFFF" w:themeColor="background1"/>
              </w:rPr>
              <w:t xml:space="preserve"> b</w:t>
            </w:r>
            <w:r w:rsidR="006174BB" w:rsidRPr="00CE6BED">
              <w:rPr>
                <w:color w:val="FFFFFF" w:themeColor="background1"/>
              </w:rPr>
              <w:t>udget</w:t>
            </w:r>
          </w:p>
        </w:tc>
      </w:tr>
      <w:tr w:rsidR="006174BB" w:rsidRPr="005A5B87" w14:paraId="66205D7A" w14:textId="77777777" w:rsidTr="00720C38">
        <w:trPr>
          <w:trHeight w:val="237"/>
          <w:tblHeader/>
        </w:trPr>
        <w:tc>
          <w:tcPr>
            <w:tcW w:w="964" w:type="dxa"/>
            <w:vMerge/>
            <w:tcBorders>
              <w:top w:val="single" w:sz="8" w:space="0" w:color="auto"/>
              <w:left w:val="single" w:sz="8" w:space="0" w:color="auto"/>
              <w:bottom w:val="single" w:sz="8" w:space="0" w:color="000000"/>
              <w:right w:val="single" w:sz="8" w:space="0" w:color="FFFFFF" w:themeColor="background1"/>
            </w:tcBorders>
            <w:hideMark/>
          </w:tcPr>
          <w:p w14:paraId="22F79F33" w14:textId="77777777" w:rsidR="006174BB" w:rsidRPr="00CE6BED" w:rsidRDefault="006174BB" w:rsidP="00CE6BED">
            <w:pPr>
              <w:pStyle w:val="TableHeading"/>
              <w:rPr>
                <w:b w:val="0"/>
                <w:color w:val="FFFFFF" w:themeColor="background1"/>
              </w:rPr>
            </w:pPr>
          </w:p>
        </w:tc>
        <w:tc>
          <w:tcPr>
            <w:tcW w:w="2287" w:type="dxa"/>
            <w:vMerge/>
            <w:tcBorders>
              <w:top w:val="single" w:sz="8" w:space="0" w:color="auto"/>
              <w:left w:val="single" w:sz="8" w:space="0" w:color="FFFFFF" w:themeColor="background1"/>
              <w:bottom w:val="single" w:sz="8" w:space="0" w:color="000000"/>
              <w:right w:val="single" w:sz="8" w:space="0" w:color="FFFFFF" w:themeColor="background1"/>
            </w:tcBorders>
            <w:hideMark/>
          </w:tcPr>
          <w:p w14:paraId="10A32B91" w14:textId="77777777" w:rsidR="006174BB" w:rsidRPr="00CE6BED" w:rsidRDefault="006174BB" w:rsidP="00CE6BED">
            <w:pPr>
              <w:pStyle w:val="TableHeading"/>
              <w:rPr>
                <w:b w:val="0"/>
                <w:color w:val="FFFFFF" w:themeColor="background1"/>
              </w:rPr>
            </w:pPr>
          </w:p>
        </w:tc>
        <w:tc>
          <w:tcPr>
            <w:tcW w:w="1162" w:type="dxa"/>
            <w:tcBorders>
              <w:top w:val="nil"/>
              <w:left w:val="single" w:sz="8" w:space="0" w:color="FFFFFF" w:themeColor="background1"/>
              <w:bottom w:val="single" w:sz="8" w:space="0" w:color="auto"/>
              <w:right w:val="single" w:sz="8" w:space="0" w:color="FFFFFF" w:themeColor="background1"/>
            </w:tcBorders>
            <w:shd w:val="clear" w:color="000000" w:fill="404040"/>
            <w:hideMark/>
          </w:tcPr>
          <w:p w14:paraId="5ECB0A74" w14:textId="77777777" w:rsidR="006174BB" w:rsidRPr="00CE6BED" w:rsidRDefault="006174BB" w:rsidP="00C13A58">
            <w:pPr>
              <w:pStyle w:val="TableHeading"/>
              <w:rPr>
                <w:b w:val="0"/>
                <w:color w:val="FFFFFF" w:themeColor="background1"/>
              </w:rPr>
            </w:pPr>
            <w:r w:rsidRPr="00CE6BED">
              <w:rPr>
                <w:color w:val="FFFFFF" w:themeColor="background1"/>
              </w:rPr>
              <w:t>($million)</w:t>
            </w:r>
          </w:p>
        </w:tc>
        <w:tc>
          <w:tcPr>
            <w:tcW w:w="1162" w:type="dxa"/>
            <w:tcBorders>
              <w:top w:val="nil"/>
              <w:left w:val="single" w:sz="8" w:space="0" w:color="FFFFFF" w:themeColor="background1"/>
              <w:bottom w:val="single" w:sz="8" w:space="0" w:color="auto"/>
              <w:right w:val="single" w:sz="8" w:space="0" w:color="FFFFFF" w:themeColor="background1"/>
            </w:tcBorders>
            <w:shd w:val="clear" w:color="000000" w:fill="404040"/>
            <w:hideMark/>
          </w:tcPr>
          <w:p w14:paraId="2E5CE77F" w14:textId="77777777" w:rsidR="006174BB" w:rsidRPr="00CE6BED" w:rsidRDefault="006174BB" w:rsidP="00C13A58">
            <w:pPr>
              <w:pStyle w:val="TableHeading"/>
              <w:rPr>
                <w:b w:val="0"/>
                <w:color w:val="FFFFFF" w:themeColor="background1"/>
              </w:rPr>
            </w:pPr>
            <w:r w:rsidRPr="00CE6BED">
              <w:rPr>
                <w:color w:val="FFFFFF" w:themeColor="background1"/>
              </w:rPr>
              <w:t>($million)</w:t>
            </w:r>
          </w:p>
        </w:tc>
        <w:tc>
          <w:tcPr>
            <w:tcW w:w="1162" w:type="dxa"/>
            <w:tcBorders>
              <w:top w:val="nil"/>
              <w:left w:val="single" w:sz="8" w:space="0" w:color="FFFFFF" w:themeColor="background1"/>
              <w:bottom w:val="single" w:sz="8" w:space="0" w:color="auto"/>
              <w:right w:val="single" w:sz="8" w:space="0" w:color="FFFFFF" w:themeColor="background1"/>
            </w:tcBorders>
            <w:shd w:val="clear" w:color="000000" w:fill="404040"/>
            <w:hideMark/>
          </w:tcPr>
          <w:p w14:paraId="3D29C76E" w14:textId="77777777" w:rsidR="006174BB" w:rsidRPr="00CE6BED" w:rsidRDefault="006174BB" w:rsidP="00C13A58">
            <w:pPr>
              <w:pStyle w:val="TableHeading"/>
              <w:rPr>
                <w:b w:val="0"/>
                <w:color w:val="FFFFFF" w:themeColor="background1"/>
              </w:rPr>
            </w:pPr>
            <w:r w:rsidRPr="00CE6BED">
              <w:rPr>
                <w:color w:val="FFFFFF" w:themeColor="background1"/>
              </w:rPr>
              <w:t>($million)</w:t>
            </w:r>
          </w:p>
        </w:tc>
        <w:tc>
          <w:tcPr>
            <w:tcW w:w="1162" w:type="dxa"/>
            <w:tcBorders>
              <w:top w:val="nil"/>
              <w:left w:val="single" w:sz="8" w:space="0" w:color="FFFFFF" w:themeColor="background1"/>
              <w:bottom w:val="single" w:sz="8" w:space="0" w:color="auto"/>
              <w:right w:val="single" w:sz="8" w:space="0" w:color="FFFFFF" w:themeColor="background1"/>
            </w:tcBorders>
            <w:shd w:val="clear" w:color="000000" w:fill="404040"/>
            <w:hideMark/>
          </w:tcPr>
          <w:p w14:paraId="06D4AE11" w14:textId="77777777" w:rsidR="006174BB" w:rsidRPr="00CE6BED" w:rsidRDefault="006174BB" w:rsidP="00C13A58">
            <w:pPr>
              <w:pStyle w:val="TableHeading"/>
              <w:rPr>
                <w:b w:val="0"/>
                <w:color w:val="FFFFFF" w:themeColor="background1"/>
              </w:rPr>
            </w:pPr>
            <w:r w:rsidRPr="00CE6BED">
              <w:rPr>
                <w:color w:val="FFFFFF" w:themeColor="background1"/>
              </w:rPr>
              <w:t>($million)</w:t>
            </w:r>
          </w:p>
        </w:tc>
        <w:tc>
          <w:tcPr>
            <w:tcW w:w="1163" w:type="dxa"/>
            <w:tcBorders>
              <w:top w:val="nil"/>
              <w:left w:val="single" w:sz="8" w:space="0" w:color="FFFFFF" w:themeColor="background1"/>
              <w:bottom w:val="single" w:sz="8" w:space="0" w:color="auto"/>
              <w:right w:val="single" w:sz="8" w:space="0" w:color="auto"/>
            </w:tcBorders>
            <w:shd w:val="clear" w:color="000000" w:fill="404040"/>
            <w:hideMark/>
          </w:tcPr>
          <w:p w14:paraId="28267341" w14:textId="77777777" w:rsidR="006174BB" w:rsidRPr="00CE6BED" w:rsidRDefault="006174BB" w:rsidP="00C13A58">
            <w:pPr>
              <w:pStyle w:val="TableHeading"/>
              <w:rPr>
                <w:b w:val="0"/>
                <w:color w:val="FFFFFF" w:themeColor="background1"/>
              </w:rPr>
            </w:pPr>
            <w:r w:rsidRPr="00CE6BED">
              <w:rPr>
                <w:color w:val="FFFFFF" w:themeColor="background1"/>
              </w:rPr>
              <w:t>($million)</w:t>
            </w:r>
          </w:p>
        </w:tc>
      </w:tr>
      <w:tr w:rsidR="00FF03BF" w:rsidRPr="005A5B87" w14:paraId="1096A671" w14:textId="77777777" w:rsidTr="00391111">
        <w:trPr>
          <w:trHeight w:val="242"/>
          <w:tblHeader/>
        </w:trPr>
        <w:tc>
          <w:tcPr>
            <w:tcW w:w="964" w:type="dxa"/>
            <w:tcBorders>
              <w:top w:val="nil"/>
              <w:left w:val="single" w:sz="8" w:space="0" w:color="auto"/>
              <w:bottom w:val="single" w:sz="8" w:space="0" w:color="auto"/>
              <w:right w:val="single" w:sz="8" w:space="0" w:color="auto"/>
            </w:tcBorders>
            <w:shd w:val="clear" w:color="auto" w:fill="auto"/>
            <w:hideMark/>
          </w:tcPr>
          <w:p w14:paraId="02AEFB7F" w14:textId="77777777" w:rsidR="00FF03BF" w:rsidRPr="00687A04" w:rsidRDefault="00FF03BF" w:rsidP="00FF03BF">
            <w:pPr>
              <w:spacing w:after="0" w:line="240" w:lineRule="auto"/>
              <w:rPr>
                <w:rFonts w:cs="Arial"/>
                <w:color w:val="000000"/>
                <w:szCs w:val="20"/>
              </w:rPr>
            </w:pPr>
            <w:r w:rsidRPr="00687A04">
              <w:rPr>
                <w:rFonts w:cs="Arial"/>
                <w:color w:val="000000"/>
                <w:szCs w:val="20"/>
              </w:rPr>
              <w:t>15(1)(a)</w:t>
            </w:r>
          </w:p>
        </w:tc>
        <w:tc>
          <w:tcPr>
            <w:tcW w:w="2287" w:type="dxa"/>
            <w:tcBorders>
              <w:top w:val="nil"/>
              <w:left w:val="nil"/>
              <w:bottom w:val="single" w:sz="8" w:space="0" w:color="auto"/>
              <w:right w:val="single" w:sz="8" w:space="0" w:color="auto"/>
            </w:tcBorders>
            <w:shd w:val="clear" w:color="auto" w:fill="auto"/>
            <w:hideMark/>
          </w:tcPr>
          <w:p w14:paraId="0DF2F960" w14:textId="09306816" w:rsidR="00FF03BF" w:rsidRPr="00687A04" w:rsidRDefault="00FF03BF" w:rsidP="00FF03BF">
            <w:pPr>
              <w:spacing w:after="0" w:line="240" w:lineRule="auto"/>
              <w:rPr>
                <w:rFonts w:cs="Arial"/>
                <w:color w:val="000000"/>
                <w:szCs w:val="20"/>
              </w:rPr>
            </w:pPr>
            <w:r w:rsidRPr="00687A04">
              <w:rPr>
                <w:rFonts w:cs="Arial"/>
                <w:color w:val="000000"/>
                <w:szCs w:val="20"/>
              </w:rPr>
              <w:t xml:space="preserve">ACMA </w:t>
            </w:r>
            <w:r w:rsidR="00423662">
              <w:rPr>
                <w:rFonts w:cs="Arial"/>
                <w:color w:val="000000"/>
                <w:szCs w:val="20"/>
              </w:rPr>
              <w:t xml:space="preserve">telecommunications </w:t>
            </w:r>
            <w:r w:rsidRPr="00687A04">
              <w:rPr>
                <w:rFonts w:cs="Arial"/>
                <w:color w:val="000000"/>
                <w:szCs w:val="20"/>
              </w:rPr>
              <w:t>expenses</w:t>
            </w:r>
          </w:p>
        </w:tc>
        <w:tc>
          <w:tcPr>
            <w:tcW w:w="1162" w:type="dxa"/>
            <w:tcBorders>
              <w:top w:val="nil"/>
              <w:left w:val="nil"/>
              <w:bottom w:val="single" w:sz="8" w:space="0" w:color="auto"/>
              <w:right w:val="single" w:sz="8" w:space="0" w:color="auto"/>
            </w:tcBorders>
            <w:shd w:val="clear" w:color="auto" w:fill="auto"/>
          </w:tcPr>
          <w:p w14:paraId="3D55A13C" w14:textId="208E6A37" w:rsidR="00FF03BF" w:rsidRPr="00687A04" w:rsidRDefault="00FF03BF" w:rsidP="00C13A58">
            <w:pPr>
              <w:spacing w:after="0" w:line="240" w:lineRule="auto"/>
              <w:rPr>
                <w:rFonts w:cs="Arial"/>
                <w:color w:val="000000"/>
                <w:szCs w:val="20"/>
              </w:rPr>
            </w:pPr>
            <w:r w:rsidRPr="00C12EDE">
              <w:t>14.304</w:t>
            </w:r>
          </w:p>
        </w:tc>
        <w:tc>
          <w:tcPr>
            <w:tcW w:w="1162" w:type="dxa"/>
            <w:tcBorders>
              <w:top w:val="nil"/>
              <w:left w:val="nil"/>
              <w:bottom w:val="single" w:sz="8" w:space="0" w:color="auto"/>
              <w:right w:val="single" w:sz="8" w:space="0" w:color="auto"/>
            </w:tcBorders>
            <w:shd w:val="clear" w:color="auto" w:fill="auto"/>
          </w:tcPr>
          <w:p w14:paraId="19173E9C" w14:textId="0C783434" w:rsidR="00FF03BF" w:rsidRPr="00687A04" w:rsidRDefault="00FF03BF" w:rsidP="00C13A58">
            <w:pPr>
              <w:spacing w:after="0" w:line="240" w:lineRule="auto"/>
              <w:rPr>
                <w:rFonts w:cs="Arial"/>
                <w:color w:val="000000"/>
                <w:szCs w:val="20"/>
              </w:rPr>
            </w:pPr>
            <w:r w:rsidRPr="0071518E">
              <w:t>13.398</w:t>
            </w:r>
          </w:p>
        </w:tc>
        <w:tc>
          <w:tcPr>
            <w:tcW w:w="1162" w:type="dxa"/>
            <w:tcBorders>
              <w:top w:val="nil"/>
              <w:left w:val="nil"/>
              <w:bottom w:val="single" w:sz="8" w:space="0" w:color="auto"/>
              <w:right w:val="single" w:sz="8" w:space="0" w:color="auto"/>
            </w:tcBorders>
            <w:shd w:val="clear" w:color="auto" w:fill="auto"/>
          </w:tcPr>
          <w:p w14:paraId="2BC9A8E9" w14:textId="265EF289" w:rsidR="00FF03BF" w:rsidRPr="00687A04" w:rsidRDefault="00FF03BF" w:rsidP="00C13A58">
            <w:pPr>
              <w:spacing w:after="0" w:line="240" w:lineRule="auto"/>
              <w:rPr>
                <w:rFonts w:cs="Arial"/>
                <w:color w:val="000000"/>
                <w:szCs w:val="20"/>
              </w:rPr>
            </w:pPr>
            <w:r w:rsidRPr="00DB7D06">
              <w:t>15.933</w:t>
            </w:r>
          </w:p>
        </w:tc>
        <w:tc>
          <w:tcPr>
            <w:tcW w:w="1162" w:type="dxa"/>
            <w:tcBorders>
              <w:top w:val="nil"/>
              <w:left w:val="nil"/>
              <w:bottom w:val="single" w:sz="8" w:space="0" w:color="auto"/>
              <w:right w:val="single" w:sz="8" w:space="0" w:color="auto"/>
            </w:tcBorders>
            <w:shd w:val="clear" w:color="auto" w:fill="auto"/>
          </w:tcPr>
          <w:p w14:paraId="7261BBFF" w14:textId="6F4DEFB0" w:rsidR="00FF03BF" w:rsidRPr="00687A04" w:rsidRDefault="00FF03BF" w:rsidP="00C13A58">
            <w:pPr>
              <w:spacing w:after="0" w:line="240" w:lineRule="auto"/>
              <w:rPr>
                <w:rFonts w:cs="Arial"/>
                <w:color w:val="000000"/>
                <w:szCs w:val="20"/>
              </w:rPr>
            </w:pPr>
            <w:r w:rsidRPr="00367C44">
              <w:t>15.252</w:t>
            </w:r>
          </w:p>
        </w:tc>
        <w:tc>
          <w:tcPr>
            <w:tcW w:w="1163" w:type="dxa"/>
            <w:tcBorders>
              <w:top w:val="nil"/>
              <w:left w:val="nil"/>
              <w:bottom w:val="single" w:sz="8" w:space="0" w:color="auto"/>
              <w:right w:val="single" w:sz="8" w:space="0" w:color="auto"/>
            </w:tcBorders>
            <w:shd w:val="clear" w:color="auto" w:fill="auto"/>
          </w:tcPr>
          <w:p w14:paraId="2A761F2C" w14:textId="0A15F726" w:rsidR="00FF03BF" w:rsidRPr="00687A04" w:rsidRDefault="00FF03BF" w:rsidP="00C13A58">
            <w:pPr>
              <w:spacing w:after="0" w:line="240" w:lineRule="auto"/>
              <w:rPr>
                <w:rFonts w:cs="Arial"/>
                <w:color w:val="000000"/>
                <w:szCs w:val="20"/>
              </w:rPr>
            </w:pPr>
            <w:r w:rsidRPr="00ED39BC">
              <w:t>14.815</w:t>
            </w:r>
          </w:p>
        </w:tc>
      </w:tr>
      <w:tr w:rsidR="00FF03BF" w:rsidRPr="005A5B87" w14:paraId="791A5D4A" w14:textId="77777777" w:rsidTr="00391111">
        <w:trPr>
          <w:trHeight w:val="162"/>
          <w:tblHeader/>
        </w:trPr>
        <w:tc>
          <w:tcPr>
            <w:tcW w:w="964" w:type="dxa"/>
            <w:tcBorders>
              <w:top w:val="nil"/>
              <w:left w:val="single" w:sz="8" w:space="0" w:color="auto"/>
              <w:bottom w:val="single" w:sz="8" w:space="0" w:color="auto"/>
              <w:right w:val="single" w:sz="8" w:space="0" w:color="auto"/>
            </w:tcBorders>
            <w:shd w:val="clear" w:color="auto" w:fill="auto"/>
            <w:hideMark/>
          </w:tcPr>
          <w:p w14:paraId="7E7BED27" w14:textId="77777777" w:rsidR="00FF03BF" w:rsidRPr="00687A04" w:rsidRDefault="00FF03BF" w:rsidP="00FF03BF">
            <w:pPr>
              <w:spacing w:after="0" w:line="240" w:lineRule="auto"/>
              <w:rPr>
                <w:rFonts w:cs="Arial"/>
                <w:color w:val="000000"/>
                <w:szCs w:val="20"/>
              </w:rPr>
            </w:pPr>
            <w:r w:rsidRPr="00687A04">
              <w:rPr>
                <w:rFonts w:cs="Arial"/>
                <w:color w:val="000000"/>
                <w:szCs w:val="20"/>
              </w:rPr>
              <w:t>15(1)(b)</w:t>
            </w:r>
          </w:p>
        </w:tc>
        <w:tc>
          <w:tcPr>
            <w:tcW w:w="2287" w:type="dxa"/>
            <w:tcBorders>
              <w:top w:val="nil"/>
              <w:left w:val="nil"/>
              <w:bottom w:val="single" w:sz="8" w:space="0" w:color="auto"/>
              <w:right w:val="single" w:sz="8" w:space="0" w:color="auto"/>
            </w:tcBorders>
            <w:shd w:val="clear" w:color="auto" w:fill="auto"/>
            <w:hideMark/>
          </w:tcPr>
          <w:p w14:paraId="7345E288" w14:textId="7AD268BC" w:rsidR="00FF03BF" w:rsidRPr="00687A04" w:rsidRDefault="00FF03BF" w:rsidP="00FF03BF">
            <w:pPr>
              <w:spacing w:after="0" w:line="240" w:lineRule="auto"/>
              <w:rPr>
                <w:rFonts w:cs="Arial"/>
                <w:color w:val="000000"/>
                <w:szCs w:val="20"/>
              </w:rPr>
            </w:pPr>
            <w:r w:rsidRPr="00687A04">
              <w:rPr>
                <w:rFonts w:cs="Arial"/>
                <w:color w:val="000000"/>
                <w:szCs w:val="20"/>
              </w:rPr>
              <w:t xml:space="preserve">ACCC </w:t>
            </w:r>
            <w:r w:rsidR="00423662">
              <w:rPr>
                <w:rFonts w:cs="Arial"/>
                <w:color w:val="000000"/>
                <w:szCs w:val="20"/>
              </w:rPr>
              <w:t xml:space="preserve">telecommunications </w:t>
            </w:r>
            <w:r w:rsidRPr="00687A04">
              <w:rPr>
                <w:rFonts w:cs="Arial"/>
                <w:color w:val="000000"/>
                <w:szCs w:val="20"/>
              </w:rPr>
              <w:t xml:space="preserve">expenses </w:t>
            </w:r>
          </w:p>
        </w:tc>
        <w:tc>
          <w:tcPr>
            <w:tcW w:w="1162" w:type="dxa"/>
            <w:tcBorders>
              <w:top w:val="nil"/>
              <w:left w:val="nil"/>
              <w:bottom w:val="single" w:sz="8" w:space="0" w:color="auto"/>
              <w:right w:val="single" w:sz="8" w:space="0" w:color="auto"/>
            </w:tcBorders>
            <w:shd w:val="clear" w:color="auto" w:fill="auto"/>
          </w:tcPr>
          <w:p w14:paraId="5B1074DD" w14:textId="5ABADCD5" w:rsidR="00FF03BF" w:rsidRPr="00687A04" w:rsidRDefault="00FF03BF" w:rsidP="00C13A58">
            <w:pPr>
              <w:spacing w:after="0" w:line="240" w:lineRule="auto"/>
              <w:rPr>
                <w:rFonts w:cs="Arial"/>
                <w:color w:val="000000"/>
                <w:szCs w:val="20"/>
              </w:rPr>
            </w:pPr>
            <w:r w:rsidRPr="00C12EDE">
              <w:t>11.849</w:t>
            </w:r>
          </w:p>
        </w:tc>
        <w:tc>
          <w:tcPr>
            <w:tcW w:w="1162" w:type="dxa"/>
            <w:tcBorders>
              <w:top w:val="nil"/>
              <w:left w:val="nil"/>
              <w:bottom w:val="single" w:sz="8" w:space="0" w:color="auto"/>
              <w:right w:val="single" w:sz="8" w:space="0" w:color="auto"/>
            </w:tcBorders>
            <w:shd w:val="clear" w:color="auto" w:fill="auto"/>
          </w:tcPr>
          <w:p w14:paraId="21602D0F" w14:textId="4ECF3B4C" w:rsidR="00FF03BF" w:rsidRPr="00687A04" w:rsidRDefault="00FF03BF" w:rsidP="00C13A58">
            <w:pPr>
              <w:spacing w:after="0" w:line="240" w:lineRule="auto"/>
              <w:rPr>
                <w:rFonts w:cs="Arial"/>
                <w:color w:val="000000"/>
                <w:szCs w:val="20"/>
              </w:rPr>
            </w:pPr>
            <w:r w:rsidRPr="0071518E">
              <w:t>11.472</w:t>
            </w:r>
          </w:p>
        </w:tc>
        <w:tc>
          <w:tcPr>
            <w:tcW w:w="1162" w:type="dxa"/>
            <w:tcBorders>
              <w:top w:val="nil"/>
              <w:left w:val="nil"/>
              <w:bottom w:val="single" w:sz="8" w:space="0" w:color="auto"/>
              <w:right w:val="single" w:sz="8" w:space="0" w:color="auto"/>
            </w:tcBorders>
            <w:shd w:val="clear" w:color="auto" w:fill="auto"/>
          </w:tcPr>
          <w:p w14:paraId="01AD6C13" w14:textId="2F009274" w:rsidR="00FF03BF" w:rsidRPr="00687A04" w:rsidRDefault="00FF03BF" w:rsidP="00C13A58">
            <w:pPr>
              <w:spacing w:after="0" w:line="240" w:lineRule="auto"/>
              <w:rPr>
                <w:rFonts w:cs="Arial"/>
                <w:color w:val="000000"/>
                <w:szCs w:val="20"/>
              </w:rPr>
            </w:pPr>
            <w:r w:rsidRPr="00DB7D06">
              <w:t>11.472</w:t>
            </w:r>
          </w:p>
        </w:tc>
        <w:tc>
          <w:tcPr>
            <w:tcW w:w="1162" w:type="dxa"/>
            <w:tcBorders>
              <w:top w:val="nil"/>
              <w:left w:val="nil"/>
              <w:bottom w:val="single" w:sz="8" w:space="0" w:color="auto"/>
              <w:right w:val="single" w:sz="8" w:space="0" w:color="auto"/>
            </w:tcBorders>
            <w:shd w:val="clear" w:color="auto" w:fill="auto"/>
          </w:tcPr>
          <w:p w14:paraId="7517BD49" w14:textId="0E2A0A81" w:rsidR="00FF03BF" w:rsidRPr="00687A04" w:rsidRDefault="00FF03BF" w:rsidP="00C13A58">
            <w:pPr>
              <w:spacing w:after="0" w:line="240" w:lineRule="auto"/>
              <w:rPr>
                <w:rFonts w:cs="Arial"/>
                <w:color w:val="000000"/>
                <w:szCs w:val="20"/>
              </w:rPr>
            </w:pPr>
            <w:r w:rsidRPr="00367C44">
              <w:t>11.472</w:t>
            </w:r>
          </w:p>
        </w:tc>
        <w:tc>
          <w:tcPr>
            <w:tcW w:w="1163" w:type="dxa"/>
            <w:tcBorders>
              <w:top w:val="nil"/>
              <w:left w:val="nil"/>
              <w:bottom w:val="single" w:sz="8" w:space="0" w:color="auto"/>
              <w:right w:val="single" w:sz="8" w:space="0" w:color="auto"/>
            </w:tcBorders>
            <w:shd w:val="clear" w:color="auto" w:fill="auto"/>
          </w:tcPr>
          <w:p w14:paraId="2AC5960E" w14:textId="19E7DE9A" w:rsidR="00FF03BF" w:rsidRPr="00687A04" w:rsidRDefault="00FF03BF" w:rsidP="00C13A58">
            <w:pPr>
              <w:spacing w:after="0" w:line="240" w:lineRule="auto"/>
              <w:rPr>
                <w:rFonts w:cs="Arial"/>
                <w:color w:val="000000"/>
                <w:szCs w:val="20"/>
              </w:rPr>
            </w:pPr>
            <w:r w:rsidRPr="00ED39BC">
              <w:t>11.472</w:t>
            </w:r>
          </w:p>
        </w:tc>
      </w:tr>
      <w:tr w:rsidR="00FF03BF" w:rsidRPr="005A5B87" w14:paraId="7A87412E" w14:textId="77777777" w:rsidTr="00391111">
        <w:trPr>
          <w:trHeight w:val="252"/>
          <w:tblHeader/>
        </w:trPr>
        <w:tc>
          <w:tcPr>
            <w:tcW w:w="964" w:type="dxa"/>
            <w:tcBorders>
              <w:top w:val="nil"/>
              <w:left w:val="single" w:sz="8" w:space="0" w:color="auto"/>
              <w:bottom w:val="single" w:sz="8" w:space="0" w:color="auto"/>
              <w:right w:val="single" w:sz="8" w:space="0" w:color="auto"/>
            </w:tcBorders>
            <w:shd w:val="clear" w:color="auto" w:fill="auto"/>
            <w:hideMark/>
          </w:tcPr>
          <w:p w14:paraId="0379E7A8" w14:textId="77777777" w:rsidR="00FF03BF" w:rsidRPr="00FB1B4D" w:rsidRDefault="00FF03BF" w:rsidP="00FF03BF">
            <w:pPr>
              <w:spacing w:after="0" w:line="240" w:lineRule="auto"/>
              <w:rPr>
                <w:rFonts w:cs="Arial"/>
                <w:color w:val="000000"/>
                <w:szCs w:val="20"/>
              </w:rPr>
            </w:pPr>
            <w:r w:rsidRPr="00FB1B4D">
              <w:rPr>
                <w:rFonts w:cs="Arial"/>
                <w:color w:val="000000"/>
                <w:szCs w:val="20"/>
              </w:rPr>
              <w:t>15(1)(c)</w:t>
            </w:r>
          </w:p>
        </w:tc>
        <w:tc>
          <w:tcPr>
            <w:tcW w:w="2287" w:type="dxa"/>
            <w:tcBorders>
              <w:top w:val="nil"/>
              <w:left w:val="nil"/>
              <w:bottom w:val="single" w:sz="8" w:space="0" w:color="auto"/>
              <w:right w:val="single" w:sz="8" w:space="0" w:color="auto"/>
            </w:tcBorders>
            <w:shd w:val="clear" w:color="auto" w:fill="auto"/>
            <w:hideMark/>
          </w:tcPr>
          <w:p w14:paraId="76B8D099" w14:textId="2A8E36E8" w:rsidR="00FF03BF" w:rsidRPr="00FB1B4D" w:rsidRDefault="00423662" w:rsidP="00FF03BF">
            <w:pPr>
              <w:spacing w:after="0" w:line="240" w:lineRule="auto"/>
              <w:rPr>
                <w:rFonts w:cs="Arial"/>
                <w:color w:val="000000"/>
                <w:szCs w:val="20"/>
              </w:rPr>
            </w:pPr>
            <w:r>
              <w:rPr>
                <w:rFonts w:cs="Arial"/>
                <w:color w:val="000000"/>
                <w:szCs w:val="20"/>
              </w:rPr>
              <w:t xml:space="preserve">Commonwealth’s </w:t>
            </w:r>
            <w:r w:rsidR="00FF03BF" w:rsidRPr="00FB1B4D">
              <w:rPr>
                <w:rFonts w:cs="Arial"/>
                <w:color w:val="000000"/>
                <w:szCs w:val="20"/>
              </w:rPr>
              <w:t>ITU contribution</w:t>
            </w:r>
          </w:p>
        </w:tc>
        <w:tc>
          <w:tcPr>
            <w:tcW w:w="1162" w:type="dxa"/>
            <w:tcBorders>
              <w:top w:val="nil"/>
              <w:left w:val="nil"/>
              <w:bottom w:val="single" w:sz="8" w:space="0" w:color="auto"/>
              <w:right w:val="single" w:sz="8" w:space="0" w:color="auto"/>
            </w:tcBorders>
            <w:shd w:val="clear" w:color="auto" w:fill="auto"/>
          </w:tcPr>
          <w:p w14:paraId="2B27831B" w14:textId="7956EDDC" w:rsidR="00FF03BF" w:rsidRPr="00FB1B4D" w:rsidRDefault="00FF03BF" w:rsidP="00C13A58">
            <w:pPr>
              <w:spacing w:after="0" w:line="240" w:lineRule="auto"/>
              <w:rPr>
                <w:rFonts w:cs="Arial"/>
                <w:color w:val="000000"/>
                <w:szCs w:val="20"/>
              </w:rPr>
            </w:pPr>
            <w:r w:rsidRPr="00C12EDE">
              <w:t>2.161</w:t>
            </w:r>
          </w:p>
        </w:tc>
        <w:tc>
          <w:tcPr>
            <w:tcW w:w="1162" w:type="dxa"/>
            <w:tcBorders>
              <w:top w:val="nil"/>
              <w:left w:val="nil"/>
              <w:bottom w:val="single" w:sz="8" w:space="0" w:color="auto"/>
              <w:right w:val="single" w:sz="8" w:space="0" w:color="auto"/>
            </w:tcBorders>
            <w:shd w:val="clear" w:color="auto" w:fill="auto"/>
          </w:tcPr>
          <w:p w14:paraId="25DD70A9" w14:textId="711EBF5C" w:rsidR="00FF03BF" w:rsidRPr="00FB1B4D" w:rsidRDefault="00FF03BF" w:rsidP="00C13A58">
            <w:pPr>
              <w:spacing w:after="0" w:line="240" w:lineRule="auto"/>
              <w:rPr>
                <w:rFonts w:cs="Arial"/>
                <w:color w:val="000000"/>
                <w:szCs w:val="20"/>
              </w:rPr>
            </w:pPr>
            <w:r w:rsidRPr="0071518E">
              <w:t>2.228</w:t>
            </w:r>
          </w:p>
        </w:tc>
        <w:tc>
          <w:tcPr>
            <w:tcW w:w="1162" w:type="dxa"/>
            <w:tcBorders>
              <w:top w:val="nil"/>
              <w:left w:val="nil"/>
              <w:bottom w:val="single" w:sz="8" w:space="0" w:color="auto"/>
              <w:right w:val="single" w:sz="8" w:space="0" w:color="auto"/>
            </w:tcBorders>
            <w:shd w:val="clear" w:color="auto" w:fill="auto"/>
          </w:tcPr>
          <w:p w14:paraId="3B37D2AB" w14:textId="303B61BD" w:rsidR="00FF03BF" w:rsidRPr="00FB1B4D" w:rsidRDefault="00FF03BF" w:rsidP="00C13A58">
            <w:pPr>
              <w:spacing w:after="0" w:line="240" w:lineRule="auto"/>
              <w:rPr>
                <w:rFonts w:cs="Arial"/>
                <w:color w:val="000000"/>
                <w:szCs w:val="20"/>
              </w:rPr>
            </w:pPr>
            <w:r w:rsidRPr="00DB7D06">
              <w:t>2.239</w:t>
            </w:r>
          </w:p>
        </w:tc>
        <w:tc>
          <w:tcPr>
            <w:tcW w:w="1162" w:type="dxa"/>
            <w:tcBorders>
              <w:top w:val="nil"/>
              <w:left w:val="nil"/>
              <w:bottom w:val="single" w:sz="8" w:space="0" w:color="auto"/>
              <w:right w:val="single" w:sz="8" w:space="0" w:color="auto"/>
            </w:tcBorders>
            <w:shd w:val="clear" w:color="auto" w:fill="auto"/>
          </w:tcPr>
          <w:p w14:paraId="6799CAB4" w14:textId="53931152" w:rsidR="00FF03BF" w:rsidRPr="00FB1B4D" w:rsidRDefault="00FF03BF" w:rsidP="00C13A58">
            <w:pPr>
              <w:spacing w:after="0" w:line="240" w:lineRule="auto"/>
              <w:rPr>
                <w:rFonts w:cs="Arial"/>
                <w:color w:val="000000"/>
                <w:szCs w:val="20"/>
              </w:rPr>
            </w:pPr>
            <w:r w:rsidRPr="00367C44">
              <w:t>2.246</w:t>
            </w:r>
          </w:p>
        </w:tc>
        <w:tc>
          <w:tcPr>
            <w:tcW w:w="1163" w:type="dxa"/>
            <w:tcBorders>
              <w:top w:val="nil"/>
              <w:left w:val="nil"/>
              <w:bottom w:val="single" w:sz="8" w:space="0" w:color="auto"/>
              <w:right w:val="single" w:sz="8" w:space="0" w:color="auto"/>
            </w:tcBorders>
            <w:shd w:val="clear" w:color="auto" w:fill="auto"/>
          </w:tcPr>
          <w:p w14:paraId="12023A67" w14:textId="72AFEAD4" w:rsidR="00FF03BF" w:rsidRPr="00FB1B4D" w:rsidRDefault="00FF03BF" w:rsidP="00C13A58">
            <w:pPr>
              <w:spacing w:after="0" w:line="240" w:lineRule="auto"/>
              <w:rPr>
                <w:rFonts w:cs="Arial"/>
                <w:color w:val="000000"/>
                <w:szCs w:val="20"/>
              </w:rPr>
            </w:pPr>
            <w:r w:rsidRPr="00ED39BC">
              <w:t>2.288</w:t>
            </w:r>
          </w:p>
        </w:tc>
      </w:tr>
      <w:tr w:rsidR="00FF03BF" w:rsidRPr="005A5B87" w14:paraId="4F3FA656" w14:textId="77777777" w:rsidTr="00391111">
        <w:trPr>
          <w:trHeight w:val="456"/>
          <w:tblHeader/>
        </w:trPr>
        <w:tc>
          <w:tcPr>
            <w:tcW w:w="964" w:type="dxa"/>
            <w:tcBorders>
              <w:top w:val="nil"/>
              <w:left w:val="single" w:sz="8" w:space="0" w:color="auto"/>
              <w:bottom w:val="single" w:sz="8" w:space="0" w:color="auto"/>
              <w:right w:val="single" w:sz="8" w:space="0" w:color="auto"/>
            </w:tcBorders>
            <w:shd w:val="clear" w:color="auto" w:fill="auto"/>
          </w:tcPr>
          <w:p w14:paraId="31DC71A8" w14:textId="77777777" w:rsidR="00FF03BF" w:rsidRPr="00687A04" w:rsidRDefault="00FF03BF" w:rsidP="00FF03BF">
            <w:pPr>
              <w:spacing w:after="0" w:line="240" w:lineRule="auto"/>
              <w:rPr>
                <w:rFonts w:cs="Arial"/>
                <w:color w:val="000000"/>
                <w:szCs w:val="20"/>
              </w:rPr>
            </w:pPr>
            <w:r w:rsidRPr="00687A04">
              <w:rPr>
                <w:rFonts w:cs="Arial"/>
                <w:color w:val="000000"/>
                <w:szCs w:val="20"/>
              </w:rPr>
              <w:t>15(</w:t>
            </w:r>
            <w:proofErr w:type="gramStart"/>
            <w:r w:rsidRPr="00687A04">
              <w:rPr>
                <w:rFonts w:cs="Arial"/>
                <w:color w:val="000000"/>
                <w:szCs w:val="20"/>
              </w:rPr>
              <w:t>1)(</w:t>
            </w:r>
            <w:proofErr w:type="gramEnd"/>
            <w:r w:rsidRPr="00687A04">
              <w:rPr>
                <w:rFonts w:cs="Arial"/>
                <w:color w:val="000000"/>
                <w:szCs w:val="20"/>
              </w:rPr>
              <w:t>ca)</w:t>
            </w:r>
          </w:p>
        </w:tc>
        <w:tc>
          <w:tcPr>
            <w:tcW w:w="2287" w:type="dxa"/>
            <w:tcBorders>
              <w:top w:val="nil"/>
              <w:left w:val="nil"/>
              <w:bottom w:val="single" w:sz="8" w:space="0" w:color="auto"/>
              <w:right w:val="single" w:sz="8" w:space="0" w:color="auto"/>
            </w:tcBorders>
            <w:shd w:val="clear" w:color="auto" w:fill="auto"/>
          </w:tcPr>
          <w:p w14:paraId="7100FBE4" w14:textId="2CDD3348" w:rsidR="00FF03BF" w:rsidRPr="00687A04" w:rsidRDefault="00423662" w:rsidP="00F133BF">
            <w:pPr>
              <w:spacing w:after="0" w:line="240" w:lineRule="auto"/>
              <w:rPr>
                <w:rFonts w:cs="Arial"/>
                <w:color w:val="000000"/>
                <w:szCs w:val="20"/>
              </w:rPr>
            </w:pPr>
            <w:r>
              <w:rPr>
                <w:rFonts w:cs="Arial"/>
                <w:color w:val="000000"/>
                <w:szCs w:val="20"/>
              </w:rPr>
              <w:t xml:space="preserve">Amounts </w:t>
            </w:r>
            <w:r w:rsidR="00F133BF">
              <w:rPr>
                <w:rFonts w:cs="Arial"/>
                <w:color w:val="000000"/>
                <w:szCs w:val="20"/>
              </w:rPr>
              <w:t xml:space="preserve">reimbursed </w:t>
            </w:r>
            <w:r>
              <w:rPr>
                <w:rFonts w:cs="Arial"/>
                <w:color w:val="000000"/>
                <w:szCs w:val="20"/>
              </w:rPr>
              <w:t>to industry groups for d</w:t>
            </w:r>
            <w:r w:rsidR="00FF03BF" w:rsidRPr="00687A04">
              <w:rPr>
                <w:rFonts w:cs="Arial"/>
                <w:color w:val="000000"/>
                <w:szCs w:val="20"/>
              </w:rPr>
              <w:t xml:space="preserve">evelopment </w:t>
            </w:r>
            <w:r w:rsidR="00FF03BF">
              <w:rPr>
                <w:rFonts w:cs="Arial"/>
                <w:color w:val="000000"/>
                <w:szCs w:val="20"/>
              </w:rPr>
              <w:t xml:space="preserve">or variation </w:t>
            </w:r>
            <w:r w:rsidR="00FF03BF" w:rsidRPr="00687A04">
              <w:rPr>
                <w:rFonts w:cs="Arial"/>
                <w:color w:val="000000"/>
                <w:szCs w:val="20"/>
              </w:rPr>
              <w:t>of consumer protection related industry codes</w:t>
            </w:r>
          </w:p>
        </w:tc>
        <w:tc>
          <w:tcPr>
            <w:tcW w:w="1162" w:type="dxa"/>
            <w:tcBorders>
              <w:top w:val="nil"/>
              <w:left w:val="nil"/>
              <w:bottom w:val="single" w:sz="8" w:space="0" w:color="auto"/>
              <w:right w:val="single" w:sz="8" w:space="0" w:color="auto"/>
            </w:tcBorders>
            <w:shd w:val="clear" w:color="auto" w:fill="auto"/>
          </w:tcPr>
          <w:p w14:paraId="4DCC4D11" w14:textId="16F00AE8" w:rsidR="00FF03BF" w:rsidRPr="006C513A" w:rsidRDefault="00FF03BF" w:rsidP="00C13A58">
            <w:pPr>
              <w:spacing w:after="0" w:line="240" w:lineRule="auto"/>
              <w:rPr>
                <w:rFonts w:cs="Arial"/>
                <w:color w:val="000000"/>
                <w:szCs w:val="20"/>
              </w:rPr>
            </w:pPr>
            <w:r w:rsidRPr="00C12EDE">
              <w:t>0.300</w:t>
            </w:r>
          </w:p>
        </w:tc>
        <w:tc>
          <w:tcPr>
            <w:tcW w:w="1162" w:type="dxa"/>
            <w:tcBorders>
              <w:top w:val="nil"/>
              <w:left w:val="nil"/>
              <w:bottom w:val="single" w:sz="8" w:space="0" w:color="auto"/>
              <w:right w:val="single" w:sz="8" w:space="0" w:color="auto"/>
            </w:tcBorders>
            <w:shd w:val="clear" w:color="auto" w:fill="auto"/>
          </w:tcPr>
          <w:p w14:paraId="31B56D1A" w14:textId="43A01DA3" w:rsidR="00FF03BF" w:rsidRPr="006C513A" w:rsidRDefault="00FF03BF" w:rsidP="00C13A58">
            <w:pPr>
              <w:spacing w:after="0" w:line="240" w:lineRule="auto"/>
              <w:rPr>
                <w:rFonts w:cs="Arial"/>
                <w:color w:val="000000"/>
                <w:szCs w:val="20"/>
              </w:rPr>
            </w:pPr>
            <w:r w:rsidRPr="0071518E">
              <w:t>0.300</w:t>
            </w:r>
          </w:p>
        </w:tc>
        <w:tc>
          <w:tcPr>
            <w:tcW w:w="1162" w:type="dxa"/>
            <w:tcBorders>
              <w:top w:val="nil"/>
              <w:left w:val="nil"/>
              <w:bottom w:val="single" w:sz="8" w:space="0" w:color="auto"/>
              <w:right w:val="single" w:sz="8" w:space="0" w:color="auto"/>
            </w:tcBorders>
            <w:shd w:val="clear" w:color="auto" w:fill="auto"/>
          </w:tcPr>
          <w:p w14:paraId="182755D1" w14:textId="71216E97" w:rsidR="00FF03BF" w:rsidRPr="006C513A" w:rsidRDefault="00FF03BF" w:rsidP="00C13A58">
            <w:pPr>
              <w:spacing w:after="0" w:line="240" w:lineRule="auto"/>
              <w:rPr>
                <w:rFonts w:cs="Arial"/>
                <w:color w:val="000000"/>
                <w:szCs w:val="20"/>
              </w:rPr>
            </w:pPr>
            <w:r w:rsidRPr="00DB7D06">
              <w:t>0.300</w:t>
            </w:r>
          </w:p>
        </w:tc>
        <w:tc>
          <w:tcPr>
            <w:tcW w:w="1162" w:type="dxa"/>
            <w:tcBorders>
              <w:top w:val="nil"/>
              <w:left w:val="nil"/>
              <w:bottom w:val="single" w:sz="8" w:space="0" w:color="auto"/>
              <w:right w:val="single" w:sz="8" w:space="0" w:color="auto"/>
            </w:tcBorders>
            <w:shd w:val="clear" w:color="auto" w:fill="auto"/>
          </w:tcPr>
          <w:p w14:paraId="3813DE76" w14:textId="4C0C6934" w:rsidR="00FF03BF" w:rsidRPr="006C513A" w:rsidRDefault="00FF03BF" w:rsidP="00C13A58">
            <w:pPr>
              <w:spacing w:after="0" w:line="240" w:lineRule="auto"/>
              <w:rPr>
                <w:rFonts w:cs="Arial"/>
                <w:color w:val="000000"/>
                <w:szCs w:val="20"/>
              </w:rPr>
            </w:pPr>
            <w:r w:rsidRPr="00367C44">
              <w:t>0.300</w:t>
            </w:r>
          </w:p>
        </w:tc>
        <w:tc>
          <w:tcPr>
            <w:tcW w:w="1163" w:type="dxa"/>
            <w:tcBorders>
              <w:top w:val="nil"/>
              <w:left w:val="nil"/>
              <w:bottom w:val="single" w:sz="8" w:space="0" w:color="auto"/>
              <w:right w:val="single" w:sz="8" w:space="0" w:color="auto"/>
            </w:tcBorders>
            <w:shd w:val="clear" w:color="auto" w:fill="auto"/>
          </w:tcPr>
          <w:p w14:paraId="6D4A1CCC" w14:textId="61D0C305" w:rsidR="00FF03BF" w:rsidRPr="006C513A" w:rsidRDefault="00FF03BF" w:rsidP="00C13A58">
            <w:pPr>
              <w:spacing w:after="0" w:line="240" w:lineRule="auto"/>
              <w:rPr>
                <w:rFonts w:cs="Arial"/>
                <w:color w:val="000000"/>
                <w:szCs w:val="20"/>
              </w:rPr>
            </w:pPr>
            <w:r w:rsidRPr="00ED39BC">
              <w:t>0.300</w:t>
            </w:r>
          </w:p>
        </w:tc>
      </w:tr>
      <w:tr w:rsidR="00FF03BF" w:rsidRPr="005A5B87" w14:paraId="3E75625B" w14:textId="77777777" w:rsidTr="00FE218D">
        <w:trPr>
          <w:trHeight w:val="525"/>
          <w:tblHeader/>
        </w:trPr>
        <w:tc>
          <w:tcPr>
            <w:tcW w:w="964" w:type="dxa"/>
            <w:tcBorders>
              <w:top w:val="nil"/>
              <w:left w:val="single" w:sz="8" w:space="0" w:color="auto"/>
              <w:bottom w:val="single" w:sz="8" w:space="0" w:color="auto"/>
              <w:right w:val="single" w:sz="8" w:space="0" w:color="auto"/>
            </w:tcBorders>
            <w:shd w:val="clear" w:color="auto" w:fill="auto"/>
            <w:hideMark/>
          </w:tcPr>
          <w:p w14:paraId="57DCFE31" w14:textId="77777777" w:rsidR="00FF03BF" w:rsidRPr="00687A04" w:rsidRDefault="00FF03BF" w:rsidP="00FF03BF">
            <w:pPr>
              <w:spacing w:after="0" w:line="240" w:lineRule="auto"/>
              <w:rPr>
                <w:rFonts w:cs="Arial"/>
                <w:color w:val="000000"/>
                <w:szCs w:val="20"/>
              </w:rPr>
            </w:pPr>
            <w:r w:rsidRPr="00687A04">
              <w:rPr>
                <w:rFonts w:cs="Arial"/>
                <w:color w:val="000000"/>
                <w:szCs w:val="20"/>
              </w:rPr>
              <w:t>15(1)(d)</w:t>
            </w:r>
          </w:p>
        </w:tc>
        <w:tc>
          <w:tcPr>
            <w:tcW w:w="2287" w:type="dxa"/>
            <w:tcBorders>
              <w:top w:val="nil"/>
              <w:left w:val="nil"/>
              <w:bottom w:val="single" w:sz="8" w:space="0" w:color="auto"/>
              <w:right w:val="single" w:sz="8" w:space="0" w:color="auto"/>
            </w:tcBorders>
            <w:shd w:val="clear" w:color="auto" w:fill="auto"/>
            <w:hideMark/>
          </w:tcPr>
          <w:p w14:paraId="54108C8B" w14:textId="7B802D00" w:rsidR="00FF03BF" w:rsidRPr="00120B54" w:rsidRDefault="00423662" w:rsidP="00FF03BF">
            <w:pPr>
              <w:spacing w:after="0" w:line="240" w:lineRule="auto"/>
              <w:rPr>
                <w:rFonts w:cs="Arial"/>
                <w:color w:val="000000"/>
                <w:szCs w:val="20"/>
              </w:rPr>
            </w:pPr>
            <w:r>
              <w:rPr>
                <w:rFonts w:cs="Arial"/>
                <w:color w:val="000000"/>
                <w:szCs w:val="20"/>
              </w:rPr>
              <w:t>Estimated g</w:t>
            </w:r>
            <w:r w:rsidR="00FF03BF" w:rsidRPr="00120B54">
              <w:rPr>
                <w:rFonts w:cs="Arial"/>
                <w:color w:val="000000"/>
                <w:szCs w:val="20"/>
              </w:rPr>
              <w:t>overnment grants—consumer representation and research</w:t>
            </w:r>
          </w:p>
        </w:tc>
        <w:tc>
          <w:tcPr>
            <w:tcW w:w="1162" w:type="dxa"/>
            <w:tcBorders>
              <w:top w:val="nil"/>
              <w:left w:val="nil"/>
              <w:bottom w:val="single" w:sz="8" w:space="0" w:color="auto"/>
              <w:right w:val="single" w:sz="8" w:space="0" w:color="auto"/>
            </w:tcBorders>
          </w:tcPr>
          <w:p w14:paraId="19EC9C2C" w14:textId="3B024A13" w:rsidR="00FF03BF" w:rsidRPr="00687A04" w:rsidRDefault="00FF03BF" w:rsidP="00C13A58">
            <w:pPr>
              <w:spacing w:after="0" w:line="240" w:lineRule="auto"/>
              <w:rPr>
                <w:rFonts w:cs="Arial"/>
                <w:color w:val="000000"/>
                <w:szCs w:val="20"/>
              </w:rPr>
            </w:pPr>
            <w:r w:rsidRPr="00C12EDE">
              <w:t>2.296</w:t>
            </w:r>
          </w:p>
        </w:tc>
        <w:tc>
          <w:tcPr>
            <w:tcW w:w="1162" w:type="dxa"/>
            <w:tcBorders>
              <w:top w:val="nil"/>
              <w:left w:val="nil"/>
              <w:bottom w:val="single" w:sz="8" w:space="0" w:color="auto"/>
              <w:right w:val="single" w:sz="8" w:space="0" w:color="auto"/>
            </w:tcBorders>
          </w:tcPr>
          <w:p w14:paraId="252FF823" w14:textId="73E9DC3C" w:rsidR="00FF03BF" w:rsidRPr="00687A04" w:rsidRDefault="00FF03BF" w:rsidP="00C13A58">
            <w:pPr>
              <w:spacing w:after="0" w:line="240" w:lineRule="auto"/>
              <w:rPr>
                <w:rFonts w:cs="Arial"/>
                <w:color w:val="000000"/>
                <w:szCs w:val="20"/>
              </w:rPr>
            </w:pPr>
            <w:r w:rsidRPr="0071518E">
              <w:t>2.296</w:t>
            </w:r>
          </w:p>
        </w:tc>
        <w:tc>
          <w:tcPr>
            <w:tcW w:w="1162" w:type="dxa"/>
            <w:tcBorders>
              <w:top w:val="nil"/>
              <w:left w:val="nil"/>
              <w:bottom w:val="single" w:sz="8" w:space="0" w:color="auto"/>
              <w:right w:val="single" w:sz="8" w:space="0" w:color="auto"/>
            </w:tcBorders>
          </w:tcPr>
          <w:p w14:paraId="3C4F1A60" w14:textId="55280316" w:rsidR="00FF03BF" w:rsidRPr="00687A04" w:rsidRDefault="00FF03BF" w:rsidP="00C13A58">
            <w:pPr>
              <w:spacing w:after="0" w:line="240" w:lineRule="auto"/>
              <w:rPr>
                <w:rFonts w:cs="Arial"/>
                <w:color w:val="000000"/>
                <w:szCs w:val="20"/>
              </w:rPr>
            </w:pPr>
            <w:r w:rsidRPr="00DB7D06">
              <w:t>2.324</w:t>
            </w:r>
          </w:p>
        </w:tc>
        <w:tc>
          <w:tcPr>
            <w:tcW w:w="1162" w:type="dxa"/>
            <w:tcBorders>
              <w:top w:val="nil"/>
              <w:left w:val="nil"/>
              <w:bottom w:val="single" w:sz="8" w:space="0" w:color="auto"/>
              <w:right w:val="single" w:sz="8" w:space="0" w:color="auto"/>
            </w:tcBorders>
          </w:tcPr>
          <w:p w14:paraId="41B3AF8A" w14:textId="3A5D646C" w:rsidR="00FF03BF" w:rsidRPr="00687A04" w:rsidRDefault="00FF03BF" w:rsidP="00C13A58">
            <w:pPr>
              <w:spacing w:after="0" w:line="240" w:lineRule="auto"/>
              <w:rPr>
                <w:rFonts w:cs="Arial"/>
                <w:color w:val="000000"/>
                <w:szCs w:val="20"/>
              </w:rPr>
            </w:pPr>
            <w:r w:rsidRPr="00367C44">
              <w:t>2.367</w:t>
            </w:r>
          </w:p>
        </w:tc>
        <w:tc>
          <w:tcPr>
            <w:tcW w:w="1163" w:type="dxa"/>
            <w:tcBorders>
              <w:top w:val="nil"/>
              <w:left w:val="nil"/>
              <w:bottom w:val="single" w:sz="8" w:space="0" w:color="auto"/>
              <w:right w:val="single" w:sz="8" w:space="0" w:color="auto"/>
            </w:tcBorders>
          </w:tcPr>
          <w:p w14:paraId="256212BB" w14:textId="613905D6" w:rsidR="00FF03BF" w:rsidRPr="00687A04" w:rsidRDefault="00FF03BF" w:rsidP="00C13A58">
            <w:pPr>
              <w:spacing w:after="0" w:line="240" w:lineRule="auto"/>
              <w:rPr>
                <w:rFonts w:cs="Arial"/>
                <w:color w:val="000000"/>
                <w:szCs w:val="20"/>
              </w:rPr>
            </w:pPr>
            <w:r w:rsidRPr="00ED39BC">
              <w:t>2.409</w:t>
            </w:r>
          </w:p>
        </w:tc>
      </w:tr>
      <w:tr w:rsidR="00FF03BF" w:rsidRPr="00422F40" w14:paraId="4728F522" w14:textId="77777777" w:rsidTr="00C32914">
        <w:trPr>
          <w:trHeight w:val="68"/>
          <w:tblHeader/>
        </w:trPr>
        <w:tc>
          <w:tcPr>
            <w:tcW w:w="325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hideMark/>
          </w:tcPr>
          <w:p w14:paraId="384B0F68" w14:textId="77777777" w:rsidR="00FF03BF" w:rsidRPr="00422F40" w:rsidRDefault="00FF03BF" w:rsidP="00FF03BF">
            <w:pPr>
              <w:spacing w:after="0" w:line="240" w:lineRule="auto"/>
              <w:rPr>
                <w:rFonts w:cs="Arial"/>
                <w:b/>
                <w:bCs/>
                <w:color w:val="000000"/>
                <w:szCs w:val="20"/>
              </w:rPr>
            </w:pPr>
            <w:r w:rsidRPr="0073625C">
              <w:rPr>
                <w:rFonts w:cs="Arial"/>
                <w:b/>
                <w:bCs/>
                <w:color w:val="000000"/>
                <w:szCs w:val="20"/>
              </w:rPr>
              <w:t>Total expenses</w:t>
            </w:r>
          </w:p>
        </w:tc>
        <w:tc>
          <w:tcPr>
            <w:tcW w:w="1162" w:type="dxa"/>
            <w:tcBorders>
              <w:top w:val="nil"/>
              <w:left w:val="nil"/>
              <w:bottom w:val="single" w:sz="8" w:space="0" w:color="auto"/>
              <w:right w:val="single" w:sz="8" w:space="0" w:color="auto"/>
            </w:tcBorders>
            <w:shd w:val="clear" w:color="auto" w:fill="D9D9D9" w:themeFill="background1" w:themeFillShade="D9"/>
          </w:tcPr>
          <w:p w14:paraId="329AD429" w14:textId="78DEEA63" w:rsidR="00FF03BF" w:rsidRPr="00422F40" w:rsidRDefault="00FF03BF" w:rsidP="00C13A58">
            <w:pPr>
              <w:spacing w:after="0" w:line="240" w:lineRule="auto"/>
              <w:rPr>
                <w:rFonts w:cs="Arial"/>
                <w:b/>
                <w:bCs/>
                <w:color w:val="000000"/>
                <w:szCs w:val="20"/>
              </w:rPr>
            </w:pPr>
            <w:r w:rsidRPr="002950BA">
              <w:rPr>
                <w:b/>
                <w:bCs/>
              </w:rPr>
              <w:t>30.910</w:t>
            </w:r>
          </w:p>
        </w:tc>
        <w:tc>
          <w:tcPr>
            <w:tcW w:w="1162" w:type="dxa"/>
            <w:tcBorders>
              <w:top w:val="nil"/>
              <w:left w:val="nil"/>
              <w:bottom w:val="single" w:sz="8" w:space="0" w:color="auto"/>
              <w:right w:val="single" w:sz="8" w:space="0" w:color="auto"/>
            </w:tcBorders>
            <w:shd w:val="clear" w:color="auto" w:fill="D9D9D9" w:themeFill="background1" w:themeFillShade="D9"/>
          </w:tcPr>
          <w:p w14:paraId="78C9F864" w14:textId="1AD2DA58" w:rsidR="00FF03BF" w:rsidRPr="00422F40" w:rsidRDefault="00FF03BF" w:rsidP="00C13A58">
            <w:pPr>
              <w:spacing w:after="0" w:line="240" w:lineRule="auto"/>
              <w:rPr>
                <w:rFonts w:cs="Arial"/>
                <w:b/>
                <w:bCs/>
                <w:color w:val="000000"/>
                <w:szCs w:val="20"/>
              </w:rPr>
            </w:pPr>
            <w:r w:rsidRPr="002950BA">
              <w:rPr>
                <w:b/>
                <w:bCs/>
              </w:rPr>
              <w:t>29.694</w:t>
            </w:r>
          </w:p>
        </w:tc>
        <w:tc>
          <w:tcPr>
            <w:tcW w:w="1162" w:type="dxa"/>
            <w:tcBorders>
              <w:top w:val="nil"/>
              <w:left w:val="nil"/>
              <w:bottom w:val="single" w:sz="8" w:space="0" w:color="auto"/>
              <w:right w:val="single" w:sz="8" w:space="0" w:color="auto"/>
            </w:tcBorders>
            <w:shd w:val="clear" w:color="auto" w:fill="D9D9D9" w:themeFill="background1" w:themeFillShade="D9"/>
          </w:tcPr>
          <w:p w14:paraId="774B09D0" w14:textId="260F178B" w:rsidR="00FF03BF" w:rsidRPr="00422F40" w:rsidRDefault="00FF03BF" w:rsidP="00C13A58">
            <w:pPr>
              <w:spacing w:after="0" w:line="240" w:lineRule="auto"/>
              <w:rPr>
                <w:rFonts w:cs="Arial"/>
                <w:b/>
                <w:bCs/>
                <w:color w:val="000000"/>
                <w:szCs w:val="20"/>
              </w:rPr>
            </w:pPr>
            <w:r w:rsidRPr="002950BA">
              <w:rPr>
                <w:b/>
                <w:bCs/>
              </w:rPr>
              <w:t>32.268</w:t>
            </w:r>
          </w:p>
        </w:tc>
        <w:tc>
          <w:tcPr>
            <w:tcW w:w="1162" w:type="dxa"/>
            <w:tcBorders>
              <w:top w:val="nil"/>
              <w:left w:val="nil"/>
              <w:bottom w:val="single" w:sz="8" w:space="0" w:color="auto"/>
              <w:right w:val="single" w:sz="8" w:space="0" w:color="auto"/>
            </w:tcBorders>
            <w:shd w:val="clear" w:color="auto" w:fill="D9D9D9" w:themeFill="background1" w:themeFillShade="D9"/>
          </w:tcPr>
          <w:p w14:paraId="14C46993" w14:textId="2C070477" w:rsidR="00FF03BF" w:rsidRPr="00422F40" w:rsidRDefault="00FF03BF" w:rsidP="00C13A58">
            <w:pPr>
              <w:spacing w:after="0" w:line="240" w:lineRule="auto"/>
              <w:rPr>
                <w:rFonts w:cs="Arial"/>
                <w:b/>
                <w:bCs/>
                <w:color w:val="000000"/>
                <w:szCs w:val="20"/>
              </w:rPr>
            </w:pPr>
            <w:r w:rsidRPr="002950BA">
              <w:rPr>
                <w:b/>
                <w:bCs/>
              </w:rPr>
              <w:t>31.637</w:t>
            </w:r>
          </w:p>
        </w:tc>
        <w:tc>
          <w:tcPr>
            <w:tcW w:w="1163" w:type="dxa"/>
            <w:tcBorders>
              <w:top w:val="nil"/>
              <w:left w:val="nil"/>
              <w:bottom w:val="single" w:sz="8" w:space="0" w:color="auto"/>
              <w:right w:val="single" w:sz="8" w:space="0" w:color="auto"/>
            </w:tcBorders>
            <w:shd w:val="clear" w:color="auto" w:fill="D9D9D9" w:themeFill="background1" w:themeFillShade="D9"/>
          </w:tcPr>
          <w:p w14:paraId="4E12ED5D" w14:textId="24432252" w:rsidR="00FF03BF" w:rsidRPr="00422F40" w:rsidRDefault="00FF03BF" w:rsidP="00C13A58">
            <w:pPr>
              <w:spacing w:after="0" w:line="240" w:lineRule="auto"/>
              <w:rPr>
                <w:rFonts w:cs="Arial"/>
                <w:b/>
                <w:bCs/>
                <w:color w:val="000000"/>
                <w:szCs w:val="20"/>
              </w:rPr>
            </w:pPr>
            <w:r w:rsidRPr="002950BA">
              <w:rPr>
                <w:b/>
                <w:bCs/>
              </w:rPr>
              <w:t>31.284</w:t>
            </w:r>
          </w:p>
        </w:tc>
      </w:tr>
      <w:tr w:rsidR="00C45C4C" w:rsidRPr="005A5B87" w14:paraId="5FDADA7B" w14:textId="77777777" w:rsidTr="00391111">
        <w:trPr>
          <w:trHeight w:val="66"/>
          <w:tblHeader/>
        </w:trPr>
        <w:tc>
          <w:tcPr>
            <w:tcW w:w="964" w:type="dxa"/>
            <w:tcBorders>
              <w:top w:val="nil"/>
              <w:left w:val="single" w:sz="8" w:space="0" w:color="auto"/>
              <w:bottom w:val="single" w:sz="8" w:space="0" w:color="auto"/>
              <w:right w:val="single" w:sz="8" w:space="0" w:color="auto"/>
            </w:tcBorders>
            <w:shd w:val="clear" w:color="auto" w:fill="auto"/>
            <w:hideMark/>
          </w:tcPr>
          <w:p w14:paraId="0950E5DB" w14:textId="77777777" w:rsidR="00C45C4C" w:rsidRPr="00687A04" w:rsidRDefault="00C45C4C" w:rsidP="00C45C4C">
            <w:pPr>
              <w:spacing w:after="0" w:line="240" w:lineRule="auto"/>
              <w:rPr>
                <w:rFonts w:cs="Arial"/>
                <w:color w:val="000000"/>
                <w:szCs w:val="20"/>
              </w:rPr>
            </w:pPr>
            <w:r w:rsidRPr="00687A04">
              <w:rPr>
                <w:rFonts w:cs="Arial"/>
                <w:color w:val="000000"/>
                <w:szCs w:val="20"/>
              </w:rPr>
              <w:t>15(1)(a)</w:t>
            </w:r>
          </w:p>
        </w:tc>
        <w:tc>
          <w:tcPr>
            <w:tcW w:w="2287" w:type="dxa"/>
            <w:tcBorders>
              <w:top w:val="nil"/>
              <w:left w:val="nil"/>
              <w:bottom w:val="single" w:sz="8" w:space="0" w:color="auto"/>
              <w:right w:val="single" w:sz="8" w:space="0" w:color="auto"/>
            </w:tcBorders>
            <w:shd w:val="clear" w:color="auto" w:fill="auto"/>
            <w:hideMark/>
          </w:tcPr>
          <w:p w14:paraId="7F8EC77D" w14:textId="1754D3CB" w:rsidR="00C45C4C" w:rsidRPr="00120B54" w:rsidRDefault="00C45C4C" w:rsidP="00C45C4C">
            <w:pPr>
              <w:spacing w:after="0" w:line="240" w:lineRule="auto"/>
              <w:rPr>
                <w:rFonts w:cs="Arial"/>
                <w:color w:val="000000"/>
                <w:szCs w:val="20"/>
              </w:rPr>
            </w:pPr>
            <w:r w:rsidRPr="00847AB1">
              <w:t>ACMA telecommunications expenses</w:t>
            </w:r>
          </w:p>
        </w:tc>
        <w:tc>
          <w:tcPr>
            <w:tcW w:w="1162" w:type="dxa"/>
            <w:tcBorders>
              <w:top w:val="nil"/>
              <w:left w:val="nil"/>
              <w:bottom w:val="single" w:sz="8" w:space="0" w:color="auto"/>
              <w:right w:val="single" w:sz="8" w:space="0" w:color="auto"/>
            </w:tcBorders>
            <w:shd w:val="clear" w:color="auto" w:fill="auto"/>
          </w:tcPr>
          <w:p w14:paraId="23880ACF" w14:textId="3AE36595" w:rsidR="00C45C4C" w:rsidRPr="00687A04" w:rsidRDefault="00C45C4C" w:rsidP="00C13A58">
            <w:pPr>
              <w:spacing w:after="0" w:line="240" w:lineRule="auto"/>
              <w:rPr>
                <w:rFonts w:cs="Arial"/>
                <w:color w:val="000000"/>
                <w:szCs w:val="20"/>
              </w:rPr>
            </w:pPr>
            <w:r w:rsidRPr="004F1F37">
              <w:t>14.304</w:t>
            </w:r>
          </w:p>
        </w:tc>
        <w:tc>
          <w:tcPr>
            <w:tcW w:w="1162" w:type="dxa"/>
            <w:tcBorders>
              <w:top w:val="nil"/>
              <w:left w:val="nil"/>
              <w:bottom w:val="single" w:sz="8" w:space="0" w:color="auto"/>
              <w:right w:val="single" w:sz="8" w:space="0" w:color="auto"/>
            </w:tcBorders>
            <w:shd w:val="clear" w:color="auto" w:fill="auto"/>
          </w:tcPr>
          <w:p w14:paraId="35137F8A" w14:textId="2E933E58" w:rsidR="00C45C4C" w:rsidRPr="00687A04" w:rsidRDefault="00C45C4C" w:rsidP="00C13A58">
            <w:pPr>
              <w:spacing w:after="0" w:line="240" w:lineRule="auto"/>
              <w:rPr>
                <w:rFonts w:cs="Arial"/>
                <w:color w:val="000000"/>
                <w:szCs w:val="20"/>
              </w:rPr>
            </w:pPr>
            <w:r w:rsidRPr="00B120D4">
              <w:t>13.398</w:t>
            </w:r>
          </w:p>
        </w:tc>
        <w:tc>
          <w:tcPr>
            <w:tcW w:w="1162" w:type="dxa"/>
            <w:tcBorders>
              <w:top w:val="nil"/>
              <w:left w:val="nil"/>
              <w:bottom w:val="single" w:sz="8" w:space="0" w:color="auto"/>
              <w:right w:val="single" w:sz="8" w:space="0" w:color="auto"/>
            </w:tcBorders>
            <w:shd w:val="clear" w:color="auto" w:fill="auto"/>
          </w:tcPr>
          <w:p w14:paraId="4810B0E4" w14:textId="45F798AE" w:rsidR="00C45C4C" w:rsidRPr="00687A04" w:rsidRDefault="00C45C4C" w:rsidP="00C13A58">
            <w:pPr>
              <w:spacing w:after="0" w:line="240" w:lineRule="auto"/>
              <w:rPr>
                <w:rFonts w:cs="Arial"/>
                <w:color w:val="000000"/>
                <w:szCs w:val="20"/>
              </w:rPr>
            </w:pPr>
            <w:r w:rsidRPr="003606E8">
              <w:t>13.398</w:t>
            </w:r>
          </w:p>
        </w:tc>
        <w:tc>
          <w:tcPr>
            <w:tcW w:w="1162" w:type="dxa"/>
            <w:tcBorders>
              <w:top w:val="nil"/>
              <w:left w:val="nil"/>
              <w:bottom w:val="single" w:sz="8" w:space="0" w:color="auto"/>
              <w:right w:val="single" w:sz="8" w:space="0" w:color="auto"/>
            </w:tcBorders>
            <w:shd w:val="clear" w:color="auto" w:fill="auto"/>
          </w:tcPr>
          <w:p w14:paraId="435EF9EA" w14:textId="3785F5D9" w:rsidR="00C45C4C" w:rsidRPr="00687A04" w:rsidRDefault="00C45C4C" w:rsidP="00C13A58">
            <w:pPr>
              <w:spacing w:after="0" w:line="240" w:lineRule="auto"/>
              <w:rPr>
                <w:rFonts w:cs="Arial"/>
                <w:color w:val="000000"/>
                <w:szCs w:val="20"/>
              </w:rPr>
            </w:pPr>
            <w:r w:rsidRPr="00980CB3">
              <w:t>15.933</w:t>
            </w:r>
          </w:p>
        </w:tc>
        <w:tc>
          <w:tcPr>
            <w:tcW w:w="1163" w:type="dxa"/>
            <w:tcBorders>
              <w:top w:val="nil"/>
              <w:left w:val="nil"/>
              <w:bottom w:val="single" w:sz="8" w:space="0" w:color="auto"/>
              <w:right w:val="single" w:sz="8" w:space="0" w:color="auto"/>
            </w:tcBorders>
            <w:shd w:val="clear" w:color="auto" w:fill="auto"/>
          </w:tcPr>
          <w:p w14:paraId="2DA64CBE" w14:textId="78C868A5" w:rsidR="00C45C4C" w:rsidRPr="00687A04" w:rsidRDefault="00C45C4C" w:rsidP="00C13A58">
            <w:pPr>
              <w:spacing w:after="0" w:line="240" w:lineRule="auto"/>
              <w:rPr>
                <w:rFonts w:cs="Arial"/>
                <w:color w:val="000000"/>
                <w:szCs w:val="20"/>
              </w:rPr>
            </w:pPr>
            <w:r w:rsidRPr="0093234E">
              <w:t>15.252</w:t>
            </w:r>
          </w:p>
        </w:tc>
      </w:tr>
      <w:tr w:rsidR="00C45C4C" w:rsidRPr="005A5B87" w14:paraId="4CFBE65E" w14:textId="77777777" w:rsidTr="00391111">
        <w:trPr>
          <w:trHeight w:val="72"/>
          <w:tblHeader/>
        </w:trPr>
        <w:tc>
          <w:tcPr>
            <w:tcW w:w="964" w:type="dxa"/>
            <w:tcBorders>
              <w:top w:val="nil"/>
              <w:left w:val="single" w:sz="8" w:space="0" w:color="auto"/>
              <w:bottom w:val="single" w:sz="8" w:space="0" w:color="auto"/>
              <w:right w:val="single" w:sz="8" w:space="0" w:color="auto"/>
            </w:tcBorders>
            <w:shd w:val="clear" w:color="auto" w:fill="auto"/>
            <w:hideMark/>
          </w:tcPr>
          <w:p w14:paraId="69FC8922" w14:textId="77777777" w:rsidR="00C45C4C" w:rsidRPr="00687A04" w:rsidRDefault="00C45C4C" w:rsidP="00C45C4C">
            <w:pPr>
              <w:spacing w:after="0" w:line="240" w:lineRule="auto"/>
              <w:rPr>
                <w:rFonts w:cs="Arial"/>
                <w:color w:val="000000"/>
                <w:szCs w:val="20"/>
              </w:rPr>
            </w:pPr>
            <w:r w:rsidRPr="00687A04">
              <w:rPr>
                <w:rFonts w:cs="Arial"/>
                <w:color w:val="000000"/>
                <w:szCs w:val="20"/>
              </w:rPr>
              <w:t>15(1)(b)</w:t>
            </w:r>
          </w:p>
        </w:tc>
        <w:tc>
          <w:tcPr>
            <w:tcW w:w="2287" w:type="dxa"/>
            <w:tcBorders>
              <w:top w:val="nil"/>
              <w:left w:val="nil"/>
              <w:bottom w:val="single" w:sz="8" w:space="0" w:color="auto"/>
              <w:right w:val="single" w:sz="8" w:space="0" w:color="auto"/>
            </w:tcBorders>
            <w:shd w:val="clear" w:color="auto" w:fill="auto"/>
            <w:hideMark/>
          </w:tcPr>
          <w:p w14:paraId="1825BF23" w14:textId="3E782D5B" w:rsidR="00C45C4C" w:rsidRPr="00120B54" w:rsidRDefault="00C45C4C" w:rsidP="00C45C4C">
            <w:pPr>
              <w:spacing w:after="0" w:line="240" w:lineRule="auto"/>
              <w:rPr>
                <w:rFonts w:cs="Arial"/>
                <w:color w:val="000000"/>
                <w:szCs w:val="20"/>
              </w:rPr>
            </w:pPr>
            <w:r w:rsidRPr="00847AB1">
              <w:t xml:space="preserve">ACCC telecommunications expenses </w:t>
            </w:r>
          </w:p>
        </w:tc>
        <w:tc>
          <w:tcPr>
            <w:tcW w:w="1162" w:type="dxa"/>
            <w:tcBorders>
              <w:top w:val="nil"/>
              <w:left w:val="nil"/>
              <w:bottom w:val="single" w:sz="8" w:space="0" w:color="auto"/>
              <w:right w:val="single" w:sz="8" w:space="0" w:color="auto"/>
            </w:tcBorders>
            <w:shd w:val="clear" w:color="auto" w:fill="auto"/>
          </w:tcPr>
          <w:p w14:paraId="7B2256C3" w14:textId="267DFBE4" w:rsidR="00C45C4C" w:rsidRPr="00687A04" w:rsidRDefault="00C45C4C" w:rsidP="00C13A58">
            <w:pPr>
              <w:spacing w:after="0" w:line="240" w:lineRule="auto"/>
              <w:rPr>
                <w:rFonts w:cs="Arial"/>
                <w:color w:val="000000"/>
                <w:szCs w:val="20"/>
              </w:rPr>
            </w:pPr>
            <w:r w:rsidRPr="004F1F37">
              <w:t>11.849</w:t>
            </w:r>
          </w:p>
        </w:tc>
        <w:tc>
          <w:tcPr>
            <w:tcW w:w="1162" w:type="dxa"/>
            <w:tcBorders>
              <w:top w:val="nil"/>
              <w:left w:val="nil"/>
              <w:bottom w:val="single" w:sz="8" w:space="0" w:color="auto"/>
              <w:right w:val="single" w:sz="8" w:space="0" w:color="auto"/>
            </w:tcBorders>
            <w:shd w:val="clear" w:color="auto" w:fill="auto"/>
          </w:tcPr>
          <w:p w14:paraId="6F6767C1" w14:textId="5622AEDB" w:rsidR="00C45C4C" w:rsidRPr="00687A04" w:rsidRDefault="00C45C4C" w:rsidP="00C13A58">
            <w:pPr>
              <w:spacing w:after="0" w:line="240" w:lineRule="auto"/>
              <w:rPr>
                <w:rFonts w:cs="Arial"/>
                <w:color w:val="000000"/>
                <w:szCs w:val="20"/>
              </w:rPr>
            </w:pPr>
            <w:r w:rsidRPr="00B120D4">
              <w:t>11.764</w:t>
            </w:r>
          </w:p>
        </w:tc>
        <w:tc>
          <w:tcPr>
            <w:tcW w:w="1162" w:type="dxa"/>
            <w:tcBorders>
              <w:top w:val="nil"/>
              <w:left w:val="nil"/>
              <w:bottom w:val="single" w:sz="8" w:space="0" w:color="auto"/>
              <w:right w:val="single" w:sz="8" w:space="0" w:color="auto"/>
            </w:tcBorders>
            <w:shd w:val="clear" w:color="auto" w:fill="auto"/>
          </w:tcPr>
          <w:p w14:paraId="6D044D1F" w14:textId="62EAEACA" w:rsidR="00C45C4C" w:rsidRPr="00687A04" w:rsidRDefault="00C45C4C" w:rsidP="00C13A58">
            <w:pPr>
              <w:spacing w:after="0" w:line="240" w:lineRule="auto"/>
              <w:rPr>
                <w:rFonts w:cs="Arial"/>
                <w:color w:val="000000"/>
                <w:szCs w:val="20"/>
              </w:rPr>
            </w:pPr>
            <w:r w:rsidRPr="003606E8">
              <w:t>11.472</w:t>
            </w:r>
          </w:p>
        </w:tc>
        <w:tc>
          <w:tcPr>
            <w:tcW w:w="1162" w:type="dxa"/>
            <w:tcBorders>
              <w:top w:val="nil"/>
              <w:left w:val="nil"/>
              <w:bottom w:val="single" w:sz="8" w:space="0" w:color="auto"/>
              <w:right w:val="single" w:sz="8" w:space="0" w:color="auto"/>
            </w:tcBorders>
            <w:shd w:val="clear" w:color="auto" w:fill="auto"/>
          </w:tcPr>
          <w:p w14:paraId="590FA1C2" w14:textId="00FA2BC5" w:rsidR="00C45C4C" w:rsidRPr="00687A04" w:rsidRDefault="00C45C4C" w:rsidP="00C13A58">
            <w:pPr>
              <w:spacing w:after="0" w:line="240" w:lineRule="auto"/>
              <w:rPr>
                <w:rFonts w:cs="Arial"/>
                <w:color w:val="000000"/>
                <w:szCs w:val="20"/>
              </w:rPr>
            </w:pPr>
            <w:r w:rsidRPr="00980CB3">
              <w:t>11.472</w:t>
            </w:r>
          </w:p>
        </w:tc>
        <w:tc>
          <w:tcPr>
            <w:tcW w:w="1163" w:type="dxa"/>
            <w:tcBorders>
              <w:top w:val="nil"/>
              <w:left w:val="nil"/>
              <w:bottom w:val="single" w:sz="8" w:space="0" w:color="auto"/>
              <w:right w:val="single" w:sz="8" w:space="0" w:color="auto"/>
            </w:tcBorders>
            <w:shd w:val="clear" w:color="auto" w:fill="auto"/>
          </w:tcPr>
          <w:p w14:paraId="47BD8749" w14:textId="747BCC10" w:rsidR="00C45C4C" w:rsidRPr="00687A04" w:rsidRDefault="00C45C4C" w:rsidP="00C13A58">
            <w:pPr>
              <w:spacing w:after="0" w:line="240" w:lineRule="auto"/>
              <w:rPr>
                <w:rFonts w:cs="Arial"/>
                <w:color w:val="000000"/>
                <w:szCs w:val="20"/>
              </w:rPr>
            </w:pPr>
            <w:r w:rsidRPr="0093234E">
              <w:t>11.472</w:t>
            </w:r>
          </w:p>
        </w:tc>
      </w:tr>
      <w:tr w:rsidR="00C45C4C" w:rsidRPr="005A5B87" w14:paraId="466E2EC2" w14:textId="77777777" w:rsidTr="00391111">
        <w:trPr>
          <w:trHeight w:val="207"/>
          <w:tblHeader/>
        </w:trPr>
        <w:tc>
          <w:tcPr>
            <w:tcW w:w="964" w:type="dxa"/>
            <w:tcBorders>
              <w:top w:val="nil"/>
              <w:left w:val="single" w:sz="8" w:space="0" w:color="auto"/>
              <w:bottom w:val="single" w:sz="8" w:space="0" w:color="auto"/>
              <w:right w:val="single" w:sz="8" w:space="0" w:color="auto"/>
            </w:tcBorders>
            <w:shd w:val="clear" w:color="auto" w:fill="auto"/>
            <w:hideMark/>
          </w:tcPr>
          <w:p w14:paraId="76C17EBC" w14:textId="77777777" w:rsidR="00C45C4C" w:rsidRPr="00685B5D" w:rsidRDefault="00C45C4C" w:rsidP="00C45C4C">
            <w:pPr>
              <w:spacing w:after="0" w:line="240" w:lineRule="auto"/>
              <w:rPr>
                <w:rFonts w:cs="Arial"/>
                <w:color w:val="000000"/>
                <w:szCs w:val="20"/>
              </w:rPr>
            </w:pPr>
            <w:r w:rsidRPr="00685B5D">
              <w:rPr>
                <w:rFonts w:cs="Arial"/>
                <w:color w:val="000000"/>
                <w:szCs w:val="20"/>
              </w:rPr>
              <w:t>15(1)(c)</w:t>
            </w:r>
          </w:p>
        </w:tc>
        <w:tc>
          <w:tcPr>
            <w:tcW w:w="2287" w:type="dxa"/>
            <w:tcBorders>
              <w:top w:val="nil"/>
              <w:left w:val="nil"/>
              <w:bottom w:val="single" w:sz="8" w:space="0" w:color="auto"/>
              <w:right w:val="single" w:sz="8" w:space="0" w:color="auto"/>
            </w:tcBorders>
            <w:shd w:val="clear" w:color="auto" w:fill="auto"/>
            <w:hideMark/>
          </w:tcPr>
          <w:p w14:paraId="7827E349" w14:textId="3D051232" w:rsidR="00C45C4C" w:rsidRPr="00120B54" w:rsidRDefault="00C45C4C" w:rsidP="00C45C4C">
            <w:pPr>
              <w:spacing w:after="0" w:line="240" w:lineRule="auto"/>
              <w:rPr>
                <w:rFonts w:cs="Arial"/>
                <w:color w:val="000000"/>
                <w:szCs w:val="20"/>
              </w:rPr>
            </w:pPr>
            <w:r w:rsidRPr="00847AB1">
              <w:t>Commonwealth’s ITU contribution</w:t>
            </w:r>
          </w:p>
        </w:tc>
        <w:tc>
          <w:tcPr>
            <w:tcW w:w="1162" w:type="dxa"/>
            <w:tcBorders>
              <w:top w:val="nil"/>
              <w:left w:val="nil"/>
              <w:bottom w:val="single" w:sz="8" w:space="0" w:color="auto"/>
              <w:right w:val="single" w:sz="8" w:space="0" w:color="auto"/>
            </w:tcBorders>
            <w:shd w:val="clear" w:color="auto" w:fill="auto"/>
          </w:tcPr>
          <w:p w14:paraId="2D47646D" w14:textId="74400D7B" w:rsidR="00C45C4C" w:rsidRPr="00685B5D" w:rsidRDefault="00C45C4C" w:rsidP="00C13A58">
            <w:pPr>
              <w:spacing w:after="0" w:line="240" w:lineRule="auto"/>
              <w:rPr>
                <w:rFonts w:cs="Arial"/>
                <w:color w:val="000000"/>
                <w:szCs w:val="20"/>
              </w:rPr>
            </w:pPr>
            <w:r w:rsidRPr="004F1F37">
              <w:t>2.194</w:t>
            </w:r>
          </w:p>
        </w:tc>
        <w:tc>
          <w:tcPr>
            <w:tcW w:w="1162" w:type="dxa"/>
            <w:tcBorders>
              <w:top w:val="nil"/>
              <w:left w:val="nil"/>
              <w:bottom w:val="single" w:sz="8" w:space="0" w:color="auto"/>
              <w:right w:val="single" w:sz="8" w:space="0" w:color="auto"/>
            </w:tcBorders>
            <w:shd w:val="clear" w:color="auto" w:fill="auto"/>
          </w:tcPr>
          <w:p w14:paraId="26E47BA5" w14:textId="53DC28A7" w:rsidR="00C45C4C" w:rsidRPr="00685B5D" w:rsidRDefault="00C45C4C" w:rsidP="00C13A58">
            <w:pPr>
              <w:spacing w:after="0" w:line="240" w:lineRule="auto"/>
              <w:rPr>
                <w:rFonts w:cs="Arial"/>
                <w:color w:val="000000"/>
                <w:szCs w:val="20"/>
              </w:rPr>
            </w:pPr>
            <w:r w:rsidRPr="00B120D4">
              <w:t>2.194</w:t>
            </w:r>
          </w:p>
        </w:tc>
        <w:tc>
          <w:tcPr>
            <w:tcW w:w="1162" w:type="dxa"/>
            <w:tcBorders>
              <w:top w:val="nil"/>
              <w:left w:val="nil"/>
              <w:bottom w:val="single" w:sz="8" w:space="0" w:color="auto"/>
              <w:right w:val="single" w:sz="8" w:space="0" w:color="auto"/>
            </w:tcBorders>
            <w:shd w:val="clear" w:color="auto" w:fill="auto"/>
          </w:tcPr>
          <w:p w14:paraId="26683ED0" w14:textId="1095CD7C" w:rsidR="00C45C4C" w:rsidRPr="00685B5D" w:rsidRDefault="00C45C4C" w:rsidP="00C13A58">
            <w:pPr>
              <w:spacing w:after="0" w:line="240" w:lineRule="auto"/>
              <w:rPr>
                <w:rFonts w:cs="Arial"/>
                <w:color w:val="000000"/>
                <w:szCs w:val="20"/>
              </w:rPr>
            </w:pPr>
            <w:r w:rsidRPr="003606E8">
              <w:t>2.244</w:t>
            </w:r>
          </w:p>
        </w:tc>
        <w:tc>
          <w:tcPr>
            <w:tcW w:w="1162" w:type="dxa"/>
            <w:tcBorders>
              <w:top w:val="nil"/>
              <w:left w:val="nil"/>
              <w:bottom w:val="single" w:sz="8" w:space="0" w:color="auto"/>
              <w:right w:val="single" w:sz="8" w:space="0" w:color="auto"/>
            </w:tcBorders>
            <w:shd w:val="clear" w:color="auto" w:fill="auto"/>
          </w:tcPr>
          <w:p w14:paraId="083E6B30" w14:textId="4A33C217" w:rsidR="00C45C4C" w:rsidRPr="00685B5D" w:rsidRDefault="00C45C4C" w:rsidP="00C13A58">
            <w:pPr>
              <w:spacing w:after="0" w:line="240" w:lineRule="auto"/>
              <w:rPr>
                <w:rFonts w:cs="Arial"/>
                <w:color w:val="000000"/>
                <w:szCs w:val="20"/>
              </w:rPr>
            </w:pPr>
            <w:r w:rsidRPr="00980CB3">
              <w:t>2.246</w:t>
            </w:r>
          </w:p>
        </w:tc>
        <w:tc>
          <w:tcPr>
            <w:tcW w:w="1163" w:type="dxa"/>
            <w:tcBorders>
              <w:top w:val="nil"/>
              <w:left w:val="nil"/>
              <w:bottom w:val="single" w:sz="8" w:space="0" w:color="auto"/>
              <w:right w:val="single" w:sz="8" w:space="0" w:color="auto"/>
            </w:tcBorders>
            <w:shd w:val="clear" w:color="auto" w:fill="auto"/>
          </w:tcPr>
          <w:p w14:paraId="5DA2B7B3" w14:textId="473409A7" w:rsidR="00C45C4C" w:rsidRPr="00685B5D" w:rsidRDefault="00C45C4C" w:rsidP="00C13A58">
            <w:pPr>
              <w:spacing w:after="0" w:line="240" w:lineRule="auto"/>
              <w:rPr>
                <w:rFonts w:cs="Arial"/>
                <w:color w:val="000000"/>
                <w:szCs w:val="20"/>
              </w:rPr>
            </w:pPr>
            <w:r w:rsidRPr="0093234E">
              <w:t>2.246</w:t>
            </w:r>
          </w:p>
        </w:tc>
      </w:tr>
      <w:tr w:rsidR="00C45C4C" w:rsidRPr="005A5B87" w14:paraId="2A889C50" w14:textId="77777777" w:rsidTr="00391111">
        <w:trPr>
          <w:trHeight w:val="623"/>
          <w:tblHeader/>
        </w:trPr>
        <w:tc>
          <w:tcPr>
            <w:tcW w:w="964" w:type="dxa"/>
            <w:tcBorders>
              <w:top w:val="nil"/>
              <w:left w:val="single" w:sz="8" w:space="0" w:color="auto"/>
              <w:bottom w:val="single" w:sz="8" w:space="0" w:color="auto"/>
              <w:right w:val="single" w:sz="8" w:space="0" w:color="auto"/>
            </w:tcBorders>
            <w:shd w:val="clear" w:color="auto" w:fill="auto"/>
          </w:tcPr>
          <w:p w14:paraId="0C04B56D" w14:textId="77777777" w:rsidR="00C45C4C" w:rsidRPr="00687A04" w:rsidRDefault="00C45C4C" w:rsidP="00C45C4C">
            <w:pPr>
              <w:spacing w:after="0" w:line="240" w:lineRule="auto"/>
              <w:rPr>
                <w:rFonts w:cs="Arial"/>
                <w:color w:val="000000"/>
                <w:szCs w:val="20"/>
              </w:rPr>
            </w:pPr>
            <w:r w:rsidRPr="00687A04">
              <w:rPr>
                <w:rFonts w:cs="Arial"/>
                <w:color w:val="000000"/>
                <w:szCs w:val="20"/>
              </w:rPr>
              <w:t>15(</w:t>
            </w:r>
            <w:proofErr w:type="gramStart"/>
            <w:r w:rsidRPr="00687A04">
              <w:rPr>
                <w:rFonts w:cs="Arial"/>
                <w:color w:val="000000"/>
                <w:szCs w:val="20"/>
              </w:rPr>
              <w:t>1)(</w:t>
            </w:r>
            <w:proofErr w:type="gramEnd"/>
            <w:r w:rsidRPr="00687A04">
              <w:rPr>
                <w:rFonts w:cs="Arial"/>
                <w:color w:val="000000"/>
                <w:szCs w:val="20"/>
              </w:rPr>
              <w:t>ca)</w:t>
            </w:r>
          </w:p>
        </w:tc>
        <w:tc>
          <w:tcPr>
            <w:tcW w:w="2287" w:type="dxa"/>
            <w:tcBorders>
              <w:top w:val="nil"/>
              <w:left w:val="nil"/>
              <w:bottom w:val="single" w:sz="8" w:space="0" w:color="auto"/>
              <w:right w:val="single" w:sz="8" w:space="0" w:color="auto"/>
            </w:tcBorders>
            <w:shd w:val="clear" w:color="auto" w:fill="auto"/>
          </w:tcPr>
          <w:p w14:paraId="2BB0CE1F" w14:textId="0697D51F" w:rsidR="00C45C4C" w:rsidRPr="00120B54" w:rsidRDefault="00C45C4C" w:rsidP="00F133BF">
            <w:pPr>
              <w:spacing w:after="0" w:line="240" w:lineRule="auto"/>
              <w:rPr>
                <w:rFonts w:cs="Arial"/>
                <w:color w:val="000000"/>
                <w:szCs w:val="20"/>
              </w:rPr>
            </w:pPr>
            <w:r w:rsidRPr="00847AB1">
              <w:t xml:space="preserve">Amounts </w:t>
            </w:r>
            <w:r w:rsidR="00F133BF">
              <w:t>reimbursed</w:t>
            </w:r>
            <w:r w:rsidR="00F133BF" w:rsidRPr="00847AB1">
              <w:t xml:space="preserve"> </w:t>
            </w:r>
            <w:r w:rsidRPr="00847AB1">
              <w:t>to industry groups for development or variation of consumer protection related industry codes</w:t>
            </w:r>
          </w:p>
        </w:tc>
        <w:tc>
          <w:tcPr>
            <w:tcW w:w="1162" w:type="dxa"/>
            <w:tcBorders>
              <w:top w:val="nil"/>
              <w:left w:val="nil"/>
              <w:bottom w:val="single" w:sz="8" w:space="0" w:color="auto"/>
              <w:right w:val="single" w:sz="8" w:space="0" w:color="auto"/>
            </w:tcBorders>
            <w:shd w:val="clear" w:color="auto" w:fill="auto"/>
          </w:tcPr>
          <w:p w14:paraId="38E04597" w14:textId="58522EA1" w:rsidR="00C45C4C" w:rsidRPr="006C513A" w:rsidRDefault="00C45C4C" w:rsidP="00C13A58">
            <w:pPr>
              <w:spacing w:after="0" w:line="240" w:lineRule="auto"/>
              <w:rPr>
                <w:rFonts w:cs="Arial"/>
                <w:color w:val="000000"/>
                <w:szCs w:val="20"/>
              </w:rPr>
            </w:pPr>
            <w:r w:rsidRPr="004F1F37">
              <w:t>0.300</w:t>
            </w:r>
          </w:p>
        </w:tc>
        <w:tc>
          <w:tcPr>
            <w:tcW w:w="1162" w:type="dxa"/>
            <w:tcBorders>
              <w:top w:val="nil"/>
              <w:left w:val="nil"/>
              <w:bottom w:val="single" w:sz="8" w:space="0" w:color="auto"/>
              <w:right w:val="single" w:sz="8" w:space="0" w:color="auto"/>
            </w:tcBorders>
            <w:shd w:val="clear" w:color="auto" w:fill="auto"/>
          </w:tcPr>
          <w:p w14:paraId="0EDA92E4" w14:textId="40106429" w:rsidR="00C45C4C" w:rsidRPr="006C513A" w:rsidRDefault="00C45C4C" w:rsidP="00C13A58">
            <w:pPr>
              <w:spacing w:after="0" w:line="240" w:lineRule="auto"/>
              <w:rPr>
                <w:rFonts w:cs="Arial"/>
                <w:color w:val="000000"/>
                <w:szCs w:val="20"/>
              </w:rPr>
            </w:pPr>
            <w:r w:rsidRPr="00B120D4">
              <w:t>0</w:t>
            </w:r>
          </w:p>
        </w:tc>
        <w:tc>
          <w:tcPr>
            <w:tcW w:w="1162" w:type="dxa"/>
            <w:tcBorders>
              <w:top w:val="nil"/>
              <w:left w:val="nil"/>
              <w:bottom w:val="single" w:sz="8" w:space="0" w:color="auto"/>
              <w:right w:val="single" w:sz="8" w:space="0" w:color="auto"/>
            </w:tcBorders>
            <w:shd w:val="clear" w:color="auto" w:fill="auto"/>
          </w:tcPr>
          <w:p w14:paraId="7241F0EB" w14:textId="5DF8C591" w:rsidR="00C45C4C" w:rsidRPr="006C513A" w:rsidRDefault="00C45C4C" w:rsidP="00C13A58">
            <w:pPr>
              <w:spacing w:after="0" w:line="240" w:lineRule="auto"/>
              <w:rPr>
                <w:rFonts w:cs="Arial"/>
                <w:color w:val="000000"/>
                <w:szCs w:val="20"/>
              </w:rPr>
            </w:pPr>
            <w:r w:rsidRPr="003606E8">
              <w:t>0.300</w:t>
            </w:r>
          </w:p>
        </w:tc>
        <w:tc>
          <w:tcPr>
            <w:tcW w:w="1162" w:type="dxa"/>
            <w:tcBorders>
              <w:top w:val="nil"/>
              <w:left w:val="nil"/>
              <w:bottom w:val="single" w:sz="8" w:space="0" w:color="auto"/>
              <w:right w:val="single" w:sz="8" w:space="0" w:color="auto"/>
            </w:tcBorders>
            <w:shd w:val="clear" w:color="auto" w:fill="auto"/>
          </w:tcPr>
          <w:p w14:paraId="66C45B22" w14:textId="3EA9C688" w:rsidR="00C45C4C" w:rsidRPr="006C513A" w:rsidRDefault="00C45C4C" w:rsidP="00C13A58">
            <w:pPr>
              <w:spacing w:after="0" w:line="240" w:lineRule="auto"/>
              <w:rPr>
                <w:rFonts w:cs="Arial"/>
                <w:color w:val="000000"/>
                <w:szCs w:val="20"/>
              </w:rPr>
            </w:pPr>
            <w:r w:rsidRPr="00980CB3">
              <w:t>0.300</w:t>
            </w:r>
          </w:p>
        </w:tc>
        <w:tc>
          <w:tcPr>
            <w:tcW w:w="1163" w:type="dxa"/>
            <w:tcBorders>
              <w:top w:val="nil"/>
              <w:left w:val="nil"/>
              <w:bottom w:val="single" w:sz="8" w:space="0" w:color="auto"/>
              <w:right w:val="single" w:sz="8" w:space="0" w:color="auto"/>
            </w:tcBorders>
            <w:shd w:val="clear" w:color="auto" w:fill="auto"/>
          </w:tcPr>
          <w:p w14:paraId="15E9199F" w14:textId="32631BD8" w:rsidR="00C45C4C" w:rsidRPr="006C513A" w:rsidRDefault="00C45C4C" w:rsidP="00C13A58">
            <w:pPr>
              <w:spacing w:after="0" w:line="240" w:lineRule="auto"/>
              <w:rPr>
                <w:rFonts w:cs="Arial"/>
                <w:color w:val="000000"/>
                <w:szCs w:val="20"/>
              </w:rPr>
            </w:pPr>
            <w:r w:rsidRPr="0093234E">
              <w:t>0.300</w:t>
            </w:r>
          </w:p>
        </w:tc>
      </w:tr>
      <w:tr w:rsidR="00C45C4C" w:rsidRPr="005A5B87" w14:paraId="3E5A6496" w14:textId="77777777" w:rsidTr="00FE218D">
        <w:trPr>
          <w:trHeight w:val="805"/>
          <w:tblHeader/>
        </w:trPr>
        <w:tc>
          <w:tcPr>
            <w:tcW w:w="964" w:type="dxa"/>
            <w:tcBorders>
              <w:top w:val="nil"/>
              <w:left w:val="single" w:sz="8" w:space="0" w:color="auto"/>
              <w:bottom w:val="single" w:sz="8" w:space="0" w:color="auto"/>
              <w:right w:val="single" w:sz="8" w:space="0" w:color="auto"/>
            </w:tcBorders>
            <w:shd w:val="clear" w:color="auto" w:fill="auto"/>
            <w:hideMark/>
          </w:tcPr>
          <w:p w14:paraId="55E181B4" w14:textId="77777777" w:rsidR="00C45C4C" w:rsidRPr="00687A04" w:rsidRDefault="00C45C4C" w:rsidP="00C45C4C">
            <w:pPr>
              <w:spacing w:after="0" w:line="240" w:lineRule="auto"/>
              <w:rPr>
                <w:rFonts w:cs="Arial"/>
                <w:color w:val="000000"/>
                <w:szCs w:val="20"/>
              </w:rPr>
            </w:pPr>
            <w:r w:rsidRPr="00687A04">
              <w:rPr>
                <w:rFonts w:cs="Arial"/>
                <w:color w:val="000000"/>
                <w:szCs w:val="20"/>
              </w:rPr>
              <w:t>15(1)(d)</w:t>
            </w:r>
          </w:p>
        </w:tc>
        <w:tc>
          <w:tcPr>
            <w:tcW w:w="2287" w:type="dxa"/>
            <w:tcBorders>
              <w:top w:val="nil"/>
              <w:left w:val="nil"/>
              <w:bottom w:val="single" w:sz="8" w:space="0" w:color="auto"/>
              <w:right w:val="single" w:sz="8" w:space="0" w:color="auto"/>
            </w:tcBorders>
            <w:shd w:val="clear" w:color="auto" w:fill="auto"/>
            <w:hideMark/>
          </w:tcPr>
          <w:p w14:paraId="4739ABA9" w14:textId="39C0B8BF" w:rsidR="00C45C4C" w:rsidRPr="00120B54" w:rsidRDefault="00C45C4C" w:rsidP="00C45C4C">
            <w:pPr>
              <w:spacing w:after="0" w:line="240" w:lineRule="auto"/>
              <w:rPr>
                <w:rFonts w:cs="Arial"/>
                <w:color w:val="000000"/>
                <w:szCs w:val="20"/>
              </w:rPr>
            </w:pPr>
            <w:r w:rsidRPr="00847AB1">
              <w:t>Estimated government grants—consumer representation and research</w:t>
            </w:r>
          </w:p>
        </w:tc>
        <w:tc>
          <w:tcPr>
            <w:tcW w:w="1162" w:type="dxa"/>
            <w:tcBorders>
              <w:top w:val="nil"/>
              <w:left w:val="nil"/>
              <w:bottom w:val="single" w:sz="8" w:space="0" w:color="auto"/>
              <w:right w:val="single" w:sz="8" w:space="0" w:color="auto"/>
            </w:tcBorders>
          </w:tcPr>
          <w:p w14:paraId="0A7B40FF" w14:textId="4BE98F22" w:rsidR="00C45C4C" w:rsidRPr="00687A04" w:rsidRDefault="00C45C4C" w:rsidP="00C13A58">
            <w:pPr>
              <w:spacing w:after="0" w:line="240" w:lineRule="auto"/>
              <w:rPr>
                <w:rFonts w:cs="Arial"/>
                <w:color w:val="000000"/>
                <w:szCs w:val="20"/>
              </w:rPr>
            </w:pPr>
            <w:r w:rsidRPr="004F1F37">
              <w:t>2.296</w:t>
            </w:r>
          </w:p>
        </w:tc>
        <w:tc>
          <w:tcPr>
            <w:tcW w:w="1162" w:type="dxa"/>
            <w:tcBorders>
              <w:top w:val="nil"/>
              <w:left w:val="nil"/>
              <w:bottom w:val="single" w:sz="8" w:space="0" w:color="auto"/>
              <w:right w:val="single" w:sz="8" w:space="0" w:color="auto"/>
            </w:tcBorders>
          </w:tcPr>
          <w:p w14:paraId="35793EDE" w14:textId="46E89749" w:rsidR="00C45C4C" w:rsidRPr="00687A04" w:rsidRDefault="00C45C4C" w:rsidP="00C13A58">
            <w:pPr>
              <w:spacing w:after="0" w:line="240" w:lineRule="auto"/>
              <w:rPr>
                <w:rFonts w:cs="Arial"/>
                <w:color w:val="000000"/>
                <w:szCs w:val="20"/>
              </w:rPr>
            </w:pPr>
            <w:r w:rsidRPr="00B120D4">
              <w:t>2.296</w:t>
            </w:r>
          </w:p>
        </w:tc>
        <w:tc>
          <w:tcPr>
            <w:tcW w:w="1162" w:type="dxa"/>
            <w:tcBorders>
              <w:top w:val="nil"/>
              <w:left w:val="nil"/>
              <w:bottom w:val="single" w:sz="8" w:space="0" w:color="auto"/>
              <w:right w:val="single" w:sz="8" w:space="0" w:color="auto"/>
            </w:tcBorders>
          </w:tcPr>
          <w:p w14:paraId="076DA863" w14:textId="08D8C32F" w:rsidR="00C45C4C" w:rsidRPr="00687A04" w:rsidRDefault="00C45C4C" w:rsidP="00C13A58">
            <w:pPr>
              <w:spacing w:after="0" w:line="240" w:lineRule="auto"/>
              <w:rPr>
                <w:rFonts w:cs="Arial"/>
                <w:color w:val="000000"/>
                <w:szCs w:val="20"/>
              </w:rPr>
            </w:pPr>
            <w:r w:rsidRPr="003606E8">
              <w:t>2.324</w:t>
            </w:r>
          </w:p>
        </w:tc>
        <w:tc>
          <w:tcPr>
            <w:tcW w:w="1162" w:type="dxa"/>
            <w:tcBorders>
              <w:top w:val="nil"/>
              <w:left w:val="nil"/>
              <w:bottom w:val="single" w:sz="8" w:space="0" w:color="auto"/>
              <w:right w:val="single" w:sz="8" w:space="0" w:color="auto"/>
            </w:tcBorders>
          </w:tcPr>
          <w:p w14:paraId="14E19A5C" w14:textId="29FD80B5" w:rsidR="00C45C4C" w:rsidRPr="00687A04" w:rsidRDefault="00C45C4C" w:rsidP="00C13A58">
            <w:pPr>
              <w:spacing w:after="0" w:line="240" w:lineRule="auto"/>
              <w:rPr>
                <w:rFonts w:cs="Arial"/>
                <w:color w:val="000000"/>
                <w:szCs w:val="20"/>
              </w:rPr>
            </w:pPr>
            <w:r w:rsidRPr="00980CB3">
              <w:t>2.367</w:t>
            </w:r>
          </w:p>
        </w:tc>
        <w:tc>
          <w:tcPr>
            <w:tcW w:w="1163" w:type="dxa"/>
            <w:tcBorders>
              <w:top w:val="nil"/>
              <w:left w:val="nil"/>
              <w:bottom w:val="single" w:sz="8" w:space="0" w:color="auto"/>
              <w:right w:val="single" w:sz="8" w:space="0" w:color="auto"/>
            </w:tcBorders>
          </w:tcPr>
          <w:p w14:paraId="2DEB7E56" w14:textId="0CE09E0D" w:rsidR="00C45C4C" w:rsidRPr="00687A04" w:rsidRDefault="00C45C4C" w:rsidP="00C13A58">
            <w:pPr>
              <w:spacing w:after="0" w:line="240" w:lineRule="auto"/>
              <w:rPr>
                <w:rFonts w:cs="Arial"/>
                <w:color w:val="000000"/>
                <w:szCs w:val="20"/>
              </w:rPr>
            </w:pPr>
            <w:r w:rsidRPr="0093234E">
              <w:t>2.409</w:t>
            </w:r>
          </w:p>
        </w:tc>
      </w:tr>
      <w:tr w:rsidR="00FF03BF" w:rsidRPr="005A5B87" w14:paraId="169E6B95" w14:textId="77777777" w:rsidTr="00C32914">
        <w:trPr>
          <w:trHeight w:val="190"/>
          <w:tblHeader/>
        </w:trPr>
        <w:tc>
          <w:tcPr>
            <w:tcW w:w="325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hideMark/>
          </w:tcPr>
          <w:p w14:paraId="2CD1A2F0" w14:textId="77777777" w:rsidR="00FF03BF" w:rsidRPr="00687A04" w:rsidRDefault="00FF03BF" w:rsidP="00FF03BF">
            <w:pPr>
              <w:spacing w:after="0" w:line="240" w:lineRule="auto"/>
              <w:rPr>
                <w:rFonts w:cs="Arial"/>
                <w:b/>
                <w:bCs/>
                <w:color w:val="000000"/>
                <w:szCs w:val="20"/>
              </w:rPr>
            </w:pPr>
            <w:r w:rsidRPr="00687A04">
              <w:rPr>
                <w:rFonts w:cs="Arial"/>
                <w:b/>
                <w:bCs/>
                <w:color w:val="000000"/>
                <w:szCs w:val="20"/>
              </w:rPr>
              <w:t>Total revenue</w:t>
            </w:r>
          </w:p>
        </w:tc>
        <w:tc>
          <w:tcPr>
            <w:tcW w:w="1162" w:type="dxa"/>
            <w:tcBorders>
              <w:top w:val="nil"/>
              <w:left w:val="nil"/>
              <w:bottom w:val="single" w:sz="8" w:space="0" w:color="auto"/>
              <w:right w:val="single" w:sz="8" w:space="0" w:color="auto"/>
            </w:tcBorders>
            <w:shd w:val="clear" w:color="auto" w:fill="D9D9D9" w:themeFill="background1" w:themeFillShade="D9"/>
          </w:tcPr>
          <w:p w14:paraId="01649FDE" w14:textId="56FF0A67" w:rsidR="00FF03BF" w:rsidRPr="00FF03BF" w:rsidRDefault="00FF03BF" w:rsidP="00C13A58">
            <w:pPr>
              <w:spacing w:after="0" w:line="240" w:lineRule="auto"/>
              <w:rPr>
                <w:rFonts w:cs="Arial"/>
                <w:b/>
                <w:bCs/>
                <w:color w:val="000000"/>
                <w:szCs w:val="20"/>
              </w:rPr>
            </w:pPr>
            <w:r w:rsidRPr="00FF03BF">
              <w:rPr>
                <w:b/>
              </w:rPr>
              <w:t>30.943</w:t>
            </w:r>
          </w:p>
        </w:tc>
        <w:tc>
          <w:tcPr>
            <w:tcW w:w="1162" w:type="dxa"/>
            <w:tcBorders>
              <w:top w:val="nil"/>
              <w:left w:val="nil"/>
              <w:bottom w:val="single" w:sz="8" w:space="0" w:color="auto"/>
              <w:right w:val="single" w:sz="8" w:space="0" w:color="auto"/>
            </w:tcBorders>
            <w:shd w:val="clear" w:color="auto" w:fill="D9D9D9" w:themeFill="background1" w:themeFillShade="D9"/>
          </w:tcPr>
          <w:p w14:paraId="0C55B07D" w14:textId="113EE411" w:rsidR="00FF03BF" w:rsidRPr="00FF03BF" w:rsidRDefault="00FF03BF" w:rsidP="00C13A58">
            <w:pPr>
              <w:spacing w:after="0" w:line="240" w:lineRule="auto"/>
              <w:rPr>
                <w:rFonts w:cs="Arial"/>
                <w:b/>
                <w:bCs/>
                <w:color w:val="000000"/>
                <w:szCs w:val="20"/>
              </w:rPr>
            </w:pPr>
            <w:r w:rsidRPr="00FF03BF">
              <w:rPr>
                <w:b/>
              </w:rPr>
              <w:t>29.652</w:t>
            </w:r>
          </w:p>
        </w:tc>
        <w:tc>
          <w:tcPr>
            <w:tcW w:w="1162" w:type="dxa"/>
            <w:tcBorders>
              <w:top w:val="nil"/>
              <w:left w:val="nil"/>
              <w:bottom w:val="single" w:sz="8" w:space="0" w:color="auto"/>
              <w:right w:val="single" w:sz="8" w:space="0" w:color="auto"/>
            </w:tcBorders>
            <w:shd w:val="clear" w:color="auto" w:fill="D9D9D9" w:themeFill="background1" w:themeFillShade="D9"/>
          </w:tcPr>
          <w:p w14:paraId="4E605EA9" w14:textId="34C02111" w:rsidR="00FF03BF" w:rsidRPr="00FF03BF" w:rsidRDefault="00FF03BF" w:rsidP="00C13A58">
            <w:pPr>
              <w:spacing w:after="0" w:line="240" w:lineRule="auto"/>
              <w:rPr>
                <w:rFonts w:cs="Arial"/>
                <w:b/>
                <w:bCs/>
                <w:color w:val="000000"/>
                <w:szCs w:val="20"/>
              </w:rPr>
            </w:pPr>
            <w:r w:rsidRPr="00FF03BF">
              <w:rPr>
                <w:b/>
              </w:rPr>
              <w:t>29.738</w:t>
            </w:r>
          </w:p>
        </w:tc>
        <w:tc>
          <w:tcPr>
            <w:tcW w:w="1162" w:type="dxa"/>
            <w:tcBorders>
              <w:top w:val="nil"/>
              <w:left w:val="nil"/>
              <w:bottom w:val="single" w:sz="8" w:space="0" w:color="auto"/>
              <w:right w:val="single" w:sz="8" w:space="0" w:color="auto"/>
            </w:tcBorders>
            <w:shd w:val="clear" w:color="auto" w:fill="D9D9D9" w:themeFill="background1" w:themeFillShade="D9"/>
          </w:tcPr>
          <w:p w14:paraId="621C6806" w14:textId="49C14831" w:rsidR="00FF03BF" w:rsidRPr="00FF03BF" w:rsidRDefault="00FF03BF" w:rsidP="00C13A58">
            <w:pPr>
              <w:spacing w:after="0" w:line="240" w:lineRule="auto"/>
              <w:rPr>
                <w:rFonts w:cs="Arial"/>
                <w:b/>
                <w:bCs/>
                <w:color w:val="000000"/>
                <w:szCs w:val="20"/>
              </w:rPr>
            </w:pPr>
            <w:r w:rsidRPr="00FF03BF">
              <w:rPr>
                <w:b/>
              </w:rPr>
              <w:t>32.318</w:t>
            </w:r>
          </w:p>
        </w:tc>
        <w:tc>
          <w:tcPr>
            <w:tcW w:w="1163" w:type="dxa"/>
            <w:tcBorders>
              <w:top w:val="nil"/>
              <w:left w:val="nil"/>
              <w:bottom w:val="single" w:sz="8" w:space="0" w:color="auto"/>
              <w:right w:val="single" w:sz="8" w:space="0" w:color="auto"/>
            </w:tcBorders>
            <w:shd w:val="clear" w:color="auto" w:fill="D9D9D9" w:themeFill="background1" w:themeFillShade="D9"/>
          </w:tcPr>
          <w:p w14:paraId="76CFA29D" w14:textId="16FB506D" w:rsidR="00FF03BF" w:rsidRPr="00FF03BF" w:rsidRDefault="00FF03BF" w:rsidP="00C13A58">
            <w:pPr>
              <w:spacing w:after="0" w:line="240" w:lineRule="auto"/>
              <w:rPr>
                <w:rFonts w:cs="Arial"/>
                <w:b/>
                <w:bCs/>
                <w:color w:val="000000"/>
                <w:szCs w:val="20"/>
              </w:rPr>
            </w:pPr>
            <w:r w:rsidRPr="00FF03BF">
              <w:rPr>
                <w:b/>
              </w:rPr>
              <w:t>31.679</w:t>
            </w:r>
          </w:p>
        </w:tc>
      </w:tr>
      <w:tr w:rsidR="00FF03BF" w:rsidRPr="005A5B87" w14:paraId="69F7F1F3" w14:textId="77777777" w:rsidTr="00C32914">
        <w:trPr>
          <w:trHeight w:val="252"/>
          <w:tblHeader/>
        </w:trPr>
        <w:tc>
          <w:tcPr>
            <w:tcW w:w="325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hideMark/>
          </w:tcPr>
          <w:p w14:paraId="5691E10F" w14:textId="77777777" w:rsidR="00FF03BF" w:rsidRPr="00687A04" w:rsidRDefault="00FF03BF" w:rsidP="00FF03BF">
            <w:pPr>
              <w:spacing w:after="0" w:line="240" w:lineRule="auto"/>
              <w:rPr>
                <w:rFonts w:cs="Arial"/>
                <w:b/>
                <w:bCs/>
                <w:color w:val="000000"/>
                <w:szCs w:val="20"/>
              </w:rPr>
            </w:pPr>
            <w:r w:rsidRPr="00687A04">
              <w:rPr>
                <w:rFonts w:cs="Arial"/>
                <w:b/>
                <w:bCs/>
                <w:color w:val="000000"/>
                <w:szCs w:val="20"/>
              </w:rPr>
              <w:t>Balance</w:t>
            </w:r>
          </w:p>
        </w:tc>
        <w:tc>
          <w:tcPr>
            <w:tcW w:w="1162" w:type="dxa"/>
            <w:tcBorders>
              <w:top w:val="single" w:sz="8" w:space="0" w:color="auto"/>
              <w:left w:val="nil"/>
              <w:bottom w:val="single" w:sz="8" w:space="0" w:color="auto"/>
              <w:right w:val="single" w:sz="8" w:space="0" w:color="auto"/>
            </w:tcBorders>
            <w:shd w:val="clear" w:color="auto" w:fill="D9D9D9" w:themeFill="background1" w:themeFillShade="D9"/>
          </w:tcPr>
          <w:p w14:paraId="3573E38D" w14:textId="42492A28" w:rsidR="00FF03BF" w:rsidRPr="00FF03BF" w:rsidRDefault="00FF03BF" w:rsidP="00C13A58">
            <w:pPr>
              <w:spacing w:after="0" w:line="240" w:lineRule="auto"/>
              <w:rPr>
                <w:rFonts w:cs="Arial"/>
                <w:b/>
                <w:bCs/>
                <w:color w:val="000000"/>
                <w:szCs w:val="20"/>
              </w:rPr>
            </w:pPr>
            <w:r w:rsidRPr="00FF03BF">
              <w:rPr>
                <w:b/>
              </w:rPr>
              <w:t>0.033</w:t>
            </w:r>
          </w:p>
        </w:tc>
        <w:tc>
          <w:tcPr>
            <w:tcW w:w="1162" w:type="dxa"/>
            <w:tcBorders>
              <w:top w:val="nil"/>
              <w:left w:val="nil"/>
              <w:bottom w:val="single" w:sz="8" w:space="0" w:color="auto"/>
              <w:right w:val="single" w:sz="8" w:space="0" w:color="auto"/>
            </w:tcBorders>
            <w:shd w:val="clear" w:color="auto" w:fill="D9D9D9" w:themeFill="background1" w:themeFillShade="D9"/>
          </w:tcPr>
          <w:p w14:paraId="39ED6FAA" w14:textId="4722326F" w:rsidR="00FF03BF" w:rsidRPr="00FF03BF" w:rsidRDefault="00FF03BF" w:rsidP="00C13A58">
            <w:pPr>
              <w:spacing w:after="0" w:line="240" w:lineRule="auto"/>
              <w:rPr>
                <w:rFonts w:cs="Arial"/>
                <w:b/>
                <w:bCs/>
                <w:color w:val="000000"/>
                <w:szCs w:val="20"/>
              </w:rPr>
            </w:pPr>
            <w:r w:rsidRPr="00FF03BF">
              <w:rPr>
                <w:b/>
              </w:rPr>
              <w:t>(0.042)</w:t>
            </w:r>
          </w:p>
        </w:tc>
        <w:tc>
          <w:tcPr>
            <w:tcW w:w="1162" w:type="dxa"/>
            <w:tcBorders>
              <w:top w:val="nil"/>
              <w:left w:val="nil"/>
              <w:bottom w:val="single" w:sz="8" w:space="0" w:color="auto"/>
              <w:right w:val="single" w:sz="8" w:space="0" w:color="auto"/>
            </w:tcBorders>
            <w:shd w:val="clear" w:color="auto" w:fill="D9D9D9" w:themeFill="background1" w:themeFillShade="D9"/>
          </w:tcPr>
          <w:p w14:paraId="64E1A59F" w14:textId="45F31047" w:rsidR="00FF03BF" w:rsidRPr="00FF03BF" w:rsidRDefault="00FF03BF" w:rsidP="00C13A58">
            <w:pPr>
              <w:spacing w:after="0" w:line="240" w:lineRule="auto"/>
              <w:rPr>
                <w:rFonts w:cs="Arial"/>
                <w:b/>
                <w:bCs/>
                <w:color w:val="000000"/>
                <w:szCs w:val="20"/>
              </w:rPr>
            </w:pPr>
            <w:r w:rsidRPr="00FF03BF">
              <w:rPr>
                <w:b/>
              </w:rPr>
              <w:t>(2.530)</w:t>
            </w:r>
          </w:p>
        </w:tc>
        <w:tc>
          <w:tcPr>
            <w:tcW w:w="1162" w:type="dxa"/>
            <w:tcBorders>
              <w:top w:val="nil"/>
              <w:left w:val="nil"/>
              <w:bottom w:val="single" w:sz="8" w:space="0" w:color="auto"/>
              <w:right w:val="single" w:sz="8" w:space="0" w:color="auto"/>
            </w:tcBorders>
            <w:shd w:val="clear" w:color="auto" w:fill="D9D9D9" w:themeFill="background1" w:themeFillShade="D9"/>
          </w:tcPr>
          <w:p w14:paraId="3F9BAEEF" w14:textId="3BD1FF34" w:rsidR="00FF03BF" w:rsidRPr="00FF03BF" w:rsidRDefault="00FF03BF" w:rsidP="00C13A58">
            <w:pPr>
              <w:spacing w:after="0" w:line="240" w:lineRule="auto"/>
              <w:rPr>
                <w:rFonts w:cs="Arial"/>
                <w:b/>
                <w:bCs/>
                <w:color w:val="000000"/>
                <w:szCs w:val="20"/>
              </w:rPr>
            </w:pPr>
            <w:r w:rsidRPr="00FF03BF">
              <w:rPr>
                <w:b/>
              </w:rPr>
              <w:t>0.681</w:t>
            </w:r>
          </w:p>
        </w:tc>
        <w:tc>
          <w:tcPr>
            <w:tcW w:w="1163" w:type="dxa"/>
            <w:tcBorders>
              <w:top w:val="nil"/>
              <w:left w:val="nil"/>
              <w:bottom w:val="single" w:sz="8" w:space="0" w:color="auto"/>
              <w:right w:val="single" w:sz="8" w:space="0" w:color="auto"/>
            </w:tcBorders>
            <w:shd w:val="clear" w:color="auto" w:fill="D9D9D9" w:themeFill="background1" w:themeFillShade="D9"/>
          </w:tcPr>
          <w:p w14:paraId="5292EF6C" w14:textId="02383C58" w:rsidR="00FF03BF" w:rsidRPr="00FF03BF" w:rsidRDefault="00FF03BF" w:rsidP="00C13A58">
            <w:pPr>
              <w:spacing w:after="0" w:line="240" w:lineRule="auto"/>
              <w:rPr>
                <w:rFonts w:cs="Arial"/>
                <w:b/>
                <w:bCs/>
                <w:color w:val="000000"/>
                <w:szCs w:val="20"/>
              </w:rPr>
            </w:pPr>
            <w:r w:rsidRPr="00FF03BF">
              <w:rPr>
                <w:b/>
              </w:rPr>
              <w:t>0.395</w:t>
            </w:r>
          </w:p>
        </w:tc>
      </w:tr>
    </w:tbl>
    <w:p w14:paraId="6809F0CF" w14:textId="77777777" w:rsidR="0090217E" w:rsidRDefault="0090217E" w:rsidP="00CE6BED">
      <w:pPr>
        <w:pStyle w:val="ACMASpaceaftertable"/>
      </w:pPr>
    </w:p>
    <w:p w14:paraId="606826DD" w14:textId="3B428ABF" w:rsidR="009B2A22" w:rsidRDefault="009B2A22" w:rsidP="00BD44CE">
      <w:pPr>
        <w:keepNext/>
        <w:keepLines/>
        <w:rPr>
          <w:rFonts w:cs="Arial"/>
        </w:rPr>
      </w:pPr>
      <w:r w:rsidRPr="00720272">
        <w:rPr>
          <w:rFonts w:cs="Arial"/>
        </w:rPr>
        <w:lastRenderedPageBreak/>
        <w:t xml:space="preserve">The </w:t>
      </w:r>
      <w:r w:rsidR="00BE2F68">
        <w:rPr>
          <w:rFonts w:cs="Arial"/>
        </w:rPr>
        <w:t xml:space="preserve">cost components recovered through the ACLC </w:t>
      </w:r>
      <w:r w:rsidRPr="00720272">
        <w:rPr>
          <w:rFonts w:cs="Arial"/>
        </w:rPr>
        <w:t xml:space="preserve">revenue </w:t>
      </w:r>
      <w:r w:rsidR="00A95D6A">
        <w:rPr>
          <w:rFonts w:cs="Arial"/>
        </w:rPr>
        <w:t>are</w:t>
      </w:r>
      <w:r w:rsidR="00BE2F68">
        <w:rPr>
          <w:rFonts w:cs="Arial"/>
        </w:rPr>
        <w:t xml:space="preserve"> determined in </w:t>
      </w:r>
      <w:r w:rsidRPr="00720272">
        <w:rPr>
          <w:rFonts w:cs="Arial"/>
        </w:rPr>
        <w:t>accordance with the Act. The Act requires the components under paragraph 15(1)(a)</w:t>
      </w:r>
      <w:r>
        <w:rPr>
          <w:rFonts w:cs="Arial"/>
        </w:rPr>
        <w:t xml:space="preserve">, </w:t>
      </w:r>
      <w:r w:rsidRPr="00720272">
        <w:rPr>
          <w:rFonts w:cs="Arial"/>
        </w:rPr>
        <w:t>15(1)(b) and 15(</w:t>
      </w:r>
      <w:proofErr w:type="gramStart"/>
      <w:r w:rsidRPr="00720272">
        <w:rPr>
          <w:rFonts w:cs="Arial"/>
        </w:rPr>
        <w:t>1)(</w:t>
      </w:r>
      <w:proofErr w:type="gramEnd"/>
      <w:r w:rsidRPr="00720272">
        <w:rPr>
          <w:rFonts w:cs="Arial"/>
        </w:rPr>
        <w:t>ca) to be calculated on the costs that are incurred in the financial year immediately preceding the financial year for which the</w:t>
      </w:r>
      <w:r w:rsidR="00F81381">
        <w:rPr>
          <w:rFonts w:cs="Arial"/>
        </w:rPr>
        <w:t xml:space="preserve"> ACLC</w:t>
      </w:r>
      <w:r w:rsidRPr="00720272">
        <w:rPr>
          <w:rFonts w:cs="Arial"/>
        </w:rPr>
        <w:t xml:space="preserve"> </w:t>
      </w:r>
      <w:r w:rsidR="00F81381">
        <w:rPr>
          <w:rFonts w:cs="Arial"/>
        </w:rPr>
        <w:t>is</w:t>
      </w:r>
      <w:r w:rsidRPr="00720272">
        <w:rPr>
          <w:rFonts w:cs="Arial"/>
        </w:rPr>
        <w:t xml:space="preserve"> imposed. </w:t>
      </w:r>
      <w:r>
        <w:rPr>
          <w:rFonts w:cs="Arial"/>
        </w:rPr>
        <w:t xml:space="preserve">As a result, </w:t>
      </w:r>
      <w:r w:rsidRPr="009B2A22">
        <w:rPr>
          <w:rFonts w:cs="Arial"/>
        </w:rPr>
        <w:t xml:space="preserve">the revenues for 15(1)(a), 15(1)(b) and </w:t>
      </w:r>
      <w:r w:rsidRPr="00D35E14">
        <w:rPr>
          <w:rFonts w:cs="Arial"/>
        </w:rPr>
        <w:t>15(</w:t>
      </w:r>
      <w:proofErr w:type="gramStart"/>
      <w:r w:rsidRPr="00D35E14">
        <w:rPr>
          <w:rFonts w:cs="Arial"/>
        </w:rPr>
        <w:t>1)(</w:t>
      </w:r>
      <w:proofErr w:type="gramEnd"/>
      <w:r w:rsidRPr="00D35E14">
        <w:rPr>
          <w:rFonts w:cs="Arial"/>
        </w:rPr>
        <w:t xml:space="preserve">ca) are based on the previous year’s expenditure. </w:t>
      </w:r>
      <w:r w:rsidR="001F572C">
        <w:rPr>
          <w:rFonts w:cs="Arial"/>
        </w:rPr>
        <w:t>Under</w:t>
      </w:r>
      <w:r w:rsidRPr="00D35E14">
        <w:rPr>
          <w:rFonts w:cs="Arial"/>
        </w:rPr>
        <w:t xml:space="preserve"> </w:t>
      </w:r>
      <w:r w:rsidR="000A40F6" w:rsidRPr="00D35E14">
        <w:rPr>
          <w:rFonts w:cs="Arial"/>
        </w:rPr>
        <w:t xml:space="preserve">the </w:t>
      </w:r>
      <w:r w:rsidRPr="00D35E14">
        <w:rPr>
          <w:rFonts w:cs="Arial"/>
        </w:rPr>
        <w:t>Act, t</w:t>
      </w:r>
      <w:r w:rsidRPr="00D35E14">
        <w:t xml:space="preserve">he cost component under paragraph 15(1)(c) relates to the calendar year in which the beginning of the financial year for imposing the ACLC occurs. </w:t>
      </w:r>
      <w:r w:rsidR="002850F8" w:rsidRPr="00D35E14">
        <w:t xml:space="preserve">In order to translate the expenditure incurred in the calendar year to the </w:t>
      </w:r>
      <w:r w:rsidR="00B27DA2" w:rsidRPr="00D35E14">
        <w:t xml:space="preserve">respective fiscal </w:t>
      </w:r>
      <w:r w:rsidR="002850F8" w:rsidRPr="00D35E14">
        <w:t>year, an average expe</w:t>
      </w:r>
      <w:r w:rsidR="00B27DA2" w:rsidRPr="00D35E14">
        <w:t>n</w:t>
      </w:r>
      <w:r w:rsidR="002B5531" w:rsidRPr="00D35E14">
        <w:t>diture of</w:t>
      </w:r>
      <w:r w:rsidR="00B27DA2" w:rsidRPr="00D35E14">
        <w:t xml:space="preserve"> two consecutive calendar years </w:t>
      </w:r>
      <w:r w:rsidR="002B5531" w:rsidRPr="00D35E14">
        <w:t>is used</w:t>
      </w:r>
      <w:r w:rsidR="00B27DA2" w:rsidRPr="00D35E14">
        <w:t>.</w:t>
      </w:r>
      <w:r w:rsidR="002B5531" w:rsidRPr="00D35E14">
        <w:t xml:space="preserve"> This</w:t>
      </w:r>
      <w:r w:rsidRPr="00D35E14">
        <w:t xml:space="preserve"> </w:t>
      </w:r>
      <w:r w:rsidRPr="00D35E14">
        <w:rPr>
          <w:rFonts w:cs="Arial"/>
        </w:rPr>
        <w:t>creates a lag in recognising the revenue, which has resulted in a surplus or deficit balance (that is, a</w:t>
      </w:r>
      <w:r w:rsidRPr="00720272">
        <w:rPr>
          <w:rFonts w:cs="Arial"/>
        </w:rPr>
        <w:t xml:space="preserve"> timing d</w:t>
      </w:r>
      <w:r>
        <w:rPr>
          <w:rFonts w:cs="Arial"/>
        </w:rPr>
        <w:t>i</w:t>
      </w:r>
      <w:r w:rsidRPr="00720272">
        <w:rPr>
          <w:rFonts w:cs="Arial"/>
        </w:rPr>
        <w:t>f</w:t>
      </w:r>
      <w:r>
        <w:rPr>
          <w:rFonts w:cs="Arial"/>
        </w:rPr>
        <w:t>f</w:t>
      </w:r>
      <w:r w:rsidRPr="00720272">
        <w:rPr>
          <w:rFonts w:cs="Arial"/>
        </w:rPr>
        <w:t>erence) for each financial year.</w:t>
      </w:r>
      <w:r>
        <w:rPr>
          <w:rFonts w:cs="Arial"/>
        </w:rPr>
        <w:t xml:space="preserve"> </w:t>
      </w:r>
    </w:p>
    <w:p w14:paraId="16A7DB2F" w14:textId="29B02D89" w:rsidR="004554F3" w:rsidRDefault="00977B43" w:rsidP="00B815BC">
      <w:pPr>
        <w:rPr>
          <w:rFonts w:cs="Arial"/>
          <w:iCs/>
        </w:rPr>
      </w:pPr>
      <w:r w:rsidRPr="00E8129B">
        <w:rPr>
          <w:rFonts w:cs="Arial"/>
          <w:iCs/>
        </w:rPr>
        <w:t>The level of</w:t>
      </w:r>
      <w:r w:rsidR="008F437D">
        <w:rPr>
          <w:rFonts w:cs="Arial"/>
          <w:iCs/>
        </w:rPr>
        <w:t xml:space="preserve"> the</w:t>
      </w:r>
      <w:r w:rsidRPr="00E8129B">
        <w:rPr>
          <w:rFonts w:cs="Arial"/>
          <w:iCs/>
        </w:rPr>
        <w:t xml:space="preserve"> </w:t>
      </w:r>
      <w:r w:rsidR="00D71DDA">
        <w:rPr>
          <w:rFonts w:cs="Arial"/>
          <w:iCs/>
        </w:rPr>
        <w:t xml:space="preserve">ACMA’s </w:t>
      </w:r>
      <w:r w:rsidRPr="00E8129B">
        <w:rPr>
          <w:rFonts w:cs="Arial"/>
          <w:iCs/>
        </w:rPr>
        <w:t xml:space="preserve">expenditure for the </w:t>
      </w:r>
      <w:r w:rsidR="00D71DDA">
        <w:rPr>
          <w:rFonts w:cs="Arial"/>
          <w:iCs/>
        </w:rPr>
        <w:t>2018</w:t>
      </w:r>
      <w:r w:rsidR="00E74157">
        <w:t>–</w:t>
      </w:r>
      <w:r w:rsidR="00D71DDA">
        <w:rPr>
          <w:rFonts w:cs="Arial"/>
          <w:iCs/>
        </w:rPr>
        <w:t>19 financial year i</w:t>
      </w:r>
      <w:r w:rsidRPr="00E8129B">
        <w:rPr>
          <w:rFonts w:cs="Arial"/>
          <w:iCs/>
        </w:rPr>
        <w:t xml:space="preserve">s </w:t>
      </w:r>
      <w:r w:rsidR="001D4BA6" w:rsidRPr="00E8129B">
        <w:rPr>
          <w:rFonts w:cs="Arial"/>
          <w:iCs/>
        </w:rPr>
        <w:t xml:space="preserve">not </w:t>
      </w:r>
      <w:r w:rsidRPr="00E8129B">
        <w:rPr>
          <w:rFonts w:cs="Arial"/>
          <w:iCs/>
        </w:rPr>
        <w:t xml:space="preserve">expected to </w:t>
      </w:r>
      <w:r w:rsidR="001D4BA6" w:rsidRPr="00E8129B">
        <w:rPr>
          <w:rFonts w:cs="Arial"/>
          <w:iCs/>
        </w:rPr>
        <w:t>change significantly</w:t>
      </w:r>
      <w:r w:rsidR="0081354C" w:rsidRPr="00E8129B">
        <w:rPr>
          <w:rFonts w:cs="Arial"/>
          <w:iCs/>
        </w:rPr>
        <w:t xml:space="preserve">. </w:t>
      </w:r>
      <w:r w:rsidR="003F1C7F">
        <w:rPr>
          <w:rFonts w:cs="Arial"/>
          <w:iCs/>
        </w:rPr>
        <w:t xml:space="preserve">However, </w:t>
      </w:r>
      <w:r w:rsidR="00D71DDA">
        <w:rPr>
          <w:rFonts w:cs="Arial"/>
          <w:iCs/>
        </w:rPr>
        <w:t xml:space="preserve">as noted in section 2.1 of this CRIS, </w:t>
      </w:r>
      <w:r w:rsidR="003F1C7F">
        <w:rPr>
          <w:rFonts w:cs="Arial"/>
          <w:iCs/>
        </w:rPr>
        <w:t xml:space="preserve">the </w:t>
      </w:r>
      <w:r w:rsidR="00422F40">
        <w:rPr>
          <w:rFonts w:cs="Arial"/>
          <w:iCs/>
        </w:rPr>
        <w:t>g</w:t>
      </w:r>
      <w:r w:rsidR="003F1C7F">
        <w:rPr>
          <w:rFonts w:cs="Arial"/>
          <w:iCs/>
        </w:rPr>
        <w:t xml:space="preserve">overnment has provided $7.2 million </w:t>
      </w:r>
      <w:r w:rsidR="00FF03BF" w:rsidRPr="00FF03BF">
        <w:rPr>
          <w:rFonts w:cs="Arial"/>
          <w:iCs/>
        </w:rPr>
        <w:t xml:space="preserve">to </w:t>
      </w:r>
      <w:r w:rsidR="008F437D">
        <w:rPr>
          <w:rFonts w:cs="Arial"/>
          <w:iCs/>
        </w:rPr>
        <w:t>the</w:t>
      </w:r>
      <w:r w:rsidR="008F437D" w:rsidRPr="00E8129B">
        <w:rPr>
          <w:rFonts w:cs="Arial"/>
          <w:iCs/>
        </w:rPr>
        <w:t xml:space="preserve"> </w:t>
      </w:r>
      <w:r w:rsidR="00EA4DA5">
        <w:rPr>
          <w:rFonts w:cs="Arial"/>
          <w:iCs/>
        </w:rPr>
        <w:t>ACMA to i</w:t>
      </w:r>
      <w:r w:rsidR="00FF03BF" w:rsidRPr="00FF03BF">
        <w:rPr>
          <w:rFonts w:cs="Arial"/>
          <w:iCs/>
        </w:rPr>
        <w:t xml:space="preserve">mprove dispute resolution for Australian telecommunications consumers by providing advice, support and oversight to the TIO </w:t>
      </w:r>
      <w:r w:rsidR="003F1C7F">
        <w:rPr>
          <w:rFonts w:cs="Arial"/>
          <w:iCs/>
        </w:rPr>
        <w:t>over four years from 2019</w:t>
      </w:r>
      <w:r w:rsidR="00E74157">
        <w:t>–</w:t>
      </w:r>
      <w:r w:rsidR="003F1C7F">
        <w:rPr>
          <w:rFonts w:cs="Arial"/>
          <w:iCs/>
        </w:rPr>
        <w:t>20</w:t>
      </w:r>
      <w:r w:rsidR="00FF03BF">
        <w:rPr>
          <w:rFonts w:cs="Arial"/>
          <w:iCs/>
        </w:rPr>
        <w:t xml:space="preserve">. </w:t>
      </w:r>
      <w:r w:rsidR="00D71DDA">
        <w:rPr>
          <w:rFonts w:cs="Arial"/>
          <w:iCs/>
        </w:rPr>
        <w:t>The estimate</w:t>
      </w:r>
      <w:r w:rsidR="00EA4DA5">
        <w:rPr>
          <w:rFonts w:cs="Arial"/>
          <w:iCs/>
        </w:rPr>
        <w:t xml:space="preserve">d costs of these activities </w:t>
      </w:r>
      <w:r w:rsidR="00D71DDA">
        <w:rPr>
          <w:rFonts w:cs="Arial"/>
          <w:iCs/>
        </w:rPr>
        <w:t xml:space="preserve">have been incorporated in </w:t>
      </w:r>
      <w:r w:rsidR="008F437D">
        <w:rPr>
          <w:rFonts w:cs="Arial"/>
          <w:iCs/>
        </w:rPr>
        <w:t>the</w:t>
      </w:r>
      <w:r w:rsidR="008F437D" w:rsidRPr="00E8129B">
        <w:rPr>
          <w:rFonts w:cs="Arial"/>
          <w:iCs/>
        </w:rPr>
        <w:t xml:space="preserve"> </w:t>
      </w:r>
      <w:r w:rsidR="00D71DDA">
        <w:rPr>
          <w:rFonts w:cs="Arial"/>
          <w:iCs/>
        </w:rPr>
        <w:t xml:space="preserve">ACMA’s </w:t>
      </w:r>
      <w:r w:rsidR="00F0730F">
        <w:rPr>
          <w:rFonts w:cs="Arial"/>
          <w:iCs/>
        </w:rPr>
        <w:t xml:space="preserve">expected telecommunication functions costs </w:t>
      </w:r>
      <w:r w:rsidR="00D71DDA">
        <w:rPr>
          <w:rFonts w:cs="Arial"/>
          <w:iCs/>
        </w:rPr>
        <w:t>component above.</w:t>
      </w:r>
    </w:p>
    <w:p w14:paraId="4F1918B4" w14:textId="2E9CFC25" w:rsidR="006754FE" w:rsidRDefault="006754FE" w:rsidP="006754FE">
      <w:pPr>
        <w:rPr>
          <w:rFonts w:cs="Arial"/>
          <w:iCs/>
        </w:rPr>
      </w:pPr>
      <w:r w:rsidRPr="006754FE">
        <w:rPr>
          <w:rFonts w:cs="Arial"/>
          <w:iCs/>
        </w:rPr>
        <w:t>The forecasts for the ACCC do not include any expenditure or revenues from the MBA program. These have been disclosed separately in Attachment B</w:t>
      </w:r>
      <w:r w:rsidR="00422F40">
        <w:rPr>
          <w:rFonts w:cs="Arial"/>
          <w:iCs/>
        </w:rPr>
        <w:t>—</w:t>
      </w:r>
      <w:r>
        <w:rPr>
          <w:rFonts w:cs="Arial"/>
          <w:iCs/>
        </w:rPr>
        <w:t>CRIS Addendum</w:t>
      </w:r>
      <w:r w:rsidRPr="006754FE">
        <w:rPr>
          <w:rFonts w:cs="Arial"/>
          <w:iCs/>
        </w:rPr>
        <w:t xml:space="preserve">. </w:t>
      </w:r>
      <w:bookmarkStart w:id="144" w:name="_Hlk10642491"/>
      <w:r w:rsidR="00C45C4C">
        <w:rPr>
          <w:rFonts w:cs="Arial"/>
          <w:iCs/>
        </w:rPr>
        <w:t>The ACCC notes t</w:t>
      </w:r>
      <w:r w:rsidRPr="006754FE">
        <w:rPr>
          <w:rFonts w:cs="Arial"/>
          <w:iCs/>
        </w:rPr>
        <w:t>here is a slight decrease in expenses for the ACCC from 2018–19 mainly due to a lower proportion of overheads being allocated to the ACLC. The ACCC has continued to receive funding for additional inquiry and priority work. The AER, which forms part of the ACCC, has also been provided additional ongoing funding to strengthen its capacity to regulate Australia’s energy markets.</w:t>
      </w:r>
      <w:bookmarkEnd w:id="144"/>
      <w:r w:rsidRPr="006754FE">
        <w:rPr>
          <w:rFonts w:cs="Arial"/>
          <w:iCs/>
        </w:rPr>
        <w:t xml:space="preserve"> The result of these changes will lead to overhead allocations being absorbed by a larger base, and therefore, reduce the overheads calculated as part of the ACLC function. Information on the additional funding received by the ACCC is contained in its 2018–19 Portfolio Budget Statements</w:t>
      </w:r>
      <w:r w:rsidRPr="006754FE">
        <w:rPr>
          <w:rStyle w:val="FootnoteReference"/>
          <w:rFonts w:cs="Arial"/>
          <w:iCs/>
        </w:rPr>
        <w:footnoteReference w:id="18"/>
      </w:r>
      <w:r w:rsidRPr="006754FE">
        <w:rPr>
          <w:rFonts w:cs="Arial"/>
          <w:iCs/>
        </w:rPr>
        <w:t xml:space="preserve"> and 2018–19 Portfolio Additional Estimates</w:t>
      </w:r>
      <w:r w:rsidR="00422F40">
        <w:rPr>
          <w:rFonts w:cs="Arial"/>
          <w:iCs/>
        </w:rPr>
        <w:t>.</w:t>
      </w:r>
      <w:r w:rsidRPr="006754FE">
        <w:rPr>
          <w:rStyle w:val="FootnoteReference"/>
          <w:rFonts w:cs="Arial"/>
          <w:iCs/>
        </w:rPr>
        <w:footnoteReference w:id="19"/>
      </w:r>
      <w:r>
        <w:rPr>
          <w:rFonts w:cs="Arial"/>
          <w:iCs/>
        </w:rPr>
        <w:t xml:space="preserve"> </w:t>
      </w:r>
    </w:p>
    <w:p w14:paraId="79FEF746" w14:textId="3CDCCFC8" w:rsidR="00B815BC" w:rsidRDefault="00D3561C" w:rsidP="00B815BC">
      <w:r>
        <w:rPr>
          <w:rFonts w:cs="Arial"/>
          <w:iCs/>
        </w:rPr>
        <w:t xml:space="preserve">The </w:t>
      </w:r>
      <w:r w:rsidR="00F133BF">
        <w:rPr>
          <w:rFonts w:cs="Arial"/>
          <w:iCs/>
        </w:rPr>
        <w:t xml:space="preserve">forecast </w:t>
      </w:r>
      <w:r>
        <w:rPr>
          <w:rFonts w:cs="Arial"/>
          <w:iCs/>
        </w:rPr>
        <w:t xml:space="preserve">increases in the grant for </w:t>
      </w:r>
      <w:r w:rsidRPr="00120B54">
        <w:rPr>
          <w:rFonts w:cs="Arial"/>
          <w:iCs/>
        </w:rPr>
        <w:t>consumer representation and research</w:t>
      </w:r>
      <w:r>
        <w:rPr>
          <w:rFonts w:cs="Arial"/>
          <w:iCs/>
        </w:rPr>
        <w:t xml:space="preserve"> reflect indexation movements</w:t>
      </w:r>
      <w:r w:rsidR="00F24FB7">
        <w:rPr>
          <w:rFonts w:cs="Arial"/>
          <w:iCs/>
        </w:rPr>
        <w:t>.</w:t>
      </w:r>
      <w:r>
        <w:t xml:space="preserve"> </w:t>
      </w:r>
    </w:p>
    <w:p w14:paraId="3A905596" w14:textId="77777777" w:rsidR="009E783D" w:rsidRPr="00CC3F4B" w:rsidRDefault="009E783D" w:rsidP="009E783D">
      <w:pPr>
        <w:pStyle w:val="Heading1"/>
      </w:pPr>
      <w:bookmarkStart w:id="145" w:name="_Toc417990965"/>
      <w:bookmarkStart w:id="146" w:name="_Toc511634407"/>
      <w:bookmarkStart w:id="147" w:name="_Toc26786347"/>
      <w:bookmarkStart w:id="148" w:name="_Toc355953994"/>
      <w:bookmarkStart w:id="149" w:name="_Toc385256323"/>
      <w:r>
        <w:lastRenderedPageBreak/>
        <w:t xml:space="preserve">7A. </w:t>
      </w:r>
      <w:r w:rsidR="00CB3D67">
        <w:tab/>
      </w:r>
      <w:r w:rsidRPr="00CC3F4B">
        <w:t xml:space="preserve">Financial </w:t>
      </w:r>
      <w:r>
        <w:t>performance</w:t>
      </w:r>
      <w:bookmarkEnd w:id="145"/>
      <w:bookmarkEnd w:id="146"/>
      <w:bookmarkEnd w:id="147"/>
    </w:p>
    <w:p w14:paraId="4E303136" w14:textId="487968F0" w:rsidR="003F4664" w:rsidRDefault="009E783D" w:rsidP="00D567BE">
      <w:pPr>
        <w:rPr>
          <w:rFonts w:cs="Arial"/>
          <w:iCs/>
        </w:rPr>
      </w:pPr>
      <w:r w:rsidRPr="001B4BD7">
        <w:rPr>
          <w:rFonts w:cs="Arial"/>
          <w:iCs/>
        </w:rPr>
        <w:t>Historical actual financial results for AC</w:t>
      </w:r>
      <w:r>
        <w:rPr>
          <w:rFonts w:cs="Arial"/>
          <w:iCs/>
        </w:rPr>
        <w:t>LC</w:t>
      </w:r>
      <w:r w:rsidRPr="001B4BD7">
        <w:rPr>
          <w:rFonts w:cs="Arial"/>
          <w:iCs/>
        </w:rPr>
        <w:t xml:space="preserve"> for </w:t>
      </w:r>
      <w:r>
        <w:rPr>
          <w:rFonts w:cs="Arial"/>
          <w:iCs/>
        </w:rPr>
        <w:t>2</w:t>
      </w:r>
      <w:r w:rsidR="0059546E">
        <w:rPr>
          <w:rFonts w:cs="Arial"/>
          <w:iCs/>
        </w:rPr>
        <w:t>01</w:t>
      </w:r>
      <w:r w:rsidR="00973082">
        <w:rPr>
          <w:rFonts w:cs="Arial"/>
          <w:iCs/>
        </w:rPr>
        <w:t>7</w:t>
      </w:r>
      <w:r w:rsidR="003F4664">
        <w:rPr>
          <w:rFonts w:cs="Arial"/>
          <w:iCs/>
        </w:rPr>
        <w:t>–</w:t>
      </w:r>
      <w:r w:rsidR="0059546E">
        <w:rPr>
          <w:rFonts w:cs="Arial"/>
          <w:iCs/>
        </w:rPr>
        <w:t>1</w:t>
      </w:r>
      <w:r w:rsidR="00973082">
        <w:rPr>
          <w:rFonts w:cs="Arial"/>
          <w:iCs/>
        </w:rPr>
        <w:t>8</w:t>
      </w:r>
      <w:r w:rsidRPr="003F4664">
        <w:rPr>
          <w:rFonts w:cs="Arial"/>
          <w:iCs/>
        </w:rPr>
        <w:t xml:space="preserve"> and</w:t>
      </w:r>
      <w:r w:rsidRPr="001B4BD7">
        <w:rPr>
          <w:rFonts w:cs="Arial"/>
          <w:iCs/>
        </w:rPr>
        <w:t xml:space="preserve"> previous </w:t>
      </w:r>
      <w:r w:rsidR="00D866D4">
        <w:rPr>
          <w:rFonts w:cs="Arial"/>
          <w:iCs/>
        </w:rPr>
        <w:t>financial years are in Table 1</w:t>
      </w:r>
      <w:r w:rsidR="00673D1F">
        <w:rPr>
          <w:rFonts w:cs="Arial"/>
          <w:iCs/>
        </w:rPr>
        <w:t>9</w:t>
      </w:r>
      <w:r w:rsidR="003F4664">
        <w:rPr>
          <w:rFonts w:cs="Arial"/>
          <w:iCs/>
        </w:rPr>
        <w:t>.</w:t>
      </w:r>
    </w:p>
    <w:p w14:paraId="29DCB6AA" w14:textId="7D65E0E4" w:rsidR="003F4664" w:rsidRPr="00673D1F" w:rsidRDefault="003F4664" w:rsidP="00673D1F">
      <w:pPr>
        <w:pStyle w:val="ACMATableHeader"/>
      </w:pPr>
      <w:r w:rsidRPr="00673D1F">
        <w:t>Historical ACLC expenses and revenue</w:t>
      </w:r>
    </w:p>
    <w:tbl>
      <w:tblPr>
        <w:tblW w:w="9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4A0" w:firstRow="1" w:lastRow="0" w:firstColumn="1" w:lastColumn="0" w:noHBand="0" w:noVBand="1"/>
      </w:tblPr>
      <w:tblGrid>
        <w:gridCol w:w="955"/>
        <w:gridCol w:w="2551"/>
        <w:gridCol w:w="1190"/>
        <w:gridCol w:w="1191"/>
        <w:gridCol w:w="1191"/>
        <w:gridCol w:w="1191"/>
        <w:gridCol w:w="1191"/>
      </w:tblGrid>
      <w:tr w:rsidR="00601D5F" w:rsidRPr="00601D5F" w14:paraId="708A4448" w14:textId="77777777" w:rsidTr="00601D5F">
        <w:trPr>
          <w:cantSplit/>
          <w:trHeight w:val="315"/>
          <w:tblHeader/>
        </w:trPr>
        <w:tc>
          <w:tcPr>
            <w:tcW w:w="955" w:type="dxa"/>
            <w:shd w:val="clear" w:color="auto" w:fill="404040" w:themeFill="text1" w:themeFillTint="BF"/>
          </w:tcPr>
          <w:p w14:paraId="1D2571E6" w14:textId="77777777" w:rsidR="00601D5F" w:rsidRDefault="00601D5F" w:rsidP="00601D5F">
            <w:pPr>
              <w:pStyle w:val="TableHeading"/>
              <w:rPr>
                <w:color w:val="FFFFFF" w:themeColor="background1"/>
              </w:rPr>
            </w:pPr>
            <w:r w:rsidRPr="00BD44CE">
              <w:rPr>
                <w:color w:val="FFFFFF" w:themeColor="background1"/>
              </w:rPr>
              <w:t>Ref. in the Act</w:t>
            </w:r>
          </w:p>
          <w:p w14:paraId="3071E4FA" w14:textId="5FA0212C" w:rsidR="00610C27" w:rsidRPr="00BD44CE" w:rsidRDefault="00610C27" w:rsidP="00BD44CE">
            <w:pPr>
              <w:pStyle w:val="TableHeading"/>
              <w:rPr>
                <w:color w:val="FFFFFF" w:themeColor="background1"/>
              </w:rPr>
            </w:pPr>
          </w:p>
        </w:tc>
        <w:tc>
          <w:tcPr>
            <w:tcW w:w="2551" w:type="dxa"/>
            <w:shd w:val="clear" w:color="auto" w:fill="404040" w:themeFill="text1" w:themeFillTint="BF"/>
          </w:tcPr>
          <w:p w14:paraId="1C6A1108" w14:textId="08FBA157" w:rsidR="00601D5F" w:rsidRPr="00BD44CE" w:rsidRDefault="00601D5F" w:rsidP="00BD44CE">
            <w:pPr>
              <w:pStyle w:val="TableHeading"/>
              <w:rPr>
                <w:color w:val="FFFFFF" w:themeColor="background1"/>
              </w:rPr>
            </w:pPr>
            <w:r w:rsidRPr="00BD44CE">
              <w:rPr>
                <w:color w:val="FFFFFF" w:themeColor="background1"/>
              </w:rPr>
              <w:t>Component</w:t>
            </w:r>
          </w:p>
        </w:tc>
        <w:tc>
          <w:tcPr>
            <w:tcW w:w="1190" w:type="dxa"/>
            <w:shd w:val="clear" w:color="auto" w:fill="404040" w:themeFill="text1" w:themeFillTint="BF"/>
          </w:tcPr>
          <w:p w14:paraId="2DBBADA6" w14:textId="77777777" w:rsidR="00601D5F" w:rsidRPr="00BD44CE" w:rsidRDefault="00601D5F" w:rsidP="00C13A58">
            <w:pPr>
              <w:pStyle w:val="TableHeading"/>
              <w:rPr>
                <w:color w:val="FFFFFF" w:themeColor="background1"/>
              </w:rPr>
            </w:pPr>
            <w:r w:rsidRPr="00BD44CE">
              <w:rPr>
                <w:color w:val="FFFFFF" w:themeColor="background1"/>
              </w:rPr>
              <w:t>2017–18</w:t>
            </w:r>
          </w:p>
          <w:p w14:paraId="2C1C1AF4" w14:textId="548DD0F5" w:rsidR="00601D5F" w:rsidRPr="00BD44CE" w:rsidRDefault="00601D5F" w:rsidP="00C13A58">
            <w:pPr>
              <w:pStyle w:val="TableHeading"/>
              <w:rPr>
                <w:color w:val="FFFFFF" w:themeColor="background1"/>
              </w:rPr>
            </w:pPr>
            <w:r w:rsidRPr="00BD44CE">
              <w:rPr>
                <w:color w:val="FFFFFF" w:themeColor="background1"/>
              </w:rPr>
              <w:t>($million)</w:t>
            </w:r>
          </w:p>
        </w:tc>
        <w:tc>
          <w:tcPr>
            <w:tcW w:w="1191" w:type="dxa"/>
            <w:shd w:val="clear" w:color="auto" w:fill="404040" w:themeFill="text1" w:themeFillTint="BF"/>
          </w:tcPr>
          <w:p w14:paraId="6DD191E9" w14:textId="5148C489" w:rsidR="00601D5F" w:rsidRPr="00BD44CE" w:rsidRDefault="00D2135C" w:rsidP="00C13A58">
            <w:pPr>
              <w:pStyle w:val="TableHeading"/>
              <w:rPr>
                <w:color w:val="FFFFFF" w:themeColor="background1"/>
              </w:rPr>
            </w:pPr>
            <w:r>
              <w:rPr>
                <w:color w:val="FFFFFF" w:themeColor="background1"/>
              </w:rPr>
              <w:t>2016-17</w:t>
            </w:r>
          </w:p>
          <w:p w14:paraId="4D42BB36" w14:textId="1BD785F1" w:rsidR="00601D5F" w:rsidRPr="00BD44CE" w:rsidRDefault="00601D5F" w:rsidP="00C13A58">
            <w:pPr>
              <w:pStyle w:val="TableHeading"/>
              <w:rPr>
                <w:color w:val="FFFFFF" w:themeColor="background1"/>
              </w:rPr>
            </w:pPr>
            <w:r w:rsidRPr="00BD44CE">
              <w:rPr>
                <w:color w:val="FFFFFF" w:themeColor="background1"/>
              </w:rPr>
              <w:t>($million)</w:t>
            </w:r>
          </w:p>
        </w:tc>
        <w:tc>
          <w:tcPr>
            <w:tcW w:w="1191" w:type="dxa"/>
            <w:shd w:val="clear" w:color="auto" w:fill="404040" w:themeFill="text1" w:themeFillTint="BF"/>
          </w:tcPr>
          <w:p w14:paraId="363A306A" w14:textId="6FA8AC62" w:rsidR="00601D5F" w:rsidRPr="00BD44CE" w:rsidRDefault="00601D5F" w:rsidP="00C13A58">
            <w:pPr>
              <w:pStyle w:val="TableHeading"/>
              <w:rPr>
                <w:color w:val="FFFFFF" w:themeColor="background1"/>
              </w:rPr>
            </w:pPr>
            <w:r w:rsidRPr="00BD44CE">
              <w:rPr>
                <w:color w:val="FFFFFF" w:themeColor="background1"/>
              </w:rPr>
              <w:t>20</w:t>
            </w:r>
            <w:r w:rsidR="00B36970">
              <w:rPr>
                <w:color w:val="FFFFFF" w:themeColor="background1"/>
              </w:rPr>
              <w:t>15-16</w:t>
            </w:r>
          </w:p>
          <w:p w14:paraId="1414E5C7" w14:textId="71601F62" w:rsidR="00601D5F" w:rsidRPr="00BD44CE" w:rsidRDefault="00601D5F" w:rsidP="00C13A58">
            <w:pPr>
              <w:pStyle w:val="TableHeading"/>
              <w:rPr>
                <w:color w:val="FFFFFF" w:themeColor="background1"/>
              </w:rPr>
            </w:pPr>
            <w:r w:rsidRPr="00BD44CE">
              <w:rPr>
                <w:color w:val="FFFFFF" w:themeColor="background1"/>
              </w:rPr>
              <w:t>($million)</w:t>
            </w:r>
          </w:p>
        </w:tc>
        <w:tc>
          <w:tcPr>
            <w:tcW w:w="1191" w:type="dxa"/>
            <w:shd w:val="clear" w:color="auto" w:fill="404040" w:themeFill="text1" w:themeFillTint="BF"/>
          </w:tcPr>
          <w:p w14:paraId="0FA0DA61" w14:textId="34EA2C08" w:rsidR="00601D5F" w:rsidRPr="00BD44CE" w:rsidRDefault="00601D5F" w:rsidP="00C13A58">
            <w:pPr>
              <w:pStyle w:val="TableHeading"/>
              <w:rPr>
                <w:color w:val="FFFFFF" w:themeColor="background1"/>
              </w:rPr>
            </w:pPr>
            <w:r w:rsidRPr="00BD44CE">
              <w:rPr>
                <w:color w:val="FFFFFF" w:themeColor="background1"/>
              </w:rPr>
              <w:t>20</w:t>
            </w:r>
            <w:r w:rsidR="00B36970">
              <w:rPr>
                <w:color w:val="FFFFFF" w:themeColor="background1"/>
              </w:rPr>
              <w:t>14-15</w:t>
            </w:r>
          </w:p>
          <w:p w14:paraId="00BFD0FF" w14:textId="28E684BF" w:rsidR="00601D5F" w:rsidRPr="00BD44CE" w:rsidRDefault="00601D5F" w:rsidP="00C13A58">
            <w:pPr>
              <w:pStyle w:val="TableHeading"/>
              <w:rPr>
                <w:color w:val="FFFFFF" w:themeColor="background1"/>
              </w:rPr>
            </w:pPr>
            <w:r w:rsidRPr="00BD44CE">
              <w:rPr>
                <w:color w:val="FFFFFF" w:themeColor="background1"/>
              </w:rPr>
              <w:t>($million)</w:t>
            </w:r>
          </w:p>
        </w:tc>
        <w:tc>
          <w:tcPr>
            <w:tcW w:w="1191" w:type="dxa"/>
            <w:shd w:val="clear" w:color="auto" w:fill="404040" w:themeFill="text1" w:themeFillTint="BF"/>
          </w:tcPr>
          <w:p w14:paraId="2E7F4E22" w14:textId="16A7EF46" w:rsidR="00601D5F" w:rsidRPr="00BD44CE" w:rsidRDefault="00601D5F" w:rsidP="00C13A58">
            <w:pPr>
              <w:pStyle w:val="TableHeading"/>
              <w:rPr>
                <w:color w:val="FFFFFF" w:themeColor="background1"/>
              </w:rPr>
            </w:pPr>
            <w:r w:rsidRPr="00BD44CE">
              <w:rPr>
                <w:color w:val="FFFFFF" w:themeColor="background1"/>
              </w:rPr>
              <w:t>20</w:t>
            </w:r>
            <w:r w:rsidR="00B36970">
              <w:rPr>
                <w:color w:val="FFFFFF" w:themeColor="background1"/>
              </w:rPr>
              <w:t>13-14</w:t>
            </w:r>
          </w:p>
          <w:p w14:paraId="59C187F9" w14:textId="64E53169" w:rsidR="00601D5F" w:rsidRPr="00BD44CE" w:rsidRDefault="00601D5F" w:rsidP="00C13A58">
            <w:pPr>
              <w:pStyle w:val="TableHeading"/>
              <w:rPr>
                <w:color w:val="FFFFFF" w:themeColor="background1"/>
              </w:rPr>
            </w:pPr>
            <w:r w:rsidRPr="00BD44CE">
              <w:rPr>
                <w:color w:val="FFFFFF" w:themeColor="background1"/>
              </w:rPr>
              <w:t>($million)</w:t>
            </w:r>
          </w:p>
        </w:tc>
      </w:tr>
      <w:tr w:rsidR="00973082" w:rsidRPr="001431D5" w14:paraId="6F3B5FAD" w14:textId="77777777" w:rsidTr="00144A3A">
        <w:trPr>
          <w:cantSplit/>
          <w:trHeight w:val="315"/>
          <w:tblHeader/>
        </w:trPr>
        <w:tc>
          <w:tcPr>
            <w:tcW w:w="955" w:type="dxa"/>
            <w:shd w:val="clear" w:color="auto" w:fill="auto"/>
            <w:hideMark/>
          </w:tcPr>
          <w:p w14:paraId="77ABF89A" w14:textId="77777777" w:rsidR="00973082" w:rsidRPr="00687A04" w:rsidRDefault="00973082" w:rsidP="00973082">
            <w:pPr>
              <w:spacing w:after="0" w:line="240" w:lineRule="auto"/>
              <w:rPr>
                <w:rFonts w:cs="Arial"/>
                <w:color w:val="000000"/>
                <w:szCs w:val="20"/>
              </w:rPr>
            </w:pPr>
            <w:r w:rsidRPr="00687A04">
              <w:rPr>
                <w:rFonts w:cs="Arial"/>
                <w:color w:val="000000"/>
                <w:szCs w:val="20"/>
              </w:rPr>
              <w:t>15(1)(a)</w:t>
            </w:r>
          </w:p>
        </w:tc>
        <w:tc>
          <w:tcPr>
            <w:tcW w:w="2551" w:type="dxa"/>
            <w:shd w:val="clear" w:color="auto" w:fill="auto"/>
            <w:hideMark/>
          </w:tcPr>
          <w:p w14:paraId="1B6D1EF6" w14:textId="15B0C8F9" w:rsidR="00973082" w:rsidRPr="00687A04" w:rsidRDefault="00973082" w:rsidP="00973082">
            <w:pPr>
              <w:spacing w:after="0" w:line="240" w:lineRule="auto"/>
              <w:rPr>
                <w:rFonts w:cs="Arial"/>
                <w:color w:val="000000"/>
                <w:szCs w:val="20"/>
              </w:rPr>
            </w:pPr>
            <w:r w:rsidRPr="00687A04">
              <w:rPr>
                <w:rFonts w:cs="Arial"/>
                <w:color w:val="000000"/>
                <w:szCs w:val="20"/>
              </w:rPr>
              <w:t xml:space="preserve">ACMA </w:t>
            </w:r>
            <w:r w:rsidR="00C45C4C">
              <w:rPr>
                <w:rFonts w:cs="Arial"/>
                <w:color w:val="000000"/>
                <w:szCs w:val="20"/>
              </w:rPr>
              <w:t xml:space="preserve">telecommunications </w:t>
            </w:r>
            <w:r w:rsidRPr="00687A04">
              <w:rPr>
                <w:rFonts w:cs="Arial"/>
                <w:color w:val="000000"/>
                <w:szCs w:val="20"/>
              </w:rPr>
              <w:t>expenses</w:t>
            </w:r>
          </w:p>
        </w:tc>
        <w:tc>
          <w:tcPr>
            <w:tcW w:w="1190" w:type="dxa"/>
            <w:shd w:val="clear" w:color="auto" w:fill="auto"/>
          </w:tcPr>
          <w:p w14:paraId="44499650" w14:textId="16A9DC87" w:rsidR="00973082" w:rsidRPr="00687A04" w:rsidRDefault="00CB4539" w:rsidP="00C13A58">
            <w:pPr>
              <w:spacing w:after="0" w:line="240" w:lineRule="auto"/>
              <w:rPr>
                <w:rFonts w:cs="Arial"/>
                <w:color w:val="000000"/>
                <w:szCs w:val="20"/>
              </w:rPr>
            </w:pPr>
            <w:r>
              <w:rPr>
                <w:rFonts w:cs="Arial"/>
                <w:color w:val="000000"/>
                <w:szCs w:val="20"/>
              </w:rPr>
              <w:t>13.398</w:t>
            </w:r>
          </w:p>
        </w:tc>
        <w:tc>
          <w:tcPr>
            <w:tcW w:w="1191" w:type="dxa"/>
            <w:shd w:val="clear" w:color="auto" w:fill="auto"/>
          </w:tcPr>
          <w:p w14:paraId="561857D3" w14:textId="3ECCE973" w:rsidR="00973082" w:rsidRPr="00687A04" w:rsidRDefault="00973082" w:rsidP="00C13A58">
            <w:pPr>
              <w:spacing w:after="0" w:line="240" w:lineRule="auto"/>
              <w:rPr>
                <w:rFonts w:cs="Arial"/>
                <w:color w:val="000000"/>
                <w:szCs w:val="20"/>
              </w:rPr>
            </w:pPr>
            <w:r>
              <w:rPr>
                <w:rFonts w:cs="Arial"/>
                <w:color w:val="000000"/>
                <w:szCs w:val="20"/>
              </w:rPr>
              <w:t>14.304</w:t>
            </w:r>
          </w:p>
        </w:tc>
        <w:tc>
          <w:tcPr>
            <w:tcW w:w="1191" w:type="dxa"/>
            <w:shd w:val="clear" w:color="auto" w:fill="auto"/>
          </w:tcPr>
          <w:p w14:paraId="7EEE0E8B" w14:textId="63C6416E" w:rsidR="00973082" w:rsidRPr="00687A04" w:rsidRDefault="00973082" w:rsidP="00C13A58">
            <w:pPr>
              <w:spacing w:after="0" w:line="240" w:lineRule="auto"/>
              <w:rPr>
                <w:rFonts w:cs="Arial"/>
                <w:color w:val="000000"/>
                <w:szCs w:val="20"/>
              </w:rPr>
            </w:pPr>
            <w:r>
              <w:rPr>
                <w:rFonts w:cs="Arial"/>
                <w:color w:val="000000"/>
                <w:szCs w:val="20"/>
              </w:rPr>
              <w:t>14.405</w:t>
            </w:r>
          </w:p>
        </w:tc>
        <w:tc>
          <w:tcPr>
            <w:tcW w:w="1191" w:type="dxa"/>
            <w:shd w:val="clear" w:color="auto" w:fill="auto"/>
          </w:tcPr>
          <w:p w14:paraId="0DB0E2FC" w14:textId="21C634DD" w:rsidR="00973082" w:rsidRPr="00687A04" w:rsidRDefault="00973082" w:rsidP="00C13A58">
            <w:pPr>
              <w:spacing w:after="0" w:line="240" w:lineRule="auto"/>
              <w:rPr>
                <w:rFonts w:cs="Arial"/>
                <w:color w:val="000000"/>
                <w:szCs w:val="20"/>
              </w:rPr>
            </w:pPr>
            <w:r>
              <w:rPr>
                <w:rFonts w:cs="Arial"/>
                <w:color w:val="000000"/>
                <w:szCs w:val="20"/>
              </w:rPr>
              <w:t>17.572</w:t>
            </w:r>
          </w:p>
        </w:tc>
        <w:tc>
          <w:tcPr>
            <w:tcW w:w="1191" w:type="dxa"/>
            <w:shd w:val="clear" w:color="auto" w:fill="auto"/>
          </w:tcPr>
          <w:p w14:paraId="56009405" w14:textId="15BB40B7" w:rsidR="00973082" w:rsidRPr="00687A04" w:rsidRDefault="00973082" w:rsidP="00C13A58">
            <w:pPr>
              <w:spacing w:after="0" w:line="240" w:lineRule="auto"/>
              <w:rPr>
                <w:rFonts w:cs="Arial"/>
                <w:color w:val="000000"/>
                <w:szCs w:val="20"/>
              </w:rPr>
            </w:pPr>
            <w:r>
              <w:rPr>
                <w:rFonts w:cs="Arial"/>
                <w:color w:val="000000"/>
                <w:szCs w:val="20"/>
              </w:rPr>
              <w:t>19.654</w:t>
            </w:r>
          </w:p>
        </w:tc>
      </w:tr>
      <w:tr w:rsidR="00C45C4C" w:rsidRPr="001431D5" w14:paraId="6DAF67C6" w14:textId="77777777" w:rsidTr="00C45C4C">
        <w:trPr>
          <w:cantSplit/>
          <w:trHeight w:val="315"/>
          <w:tblHeader/>
        </w:trPr>
        <w:tc>
          <w:tcPr>
            <w:tcW w:w="955" w:type="dxa"/>
            <w:shd w:val="clear" w:color="auto" w:fill="auto"/>
            <w:hideMark/>
          </w:tcPr>
          <w:p w14:paraId="53D26436" w14:textId="77777777" w:rsidR="00C45C4C" w:rsidRPr="00687A04" w:rsidRDefault="00C45C4C" w:rsidP="00C45C4C">
            <w:pPr>
              <w:spacing w:after="0" w:line="240" w:lineRule="auto"/>
              <w:rPr>
                <w:rFonts w:cs="Arial"/>
                <w:color w:val="000000"/>
                <w:szCs w:val="20"/>
              </w:rPr>
            </w:pPr>
            <w:r w:rsidRPr="00687A04">
              <w:rPr>
                <w:rFonts w:cs="Arial"/>
                <w:color w:val="000000"/>
                <w:szCs w:val="20"/>
              </w:rPr>
              <w:t>15(1)(b)</w:t>
            </w:r>
          </w:p>
        </w:tc>
        <w:tc>
          <w:tcPr>
            <w:tcW w:w="2551" w:type="dxa"/>
            <w:shd w:val="clear" w:color="auto" w:fill="auto"/>
            <w:hideMark/>
          </w:tcPr>
          <w:p w14:paraId="495B48E7" w14:textId="2A50D6F4" w:rsidR="00C45C4C" w:rsidRPr="00687A04" w:rsidRDefault="00C45C4C" w:rsidP="00C45C4C">
            <w:pPr>
              <w:spacing w:after="0" w:line="240" w:lineRule="auto"/>
              <w:rPr>
                <w:rFonts w:cs="Arial"/>
                <w:color w:val="000000"/>
                <w:szCs w:val="20"/>
              </w:rPr>
            </w:pPr>
            <w:r w:rsidRPr="00687A04">
              <w:rPr>
                <w:rFonts w:cs="Arial"/>
                <w:color w:val="000000"/>
                <w:szCs w:val="20"/>
              </w:rPr>
              <w:t xml:space="preserve">ACCC </w:t>
            </w:r>
            <w:r>
              <w:rPr>
                <w:rFonts w:cs="Arial"/>
                <w:color w:val="000000"/>
                <w:szCs w:val="20"/>
              </w:rPr>
              <w:t xml:space="preserve">telecommunications </w:t>
            </w:r>
            <w:r w:rsidRPr="00687A04">
              <w:rPr>
                <w:rFonts w:cs="Arial"/>
                <w:color w:val="000000"/>
                <w:szCs w:val="20"/>
              </w:rPr>
              <w:t xml:space="preserve">expenses </w:t>
            </w:r>
          </w:p>
        </w:tc>
        <w:tc>
          <w:tcPr>
            <w:tcW w:w="1190" w:type="dxa"/>
            <w:shd w:val="clear" w:color="auto" w:fill="auto"/>
          </w:tcPr>
          <w:p w14:paraId="4E08A53A" w14:textId="2F9A0118" w:rsidR="00C45C4C" w:rsidRPr="00687A04" w:rsidRDefault="00C45C4C" w:rsidP="00C13A58">
            <w:pPr>
              <w:spacing w:after="0" w:line="240" w:lineRule="auto"/>
              <w:rPr>
                <w:rFonts w:cs="Arial"/>
                <w:color w:val="000000"/>
                <w:szCs w:val="20"/>
              </w:rPr>
            </w:pPr>
            <w:r>
              <w:rPr>
                <w:rFonts w:cs="Arial"/>
                <w:color w:val="000000"/>
                <w:szCs w:val="20"/>
              </w:rPr>
              <w:t>11.764</w:t>
            </w:r>
          </w:p>
        </w:tc>
        <w:tc>
          <w:tcPr>
            <w:tcW w:w="1191" w:type="dxa"/>
            <w:shd w:val="clear" w:color="auto" w:fill="auto"/>
          </w:tcPr>
          <w:p w14:paraId="3CB77DB5" w14:textId="5BE3FC60" w:rsidR="00C45C4C" w:rsidRPr="00687A04" w:rsidRDefault="00C45C4C" w:rsidP="00C13A58">
            <w:pPr>
              <w:spacing w:after="0" w:line="240" w:lineRule="auto"/>
              <w:rPr>
                <w:rFonts w:cs="Arial"/>
                <w:color w:val="000000"/>
                <w:szCs w:val="20"/>
              </w:rPr>
            </w:pPr>
            <w:r>
              <w:rPr>
                <w:rFonts w:cs="Arial"/>
                <w:color w:val="000000"/>
                <w:szCs w:val="20"/>
              </w:rPr>
              <w:t>13.109</w:t>
            </w:r>
          </w:p>
        </w:tc>
        <w:tc>
          <w:tcPr>
            <w:tcW w:w="1191" w:type="dxa"/>
            <w:shd w:val="clear" w:color="auto" w:fill="auto"/>
          </w:tcPr>
          <w:p w14:paraId="665E6836" w14:textId="05B53604" w:rsidR="00C45C4C" w:rsidRPr="00687A04" w:rsidRDefault="00C45C4C" w:rsidP="00C13A58">
            <w:pPr>
              <w:spacing w:after="0" w:line="240" w:lineRule="auto"/>
              <w:rPr>
                <w:rFonts w:cs="Arial"/>
                <w:color w:val="000000"/>
                <w:szCs w:val="20"/>
              </w:rPr>
            </w:pPr>
            <w:r>
              <w:rPr>
                <w:rFonts w:cs="Arial"/>
                <w:color w:val="000000"/>
                <w:szCs w:val="20"/>
              </w:rPr>
              <w:t>13.641</w:t>
            </w:r>
          </w:p>
        </w:tc>
        <w:tc>
          <w:tcPr>
            <w:tcW w:w="1191" w:type="dxa"/>
            <w:shd w:val="clear" w:color="auto" w:fill="auto"/>
          </w:tcPr>
          <w:p w14:paraId="4ED0C931" w14:textId="70CE7DDB" w:rsidR="00C45C4C" w:rsidRPr="00687A04" w:rsidRDefault="00C45C4C" w:rsidP="00C13A58">
            <w:pPr>
              <w:spacing w:after="0" w:line="240" w:lineRule="auto"/>
              <w:rPr>
                <w:rFonts w:cs="Arial"/>
                <w:color w:val="000000"/>
                <w:szCs w:val="20"/>
              </w:rPr>
            </w:pPr>
            <w:r>
              <w:rPr>
                <w:rFonts w:cs="Arial"/>
                <w:color w:val="000000"/>
                <w:szCs w:val="20"/>
              </w:rPr>
              <w:t>15.107</w:t>
            </w:r>
          </w:p>
        </w:tc>
        <w:tc>
          <w:tcPr>
            <w:tcW w:w="1191" w:type="dxa"/>
            <w:shd w:val="clear" w:color="auto" w:fill="auto"/>
          </w:tcPr>
          <w:p w14:paraId="3AC33405" w14:textId="2109CD87" w:rsidR="00C45C4C" w:rsidRPr="00687A04" w:rsidRDefault="00C45C4C" w:rsidP="00C13A58">
            <w:pPr>
              <w:spacing w:after="0" w:line="240" w:lineRule="auto"/>
              <w:rPr>
                <w:rFonts w:cs="Arial"/>
                <w:color w:val="000000"/>
                <w:szCs w:val="20"/>
              </w:rPr>
            </w:pPr>
            <w:r>
              <w:rPr>
                <w:rFonts w:cs="Arial"/>
                <w:color w:val="000000"/>
                <w:szCs w:val="20"/>
              </w:rPr>
              <w:t>14.975</w:t>
            </w:r>
          </w:p>
        </w:tc>
      </w:tr>
      <w:tr w:rsidR="00C45C4C" w:rsidRPr="006C513A" w14:paraId="77703154" w14:textId="77777777" w:rsidTr="00C45C4C">
        <w:trPr>
          <w:cantSplit/>
          <w:trHeight w:val="315"/>
          <w:tblHeader/>
        </w:trPr>
        <w:tc>
          <w:tcPr>
            <w:tcW w:w="955" w:type="dxa"/>
            <w:shd w:val="clear" w:color="auto" w:fill="auto"/>
            <w:hideMark/>
          </w:tcPr>
          <w:p w14:paraId="7D2D0D76" w14:textId="77777777" w:rsidR="00C45C4C" w:rsidRPr="00DF4E1A" w:rsidRDefault="00C45C4C" w:rsidP="00C45C4C">
            <w:pPr>
              <w:spacing w:after="0" w:line="240" w:lineRule="auto"/>
              <w:rPr>
                <w:rFonts w:cs="Arial"/>
                <w:color w:val="000000"/>
                <w:szCs w:val="20"/>
              </w:rPr>
            </w:pPr>
            <w:r w:rsidRPr="00DF4E1A">
              <w:rPr>
                <w:rFonts w:cs="Arial"/>
                <w:color w:val="000000"/>
                <w:szCs w:val="20"/>
              </w:rPr>
              <w:t>15(1)(c)</w:t>
            </w:r>
          </w:p>
        </w:tc>
        <w:tc>
          <w:tcPr>
            <w:tcW w:w="2551" w:type="dxa"/>
            <w:shd w:val="clear" w:color="auto" w:fill="auto"/>
            <w:hideMark/>
          </w:tcPr>
          <w:p w14:paraId="446A75DB" w14:textId="7E1BEEB7" w:rsidR="00C45C4C" w:rsidRPr="00DF4E1A" w:rsidRDefault="00C45C4C" w:rsidP="00C45C4C">
            <w:pPr>
              <w:spacing w:after="0" w:line="240" w:lineRule="auto"/>
              <w:rPr>
                <w:rFonts w:cs="Arial"/>
                <w:color w:val="000000"/>
                <w:szCs w:val="20"/>
              </w:rPr>
            </w:pPr>
            <w:r>
              <w:rPr>
                <w:rFonts w:cs="Arial"/>
                <w:color w:val="000000"/>
                <w:szCs w:val="20"/>
              </w:rPr>
              <w:t xml:space="preserve">Commonwealth’s </w:t>
            </w:r>
            <w:r w:rsidRPr="00FB1B4D">
              <w:rPr>
                <w:rFonts w:cs="Arial"/>
                <w:color w:val="000000"/>
                <w:szCs w:val="20"/>
              </w:rPr>
              <w:t>ITU contribution</w:t>
            </w:r>
          </w:p>
        </w:tc>
        <w:tc>
          <w:tcPr>
            <w:tcW w:w="1190" w:type="dxa"/>
            <w:shd w:val="clear" w:color="auto" w:fill="auto"/>
          </w:tcPr>
          <w:p w14:paraId="4338347D" w14:textId="02F398F4" w:rsidR="00C45C4C" w:rsidRPr="00DF4E1A" w:rsidRDefault="00C45C4C" w:rsidP="00C13A58">
            <w:pPr>
              <w:spacing w:after="0" w:line="240" w:lineRule="auto"/>
              <w:rPr>
                <w:rFonts w:cs="Arial"/>
                <w:color w:val="000000"/>
                <w:szCs w:val="20"/>
              </w:rPr>
            </w:pPr>
            <w:r>
              <w:rPr>
                <w:rFonts w:cs="Arial"/>
                <w:color w:val="000000"/>
                <w:szCs w:val="20"/>
              </w:rPr>
              <w:t>2.004</w:t>
            </w:r>
          </w:p>
        </w:tc>
        <w:tc>
          <w:tcPr>
            <w:tcW w:w="1191" w:type="dxa"/>
            <w:shd w:val="clear" w:color="auto" w:fill="auto"/>
          </w:tcPr>
          <w:p w14:paraId="5E4288C2" w14:textId="7E9C7120" w:rsidR="00C45C4C" w:rsidRPr="00DF4E1A" w:rsidRDefault="00C45C4C" w:rsidP="00C13A58">
            <w:pPr>
              <w:spacing w:after="0" w:line="240" w:lineRule="auto"/>
              <w:rPr>
                <w:rFonts w:cs="Arial"/>
                <w:color w:val="000000"/>
                <w:szCs w:val="20"/>
              </w:rPr>
            </w:pPr>
            <w:r>
              <w:rPr>
                <w:rFonts w:cs="Arial"/>
                <w:color w:val="000000"/>
                <w:szCs w:val="20"/>
              </w:rPr>
              <w:t>2.004</w:t>
            </w:r>
          </w:p>
        </w:tc>
        <w:tc>
          <w:tcPr>
            <w:tcW w:w="1191" w:type="dxa"/>
            <w:shd w:val="clear" w:color="auto" w:fill="auto"/>
          </w:tcPr>
          <w:p w14:paraId="39856327" w14:textId="763620D8" w:rsidR="00C45C4C" w:rsidRPr="00DF4E1A" w:rsidRDefault="00C45C4C" w:rsidP="00C13A58">
            <w:pPr>
              <w:spacing w:after="0" w:line="240" w:lineRule="auto"/>
              <w:rPr>
                <w:rFonts w:cs="Arial"/>
                <w:color w:val="000000"/>
                <w:szCs w:val="20"/>
              </w:rPr>
            </w:pPr>
            <w:r w:rsidRPr="00DF4E1A">
              <w:rPr>
                <w:rFonts w:cs="Arial"/>
                <w:color w:val="000000"/>
                <w:szCs w:val="20"/>
              </w:rPr>
              <w:t>2.062</w:t>
            </w:r>
          </w:p>
        </w:tc>
        <w:tc>
          <w:tcPr>
            <w:tcW w:w="1191" w:type="dxa"/>
            <w:shd w:val="clear" w:color="auto" w:fill="auto"/>
          </w:tcPr>
          <w:p w14:paraId="4D399F7E" w14:textId="0FA2B823" w:rsidR="00C45C4C" w:rsidRPr="00DF4E1A" w:rsidRDefault="00C45C4C" w:rsidP="00C13A58">
            <w:pPr>
              <w:spacing w:after="0" w:line="240" w:lineRule="auto"/>
              <w:rPr>
                <w:rFonts w:cs="Arial"/>
                <w:color w:val="000000"/>
                <w:szCs w:val="20"/>
              </w:rPr>
            </w:pPr>
            <w:r w:rsidRPr="00DF4E1A">
              <w:rPr>
                <w:rFonts w:cs="Arial"/>
                <w:color w:val="000000"/>
                <w:szCs w:val="20"/>
              </w:rPr>
              <w:t>1.861</w:t>
            </w:r>
          </w:p>
        </w:tc>
        <w:tc>
          <w:tcPr>
            <w:tcW w:w="1191" w:type="dxa"/>
            <w:shd w:val="clear" w:color="auto" w:fill="auto"/>
          </w:tcPr>
          <w:p w14:paraId="36A873D3" w14:textId="7953AC89" w:rsidR="00C45C4C" w:rsidRPr="00DF4E1A" w:rsidRDefault="00C45C4C" w:rsidP="00C13A58">
            <w:pPr>
              <w:spacing w:after="0" w:line="240" w:lineRule="auto"/>
              <w:rPr>
                <w:rFonts w:cs="Arial"/>
                <w:color w:val="000000"/>
                <w:szCs w:val="20"/>
              </w:rPr>
            </w:pPr>
            <w:r w:rsidRPr="00DF4E1A">
              <w:rPr>
                <w:rFonts w:cs="Arial"/>
                <w:color w:val="000000"/>
                <w:szCs w:val="20"/>
              </w:rPr>
              <w:t>1.731</w:t>
            </w:r>
          </w:p>
        </w:tc>
      </w:tr>
      <w:tr w:rsidR="00C45C4C" w:rsidRPr="001431D5" w14:paraId="14821B09" w14:textId="77777777" w:rsidTr="00C45C4C">
        <w:trPr>
          <w:cantSplit/>
          <w:trHeight w:val="525"/>
          <w:tblHeader/>
        </w:trPr>
        <w:tc>
          <w:tcPr>
            <w:tcW w:w="955" w:type="dxa"/>
            <w:shd w:val="clear" w:color="auto" w:fill="auto"/>
          </w:tcPr>
          <w:p w14:paraId="26214EE4" w14:textId="77777777" w:rsidR="00C45C4C" w:rsidRPr="00687A04" w:rsidRDefault="00C45C4C" w:rsidP="00C45C4C">
            <w:pPr>
              <w:spacing w:after="0" w:line="240" w:lineRule="auto"/>
              <w:rPr>
                <w:rFonts w:cs="Arial"/>
                <w:color w:val="000000"/>
                <w:szCs w:val="20"/>
              </w:rPr>
            </w:pPr>
            <w:r w:rsidRPr="00687A04">
              <w:rPr>
                <w:rFonts w:cs="Arial"/>
                <w:color w:val="000000"/>
                <w:szCs w:val="20"/>
              </w:rPr>
              <w:t>15(</w:t>
            </w:r>
            <w:proofErr w:type="gramStart"/>
            <w:r w:rsidRPr="00687A04">
              <w:rPr>
                <w:rFonts w:cs="Arial"/>
                <w:color w:val="000000"/>
                <w:szCs w:val="20"/>
              </w:rPr>
              <w:t>1)(</w:t>
            </w:r>
            <w:proofErr w:type="gramEnd"/>
            <w:r w:rsidRPr="00687A04">
              <w:rPr>
                <w:rFonts w:cs="Arial"/>
                <w:color w:val="000000"/>
                <w:szCs w:val="20"/>
              </w:rPr>
              <w:t>ca)</w:t>
            </w:r>
          </w:p>
        </w:tc>
        <w:tc>
          <w:tcPr>
            <w:tcW w:w="2551" w:type="dxa"/>
            <w:shd w:val="clear" w:color="auto" w:fill="auto"/>
          </w:tcPr>
          <w:p w14:paraId="66DC3F8B" w14:textId="10A1D220" w:rsidR="00C45C4C" w:rsidRPr="00687A04" w:rsidRDefault="00C45C4C" w:rsidP="00F133BF">
            <w:pPr>
              <w:spacing w:after="0" w:line="240" w:lineRule="auto"/>
              <w:rPr>
                <w:rFonts w:cs="Arial"/>
                <w:color w:val="000000"/>
                <w:szCs w:val="20"/>
              </w:rPr>
            </w:pPr>
            <w:r>
              <w:rPr>
                <w:rFonts w:cs="Arial"/>
                <w:color w:val="000000"/>
                <w:szCs w:val="20"/>
              </w:rPr>
              <w:t xml:space="preserve">Amounts </w:t>
            </w:r>
            <w:r w:rsidR="00F133BF">
              <w:rPr>
                <w:rFonts w:cs="Arial"/>
                <w:color w:val="000000"/>
                <w:szCs w:val="20"/>
              </w:rPr>
              <w:t xml:space="preserve">reimbursed </w:t>
            </w:r>
            <w:r>
              <w:rPr>
                <w:rFonts w:cs="Arial"/>
                <w:color w:val="000000"/>
                <w:szCs w:val="20"/>
              </w:rPr>
              <w:t>to industry groups for d</w:t>
            </w:r>
            <w:r w:rsidRPr="00687A04">
              <w:rPr>
                <w:rFonts w:cs="Arial"/>
                <w:color w:val="000000"/>
                <w:szCs w:val="20"/>
              </w:rPr>
              <w:t xml:space="preserve">evelopment </w:t>
            </w:r>
            <w:r>
              <w:rPr>
                <w:rFonts w:cs="Arial"/>
                <w:color w:val="000000"/>
                <w:szCs w:val="20"/>
              </w:rPr>
              <w:t xml:space="preserve">or variation </w:t>
            </w:r>
            <w:r w:rsidRPr="00687A04">
              <w:rPr>
                <w:rFonts w:cs="Arial"/>
                <w:color w:val="000000"/>
                <w:szCs w:val="20"/>
              </w:rPr>
              <w:t>of consumer protection related industry codes</w:t>
            </w:r>
          </w:p>
        </w:tc>
        <w:tc>
          <w:tcPr>
            <w:tcW w:w="1190" w:type="dxa"/>
            <w:shd w:val="clear" w:color="auto" w:fill="auto"/>
          </w:tcPr>
          <w:p w14:paraId="2A7E929C" w14:textId="0D7DDE91" w:rsidR="00C45C4C" w:rsidRPr="00C06581" w:rsidRDefault="00C45C4C" w:rsidP="00C13A58">
            <w:pPr>
              <w:spacing w:after="0" w:line="240" w:lineRule="auto"/>
              <w:rPr>
                <w:rFonts w:cs="Arial"/>
                <w:color w:val="000000"/>
                <w:szCs w:val="20"/>
              </w:rPr>
            </w:pPr>
            <w:r>
              <w:rPr>
                <w:rFonts w:cs="Arial"/>
                <w:color w:val="000000"/>
                <w:szCs w:val="20"/>
              </w:rPr>
              <w:t>0</w:t>
            </w:r>
          </w:p>
        </w:tc>
        <w:tc>
          <w:tcPr>
            <w:tcW w:w="1191" w:type="dxa"/>
            <w:shd w:val="clear" w:color="auto" w:fill="auto"/>
          </w:tcPr>
          <w:p w14:paraId="54CB3FB7" w14:textId="4BB69262" w:rsidR="00C45C4C" w:rsidRPr="00C06581" w:rsidRDefault="00C45C4C" w:rsidP="00C13A58">
            <w:pPr>
              <w:spacing w:after="0" w:line="240" w:lineRule="auto"/>
              <w:rPr>
                <w:rFonts w:cs="Arial"/>
                <w:color w:val="000000"/>
                <w:szCs w:val="20"/>
              </w:rPr>
            </w:pPr>
            <w:r>
              <w:rPr>
                <w:rFonts w:cs="Arial"/>
                <w:color w:val="000000"/>
                <w:szCs w:val="20"/>
              </w:rPr>
              <w:t>0</w:t>
            </w:r>
          </w:p>
        </w:tc>
        <w:tc>
          <w:tcPr>
            <w:tcW w:w="1191" w:type="dxa"/>
            <w:shd w:val="clear" w:color="auto" w:fill="auto"/>
          </w:tcPr>
          <w:p w14:paraId="14582F8B" w14:textId="5E1C2DFD" w:rsidR="00C45C4C" w:rsidRPr="00C06581" w:rsidRDefault="00C45C4C" w:rsidP="00C13A58">
            <w:pPr>
              <w:spacing w:after="0" w:line="240" w:lineRule="auto"/>
              <w:rPr>
                <w:rFonts w:cs="Arial"/>
                <w:color w:val="000000"/>
                <w:szCs w:val="20"/>
              </w:rPr>
            </w:pPr>
            <w:r>
              <w:rPr>
                <w:rFonts w:cs="Arial"/>
                <w:color w:val="000000"/>
                <w:szCs w:val="20"/>
              </w:rPr>
              <w:t>0.086</w:t>
            </w:r>
          </w:p>
        </w:tc>
        <w:tc>
          <w:tcPr>
            <w:tcW w:w="1191" w:type="dxa"/>
            <w:shd w:val="clear" w:color="auto" w:fill="auto"/>
          </w:tcPr>
          <w:p w14:paraId="162495BB" w14:textId="4E868449" w:rsidR="00C45C4C" w:rsidRPr="00C06581" w:rsidRDefault="00C45C4C" w:rsidP="00C13A58">
            <w:pPr>
              <w:spacing w:after="0" w:line="240" w:lineRule="auto"/>
              <w:rPr>
                <w:rFonts w:cs="Arial"/>
                <w:color w:val="000000"/>
                <w:szCs w:val="20"/>
              </w:rPr>
            </w:pPr>
            <w:r>
              <w:rPr>
                <w:rFonts w:cs="Arial"/>
                <w:color w:val="000000"/>
                <w:szCs w:val="20"/>
              </w:rPr>
              <w:t>0</w:t>
            </w:r>
          </w:p>
        </w:tc>
        <w:tc>
          <w:tcPr>
            <w:tcW w:w="1191" w:type="dxa"/>
            <w:shd w:val="clear" w:color="auto" w:fill="auto"/>
          </w:tcPr>
          <w:p w14:paraId="1490DD2F" w14:textId="4868BE26" w:rsidR="00C45C4C" w:rsidRPr="00C06581" w:rsidRDefault="00C45C4C" w:rsidP="00C13A58">
            <w:pPr>
              <w:spacing w:after="0" w:line="240" w:lineRule="auto"/>
              <w:rPr>
                <w:rFonts w:cs="Arial"/>
                <w:color w:val="000000"/>
                <w:szCs w:val="20"/>
              </w:rPr>
            </w:pPr>
            <w:r>
              <w:rPr>
                <w:rFonts w:cs="Arial"/>
                <w:color w:val="000000"/>
                <w:szCs w:val="20"/>
              </w:rPr>
              <w:t>0</w:t>
            </w:r>
          </w:p>
        </w:tc>
      </w:tr>
      <w:tr w:rsidR="00C45C4C" w:rsidRPr="001431D5" w14:paraId="63A428CE" w14:textId="77777777" w:rsidTr="00C45C4C">
        <w:trPr>
          <w:cantSplit/>
          <w:trHeight w:val="525"/>
          <w:tblHeader/>
        </w:trPr>
        <w:tc>
          <w:tcPr>
            <w:tcW w:w="955" w:type="dxa"/>
            <w:shd w:val="clear" w:color="auto" w:fill="auto"/>
            <w:hideMark/>
          </w:tcPr>
          <w:p w14:paraId="5E53DC45" w14:textId="77777777" w:rsidR="00C45C4C" w:rsidRPr="00687A04" w:rsidRDefault="00C45C4C" w:rsidP="00C45C4C">
            <w:pPr>
              <w:spacing w:after="0" w:line="240" w:lineRule="auto"/>
              <w:rPr>
                <w:rFonts w:cs="Arial"/>
                <w:color w:val="000000"/>
                <w:szCs w:val="20"/>
              </w:rPr>
            </w:pPr>
            <w:r w:rsidRPr="00687A04">
              <w:rPr>
                <w:rFonts w:cs="Arial"/>
                <w:color w:val="000000"/>
                <w:szCs w:val="20"/>
              </w:rPr>
              <w:t>15(1)(d)</w:t>
            </w:r>
          </w:p>
        </w:tc>
        <w:tc>
          <w:tcPr>
            <w:tcW w:w="2551" w:type="dxa"/>
            <w:shd w:val="clear" w:color="auto" w:fill="auto"/>
            <w:hideMark/>
          </w:tcPr>
          <w:p w14:paraId="52361F27" w14:textId="7DE229D6" w:rsidR="00C45C4C" w:rsidRPr="00120B54" w:rsidRDefault="00C45C4C" w:rsidP="00C45C4C">
            <w:pPr>
              <w:spacing w:after="0" w:line="240" w:lineRule="auto"/>
              <w:rPr>
                <w:rFonts w:cs="Arial"/>
                <w:color w:val="000000"/>
                <w:szCs w:val="20"/>
              </w:rPr>
            </w:pPr>
            <w:r>
              <w:rPr>
                <w:rFonts w:cs="Arial"/>
                <w:color w:val="000000"/>
                <w:szCs w:val="20"/>
              </w:rPr>
              <w:t>Estimated g</w:t>
            </w:r>
            <w:r w:rsidRPr="00120B54">
              <w:rPr>
                <w:rFonts w:cs="Arial"/>
                <w:color w:val="000000"/>
                <w:szCs w:val="20"/>
              </w:rPr>
              <w:t>overnment grants—consumer representation and research</w:t>
            </w:r>
          </w:p>
        </w:tc>
        <w:tc>
          <w:tcPr>
            <w:tcW w:w="1190" w:type="dxa"/>
            <w:tcBorders>
              <w:top w:val="single" w:sz="8" w:space="0" w:color="auto"/>
              <w:left w:val="single" w:sz="8" w:space="0" w:color="auto"/>
              <w:bottom w:val="single" w:sz="8" w:space="0" w:color="auto"/>
              <w:right w:val="single" w:sz="8" w:space="0" w:color="auto"/>
            </w:tcBorders>
          </w:tcPr>
          <w:p w14:paraId="0155FE14" w14:textId="127047A5" w:rsidR="00C45C4C" w:rsidRPr="00C06581" w:rsidRDefault="00C45C4C" w:rsidP="00C13A58">
            <w:pPr>
              <w:spacing w:after="0" w:line="240" w:lineRule="auto"/>
              <w:rPr>
                <w:rFonts w:cs="Arial"/>
                <w:color w:val="000000"/>
                <w:szCs w:val="20"/>
              </w:rPr>
            </w:pPr>
            <w:r>
              <w:rPr>
                <w:rFonts w:cs="Arial"/>
                <w:color w:val="000000"/>
                <w:szCs w:val="20"/>
              </w:rPr>
              <w:t>2.261</w:t>
            </w:r>
          </w:p>
        </w:tc>
        <w:tc>
          <w:tcPr>
            <w:tcW w:w="1191" w:type="dxa"/>
            <w:shd w:val="clear" w:color="auto" w:fill="auto"/>
          </w:tcPr>
          <w:p w14:paraId="5B00EFC0" w14:textId="359CBBF4" w:rsidR="00C45C4C" w:rsidRPr="00C06581" w:rsidRDefault="00C45C4C" w:rsidP="00C13A58">
            <w:pPr>
              <w:spacing w:after="0" w:line="240" w:lineRule="auto"/>
              <w:rPr>
                <w:rFonts w:cs="Arial"/>
                <w:color w:val="000000"/>
                <w:szCs w:val="20"/>
              </w:rPr>
            </w:pPr>
            <w:r>
              <w:rPr>
                <w:rFonts w:cs="Arial"/>
                <w:color w:val="000000"/>
                <w:szCs w:val="20"/>
              </w:rPr>
              <w:t>2.230</w:t>
            </w:r>
          </w:p>
        </w:tc>
        <w:tc>
          <w:tcPr>
            <w:tcW w:w="1191" w:type="dxa"/>
            <w:shd w:val="clear" w:color="auto" w:fill="auto"/>
          </w:tcPr>
          <w:p w14:paraId="4DFA7237" w14:textId="4D1DBE4E" w:rsidR="00C45C4C" w:rsidRPr="00C06581" w:rsidRDefault="00C45C4C" w:rsidP="00C13A58">
            <w:pPr>
              <w:spacing w:after="0" w:line="240" w:lineRule="auto"/>
              <w:rPr>
                <w:rFonts w:cs="Arial"/>
                <w:color w:val="000000"/>
                <w:szCs w:val="20"/>
              </w:rPr>
            </w:pPr>
            <w:r>
              <w:rPr>
                <w:rFonts w:cs="Arial"/>
                <w:color w:val="000000"/>
                <w:szCs w:val="20"/>
              </w:rPr>
              <w:t>2.196</w:t>
            </w:r>
          </w:p>
        </w:tc>
        <w:tc>
          <w:tcPr>
            <w:tcW w:w="1191" w:type="dxa"/>
            <w:shd w:val="clear" w:color="auto" w:fill="auto"/>
          </w:tcPr>
          <w:p w14:paraId="1BFC88A4" w14:textId="705643DD" w:rsidR="00C45C4C" w:rsidRPr="00C06581" w:rsidRDefault="00C45C4C" w:rsidP="00C13A58">
            <w:pPr>
              <w:spacing w:after="0" w:line="240" w:lineRule="auto"/>
              <w:rPr>
                <w:rFonts w:cs="Arial"/>
                <w:color w:val="000000"/>
                <w:szCs w:val="20"/>
              </w:rPr>
            </w:pPr>
            <w:r>
              <w:rPr>
                <w:rFonts w:cs="Arial"/>
                <w:color w:val="000000"/>
                <w:szCs w:val="20"/>
              </w:rPr>
              <w:t>2.164</w:t>
            </w:r>
          </w:p>
        </w:tc>
        <w:tc>
          <w:tcPr>
            <w:tcW w:w="1191" w:type="dxa"/>
            <w:shd w:val="clear" w:color="auto" w:fill="auto"/>
          </w:tcPr>
          <w:p w14:paraId="4212BB31" w14:textId="1AAEE2F1" w:rsidR="00C45C4C" w:rsidRPr="00C06581" w:rsidRDefault="00C45C4C" w:rsidP="00C13A58">
            <w:pPr>
              <w:spacing w:after="0" w:line="240" w:lineRule="auto"/>
              <w:rPr>
                <w:rFonts w:cs="Arial"/>
                <w:color w:val="000000"/>
                <w:szCs w:val="20"/>
              </w:rPr>
            </w:pPr>
            <w:r>
              <w:rPr>
                <w:rFonts w:cs="Arial"/>
                <w:color w:val="000000"/>
                <w:szCs w:val="20"/>
              </w:rPr>
              <w:t>2.166</w:t>
            </w:r>
          </w:p>
        </w:tc>
      </w:tr>
      <w:tr w:rsidR="0033742B" w:rsidRPr="001431D5" w14:paraId="39DF5397" w14:textId="77777777" w:rsidTr="00C32914">
        <w:trPr>
          <w:cantSplit/>
          <w:trHeight w:val="258"/>
          <w:tblHeader/>
        </w:trPr>
        <w:tc>
          <w:tcPr>
            <w:tcW w:w="3506" w:type="dxa"/>
            <w:gridSpan w:val="2"/>
            <w:shd w:val="clear" w:color="auto" w:fill="D9D9D9" w:themeFill="background1" w:themeFillShade="D9"/>
            <w:hideMark/>
          </w:tcPr>
          <w:p w14:paraId="2BBE5728" w14:textId="77777777" w:rsidR="0033742B" w:rsidRPr="00120B54" w:rsidRDefault="0033742B" w:rsidP="0033742B">
            <w:pPr>
              <w:spacing w:after="0" w:line="240" w:lineRule="auto"/>
              <w:rPr>
                <w:rFonts w:cs="Arial"/>
                <w:b/>
                <w:bCs/>
                <w:color w:val="000000"/>
                <w:szCs w:val="20"/>
              </w:rPr>
            </w:pPr>
            <w:r w:rsidRPr="00120B54">
              <w:rPr>
                <w:rFonts w:cs="Arial"/>
                <w:b/>
                <w:bCs/>
                <w:color w:val="000000"/>
                <w:szCs w:val="20"/>
              </w:rPr>
              <w:t>Total expenses</w:t>
            </w:r>
          </w:p>
        </w:tc>
        <w:tc>
          <w:tcPr>
            <w:tcW w:w="1190" w:type="dxa"/>
            <w:shd w:val="clear" w:color="auto" w:fill="D9D9D9" w:themeFill="background1" w:themeFillShade="D9"/>
          </w:tcPr>
          <w:p w14:paraId="402257B9" w14:textId="5F630838" w:rsidR="0033742B" w:rsidRPr="00C06581" w:rsidRDefault="00CB4539" w:rsidP="00C13A58">
            <w:pPr>
              <w:spacing w:after="0" w:line="240" w:lineRule="auto"/>
              <w:rPr>
                <w:rFonts w:cs="Arial"/>
                <w:b/>
                <w:bCs/>
                <w:color w:val="000000"/>
                <w:szCs w:val="20"/>
              </w:rPr>
            </w:pPr>
            <w:r>
              <w:rPr>
                <w:rFonts w:cs="Arial"/>
                <w:b/>
                <w:bCs/>
                <w:color w:val="000000"/>
                <w:szCs w:val="20"/>
              </w:rPr>
              <w:t>29</w:t>
            </w:r>
            <w:r w:rsidR="00CA0D08">
              <w:rPr>
                <w:rFonts w:cs="Arial"/>
                <w:b/>
                <w:bCs/>
                <w:color w:val="000000"/>
                <w:szCs w:val="20"/>
              </w:rPr>
              <w:t>.</w:t>
            </w:r>
            <w:r>
              <w:rPr>
                <w:rFonts w:cs="Arial"/>
                <w:b/>
                <w:bCs/>
                <w:color w:val="000000"/>
                <w:szCs w:val="20"/>
              </w:rPr>
              <w:t>427</w:t>
            </w:r>
          </w:p>
        </w:tc>
        <w:tc>
          <w:tcPr>
            <w:tcW w:w="1191" w:type="dxa"/>
            <w:shd w:val="clear" w:color="auto" w:fill="D9D9D9" w:themeFill="background1" w:themeFillShade="D9"/>
          </w:tcPr>
          <w:p w14:paraId="008C24E9" w14:textId="7D4F7365" w:rsidR="0033742B" w:rsidRPr="00C06581" w:rsidRDefault="0033742B" w:rsidP="00C13A58">
            <w:pPr>
              <w:spacing w:after="0" w:line="240" w:lineRule="auto"/>
              <w:rPr>
                <w:rFonts w:cs="Arial"/>
                <w:b/>
                <w:bCs/>
                <w:color w:val="000000"/>
                <w:szCs w:val="20"/>
              </w:rPr>
            </w:pPr>
            <w:r>
              <w:rPr>
                <w:rFonts w:cs="Arial"/>
                <w:b/>
                <w:bCs/>
                <w:color w:val="000000"/>
                <w:szCs w:val="20"/>
              </w:rPr>
              <w:t>31.647</w:t>
            </w:r>
          </w:p>
        </w:tc>
        <w:tc>
          <w:tcPr>
            <w:tcW w:w="1191" w:type="dxa"/>
            <w:shd w:val="clear" w:color="auto" w:fill="D9D9D9" w:themeFill="background1" w:themeFillShade="D9"/>
          </w:tcPr>
          <w:p w14:paraId="1B70A3D0" w14:textId="1C75FCCC" w:rsidR="0033742B" w:rsidRPr="00C06581" w:rsidRDefault="0033742B" w:rsidP="00C13A58">
            <w:pPr>
              <w:spacing w:after="0" w:line="240" w:lineRule="auto"/>
              <w:rPr>
                <w:rFonts w:cs="Arial"/>
                <w:b/>
                <w:bCs/>
                <w:color w:val="000000"/>
                <w:szCs w:val="20"/>
              </w:rPr>
            </w:pPr>
            <w:r>
              <w:rPr>
                <w:rFonts w:cs="Arial"/>
                <w:b/>
                <w:bCs/>
                <w:color w:val="000000"/>
                <w:szCs w:val="20"/>
              </w:rPr>
              <w:t>32.390</w:t>
            </w:r>
          </w:p>
        </w:tc>
        <w:tc>
          <w:tcPr>
            <w:tcW w:w="1191" w:type="dxa"/>
            <w:shd w:val="clear" w:color="auto" w:fill="D9D9D9" w:themeFill="background1" w:themeFillShade="D9"/>
          </w:tcPr>
          <w:p w14:paraId="4B4919A3" w14:textId="1B1CCA41" w:rsidR="0033742B" w:rsidRPr="00C06581" w:rsidRDefault="0033742B" w:rsidP="00C13A58">
            <w:pPr>
              <w:spacing w:after="0" w:line="240" w:lineRule="auto"/>
              <w:rPr>
                <w:rFonts w:cs="Arial"/>
                <w:b/>
                <w:bCs/>
                <w:color w:val="000000"/>
                <w:szCs w:val="20"/>
              </w:rPr>
            </w:pPr>
            <w:r>
              <w:rPr>
                <w:rFonts w:cs="Arial"/>
                <w:b/>
                <w:bCs/>
                <w:color w:val="000000"/>
                <w:szCs w:val="20"/>
              </w:rPr>
              <w:t>36.704</w:t>
            </w:r>
          </w:p>
        </w:tc>
        <w:tc>
          <w:tcPr>
            <w:tcW w:w="1191" w:type="dxa"/>
            <w:shd w:val="clear" w:color="auto" w:fill="D9D9D9" w:themeFill="background1" w:themeFillShade="D9"/>
          </w:tcPr>
          <w:p w14:paraId="4E695499" w14:textId="35C9A8FB" w:rsidR="0033742B" w:rsidRPr="00C06581" w:rsidRDefault="0033742B" w:rsidP="00C13A58">
            <w:pPr>
              <w:spacing w:after="0" w:line="240" w:lineRule="auto"/>
              <w:rPr>
                <w:rFonts w:cs="Arial"/>
                <w:b/>
                <w:bCs/>
                <w:color w:val="000000"/>
                <w:szCs w:val="20"/>
              </w:rPr>
            </w:pPr>
            <w:r>
              <w:rPr>
                <w:rFonts w:cs="Arial"/>
                <w:b/>
                <w:bCs/>
                <w:color w:val="000000"/>
                <w:szCs w:val="20"/>
              </w:rPr>
              <w:t>38.526</w:t>
            </w:r>
          </w:p>
        </w:tc>
      </w:tr>
      <w:tr w:rsidR="0033742B" w:rsidRPr="001431D5" w14:paraId="6DD9E28C" w14:textId="77777777" w:rsidTr="00144A3A">
        <w:trPr>
          <w:cantSplit/>
          <w:trHeight w:val="315"/>
          <w:tblHeader/>
        </w:trPr>
        <w:tc>
          <w:tcPr>
            <w:tcW w:w="955" w:type="dxa"/>
            <w:shd w:val="clear" w:color="auto" w:fill="auto"/>
            <w:hideMark/>
          </w:tcPr>
          <w:p w14:paraId="479691CF" w14:textId="77777777" w:rsidR="0033742B" w:rsidRPr="00687A04" w:rsidRDefault="0033742B" w:rsidP="0033742B">
            <w:pPr>
              <w:spacing w:after="0" w:line="240" w:lineRule="auto"/>
              <w:rPr>
                <w:rFonts w:cs="Arial"/>
                <w:color w:val="000000"/>
                <w:szCs w:val="20"/>
              </w:rPr>
            </w:pPr>
            <w:r w:rsidRPr="00687A04">
              <w:rPr>
                <w:rFonts w:cs="Arial"/>
                <w:color w:val="000000"/>
                <w:szCs w:val="20"/>
              </w:rPr>
              <w:t>15(1)(a)</w:t>
            </w:r>
          </w:p>
        </w:tc>
        <w:tc>
          <w:tcPr>
            <w:tcW w:w="2551" w:type="dxa"/>
            <w:shd w:val="clear" w:color="auto" w:fill="auto"/>
            <w:hideMark/>
          </w:tcPr>
          <w:p w14:paraId="766496C0" w14:textId="08B8BCEE" w:rsidR="0033742B" w:rsidRPr="00120B54" w:rsidRDefault="0033742B" w:rsidP="0033742B">
            <w:pPr>
              <w:spacing w:after="0" w:line="240" w:lineRule="auto"/>
              <w:rPr>
                <w:rFonts w:cs="Arial"/>
                <w:color w:val="000000"/>
                <w:szCs w:val="20"/>
              </w:rPr>
            </w:pPr>
            <w:r w:rsidRPr="00120B54">
              <w:rPr>
                <w:rFonts w:cs="Arial"/>
                <w:color w:val="000000"/>
                <w:szCs w:val="20"/>
              </w:rPr>
              <w:t xml:space="preserve">ACMA </w:t>
            </w:r>
            <w:r w:rsidR="00C45C4C">
              <w:rPr>
                <w:rFonts w:cs="Arial"/>
                <w:color w:val="000000"/>
                <w:szCs w:val="20"/>
              </w:rPr>
              <w:t xml:space="preserve">telecommunications </w:t>
            </w:r>
            <w:r w:rsidRPr="00120B54">
              <w:rPr>
                <w:rFonts w:cs="Arial"/>
                <w:color w:val="000000"/>
                <w:szCs w:val="20"/>
              </w:rPr>
              <w:t>revenue</w:t>
            </w:r>
          </w:p>
        </w:tc>
        <w:tc>
          <w:tcPr>
            <w:tcW w:w="1190" w:type="dxa"/>
            <w:shd w:val="clear" w:color="auto" w:fill="auto"/>
          </w:tcPr>
          <w:p w14:paraId="0BF83AD1" w14:textId="14AFFE27" w:rsidR="0033742B" w:rsidRPr="00C06581" w:rsidRDefault="005C6B2F" w:rsidP="00C13A58">
            <w:pPr>
              <w:spacing w:after="0" w:line="240" w:lineRule="auto"/>
              <w:rPr>
                <w:rFonts w:cs="Arial"/>
                <w:color w:val="000000"/>
                <w:szCs w:val="20"/>
              </w:rPr>
            </w:pPr>
            <w:r>
              <w:rPr>
                <w:rFonts w:cs="Arial"/>
                <w:color w:val="000000"/>
                <w:szCs w:val="20"/>
              </w:rPr>
              <w:t>14.304</w:t>
            </w:r>
          </w:p>
        </w:tc>
        <w:tc>
          <w:tcPr>
            <w:tcW w:w="1191" w:type="dxa"/>
            <w:shd w:val="clear" w:color="auto" w:fill="auto"/>
          </w:tcPr>
          <w:p w14:paraId="4CF5092A" w14:textId="75B53F7F" w:rsidR="0033742B" w:rsidRPr="00C06581" w:rsidRDefault="0033742B" w:rsidP="00C13A58">
            <w:pPr>
              <w:spacing w:after="0" w:line="240" w:lineRule="auto"/>
              <w:rPr>
                <w:rFonts w:cs="Arial"/>
                <w:color w:val="000000"/>
                <w:szCs w:val="20"/>
              </w:rPr>
            </w:pPr>
            <w:r>
              <w:rPr>
                <w:rFonts w:cs="Arial"/>
                <w:color w:val="000000"/>
                <w:szCs w:val="20"/>
              </w:rPr>
              <w:t>14.405</w:t>
            </w:r>
          </w:p>
        </w:tc>
        <w:tc>
          <w:tcPr>
            <w:tcW w:w="1191" w:type="dxa"/>
            <w:shd w:val="clear" w:color="auto" w:fill="auto"/>
          </w:tcPr>
          <w:p w14:paraId="6F6D74A9" w14:textId="4436B486" w:rsidR="0033742B" w:rsidRPr="00C06581" w:rsidRDefault="0033742B" w:rsidP="00C13A58">
            <w:pPr>
              <w:spacing w:after="0" w:line="240" w:lineRule="auto"/>
              <w:rPr>
                <w:rFonts w:cs="Arial"/>
                <w:color w:val="000000"/>
                <w:szCs w:val="20"/>
              </w:rPr>
            </w:pPr>
            <w:r>
              <w:rPr>
                <w:rFonts w:cs="Arial"/>
                <w:color w:val="000000"/>
                <w:szCs w:val="20"/>
              </w:rPr>
              <w:t>17.572</w:t>
            </w:r>
          </w:p>
        </w:tc>
        <w:tc>
          <w:tcPr>
            <w:tcW w:w="1191" w:type="dxa"/>
            <w:shd w:val="clear" w:color="auto" w:fill="auto"/>
          </w:tcPr>
          <w:p w14:paraId="55216085" w14:textId="07258FED" w:rsidR="0033742B" w:rsidRPr="00C06581" w:rsidRDefault="0033742B" w:rsidP="00C13A58">
            <w:pPr>
              <w:spacing w:after="0" w:line="240" w:lineRule="auto"/>
              <w:rPr>
                <w:rFonts w:cs="Arial"/>
                <w:color w:val="000000"/>
                <w:szCs w:val="20"/>
              </w:rPr>
            </w:pPr>
            <w:r>
              <w:rPr>
                <w:rFonts w:cs="Arial"/>
                <w:color w:val="000000"/>
                <w:szCs w:val="20"/>
              </w:rPr>
              <w:t>19.654</w:t>
            </w:r>
          </w:p>
        </w:tc>
        <w:tc>
          <w:tcPr>
            <w:tcW w:w="1191" w:type="dxa"/>
            <w:shd w:val="clear" w:color="auto" w:fill="auto"/>
          </w:tcPr>
          <w:p w14:paraId="7C80A228" w14:textId="345DA118" w:rsidR="0033742B" w:rsidRPr="00C06581" w:rsidRDefault="0033742B" w:rsidP="00C13A58">
            <w:pPr>
              <w:spacing w:after="0" w:line="240" w:lineRule="auto"/>
              <w:rPr>
                <w:rFonts w:cs="Arial"/>
                <w:color w:val="000000"/>
                <w:szCs w:val="20"/>
              </w:rPr>
            </w:pPr>
            <w:r>
              <w:rPr>
                <w:rFonts w:cs="Arial"/>
                <w:color w:val="000000"/>
                <w:szCs w:val="20"/>
              </w:rPr>
              <w:t>19.210</w:t>
            </w:r>
          </w:p>
        </w:tc>
      </w:tr>
      <w:tr w:rsidR="0033742B" w:rsidRPr="001431D5" w14:paraId="7904642C" w14:textId="77777777" w:rsidTr="00144A3A">
        <w:trPr>
          <w:cantSplit/>
          <w:trHeight w:val="315"/>
          <w:tblHeader/>
        </w:trPr>
        <w:tc>
          <w:tcPr>
            <w:tcW w:w="955" w:type="dxa"/>
            <w:shd w:val="clear" w:color="auto" w:fill="auto"/>
            <w:hideMark/>
          </w:tcPr>
          <w:p w14:paraId="5AD5052D" w14:textId="77777777" w:rsidR="0033742B" w:rsidRPr="00687A04" w:rsidRDefault="0033742B" w:rsidP="0033742B">
            <w:pPr>
              <w:spacing w:after="0" w:line="240" w:lineRule="auto"/>
              <w:rPr>
                <w:rFonts w:cs="Arial"/>
                <w:color w:val="000000"/>
                <w:szCs w:val="20"/>
              </w:rPr>
            </w:pPr>
            <w:r w:rsidRPr="00687A04">
              <w:rPr>
                <w:rFonts w:cs="Arial"/>
                <w:color w:val="000000"/>
                <w:szCs w:val="20"/>
              </w:rPr>
              <w:t>15(1)(b)</w:t>
            </w:r>
          </w:p>
        </w:tc>
        <w:tc>
          <w:tcPr>
            <w:tcW w:w="2551" w:type="dxa"/>
            <w:shd w:val="clear" w:color="auto" w:fill="auto"/>
            <w:hideMark/>
          </w:tcPr>
          <w:p w14:paraId="393473FA" w14:textId="686BFF8F" w:rsidR="0033742B" w:rsidRPr="00120B54" w:rsidRDefault="0033742B" w:rsidP="0033742B">
            <w:pPr>
              <w:spacing w:after="0" w:line="240" w:lineRule="auto"/>
              <w:rPr>
                <w:rFonts w:cs="Arial"/>
                <w:color w:val="000000"/>
                <w:szCs w:val="20"/>
              </w:rPr>
            </w:pPr>
            <w:r w:rsidRPr="00120B54">
              <w:rPr>
                <w:rFonts w:cs="Arial"/>
                <w:color w:val="000000"/>
                <w:szCs w:val="20"/>
              </w:rPr>
              <w:t>ACCC</w:t>
            </w:r>
            <w:r w:rsidR="00C45C4C">
              <w:rPr>
                <w:rFonts w:cs="Arial"/>
                <w:color w:val="000000"/>
                <w:szCs w:val="20"/>
              </w:rPr>
              <w:t xml:space="preserve"> telecommunications </w:t>
            </w:r>
            <w:r w:rsidR="00C45C4C" w:rsidRPr="00120B54">
              <w:rPr>
                <w:rFonts w:cs="Arial"/>
                <w:color w:val="000000"/>
                <w:szCs w:val="20"/>
              </w:rPr>
              <w:t>revenue</w:t>
            </w:r>
          </w:p>
        </w:tc>
        <w:tc>
          <w:tcPr>
            <w:tcW w:w="1190" w:type="dxa"/>
            <w:shd w:val="clear" w:color="auto" w:fill="auto"/>
          </w:tcPr>
          <w:p w14:paraId="2C52157D" w14:textId="3DB63F7F" w:rsidR="0033742B" w:rsidRPr="00C06581" w:rsidRDefault="0033742B" w:rsidP="00C13A58">
            <w:pPr>
              <w:spacing w:after="0" w:line="240" w:lineRule="auto"/>
              <w:rPr>
                <w:rFonts w:cs="Arial"/>
                <w:color w:val="000000"/>
                <w:szCs w:val="20"/>
              </w:rPr>
            </w:pPr>
            <w:r>
              <w:rPr>
                <w:rFonts w:cs="Arial"/>
                <w:color w:val="000000"/>
                <w:szCs w:val="20"/>
              </w:rPr>
              <w:t>13.109</w:t>
            </w:r>
          </w:p>
        </w:tc>
        <w:tc>
          <w:tcPr>
            <w:tcW w:w="1191" w:type="dxa"/>
            <w:shd w:val="clear" w:color="auto" w:fill="auto"/>
          </w:tcPr>
          <w:p w14:paraId="640F23D1" w14:textId="6F6B60A1" w:rsidR="0033742B" w:rsidRPr="00C06581" w:rsidRDefault="0033742B" w:rsidP="00C13A58">
            <w:pPr>
              <w:spacing w:after="0" w:line="240" w:lineRule="auto"/>
              <w:rPr>
                <w:rFonts w:cs="Arial"/>
                <w:color w:val="000000"/>
                <w:szCs w:val="20"/>
              </w:rPr>
            </w:pPr>
            <w:r>
              <w:rPr>
                <w:rFonts w:cs="Arial"/>
                <w:color w:val="000000"/>
                <w:szCs w:val="20"/>
              </w:rPr>
              <w:t>13.641</w:t>
            </w:r>
          </w:p>
        </w:tc>
        <w:tc>
          <w:tcPr>
            <w:tcW w:w="1191" w:type="dxa"/>
            <w:shd w:val="clear" w:color="auto" w:fill="auto"/>
          </w:tcPr>
          <w:p w14:paraId="33DDE6BD" w14:textId="1861FD0F" w:rsidR="0033742B" w:rsidRPr="00C06581" w:rsidRDefault="0033742B" w:rsidP="00C13A58">
            <w:pPr>
              <w:spacing w:after="0" w:line="240" w:lineRule="auto"/>
              <w:rPr>
                <w:rFonts w:cs="Arial"/>
                <w:color w:val="000000"/>
                <w:szCs w:val="20"/>
              </w:rPr>
            </w:pPr>
            <w:r>
              <w:rPr>
                <w:rFonts w:cs="Arial"/>
                <w:color w:val="000000"/>
                <w:szCs w:val="20"/>
              </w:rPr>
              <w:t>15.107</w:t>
            </w:r>
          </w:p>
        </w:tc>
        <w:tc>
          <w:tcPr>
            <w:tcW w:w="1191" w:type="dxa"/>
            <w:shd w:val="clear" w:color="auto" w:fill="auto"/>
          </w:tcPr>
          <w:p w14:paraId="62E9A405" w14:textId="2D7388F8" w:rsidR="0033742B" w:rsidRPr="00C06581" w:rsidRDefault="0033742B" w:rsidP="00C13A58">
            <w:pPr>
              <w:spacing w:after="0" w:line="240" w:lineRule="auto"/>
              <w:rPr>
                <w:rFonts w:cs="Arial"/>
                <w:color w:val="000000"/>
                <w:szCs w:val="20"/>
              </w:rPr>
            </w:pPr>
            <w:r>
              <w:rPr>
                <w:rFonts w:cs="Arial"/>
                <w:color w:val="000000"/>
                <w:szCs w:val="20"/>
              </w:rPr>
              <w:t>14.975</w:t>
            </w:r>
          </w:p>
        </w:tc>
        <w:tc>
          <w:tcPr>
            <w:tcW w:w="1191" w:type="dxa"/>
            <w:shd w:val="clear" w:color="auto" w:fill="auto"/>
          </w:tcPr>
          <w:p w14:paraId="384638F8" w14:textId="3D68129F" w:rsidR="0033742B" w:rsidRPr="00C06581" w:rsidRDefault="0033742B" w:rsidP="00C13A58">
            <w:pPr>
              <w:spacing w:after="0" w:line="240" w:lineRule="auto"/>
              <w:rPr>
                <w:rFonts w:cs="Arial"/>
                <w:color w:val="000000"/>
                <w:szCs w:val="20"/>
              </w:rPr>
            </w:pPr>
            <w:r>
              <w:rPr>
                <w:rFonts w:cs="Arial"/>
                <w:color w:val="000000"/>
                <w:szCs w:val="20"/>
              </w:rPr>
              <w:t>15.005</w:t>
            </w:r>
          </w:p>
        </w:tc>
      </w:tr>
      <w:tr w:rsidR="0033742B" w:rsidRPr="001431D5" w14:paraId="19A84BB3" w14:textId="77777777" w:rsidTr="00144A3A">
        <w:trPr>
          <w:cantSplit/>
          <w:trHeight w:val="315"/>
          <w:tblHeader/>
        </w:trPr>
        <w:tc>
          <w:tcPr>
            <w:tcW w:w="955" w:type="dxa"/>
            <w:shd w:val="clear" w:color="auto" w:fill="auto"/>
            <w:hideMark/>
          </w:tcPr>
          <w:p w14:paraId="3883E345" w14:textId="77777777" w:rsidR="0033742B" w:rsidRPr="00DF4E1A" w:rsidRDefault="0033742B" w:rsidP="0033742B">
            <w:pPr>
              <w:spacing w:after="0" w:line="240" w:lineRule="auto"/>
              <w:rPr>
                <w:rFonts w:cs="Arial"/>
                <w:color w:val="000000"/>
                <w:szCs w:val="20"/>
              </w:rPr>
            </w:pPr>
            <w:r w:rsidRPr="00DF4E1A">
              <w:rPr>
                <w:rFonts w:cs="Arial"/>
                <w:color w:val="000000"/>
                <w:szCs w:val="20"/>
              </w:rPr>
              <w:t>15(1)(c)</w:t>
            </w:r>
          </w:p>
        </w:tc>
        <w:tc>
          <w:tcPr>
            <w:tcW w:w="2551" w:type="dxa"/>
            <w:shd w:val="clear" w:color="auto" w:fill="auto"/>
            <w:hideMark/>
          </w:tcPr>
          <w:p w14:paraId="36B2AE80" w14:textId="2B06E1FB" w:rsidR="0033742B" w:rsidRPr="00120B54" w:rsidRDefault="00C45C4C" w:rsidP="0033742B">
            <w:pPr>
              <w:spacing w:after="0" w:line="240" w:lineRule="auto"/>
              <w:rPr>
                <w:rFonts w:cs="Arial"/>
                <w:color w:val="000000"/>
                <w:szCs w:val="20"/>
              </w:rPr>
            </w:pPr>
            <w:r>
              <w:rPr>
                <w:rFonts w:cs="Arial"/>
                <w:color w:val="000000"/>
                <w:szCs w:val="20"/>
              </w:rPr>
              <w:t xml:space="preserve">Commonwealth’s </w:t>
            </w:r>
            <w:r w:rsidR="0033742B" w:rsidRPr="00120B54">
              <w:rPr>
                <w:rFonts w:cs="Arial"/>
                <w:color w:val="000000"/>
                <w:szCs w:val="20"/>
              </w:rPr>
              <w:t>ITU contribution</w:t>
            </w:r>
          </w:p>
        </w:tc>
        <w:tc>
          <w:tcPr>
            <w:tcW w:w="1190" w:type="dxa"/>
            <w:shd w:val="clear" w:color="auto" w:fill="auto"/>
          </w:tcPr>
          <w:p w14:paraId="7FDD3592" w14:textId="20F0095E" w:rsidR="0033742B" w:rsidRPr="00DF4E1A" w:rsidRDefault="0033742B" w:rsidP="00C13A58">
            <w:pPr>
              <w:spacing w:after="0" w:line="240" w:lineRule="auto"/>
              <w:rPr>
                <w:rFonts w:cs="Arial"/>
                <w:color w:val="000000"/>
                <w:szCs w:val="20"/>
              </w:rPr>
            </w:pPr>
            <w:r>
              <w:rPr>
                <w:rFonts w:cs="Arial"/>
                <w:color w:val="000000"/>
                <w:szCs w:val="20"/>
              </w:rPr>
              <w:t>2.0</w:t>
            </w:r>
            <w:r w:rsidR="00D17D25">
              <w:rPr>
                <w:rFonts w:cs="Arial"/>
                <w:color w:val="000000"/>
                <w:szCs w:val="20"/>
              </w:rPr>
              <w:t>04</w:t>
            </w:r>
          </w:p>
        </w:tc>
        <w:tc>
          <w:tcPr>
            <w:tcW w:w="1191" w:type="dxa"/>
            <w:shd w:val="clear" w:color="auto" w:fill="auto"/>
          </w:tcPr>
          <w:p w14:paraId="645D1068" w14:textId="5B617A52" w:rsidR="0033742B" w:rsidRPr="00DF4E1A" w:rsidRDefault="0033742B" w:rsidP="00C13A58">
            <w:pPr>
              <w:spacing w:after="0" w:line="240" w:lineRule="auto"/>
              <w:rPr>
                <w:rFonts w:cs="Arial"/>
                <w:color w:val="000000"/>
                <w:szCs w:val="20"/>
              </w:rPr>
            </w:pPr>
            <w:r>
              <w:rPr>
                <w:rFonts w:cs="Arial"/>
                <w:color w:val="000000"/>
                <w:szCs w:val="20"/>
              </w:rPr>
              <w:t>2.262</w:t>
            </w:r>
          </w:p>
        </w:tc>
        <w:tc>
          <w:tcPr>
            <w:tcW w:w="1191" w:type="dxa"/>
            <w:shd w:val="clear" w:color="auto" w:fill="auto"/>
          </w:tcPr>
          <w:p w14:paraId="614B550C" w14:textId="68AD2B7A" w:rsidR="0033742B" w:rsidRPr="00DF4E1A" w:rsidRDefault="0033742B" w:rsidP="00C13A58">
            <w:pPr>
              <w:spacing w:after="0" w:line="240" w:lineRule="auto"/>
              <w:rPr>
                <w:rFonts w:cs="Arial"/>
                <w:color w:val="000000"/>
                <w:szCs w:val="20"/>
              </w:rPr>
            </w:pPr>
            <w:r w:rsidRPr="00DF4E1A">
              <w:rPr>
                <w:rFonts w:cs="Arial"/>
                <w:color w:val="000000"/>
                <w:szCs w:val="20"/>
              </w:rPr>
              <w:t>1.861</w:t>
            </w:r>
          </w:p>
        </w:tc>
        <w:tc>
          <w:tcPr>
            <w:tcW w:w="1191" w:type="dxa"/>
            <w:shd w:val="clear" w:color="auto" w:fill="auto"/>
          </w:tcPr>
          <w:p w14:paraId="220AA373" w14:textId="5BA0C4DB" w:rsidR="0033742B" w:rsidRPr="00DF4E1A" w:rsidRDefault="0033742B" w:rsidP="00C13A58">
            <w:pPr>
              <w:spacing w:after="0" w:line="240" w:lineRule="auto"/>
              <w:rPr>
                <w:rFonts w:cs="Arial"/>
                <w:color w:val="000000"/>
                <w:szCs w:val="20"/>
              </w:rPr>
            </w:pPr>
            <w:r w:rsidRPr="00DF4E1A">
              <w:rPr>
                <w:rFonts w:cs="Arial"/>
                <w:color w:val="000000"/>
                <w:szCs w:val="20"/>
              </w:rPr>
              <w:t>1.860</w:t>
            </w:r>
          </w:p>
        </w:tc>
        <w:tc>
          <w:tcPr>
            <w:tcW w:w="1191" w:type="dxa"/>
            <w:shd w:val="clear" w:color="auto" w:fill="auto"/>
          </w:tcPr>
          <w:p w14:paraId="0D2D3072" w14:textId="6313A164" w:rsidR="0033742B" w:rsidRPr="00DF4E1A" w:rsidRDefault="0033742B" w:rsidP="00C13A58">
            <w:pPr>
              <w:spacing w:after="0" w:line="240" w:lineRule="auto"/>
              <w:rPr>
                <w:rFonts w:cs="Arial"/>
                <w:color w:val="000000"/>
                <w:szCs w:val="20"/>
              </w:rPr>
            </w:pPr>
            <w:r w:rsidRPr="00DF4E1A">
              <w:rPr>
                <w:rFonts w:cs="Arial"/>
                <w:color w:val="000000"/>
                <w:szCs w:val="20"/>
              </w:rPr>
              <w:t>1.601</w:t>
            </w:r>
          </w:p>
        </w:tc>
      </w:tr>
      <w:tr w:rsidR="00C45C4C" w:rsidRPr="001431D5" w14:paraId="47303B12" w14:textId="77777777" w:rsidTr="00C45C4C">
        <w:trPr>
          <w:cantSplit/>
          <w:trHeight w:val="525"/>
          <w:tblHeader/>
        </w:trPr>
        <w:tc>
          <w:tcPr>
            <w:tcW w:w="955" w:type="dxa"/>
            <w:shd w:val="clear" w:color="auto" w:fill="auto"/>
          </w:tcPr>
          <w:p w14:paraId="686CD409" w14:textId="77777777" w:rsidR="00C45C4C" w:rsidRPr="00687A04" w:rsidRDefault="00C45C4C" w:rsidP="00C45C4C">
            <w:pPr>
              <w:spacing w:after="0" w:line="240" w:lineRule="auto"/>
              <w:rPr>
                <w:rFonts w:cs="Arial"/>
                <w:color w:val="000000"/>
                <w:szCs w:val="20"/>
              </w:rPr>
            </w:pPr>
            <w:r w:rsidRPr="00687A04">
              <w:rPr>
                <w:rFonts w:cs="Arial"/>
                <w:color w:val="000000"/>
                <w:szCs w:val="20"/>
              </w:rPr>
              <w:t>15(</w:t>
            </w:r>
            <w:proofErr w:type="gramStart"/>
            <w:r w:rsidRPr="00687A04">
              <w:rPr>
                <w:rFonts w:cs="Arial"/>
                <w:color w:val="000000"/>
                <w:szCs w:val="20"/>
              </w:rPr>
              <w:t>1)(</w:t>
            </w:r>
            <w:proofErr w:type="gramEnd"/>
            <w:r w:rsidRPr="00687A04">
              <w:rPr>
                <w:rFonts w:cs="Arial"/>
                <w:color w:val="000000"/>
                <w:szCs w:val="20"/>
              </w:rPr>
              <w:t>ca)</w:t>
            </w:r>
          </w:p>
        </w:tc>
        <w:tc>
          <w:tcPr>
            <w:tcW w:w="2551" w:type="dxa"/>
            <w:shd w:val="clear" w:color="auto" w:fill="auto"/>
          </w:tcPr>
          <w:p w14:paraId="320F5E72" w14:textId="4218112E" w:rsidR="00C45C4C" w:rsidRPr="00120B54" w:rsidRDefault="00C45C4C" w:rsidP="00F133BF">
            <w:pPr>
              <w:spacing w:after="0" w:line="240" w:lineRule="auto"/>
              <w:rPr>
                <w:rFonts w:cs="Arial"/>
                <w:color w:val="000000"/>
                <w:szCs w:val="20"/>
              </w:rPr>
            </w:pPr>
            <w:r>
              <w:rPr>
                <w:rFonts w:cs="Arial"/>
                <w:color w:val="000000"/>
                <w:szCs w:val="20"/>
              </w:rPr>
              <w:t xml:space="preserve">Amounts </w:t>
            </w:r>
            <w:r w:rsidR="00F133BF">
              <w:rPr>
                <w:rFonts w:cs="Arial"/>
                <w:color w:val="000000"/>
                <w:szCs w:val="20"/>
              </w:rPr>
              <w:t xml:space="preserve">reimbursed </w:t>
            </w:r>
            <w:r>
              <w:rPr>
                <w:rFonts w:cs="Arial"/>
                <w:color w:val="000000"/>
                <w:szCs w:val="20"/>
              </w:rPr>
              <w:t>to industry groups for d</w:t>
            </w:r>
            <w:r w:rsidRPr="00687A04">
              <w:rPr>
                <w:rFonts w:cs="Arial"/>
                <w:color w:val="000000"/>
                <w:szCs w:val="20"/>
              </w:rPr>
              <w:t xml:space="preserve">evelopment </w:t>
            </w:r>
            <w:r>
              <w:rPr>
                <w:rFonts w:cs="Arial"/>
                <w:color w:val="000000"/>
                <w:szCs w:val="20"/>
              </w:rPr>
              <w:t xml:space="preserve">or variation </w:t>
            </w:r>
            <w:r w:rsidRPr="00687A04">
              <w:rPr>
                <w:rFonts w:cs="Arial"/>
                <w:color w:val="000000"/>
                <w:szCs w:val="20"/>
              </w:rPr>
              <w:t>of consumer protection related industry codes</w:t>
            </w:r>
          </w:p>
        </w:tc>
        <w:tc>
          <w:tcPr>
            <w:tcW w:w="1190" w:type="dxa"/>
            <w:shd w:val="clear" w:color="auto" w:fill="auto"/>
          </w:tcPr>
          <w:p w14:paraId="12A71AF3" w14:textId="68441924" w:rsidR="00C45C4C" w:rsidRPr="00C06581" w:rsidRDefault="00C45C4C" w:rsidP="00C13A58">
            <w:pPr>
              <w:spacing w:after="0" w:line="240" w:lineRule="auto"/>
              <w:rPr>
                <w:rFonts w:cs="Arial"/>
                <w:color w:val="000000"/>
                <w:szCs w:val="20"/>
              </w:rPr>
            </w:pPr>
            <w:r>
              <w:rPr>
                <w:rFonts w:cs="Arial"/>
                <w:color w:val="000000"/>
                <w:szCs w:val="20"/>
              </w:rPr>
              <w:t>0</w:t>
            </w:r>
          </w:p>
        </w:tc>
        <w:tc>
          <w:tcPr>
            <w:tcW w:w="1191" w:type="dxa"/>
            <w:shd w:val="clear" w:color="auto" w:fill="auto"/>
          </w:tcPr>
          <w:p w14:paraId="2FC1A675" w14:textId="6C190764" w:rsidR="00C45C4C" w:rsidRPr="00C06581" w:rsidRDefault="00C45C4C" w:rsidP="00C13A58">
            <w:pPr>
              <w:spacing w:after="0" w:line="240" w:lineRule="auto"/>
              <w:rPr>
                <w:rFonts w:cs="Arial"/>
                <w:color w:val="000000"/>
                <w:szCs w:val="20"/>
              </w:rPr>
            </w:pPr>
            <w:r>
              <w:rPr>
                <w:rFonts w:cs="Arial"/>
                <w:color w:val="000000"/>
                <w:szCs w:val="20"/>
              </w:rPr>
              <w:t>0.086</w:t>
            </w:r>
          </w:p>
        </w:tc>
        <w:tc>
          <w:tcPr>
            <w:tcW w:w="1191" w:type="dxa"/>
            <w:shd w:val="clear" w:color="auto" w:fill="auto"/>
          </w:tcPr>
          <w:p w14:paraId="331BA99A" w14:textId="33633C37" w:rsidR="00C45C4C" w:rsidRPr="00C06581" w:rsidRDefault="00C45C4C" w:rsidP="00C13A58">
            <w:pPr>
              <w:spacing w:after="0" w:line="240" w:lineRule="auto"/>
              <w:rPr>
                <w:rFonts w:cs="Arial"/>
                <w:color w:val="000000"/>
                <w:szCs w:val="20"/>
              </w:rPr>
            </w:pPr>
            <w:r>
              <w:rPr>
                <w:rFonts w:cs="Arial"/>
                <w:color w:val="000000"/>
                <w:szCs w:val="20"/>
              </w:rPr>
              <w:t>0</w:t>
            </w:r>
          </w:p>
        </w:tc>
        <w:tc>
          <w:tcPr>
            <w:tcW w:w="1191" w:type="dxa"/>
            <w:shd w:val="clear" w:color="auto" w:fill="auto"/>
          </w:tcPr>
          <w:p w14:paraId="47463D48" w14:textId="2480EA00" w:rsidR="00C45C4C" w:rsidRPr="00C06581" w:rsidRDefault="00C45C4C" w:rsidP="00C13A58">
            <w:pPr>
              <w:spacing w:after="0" w:line="240" w:lineRule="auto"/>
              <w:rPr>
                <w:rFonts w:cs="Arial"/>
                <w:color w:val="000000"/>
                <w:szCs w:val="20"/>
              </w:rPr>
            </w:pPr>
            <w:r>
              <w:rPr>
                <w:rFonts w:cs="Arial"/>
                <w:color w:val="000000"/>
                <w:szCs w:val="20"/>
              </w:rPr>
              <w:t>0</w:t>
            </w:r>
          </w:p>
        </w:tc>
        <w:tc>
          <w:tcPr>
            <w:tcW w:w="1191" w:type="dxa"/>
            <w:shd w:val="clear" w:color="auto" w:fill="auto"/>
          </w:tcPr>
          <w:p w14:paraId="6CA9BFCE" w14:textId="00DDC065" w:rsidR="00C45C4C" w:rsidRPr="00C06581" w:rsidRDefault="00C45C4C" w:rsidP="00C13A58">
            <w:pPr>
              <w:spacing w:after="0" w:line="240" w:lineRule="auto"/>
              <w:rPr>
                <w:rFonts w:cs="Arial"/>
                <w:color w:val="000000"/>
                <w:szCs w:val="20"/>
              </w:rPr>
            </w:pPr>
            <w:r>
              <w:rPr>
                <w:rFonts w:cs="Arial"/>
                <w:color w:val="000000"/>
                <w:szCs w:val="20"/>
              </w:rPr>
              <w:t>0.321</w:t>
            </w:r>
          </w:p>
        </w:tc>
      </w:tr>
      <w:tr w:rsidR="00C45C4C" w:rsidRPr="001431D5" w14:paraId="413D0567" w14:textId="77777777" w:rsidTr="00C45C4C">
        <w:trPr>
          <w:cantSplit/>
          <w:trHeight w:val="525"/>
          <w:tblHeader/>
        </w:trPr>
        <w:tc>
          <w:tcPr>
            <w:tcW w:w="955" w:type="dxa"/>
            <w:shd w:val="clear" w:color="auto" w:fill="auto"/>
            <w:hideMark/>
          </w:tcPr>
          <w:p w14:paraId="2056F77C" w14:textId="77777777" w:rsidR="00C45C4C" w:rsidRPr="00687A04" w:rsidRDefault="00C45C4C" w:rsidP="00C45C4C">
            <w:pPr>
              <w:spacing w:after="0" w:line="240" w:lineRule="auto"/>
              <w:rPr>
                <w:rFonts w:cs="Arial"/>
                <w:color w:val="000000"/>
                <w:szCs w:val="20"/>
              </w:rPr>
            </w:pPr>
            <w:r w:rsidRPr="00687A04">
              <w:rPr>
                <w:rFonts w:cs="Arial"/>
                <w:color w:val="000000"/>
                <w:szCs w:val="20"/>
              </w:rPr>
              <w:t>15(1)(d)</w:t>
            </w:r>
          </w:p>
        </w:tc>
        <w:tc>
          <w:tcPr>
            <w:tcW w:w="2551" w:type="dxa"/>
            <w:shd w:val="clear" w:color="auto" w:fill="auto"/>
            <w:hideMark/>
          </w:tcPr>
          <w:p w14:paraId="436110A3" w14:textId="58EDA81B" w:rsidR="00C45C4C" w:rsidRPr="00120B54" w:rsidRDefault="00C45C4C" w:rsidP="00C45C4C">
            <w:pPr>
              <w:spacing w:after="0" w:line="240" w:lineRule="auto"/>
              <w:rPr>
                <w:rFonts w:cs="Arial"/>
                <w:color w:val="000000"/>
                <w:szCs w:val="20"/>
              </w:rPr>
            </w:pPr>
            <w:r>
              <w:rPr>
                <w:rFonts w:cs="Arial"/>
                <w:color w:val="000000"/>
                <w:szCs w:val="20"/>
              </w:rPr>
              <w:t>Estimated g</w:t>
            </w:r>
            <w:r w:rsidRPr="00120B54">
              <w:rPr>
                <w:rFonts w:cs="Arial"/>
                <w:color w:val="000000"/>
                <w:szCs w:val="20"/>
              </w:rPr>
              <w:t>overnment grants—consumer representation and research</w:t>
            </w:r>
          </w:p>
        </w:tc>
        <w:tc>
          <w:tcPr>
            <w:tcW w:w="1190" w:type="dxa"/>
            <w:tcBorders>
              <w:top w:val="single" w:sz="8" w:space="0" w:color="auto"/>
              <w:left w:val="single" w:sz="8" w:space="0" w:color="auto"/>
              <w:bottom w:val="single" w:sz="8" w:space="0" w:color="auto"/>
              <w:right w:val="single" w:sz="8" w:space="0" w:color="auto"/>
            </w:tcBorders>
          </w:tcPr>
          <w:p w14:paraId="7DC806B7" w14:textId="657E3239" w:rsidR="00C45C4C" w:rsidRPr="00C06581" w:rsidRDefault="00C45C4C" w:rsidP="00C13A58">
            <w:pPr>
              <w:spacing w:after="0" w:line="240" w:lineRule="auto"/>
              <w:rPr>
                <w:rFonts w:cs="Arial"/>
                <w:color w:val="000000"/>
                <w:szCs w:val="20"/>
              </w:rPr>
            </w:pPr>
            <w:r>
              <w:rPr>
                <w:rFonts w:cs="Arial"/>
                <w:color w:val="000000"/>
                <w:szCs w:val="20"/>
              </w:rPr>
              <w:t>2.261</w:t>
            </w:r>
          </w:p>
        </w:tc>
        <w:tc>
          <w:tcPr>
            <w:tcW w:w="1191" w:type="dxa"/>
            <w:shd w:val="clear" w:color="auto" w:fill="auto"/>
          </w:tcPr>
          <w:p w14:paraId="7DB6A1F3" w14:textId="29FED233" w:rsidR="00C45C4C" w:rsidRPr="00C06581" w:rsidRDefault="00C45C4C" w:rsidP="00C13A58">
            <w:pPr>
              <w:spacing w:after="0" w:line="240" w:lineRule="auto"/>
              <w:rPr>
                <w:rFonts w:cs="Arial"/>
                <w:color w:val="000000"/>
                <w:szCs w:val="20"/>
              </w:rPr>
            </w:pPr>
            <w:r>
              <w:rPr>
                <w:rFonts w:cs="Arial"/>
                <w:color w:val="000000"/>
                <w:szCs w:val="20"/>
              </w:rPr>
              <w:t>2.230</w:t>
            </w:r>
          </w:p>
        </w:tc>
        <w:tc>
          <w:tcPr>
            <w:tcW w:w="1191" w:type="dxa"/>
            <w:shd w:val="clear" w:color="auto" w:fill="auto"/>
          </w:tcPr>
          <w:p w14:paraId="626FD0B3" w14:textId="7278CC57" w:rsidR="00C45C4C" w:rsidRPr="00C06581" w:rsidRDefault="00C45C4C" w:rsidP="00C13A58">
            <w:pPr>
              <w:spacing w:after="0" w:line="240" w:lineRule="auto"/>
              <w:rPr>
                <w:rFonts w:cs="Arial"/>
                <w:color w:val="000000"/>
                <w:szCs w:val="20"/>
              </w:rPr>
            </w:pPr>
            <w:r>
              <w:rPr>
                <w:rFonts w:cs="Arial"/>
                <w:color w:val="000000"/>
                <w:szCs w:val="20"/>
              </w:rPr>
              <w:t>2.196</w:t>
            </w:r>
          </w:p>
        </w:tc>
        <w:tc>
          <w:tcPr>
            <w:tcW w:w="1191" w:type="dxa"/>
            <w:shd w:val="clear" w:color="auto" w:fill="auto"/>
          </w:tcPr>
          <w:p w14:paraId="76A652BE" w14:textId="3D6499B3" w:rsidR="00C45C4C" w:rsidRPr="00C06581" w:rsidRDefault="00C45C4C" w:rsidP="00C13A58">
            <w:pPr>
              <w:spacing w:after="0" w:line="240" w:lineRule="auto"/>
              <w:rPr>
                <w:rFonts w:cs="Arial"/>
                <w:color w:val="000000"/>
                <w:szCs w:val="20"/>
              </w:rPr>
            </w:pPr>
            <w:r>
              <w:rPr>
                <w:rFonts w:cs="Arial"/>
                <w:color w:val="000000"/>
                <w:szCs w:val="20"/>
              </w:rPr>
              <w:t>2.164</w:t>
            </w:r>
          </w:p>
        </w:tc>
        <w:tc>
          <w:tcPr>
            <w:tcW w:w="1191" w:type="dxa"/>
            <w:shd w:val="clear" w:color="auto" w:fill="auto"/>
          </w:tcPr>
          <w:p w14:paraId="65C13C8E" w14:textId="3BDE0C22" w:rsidR="00C45C4C" w:rsidRPr="00C06581" w:rsidRDefault="00C45C4C" w:rsidP="00C13A58">
            <w:pPr>
              <w:spacing w:after="0" w:line="240" w:lineRule="auto"/>
              <w:rPr>
                <w:rFonts w:cs="Arial"/>
                <w:color w:val="000000"/>
                <w:szCs w:val="20"/>
              </w:rPr>
            </w:pPr>
            <w:r>
              <w:rPr>
                <w:rFonts w:cs="Arial"/>
                <w:color w:val="000000"/>
                <w:szCs w:val="20"/>
              </w:rPr>
              <w:t>2.166</w:t>
            </w:r>
          </w:p>
        </w:tc>
      </w:tr>
      <w:tr w:rsidR="0033742B" w:rsidRPr="001431D5" w14:paraId="004C71BF" w14:textId="77777777" w:rsidTr="00C32914">
        <w:trPr>
          <w:cantSplit/>
          <w:trHeight w:val="134"/>
          <w:tblHeader/>
        </w:trPr>
        <w:tc>
          <w:tcPr>
            <w:tcW w:w="3506" w:type="dxa"/>
            <w:gridSpan w:val="2"/>
            <w:shd w:val="clear" w:color="auto" w:fill="D9D9D9" w:themeFill="background1" w:themeFillShade="D9"/>
            <w:hideMark/>
          </w:tcPr>
          <w:p w14:paraId="5D0516E2" w14:textId="77777777" w:rsidR="0033742B" w:rsidRPr="00687A04" w:rsidRDefault="0033742B" w:rsidP="0033742B">
            <w:pPr>
              <w:spacing w:after="0" w:line="240" w:lineRule="auto"/>
              <w:rPr>
                <w:rFonts w:cs="Arial"/>
                <w:b/>
                <w:bCs/>
                <w:color w:val="000000"/>
                <w:szCs w:val="20"/>
              </w:rPr>
            </w:pPr>
            <w:r w:rsidRPr="00687A04">
              <w:rPr>
                <w:rFonts w:cs="Arial"/>
                <w:b/>
                <w:bCs/>
                <w:color w:val="000000"/>
                <w:szCs w:val="20"/>
              </w:rPr>
              <w:t>Total revenue</w:t>
            </w:r>
          </w:p>
        </w:tc>
        <w:tc>
          <w:tcPr>
            <w:tcW w:w="1190" w:type="dxa"/>
            <w:shd w:val="clear" w:color="auto" w:fill="D9D9D9" w:themeFill="background1" w:themeFillShade="D9"/>
          </w:tcPr>
          <w:p w14:paraId="274BCD78" w14:textId="480EE795" w:rsidR="0033742B" w:rsidRPr="00C06581" w:rsidRDefault="005C6B2F" w:rsidP="00C13A58">
            <w:pPr>
              <w:spacing w:after="0" w:line="240" w:lineRule="auto"/>
              <w:rPr>
                <w:rFonts w:cs="Arial"/>
                <w:b/>
                <w:bCs/>
                <w:color w:val="000000"/>
                <w:szCs w:val="20"/>
              </w:rPr>
            </w:pPr>
            <w:r>
              <w:rPr>
                <w:rFonts w:cs="Arial"/>
                <w:b/>
                <w:bCs/>
                <w:color w:val="000000"/>
                <w:szCs w:val="20"/>
              </w:rPr>
              <w:t>31.</w:t>
            </w:r>
            <w:r w:rsidR="007B032B">
              <w:rPr>
                <w:rFonts w:cs="Arial"/>
                <w:b/>
                <w:bCs/>
                <w:color w:val="000000"/>
                <w:szCs w:val="20"/>
              </w:rPr>
              <w:t>678</w:t>
            </w:r>
          </w:p>
        </w:tc>
        <w:tc>
          <w:tcPr>
            <w:tcW w:w="1191" w:type="dxa"/>
            <w:shd w:val="clear" w:color="auto" w:fill="D9D9D9" w:themeFill="background1" w:themeFillShade="D9"/>
          </w:tcPr>
          <w:p w14:paraId="2216479E" w14:textId="1A962E6F" w:rsidR="0033742B" w:rsidRPr="00C06581" w:rsidRDefault="0033742B" w:rsidP="00C13A58">
            <w:pPr>
              <w:spacing w:after="0" w:line="240" w:lineRule="auto"/>
              <w:rPr>
                <w:rFonts w:cs="Arial"/>
                <w:b/>
                <w:bCs/>
                <w:color w:val="000000"/>
                <w:szCs w:val="20"/>
              </w:rPr>
            </w:pPr>
            <w:r>
              <w:rPr>
                <w:rFonts w:cs="Arial"/>
                <w:b/>
                <w:bCs/>
                <w:color w:val="000000"/>
                <w:szCs w:val="20"/>
              </w:rPr>
              <w:t>32.624</w:t>
            </w:r>
          </w:p>
        </w:tc>
        <w:tc>
          <w:tcPr>
            <w:tcW w:w="1191" w:type="dxa"/>
            <w:shd w:val="clear" w:color="auto" w:fill="D9D9D9" w:themeFill="background1" w:themeFillShade="D9"/>
          </w:tcPr>
          <w:p w14:paraId="4BC635C4" w14:textId="0708AFC5" w:rsidR="0033742B" w:rsidRPr="00C06581" w:rsidRDefault="0033742B" w:rsidP="00C13A58">
            <w:pPr>
              <w:spacing w:after="0" w:line="240" w:lineRule="auto"/>
              <w:rPr>
                <w:rFonts w:cs="Arial"/>
                <w:b/>
                <w:bCs/>
                <w:color w:val="000000"/>
                <w:szCs w:val="20"/>
              </w:rPr>
            </w:pPr>
            <w:r>
              <w:rPr>
                <w:rFonts w:cs="Arial"/>
                <w:b/>
                <w:bCs/>
                <w:color w:val="000000"/>
                <w:szCs w:val="20"/>
              </w:rPr>
              <w:t>36.736</w:t>
            </w:r>
          </w:p>
        </w:tc>
        <w:tc>
          <w:tcPr>
            <w:tcW w:w="1191" w:type="dxa"/>
            <w:shd w:val="clear" w:color="auto" w:fill="D9D9D9" w:themeFill="background1" w:themeFillShade="D9"/>
          </w:tcPr>
          <w:p w14:paraId="0E0970FB" w14:textId="640EF4C1" w:rsidR="0033742B" w:rsidRPr="00C06581" w:rsidRDefault="0033742B" w:rsidP="00C13A58">
            <w:pPr>
              <w:spacing w:after="0" w:line="240" w:lineRule="auto"/>
              <w:rPr>
                <w:rFonts w:cs="Arial"/>
                <w:b/>
                <w:bCs/>
                <w:color w:val="000000"/>
                <w:szCs w:val="20"/>
              </w:rPr>
            </w:pPr>
            <w:r>
              <w:rPr>
                <w:rFonts w:cs="Arial"/>
                <w:b/>
                <w:bCs/>
                <w:color w:val="000000"/>
                <w:szCs w:val="20"/>
              </w:rPr>
              <w:t>38.653</w:t>
            </w:r>
          </w:p>
        </w:tc>
        <w:tc>
          <w:tcPr>
            <w:tcW w:w="1191" w:type="dxa"/>
            <w:shd w:val="clear" w:color="auto" w:fill="D9D9D9" w:themeFill="background1" w:themeFillShade="D9"/>
          </w:tcPr>
          <w:p w14:paraId="1B3FF952" w14:textId="6A956EF7" w:rsidR="0033742B" w:rsidRPr="00C06581" w:rsidRDefault="0033742B" w:rsidP="00C13A58">
            <w:pPr>
              <w:spacing w:after="0" w:line="240" w:lineRule="auto"/>
              <w:rPr>
                <w:rFonts w:cs="Arial"/>
                <w:b/>
                <w:bCs/>
                <w:color w:val="000000"/>
                <w:szCs w:val="20"/>
              </w:rPr>
            </w:pPr>
            <w:r>
              <w:rPr>
                <w:rFonts w:cs="Arial"/>
                <w:b/>
                <w:bCs/>
                <w:color w:val="000000"/>
                <w:szCs w:val="20"/>
              </w:rPr>
              <w:t>38.303</w:t>
            </w:r>
          </w:p>
        </w:tc>
      </w:tr>
      <w:tr w:rsidR="0033742B" w:rsidRPr="001431D5" w14:paraId="4295BA00" w14:textId="77777777" w:rsidTr="00C32914">
        <w:trPr>
          <w:cantSplit/>
          <w:trHeight w:val="196"/>
          <w:tblHeader/>
        </w:trPr>
        <w:tc>
          <w:tcPr>
            <w:tcW w:w="3506" w:type="dxa"/>
            <w:gridSpan w:val="2"/>
            <w:shd w:val="clear" w:color="auto" w:fill="D9D9D9" w:themeFill="background1" w:themeFillShade="D9"/>
            <w:hideMark/>
          </w:tcPr>
          <w:p w14:paraId="0FB44D49" w14:textId="77777777" w:rsidR="0033742B" w:rsidRPr="00687A04" w:rsidRDefault="0033742B" w:rsidP="0033742B">
            <w:pPr>
              <w:spacing w:after="0" w:line="240" w:lineRule="auto"/>
              <w:rPr>
                <w:rFonts w:cs="Arial"/>
                <w:b/>
                <w:bCs/>
                <w:color w:val="000000"/>
                <w:szCs w:val="20"/>
              </w:rPr>
            </w:pPr>
            <w:r w:rsidRPr="00687A04">
              <w:rPr>
                <w:rFonts w:cs="Arial"/>
                <w:b/>
                <w:bCs/>
                <w:color w:val="000000"/>
                <w:szCs w:val="20"/>
              </w:rPr>
              <w:t>Balance</w:t>
            </w:r>
          </w:p>
        </w:tc>
        <w:tc>
          <w:tcPr>
            <w:tcW w:w="1190" w:type="dxa"/>
            <w:shd w:val="clear" w:color="auto" w:fill="D9D9D9" w:themeFill="background1" w:themeFillShade="D9"/>
          </w:tcPr>
          <w:p w14:paraId="13059309" w14:textId="432E38DE" w:rsidR="0033742B" w:rsidRPr="00C06581" w:rsidRDefault="005C6B2F" w:rsidP="00C13A58">
            <w:pPr>
              <w:spacing w:after="0" w:line="240" w:lineRule="auto"/>
              <w:rPr>
                <w:rFonts w:cs="Arial"/>
                <w:b/>
                <w:bCs/>
                <w:szCs w:val="20"/>
              </w:rPr>
            </w:pPr>
            <w:r>
              <w:rPr>
                <w:rFonts w:cs="Arial"/>
                <w:b/>
                <w:bCs/>
                <w:szCs w:val="20"/>
              </w:rPr>
              <w:t>2.2</w:t>
            </w:r>
            <w:r w:rsidR="00786F09">
              <w:rPr>
                <w:rFonts w:cs="Arial"/>
                <w:b/>
                <w:bCs/>
                <w:szCs w:val="20"/>
              </w:rPr>
              <w:t>51</w:t>
            </w:r>
          </w:p>
        </w:tc>
        <w:tc>
          <w:tcPr>
            <w:tcW w:w="1191" w:type="dxa"/>
            <w:shd w:val="clear" w:color="auto" w:fill="D9D9D9" w:themeFill="background1" w:themeFillShade="D9"/>
          </w:tcPr>
          <w:p w14:paraId="57E673E0" w14:textId="6093D1AE" w:rsidR="0033742B" w:rsidRPr="00C06581" w:rsidRDefault="0033742B" w:rsidP="00C13A58">
            <w:pPr>
              <w:spacing w:after="0" w:line="240" w:lineRule="auto"/>
              <w:rPr>
                <w:rFonts w:cs="Arial"/>
                <w:b/>
                <w:bCs/>
                <w:szCs w:val="20"/>
              </w:rPr>
            </w:pPr>
            <w:r>
              <w:rPr>
                <w:rFonts w:cs="Arial"/>
                <w:b/>
                <w:bCs/>
                <w:szCs w:val="20"/>
              </w:rPr>
              <w:t>0.977</w:t>
            </w:r>
          </w:p>
        </w:tc>
        <w:tc>
          <w:tcPr>
            <w:tcW w:w="1191" w:type="dxa"/>
            <w:shd w:val="clear" w:color="auto" w:fill="D9D9D9" w:themeFill="background1" w:themeFillShade="D9"/>
          </w:tcPr>
          <w:p w14:paraId="3EF83FD5" w14:textId="3E808C6D" w:rsidR="0033742B" w:rsidRPr="00C06581" w:rsidRDefault="0033742B" w:rsidP="00C13A58">
            <w:pPr>
              <w:spacing w:after="0" w:line="240" w:lineRule="auto"/>
              <w:rPr>
                <w:rFonts w:cs="Arial"/>
                <w:b/>
                <w:bCs/>
                <w:szCs w:val="20"/>
              </w:rPr>
            </w:pPr>
            <w:r>
              <w:rPr>
                <w:rFonts w:cs="Arial"/>
                <w:b/>
                <w:bCs/>
                <w:szCs w:val="20"/>
              </w:rPr>
              <w:t>4.346</w:t>
            </w:r>
          </w:p>
        </w:tc>
        <w:tc>
          <w:tcPr>
            <w:tcW w:w="1191" w:type="dxa"/>
            <w:shd w:val="clear" w:color="auto" w:fill="D9D9D9" w:themeFill="background1" w:themeFillShade="D9"/>
          </w:tcPr>
          <w:p w14:paraId="54B5AA2A" w14:textId="54914F63" w:rsidR="0033742B" w:rsidRPr="00C06581" w:rsidRDefault="0033742B" w:rsidP="00C13A58">
            <w:pPr>
              <w:spacing w:after="0" w:line="240" w:lineRule="auto"/>
              <w:rPr>
                <w:rFonts w:cs="Arial"/>
                <w:b/>
                <w:bCs/>
                <w:szCs w:val="20"/>
              </w:rPr>
            </w:pPr>
            <w:r>
              <w:rPr>
                <w:rFonts w:cs="Arial"/>
                <w:b/>
                <w:bCs/>
                <w:szCs w:val="20"/>
              </w:rPr>
              <w:t>1.949</w:t>
            </w:r>
          </w:p>
        </w:tc>
        <w:tc>
          <w:tcPr>
            <w:tcW w:w="1191" w:type="dxa"/>
            <w:shd w:val="clear" w:color="auto" w:fill="D9D9D9" w:themeFill="background1" w:themeFillShade="D9"/>
          </w:tcPr>
          <w:p w14:paraId="584DFAA7" w14:textId="7B518343" w:rsidR="0033742B" w:rsidRPr="00C06581" w:rsidRDefault="0033742B" w:rsidP="00C13A58">
            <w:pPr>
              <w:spacing w:after="0" w:line="240" w:lineRule="auto"/>
              <w:rPr>
                <w:rFonts w:cs="Arial"/>
                <w:b/>
                <w:bCs/>
                <w:szCs w:val="20"/>
              </w:rPr>
            </w:pPr>
            <w:r>
              <w:rPr>
                <w:rFonts w:cs="Arial"/>
                <w:b/>
                <w:bCs/>
                <w:szCs w:val="20"/>
              </w:rPr>
              <w:t>(0.223)</w:t>
            </w:r>
          </w:p>
        </w:tc>
      </w:tr>
    </w:tbl>
    <w:p w14:paraId="050D69F8" w14:textId="2C34517E" w:rsidR="003F4664" w:rsidRDefault="003F4664" w:rsidP="00593B36">
      <w:pPr>
        <w:spacing w:before="120" w:line="240" w:lineRule="auto"/>
        <w:rPr>
          <w:sz w:val="16"/>
        </w:rPr>
      </w:pPr>
      <w:r w:rsidRPr="002976D3">
        <w:rPr>
          <w:sz w:val="16"/>
        </w:rPr>
        <w:t>Note</w:t>
      </w:r>
      <w:r>
        <w:rPr>
          <w:sz w:val="16"/>
        </w:rPr>
        <w:t xml:space="preserve">: </w:t>
      </w:r>
      <w:r w:rsidR="001A656F">
        <w:rPr>
          <w:sz w:val="16"/>
        </w:rPr>
        <w:t>T</w:t>
      </w:r>
      <w:r>
        <w:rPr>
          <w:sz w:val="16"/>
        </w:rPr>
        <w:t>he revenues for 15(1)(a), 15(1)(b) and 15(</w:t>
      </w:r>
      <w:proofErr w:type="gramStart"/>
      <w:r>
        <w:rPr>
          <w:sz w:val="16"/>
        </w:rPr>
        <w:t>1)(</w:t>
      </w:r>
      <w:proofErr w:type="gramEnd"/>
      <w:r>
        <w:rPr>
          <w:sz w:val="16"/>
        </w:rPr>
        <w:t xml:space="preserve">ca) are based on the previous year’s expenditure. The revenue for 15(1)(c) is derived by averaging the expenditure for the year in which the charges are made and the previous year. The revenue for 15(1)(d) is based on the same year’s expenditure. Further details </w:t>
      </w:r>
      <w:r w:rsidR="00F067A4">
        <w:rPr>
          <w:sz w:val="16"/>
        </w:rPr>
        <w:t>appear</w:t>
      </w:r>
      <w:r>
        <w:rPr>
          <w:sz w:val="16"/>
        </w:rPr>
        <w:t xml:space="preserve"> </w:t>
      </w:r>
      <w:r w:rsidR="00250900">
        <w:rPr>
          <w:sz w:val="16"/>
        </w:rPr>
        <w:t xml:space="preserve">in </w:t>
      </w:r>
      <w:r w:rsidR="00C83BAC">
        <w:rPr>
          <w:sz w:val="16"/>
        </w:rPr>
        <w:t>s</w:t>
      </w:r>
      <w:r w:rsidR="00250900">
        <w:rPr>
          <w:sz w:val="16"/>
        </w:rPr>
        <w:t>ection</w:t>
      </w:r>
      <w:r w:rsidRPr="00144A3A">
        <w:rPr>
          <w:sz w:val="16"/>
        </w:rPr>
        <w:t xml:space="preserve"> 6.</w:t>
      </w:r>
    </w:p>
    <w:p w14:paraId="6EA70C02" w14:textId="61E50A00" w:rsidR="009E783D" w:rsidRDefault="009E783D" w:rsidP="00D567BE">
      <w:r w:rsidRPr="00A84CBD">
        <w:lastRenderedPageBreak/>
        <w:t xml:space="preserve">As the ACLC is set on an annual basis, the </w:t>
      </w:r>
      <w:r>
        <w:t>a</w:t>
      </w:r>
      <w:r w:rsidRPr="00A84CBD">
        <w:t xml:space="preserve">ctual costs of activities </w:t>
      </w:r>
      <w:r>
        <w:t xml:space="preserve">are ascertained </w:t>
      </w:r>
      <w:r w:rsidRPr="00A84CBD">
        <w:t xml:space="preserve">before they translate into the charges for the applicable period. This </w:t>
      </w:r>
      <w:r>
        <w:t>reduces</w:t>
      </w:r>
      <w:r w:rsidRPr="00A84CBD">
        <w:t xml:space="preserve"> the risk of over or under recovery from the telecommunications industry.</w:t>
      </w:r>
      <w:r>
        <w:t xml:space="preserve"> The balance reflects the surplus or deficit </w:t>
      </w:r>
      <w:r w:rsidR="001F572C">
        <w:t xml:space="preserve">that </w:t>
      </w:r>
      <w:r>
        <w:t>occurred due to the lag between the actual expenses incurred and the recognition of the corresponding revenu</w:t>
      </w:r>
      <w:r w:rsidR="00D567BE">
        <w:t>e</w:t>
      </w:r>
      <w:r w:rsidR="001F572C">
        <w:t>,</w:t>
      </w:r>
      <w:r w:rsidR="00D567BE">
        <w:t xml:space="preserve"> as noted in </w:t>
      </w:r>
      <w:r w:rsidR="00C13A58">
        <w:t>s</w:t>
      </w:r>
      <w:r w:rsidR="00250900">
        <w:t>ection</w:t>
      </w:r>
      <w:r w:rsidR="00D567BE">
        <w:t xml:space="preserve"> 6 above. </w:t>
      </w:r>
    </w:p>
    <w:p w14:paraId="19849C6B" w14:textId="7DBEC072" w:rsidR="009E783D" w:rsidRPr="00D567BE" w:rsidRDefault="00730201" w:rsidP="00C06F10">
      <w:r>
        <w:t>In 2014</w:t>
      </w:r>
      <w:r w:rsidR="00B327BF">
        <w:t>–</w:t>
      </w:r>
      <w:r>
        <w:t>15</w:t>
      </w:r>
      <w:r w:rsidR="00796C7D">
        <w:t>,</w:t>
      </w:r>
      <w:r w:rsidR="008F437D" w:rsidRPr="008F437D">
        <w:rPr>
          <w:rFonts w:cs="Arial"/>
          <w:iCs/>
        </w:rPr>
        <w:t xml:space="preserve"> </w:t>
      </w:r>
      <w:r w:rsidR="008F437D">
        <w:rPr>
          <w:rFonts w:cs="Arial"/>
          <w:iCs/>
        </w:rPr>
        <w:t>the</w:t>
      </w:r>
      <w:r>
        <w:t xml:space="preserve"> ACMA’s component decreased by 10.6 per cent</w:t>
      </w:r>
      <w:r w:rsidR="00796C7D">
        <w:t>,</w:t>
      </w:r>
      <w:r>
        <w:t xml:space="preserve"> largely due to </w:t>
      </w:r>
      <w:r w:rsidR="009E783D" w:rsidRPr="00B815BC">
        <w:t xml:space="preserve">the reduction in budget for </w:t>
      </w:r>
      <w:r w:rsidR="008F437D">
        <w:rPr>
          <w:rFonts w:cs="Arial"/>
          <w:iCs/>
        </w:rPr>
        <w:t>the</w:t>
      </w:r>
      <w:r w:rsidR="008F437D" w:rsidRPr="00E8129B">
        <w:rPr>
          <w:rFonts w:cs="Arial"/>
          <w:iCs/>
        </w:rPr>
        <w:t xml:space="preserve"> </w:t>
      </w:r>
      <w:r w:rsidR="009E783D" w:rsidRPr="00B815BC">
        <w:t>ACMA’s telecommunications activit</w:t>
      </w:r>
      <w:r w:rsidR="00D567BE" w:rsidRPr="00B815BC">
        <w:t>ies</w:t>
      </w:r>
      <w:r>
        <w:t xml:space="preserve"> and the adoption of </w:t>
      </w:r>
      <w:r w:rsidR="00A35DCB">
        <w:t xml:space="preserve">the </w:t>
      </w:r>
      <w:r w:rsidR="00076FCE">
        <w:t>g</w:t>
      </w:r>
      <w:r w:rsidRPr="008E0DB6">
        <w:t>overnment’s deregulation policy</w:t>
      </w:r>
      <w:r w:rsidR="00D567BE" w:rsidRPr="008E0DB6">
        <w:t>.</w:t>
      </w:r>
      <w:r w:rsidR="002219BD" w:rsidRPr="008E0DB6">
        <w:t xml:space="preserve"> </w:t>
      </w:r>
      <w:r w:rsidR="008F437D">
        <w:t>T</w:t>
      </w:r>
      <w:r w:rsidR="008F437D">
        <w:rPr>
          <w:rFonts w:cs="Arial"/>
          <w:iCs/>
        </w:rPr>
        <w:t>he</w:t>
      </w:r>
      <w:r w:rsidR="008F437D" w:rsidRPr="00E8129B">
        <w:rPr>
          <w:rFonts w:cs="Arial"/>
          <w:iCs/>
        </w:rPr>
        <w:t xml:space="preserve"> </w:t>
      </w:r>
      <w:r w:rsidR="00B815BC" w:rsidRPr="008E0DB6">
        <w:t xml:space="preserve">ACMA’s component </w:t>
      </w:r>
      <w:r w:rsidRPr="008E0DB6">
        <w:t xml:space="preserve">further </w:t>
      </w:r>
      <w:r w:rsidR="00B815BC" w:rsidRPr="008E0DB6">
        <w:t xml:space="preserve">decreased by </w:t>
      </w:r>
      <w:r w:rsidR="0039435F" w:rsidRPr="008E0DB6">
        <w:t>1</w:t>
      </w:r>
      <w:r w:rsidRPr="008E0DB6">
        <w:t>8</w:t>
      </w:r>
      <w:r w:rsidR="0039435F" w:rsidRPr="008E0DB6">
        <w:t xml:space="preserve"> per cent</w:t>
      </w:r>
      <w:r w:rsidRPr="008E0DB6">
        <w:t xml:space="preserve"> in 2015</w:t>
      </w:r>
      <w:r w:rsidR="001F572C" w:rsidRPr="008E0DB6">
        <w:t>–</w:t>
      </w:r>
      <w:r w:rsidRPr="008E0DB6">
        <w:t>16</w:t>
      </w:r>
      <w:r w:rsidR="00796C7D">
        <w:t>,</w:t>
      </w:r>
      <w:r w:rsidR="00C06F10" w:rsidRPr="008E0DB6">
        <w:t xml:space="preserve"> which was mainly attributable to lapsed funding for </w:t>
      </w:r>
      <w:r w:rsidR="00796C7D">
        <w:t xml:space="preserve">the </w:t>
      </w:r>
      <w:r w:rsidR="00C06F10" w:rsidRPr="008E0DB6">
        <w:t xml:space="preserve">NBN regulatory framework and a reduction in numbering management costs </w:t>
      </w:r>
      <w:r w:rsidR="00796C7D">
        <w:t>due</w:t>
      </w:r>
      <w:r w:rsidR="00C06F10" w:rsidRPr="008E0DB6">
        <w:t xml:space="preserve"> to outsourcing </w:t>
      </w:r>
      <w:r w:rsidR="008F437D">
        <w:rPr>
          <w:rFonts w:cs="Arial"/>
          <w:iCs/>
        </w:rPr>
        <w:t>the</w:t>
      </w:r>
      <w:r w:rsidR="008F437D" w:rsidRPr="00E8129B">
        <w:rPr>
          <w:rFonts w:cs="Arial"/>
          <w:iCs/>
        </w:rPr>
        <w:t xml:space="preserve"> </w:t>
      </w:r>
      <w:r w:rsidR="00C06F10" w:rsidRPr="008E0DB6">
        <w:t>ACMA’s numbering allocation activities.</w:t>
      </w:r>
      <w:r w:rsidR="005C6B2F">
        <w:t xml:space="preserve"> The reduction of </w:t>
      </w:r>
      <w:r w:rsidR="008F437D">
        <w:rPr>
          <w:rFonts w:cs="Arial"/>
          <w:iCs/>
        </w:rPr>
        <w:t>the</w:t>
      </w:r>
      <w:r w:rsidR="008F437D" w:rsidRPr="00E8129B">
        <w:rPr>
          <w:rFonts w:cs="Arial"/>
          <w:iCs/>
        </w:rPr>
        <w:t xml:space="preserve"> </w:t>
      </w:r>
      <w:r w:rsidR="005C6B2F">
        <w:t>ACMA’s expenditure in the 2017</w:t>
      </w:r>
      <w:r w:rsidR="00E74157">
        <w:t>–</w:t>
      </w:r>
      <w:r w:rsidR="005C6B2F">
        <w:t xml:space="preserve">18 financial year is explained in </w:t>
      </w:r>
      <w:r w:rsidR="00C13A58">
        <w:t>s</w:t>
      </w:r>
      <w:r w:rsidR="005C6B2F">
        <w:t>ection 3.1.2 under Table 10.</w:t>
      </w:r>
    </w:p>
    <w:p w14:paraId="0F7179BC" w14:textId="77777777" w:rsidR="009E783D" w:rsidRPr="00CC3F4B" w:rsidRDefault="009E783D" w:rsidP="009E783D">
      <w:pPr>
        <w:pStyle w:val="Heading1"/>
      </w:pPr>
      <w:bookmarkStart w:id="150" w:name="_Toc417990966"/>
      <w:bookmarkStart w:id="151" w:name="_Toc511634408"/>
      <w:bookmarkStart w:id="152" w:name="_Toc26786348"/>
      <w:r>
        <w:lastRenderedPageBreak/>
        <w:t xml:space="preserve">7B. </w:t>
      </w:r>
      <w:r w:rsidR="00CB3D67">
        <w:tab/>
      </w:r>
      <w:r>
        <w:t>Non-f</w:t>
      </w:r>
      <w:r w:rsidRPr="00CC3F4B">
        <w:t xml:space="preserve">inancial </w:t>
      </w:r>
      <w:r>
        <w:t>performance</w:t>
      </w:r>
      <w:bookmarkEnd w:id="150"/>
      <w:bookmarkEnd w:id="151"/>
      <w:bookmarkEnd w:id="152"/>
    </w:p>
    <w:p w14:paraId="0F57D201" w14:textId="7B07584B" w:rsidR="002219BD" w:rsidRPr="008757E2" w:rsidRDefault="00551FE4" w:rsidP="00C32914">
      <w:pPr>
        <w:pStyle w:val="Heading2"/>
      </w:pPr>
      <w:bookmarkStart w:id="153" w:name="_Toc511634409"/>
      <w:bookmarkStart w:id="154" w:name="_Toc26786349"/>
      <w:r>
        <w:t xml:space="preserve">The </w:t>
      </w:r>
      <w:r w:rsidR="002219BD" w:rsidRPr="008757E2">
        <w:t>ACMA’s cost component</w:t>
      </w:r>
      <w:bookmarkEnd w:id="153"/>
      <w:bookmarkEnd w:id="154"/>
    </w:p>
    <w:p w14:paraId="37202663" w14:textId="46E8481E" w:rsidR="009E783D" w:rsidRDefault="00551FE4" w:rsidP="009E783D">
      <w:pPr>
        <w:spacing w:line="240" w:lineRule="auto"/>
      </w:pPr>
      <w:r>
        <w:t xml:space="preserve">The </w:t>
      </w:r>
      <w:r w:rsidR="003C7C8A" w:rsidRPr="001D062D">
        <w:t>ACMA’s performanc</w:t>
      </w:r>
      <w:r w:rsidR="003D7152" w:rsidRPr="001D062D">
        <w:t xml:space="preserve">e measures for its deliverables </w:t>
      </w:r>
      <w:r w:rsidR="00796C7D">
        <w:t>for</w:t>
      </w:r>
      <w:r w:rsidR="001D062D" w:rsidRPr="001D062D">
        <w:t xml:space="preserve"> telecommunications services </w:t>
      </w:r>
      <w:r w:rsidR="003C7C8A" w:rsidRPr="001D062D">
        <w:t xml:space="preserve">are provided in Table </w:t>
      </w:r>
      <w:r w:rsidR="00673D1F">
        <w:t>20</w:t>
      </w:r>
      <w:r w:rsidR="003C7C8A" w:rsidRPr="001D062D">
        <w:t>.</w:t>
      </w:r>
    </w:p>
    <w:p w14:paraId="676D7C61" w14:textId="0DF26718" w:rsidR="003C7C8A" w:rsidRPr="00673D1F" w:rsidRDefault="003C7C8A" w:rsidP="00673D1F">
      <w:pPr>
        <w:pStyle w:val="ACMATableHeader"/>
      </w:pPr>
      <w:r w:rsidRPr="00673D1F">
        <w:t>Deliverables and key performance indicators</w:t>
      </w:r>
      <w:r w:rsidR="000C7CC9" w:rsidRPr="00673D1F">
        <w:t xml:space="preserve"> (KPIs)</w:t>
      </w:r>
    </w:p>
    <w:tbl>
      <w:tblPr>
        <w:tblW w:w="56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Deliverables and key performance indicators (KPIs)"/>
      </w:tblPr>
      <w:tblGrid>
        <w:gridCol w:w="3694"/>
        <w:gridCol w:w="4962"/>
      </w:tblGrid>
      <w:tr w:rsidR="000C7CC9" w:rsidRPr="000D6F80" w14:paraId="7FB9ACEB" w14:textId="77777777" w:rsidTr="0014060A">
        <w:trPr>
          <w:cantSplit/>
          <w:trHeight w:val="270"/>
          <w:tblHeader/>
        </w:trPr>
        <w:tc>
          <w:tcPr>
            <w:tcW w:w="2134" w:type="pct"/>
            <w:shd w:val="clear" w:color="auto" w:fill="404040" w:themeFill="text1" w:themeFillTint="BF"/>
          </w:tcPr>
          <w:p w14:paraId="6E497BF6" w14:textId="77777777" w:rsidR="000C7CC9" w:rsidRPr="00D72139" w:rsidRDefault="000C7CC9" w:rsidP="00D72139">
            <w:pPr>
              <w:pStyle w:val="TableHeading"/>
              <w:rPr>
                <w:b w:val="0"/>
                <w:color w:val="FFFFFF" w:themeColor="background1"/>
                <w:highlight w:val="yellow"/>
              </w:rPr>
            </w:pPr>
            <w:r w:rsidRPr="00D72139">
              <w:rPr>
                <w:color w:val="FFFFFF" w:themeColor="background1"/>
              </w:rPr>
              <w:t>Deliverable</w:t>
            </w:r>
          </w:p>
        </w:tc>
        <w:tc>
          <w:tcPr>
            <w:tcW w:w="2866" w:type="pct"/>
            <w:tcBorders>
              <w:top w:val="single" w:sz="6" w:space="0" w:color="auto"/>
            </w:tcBorders>
            <w:shd w:val="clear" w:color="auto" w:fill="404040" w:themeFill="text1" w:themeFillTint="BF"/>
          </w:tcPr>
          <w:p w14:paraId="14258DB2" w14:textId="77777777" w:rsidR="000C7CC9" w:rsidRPr="00D72139" w:rsidRDefault="000C7CC9" w:rsidP="00D72139">
            <w:pPr>
              <w:pStyle w:val="TableHeading"/>
              <w:rPr>
                <w:b w:val="0"/>
                <w:color w:val="FFFFFF" w:themeColor="background1"/>
              </w:rPr>
            </w:pPr>
            <w:r w:rsidRPr="00D72139">
              <w:rPr>
                <w:color w:val="FFFFFF" w:themeColor="background1"/>
              </w:rPr>
              <w:t>KPI</w:t>
            </w:r>
          </w:p>
        </w:tc>
      </w:tr>
      <w:tr w:rsidR="000C7CC9" w:rsidRPr="000D6F80" w14:paraId="23D5CE94" w14:textId="77777777" w:rsidTr="0014060A">
        <w:trPr>
          <w:cantSplit/>
          <w:trHeight w:val="344"/>
          <w:tblHeader/>
        </w:trPr>
        <w:tc>
          <w:tcPr>
            <w:tcW w:w="2134" w:type="pct"/>
          </w:tcPr>
          <w:p w14:paraId="112BA99C" w14:textId="77777777" w:rsidR="000C7CC9" w:rsidRDefault="00DE47AB" w:rsidP="00DE47AB">
            <w:pPr>
              <w:spacing w:after="0"/>
              <w:ind w:right="-142"/>
              <w:rPr>
                <w:rFonts w:cs="Arial"/>
                <w:szCs w:val="20"/>
              </w:rPr>
            </w:pPr>
            <w:r>
              <w:rPr>
                <w:rFonts w:cs="Arial"/>
                <w:szCs w:val="20"/>
              </w:rPr>
              <w:t xml:space="preserve">Administration of </w:t>
            </w:r>
            <w:r w:rsidRPr="00DE47AB">
              <w:rPr>
                <w:rFonts w:cs="Arial"/>
                <w:szCs w:val="20"/>
              </w:rPr>
              <w:t>licensing and number allocation arrangements promotes efficiency, innovation and competition in the Australian telecommunications industry</w:t>
            </w:r>
          </w:p>
        </w:tc>
        <w:tc>
          <w:tcPr>
            <w:tcW w:w="2866" w:type="pct"/>
          </w:tcPr>
          <w:p w14:paraId="5316916C" w14:textId="77777777" w:rsidR="000C7CC9" w:rsidRDefault="00784C47" w:rsidP="00142961">
            <w:pPr>
              <w:spacing w:after="0"/>
              <w:ind w:right="35"/>
              <w:rPr>
                <w:rFonts w:cs="Arial"/>
                <w:szCs w:val="20"/>
              </w:rPr>
            </w:pPr>
            <w:r w:rsidRPr="00784C47">
              <w:rPr>
                <w:rFonts w:cs="Arial"/>
                <w:szCs w:val="20"/>
              </w:rPr>
              <w:t>Administration of numbering allocation and licensing arrangements is efficient; allocation of 90 per cent of licences is within statutory time frames and the numbering provider meets 100 per cent of contractual milestone</w:t>
            </w:r>
            <w:r w:rsidR="00447B41">
              <w:rPr>
                <w:rFonts w:cs="Arial"/>
                <w:szCs w:val="20"/>
              </w:rPr>
              <w:t>s</w:t>
            </w:r>
          </w:p>
        </w:tc>
      </w:tr>
      <w:tr w:rsidR="00C1008E" w:rsidRPr="000D6F80" w14:paraId="2BBC1447" w14:textId="77777777" w:rsidTr="0014060A">
        <w:trPr>
          <w:cantSplit/>
          <w:trHeight w:val="344"/>
          <w:tblHeader/>
        </w:trPr>
        <w:tc>
          <w:tcPr>
            <w:tcW w:w="2134" w:type="pct"/>
          </w:tcPr>
          <w:p w14:paraId="5C62BE49" w14:textId="44FB1E58" w:rsidR="00C1008E" w:rsidRDefault="00C1008E" w:rsidP="00142961">
            <w:pPr>
              <w:spacing w:after="0"/>
              <w:ind w:right="-142"/>
              <w:rPr>
                <w:rFonts w:cs="Arial"/>
                <w:szCs w:val="20"/>
              </w:rPr>
            </w:pPr>
            <w:r>
              <w:rPr>
                <w:rFonts w:cs="Arial"/>
                <w:szCs w:val="20"/>
              </w:rPr>
              <w:t>F</w:t>
            </w:r>
            <w:r w:rsidR="006051F5">
              <w:rPr>
                <w:rFonts w:cs="Arial"/>
                <w:szCs w:val="20"/>
              </w:rPr>
              <w:t>acilitation of</w:t>
            </w:r>
            <w:r w:rsidRPr="00C1008E">
              <w:rPr>
                <w:rFonts w:cs="Arial"/>
                <w:szCs w:val="20"/>
              </w:rPr>
              <w:t xml:space="preserve"> the efficient review of telecommunications operational codes </w:t>
            </w:r>
            <w:r>
              <w:rPr>
                <w:rFonts w:cs="Arial"/>
                <w:szCs w:val="20"/>
              </w:rPr>
              <w:t>to ensure effective operation</w:t>
            </w:r>
          </w:p>
        </w:tc>
        <w:tc>
          <w:tcPr>
            <w:tcW w:w="2866" w:type="pct"/>
          </w:tcPr>
          <w:p w14:paraId="532ACB0A" w14:textId="250D8BE7" w:rsidR="00C1008E" w:rsidRDefault="00C1008E" w:rsidP="00C1008E">
            <w:pPr>
              <w:spacing w:after="0"/>
              <w:ind w:right="35"/>
              <w:rPr>
                <w:rFonts w:cs="Arial"/>
                <w:szCs w:val="20"/>
              </w:rPr>
            </w:pPr>
            <w:r w:rsidRPr="00C1008E">
              <w:rPr>
                <w:rFonts w:cs="Arial"/>
                <w:szCs w:val="20"/>
              </w:rPr>
              <w:t xml:space="preserve">Decision </w:t>
            </w:r>
            <w:r w:rsidR="00F067A4">
              <w:rPr>
                <w:rFonts w:cs="Arial"/>
                <w:szCs w:val="20"/>
              </w:rPr>
              <w:t xml:space="preserve">whether </w:t>
            </w:r>
            <w:r w:rsidRPr="00C1008E">
              <w:rPr>
                <w:rFonts w:cs="Arial"/>
                <w:szCs w:val="20"/>
              </w:rPr>
              <w:t>to register all operational codes ma</w:t>
            </w:r>
            <w:r>
              <w:rPr>
                <w:rFonts w:cs="Arial"/>
                <w:szCs w:val="20"/>
              </w:rPr>
              <w:t>de within two months of receipt</w:t>
            </w:r>
          </w:p>
        </w:tc>
      </w:tr>
      <w:tr w:rsidR="000C7CC9" w:rsidRPr="000D6F80" w14:paraId="0156D645" w14:textId="77777777" w:rsidTr="0014060A">
        <w:trPr>
          <w:cantSplit/>
          <w:trHeight w:val="344"/>
          <w:tblHeader/>
        </w:trPr>
        <w:tc>
          <w:tcPr>
            <w:tcW w:w="2134" w:type="pct"/>
          </w:tcPr>
          <w:p w14:paraId="6962B2DE" w14:textId="77777777" w:rsidR="000C7CC9" w:rsidRDefault="006051F5" w:rsidP="00142961">
            <w:pPr>
              <w:spacing w:after="0"/>
              <w:ind w:right="-142"/>
              <w:rPr>
                <w:rFonts w:cs="Arial"/>
                <w:szCs w:val="20"/>
              </w:rPr>
            </w:pPr>
            <w:r w:rsidRPr="006051F5">
              <w:rPr>
                <w:rFonts w:cs="Arial"/>
                <w:szCs w:val="20"/>
              </w:rPr>
              <w:t>In partnership with industry, working to improve the performance of Australia’s emergency call service, ensuring the security and reliability of critical infrastructure, and facilitating collaboration between law enforcement, industry and government stakeholders</w:t>
            </w:r>
          </w:p>
        </w:tc>
        <w:tc>
          <w:tcPr>
            <w:tcW w:w="2866" w:type="pct"/>
          </w:tcPr>
          <w:p w14:paraId="0A74EF01" w14:textId="4B1692F5" w:rsidR="006051F5" w:rsidRDefault="009B074B" w:rsidP="00C32914">
            <w:pPr>
              <w:spacing w:after="80"/>
              <w:ind w:right="35"/>
              <w:rPr>
                <w:rFonts w:cs="Arial"/>
                <w:szCs w:val="20"/>
              </w:rPr>
            </w:pPr>
            <w:r>
              <w:rPr>
                <w:rFonts w:cs="Arial"/>
                <w:szCs w:val="20"/>
              </w:rPr>
              <w:t>Law enforcement, emergency and national security service providers are appropriately and reasonabl</w:t>
            </w:r>
            <w:r w:rsidR="00F65B5E">
              <w:rPr>
                <w:rFonts w:cs="Arial"/>
                <w:szCs w:val="20"/>
              </w:rPr>
              <w:t>y</w:t>
            </w:r>
            <w:r>
              <w:rPr>
                <w:rFonts w:cs="Arial"/>
                <w:szCs w:val="20"/>
              </w:rPr>
              <w:t xml:space="preserve"> supported by </w:t>
            </w:r>
            <w:r w:rsidR="00472E0C">
              <w:rPr>
                <w:rFonts w:cs="Arial"/>
                <w:iCs/>
              </w:rPr>
              <w:t>the</w:t>
            </w:r>
            <w:r w:rsidR="00472E0C" w:rsidRPr="00E8129B">
              <w:rPr>
                <w:rFonts w:cs="Arial"/>
                <w:iCs/>
              </w:rPr>
              <w:t xml:space="preserve"> </w:t>
            </w:r>
            <w:r>
              <w:rPr>
                <w:rFonts w:cs="Arial"/>
                <w:szCs w:val="20"/>
              </w:rPr>
              <w:t>ACMA and telecommunications industry</w:t>
            </w:r>
          </w:p>
          <w:p w14:paraId="332DDBD2" w14:textId="51FA2E47" w:rsidR="000C7CC9" w:rsidRDefault="006051F5" w:rsidP="006051F5">
            <w:pPr>
              <w:spacing w:after="0"/>
              <w:ind w:right="35"/>
              <w:rPr>
                <w:rFonts w:cs="Arial"/>
                <w:szCs w:val="20"/>
              </w:rPr>
            </w:pPr>
            <w:r w:rsidRPr="006051F5">
              <w:rPr>
                <w:rFonts w:cs="Arial"/>
                <w:szCs w:val="20"/>
              </w:rPr>
              <w:t>Facilitation of emergency call service obligations is efficient, with 100 per cent of investigations into compliance and other activities completed w</w:t>
            </w:r>
            <w:r>
              <w:rPr>
                <w:rFonts w:cs="Arial"/>
                <w:szCs w:val="20"/>
              </w:rPr>
              <w:t>ithin an average of six months</w:t>
            </w:r>
          </w:p>
        </w:tc>
      </w:tr>
      <w:tr w:rsidR="000C7CC9" w:rsidRPr="000D6F80" w14:paraId="78BB0761" w14:textId="77777777" w:rsidTr="0014060A">
        <w:trPr>
          <w:cantSplit/>
          <w:trHeight w:val="344"/>
          <w:tblHeader/>
        </w:trPr>
        <w:tc>
          <w:tcPr>
            <w:tcW w:w="2134" w:type="pct"/>
          </w:tcPr>
          <w:p w14:paraId="7B66B369" w14:textId="77777777" w:rsidR="000C7CC9" w:rsidRDefault="009B074B" w:rsidP="00142961">
            <w:pPr>
              <w:spacing w:after="0"/>
              <w:ind w:right="-142"/>
              <w:rPr>
                <w:rFonts w:cs="Arial"/>
                <w:szCs w:val="20"/>
              </w:rPr>
            </w:pPr>
            <w:r>
              <w:rPr>
                <w:rFonts w:cs="Arial"/>
                <w:szCs w:val="20"/>
              </w:rPr>
              <w:t>Maintain effective telecommunications safeguards</w:t>
            </w:r>
          </w:p>
        </w:tc>
        <w:tc>
          <w:tcPr>
            <w:tcW w:w="2866" w:type="pct"/>
          </w:tcPr>
          <w:p w14:paraId="2DFDB2A4" w14:textId="77777777" w:rsidR="000C7CC9" w:rsidRDefault="009B074B" w:rsidP="00142961">
            <w:pPr>
              <w:spacing w:after="0"/>
              <w:ind w:right="35"/>
              <w:rPr>
                <w:rFonts w:cs="Arial"/>
                <w:szCs w:val="20"/>
              </w:rPr>
            </w:pPr>
            <w:r>
              <w:rPr>
                <w:rFonts w:cs="Arial"/>
                <w:szCs w:val="20"/>
              </w:rPr>
              <w:t>Consumer interest</w:t>
            </w:r>
            <w:r w:rsidR="00F65B5E">
              <w:rPr>
                <w:rFonts w:cs="Arial"/>
                <w:szCs w:val="20"/>
              </w:rPr>
              <w:t>s</w:t>
            </w:r>
            <w:r>
              <w:rPr>
                <w:rFonts w:cs="Arial"/>
                <w:szCs w:val="20"/>
              </w:rPr>
              <w:t xml:space="preserve"> are protected and promoted when telecommunications services are purchased and used</w:t>
            </w:r>
          </w:p>
        </w:tc>
      </w:tr>
      <w:tr w:rsidR="000C7CC9" w:rsidRPr="000D6F80" w14:paraId="6B863D4C" w14:textId="77777777" w:rsidTr="0014060A">
        <w:trPr>
          <w:cantSplit/>
          <w:trHeight w:val="344"/>
          <w:tblHeader/>
        </w:trPr>
        <w:tc>
          <w:tcPr>
            <w:tcW w:w="2134" w:type="pct"/>
          </w:tcPr>
          <w:p w14:paraId="3A171138" w14:textId="77777777" w:rsidR="000C7CC9" w:rsidRDefault="009B074B" w:rsidP="00142961">
            <w:pPr>
              <w:spacing w:after="0"/>
              <w:ind w:right="-142"/>
              <w:rPr>
                <w:rFonts w:cs="Arial"/>
                <w:szCs w:val="20"/>
              </w:rPr>
            </w:pPr>
            <w:r>
              <w:rPr>
                <w:rFonts w:cs="Arial"/>
                <w:szCs w:val="20"/>
              </w:rPr>
              <w:t>Develop and maintain appropriate regulatory settings for an information economy and network society</w:t>
            </w:r>
          </w:p>
        </w:tc>
        <w:tc>
          <w:tcPr>
            <w:tcW w:w="2866" w:type="pct"/>
          </w:tcPr>
          <w:p w14:paraId="21FC6A49" w14:textId="77777777" w:rsidR="000C7CC9" w:rsidRDefault="00293B75" w:rsidP="00142961">
            <w:pPr>
              <w:spacing w:after="0"/>
              <w:ind w:right="35"/>
              <w:rPr>
                <w:rFonts w:cs="Arial"/>
                <w:szCs w:val="20"/>
              </w:rPr>
            </w:pPr>
            <w:r>
              <w:rPr>
                <w:rFonts w:cs="Arial"/>
                <w:szCs w:val="20"/>
              </w:rPr>
              <w:t xml:space="preserve">Industry and business have </w:t>
            </w:r>
            <w:proofErr w:type="gramStart"/>
            <w:r>
              <w:rPr>
                <w:rFonts w:cs="Arial"/>
                <w:szCs w:val="20"/>
              </w:rPr>
              <w:t>sufficient</w:t>
            </w:r>
            <w:proofErr w:type="gramEnd"/>
            <w:r>
              <w:rPr>
                <w:rFonts w:cs="Arial"/>
                <w:szCs w:val="20"/>
              </w:rPr>
              <w:t xml:space="preserve"> confidence in regulatory settings to continue development of innovative communications</w:t>
            </w:r>
          </w:p>
        </w:tc>
      </w:tr>
    </w:tbl>
    <w:p w14:paraId="1801492A" w14:textId="3DF115E1" w:rsidR="003C7C8A" w:rsidRDefault="00FA2F86" w:rsidP="009E783D">
      <w:pPr>
        <w:spacing w:line="240" w:lineRule="auto"/>
      </w:pPr>
      <w:r>
        <w:br/>
      </w:r>
      <w:r w:rsidR="00293B75" w:rsidRPr="001D062D">
        <w:t xml:space="preserve">The actual performance </w:t>
      </w:r>
      <w:r w:rsidR="000A40F6" w:rsidRPr="001D062D">
        <w:t xml:space="preserve">for </w:t>
      </w:r>
      <w:r w:rsidR="00472E0C">
        <w:rPr>
          <w:rFonts w:cs="Arial"/>
          <w:iCs/>
        </w:rPr>
        <w:t>the</w:t>
      </w:r>
      <w:r w:rsidR="00472E0C" w:rsidRPr="00E8129B">
        <w:rPr>
          <w:rFonts w:cs="Arial"/>
          <w:iCs/>
        </w:rPr>
        <w:t xml:space="preserve"> </w:t>
      </w:r>
      <w:r w:rsidR="00730201">
        <w:t>ACMA’s deliverable</w:t>
      </w:r>
      <w:r w:rsidR="006051F5">
        <w:t>s for the 201</w:t>
      </w:r>
      <w:r w:rsidR="0033742B">
        <w:t>7</w:t>
      </w:r>
      <w:r w:rsidR="001F572C">
        <w:t>–</w:t>
      </w:r>
      <w:r w:rsidR="006051F5">
        <w:t>1</w:t>
      </w:r>
      <w:r w:rsidR="0033742B">
        <w:t>8</w:t>
      </w:r>
      <w:r w:rsidR="00293B75" w:rsidRPr="001D062D">
        <w:t xml:space="preserve"> financial year is published in </w:t>
      </w:r>
      <w:r w:rsidR="006051F5">
        <w:t xml:space="preserve">Chapter 3 of </w:t>
      </w:r>
      <w:r w:rsidR="00551FE4">
        <w:rPr>
          <w:rFonts w:cs="Arial"/>
          <w:iCs/>
        </w:rPr>
        <w:t>the</w:t>
      </w:r>
      <w:r w:rsidR="00551FE4" w:rsidRPr="00E8129B">
        <w:rPr>
          <w:rFonts w:cs="Arial"/>
          <w:iCs/>
        </w:rPr>
        <w:t xml:space="preserve"> </w:t>
      </w:r>
      <w:r w:rsidR="00293B75" w:rsidRPr="001D062D">
        <w:t xml:space="preserve">ACMA’s </w:t>
      </w:r>
      <w:hyperlink r:id="rId29" w:history="1">
        <w:r w:rsidR="00E830D3" w:rsidRPr="00E830D3">
          <w:rPr>
            <w:rStyle w:val="Hyperlink"/>
            <w:i/>
          </w:rPr>
          <w:t>Annual report 2017–18</w:t>
        </w:r>
      </w:hyperlink>
      <w:r w:rsidR="00293B75" w:rsidRPr="001D062D">
        <w:t>.</w:t>
      </w:r>
    </w:p>
    <w:p w14:paraId="04608084" w14:textId="4096B076" w:rsidR="002219BD" w:rsidRPr="002219BD" w:rsidRDefault="00FE4BD2" w:rsidP="00C32914">
      <w:pPr>
        <w:pStyle w:val="Heading2"/>
      </w:pPr>
      <w:bookmarkStart w:id="155" w:name="_Toc511634410"/>
      <w:bookmarkStart w:id="156" w:name="_Toc26786350"/>
      <w:r>
        <w:t xml:space="preserve">The </w:t>
      </w:r>
      <w:r w:rsidR="002219BD" w:rsidRPr="0014060A">
        <w:t>ACCC’s cost component</w:t>
      </w:r>
      <w:bookmarkEnd w:id="155"/>
      <w:bookmarkEnd w:id="156"/>
    </w:p>
    <w:p w14:paraId="052EFA89" w14:textId="77777777" w:rsidR="00364C70" w:rsidRPr="00A74556" w:rsidRDefault="00364C70" w:rsidP="00D72139">
      <w:pPr>
        <w:spacing w:after="80" w:line="240" w:lineRule="auto"/>
      </w:pPr>
      <w:r w:rsidRPr="00A74556">
        <w:t xml:space="preserve">The ACCC is responsible for the economic regulation of the communications sector, </w:t>
      </w:r>
      <w:r w:rsidR="00B327BF">
        <w:t>which</w:t>
      </w:r>
      <w:r w:rsidRPr="00A74556">
        <w:t xml:space="preserve"> includes:</w:t>
      </w:r>
    </w:p>
    <w:p w14:paraId="764DFE2F" w14:textId="43930508" w:rsidR="00364C70" w:rsidRPr="001F572C" w:rsidRDefault="00364C70" w:rsidP="001F572C">
      <w:pPr>
        <w:pStyle w:val="ListBullet"/>
      </w:pPr>
      <w:r w:rsidRPr="001F572C">
        <w:t>assessing and enforcing terms of access to the NBN in a SAU from NBN Co</w:t>
      </w:r>
    </w:p>
    <w:p w14:paraId="291D358E" w14:textId="7A34CB03" w:rsidR="00364C70" w:rsidRPr="001F572C" w:rsidRDefault="00364C70" w:rsidP="001F572C">
      <w:pPr>
        <w:pStyle w:val="ListBullet"/>
      </w:pPr>
      <w:r w:rsidRPr="001F572C">
        <w:t>assessing and enforcing Telstra’s SSU and plan to migrate its customers to the NBN</w:t>
      </w:r>
    </w:p>
    <w:p w14:paraId="609C5263" w14:textId="3792D35C" w:rsidR="00364C70" w:rsidRPr="001F572C" w:rsidRDefault="00364C70" w:rsidP="001F572C">
      <w:pPr>
        <w:pStyle w:val="ListBullet"/>
      </w:pPr>
      <w:r w:rsidRPr="001F572C">
        <w:t>setting wholesale prices and terms of access for declared services</w:t>
      </w:r>
    </w:p>
    <w:p w14:paraId="68119CF1" w14:textId="4CCA422C" w:rsidR="00364C70" w:rsidRPr="001F572C" w:rsidRDefault="00364C70" w:rsidP="009679A4">
      <w:pPr>
        <w:pStyle w:val="ListBullet"/>
        <w:keepNext/>
        <w:keepLines/>
      </w:pPr>
      <w:r w:rsidRPr="001F572C">
        <w:lastRenderedPageBreak/>
        <w:t>monitoring and reporting on prices and competition in the communications sector</w:t>
      </w:r>
    </w:p>
    <w:p w14:paraId="06BEC8DC" w14:textId="77777777" w:rsidR="00364C70" w:rsidRDefault="00364C70" w:rsidP="009679A4">
      <w:pPr>
        <w:pStyle w:val="ListBulletLast"/>
        <w:keepNext/>
        <w:keepLines/>
      </w:pPr>
      <w:r w:rsidRPr="00534F91">
        <w:t xml:space="preserve">investigating claims of anti-competitive conduct in the communications sector. </w:t>
      </w:r>
    </w:p>
    <w:p w14:paraId="602C4456" w14:textId="0BF566E1" w:rsidR="00364C70" w:rsidRPr="00A74556" w:rsidRDefault="009B074B" w:rsidP="006A56FD">
      <w:pPr>
        <w:keepNext/>
        <w:spacing w:after="80" w:line="240" w:lineRule="auto"/>
      </w:pPr>
      <w:r>
        <w:t xml:space="preserve">The ACCC </w:t>
      </w:r>
      <w:r w:rsidR="00C3702D">
        <w:t xml:space="preserve">advises that its </w:t>
      </w:r>
      <w:r>
        <w:t>p</w:t>
      </w:r>
      <w:r w:rsidR="00364C70" w:rsidRPr="00A74556">
        <w:t xml:space="preserve">erformance measures for these deliverables include: </w:t>
      </w:r>
    </w:p>
    <w:p w14:paraId="1D467BB9" w14:textId="065975A5" w:rsidR="00364C70" w:rsidRPr="00534F91" w:rsidRDefault="00364C70" w:rsidP="006A56FD">
      <w:pPr>
        <w:pStyle w:val="ListBullet"/>
        <w:keepNext/>
      </w:pPr>
      <w:r w:rsidRPr="00534F91">
        <w:t>completing inquiries within statutory time</w:t>
      </w:r>
      <w:r w:rsidR="00073157">
        <w:t xml:space="preserve"> </w:t>
      </w:r>
      <w:r w:rsidRPr="00534F91">
        <w:t>frames</w:t>
      </w:r>
    </w:p>
    <w:p w14:paraId="340531F0" w14:textId="3102DE62" w:rsidR="00364C70" w:rsidRPr="00534F91" w:rsidRDefault="00364C70" w:rsidP="006A56FD">
      <w:pPr>
        <w:pStyle w:val="ListBullet"/>
        <w:keepNext/>
      </w:pPr>
      <w:r w:rsidRPr="00534F91">
        <w:t>providing outcomes that improve consume</w:t>
      </w:r>
      <w:r w:rsidR="00B327BF">
        <w:t>r</w:t>
      </w:r>
      <w:r w:rsidRPr="00534F91">
        <w:t xml:space="preserve"> welfare, are in the long</w:t>
      </w:r>
      <w:r w:rsidR="00B327BF">
        <w:t>-</w:t>
      </w:r>
      <w:r w:rsidRPr="00534F91">
        <w:t>term interests of telecommunications end users, protect competition</w:t>
      </w:r>
      <w:r w:rsidR="00B327BF">
        <w:t>,</w:t>
      </w:r>
      <w:r w:rsidRPr="00534F91">
        <w:t xml:space="preserve"> and open markets to competition</w:t>
      </w:r>
    </w:p>
    <w:p w14:paraId="465993D6" w14:textId="561A2C38" w:rsidR="00364C70" w:rsidRPr="00534F91" w:rsidRDefault="00364C70" w:rsidP="00364C70">
      <w:pPr>
        <w:pStyle w:val="ListBullet"/>
      </w:pPr>
      <w:r w:rsidRPr="00534F91">
        <w:t>contributing to market and competition analysis and investigations (especially under Part IV</w:t>
      </w:r>
      <w:r w:rsidR="00F65B5E">
        <w:t xml:space="preserve"> of the </w:t>
      </w:r>
      <w:r w:rsidR="00F65B5E" w:rsidRPr="00391111">
        <w:t>Competition and Consumer Act</w:t>
      </w:r>
      <w:r w:rsidRPr="00534F91">
        <w:t xml:space="preserve">) </w:t>
      </w:r>
      <w:r w:rsidR="00073157">
        <w:t>for</w:t>
      </w:r>
      <w:r w:rsidRPr="00534F91">
        <w:t xml:space="preserve"> content, media and application services delivered over telecommunications networks</w:t>
      </w:r>
    </w:p>
    <w:p w14:paraId="758955CD" w14:textId="451F3949" w:rsidR="00364C70" w:rsidRPr="00534F91" w:rsidRDefault="00364C70" w:rsidP="00364C70">
      <w:pPr>
        <w:pStyle w:val="ListBullet"/>
      </w:pPr>
      <w:r w:rsidRPr="00534F91">
        <w:t>advising other areas of the ACCC on implications of convergent technologies in the context of mergers, adjudication and enforcement activities</w:t>
      </w:r>
    </w:p>
    <w:p w14:paraId="30AD8A3E" w14:textId="0FF564D0" w:rsidR="0039435F" w:rsidRPr="00D72139" w:rsidRDefault="00364C70" w:rsidP="00C37CA9">
      <w:pPr>
        <w:pStyle w:val="ListBulletLast"/>
        <w:rPr>
          <w:szCs w:val="20"/>
          <w:u w:val="single"/>
        </w:rPr>
      </w:pPr>
      <w:r w:rsidRPr="00534F91">
        <w:t xml:space="preserve">formulating briefing material and submissions to major government reviews </w:t>
      </w:r>
      <w:r w:rsidR="00C37CA9">
        <w:t xml:space="preserve">and policy processes, </w:t>
      </w:r>
      <w:r w:rsidRPr="00534F91">
        <w:t>such as inquiries regarding the N</w:t>
      </w:r>
      <w:r w:rsidR="00F65B5E">
        <w:t>BN</w:t>
      </w:r>
      <w:r w:rsidRPr="00534F91">
        <w:t xml:space="preserve">, </w:t>
      </w:r>
      <w:r w:rsidR="00C37CA9" w:rsidRPr="00C37CA9">
        <w:t xml:space="preserve">spectrum allocation, consumer safeguards, </w:t>
      </w:r>
      <w:r w:rsidRPr="001071EB">
        <w:t>Senate</w:t>
      </w:r>
      <w:r w:rsidRPr="00534F91">
        <w:t xml:space="preserve"> estimates and other public inquiries.</w:t>
      </w:r>
    </w:p>
    <w:p w14:paraId="0C9D2E3D" w14:textId="77777777" w:rsidR="002219BD" w:rsidRPr="002219BD" w:rsidRDefault="002219BD" w:rsidP="00AE51BB">
      <w:pPr>
        <w:pStyle w:val="Heading2"/>
        <w:spacing w:after="80"/>
      </w:pPr>
      <w:bookmarkStart w:id="157" w:name="_Toc511634411"/>
      <w:bookmarkStart w:id="158" w:name="_Toc26786351"/>
      <w:r w:rsidRPr="002219BD">
        <w:t>ITU contribution</w:t>
      </w:r>
      <w:bookmarkEnd w:id="157"/>
      <w:bookmarkEnd w:id="158"/>
    </w:p>
    <w:p w14:paraId="0503991B" w14:textId="1A49AAB7" w:rsidR="00142961" w:rsidRDefault="00DC53C1" w:rsidP="009E783D">
      <w:pPr>
        <w:spacing w:line="240" w:lineRule="auto"/>
      </w:pPr>
      <w:r w:rsidRPr="001D062D">
        <w:t>As th</w:t>
      </w:r>
      <w:r w:rsidR="003D7152" w:rsidRPr="001D062D">
        <w:t xml:space="preserve">e ITU is responsible for </w:t>
      </w:r>
      <w:r w:rsidR="00596FD7" w:rsidRPr="001D062D">
        <w:t>t</w:t>
      </w:r>
      <w:r w:rsidR="003D7152" w:rsidRPr="001D062D">
        <w:t>he Internationa</w:t>
      </w:r>
      <w:r w:rsidR="00596FD7" w:rsidRPr="001D062D">
        <w:t xml:space="preserve">l Telecommunication Regulations, </w:t>
      </w:r>
      <w:r w:rsidRPr="001D062D">
        <w:t>its main deliverables are to p</w:t>
      </w:r>
      <w:r w:rsidR="003D7152" w:rsidRPr="001D062D">
        <w:t>romote international cooperation, collaboratio</w:t>
      </w:r>
      <w:r w:rsidRPr="001D062D">
        <w:t>n and regulation as appropriate</w:t>
      </w:r>
      <w:r w:rsidR="00073157">
        <w:t>,</w:t>
      </w:r>
      <w:r w:rsidRPr="001D062D">
        <w:t xml:space="preserve"> and</w:t>
      </w:r>
      <w:r w:rsidR="003D7152" w:rsidRPr="001D062D">
        <w:t xml:space="preserve"> to support domestic priorities in the telecommunications industry</w:t>
      </w:r>
      <w:r w:rsidRPr="001D062D">
        <w:t>, so that i</w:t>
      </w:r>
      <w:r w:rsidR="003D7152" w:rsidRPr="001D062D">
        <w:t>ndustry, business and government can effectively engage in the international telecommunications landscape</w:t>
      </w:r>
      <w:r w:rsidR="00F24FB7">
        <w:t>.</w:t>
      </w:r>
    </w:p>
    <w:p w14:paraId="76154419" w14:textId="77777777" w:rsidR="002219BD" w:rsidRPr="0023358A" w:rsidRDefault="002219BD" w:rsidP="00AE51BB">
      <w:pPr>
        <w:pStyle w:val="Heading2"/>
        <w:spacing w:after="80"/>
        <w:rPr>
          <w:lang w:val="en-GB"/>
        </w:rPr>
      </w:pPr>
      <w:bookmarkStart w:id="159" w:name="_Toc511634412"/>
      <w:bookmarkStart w:id="160" w:name="_Toc26786352"/>
      <w:r w:rsidRPr="0023358A">
        <w:t xml:space="preserve">Government </w:t>
      </w:r>
      <w:r w:rsidR="001F572C" w:rsidRPr="0023358A">
        <w:t>g</w:t>
      </w:r>
      <w:r w:rsidRPr="0023358A">
        <w:t>rants—</w:t>
      </w:r>
      <w:r w:rsidR="00136A92">
        <w:t>c</w:t>
      </w:r>
      <w:r w:rsidRPr="0023358A">
        <w:t xml:space="preserve">onsumer </w:t>
      </w:r>
      <w:r w:rsidR="00136A92">
        <w:t>r</w:t>
      </w:r>
      <w:r w:rsidRPr="0023358A">
        <w:t xml:space="preserve">epresentation and </w:t>
      </w:r>
      <w:r w:rsidR="00136A92">
        <w:t>r</w:t>
      </w:r>
      <w:r w:rsidRPr="0023358A">
        <w:t>esearch</w:t>
      </w:r>
      <w:bookmarkEnd w:id="159"/>
      <w:bookmarkEnd w:id="160"/>
    </w:p>
    <w:p w14:paraId="28E26221" w14:textId="375A605C" w:rsidR="008B038C" w:rsidRPr="00B817EC" w:rsidRDefault="008B038C" w:rsidP="00142961">
      <w:pPr>
        <w:spacing w:line="240" w:lineRule="auto"/>
      </w:pPr>
      <w:r>
        <w:rPr>
          <w:lang w:val="en-GB"/>
        </w:rPr>
        <w:t>S</w:t>
      </w:r>
      <w:r w:rsidRPr="0023358A">
        <w:rPr>
          <w:lang w:val="en-GB"/>
        </w:rPr>
        <w:t xml:space="preserve">ection 593 </w:t>
      </w:r>
      <w:r>
        <w:t xml:space="preserve">of the </w:t>
      </w:r>
      <w:r w:rsidR="009B7744" w:rsidRPr="00391111">
        <w:t>Telco Act</w:t>
      </w:r>
      <w:r w:rsidR="009B7744" w:rsidRPr="000F3887">
        <w:rPr>
          <w:i/>
        </w:rPr>
        <w:t xml:space="preserve"> </w:t>
      </w:r>
      <w:r>
        <w:t xml:space="preserve">enables the </w:t>
      </w:r>
      <w:r w:rsidR="00A7508A">
        <w:t>M</w:t>
      </w:r>
      <w:r>
        <w:t>inister</w:t>
      </w:r>
      <w:r w:rsidR="00AB62C6">
        <w:t xml:space="preserve"> </w:t>
      </w:r>
      <w:r>
        <w:t xml:space="preserve">to make </w:t>
      </w:r>
      <w:r w:rsidRPr="0023358A">
        <w:rPr>
          <w:lang w:val="en-GB"/>
        </w:rPr>
        <w:t>grant</w:t>
      </w:r>
      <w:r>
        <w:rPr>
          <w:lang w:val="en-GB"/>
        </w:rPr>
        <w:t>s of financial assistance</w:t>
      </w:r>
      <w:r w:rsidRPr="0023358A">
        <w:rPr>
          <w:lang w:val="en-GB"/>
        </w:rPr>
        <w:t xml:space="preserve"> to consumer bod</w:t>
      </w:r>
      <w:r>
        <w:rPr>
          <w:lang w:val="en-GB"/>
        </w:rPr>
        <w:t>ies</w:t>
      </w:r>
      <w:r w:rsidRPr="0023358A">
        <w:rPr>
          <w:lang w:val="en-GB"/>
        </w:rPr>
        <w:t xml:space="preserve"> </w:t>
      </w:r>
      <w:r>
        <w:rPr>
          <w:lang w:val="en-GB"/>
        </w:rPr>
        <w:t xml:space="preserve">to support </w:t>
      </w:r>
      <w:r w:rsidRPr="0023358A">
        <w:rPr>
          <w:lang w:val="en-GB"/>
        </w:rPr>
        <w:t>consumer</w:t>
      </w:r>
      <w:r>
        <w:rPr>
          <w:lang w:val="en-GB"/>
        </w:rPr>
        <w:t xml:space="preserve"> representation</w:t>
      </w:r>
      <w:r w:rsidRPr="0023358A">
        <w:rPr>
          <w:lang w:val="en-GB"/>
        </w:rPr>
        <w:t xml:space="preserve"> in </w:t>
      </w:r>
      <w:r>
        <w:rPr>
          <w:lang w:val="en-GB"/>
        </w:rPr>
        <w:t>the</w:t>
      </w:r>
      <w:r w:rsidRPr="0023358A">
        <w:rPr>
          <w:lang w:val="en-GB"/>
        </w:rPr>
        <w:t xml:space="preserve"> telecommunications </w:t>
      </w:r>
      <w:r>
        <w:rPr>
          <w:lang w:val="en-GB"/>
        </w:rPr>
        <w:t>sector</w:t>
      </w:r>
      <w:r w:rsidR="00B03C45">
        <w:rPr>
          <w:lang w:val="en-GB"/>
        </w:rPr>
        <w:t xml:space="preserve"> and to </w:t>
      </w:r>
      <w:r w:rsidR="00D64894">
        <w:rPr>
          <w:lang w:val="en-GB"/>
        </w:rPr>
        <w:t>persons or bod</w:t>
      </w:r>
      <w:r w:rsidR="00855C57">
        <w:rPr>
          <w:lang w:val="en-GB"/>
        </w:rPr>
        <w:t>ie</w:t>
      </w:r>
      <w:r w:rsidR="00D64894">
        <w:rPr>
          <w:lang w:val="en-GB"/>
        </w:rPr>
        <w:t>s in connection with research into the social, economic, environmental or technological implications of developments</w:t>
      </w:r>
      <w:r>
        <w:rPr>
          <w:lang w:val="en-GB"/>
        </w:rPr>
        <w:t xml:space="preserve">. </w:t>
      </w:r>
      <w:r w:rsidRPr="0023358A">
        <w:rPr>
          <w:lang w:val="en-GB"/>
        </w:rPr>
        <w:t>ACCAN</w:t>
      </w:r>
      <w:r w:rsidR="00855C57">
        <w:rPr>
          <w:lang w:val="en-GB"/>
        </w:rPr>
        <w:t xml:space="preserve"> has been </w:t>
      </w:r>
      <w:r>
        <w:rPr>
          <w:lang w:val="en-GB"/>
        </w:rPr>
        <w:t>the sole recipient of the grant since 2009</w:t>
      </w:r>
      <w:r w:rsidR="00B327BF">
        <w:rPr>
          <w:lang w:val="en-GB"/>
        </w:rPr>
        <w:t>–</w:t>
      </w:r>
      <w:r>
        <w:rPr>
          <w:lang w:val="en-GB"/>
        </w:rPr>
        <w:t>10,</w:t>
      </w:r>
      <w:r w:rsidRPr="0023358A">
        <w:rPr>
          <w:lang w:val="en-GB"/>
        </w:rPr>
        <w:t xml:space="preserve"> </w:t>
      </w:r>
      <w:r w:rsidR="00855C57">
        <w:rPr>
          <w:lang w:val="en-GB"/>
        </w:rPr>
        <w:t xml:space="preserve">is expected to </w:t>
      </w:r>
      <w:r w:rsidRPr="0023358A">
        <w:rPr>
          <w:lang w:val="en-GB"/>
        </w:rPr>
        <w:t xml:space="preserve">continue to be </w:t>
      </w:r>
      <w:r w:rsidR="00FC7FE1">
        <w:rPr>
          <w:lang w:val="en-GB"/>
        </w:rPr>
        <w:t xml:space="preserve">given this financial assistance </w:t>
      </w:r>
      <w:r w:rsidRPr="0023358A">
        <w:rPr>
          <w:lang w:val="en-GB"/>
        </w:rPr>
        <w:t>to enable it to conduct activities necessary for an effective peak communications consumer advocate, including representation, research, consumer education and participation in self-regulatory activities.</w:t>
      </w:r>
    </w:p>
    <w:p w14:paraId="0FDB46F6" w14:textId="77777777" w:rsidR="00142961" w:rsidRPr="0023358A" w:rsidRDefault="00142961" w:rsidP="00142961">
      <w:pPr>
        <w:spacing w:line="240" w:lineRule="auto"/>
        <w:rPr>
          <w:lang w:val="en-GB"/>
        </w:rPr>
      </w:pPr>
      <w:r w:rsidRPr="0023358A">
        <w:rPr>
          <w:lang w:val="en-GB"/>
        </w:rPr>
        <w:t xml:space="preserve">ACCAN also operates a competitive </w:t>
      </w:r>
      <w:r w:rsidRPr="00120B54">
        <w:rPr>
          <w:lang w:val="en-GB"/>
        </w:rPr>
        <w:t xml:space="preserve">Independent Grants </w:t>
      </w:r>
      <w:r w:rsidR="000E6FA6" w:rsidRPr="00120B54">
        <w:rPr>
          <w:lang w:val="en-GB"/>
        </w:rPr>
        <w:t>Program,</w:t>
      </w:r>
      <w:r w:rsidRPr="0023358A">
        <w:rPr>
          <w:lang w:val="en-GB"/>
        </w:rPr>
        <w:t xml:space="preserve"> which allows individuals and organisations to undertake research or representation projects in the interest of the telecommunications consumer. </w:t>
      </w:r>
    </w:p>
    <w:p w14:paraId="6A3DFCF8" w14:textId="77777777" w:rsidR="009E783D" w:rsidRPr="00CC3F4B" w:rsidRDefault="00CD31CE" w:rsidP="009E783D">
      <w:pPr>
        <w:pStyle w:val="Heading1"/>
      </w:pPr>
      <w:bookmarkStart w:id="161" w:name="_Toc417990967"/>
      <w:bookmarkStart w:id="162" w:name="_Toc511634413"/>
      <w:bookmarkStart w:id="163" w:name="_Toc26786353"/>
      <w:r>
        <w:lastRenderedPageBreak/>
        <w:t>8</w:t>
      </w:r>
      <w:r w:rsidR="009E783D" w:rsidRPr="00CC3F4B">
        <w:t>.</w:t>
      </w:r>
      <w:r w:rsidR="009E783D" w:rsidRPr="00CC3F4B">
        <w:tab/>
      </w:r>
      <w:bookmarkEnd w:id="148"/>
      <w:r w:rsidR="009E783D">
        <w:t>K</w:t>
      </w:r>
      <w:r w:rsidR="009E783D" w:rsidRPr="00CC3F4B">
        <w:t>ey forward dates and events</w:t>
      </w:r>
      <w:bookmarkEnd w:id="149"/>
      <w:bookmarkEnd w:id="161"/>
      <w:bookmarkEnd w:id="162"/>
      <w:bookmarkEnd w:id="163"/>
    </w:p>
    <w:p w14:paraId="671E995F" w14:textId="6C5F78B2" w:rsidR="009E783D" w:rsidRDefault="009E783D" w:rsidP="009E783D">
      <w:r w:rsidRPr="00A84CBD">
        <w:t>Reflecting the annual nature of the ACLC, the CRIS is updated on an annual basis. The key forward events and dates f</w:t>
      </w:r>
      <w:r w:rsidR="0081186A">
        <w:t>or the ACLC process for the 201</w:t>
      </w:r>
      <w:r w:rsidR="00C37CA9">
        <w:t>9</w:t>
      </w:r>
      <w:r w:rsidRPr="00A84CBD">
        <w:t>–</w:t>
      </w:r>
      <w:r w:rsidR="00C37CA9">
        <w:t>20</w:t>
      </w:r>
      <w:r w:rsidRPr="00A84CBD">
        <w:t xml:space="preserve"> financial year are provided</w:t>
      </w:r>
      <w:r w:rsidR="00AD6427">
        <w:t xml:space="preserve"> in Table </w:t>
      </w:r>
      <w:r w:rsidR="00673D1F">
        <w:t>21</w:t>
      </w:r>
      <w:r w:rsidRPr="00A84CBD">
        <w:t xml:space="preserve">.  </w:t>
      </w:r>
    </w:p>
    <w:p w14:paraId="1BEEC534" w14:textId="28D2A4D5" w:rsidR="003F4664" w:rsidRPr="00673D1F" w:rsidRDefault="003F4664" w:rsidP="00673D1F">
      <w:pPr>
        <w:pStyle w:val="ACMATableHeader"/>
      </w:pPr>
      <w:r w:rsidRPr="00673D1F">
        <w:t>Key forward dates and events</w:t>
      </w:r>
    </w:p>
    <w:tbl>
      <w:tblPr>
        <w:tblW w:w="48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Key forward dates and events"/>
        <w:tblDescription w:val="Update of forward financial estimates (section 6) in Dec 2016; Update of actual costs in May 2017."/>
      </w:tblPr>
      <w:tblGrid>
        <w:gridCol w:w="5255"/>
        <w:gridCol w:w="2126"/>
      </w:tblGrid>
      <w:tr w:rsidR="00222E46" w:rsidRPr="000D6F80" w14:paraId="3CBAFA50" w14:textId="77777777" w:rsidTr="00C9249E">
        <w:trPr>
          <w:cantSplit/>
          <w:trHeight w:val="85"/>
          <w:tblHeader/>
        </w:trPr>
        <w:tc>
          <w:tcPr>
            <w:tcW w:w="3560" w:type="pct"/>
            <w:shd w:val="clear" w:color="auto" w:fill="404040" w:themeFill="text1" w:themeFillTint="BF"/>
          </w:tcPr>
          <w:p w14:paraId="321020C0" w14:textId="77777777" w:rsidR="00222E46" w:rsidRPr="00E50A27" w:rsidRDefault="00222E46" w:rsidP="00E50A27">
            <w:pPr>
              <w:pStyle w:val="TableHeading"/>
              <w:rPr>
                <w:b w:val="0"/>
                <w:color w:val="FFFFFF" w:themeColor="background1"/>
                <w:highlight w:val="yellow"/>
              </w:rPr>
            </w:pPr>
            <w:r w:rsidRPr="00E50A27">
              <w:rPr>
                <w:color w:val="FFFFFF" w:themeColor="background1"/>
              </w:rPr>
              <w:t>Key events</w:t>
            </w:r>
          </w:p>
        </w:tc>
        <w:tc>
          <w:tcPr>
            <w:tcW w:w="1440" w:type="pct"/>
            <w:tcBorders>
              <w:top w:val="single" w:sz="6" w:space="0" w:color="auto"/>
            </w:tcBorders>
            <w:shd w:val="clear" w:color="auto" w:fill="404040" w:themeFill="text1" w:themeFillTint="BF"/>
          </w:tcPr>
          <w:p w14:paraId="2FC53CD1" w14:textId="77777777" w:rsidR="00222E46" w:rsidRPr="00E50A27" w:rsidRDefault="00222E46" w:rsidP="00E50A27">
            <w:pPr>
              <w:pStyle w:val="TableHeading"/>
              <w:rPr>
                <w:b w:val="0"/>
                <w:color w:val="FFFFFF" w:themeColor="background1"/>
              </w:rPr>
            </w:pPr>
            <w:r w:rsidRPr="00E50A27">
              <w:rPr>
                <w:color w:val="FFFFFF" w:themeColor="background1"/>
              </w:rPr>
              <w:t>Date</w:t>
            </w:r>
          </w:p>
        </w:tc>
      </w:tr>
      <w:tr w:rsidR="008B6B01" w:rsidRPr="000D6F80" w14:paraId="6E13D965" w14:textId="77777777" w:rsidTr="00C9249E">
        <w:trPr>
          <w:cantSplit/>
          <w:trHeight w:val="247"/>
          <w:tblHeader/>
        </w:trPr>
        <w:tc>
          <w:tcPr>
            <w:tcW w:w="3560" w:type="pct"/>
          </w:tcPr>
          <w:p w14:paraId="6C21A77A" w14:textId="77777777" w:rsidR="008B6B01" w:rsidRDefault="00DE088A" w:rsidP="00DE088A">
            <w:pPr>
              <w:spacing w:after="0"/>
              <w:ind w:right="-142"/>
              <w:rPr>
                <w:rFonts w:cs="Arial"/>
                <w:szCs w:val="20"/>
              </w:rPr>
            </w:pPr>
            <w:r>
              <w:rPr>
                <w:rFonts w:cs="Arial"/>
                <w:szCs w:val="20"/>
              </w:rPr>
              <w:t>Update of forward estimates</w:t>
            </w:r>
          </w:p>
        </w:tc>
        <w:tc>
          <w:tcPr>
            <w:tcW w:w="1440" w:type="pct"/>
          </w:tcPr>
          <w:p w14:paraId="6222DA0C" w14:textId="3057F7FD" w:rsidR="008B6B01" w:rsidRPr="0039435F" w:rsidRDefault="00AF4312" w:rsidP="00DE088A">
            <w:pPr>
              <w:spacing w:after="0"/>
              <w:rPr>
                <w:rFonts w:cs="Arial"/>
                <w:szCs w:val="20"/>
              </w:rPr>
            </w:pPr>
            <w:r>
              <w:rPr>
                <w:rFonts w:cs="Arial"/>
                <w:szCs w:val="20"/>
              </w:rPr>
              <w:t xml:space="preserve">November </w:t>
            </w:r>
            <w:r w:rsidR="00DE47AB">
              <w:rPr>
                <w:rFonts w:cs="Arial"/>
                <w:szCs w:val="20"/>
              </w:rPr>
              <w:t>201</w:t>
            </w:r>
            <w:r w:rsidR="00C37CA9">
              <w:rPr>
                <w:rFonts w:cs="Arial"/>
                <w:szCs w:val="20"/>
              </w:rPr>
              <w:t>9</w:t>
            </w:r>
          </w:p>
        </w:tc>
      </w:tr>
      <w:tr w:rsidR="00222E46" w:rsidRPr="000D6F80" w14:paraId="484C0F95" w14:textId="77777777" w:rsidTr="00C9249E">
        <w:trPr>
          <w:cantSplit/>
          <w:trHeight w:val="197"/>
          <w:tblHeader/>
        </w:trPr>
        <w:tc>
          <w:tcPr>
            <w:tcW w:w="3560" w:type="pct"/>
          </w:tcPr>
          <w:p w14:paraId="0A87EC22" w14:textId="77777777" w:rsidR="00222E46" w:rsidRDefault="00222E46" w:rsidP="00593B36">
            <w:pPr>
              <w:spacing w:after="0"/>
              <w:ind w:right="-142"/>
              <w:rPr>
                <w:rFonts w:cs="Arial"/>
                <w:szCs w:val="20"/>
              </w:rPr>
            </w:pPr>
            <w:r>
              <w:rPr>
                <w:rFonts w:cs="Arial"/>
                <w:szCs w:val="20"/>
              </w:rPr>
              <w:t xml:space="preserve">Update of actual </w:t>
            </w:r>
            <w:r w:rsidR="00F65B5E">
              <w:rPr>
                <w:rFonts w:cs="Arial"/>
                <w:szCs w:val="20"/>
              </w:rPr>
              <w:t>costs</w:t>
            </w:r>
          </w:p>
        </w:tc>
        <w:tc>
          <w:tcPr>
            <w:tcW w:w="1440" w:type="pct"/>
          </w:tcPr>
          <w:p w14:paraId="1B7A9252" w14:textId="39D17C6D" w:rsidR="00222E46" w:rsidRDefault="004C41DD" w:rsidP="00681F59">
            <w:pPr>
              <w:spacing w:after="0"/>
              <w:rPr>
                <w:rFonts w:cs="Arial"/>
                <w:szCs w:val="20"/>
                <w:highlight w:val="yellow"/>
              </w:rPr>
            </w:pPr>
            <w:r>
              <w:rPr>
                <w:rFonts w:cs="Arial"/>
                <w:szCs w:val="20"/>
              </w:rPr>
              <w:t>November</w:t>
            </w:r>
            <w:r w:rsidRPr="0039435F">
              <w:rPr>
                <w:rFonts w:cs="Arial"/>
                <w:szCs w:val="20"/>
              </w:rPr>
              <w:t xml:space="preserve"> </w:t>
            </w:r>
            <w:r w:rsidR="00222E46" w:rsidRPr="0039435F">
              <w:rPr>
                <w:rFonts w:cs="Arial"/>
                <w:szCs w:val="20"/>
              </w:rPr>
              <w:t>20</w:t>
            </w:r>
            <w:r w:rsidR="00C37CA9">
              <w:rPr>
                <w:rFonts w:cs="Arial"/>
                <w:szCs w:val="20"/>
              </w:rPr>
              <w:t>20</w:t>
            </w:r>
          </w:p>
        </w:tc>
      </w:tr>
    </w:tbl>
    <w:p w14:paraId="28FE9F06" w14:textId="77777777" w:rsidR="009E783D" w:rsidRDefault="00CD31CE" w:rsidP="009E783D">
      <w:pPr>
        <w:pStyle w:val="Heading1"/>
      </w:pPr>
      <w:bookmarkStart w:id="164" w:name="_Toc355953995"/>
      <w:bookmarkStart w:id="165" w:name="_Toc385256324"/>
      <w:bookmarkStart w:id="166" w:name="_Toc417990968"/>
      <w:bookmarkStart w:id="167" w:name="_Toc511634414"/>
      <w:bookmarkStart w:id="168" w:name="_Toc26786354"/>
      <w:bookmarkEnd w:id="119"/>
      <w:r>
        <w:lastRenderedPageBreak/>
        <w:t>9</w:t>
      </w:r>
      <w:r w:rsidR="009E783D" w:rsidRPr="00CC3F4B">
        <w:t xml:space="preserve">. </w:t>
      </w:r>
      <w:r w:rsidR="009E783D" w:rsidRPr="00CC3F4B">
        <w:tab/>
      </w:r>
      <w:bookmarkEnd w:id="164"/>
      <w:r w:rsidR="009E783D">
        <w:t>CRIS</w:t>
      </w:r>
      <w:r w:rsidR="009E783D" w:rsidRPr="00CC3F4B">
        <w:t xml:space="preserve"> approval and change register</w:t>
      </w:r>
      <w:bookmarkEnd w:id="165"/>
      <w:bookmarkEnd w:id="166"/>
      <w:bookmarkEnd w:id="167"/>
      <w:bookmarkEnd w:id="168"/>
    </w:p>
    <w:p w14:paraId="4B275F21" w14:textId="4EC18D00" w:rsidR="009E783D" w:rsidRPr="00673D1F" w:rsidRDefault="009E783D" w:rsidP="00673D1F">
      <w:pPr>
        <w:pStyle w:val="ACMATableHeader"/>
      </w:pPr>
      <w:r w:rsidRPr="00673D1F">
        <w:t>Change register</w:t>
      </w:r>
    </w:p>
    <w:tbl>
      <w:tblPr>
        <w:tblStyle w:val="TableGrid"/>
        <w:tblW w:w="8217" w:type="dxa"/>
        <w:tblCellMar>
          <w:top w:w="57" w:type="dxa"/>
          <w:left w:w="57" w:type="dxa"/>
          <w:bottom w:w="57" w:type="dxa"/>
          <w:right w:w="57" w:type="dxa"/>
        </w:tblCellMar>
        <w:tblLook w:val="04A0" w:firstRow="1" w:lastRow="0" w:firstColumn="1" w:lastColumn="0" w:noHBand="0" w:noVBand="1"/>
        <w:tblCaption w:val="CRIS approval and change register"/>
      </w:tblPr>
      <w:tblGrid>
        <w:gridCol w:w="1715"/>
        <w:gridCol w:w="2668"/>
        <w:gridCol w:w="2228"/>
        <w:gridCol w:w="1606"/>
      </w:tblGrid>
      <w:tr w:rsidR="009E783D" w14:paraId="5036BC73" w14:textId="77777777" w:rsidTr="005E6AF4">
        <w:trPr>
          <w:tblHeader/>
        </w:trPr>
        <w:tc>
          <w:tcPr>
            <w:tcW w:w="1715" w:type="dxa"/>
            <w:shd w:val="clear" w:color="auto" w:fill="404040" w:themeFill="text1" w:themeFillTint="BF"/>
            <w:vAlign w:val="center"/>
          </w:tcPr>
          <w:p w14:paraId="40794670" w14:textId="77777777" w:rsidR="009E783D" w:rsidRPr="00E50A27" w:rsidRDefault="009E783D" w:rsidP="00E50A27">
            <w:pPr>
              <w:pStyle w:val="TableHeading"/>
              <w:rPr>
                <w:b w:val="0"/>
                <w:color w:val="FFFFFF" w:themeColor="background1"/>
              </w:rPr>
            </w:pPr>
            <w:r w:rsidRPr="00E50A27">
              <w:rPr>
                <w:color w:val="FFFFFF" w:themeColor="background1"/>
              </w:rPr>
              <w:t>Date</w:t>
            </w:r>
          </w:p>
        </w:tc>
        <w:tc>
          <w:tcPr>
            <w:tcW w:w="2668" w:type="dxa"/>
            <w:shd w:val="clear" w:color="auto" w:fill="404040" w:themeFill="text1" w:themeFillTint="BF"/>
            <w:vAlign w:val="center"/>
          </w:tcPr>
          <w:p w14:paraId="078FFB2D" w14:textId="77777777" w:rsidR="009E783D" w:rsidRPr="00E50A27" w:rsidRDefault="009E783D" w:rsidP="00E50A27">
            <w:pPr>
              <w:pStyle w:val="TableHeading"/>
              <w:rPr>
                <w:b w:val="0"/>
                <w:color w:val="FFFFFF" w:themeColor="background1"/>
              </w:rPr>
            </w:pPr>
            <w:r w:rsidRPr="00E50A27">
              <w:rPr>
                <w:color w:val="FFFFFF" w:themeColor="background1"/>
              </w:rPr>
              <w:t>Description</w:t>
            </w:r>
          </w:p>
        </w:tc>
        <w:tc>
          <w:tcPr>
            <w:tcW w:w="2228" w:type="dxa"/>
            <w:shd w:val="clear" w:color="auto" w:fill="404040" w:themeFill="text1" w:themeFillTint="BF"/>
            <w:vAlign w:val="center"/>
          </w:tcPr>
          <w:p w14:paraId="39A3A193" w14:textId="77777777" w:rsidR="009E783D" w:rsidRPr="00E50A27" w:rsidRDefault="009E783D" w:rsidP="00E50A27">
            <w:pPr>
              <w:pStyle w:val="TableHeading"/>
              <w:rPr>
                <w:b w:val="0"/>
                <w:color w:val="FFFFFF" w:themeColor="background1"/>
              </w:rPr>
            </w:pPr>
            <w:r w:rsidRPr="00E50A27">
              <w:rPr>
                <w:color w:val="FFFFFF" w:themeColor="background1"/>
              </w:rPr>
              <w:t>Approved by</w:t>
            </w:r>
          </w:p>
        </w:tc>
        <w:tc>
          <w:tcPr>
            <w:tcW w:w="1606" w:type="dxa"/>
            <w:shd w:val="clear" w:color="auto" w:fill="404040" w:themeFill="text1" w:themeFillTint="BF"/>
            <w:vAlign w:val="center"/>
          </w:tcPr>
          <w:p w14:paraId="557A4F08" w14:textId="77777777" w:rsidR="009E783D" w:rsidRPr="00E50A27" w:rsidRDefault="009E783D" w:rsidP="00E50A27">
            <w:pPr>
              <w:pStyle w:val="TableHeading"/>
              <w:rPr>
                <w:b w:val="0"/>
                <w:color w:val="FFFFFF" w:themeColor="background1"/>
              </w:rPr>
            </w:pPr>
            <w:r w:rsidRPr="00E50A27">
              <w:rPr>
                <w:color w:val="FFFFFF" w:themeColor="background1"/>
              </w:rPr>
              <w:t>Comments</w:t>
            </w:r>
          </w:p>
        </w:tc>
      </w:tr>
      <w:tr w:rsidR="00CD76FE" w14:paraId="563641D0" w14:textId="77777777" w:rsidTr="005E6AF4">
        <w:tc>
          <w:tcPr>
            <w:tcW w:w="1715" w:type="dxa"/>
          </w:tcPr>
          <w:p w14:paraId="001C9EBF" w14:textId="6F2F2CB2" w:rsidR="00CD76FE" w:rsidRDefault="00B02D11" w:rsidP="00CD76FE">
            <w:pPr>
              <w:spacing w:after="0"/>
            </w:pPr>
            <w:r>
              <w:t>November</w:t>
            </w:r>
            <w:r w:rsidR="00AF4312">
              <w:t xml:space="preserve"> </w:t>
            </w:r>
            <w:r w:rsidR="00CD76FE" w:rsidRPr="000F5E65">
              <w:t>201</w:t>
            </w:r>
            <w:r w:rsidR="00CD76FE">
              <w:t>9</w:t>
            </w:r>
          </w:p>
        </w:tc>
        <w:tc>
          <w:tcPr>
            <w:tcW w:w="2668" w:type="dxa"/>
          </w:tcPr>
          <w:p w14:paraId="6502B6EA" w14:textId="2ECAB52C" w:rsidR="00CD76FE" w:rsidRDefault="00CD76FE" w:rsidP="00CD76FE">
            <w:pPr>
              <w:spacing w:after="0"/>
            </w:pPr>
            <w:r w:rsidRPr="00BE471E">
              <w:t>Approval of the 201</w:t>
            </w:r>
            <w:r w:rsidR="003F1C7F">
              <w:t>8</w:t>
            </w:r>
            <w:r w:rsidRPr="00BE471E">
              <w:t>–1</w:t>
            </w:r>
            <w:r w:rsidR="003F1C7F">
              <w:t>9</w:t>
            </w:r>
            <w:r w:rsidRPr="00BE471E">
              <w:t xml:space="preserve"> CRIS—Version </w:t>
            </w:r>
            <w:r w:rsidR="003F1C7F">
              <w:t>5</w:t>
            </w:r>
            <w:r w:rsidRPr="00BE471E">
              <w:t>.1</w:t>
            </w:r>
          </w:p>
        </w:tc>
        <w:tc>
          <w:tcPr>
            <w:tcW w:w="2228" w:type="dxa"/>
          </w:tcPr>
          <w:p w14:paraId="34300B52" w14:textId="5E013217" w:rsidR="00CD76FE" w:rsidRPr="001C0BCF" w:rsidRDefault="00CD76FE" w:rsidP="00CD76FE">
            <w:pPr>
              <w:spacing w:after="0"/>
            </w:pPr>
            <w:r w:rsidRPr="001A2B56">
              <w:t>The Minister for Communications</w:t>
            </w:r>
            <w:r w:rsidR="00903B93">
              <w:t>, Cyber Safety</w:t>
            </w:r>
            <w:r w:rsidRPr="001A2B56">
              <w:t xml:space="preserve"> and the Arts</w:t>
            </w:r>
          </w:p>
        </w:tc>
        <w:tc>
          <w:tcPr>
            <w:tcW w:w="1606" w:type="dxa"/>
            <w:vAlign w:val="center"/>
          </w:tcPr>
          <w:p w14:paraId="322F28A0" w14:textId="77777777" w:rsidR="00CD76FE" w:rsidRDefault="00CD76FE" w:rsidP="00CD76FE">
            <w:pPr>
              <w:rPr>
                <w:b/>
                <w:i/>
              </w:rPr>
            </w:pPr>
          </w:p>
        </w:tc>
      </w:tr>
      <w:tr w:rsidR="00CD76FE" w14:paraId="1EB14654" w14:textId="77777777" w:rsidTr="005E6AF4">
        <w:tc>
          <w:tcPr>
            <w:tcW w:w="1715" w:type="dxa"/>
          </w:tcPr>
          <w:p w14:paraId="7A87B189" w14:textId="2C31D88F" w:rsidR="00CD76FE" w:rsidRDefault="00A95D6A" w:rsidP="00CD76FE">
            <w:pPr>
              <w:spacing w:after="0"/>
            </w:pPr>
            <w:r>
              <w:t>October</w:t>
            </w:r>
            <w:r w:rsidR="00AF4312" w:rsidRPr="000F5E65">
              <w:t xml:space="preserve"> </w:t>
            </w:r>
            <w:r w:rsidR="00CD76FE" w:rsidRPr="000F5E65">
              <w:t>201</w:t>
            </w:r>
            <w:r w:rsidR="003F1C7F">
              <w:t>9</w:t>
            </w:r>
          </w:p>
        </w:tc>
        <w:tc>
          <w:tcPr>
            <w:tcW w:w="2668" w:type="dxa"/>
          </w:tcPr>
          <w:p w14:paraId="42B2C0F7" w14:textId="4983940D" w:rsidR="00CD76FE" w:rsidRDefault="00CD76FE" w:rsidP="00CD76FE">
            <w:pPr>
              <w:spacing w:after="0"/>
            </w:pPr>
            <w:r w:rsidRPr="00BE471E">
              <w:t>Certification of the 201</w:t>
            </w:r>
            <w:r w:rsidR="003F1C7F">
              <w:t>8</w:t>
            </w:r>
            <w:r w:rsidRPr="00BE471E">
              <w:t>–1</w:t>
            </w:r>
            <w:r w:rsidR="003F1C7F">
              <w:t>9</w:t>
            </w:r>
            <w:r w:rsidRPr="00BE471E">
              <w:t xml:space="preserve"> CRIS—Version </w:t>
            </w:r>
            <w:r w:rsidR="003F1C7F">
              <w:t>5</w:t>
            </w:r>
            <w:r w:rsidRPr="00BE471E">
              <w:t>.1</w:t>
            </w:r>
          </w:p>
        </w:tc>
        <w:tc>
          <w:tcPr>
            <w:tcW w:w="2228" w:type="dxa"/>
          </w:tcPr>
          <w:p w14:paraId="5EA1A8A8" w14:textId="1FF81D57" w:rsidR="00CD76FE" w:rsidRPr="001C0BCF" w:rsidRDefault="00CD76FE" w:rsidP="00CD76FE">
            <w:pPr>
              <w:spacing w:after="0"/>
            </w:pPr>
            <w:r w:rsidRPr="001A2B56">
              <w:t>ACMA Chair</w:t>
            </w:r>
          </w:p>
        </w:tc>
        <w:tc>
          <w:tcPr>
            <w:tcW w:w="1606" w:type="dxa"/>
            <w:vAlign w:val="center"/>
          </w:tcPr>
          <w:p w14:paraId="7AD02891" w14:textId="77777777" w:rsidR="00CD76FE" w:rsidRDefault="00CD76FE" w:rsidP="00CD76FE">
            <w:pPr>
              <w:rPr>
                <w:b/>
                <w:i/>
              </w:rPr>
            </w:pPr>
          </w:p>
        </w:tc>
      </w:tr>
      <w:tr w:rsidR="00CD76FE" w14:paraId="1382F860" w14:textId="77777777" w:rsidTr="005E6AF4">
        <w:tc>
          <w:tcPr>
            <w:tcW w:w="1715" w:type="dxa"/>
          </w:tcPr>
          <w:p w14:paraId="11E3BD8A" w14:textId="3B0E3BBB" w:rsidR="00CD76FE" w:rsidRDefault="00ED5948" w:rsidP="00CD76FE">
            <w:pPr>
              <w:spacing w:after="0"/>
            </w:pPr>
            <w:r>
              <w:t>22</w:t>
            </w:r>
            <w:r w:rsidR="003F1C7F">
              <w:t xml:space="preserve"> </w:t>
            </w:r>
            <w:r w:rsidR="00E43761">
              <w:t>July</w:t>
            </w:r>
            <w:r w:rsidR="00E43761" w:rsidRPr="000F5E65">
              <w:t xml:space="preserve"> </w:t>
            </w:r>
            <w:r w:rsidR="00CD76FE" w:rsidRPr="000F5E65">
              <w:t>201</w:t>
            </w:r>
            <w:r w:rsidR="00E43761">
              <w:t>9</w:t>
            </w:r>
          </w:p>
        </w:tc>
        <w:tc>
          <w:tcPr>
            <w:tcW w:w="2668" w:type="dxa"/>
          </w:tcPr>
          <w:p w14:paraId="68EB135F" w14:textId="43A95C2D" w:rsidR="00CD76FE" w:rsidRDefault="00CD76FE" w:rsidP="00CD76FE">
            <w:pPr>
              <w:spacing w:after="0"/>
            </w:pPr>
            <w:r w:rsidRPr="00BE471E">
              <w:t xml:space="preserve">Consultation for </w:t>
            </w:r>
            <w:r w:rsidR="00AE51BB">
              <w:t>four</w:t>
            </w:r>
            <w:r w:rsidRPr="00BE471E">
              <w:t xml:space="preserve"> weeks on the 201</w:t>
            </w:r>
            <w:r w:rsidR="003F1C7F">
              <w:t>8</w:t>
            </w:r>
            <w:r w:rsidRPr="00BE471E">
              <w:t>–1</w:t>
            </w:r>
            <w:r w:rsidR="003F1C7F">
              <w:t>9</w:t>
            </w:r>
            <w:r w:rsidRPr="00BE471E">
              <w:t xml:space="preserve"> draft CRIS—Version </w:t>
            </w:r>
            <w:r w:rsidR="003F1C7F">
              <w:t>5</w:t>
            </w:r>
            <w:r w:rsidRPr="00BE471E">
              <w:t xml:space="preserve">.0 </w:t>
            </w:r>
          </w:p>
        </w:tc>
        <w:tc>
          <w:tcPr>
            <w:tcW w:w="2228" w:type="dxa"/>
          </w:tcPr>
          <w:p w14:paraId="1D532537" w14:textId="0C8A5106" w:rsidR="00CD76FE" w:rsidRPr="001C0BCF" w:rsidRDefault="00CD76FE" w:rsidP="00CD76FE">
            <w:pPr>
              <w:spacing w:after="0"/>
            </w:pPr>
            <w:r w:rsidRPr="001A2B56">
              <w:t>ACMA Authority</w:t>
            </w:r>
          </w:p>
        </w:tc>
        <w:tc>
          <w:tcPr>
            <w:tcW w:w="1606" w:type="dxa"/>
            <w:vAlign w:val="center"/>
          </w:tcPr>
          <w:p w14:paraId="19C77292" w14:textId="77777777" w:rsidR="00CD76FE" w:rsidRDefault="00CD76FE" w:rsidP="00CD76FE">
            <w:pPr>
              <w:rPr>
                <w:b/>
                <w:i/>
              </w:rPr>
            </w:pPr>
          </w:p>
        </w:tc>
      </w:tr>
      <w:tr w:rsidR="00BC1A45" w14:paraId="4EB7FB03" w14:textId="77777777" w:rsidTr="005E6AF4">
        <w:tc>
          <w:tcPr>
            <w:tcW w:w="1715" w:type="dxa"/>
          </w:tcPr>
          <w:p w14:paraId="61479751" w14:textId="3B6D8004" w:rsidR="00BC1A45" w:rsidRDefault="00FC4391" w:rsidP="00BC1A45">
            <w:pPr>
              <w:spacing w:after="0"/>
            </w:pPr>
            <w:r>
              <w:t xml:space="preserve">13 </w:t>
            </w:r>
            <w:r w:rsidR="007B13C2">
              <w:t>December</w:t>
            </w:r>
            <w:r w:rsidR="005664E6">
              <w:t xml:space="preserve"> </w:t>
            </w:r>
            <w:r w:rsidR="00BC1A45">
              <w:t>2018</w:t>
            </w:r>
          </w:p>
        </w:tc>
        <w:tc>
          <w:tcPr>
            <w:tcW w:w="2668" w:type="dxa"/>
          </w:tcPr>
          <w:p w14:paraId="1284DA84" w14:textId="48257F68" w:rsidR="00BC1A45" w:rsidRDefault="00BC1A45" w:rsidP="00BC1A45">
            <w:pPr>
              <w:spacing w:after="0"/>
            </w:pPr>
            <w:r>
              <w:t>Approval of the 2017</w:t>
            </w:r>
            <w:r w:rsidR="006123EF">
              <w:t>–</w:t>
            </w:r>
            <w:r>
              <w:t>18 CRIS—Version 4</w:t>
            </w:r>
            <w:r w:rsidRPr="001C0BCF">
              <w:t>.1</w:t>
            </w:r>
          </w:p>
        </w:tc>
        <w:tc>
          <w:tcPr>
            <w:tcW w:w="2228" w:type="dxa"/>
          </w:tcPr>
          <w:p w14:paraId="0DBFB680" w14:textId="07547B08" w:rsidR="00BC1A45" w:rsidRPr="00004D91" w:rsidRDefault="00BC1A45" w:rsidP="00BC1A45">
            <w:pPr>
              <w:spacing w:after="0"/>
            </w:pPr>
            <w:r w:rsidRPr="001C0BCF">
              <w:t>The Minister for Communications and the Arts</w:t>
            </w:r>
          </w:p>
        </w:tc>
        <w:tc>
          <w:tcPr>
            <w:tcW w:w="1606" w:type="dxa"/>
            <w:vAlign w:val="center"/>
          </w:tcPr>
          <w:p w14:paraId="0EC8F6FD" w14:textId="77777777" w:rsidR="00BC1A45" w:rsidRDefault="00BC1A45" w:rsidP="00BC1A45">
            <w:pPr>
              <w:rPr>
                <w:b/>
                <w:i/>
              </w:rPr>
            </w:pPr>
          </w:p>
        </w:tc>
      </w:tr>
      <w:tr w:rsidR="00BC1A45" w14:paraId="52DFD97C" w14:textId="77777777" w:rsidTr="005E6AF4">
        <w:tc>
          <w:tcPr>
            <w:tcW w:w="1715" w:type="dxa"/>
          </w:tcPr>
          <w:p w14:paraId="05FB9F2F" w14:textId="71C923A7" w:rsidR="00BC1A45" w:rsidRDefault="007B13C2" w:rsidP="00A10472">
            <w:pPr>
              <w:spacing w:after="0"/>
            </w:pPr>
            <w:r>
              <w:t>8 November</w:t>
            </w:r>
            <w:r w:rsidR="005664E6">
              <w:t xml:space="preserve"> </w:t>
            </w:r>
            <w:r w:rsidR="00BC1A45">
              <w:t>2018</w:t>
            </w:r>
          </w:p>
        </w:tc>
        <w:tc>
          <w:tcPr>
            <w:tcW w:w="2668" w:type="dxa"/>
          </w:tcPr>
          <w:p w14:paraId="2116829A" w14:textId="7D1C6C66" w:rsidR="00BC1A45" w:rsidRDefault="00BC1A45" w:rsidP="00BC1A45">
            <w:pPr>
              <w:spacing w:after="0"/>
            </w:pPr>
            <w:r w:rsidRPr="00226DDB">
              <w:t>Certificati</w:t>
            </w:r>
            <w:r>
              <w:t xml:space="preserve">on of the </w:t>
            </w:r>
            <w:r w:rsidRPr="002A6A5D">
              <w:t>201</w:t>
            </w:r>
            <w:r w:rsidR="00A575B2" w:rsidRPr="002A6A5D">
              <w:t>7</w:t>
            </w:r>
            <w:r w:rsidR="006123EF">
              <w:t>–</w:t>
            </w:r>
            <w:r w:rsidRPr="002A6A5D">
              <w:t>1</w:t>
            </w:r>
            <w:r w:rsidR="00A575B2" w:rsidRPr="002A6A5D">
              <w:t>8</w:t>
            </w:r>
            <w:r>
              <w:t xml:space="preserve"> CRIS—Version 4</w:t>
            </w:r>
            <w:r w:rsidRPr="00226DDB">
              <w:t>.1</w:t>
            </w:r>
          </w:p>
        </w:tc>
        <w:tc>
          <w:tcPr>
            <w:tcW w:w="2228" w:type="dxa"/>
          </w:tcPr>
          <w:p w14:paraId="779D2513" w14:textId="4585012F" w:rsidR="00BC1A45" w:rsidRPr="00004D91" w:rsidRDefault="00BC1A45" w:rsidP="00BC1A45">
            <w:pPr>
              <w:spacing w:after="0"/>
            </w:pPr>
            <w:r>
              <w:t>ACMA</w:t>
            </w:r>
            <w:r w:rsidRPr="00226DDB">
              <w:t xml:space="preserve"> Chair</w:t>
            </w:r>
          </w:p>
        </w:tc>
        <w:tc>
          <w:tcPr>
            <w:tcW w:w="1606" w:type="dxa"/>
            <w:vAlign w:val="center"/>
          </w:tcPr>
          <w:p w14:paraId="62A4445F" w14:textId="77777777" w:rsidR="00BC1A45" w:rsidRDefault="00BC1A45" w:rsidP="00BC1A45">
            <w:pPr>
              <w:rPr>
                <w:b/>
                <w:i/>
              </w:rPr>
            </w:pPr>
          </w:p>
        </w:tc>
      </w:tr>
      <w:tr w:rsidR="00DE47AB" w14:paraId="361A3CF2" w14:textId="77777777" w:rsidTr="005E6AF4">
        <w:tc>
          <w:tcPr>
            <w:tcW w:w="1715" w:type="dxa"/>
          </w:tcPr>
          <w:p w14:paraId="5EE859BF" w14:textId="77777777" w:rsidR="00DE47AB" w:rsidRDefault="00DE47AB" w:rsidP="00DD7517">
            <w:pPr>
              <w:spacing w:after="0"/>
            </w:pPr>
            <w:r>
              <w:t>1</w:t>
            </w:r>
            <w:r w:rsidR="00DD7517">
              <w:t>2</w:t>
            </w:r>
            <w:r w:rsidRPr="00004D91">
              <w:t xml:space="preserve"> April 201</w:t>
            </w:r>
            <w:r w:rsidR="00837568">
              <w:t>8</w:t>
            </w:r>
          </w:p>
        </w:tc>
        <w:tc>
          <w:tcPr>
            <w:tcW w:w="2668" w:type="dxa"/>
          </w:tcPr>
          <w:p w14:paraId="12C7E9A7" w14:textId="72A4C146" w:rsidR="00DE47AB" w:rsidRDefault="00DE47AB" w:rsidP="00103628">
            <w:pPr>
              <w:spacing w:after="0"/>
            </w:pPr>
            <w:r>
              <w:t xml:space="preserve">Consultation </w:t>
            </w:r>
            <w:r w:rsidR="00103628">
              <w:t xml:space="preserve">for six weeks </w:t>
            </w:r>
            <w:r>
              <w:t>o</w:t>
            </w:r>
            <w:r w:rsidR="00103628">
              <w:t>n</w:t>
            </w:r>
            <w:r>
              <w:t xml:space="preserve"> the 2017</w:t>
            </w:r>
            <w:r w:rsidR="00103628">
              <w:t>–</w:t>
            </w:r>
            <w:r>
              <w:t>18 draft CRIS—Version 4</w:t>
            </w:r>
            <w:r w:rsidRPr="00004D91">
              <w:t xml:space="preserve">.0 </w:t>
            </w:r>
          </w:p>
        </w:tc>
        <w:tc>
          <w:tcPr>
            <w:tcW w:w="2228" w:type="dxa"/>
          </w:tcPr>
          <w:p w14:paraId="1A5B6969" w14:textId="77777777" w:rsidR="00DE47AB" w:rsidRPr="00F93ACB" w:rsidRDefault="00DE47AB" w:rsidP="00DE47AB">
            <w:pPr>
              <w:spacing w:after="0"/>
            </w:pPr>
            <w:r w:rsidRPr="00004D91">
              <w:t>ACMA Authority</w:t>
            </w:r>
          </w:p>
        </w:tc>
        <w:tc>
          <w:tcPr>
            <w:tcW w:w="1606" w:type="dxa"/>
            <w:vAlign w:val="center"/>
          </w:tcPr>
          <w:p w14:paraId="3FE7AE65" w14:textId="77777777" w:rsidR="00DE47AB" w:rsidRDefault="00DE47AB" w:rsidP="00DE47AB">
            <w:pPr>
              <w:rPr>
                <w:b/>
                <w:i/>
              </w:rPr>
            </w:pPr>
          </w:p>
        </w:tc>
      </w:tr>
      <w:tr w:rsidR="00E704C9" w14:paraId="60AEF0E8" w14:textId="77777777" w:rsidTr="005E6AF4">
        <w:tc>
          <w:tcPr>
            <w:tcW w:w="1715" w:type="dxa"/>
            <w:vAlign w:val="center"/>
          </w:tcPr>
          <w:p w14:paraId="27A0EB1B" w14:textId="77777777" w:rsidR="00E704C9" w:rsidRDefault="002C5439" w:rsidP="00E704C9">
            <w:pPr>
              <w:spacing w:after="0"/>
            </w:pPr>
            <w:r>
              <w:t>17 July</w:t>
            </w:r>
            <w:r w:rsidR="00E704C9">
              <w:t xml:space="preserve"> 2017</w:t>
            </w:r>
          </w:p>
        </w:tc>
        <w:tc>
          <w:tcPr>
            <w:tcW w:w="2668" w:type="dxa"/>
          </w:tcPr>
          <w:p w14:paraId="63682075" w14:textId="35977CA9" w:rsidR="00E704C9" w:rsidRDefault="00E704C9" w:rsidP="00E704C9">
            <w:pPr>
              <w:spacing w:after="0"/>
            </w:pPr>
            <w:r>
              <w:t>Approval of the 2016</w:t>
            </w:r>
            <w:r w:rsidR="00103628">
              <w:t>–</w:t>
            </w:r>
            <w:r>
              <w:t>17 CRIS—Version 3.1</w:t>
            </w:r>
          </w:p>
        </w:tc>
        <w:tc>
          <w:tcPr>
            <w:tcW w:w="2228" w:type="dxa"/>
          </w:tcPr>
          <w:p w14:paraId="2CB20471" w14:textId="77777777" w:rsidR="00E704C9" w:rsidRDefault="00E704C9" w:rsidP="00E704C9">
            <w:pPr>
              <w:spacing w:after="0"/>
            </w:pPr>
            <w:r w:rsidRPr="00F93ACB">
              <w:t>The Minister for Communications and the Arts</w:t>
            </w:r>
          </w:p>
        </w:tc>
        <w:tc>
          <w:tcPr>
            <w:tcW w:w="1606" w:type="dxa"/>
            <w:vAlign w:val="center"/>
          </w:tcPr>
          <w:p w14:paraId="44613805" w14:textId="77777777" w:rsidR="00E704C9" w:rsidRDefault="00E704C9" w:rsidP="00E704C9">
            <w:pPr>
              <w:rPr>
                <w:b/>
                <w:i/>
              </w:rPr>
            </w:pPr>
          </w:p>
        </w:tc>
      </w:tr>
      <w:tr w:rsidR="00E704C9" w14:paraId="6CFA7078" w14:textId="77777777" w:rsidTr="005E6AF4">
        <w:tc>
          <w:tcPr>
            <w:tcW w:w="1715" w:type="dxa"/>
            <w:vAlign w:val="center"/>
          </w:tcPr>
          <w:p w14:paraId="325CCCFF" w14:textId="77777777" w:rsidR="00E704C9" w:rsidRDefault="002C5439" w:rsidP="002C5439">
            <w:pPr>
              <w:spacing w:after="0"/>
            </w:pPr>
            <w:r>
              <w:t>29 June</w:t>
            </w:r>
            <w:r w:rsidR="00E704C9">
              <w:t xml:space="preserve"> 2017</w:t>
            </w:r>
          </w:p>
        </w:tc>
        <w:tc>
          <w:tcPr>
            <w:tcW w:w="2668" w:type="dxa"/>
          </w:tcPr>
          <w:p w14:paraId="2D312EE0" w14:textId="0F963E55" w:rsidR="00E704C9" w:rsidRDefault="00E704C9" w:rsidP="00E704C9">
            <w:pPr>
              <w:spacing w:after="0"/>
            </w:pPr>
            <w:r>
              <w:t>Certification of the 2016</w:t>
            </w:r>
            <w:r w:rsidR="00103628">
              <w:t>–</w:t>
            </w:r>
            <w:r>
              <w:t>17 CRIS—Version 3.1</w:t>
            </w:r>
          </w:p>
        </w:tc>
        <w:tc>
          <w:tcPr>
            <w:tcW w:w="2228" w:type="dxa"/>
          </w:tcPr>
          <w:p w14:paraId="52E011DA" w14:textId="77777777" w:rsidR="00E704C9" w:rsidRDefault="00E704C9" w:rsidP="00E704C9">
            <w:pPr>
              <w:spacing w:after="0"/>
            </w:pPr>
            <w:r w:rsidRPr="00F93ACB">
              <w:t>ACMA Acting Chair</w:t>
            </w:r>
          </w:p>
        </w:tc>
        <w:tc>
          <w:tcPr>
            <w:tcW w:w="1606" w:type="dxa"/>
            <w:vAlign w:val="center"/>
          </w:tcPr>
          <w:p w14:paraId="7919C729" w14:textId="77777777" w:rsidR="00E704C9" w:rsidRDefault="00E704C9" w:rsidP="00E704C9">
            <w:pPr>
              <w:rPr>
                <w:b/>
                <w:i/>
              </w:rPr>
            </w:pPr>
          </w:p>
        </w:tc>
      </w:tr>
      <w:tr w:rsidR="00DE009E" w14:paraId="22D1B6E3" w14:textId="77777777" w:rsidTr="005E6AF4">
        <w:tc>
          <w:tcPr>
            <w:tcW w:w="1715" w:type="dxa"/>
            <w:vAlign w:val="center"/>
          </w:tcPr>
          <w:p w14:paraId="5EB9A01B" w14:textId="77777777" w:rsidR="00DE009E" w:rsidRDefault="00E6490A" w:rsidP="008F7A47">
            <w:pPr>
              <w:spacing w:after="0"/>
            </w:pPr>
            <w:r>
              <w:t>1</w:t>
            </w:r>
            <w:r w:rsidR="008B6B01">
              <w:t>8</w:t>
            </w:r>
            <w:r>
              <w:t xml:space="preserve"> April 2017</w:t>
            </w:r>
          </w:p>
        </w:tc>
        <w:tc>
          <w:tcPr>
            <w:tcW w:w="2668" w:type="dxa"/>
          </w:tcPr>
          <w:p w14:paraId="12401709" w14:textId="7B68C730" w:rsidR="00DE009E" w:rsidRDefault="00E6490A" w:rsidP="00103628">
            <w:pPr>
              <w:spacing w:after="0"/>
            </w:pPr>
            <w:r>
              <w:t>Consultat</w:t>
            </w:r>
            <w:r w:rsidR="00C9249E">
              <w:t xml:space="preserve">ion </w:t>
            </w:r>
            <w:r w:rsidR="00103628">
              <w:t xml:space="preserve">for four weeks </w:t>
            </w:r>
            <w:r w:rsidR="00C9249E">
              <w:t>o</w:t>
            </w:r>
            <w:r w:rsidR="00103628">
              <w:t>n</w:t>
            </w:r>
            <w:r w:rsidR="00C9249E">
              <w:t xml:space="preserve"> the 2016</w:t>
            </w:r>
            <w:r w:rsidR="00103628">
              <w:t>–</w:t>
            </w:r>
            <w:r w:rsidR="00C9249E">
              <w:t>17 draft CRIS—</w:t>
            </w:r>
            <w:r>
              <w:t xml:space="preserve">Version 3.0 </w:t>
            </w:r>
          </w:p>
        </w:tc>
        <w:tc>
          <w:tcPr>
            <w:tcW w:w="2228" w:type="dxa"/>
          </w:tcPr>
          <w:p w14:paraId="3FC064F9" w14:textId="77777777" w:rsidR="00DE009E" w:rsidRPr="005D0BC8" w:rsidRDefault="00E6490A" w:rsidP="008F7A47">
            <w:pPr>
              <w:spacing w:after="0"/>
            </w:pPr>
            <w:r>
              <w:t>ACMA Authority</w:t>
            </w:r>
          </w:p>
        </w:tc>
        <w:tc>
          <w:tcPr>
            <w:tcW w:w="1606" w:type="dxa"/>
            <w:vAlign w:val="center"/>
          </w:tcPr>
          <w:p w14:paraId="52EE80D8" w14:textId="77777777" w:rsidR="00DE009E" w:rsidRDefault="00DE009E" w:rsidP="008F7A47">
            <w:pPr>
              <w:rPr>
                <w:b/>
                <w:i/>
              </w:rPr>
            </w:pPr>
          </w:p>
        </w:tc>
      </w:tr>
      <w:tr w:rsidR="008F7A47" w14:paraId="11F8A2EC" w14:textId="77777777" w:rsidTr="005E6AF4">
        <w:tc>
          <w:tcPr>
            <w:tcW w:w="1715" w:type="dxa"/>
            <w:vAlign w:val="center"/>
          </w:tcPr>
          <w:p w14:paraId="6261E2D4" w14:textId="77777777" w:rsidR="008F7A47" w:rsidRDefault="000B304E" w:rsidP="008F7A47">
            <w:pPr>
              <w:spacing w:after="0"/>
            </w:pPr>
            <w:r>
              <w:t xml:space="preserve">30 </w:t>
            </w:r>
            <w:r w:rsidR="008F7A47">
              <w:t>May 2016</w:t>
            </w:r>
          </w:p>
        </w:tc>
        <w:tc>
          <w:tcPr>
            <w:tcW w:w="2668" w:type="dxa"/>
          </w:tcPr>
          <w:p w14:paraId="6047B9FA" w14:textId="3A0A3EB4" w:rsidR="008F7A47" w:rsidRPr="005D0BC8" w:rsidRDefault="008F7A47" w:rsidP="0023358A">
            <w:pPr>
              <w:spacing w:after="0"/>
            </w:pPr>
            <w:r>
              <w:t>Approval of the 2015</w:t>
            </w:r>
            <w:r w:rsidR="00103628">
              <w:t>–</w:t>
            </w:r>
            <w:r>
              <w:t>16 CRIS</w:t>
            </w:r>
            <w:r w:rsidR="0023358A">
              <w:t>—</w:t>
            </w:r>
            <w:r w:rsidR="00076712">
              <w:t>Version 2.0</w:t>
            </w:r>
          </w:p>
        </w:tc>
        <w:tc>
          <w:tcPr>
            <w:tcW w:w="2228" w:type="dxa"/>
          </w:tcPr>
          <w:p w14:paraId="3AB6994B" w14:textId="77777777" w:rsidR="008F7A47" w:rsidRPr="005D0BC8" w:rsidRDefault="008F7A47" w:rsidP="008F7A47">
            <w:pPr>
              <w:spacing w:after="0"/>
            </w:pPr>
            <w:r w:rsidRPr="005D0BC8">
              <w:t>The Minister for Communications</w:t>
            </w:r>
            <w:r>
              <w:t xml:space="preserve"> and the Arts</w:t>
            </w:r>
          </w:p>
        </w:tc>
        <w:tc>
          <w:tcPr>
            <w:tcW w:w="1606" w:type="dxa"/>
            <w:vAlign w:val="center"/>
          </w:tcPr>
          <w:p w14:paraId="0A239430" w14:textId="77777777" w:rsidR="008F7A47" w:rsidRDefault="008F7A47" w:rsidP="008F7A47">
            <w:pPr>
              <w:rPr>
                <w:b/>
                <w:i/>
              </w:rPr>
            </w:pPr>
          </w:p>
        </w:tc>
      </w:tr>
      <w:tr w:rsidR="00295E8B" w14:paraId="35B34520" w14:textId="77777777" w:rsidTr="005E6AF4">
        <w:tc>
          <w:tcPr>
            <w:tcW w:w="1715" w:type="dxa"/>
            <w:vAlign w:val="center"/>
          </w:tcPr>
          <w:p w14:paraId="0A8EF508" w14:textId="77777777" w:rsidR="00295E8B" w:rsidRDefault="000B304E" w:rsidP="00295E8B">
            <w:pPr>
              <w:spacing w:after="0"/>
            </w:pPr>
            <w:r>
              <w:t xml:space="preserve">18 </w:t>
            </w:r>
            <w:r w:rsidR="00F65B5E">
              <w:t>May</w:t>
            </w:r>
            <w:r w:rsidR="00295E8B">
              <w:t xml:space="preserve"> 2016</w:t>
            </w:r>
          </w:p>
        </w:tc>
        <w:tc>
          <w:tcPr>
            <w:tcW w:w="2668" w:type="dxa"/>
          </w:tcPr>
          <w:p w14:paraId="295AD759" w14:textId="36145FC0" w:rsidR="00295E8B" w:rsidRPr="005D0BC8" w:rsidRDefault="00295E8B" w:rsidP="0023358A">
            <w:pPr>
              <w:spacing w:after="0"/>
            </w:pPr>
            <w:r w:rsidRPr="005D0BC8">
              <w:t xml:space="preserve">Certification of the </w:t>
            </w:r>
            <w:r>
              <w:t>2015</w:t>
            </w:r>
            <w:r w:rsidR="00103628">
              <w:t>–</w:t>
            </w:r>
            <w:r>
              <w:t xml:space="preserve">16 </w:t>
            </w:r>
            <w:r w:rsidRPr="005D0BC8">
              <w:t>CRIS</w:t>
            </w:r>
            <w:r w:rsidR="0023358A">
              <w:t>—</w:t>
            </w:r>
            <w:r w:rsidR="00076712">
              <w:t>Version 2.0</w:t>
            </w:r>
          </w:p>
        </w:tc>
        <w:tc>
          <w:tcPr>
            <w:tcW w:w="2228" w:type="dxa"/>
          </w:tcPr>
          <w:p w14:paraId="1D0447F4" w14:textId="77777777" w:rsidR="00295E8B" w:rsidRPr="005D0BC8" w:rsidRDefault="00295E8B" w:rsidP="0023358A">
            <w:pPr>
              <w:spacing w:after="0"/>
            </w:pPr>
            <w:r w:rsidRPr="005D0BC8">
              <w:t xml:space="preserve">ACMA </w:t>
            </w:r>
            <w:r>
              <w:t>A</w:t>
            </w:r>
            <w:r w:rsidR="0023358A">
              <w:t>cting</w:t>
            </w:r>
            <w:r>
              <w:t xml:space="preserve"> </w:t>
            </w:r>
            <w:r w:rsidRPr="005D0BC8">
              <w:t>C</w:t>
            </w:r>
            <w:r w:rsidR="00F65B5E">
              <w:t>hair</w:t>
            </w:r>
          </w:p>
        </w:tc>
        <w:tc>
          <w:tcPr>
            <w:tcW w:w="1606" w:type="dxa"/>
            <w:vAlign w:val="center"/>
          </w:tcPr>
          <w:p w14:paraId="48490E38" w14:textId="77777777" w:rsidR="00295E8B" w:rsidRDefault="00295E8B" w:rsidP="00295E8B">
            <w:pPr>
              <w:rPr>
                <w:b/>
                <w:i/>
              </w:rPr>
            </w:pPr>
          </w:p>
        </w:tc>
      </w:tr>
      <w:tr w:rsidR="00295E8B" w14:paraId="14DAE079" w14:textId="77777777" w:rsidTr="005E6AF4">
        <w:tc>
          <w:tcPr>
            <w:tcW w:w="1715" w:type="dxa"/>
            <w:vAlign w:val="center"/>
          </w:tcPr>
          <w:p w14:paraId="396F9ABE" w14:textId="77777777" w:rsidR="00295E8B" w:rsidRDefault="00295E8B" w:rsidP="00295E8B">
            <w:pPr>
              <w:spacing w:after="0"/>
            </w:pPr>
            <w:r>
              <w:t>24 June 2015</w:t>
            </w:r>
          </w:p>
        </w:tc>
        <w:tc>
          <w:tcPr>
            <w:tcW w:w="2668" w:type="dxa"/>
          </w:tcPr>
          <w:p w14:paraId="099034C2" w14:textId="46AA12DB" w:rsidR="00295E8B" w:rsidRPr="005D0BC8" w:rsidRDefault="00295E8B" w:rsidP="0023358A">
            <w:pPr>
              <w:spacing w:after="0"/>
            </w:pPr>
            <w:r w:rsidRPr="005D0BC8">
              <w:t>A</w:t>
            </w:r>
            <w:r>
              <w:t>pproval</w:t>
            </w:r>
            <w:r w:rsidRPr="005D0BC8">
              <w:t xml:space="preserve"> o</w:t>
            </w:r>
            <w:r>
              <w:t>f</w:t>
            </w:r>
            <w:r w:rsidRPr="005D0BC8">
              <w:t xml:space="preserve"> the </w:t>
            </w:r>
            <w:r>
              <w:t>2014</w:t>
            </w:r>
            <w:r w:rsidR="00103628">
              <w:t>–</w:t>
            </w:r>
            <w:r>
              <w:t xml:space="preserve">15 </w:t>
            </w:r>
            <w:r w:rsidRPr="005D0BC8">
              <w:t>CRIS</w:t>
            </w:r>
            <w:r w:rsidR="0023358A">
              <w:t>—</w:t>
            </w:r>
            <w:r w:rsidR="00076712">
              <w:t>Version 1.0</w:t>
            </w:r>
          </w:p>
        </w:tc>
        <w:tc>
          <w:tcPr>
            <w:tcW w:w="2228" w:type="dxa"/>
          </w:tcPr>
          <w:p w14:paraId="7C449FC2" w14:textId="77777777" w:rsidR="00295E8B" w:rsidRPr="005D0BC8" w:rsidRDefault="00295E8B" w:rsidP="00295E8B">
            <w:pPr>
              <w:spacing w:after="0"/>
            </w:pPr>
            <w:r w:rsidRPr="005D0BC8">
              <w:t>The Minister for Communications</w:t>
            </w:r>
          </w:p>
        </w:tc>
        <w:tc>
          <w:tcPr>
            <w:tcW w:w="1606" w:type="dxa"/>
            <w:vAlign w:val="center"/>
          </w:tcPr>
          <w:p w14:paraId="6FB1D8E6" w14:textId="77777777" w:rsidR="00295E8B" w:rsidRDefault="00295E8B" w:rsidP="00295E8B">
            <w:pPr>
              <w:rPr>
                <w:b/>
                <w:i/>
              </w:rPr>
            </w:pPr>
          </w:p>
        </w:tc>
      </w:tr>
      <w:tr w:rsidR="008F7A47" w14:paraId="011DEA11" w14:textId="77777777" w:rsidTr="005E6AF4">
        <w:tc>
          <w:tcPr>
            <w:tcW w:w="1715" w:type="dxa"/>
            <w:vAlign w:val="center"/>
          </w:tcPr>
          <w:p w14:paraId="2BE2519B" w14:textId="77777777" w:rsidR="008F7A47" w:rsidRDefault="008F7A47" w:rsidP="008F7A47">
            <w:pPr>
              <w:spacing w:after="0"/>
              <w:rPr>
                <w:b/>
                <w:i/>
              </w:rPr>
            </w:pPr>
            <w:r>
              <w:t>29 May 2015</w:t>
            </w:r>
          </w:p>
        </w:tc>
        <w:tc>
          <w:tcPr>
            <w:tcW w:w="2668" w:type="dxa"/>
          </w:tcPr>
          <w:p w14:paraId="2461845F" w14:textId="05A227B1" w:rsidR="008F7A47" w:rsidRDefault="008F7A47" w:rsidP="0023358A">
            <w:pPr>
              <w:spacing w:after="0"/>
              <w:rPr>
                <w:b/>
                <w:i/>
              </w:rPr>
            </w:pPr>
            <w:r w:rsidRPr="005D0BC8">
              <w:t xml:space="preserve">Certification of the </w:t>
            </w:r>
            <w:r>
              <w:t>2014</w:t>
            </w:r>
            <w:r w:rsidR="00103628">
              <w:t>–</w:t>
            </w:r>
            <w:r>
              <w:t xml:space="preserve">15 </w:t>
            </w:r>
            <w:r w:rsidRPr="005D0BC8">
              <w:t>CRIS</w:t>
            </w:r>
            <w:r w:rsidR="0023358A">
              <w:t>—</w:t>
            </w:r>
            <w:r w:rsidR="00076712">
              <w:t>Version 1.0</w:t>
            </w:r>
          </w:p>
        </w:tc>
        <w:tc>
          <w:tcPr>
            <w:tcW w:w="2228" w:type="dxa"/>
          </w:tcPr>
          <w:p w14:paraId="4C1FFAEA" w14:textId="77777777" w:rsidR="008F7A47" w:rsidRDefault="008F7A47" w:rsidP="008F7A47">
            <w:pPr>
              <w:spacing w:after="0"/>
              <w:rPr>
                <w:b/>
                <w:i/>
              </w:rPr>
            </w:pPr>
            <w:r w:rsidRPr="005D0BC8">
              <w:t>ACMA C</w:t>
            </w:r>
            <w:r w:rsidR="00F65B5E">
              <w:t>hair</w:t>
            </w:r>
          </w:p>
        </w:tc>
        <w:tc>
          <w:tcPr>
            <w:tcW w:w="1606" w:type="dxa"/>
            <w:vAlign w:val="center"/>
          </w:tcPr>
          <w:p w14:paraId="01E9CB03" w14:textId="77777777" w:rsidR="008F7A47" w:rsidRDefault="008F7A47" w:rsidP="008F7A47">
            <w:pPr>
              <w:rPr>
                <w:b/>
                <w:i/>
              </w:rPr>
            </w:pPr>
          </w:p>
        </w:tc>
      </w:tr>
    </w:tbl>
    <w:p w14:paraId="73A93596" w14:textId="77777777" w:rsidR="009E783D" w:rsidRPr="00242066" w:rsidRDefault="009E783D" w:rsidP="00E50A27">
      <w:pPr>
        <w:pStyle w:val="ACMASpaceaftertable"/>
      </w:pPr>
    </w:p>
    <w:p w14:paraId="1EAADB56" w14:textId="20F0F2E7" w:rsidR="00623154" w:rsidRDefault="00623154" w:rsidP="00295E8B">
      <w:pPr>
        <w:pStyle w:val="ACMABodyText"/>
        <w:tabs>
          <w:tab w:val="left" w:pos="1843"/>
        </w:tabs>
        <w:spacing w:after="80"/>
        <w:ind w:right="-142"/>
        <w:rPr>
          <w:rFonts w:cs="Arial"/>
          <w:sz w:val="20"/>
          <w:szCs w:val="20"/>
        </w:rPr>
      </w:pPr>
    </w:p>
    <w:p w14:paraId="1BAD2904" w14:textId="35111690" w:rsidR="009E783D" w:rsidRPr="007336F4" w:rsidRDefault="009E783D" w:rsidP="009E783D">
      <w:pPr>
        <w:pStyle w:val="Heading1"/>
        <w:ind w:right="-142"/>
      </w:pPr>
      <w:bookmarkStart w:id="169" w:name="_Toc385256327"/>
      <w:bookmarkStart w:id="170" w:name="_Toc417990972"/>
      <w:bookmarkStart w:id="171" w:name="_Toc511634415"/>
      <w:bookmarkStart w:id="172" w:name="_Toc26786355"/>
      <w:r w:rsidRPr="007336F4">
        <w:lastRenderedPageBreak/>
        <w:t xml:space="preserve">Attachment </w:t>
      </w:r>
      <w:bookmarkEnd w:id="169"/>
      <w:bookmarkEnd w:id="170"/>
      <w:r w:rsidR="00F773AA">
        <w:t>A</w:t>
      </w:r>
      <w:r w:rsidR="009E3A91">
        <w:t xml:space="preserve">: </w:t>
      </w:r>
      <w:r w:rsidR="00120B54" w:rsidRPr="00120B54">
        <w:t>Telecommunications activities not included in the</w:t>
      </w:r>
      <w:r w:rsidR="00C6603A">
        <w:t xml:space="preserve"> </w:t>
      </w:r>
      <w:r w:rsidR="00120B54" w:rsidRPr="00120B54">
        <w:t>ACLC</w:t>
      </w:r>
      <w:bookmarkEnd w:id="171"/>
      <w:bookmarkEnd w:id="172"/>
    </w:p>
    <w:p w14:paraId="16023589" w14:textId="17B982BF" w:rsidR="009E783D" w:rsidRPr="001B69DC" w:rsidRDefault="009E783D" w:rsidP="00AE51BB">
      <w:pPr>
        <w:pStyle w:val="Bodysubheader0"/>
        <w:spacing w:after="0"/>
      </w:pPr>
      <w:proofErr w:type="spellStart"/>
      <w:r w:rsidRPr="001B69DC">
        <w:t>Smartnumber</w:t>
      </w:r>
      <w:r w:rsidR="007F2724">
        <w:t>s</w:t>
      </w:r>
      <w:proofErr w:type="spellEnd"/>
      <w:r w:rsidRPr="001B69DC">
        <w:t xml:space="preserve"> a</w:t>
      </w:r>
      <w:r w:rsidR="00E704C9">
        <w:t>llo</w:t>
      </w:r>
      <w:r w:rsidRPr="001B69DC">
        <w:t>c</w:t>
      </w:r>
      <w:r w:rsidR="00E704C9">
        <w:t>a</w:t>
      </w:r>
      <w:r w:rsidRPr="001B69DC">
        <w:t>tion activities</w:t>
      </w:r>
    </w:p>
    <w:p w14:paraId="6DCC811D" w14:textId="42D99F72" w:rsidR="009E783D" w:rsidRPr="00C320F6" w:rsidRDefault="009E783D" w:rsidP="00D567BE">
      <w:bookmarkStart w:id="173" w:name="_Toc260128306"/>
      <w:bookmarkStart w:id="174" w:name="_Toc261431675"/>
      <w:bookmarkStart w:id="175" w:name="_Toc261431807"/>
      <w:bookmarkStart w:id="176" w:name="_Toc316465912"/>
      <w:r w:rsidRPr="00C320F6">
        <w:t xml:space="preserve">The costs associated with </w:t>
      </w:r>
      <w:r w:rsidR="00E704C9">
        <w:t xml:space="preserve">the allocation of </w:t>
      </w:r>
      <w:proofErr w:type="spellStart"/>
      <w:r w:rsidR="00E704C9">
        <w:t>smart</w:t>
      </w:r>
      <w:r w:rsidRPr="00C320F6">
        <w:t>numbers</w:t>
      </w:r>
      <w:proofErr w:type="spellEnd"/>
      <w:r w:rsidRPr="00C320F6">
        <w:t xml:space="preserve"> </w:t>
      </w:r>
      <w:r w:rsidR="00E704C9">
        <w:t xml:space="preserve">in the numbering </w:t>
      </w:r>
      <w:r w:rsidRPr="00C320F6">
        <w:t xml:space="preserve">system are not recovered from industry on the basis that costs would be offset by </w:t>
      </w:r>
      <w:r w:rsidR="00E704C9">
        <w:t>allocation</w:t>
      </w:r>
      <w:r w:rsidRPr="00C320F6">
        <w:t xml:space="preserve"> proceeds</w:t>
      </w:r>
      <w:bookmarkEnd w:id="173"/>
      <w:bookmarkEnd w:id="174"/>
      <w:bookmarkEnd w:id="175"/>
      <w:r w:rsidRPr="00C320F6">
        <w:t xml:space="preserve">, except for a </w:t>
      </w:r>
      <w:r w:rsidR="00E704C9">
        <w:t>registration</w:t>
      </w:r>
      <w:r w:rsidRPr="00C320F6">
        <w:t xml:space="preserve"> charge</w:t>
      </w:r>
      <w:r w:rsidR="00FE0CE7">
        <w:t>,</w:t>
      </w:r>
      <w:r w:rsidRPr="00C320F6">
        <w:t xml:space="preserve"> </w:t>
      </w:r>
      <w:r w:rsidR="00FE0CE7">
        <w:t xml:space="preserve">which </w:t>
      </w:r>
      <w:r w:rsidRPr="00C320F6">
        <w:t>is cost recovered on a fee basis</w:t>
      </w:r>
      <w:r w:rsidR="00FE0CE7">
        <w:t xml:space="preserve"> for the use of the numbering system</w:t>
      </w:r>
      <w:r w:rsidRPr="00C320F6">
        <w:t>.</w:t>
      </w:r>
      <w:bookmarkEnd w:id="176"/>
    </w:p>
    <w:p w14:paraId="59822627" w14:textId="77777777" w:rsidR="009E783D" w:rsidRPr="001B69DC" w:rsidRDefault="009E783D" w:rsidP="00AE51BB">
      <w:pPr>
        <w:pStyle w:val="Bodysubheader0"/>
        <w:spacing w:after="80"/>
        <w:rPr>
          <w:rFonts w:cs="Arial"/>
          <w:i w:val="0"/>
          <w:u w:val="single"/>
        </w:rPr>
      </w:pPr>
      <w:r w:rsidRPr="00D567BE">
        <w:t>Spam and e-security activities</w:t>
      </w:r>
    </w:p>
    <w:p w14:paraId="70FE804E" w14:textId="607881E7" w:rsidR="009E783D" w:rsidRPr="00C320F6" w:rsidRDefault="009E783D" w:rsidP="007B57F4">
      <w:bookmarkStart w:id="177" w:name="_Toc260128307"/>
      <w:bookmarkStart w:id="178" w:name="_Toc261431676"/>
      <w:bookmarkStart w:id="179" w:name="_Toc261431808"/>
      <w:bookmarkStart w:id="180" w:name="_Toc316465913"/>
      <w:r w:rsidRPr="00C320F6">
        <w:t xml:space="preserve">These activities include anti-spam activities carried out in accordance with the </w:t>
      </w:r>
      <w:r w:rsidRPr="000E0EFD">
        <w:rPr>
          <w:i/>
        </w:rPr>
        <w:t>Spam Act 2003</w:t>
      </w:r>
      <w:r w:rsidRPr="00C320F6">
        <w:t xml:space="preserve"> and e-security </w:t>
      </w:r>
      <w:r w:rsidRPr="00D567BE">
        <w:t>activities</w:t>
      </w:r>
      <w:r w:rsidRPr="00C320F6">
        <w:t xml:space="preserve">. The costs associated with these activities are considered not appropriate to recover from telecommunications </w:t>
      </w:r>
      <w:r w:rsidR="008F54DA" w:rsidRPr="00C320F6">
        <w:t>carriers,</w:t>
      </w:r>
      <w:r w:rsidRPr="00C320F6">
        <w:t xml:space="preserve"> as the direct beneficiaries are the members of the public. </w:t>
      </w:r>
      <w:bookmarkEnd w:id="177"/>
      <w:bookmarkEnd w:id="178"/>
      <w:bookmarkEnd w:id="179"/>
      <w:bookmarkEnd w:id="180"/>
    </w:p>
    <w:p w14:paraId="6E8D1DE1" w14:textId="77777777" w:rsidR="009E783D" w:rsidRPr="00D567BE" w:rsidRDefault="009E783D" w:rsidP="00AE51BB">
      <w:pPr>
        <w:pStyle w:val="Bodysubheader0"/>
        <w:spacing w:after="80"/>
      </w:pPr>
      <w:r w:rsidRPr="00D567BE">
        <w:t>Do Not Call Register and telemarketing related activities</w:t>
      </w:r>
    </w:p>
    <w:p w14:paraId="36C03028" w14:textId="029FD997" w:rsidR="009E783D" w:rsidRPr="00D567BE" w:rsidRDefault="009E783D" w:rsidP="00D567BE">
      <w:pPr>
        <w:rPr>
          <w:rFonts w:cs="Arial"/>
        </w:rPr>
      </w:pPr>
      <w:r w:rsidRPr="00D567BE">
        <w:rPr>
          <w:rFonts w:cs="Arial"/>
        </w:rPr>
        <w:t xml:space="preserve">In accordance with subsection 15(4) of </w:t>
      </w:r>
      <w:r w:rsidRPr="00817409">
        <w:rPr>
          <w:rFonts w:cs="Arial"/>
        </w:rPr>
        <w:t>the</w:t>
      </w:r>
      <w:r w:rsidR="00EB5D8C">
        <w:rPr>
          <w:rFonts w:cs="Arial"/>
        </w:rPr>
        <w:t xml:space="preserve"> Act</w:t>
      </w:r>
      <w:r w:rsidRPr="00817409">
        <w:rPr>
          <w:rFonts w:cs="Arial"/>
        </w:rPr>
        <w:t xml:space="preserve">, the activities conducted under the </w:t>
      </w:r>
      <w:r w:rsidR="007F2724">
        <w:rPr>
          <w:rFonts w:cs="Arial"/>
        </w:rPr>
        <w:t>DNCR</w:t>
      </w:r>
      <w:r w:rsidRPr="00391111">
        <w:rPr>
          <w:rFonts w:cs="Arial"/>
        </w:rPr>
        <w:t xml:space="preserve"> Act</w:t>
      </w:r>
      <w:r w:rsidRPr="00817409">
        <w:rPr>
          <w:rFonts w:cs="Arial"/>
        </w:rPr>
        <w:t xml:space="preserve"> and the </w:t>
      </w:r>
      <w:r w:rsidR="009B7744" w:rsidRPr="00391111">
        <w:rPr>
          <w:rFonts w:cs="Arial"/>
        </w:rPr>
        <w:t>Telco Act</w:t>
      </w:r>
      <w:r w:rsidR="00B327BF" w:rsidRPr="00817409">
        <w:rPr>
          <w:rFonts w:cs="Arial"/>
        </w:rPr>
        <w:t>,</w:t>
      </w:r>
      <w:r w:rsidRPr="00D567BE">
        <w:rPr>
          <w:rFonts w:cs="Arial"/>
        </w:rPr>
        <w:t xml:space="preserve"> to the extent that they relate to telemarketing</w:t>
      </w:r>
      <w:r w:rsidR="00B327BF">
        <w:rPr>
          <w:rFonts w:cs="Arial"/>
        </w:rPr>
        <w:t>,</w:t>
      </w:r>
      <w:r w:rsidRPr="00D567BE">
        <w:rPr>
          <w:rFonts w:cs="Arial"/>
        </w:rPr>
        <w:t xml:space="preserve"> do not form part of </w:t>
      </w:r>
      <w:r w:rsidR="005724E8">
        <w:rPr>
          <w:rFonts w:cs="Arial"/>
          <w:iCs/>
        </w:rPr>
        <w:t>the</w:t>
      </w:r>
      <w:r w:rsidR="005724E8" w:rsidRPr="00E8129B">
        <w:rPr>
          <w:rFonts w:cs="Arial"/>
          <w:iCs/>
        </w:rPr>
        <w:t xml:space="preserve"> </w:t>
      </w:r>
      <w:r w:rsidRPr="00D567BE">
        <w:rPr>
          <w:rFonts w:cs="Arial"/>
        </w:rPr>
        <w:t>ACMA’s telecommu</w:t>
      </w:r>
      <w:r w:rsidR="00D567BE">
        <w:rPr>
          <w:rFonts w:cs="Arial"/>
        </w:rPr>
        <w:t>nications functions and powers.</w:t>
      </w:r>
    </w:p>
    <w:p w14:paraId="06044C45" w14:textId="77777777" w:rsidR="009E783D" w:rsidRPr="00D567BE" w:rsidRDefault="009E783D" w:rsidP="00AE51BB">
      <w:pPr>
        <w:pStyle w:val="Bodysubheader0"/>
        <w:spacing w:after="80"/>
      </w:pPr>
      <w:r w:rsidRPr="00D567BE">
        <w:t>Public information activities</w:t>
      </w:r>
    </w:p>
    <w:p w14:paraId="6DEEAF75" w14:textId="0A1C75A7" w:rsidR="009E783D" w:rsidRPr="00D567BE" w:rsidRDefault="009E783D" w:rsidP="00D567BE">
      <w:pPr>
        <w:rPr>
          <w:rFonts w:cs="Arial"/>
        </w:rPr>
      </w:pPr>
      <w:r w:rsidRPr="00D567BE">
        <w:rPr>
          <w:rFonts w:cs="Arial"/>
        </w:rPr>
        <w:t>These activities include the production of information on consumer awareness</w:t>
      </w:r>
      <w:r w:rsidR="00BC1236">
        <w:rPr>
          <w:rFonts w:cs="Arial"/>
        </w:rPr>
        <w:t xml:space="preserve"> for the matters initiated by the public</w:t>
      </w:r>
      <w:r w:rsidRPr="00D567BE">
        <w:rPr>
          <w:rFonts w:cs="Arial"/>
        </w:rPr>
        <w:t xml:space="preserve">. The costs of these activities </w:t>
      </w:r>
      <w:proofErr w:type="gramStart"/>
      <w:r w:rsidRPr="00D567BE">
        <w:rPr>
          <w:rFonts w:cs="Arial"/>
        </w:rPr>
        <w:t>are considered to be</w:t>
      </w:r>
      <w:proofErr w:type="gramEnd"/>
      <w:r w:rsidRPr="00D567BE">
        <w:rPr>
          <w:rFonts w:cs="Arial"/>
        </w:rPr>
        <w:t xml:space="preserve"> more appropriately met through budget funding.</w:t>
      </w:r>
    </w:p>
    <w:p w14:paraId="78CE04C6" w14:textId="77777777" w:rsidR="009E783D" w:rsidRPr="00D567BE" w:rsidRDefault="009E783D" w:rsidP="00AE51BB">
      <w:pPr>
        <w:pStyle w:val="Bodysubheader0"/>
        <w:spacing w:after="80"/>
      </w:pPr>
      <w:r w:rsidRPr="00D567BE">
        <w:t>Other telecommunications activities</w:t>
      </w:r>
    </w:p>
    <w:p w14:paraId="129A2814" w14:textId="400CAEAA" w:rsidR="009E783D" w:rsidRPr="00C320F6" w:rsidRDefault="009E783D" w:rsidP="009E783D">
      <w:pPr>
        <w:pStyle w:val="BodyText"/>
        <w:spacing w:after="80" w:line="240" w:lineRule="atLeast"/>
        <w:ind w:right="-142"/>
        <w:rPr>
          <w:rFonts w:cs="Arial"/>
          <w:i w:val="0"/>
          <w:color w:val="auto"/>
        </w:rPr>
      </w:pPr>
      <w:r w:rsidRPr="00C320F6">
        <w:rPr>
          <w:rFonts w:cs="Arial"/>
          <w:i w:val="0"/>
          <w:color w:val="auto"/>
        </w:rPr>
        <w:t>The following activities are delivered on a fee</w:t>
      </w:r>
      <w:r>
        <w:rPr>
          <w:rFonts w:cs="Arial"/>
          <w:i w:val="0"/>
          <w:color w:val="auto"/>
        </w:rPr>
        <w:t>-</w:t>
      </w:r>
      <w:r w:rsidRPr="00C320F6">
        <w:rPr>
          <w:rFonts w:cs="Arial"/>
          <w:i w:val="0"/>
          <w:color w:val="auto"/>
        </w:rPr>
        <w:t>for</w:t>
      </w:r>
      <w:r>
        <w:rPr>
          <w:rFonts w:cs="Arial"/>
          <w:i w:val="0"/>
          <w:color w:val="auto"/>
        </w:rPr>
        <w:t>-</w:t>
      </w:r>
      <w:r w:rsidRPr="00C320F6">
        <w:rPr>
          <w:rFonts w:cs="Arial"/>
          <w:i w:val="0"/>
          <w:color w:val="auto"/>
        </w:rPr>
        <w:t>service basis</w:t>
      </w:r>
      <w:r w:rsidR="001309F5">
        <w:rPr>
          <w:rFonts w:cs="Arial"/>
          <w:i w:val="0"/>
          <w:color w:val="auto"/>
        </w:rPr>
        <w:t xml:space="preserve"> or taxation</w:t>
      </w:r>
      <w:r>
        <w:rPr>
          <w:rFonts w:cs="Arial"/>
          <w:i w:val="0"/>
          <w:color w:val="auto"/>
        </w:rPr>
        <w:t>:</w:t>
      </w:r>
    </w:p>
    <w:p w14:paraId="3F003C64" w14:textId="3AB29439" w:rsidR="009E783D" w:rsidRDefault="009E783D" w:rsidP="00D567BE">
      <w:pPr>
        <w:pStyle w:val="ListBullet"/>
      </w:pPr>
      <w:r>
        <w:t>c</w:t>
      </w:r>
      <w:r w:rsidRPr="00C320F6">
        <w:t xml:space="preserve">arrier </w:t>
      </w:r>
      <w:r>
        <w:t>l</w:t>
      </w:r>
      <w:r w:rsidRPr="00C320F6">
        <w:t xml:space="preserve">icence </w:t>
      </w:r>
      <w:r>
        <w:t>a</w:t>
      </w:r>
      <w:r w:rsidRPr="00C320F6">
        <w:t>pplications</w:t>
      </w:r>
    </w:p>
    <w:p w14:paraId="071999DB" w14:textId="6FED2193" w:rsidR="009E783D" w:rsidRDefault="009E783D" w:rsidP="00D567BE">
      <w:pPr>
        <w:pStyle w:val="ListBullet"/>
      </w:pPr>
      <w:r>
        <w:t>n</w:t>
      </w:r>
      <w:r w:rsidRPr="00C320F6">
        <w:t xml:space="preserve">ominated </w:t>
      </w:r>
      <w:r>
        <w:t>c</w:t>
      </w:r>
      <w:r w:rsidRPr="00C320F6">
        <w:t xml:space="preserve">arrier </w:t>
      </w:r>
      <w:r>
        <w:t>d</w:t>
      </w:r>
      <w:r w:rsidRPr="00C320F6">
        <w:t xml:space="preserve">eclaration </w:t>
      </w:r>
      <w:r>
        <w:t>l</w:t>
      </w:r>
      <w:r w:rsidRPr="00C320F6">
        <w:t xml:space="preserve">icence </w:t>
      </w:r>
      <w:r>
        <w:t>a</w:t>
      </w:r>
      <w:r w:rsidRPr="00C320F6">
        <w:t>pplications</w:t>
      </w:r>
    </w:p>
    <w:p w14:paraId="7C300BA5" w14:textId="772E008E" w:rsidR="009E783D" w:rsidRDefault="009E783D" w:rsidP="00D567BE">
      <w:pPr>
        <w:pStyle w:val="ListBullet"/>
      </w:pPr>
      <w:r>
        <w:t>n</w:t>
      </w:r>
      <w:r w:rsidRPr="00C320F6">
        <w:t xml:space="preserve">umbering </w:t>
      </w:r>
      <w:r>
        <w:t>a</w:t>
      </w:r>
      <w:r w:rsidRPr="00C320F6">
        <w:t>pplications</w:t>
      </w:r>
      <w:r w:rsidR="005214C7">
        <w:t xml:space="preserve"> for allocation of geographic numbers</w:t>
      </w:r>
    </w:p>
    <w:p w14:paraId="370621C3" w14:textId="3AD8470A" w:rsidR="005214C7" w:rsidRDefault="005214C7" w:rsidP="00D567BE">
      <w:pPr>
        <w:pStyle w:val="ListBullet"/>
      </w:pPr>
      <w:r>
        <w:t xml:space="preserve">numbering applications for allocation of numbers charged under the </w:t>
      </w:r>
      <w:r w:rsidRPr="00D86351">
        <w:rPr>
          <w:i/>
        </w:rPr>
        <w:t>Telecommunications (Numbering Charges) Act 1997</w:t>
      </w:r>
    </w:p>
    <w:p w14:paraId="5A3BB5C5" w14:textId="162A236D" w:rsidR="009E783D" w:rsidRDefault="009E783D" w:rsidP="00B327BF">
      <w:pPr>
        <w:pStyle w:val="ListBullet"/>
      </w:pPr>
      <w:r w:rsidRPr="00B327BF">
        <w:t>submarine</w:t>
      </w:r>
      <w:r w:rsidRPr="00C320F6">
        <w:t xml:space="preserve"> </w:t>
      </w:r>
      <w:r>
        <w:t>c</w:t>
      </w:r>
      <w:r w:rsidRPr="00C320F6">
        <w:t xml:space="preserve">able </w:t>
      </w:r>
      <w:r>
        <w:t>i</w:t>
      </w:r>
      <w:r w:rsidRPr="00C320F6">
        <w:t xml:space="preserve">nstallation </w:t>
      </w:r>
      <w:r>
        <w:t>p</w:t>
      </w:r>
      <w:r w:rsidRPr="00C320F6">
        <w:t xml:space="preserve">ermit </w:t>
      </w:r>
      <w:r>
        <w:t>a</w:t>
      </w:r>
      <w:r w:rsidRPr="00C320F6">
        <w:t>pplications</w:t>
      </w:r>
    </w:p>
    <w:p w14:paraId="3FA95E96" w14:textId="7755104B" w:rsidR="005333EC" w:rsidRDefault="009E783D" w:rsidP="00F34021">
      <w:pPr>
        <w:pStyle w:val="ListBulletLast"/>
      </w:pPr>
      <w:r>
        <w:t>c</w:t>
      </w:r>
      <w:r w:rsidRPr="00C320F6">
        <w:t xml:space="preserve">onnection </w:t>
      </w:r>
      <w:r>
        <w:t>p</w:t>
      </w:r>
      <w:r w:rsidRPr="00C320F6">
        <w:t xml:space="preserve">ermit </w:t>
      </w:r>
      <w:r>
        <w:t>a</w:t>
      </w:r>
      <w:r w:rsidRPr="00C320F6">
        <w:t>pplications.</w:t>
      </w:r>
    </w:p>
    <w:p w14:paraId="491B1F71" w14:textId="7E2CC726" w:rsidR="009E3A91" w:rsidRDefault="009E3A91" w:rsidP="009E3A91">
      <w:pPr>
        <w:pStyle w:val="Heading1"/>
      </w:pPr>
      <w:bookmarkStart w:id="181" w:name="_Toc511634416"/>
      <w:bookmarkStart w:id="182" w:name="_Toc26786356"/>
      <w:bookmarkStart w:id="183" w:name="_Hlk10725306"/>
      <w:r>
        <w:lastRenderedPageBreak/>
        <w:t>Attachment B:</w:t>
      </w:r>
      <w:r>
        <w:br/>
        <w:t xml:space="preserve">Cost Recovery Implementation </w:t>
      </w:r>
      <w:r w:rsidRPr="00065318">
        <w:t>Statement—Addendum</w:t>
      </w:r>
      <w:r w:rsidR="00D52B96" w:rsidRPr="00065318">
        <w:t>:</w:t>
      </w:r>
      <w:r>
        <w:br/>
        <w:t>Measuring Broadband Australia program</w:t>
      </w:r>
      <w:bookmarkEnd w:id="181"/>
      <w:bookmarkEnd w:id="182"/>
    </w:p>
    <w:p w14:paraId="36A38921" w14:textId="77777777" w:rsidR="009E3A91" w:rsidRPr="00CC3F4B" w:rsidRDefault="009E3A91" w:rsidP="009E3A91">
      <w:pPr>
        <w:pStyle w:val="Heading1"/>
      </w:pPr>
      <w:bookmarkStart w:id="184" w:name="_Toc511294482"/>
      <w:bookmarkStart w:id="185" w:name="_Toc511634417"/>
      <w:bookmarkStart w:id="186" w:name="_Toc26786357"/>
      <w:r w:rsidRPr="00CC3F4B">
        <w:lastRenderedPageBreak/>
        <w:t xml:space="preserve">1. </w:t>
      </w:r>
      <w:r w:rsidRPr="00CC3F4B">
        <w:tab/>
      </w:r>
      <w:r w:rsidRPr="00863C10">
        <w:t>Introduction</w:t>
      </w:r>
      <w:bookmarkEnd w:id="184"/>
      <w:bookmarkEnd w:id="185"/>
      <w:bookmarkEnd w:id="186"/>
    </w:p>
    <w:p w14:paraId="3AD092A0" w14:textId="77777777" w:rsidR="009E3A91" w:rsidRPr="00EA3B0D" w:rsidRDefault="009E3A91" w:rsidP="009E3A91">
      <w:pPr>
        <w:pStyle w:val="Heading2"/>
      </w:pPr>
      <w:bookmarkStart w:id="187" w:name="_Toc511294483"/>
      <w:bookmarkStart w:id="188" w:name="_Toc511634418"/>
      <w:bookmarkStart w:id="189" w:name="_Toc26786358"/>
      <w:r w:rsidRPr="00EA3B0D">
        <w:t xml:space="preserve">1.1 </w:t>
      </w:r>
      <w:r w:rsidRPr="00EA3B0D">
        <w:tab/>
        <w:t>Purpose of the Cost Recovery Implementation Statement</w:t>
      </w:r>
      <w:bookmarkEnd w:id="187"/>
      <w:bookmarkEnd w:id="188"/>
      <w:bookmarkEnd w:id="189"/>
    </w:p>
    <w:p w14:paraId="6E95E395" w14:textId="3ACCDC1B" w:rsidR="009E3A91" w:rsidRDefault="009E3A91" w:rsidP="009E3A91">
      <w:bookmarkStart w:id="190" w:name="_Hlk8140631"/>
      <w:r>
        <w:t xml:space="preserve">This addendum to the </w:t>
      </w:r>
      <w:r w:rsidR="008519E7">
        <w:t>A</w:t>
      </w:r>
      <w:r>
        <w:t xml:space="preserve">nnual </w:t>
      </w:r>
      <w:r w:rsidR="008519E7">
        <w:t>C</w:t>
      </w:r>
      <w:r>
        <w:t xml:space="preserve">arrier </w:t>
      </w:r>
      <w:r w:rsidR="008519E7">
        <w:t>L</w:t>
      </w:r>
      <w:r>
        <w:t xml:space="preserve">icence </w:t>
      </w:r>
      <w:r w:rsidR="008519E7">
        <w:t>C</w:t>
      </w:r>
      <w:r>
        <w:t xml:space="preserve">harge (ACLC) </w:t>
      </w:r>
      <w:r w:rsidR="008519E7">
        <w:t>C</w:t>
      </w:r>
      <w:r>
        <w:t xml:space="preserve">ost </w:t>
      </w:r>
      <w:r w:rsidR="008519E7">
        <w:t>R</w:t>
      </w:r>
      <w:r>
        <w:t xml:space="preserve">ecovery </w:t>
      </w:r>
      <w:r w:rsidR="008519E7">
        <w:t>I</w:t>
      </w:r>
      <w:r>
        <w:t xml:space="preserve">mplementation </w:t>
      </w:r>
      <w:r w:rsidR="008519E7">
        <w:t>S</w:t>
      </w:r>
      <w:r>
        <w:t xml:space="preserve">tatement (CRIS) provides information on how the Australian Communications and Media Authority (ACMA) </w:t>
      </w:r>
      <w:r w:rsidR="007A5E97">
        <w:t>incorporate</w:t>
      </w:r>
      <w:r w:rsidR="007B1BB7">
        <w:t>s</w:t>
      </w:r>
      <w:r w:rsidR="007A5E97">
        <w:t xml:space="preserve"> the portion of the </w:t>
      </w:r>
      <w:r w:rsidR="008519E7">
        <w:t>Australian Competition and Consumer Commission’s (</w:t>
      </w:r>
      <w:r w:rsidR="007A5E97">
        <w:t>ACCC</w:t>
      </w:r>
      <w:r w:rsidR="008519E7">
        <w:t>)</w:t>
      </w:r>
      <w:r w:rsidR="007A5E97">
        <w:t xml:space="preserve"> costs, </w:t>
      </w:r>
      <w:r w:rsidR="00B1767A">
        <w:t xml:space="preserve">which is </w:t>
      </w:r>
      <w:r w:rsidR="007A5E97">
        <w:t>determined under paragraph 15(1)(b) of the Act, that relate</w:t>
      </w:r>
      <w:r w:rsidR="00B1767A">
        <w:t>s</w:t>
      </w:r>
      <w:r w:rsidR="007A5E97">
        <w:t xml:space="preserve"> to its </w:t>
      </w:r>
      <w:r>
        <w:t xml:space="preserve">Measuring Broadband Australia (MBA) </w:t>
      </w:r>
      <w:r w:rsidR="001B7A4D">
        <w:t>program</w:t>
      </w:r>
      <w:r w:rsidR="009F4508">
        <w:t>.</w:t>
      </w:r>
      <w:r>
        <w:t xml:space="preserve"> </w:t>
      </w:r>
      <w:bookmarkEnd w:id="190"/>
      <w:r>
        <w:t xml:space="preserve">This addendum is required as the method for recovering MBA program costs </w:t>
      </w:r>
      <w:r w:rsidR="008519E7">
        <w:t xml:space="preserve">and </w:t>
      </w:r>
      <w:r>
        <w:t>differ</w:t>
      </w:r>
      <w:r w:rsidR="007B1BB7">
        <w:t>s</w:t>
      </w:r>
      <w:r>
        <w:t xml:space="preserve"> from that used to recover the costs of other activities funded via the ACLC. </w:t>
      </w:r>
      <w:r w:rsidR="00F82F17" w:rsidRPr="00F82F17">
        <w:t xml:space="preserve"> </w:t>
      </w:r>
      <w:r w:rsidR="00F82F17">
        <w:t>Accordingly, the</w:t>
      </w:r>
      <w:r w:rsidR="00F82F17" w:rsidRPr="007368D9">
        <w:t xml:space="preserve"> </w:t>
      </w:r>
      <w:r w:rsidR="00F82F17">
        <w:t>information in this CRIS Addendum has been provided by the ACCC</w:t>
      </w:r>
      <w:r w:rsidR="00F82F17" w:rsidRPr="007368D9">
        <w:t>.</w:t>
      </w:r>
    </w:p>
    <w:p w14:paraId="0748B4B5" w14:textId="67F7CE21" w:rsidR="009E3A91" w:rsidRPr="00EA3B0D" w:rsidRDefault="009E3A91" w:rsidP="009E3A91">
      <w:r>
        <w:t xml:space="preserve">This addendum </w:t>
      </w:r>
      <w:r w:rsidR="005B64C1" w:rsidRPr="005B64C1">
        <w:t>reports financial performance for 2017</w:t>
      </w:r>
      <w:r w:rsidR="00E74157">
        <w:t>–</w:t>
      </w:r>
      <w:r w:rsidR="005B64C1" w:rsidRPr="005B64C1">
        <w:t xml:space="preserve">18 financial year and </w:t>
      </w:r>
      <w:r>
        <w:t>contains financial forecasts for 201</w:t>
      </w:r>
      <w:r w:rsidR="00B148FB">
        <w:t>8</w:t>
      </w:r>
      <w:r>
        <w:t>–1</w:t>
      </w:r>
      <w:r w:rsidR="00B148FB">
        <w:t>9</w:t>
      </w:r>
      <w:r>
        <w:t xml:space="preserve"> financial year and three forward years</w:t>
      </w:r>
      <w:r w:rsidR="00B148FB">
        <w:t xml:space="preserve"> (financial years 2019</w:t>
      </w:r>
      <w:r w:rsidR="00E74157">
        <w:t>–</w:t>
      </w:r>
      <w:r w:rsidR="00B148FB">
        <w:t>20 to 2021</w:t>
      </w:r>
      <w:r w:rsidR="00E74157">
        <w:t>–</w:t>
      </w:r>
      <w:r w:rsidR="00B148FB">
        <w:t>22)</w:t>
      </w:r>
      <w:r>
        <w:t>.</w:t>
      </w:r>
    </w:p>
    <w:p w14:paraId="0B4934B0" w14:textId="77777777" w:rsidR="009E3A91" w:rsidRPr="00EA3B0D" w:rsidRDefault="009E3A91" w:rsidP="009E3A91">
      <w:pPr>
        <w:pStyle w:val="Heading2"/>
      </w:pPr>
      <w:bookmarkStart w:id="191" w:name="_Toc511294484"/>
      <w:bookmarkStart w:id="192" w:name="_Toc511634419"/>
      <w:bookmarkStart w:id="193" w:name="_Toc26786359"/>
      <w:r w:rsidRPr="00EA3B0D">
        <w:t>1.2</w:t>
      </w:r>
      <w:r w:rsidRPr="00EA3B0D">
        <w:tab/>
        <w:t>Background and description of activity</w:t>
      </w:r>
      <w:bookmarkEnd w:id="191"/>
      <w:bookmarkEnd w:id="192"/>
      <w:bookmarkEnd w:id="193"/>
    </w:p>
    <w:p w14:paraId="1276E881" w14:textId="0D4577B8" w:rsidR="009E3A91" w:rsidRDefault="009E3A91" w:rsidP="009E3A91">
      <w:r>
        <w:t xml:space="preserve">Under the </w:t>
      </w:r>
      <w:r w:rsidRPr="00AB5A76">
        <w:rPr>
          <w:i/>
        </w:rPr>
        <w:t xml:space="preserve">Telecommunications (Carrier Licence Charges) Act 1997 </w:t>
      </w:r>
      <w:r>
        <w:t xml:space="preserve">(the Act), the ACLC is used to fund the exercise of </w:t>
      </w:r>
      <w:r w:rsidR="005724E8">
        <w:rPr>
          <w:rFonts w:cs="Arial"/>
          <w:iCs/>
        </w:rPr>
        <w:t>the</w:t>
      </w:r>
      <w:r w:rsidR="005724E8" w:rsidRPr="00E8129B">
        <w:rPr>
          <w:rFonts w:cs="Arial"/>
          <w:iCs/>
        </w:rPr>
        <w:t xml:space="preserve"> </w:t>
      </w:r>
      <w:r w:rsidR="00F20010">
        <w:t xml:space="preserve">ACMA’s and </w:t>
      </w:r>
      <w:r>
        <w:t>ACCC’s telecommunications functions and powers</w:t>
      </w:r>
      <w:r w:rsidR="00BD6BEC">
        <w:t xml:space="preserve">, </w:t>
      </w:r>
      <w:r w:rsidR="00F20010">
        <w:t xml:space="preserve">the Commonwealth’s contribution </w:t>
      </w:r>
      <w:r w:rsidR="00BD6BEC">
        <w:t>to the</w:t>
      </w:r>
      <w:r w:rsidR="008519E7">
        <w:t xml:space="preserve"> International Telecommunications Union (</w:t>
      </w:r>
      <w:r w:rsidR="00BD6BEC">
        <w:t>ITU</w:t>
      </w:r>
      <w:r w:rsidR="008519E7">
        <w:t>)</w:t>
      </w:r>
      <w:r w:rsidR="00BD6BEC">
        <w:t xml:space="preserve"> and relevant telecommunications grants </w:t>
      </w:r>
      <w:r w:rsidR="004A3BE9">
        <w:t xml:space="preserve">made by the </w:t>
      </w:r>
      <w:r w:rsidR="008519E7">
        <w:t>Minister for Communications, Cyber Safety and the Arts (the Minister)</w:t>
      </w:r>
      <w:r>
        <w:t xml:space="preserve">. Costs associated with the MBA program are </w:t>
      </w:r>
      <w:r w:rsidR="004A3BE9">
        <w:t>included in the ACCC’s determination of its costs under paragraph 15(1)(b) of the Act</w:t>
      </w:r>
      <w:r w:rsidR="00B27031">
        <w:t xml:space="preserve"> </w:t>
      </w:r>
      <w:r w:rsidR="00CA7BB3">
        <w:t xml:space="preserve">and are therefore to </w:t>
      </w:r>
      <w:r w:rsidR="00293DB0">
        <w:t xml:space="preserve">be </w:t>
      </w:r>
      <w:r>
        <w:t xml:space="preserve">recovered via the ACLC, consistent with the ACCC’s functions of monitoring the telecommunications industry and promoting competition and consumer benefits. </w:t>
      </w:r>
    </w:p>
    <w:p w14:paraId="76C268EA" w14:textId="23C61275" w:rsidR="009E3A91" w:rsidRDefault="009E3A91" w:rsidP="009E3A91">
      <w:r>
        <w:t>The MBA program monitor</w:t>
      </w:r>
      <w:r w:rsidR="005B64C1">
        <w:t>s</w:t>
      </w:r>
      <w:r>
        <w:t xml:space="preserve"> </w:t>
      </w:r>
      <w:r w:rsidRPr="00360F7E">
        <w:t xml:space="preserve">National Broadband Network (NBN) </w:t>
      </w:r>
      <w:r>
        <w:t>fixed-line services provided by carriers and carriage service providers with significant market presence, including resellers (which currently represent less than 10 per cent of NBN fixed-line access connections).</w:t>
      </w:r>
    </w:p>
    <w:p w14:paraId="1B3FC0DC" w14:textId="77777777" w:rsidR="009E3A91" w:rsidRPr="00192EE3" w:rsidRDefault="009E3A91" w:rsidP="009E3A91">
      <w:pPr>
        <w:rPr>
          <w:rFonts w:cs="Arial"/>
          <w:szCs w:val="20"/>
          <w:lang w:eastAsia="en-US"/>
        </w:rPr>
      </w:pPr>
      <w:r w:rsidRPr="00192EE3">
        <w:rPr>
          <w:rFonts w:cs="Arial"/>
          <w:szCs w:val="20"/>
          <w:lang w:eastAsia="en-US"/>
        </w:rPr>
        <w:t>The key output of the MBA program is public reporting of objective and reliable information of the performance and reliability of fixed-line broadband services to inform consumers.</w:t>
      </w:r>
    </w:p>
    <w:p w14:paraId="77D68877" w14:textId="7ECC3231" w:rsidR="009E3A91" w:rsidRDefault="009E3A91" w:rsidP="009E3A91">
      <w:r w:rsidRPr="00192EE3">
        <w:t xml:space="preserve">Consistent with the Australian Government Charging Framework 2015 </w:t>
      </w:r>
      <w:r w:rsidR="00C42E15">
        <w:t xml:space="preserve">and the Act, </w:t>
      </w:r>
      <w:r w:rsidRPr="00192EE3">
        <w:t>costs of the MBA program will be recovered in arrears from monitored carriers via the ACLC.</w:t>
      </w:r>
    </w:p>
    <w:p w14:paraId="7C3E478B" w14:textId="66B7BB01" w:rsidR="009E3A91" w:rsidRDefault="009E3A91" w:rsidP="009E3A91">
      <w:bookmarkStart w:id="194" w:name="_Hlk25672679"/>
      <w:r>
        <w:t xml:space="preserve">For more information </w:t>
      </w:r>
      <w:r w:rsidR="009E171C">
        <w:t xml:space="preserve">about </w:t>
      </w:r>
      <w:r>
        <w:t xml:space="preserve">the MBA program, please refer to </w:t>
      </w:r>
      <w:hyperlink r:id="rId30" w:history="1">
        <w:r w:rsidR="008519E7" w:rsidRPr="00CB036B">
          <w:rPr>
            <w:rStyle w:val="Hyperlink"/>
          </w:rPr>
          <w:t>ACCC website</w:t>
        </w:r>
      </w:hyperlink>
      <w:r w:rsidR="008519E7">
        <w:t>.</w:t>
      </w:r>
      <w:bookmarkEnd w:id="194"/>
    </w:p>
    <w:p w14:paraId="7C4BABAF" w14:textId="77777777" w:rsidR="009E3A91" w:rsidRPr="0008218E" w:rsidRDefault="009E3A91" w:rsidP="009E3A91">
      <w:pPr>
        <w:pStyle w:val="Heading2"/>
      </w:pPr>
      <w:bookmarkStart w:id="195" w:name="_Toc511294485"/>
      <w:bookmarkStart w:id="196" w:name="_Toc511634420"/>
      <w:bookmarkStart w:id="197" w:name="_Toc26786360"/>
      <w:r>
        <w:t>1.3</w:t>
      </w:r>
      <w:r>
        <w:tab/>
      </w:r>
      <w:r w:rsidRPr="0008218E">
        <w:t>Stakeholders</w:t>
      </w:r>
      <w:bookmarkEnd w:id="195"/>
      <w:bookmarkEnd w:id="196"/>
      <w:bookmarkEnd w:id="197"/>
    </w:p>
    <w:p w14:paraId="7E065314" w14:textId="0513C2A0" w:rsidR="009E3A91" w:rsidRDefault="009E3A91" w:rsidP="009E3A91">
      <w:r>
        <w:t xml:space="preserve">The key stakeholders are the ACCC, </w:t>
      </w:r>
      <w:r w:rsidR="008519E7">
        <w:t xml:space="preserve">and </w:t>
      </w:r>
      <w:r>
        <w:t>telecommunications carriers, carriage service providers,</w:t>
      </w:r>
      <w:r w:rsidR="008519E7">
        <w:t xml:space="preserve"> </w:t>
      </w:r>
      <w:r>
        <w:t>industry bodies (for example, Communications Alliance), consumers and consumer bodies</w:t>
      </w:r>
      <w:r w:rsidR="009B53C8">
        <w:t>—</w:t>
      </w:r>
      <w:r>
        <w:t>for example, the Australian Communications Consumer Action Network (ACCAN).</w:t>
      </w:r>
      <w:r w:rsidDel="00863C10">
        <w:t xml:space="preserve"> </w:t>
      </w:r>
    </w:p>
    <w:p w14:paraId="25885CAB" w14:textId="77777777" w:rsidR="009E3A91" w:rsidRPr="00EA3B0D" w:rsidRDefault="009E3A91" w:rsidP="009E3A91">
      <w:pPr>
        <w:pStyle w:val="Heading1"/>
        <w:ind w:left="851" w:right="-551" w:hanging="852"/>
      </w:pPr>
      <w:bookmarkStart w:id="198" w:name="_Toc511294486"/>
      <w:bookmarkStart w:id="199" w:name="_Toc511634421"/>
      <w:bookmarkStart w:id="200" w:name="_Toc26786361"/>
      <w:r w:rsidRPr="0008218E">
        <w:lastRenderedPageBreak/>
        <w:t xml:space="preserve">2. </w:t>
      </w:r>
      <w:r w:rsidRPr="0008218E">
        <w:tab/>
        <w:t xml:space="preserve">Policy and statutory authority to </w:t>
      </w:r>
      <w:r>
        <w:t xml:space="preserve">undertake </w:t>
      </w:r>
      <w:r w:rsidRPr="0008218E">
        <w:t>cost recover</w:t>
      </w:r>
      <w:r>
        <w:t>y</w:t>
      </w:r>
      <w:bookmarkEnd w:id="198"/>
      <w:bookmarkEnd w:id="199"/>
      <w:bookmarkEnd w:id="200"/>
    </w:p>
    <w:p w14:paraId="7B57C9C9" w14:textId="77777777" w:rsidR="009E3A91" w:rsidRDefault="009E3A91" w:rsidP="009E3A91">
      <w:pPr>
        <w:pStyle w:val="Heading2"/>
      </w:pPr>
      <w:bookmarkStart w:id="201" w:name="_Toc454268359"/>
      <w:bookmarkStart w:id="202" w:name="_Toc511294487"/>
      <w:bookmarkStart w:id="203" w:name="_Toc511634422"/>
      <w:bookmarkStart w:id="204" w:name="_Toc26786362"/>
      <w:r>
        <w:t>2.1</w:t>
      </w:r>
      <w:r>
        <w:tab/>
        <w:t>Government policy approval to recover costs</w:t>
      </w:r>
      <w:bookmarkEnd w:id="201"/>
      <w:bookmarkEnd w:id="202"/>
      <w:bookmarkEnd w:id="203"/>
      <w:bookmarkEnd w:id="204"/>
      <w:r>
        <w:t xml:space="preserve"> </w:t>
      </w:r>
    </w:p>
    <w:p w14:paraId="71E510AA" w14:textId="21D629E4" w:rsidR="009E3A91" w:rsidRDefault="009E3A91" w:rsidP="009E3A91">
      <w:r w:rsidRPr="00C10586">
        <w:t>As an outcome of the Communications Portfolio Charging Review in the 2014–15</w:t>
      </w:r>
      <w:r>
        <w:t xml:space="preserve"> </w:t>
      </w:r>
      <w:r w:rsidRPr="00C10586">
        <w:t xml:space="preserve">financial year, the </w:t>
      </w:r>
      <w:r w:rsidR="009E171C">
        <w:t>g</w:t>
      </w:r>
      <w:r w:rsidRPr="00C10586">
        <w:t xml:space="preserve">overnment confirmed the appropriateness of cost recovery </w:t>
      </w:r>
      <w:r w:rsidRPr="007A4E7E">
        <w:t xml:space="preserve">through the ACLC </w:t>
      </w:r>
      <w:r w:rsidRPr="00C10586">
        <w:t xml:space="preserve">for the </w:t>
      </w:r>
      <w:r>
        <w:t xml:space="preserve">exercise of the ACCC’s telecommunications functions and powers. The activities undertaken under the MBA program form part of the ACCC’s statutory responsibilities of monitoring industry and the providing information to consumers.  </w:t>
      </w:r>
    </w:p>
    <w:p w14:paraId="7BBD3248" w14:textId="3804776F" w:rsidR="009E3A91" w:rsidRDefault="009E3A91" w:rsidP="009E3A91">
      <w:pPr>
        <w:spacing w:after="80"/>
        <w:rPr>
          <w:rFonts w:cs="Arial"/>
          <w:szCs w:val="20"/>
        </w:rPr>
      </w:pPr>
      <w:r w:rsidRPr="00333B45">
        <w:rPr>
          <w:rFonts w:cs="Arial"/>
          <w:szCs w:val="20"/>
        </w:rPr>
        <w:t>In April 2017</w:t>
      </w:r>
      <w:r>
        <w:rPr>
          <w:rFonts w:cs="Arial"/>
          <w:szCs w:val="20"/>
        </w:rPr>
        <w:t>,</w:t>
      </w:r>
      <w:r w:rsidRPr="00333B45">
        <w:rPr>
          <w:rFonts w:cs="Arial"/>
          <w:szCs w:val="20"/>
        </w:rPr>
        <w:t xml:space="preserve"> the </w:t>
      </w:r>
      <w:r w:rsidR="009E171C">
        <w:rPr>
          <w:rFonts w:cs="Arial"/>
          <w:szCs w:val="20"/>
        </w:rPr>
        <w:t>g</w:t>
      </w:r>
      <w:r w:rsidRPr="00333B45">
        <w:rPr>
          <w:rFonts w:cs="Arial"/>
          <w:szCs w:val="20"/>
        </w:rPr>
        <w:t>overnment announced the introduction of the MBA program, to be administered by the ACCC</w:t>
      </w:r>
      <w:r>
        <w:rPr>
          <w:rFonts w:cs="Arial"/>
          <w:szCs w:val="20"/>
        </w:rPr>
        <w:t>.</w:t>
      </w:r>
      <w:r>
        <w:rPr>
          <w:rStyle w:val="FootnoteReference"/>
          <w:rFonts w:cs="Arial"/>
          <w:szCs w:val="20"/>
        </w:rPr>
        <w:footnoteReference w:id="20"/>
      </w:r>
      <w:r w:rsidRPr="00333B45">
        <w:rPr>
          <w:rFonts w:cs="Arial"/>
          <w:szCs w:val="20"/>
        </w:rPr>
        <w:t xml:space="preserve"> Funding of $7.0 million over four years (to 2020–21) was provided to the ACCC to establish the MBA program as part of the 2017–18 Budget</w:t>
      </w:r>
      <w:r>
        <w:rPr>
          <w:rFonts w:cs="Arial"/>
          <w:szCs w:val="20"/>
        </w:rPr>
        <w:t>.</w:t>
      </w:r>
      <w:r>
        <w:rPr>
          <w:rStyle w:val="FootnoteReference"/>
          <w:rFonts w:cs="Arial"/>
          <w:szCs w:val="20"/>
        </w:rPr>
        <w:footnoteReference w:id="21"/>
      </w:r>
      <w:r w:rsidRPr="00333B45">
        <w:rPr>
          <w:rFonts w:cs="Arial"/>
          <w:szCs w:val="20"/>
        </w:rPr>
        <w:t xml:space="preserve"> </w:t>
      </w:r>
      <w:r w:rsidR="005E4C53">
        <w:rPr>
          <w:rFonts w:cs="Arial"/>
          <w:szCs w:val="20"/>
        </w:rPr>
        <w:t xml:space="preserve">The </w:t>
      </w:r>
      <w:r w:rsidRPr="00333B45">
        <w:rPr>
          <w:rFonts w:cs="Arial"/>
          <w:szCs w:val="20"/>
        </w:rPr>
        <w:t xml:space="preserve">ACMA’s role is to administer the </w:t>
      </w:r>
      <w:r>
        <w:rPr>
          <w:rFonts w:cs="Arial"/>
          <w:szCs w:val="20"/>
        </w:rPr>
        <w:t xml:space="preserve">cost recovery for the </w:t>
      </w:r>
      <w:r w:rsidRPr="00333B45">
        <w:rPr>
          <w:rFonts w:cs="Arial"/>
          <w:szCs w:val="20"/>
        </w:rPr>
        <w:t>MBA program as part of the existing ACLC cost</w:t>
      </w:r>
      <w:r>
        <w:rPr>
          <w:rFonts w:cs="Arial"/>
          <w:szCs w:val="20"/>
        </w:rPr>
        <w:t>-</w:t>
      </w:r>
      <w:r w:rsidRPr="00333B45">
        <w:rPr>
          <w:rFonts w:cs="Arial"/>
          <w:szCs w:val="20"/>
        </w:rPr>
        <w:t>recovery process</w:t>
      </w:r>
      <w:r>
        <w:rPr>
          <w:rFonts w:cs="Arial"/>
          <w:szCs w:val="20"/>
        </w:rPr>
        <w:t xml:space="preserve"> from the financial year 2018–19</w:t>
      </w:r>
      <w:r w:rsidRPr="00333B45">
        <w:rPr>
          <w:rFonts w:cs="Arial"/>
          <w:szCs w:val="20"/>
        </w:rPr>
        <w:t>.</w:t>
      </w:r>
    </w:p>
    <w:p w14:paraId="243EDCFC" w14:textId="77777777" w:rsidR="009E3A91" w:rsidRPr="00D207EA" w:rsidRDefault="009E3A91" w:rsidP="009E3A91">
      <w:pPr>
        <w:pStyle w:val="Heading2"/>
      </w:pPr>
      <w:bookmarkStart w:id="205" w:name="_Toc454268360"/>
      <w:bookmarkStart w:id="206" w:name="_Toc511294488"/>
      <w:bookmarkStart w:id="207" w:name="_Toc511634423"/>
      <w:bookmarkStart w:id="208" w:name="_Toc26786363"/>
      <w:r w:rsidRPr="00D207EA">
        <w:t>2.2</w:t>
      </w:r>
      <w:r w:rsidRPr="00D207EA">
        <w:tab/>
        <w:t>Statutory authority to impose cost recovery charges</w:t>
      </w:r>
      <w:bookmarkEnd w:id="205"/>
      <w:bookmarkEnd w:id="206"/>
      <w:bookmarkEnd w:id="207"/>
      <w:bookmarkEnd w:id="208"/>
    </w:p>
    <w:p w14:paraId="1AB06785" w14:textId="77777777" w:rsidR="009E3A91" w:rsidRDefault="009E3A91" w:rsidP="009E3A91">
      <w:r>
        <w:t>Section 12 of the Act imposes an annual charge on carrier licences that are in force at the beginning of a financial year (1 July 2017 for the purposes of this CRIS).</w:t>
      </w:r>
    </w:p>
    <w:p w14:paraId="7C802717" w14:textId="6393AEB0" w:rsidR="009E3A91" w:rsidRDefault="009E3A91" w:rsidP="009E3A91">
      <w:r>
        <w:t>Subsection 14(1) of the Act specifies that the amount of the charge to be imposed on a carrier licence is the amount ascertained in accordance with a written determination made by</w:t>
      </w:r>
      <w:r w:rsidR="005E4C53">
        <w:t xml:space="preserve"> </w:t>
      </w:r>
      <w:r w:rsidR="005E4C53">
        <w:rPr>
          <w:rFonts w:cs="Arial"/>
          <w:iCs/>
        </w:rPr>
        <w:t>the</w:t>
      </w:r>
      <w:r>
        <w:t xml:space="preserve"> ACMA.</w:t>
      </w:r>
    </w:p>
    <w:p w14:paraId="5B688C06" w14:textId="77777777" w:rsidR="009E3A91" w:rsidRDefault="009E3A91" w:rsidP="009E3A91">
      <w:r>
        <w:t xml:space="preserve">Subsection 15(1) of the Act requires that the total of the charges that are imposed on carrier licences in force at the beginning of a financial year must not exceed the sum of the cost components identified in paragraphs 15(1)(a) to 15(1)(d) of the Act (see Table 1). </w:t>
      </w:r>
    </w:p>
    <w:p w14:paraId="54D0A6F5" w14:textId="52AFD532" w:rsidR="009E3A91" w:rsidRDefault="009E3A91" w:rsidP="009E3A91">
      <w:r>
        <w:t>The ACCC</w:t>
      </w:r>
      <w:r w:rsidR="000328DD">
        <w:t>’s</w:t>
      </w:r>
      <w:r>
        <w:t xml:space="preserve"> determination in relation to the costs described in paragraph 15(1)(b) of the Act, relates to the ACCC’s telecommunications powers and functions. The </w:t>
      </w:r>
      <w:r w:rsidR="007E675C">
        <w:t>ACCC</w:t>
      </w:r>
      <w:r>
        <w:t xml:space="preserve"> will incorporate the relevant costs applicable to the MBA program.</w:t>
      </w:r>
      <w:r w:rsidRPr="00F7627C">
        <w:t xml:space="preserve"> </w:t>
      </w:r>
      <w:r>
        <w:t>Further information on the contribution of the MBA program to these cost components is provided in Section 3.1 (below).</w:t>
      </w:r>
    </w:p>
    <w:p w14:paraId="63A1EA9B" w14:textId="33A19218" w:rsidR="009E3A91" w:rsidRDefault="009E3A91" w:rsidP="009E3A91">
      <w:r>
        <w:t xml:space="preserve">All determinations </w:t>
      </w:r>
      <w:r w:rsidR="000328DD">
        <w:t>will be</w:t>
      </w:r>
      <w:r w:rsidR="00FF46E9">
        <w:t xml:space="preserve"> </w:t>
      </w:r>
      <w:r>
        <w:t>registered on the Federal Register of Legislati</w:t>
      </w:r>
      <w:r w:rsidR="00A95D6A">
        <w:t>ve Instruments</w:t>
      </w:r>
      <w:r>
        <w:t xml:space="preserve"> </w:t>
      </w:r>
      <w:r w:rsidR="00FF46E9">
        <w:t xml:space="preserve">and commence </w:t>
      </w:r>
      <w:r>
        <w:t xml:space="preserve">before the invoices </w:t>
      </w:r>
      <w:r w:rsidR="00FF46E9">
        <w:t xml:space="preserve">for the ACLC </w:t>
      </w:r>
      <w:r>
        <w:t xml:space="preserve">are forwarded by </w:t>
      </w:r>
      <w:r w:rsidR="005E4C53">
        <w:rPr>
          <w:rFonts w:cs="Arial"/>
          <w:iCs/>
        </w:rPr>
        <w:t>the</w:t>
      </w:r>
      <w:r w:rsidR="005E4C53" w:rsidRPr="00E8129B">
        <w:rPr>
          <w:rFonts w:cs="Arial"/>
          <w:iCs/>
        </w:rPr>
        <w:t xml:space="preserve"> </w:t>
      </w:r>
      <w:r>
        <w:t>ACMA to the licensed carriers.</w:t>
      </w:r>
    </w:p>
    <w:p w14:paraId="55B221D6" w14:textId="4C7A4144" w:rsidR="009E3A91" w:rsidRDefault="009E3A91" w:rsidP="009E3A91">
      <w:pPr>
        <w:pStyle w:val="ACMATableHeader"/>
        <w:keepNext/>
        <w:numPr>
          <w:ilvl w:val="0"/>
          <w:numId w:val="29"/>
        </w:numPr>
      </w:pPr>
      <w:r>
        <w:lastRenderedPageBreak/>
        <w:t>Structural components of the ACLC</w:t>
      </w:r>
      <w:r w:rsidR="00E94E7A">
        <w:t xml:space="preserve"> applicable to MBA program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firstRow="1" w:lastRow="0" w:firstColumn="1" w:lastColumn="0" w:noHBand="0" w:noVBand="1"/>
        <w:tblCaption w:val="Structural components of the ACLC"/>
        <w:tblDescription w:val="Includes reference in the Act and cost component"/>
      </w:tblPr>
      <w:tblGrid>
        <w:gridCol w:w="2402"/>
        <w:gridCol w:w="5253"/>
      </w:tblGrid>
      <w:tr w:rsidR="009E3A91" w14:paraId="2FC839FA" w14:textId="77777777" w:rsidTr="009E3A91">
        <w:trPr>
          <w:trHeight w:val="319"/>
          <w:tblHeader/>
        </w:trPr>
        <w:tc>
          <w:tcPr>
            <w:tcW w:w="1569" w:type="pct"/>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2DC8ED4E" w14:textId="77777777" w:rsidR="009E3A91" w:rsidRDefault="009E3A91" w:rsidP="009E3A91">
            <w:pPr>
              <w:pStyle w:val="TableHeading"/>
              <w:rPr>
                <w:b w:val="0"/>
                <w:color w:val="FFFFFF" w:themeColor="background1"/>
              </w:rPr>
            </w:pPr>
            <w:r>
              <w:rPr>
                <w:color w:val="FFFFFF" w:themeColor="background1"/>
              </w:rPr>
              <w:t>Reference in the Act</w:t>
            </w:r>
          </w:p>
        </w:tc>
        <w:tc>
          <w:tcPr>
            <w:tcW w:w="3431" w:type="pct"/>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104485A8" w14:textId="77777777" w:rsidR="009E3A91" w:rsidRDefault="009E3A91" w:rsidP="009E3A91">
            <w:pPr>
              <w:pStyle w:val="TableHeading"/>
              <w:rPr>
                <w:b w:val="0"/>
                <w:color w:val="FFFFFF" w:themeColor="background1"/>
              </w:rPr>
            </w:pPr>
            <w:r>
              <w:rPr>
                <w:color w:val="FFFFFF" w:themeColor="background1"/>
              </w:rPr>
              <w:t>Cost component</w:t>
            </w:r>
          </w:p>
        </w:tc>
      </w:tr>
      <w:tr w:rsidR="009E3A91" w14:paraId="06992A0E" w14:textId="77777777" w:rsidTr="009E3A91">
        <w:trPr>
          <w:trHeight w:val="222"/>
          <w:tblHeader/>
        </w:trPr>
        <w:tc>
          <w:tcPr>
            <w:tcW w:w="1569" w:type="pct"/>
            <w:tcBorders>
              <w:top w:val="single" w:sz="6" w:space="0" w:color="auto"/>
              <w:left w:val="single" w:sz="6" w:space="0" w:color="auto"/>
              <w:bottom w:val="single" w:sz="6" w:space="0" w:color="auto"/>
              <w:right w:val="single" w:sz="6" w:space="0" w:color="auto"/>
            </w:tcBorders>
            <w:hideMark/>
          </w:tcPr>
          <w:p w14:paraId="2F64EB49" w14:textId="77777777" w:rsidR="009E3A91" w:rsidRDefault="009E3A91" w:rsidP="009E3A91">
            <w:pPr>
              <w:keepNext/>
              <w:spacing w:after="0"/>
              <w:rPr>
                <w:rFonts w:cs="Arial"/>
                <w:szCs w:val="20"/>
              </w:rPr>
            </w:pPr>
            <w:r>
              <w:rPr>
                <w:rFonts w:cs="Arial"/>
                <w:szCs w:val="20"/>
              </w:rPr>
              <w:t>15(1)(a)</w:t>
            </w:r>
          </w:p>
        </w:tc>
        <w:tc>
          <w:tcPr>
            <w:tcW w:w="3431" w:type="pct"/>
            <w:tcBorders>
              <w:top w:val="single" w:sz="6" w:space="0" w:color="auto"/>
              <w:left w:val="single" w:sz="6" w:space="0" w:color="auto"/>
              <w:bottom w:val="single" w:sz="6" w:space="0" w:color="auto"/>
              <w:right w:val="single" w:sz="6" w:space="0" w:color="auto"/>
            </w:tcBorders>
            <w:hideMark/>
          </w:tcPr>
          <w:p w14:paraId="4DA32397" w14:textId="4C004B97" w:rsidR="009E3A91" w:rsidRDefault="00F067A4" w:rsidP="009E3A91">
            <w:pPr>
              <w:keepNext/>
              <w:spacing w:after="0"/>
              <w:rPr>
                <w:rFonts w:cs="Arial"/>
                <w:szCs w:val="20"/>
              </w:rPr>
            </w:pPr>
            <w:r>
              <w:rPr>
                <w:rFonts w:cs="Arial"/>
                <w:szCs w:val="20"/>
              </w:rPr>
              <w:t>Not applicable</w:t>
            </w:r>
            <w:r w:rsidR="00E23A41">
              <w:rPr>
                <w:rFonts w:cs="Arial"/>
                <w:szCs w:val="20"/>
              </w:rPr>
              <w:t>—</w:t>
            </w:r>
            <w:r w:rsidR="009E3A91">
              <w:rPr>
                <w:rFonts w:cs="Arial"/>
                <w:szCs w:val="20"/>
              </w:rPr>
              <w:t>ACMA’s cost component</w:t>
            </w:r>
          </w:p>
        </w:tc>
      </w:tr>
      <w:tr w:rsidR="009E3A91" w14:paraId="234C4F66" w14:textId="77777777" w:rsidTr="009E3A91">
        <w:trPr>
          <w:trHeight w:val="414"/>
          <w:tblHeader/>
        </w:trPr>
        <w:tc>
          <w:tcPr>
            <w:tcW w:w="1569" w:type="pct"/>
            <w:tcBorders>
              <w:top w:val="single" w:sz="6" w:space="0" w:color="auto"/>
              <w:left w:val="single" w:sz="6" w:space="0" w:color="auto"/>
              <w:bottom w:val="single" w:sz="6" w:space="0" w:color="auto"/>
              <w:right w:val="single" w:sz="6" w:space="0" w:color="auto"/>
            </w:tcBorders>
            <w:hideMark/>
          </w:tcPr>
          <w:p w14:paraId="3CEF1887" w14:textId="77777777" w:rsidR="009E3A91" w:rsidRDefault="009E3A91" w:rsidP="009E3A91">
            <w:pPr>
              <w:keepNext/>
              <w:spacing w:after="0"/>
              <w:rPr>
                <w:rFonts w:cs="Arial"/>
                <w:szCs w:val="20"/>
              </w:rPr>
            </w:pPr>
            <w:r>
              <w:rPr>
                <w:rFonts w:cs="Arial"/>
                <w:szCs w:val="20"/>
              </w:rPr>
              <w:t>15(1)(b)</w:t>
            </w:r>
          </w:p>
        </w:tc>
        <w:tc>
          <w:tcPr>
            <w:tcW w:w="3431" w:type="pct"/>
            <w:tcBorders>
              <w:top w:val="single" w:sz="6" w:space="0" w:color="auto"/>
              <w:left w:val="single" w:sz="6" w:space="0" w:color="auto"/>
              <w:bottom w:val="single" w:sz="6" w:space="0" w:color="auto"/>
              <w:right w:val="single" w:sz="6" w:space="0" w:color="auto"/>
            </w:tcBorders>
            <w:hideMark/>
          </w:tcPr>
          <w:p w14:paraId="3B8CCAC9" w14:textId="15F419FE" w:rsidR="009E3A91" w:rsidRDefault="009E3A91" w:rsidP="009E3A91">
            <w:pPr>
              <w:keepNext/>
              <w:spacing w:after="0"/>
              <w:rPr>
                <w:rFonts w:cs="Arial"/>
                <w:szCs w:val="20"/>
              </w:rPr>
            </w:pPr>
            <w:r>
              <w:rPr>
                <w:rFonts w:cs="Arial"/>
                <w:szCs w:val="20"/>
              </w:rPr>
              <w:t xml:space="preserve">The ACCC’s cost component—this </w:t>
            </w:r>
            <w:r w:rsidR="00FF46E9">
              <w:rPr>
                <w:rFonts w:cs="Arial"/>
                <w:szCs w:val="20"/>
              </w:rPr>
              <w:t xml:space="preserve">is to </w:t>
            </w:r>
            <w:r>
              <w:rPr>
                <w:rFonts w:cs="Arial"/>
                <w:szCs w:val="20"/>
              </w:rPr>
              <w:t>incorporate relevant costs applicable to the MBA program</w:t>
            </w:r>
          </w:p>
        </w:tc>
      </w:tr>
      <w:tr w:rsidR="009E3A91" w14:paraId="685EF2DF" w14:textId="77777777" w:rsidTr="009E3A91">
        <w:trPr>
          <w:trHeight w:val="420"/>
          <w:tblHeader/>
        </w:trPr>
        <w:tc>
          <w:tcPr>
            <w:tcW w:w="1569" w:type="pct"/>
            <w:tcBorders>
              <w:top w:val="single" w:sz="6" w:space="0" w:color="auto"/>
              <w:left w:val="single" w:sz="6" w:space="0" w:color="auto"/>
              <w:bottom w:val="single" w:sz="6" w:space="0" w:color="auto"/>
              <w:right w:val="single" w:sz="6" w:space="0" w:color="auto"/>
            </w:tcBorders>
            <w:hideMark/>
          </w:tcPr>
          <w:p w14:paraId="418EAF61" w14:textId="77777777" w:rsidR="009E3A91" w:rsidRDefault="009E3A91" w:rsidP="009E3A91">
            <w:pPr>
              <w:keepNext/>
              <w:spacing w:after="0"/>
              <w:rPr>
                <w:rFonts w:cs="Arial"/>
                <w:szCs w:val="20"/>
              </w:rPr>
            </w:pPr>
            <w:r>
              <w:rPr>
                <w:rFonts w:cs="Arial"/>
                <w:szCs w:val="20"/>
              </w:rPr>
              <w:t>15(1)(c)</w:t>
            </w:r>
          </w:p>
        </w:tc>
        <w:tc>
          <w:tcPr>
            <w:tcW w:w="3431" w:type="pct"/>
            <w:tcBorders>
              <w:top w:val="single" w:sz="6" w:space="0" w:color="auto"/>
              <w:left w:val="single" w:sz="6" w:space="0" w:color="auto"/>
              <w:bottom w:val="single" w:sz="6" w:space="0" w:color="auto"/>
              <w:right w:val="single" w:sz="6" w:space="0" w:color="auto"/>
            </w:tcBorders>
            <w:hideMark/>
          </w:tcPr>
          <w:p w14:paraId="19EB0657" w14:textId="5B8956AF" w:rsidR="009E3A91" w:rsidRDefault="00F067A4" w:rsidP="009E3A91">
            <w:pPr>
              <w:keepNext/>
              <w:spacing w:after="0"/>
              <w:rPr>
                <w:rFonts w:cs="Arial"/>
                <w:szCs w:val="20"/>
              </w:rPr>
            </w:pPr>
            <w:r>
              <w:rPr>
                <w:rFonts w:cs="Arial"/>
                <w:szCs w:val="20"/>
              </w:rPr>
              <w:t>Not applica</w:t>
            </w:r>
            <w:r w:rsidR="009265CE">
              <w:rPr>
                <w:rFonts w:cs="Arial"/>
                <w:szCs w:val="20"/>
              </w:rPr>
              <w:t>ble</w:t>
            </w:r>
            <w:r w:rsidR="00E23A41">
              <w:rPr>
                <w:rFonts w:cs="Arial"/>
                <w:szCs w:val="20"/>
              </w:rPr>
              <w:t>—</w:t>
            </w:r>
            <w:r w:rsidR="00FF46E9">
              <w:rPr>
                <w:rFonts w:cs="Arial"/>
                <w:szCs w:val="20"/>
              </w:rPr>
              <w:t xml:space="preserve">Commonwealth’s contribution to the </w:t>
            </w:r>
            <w:r w:rsidR="009E3A91" w:rsidRPr="00426212">
              <w:rPr>
                <w:rFonts w:cs="Arial"/>
                <w:szCs w:val="20"/>
              </w:rPr>
              <w:t>I</w:t>
            </w:r>
            <w:r w:rsidR="009E3A91">
              <w:rPr>
                <w:rFonts w:cs="Arial"/>
                <w:szCs w:val="20"/>
              </w:rPr>
              <w:t xml:space="preserve">nternational </w:t>
            </w:r>
            <w:r w:rsidR="009E3A91" w:rsidRPr="00426212">
              <w:rPr>
                <w:rFonts w:cs="Arial"/>
                <w:szCs w:val="20"/>
              </w:rPr>
              <w:t>T</w:t>
            </w:r>
            <w:r w:rsidR="009E3A91">
              <w:rPr>
                <w:rFonts w:cs="Arial"/>
                <w:szCs w:val="20"/>
              </w:rPr>
              <w:t xml:space="preserve">elecommunication </w:t>
            </w:r>
            <w:r w:rsidR="009E3A91" w:rsidRPr="00426212">
              <w:rPr>
                <w:rFonts w:cs="Arial"/>
                <w:szCs w:val="20"/>
              </w:rPr>
              <w:t>U</w:t>
            </w:r>
            <w:r w:rsidR="009E3A91">
              <w:rPr>
                <w:rFonts w:cs="Arial"/>
                <w:szCs w:val="20"/>
              </w:rPr>
              <w:t>nion (ITU)</w:t>
            </w:r>
          </w:p>
        </w:tc>
      </w:tr>
      <w:tr w:rsidR="009E3A91" w14:paraId="1CFFD01A" w14:textId="77777777" w:rsidTr="009E3A91">
        <w:trPr>
          <w:trHeight w:val="405"/>
          <w:tblHeader/>
        </w:trPr>
        <w:tc>
          <w:tcPr>
            <w:tcW w:w="1569" w:type="pct"/>
            <w:tcBorders>
              <w:top w:val="single" w:sz="6" w:space="0" w:color="auto"/>
              <w:left w:val="single" w:sz="6" w:space="0" w:color="auto"/>
              <w:bottom w:val="single" w:sz="6" w:space="0" w:color="auto"/>
              <w:right w:val="single" w:sz="6" w:space="0" w:color="auto"/>
            </w:tcBorders>
            <w:hideMark/>
          </w:tcPr>
          <w:p w14:paraId="1D9848DA" w14:textId="77777777" w:rsidR="009E3A91" w:rsidRDefault="009E3A91" w:rsidP="009E3A91">
            <w:pPr>
              <w:keepNext/>
              <w:spacing w:after="0"/>
              <w:rPr>
                <w:rFonts w:cs="Arial"/>
                <w:szCs w:val="20"/>
              </w:rPr>
            </w:pPr>
            <w:r>
              <w:rPr>
                <w:rFonts w:cs="Arial"/>
                <w:szCs w:val="20"/>
              </w:rPr>
              <w:t>15(</w:t>
            </w:r>
            <w:proofErr w:type="gramStart"/>
            <w:r>
              <w:rPr>
                <w:rFonts w:cs="Arial"/>
                <w:szCs w:val="20"/>
              </w:rPr>
              <w:t>1)(</w:t>
            </w:r>
            <w:proofErr w:type="gramEnd"/>
            <w:r>
              <w:rPr>
                <w:rFonts w:cs="Arial"/>
                <w:szCs w:val="20"/>
              </w:rPr>
              <w:t>ca)</w:t>
            </w:r>
          </w:p>
        </w:tc>
        <w:tc>
          <w:tcPr>
            <w:tcW w:w="3431" w:type="pct"/>
            <w:tcBorders>
              <w:top w:val="single" w:sz="6" w:space="0" w:color="auto"/>
              <w:left w:val="single" w:sz="6" w:space="0" w:color="auto"/>
              <w:bottom w:val="single" w:sz="6" w:space="0" w:color="auto"/>
              <w:right w:val="single" w:sz="6" w:space="0" w:color="auto"/>
            </w:tcBorders>
            <w:hideMark/>
          </w:tcPr>
          <w:p w14:paraId="762FA5FD" w14:textId="751FBFDE" w:rsidR="009E3A91" w:rsidRDefault="009265CE" w:rsidP="009E3A91">
            <w:pPr>
              <w:keepNext/>
              <w:spacing w:after="0"/>
              <w:rPr>
                <w:rFonts w:cs="Arial"/>
                <w:szCs w:val="20"/>
              </w:rPr>
            </w:pPr>
            <w:r>
              <w:rPr>
                <w:rFonts w:cs="Arial"/>
                <w:szCs w:val="20"/>
              </w:rPr>
              <w:t>Not applicable</w:t>
            </w:r>
            <w:r w:rsidR="00E23A41">
              <w:rPr>
                <w:rFonts w:cs="Arial"/>
                <w:szCs w:val="20"/>
              </w:rPr>
              <w:t>—</w:t>
            </w:r>
            <w:r>
              <w:rPr>
                <w:rFonts w:cs="Arial"/>
                <w:szCs w:val="20"/>
              </w:rPr>
              <w:t>r</w:t>
            </w:r>
            <w:r w:rsidR="009E3A91">
              <w:rPr>
                <w:rFonts w:cs="Arial"/>
                <w:szCs w:val="20"/>
              </w:rPr>
              <w:t>eimbursement of cost of developing or varying consumer protection-related industry codes</w:t>
            </w:r>
          </w:p>
        </w:tc>
      </w:tr>
      <w:tr w:rsidR="009E3A91" w14:paraId="5A701D5C" w14:textId="77777777" w:rsidTr="009E3A91">
        <w:trPr>
          <w:trHeight w:val="399"/>
          <w:tblHeader/>
        </w:trPr>
        <w:tc>
          <w:tcPr>
            <w:tcW w:w="1569" w:type="pct"/>
            <w:tcBorders>
              <w:top w:val="single" w:sz="6" w:space="0" w:color="auto"/>
              <w:left w:val="single" w:sz="6" w:space="0" w:color="auto"/>
              <w:bottom w:val="single" w:sz="6" w:space="0" w:color="auto"/>
              <w:right w:val="single" w:sz="6" w:space="0" w:color="auto"/>
            </w:tcBorders>
            <w:hideMark/>
          </w:tcPr>
          <w:p w14:paraId="1CDF2C38" w14:textId="77777777" w:rsidR="009E3A91" w:rsidRDefault="009E3A91" w:rsidP="009E3A91">
            <w:pPr>
              <w:keepNext/>
              <w:spacing w:after="0"/>
              <w:rPr>
                <w:rFonts w:cs="Arial"/>
                <w:szCs w:val="20"/>
              </w:rPr>
            </w:pPr>
            <w:r>
              <w:rPr>
                <w:rFonts w:cs="Arial"/>
                <w:szCs w:val="20"/>
              </w:rPr>
              <w:t>15(1)(d)</w:t>
            </w:r>
          </w:p>
        </w:tc>
        <w:tc>
          <w:tcPr>
            <w:tcW w:w="3431" w:type="pct"/>
            <w:tcBorders>
              <w:top w:val="single" w:sz="6" w:space="0" w:color="auto"/>
              <w:left w:val="single" w:sz="6" w:space="0" w:color="auto"/>
              <w:bottom w:val="single" w:sz="6" w:space="0" w:color="auto"/>
              <w:right w:val="single" w:sz="6" w:space="0" w:color="auto"/>
            </w:tcBorders>
            <w:hideMark/>
          </w:tcPr>
          <w:p w14:paraId="38B031B7" w14:textId="4D01E143" w:rsidR="009E3A91" w:rsidRDefault="009265CE" w:rsidP="009E3A91">
            <w:pPr>
              <w:keepNext/>
              <w:spacing w:after="0"/>
              <w:rPr>
                <w:rFonts w:cs="Arial"/>
                <w:szCs w:val="20"/>
              </w:rPr>
            </w:pPr>
            <w:r>
              <w:rPr>
                <w:rFonts w:cs="Arial"/>
                <w:szCs w:val="20"/>
              </w:rPr>
              <w:t>Not applicable</w:t>
            </w:r>
            <w:r w:rsidR="00E23A41">
              <w:rPr>
                <w:rFonts w:cs="Arial"/>
                <w:szCs w:val="20"/>
              </w:rPr>
              <w:t>—</w:t>
            </w:r>
            <w:r>
              <w:rPr>
                <w:rFonts w:cs="Arial"/>
                <w:szCs w:val="20"/>
              </w:rPr>
              <w:t>g</w:t>
            </w:r>
            <w:r w:rsidR="009E3A91">
              <w:rPr>
                <w:rFonts w:cs="Arial"/>
                <w:szCs w:val="20"/>
              </w:rPr>
              <w:t>overnment grants—consumer representation and research</w:t>
            </w:r>
          </w:p>
        </w:tc>
      </w:tr>
    </w:tbl>
    <w:p w14:paraId="1A233122" w14:textId="77777777" w:rsidR="009E3A91" w:rsidRDefault="009E3A91" w:rsidP="009E3A91">
      <w:pPr>
        <w:pStyle w:val="ACMASpaceaftertable"/>
      </w:pPr>
    </w:p>
    <w:p w14:paraId="5320AF9B" w14:textId="77777777" w:rsidR="009E3A91" w:rsidRPr="00CC3F4B" w:rsidRDefault="009E3A91" w:rsidP="009E3A91">
      <w:pPr>
        <w:pStyle w:val="Heading1"/>
      </w:pPr>
      <w:bookmarkStart w:id="209" w:name="_Toc511294489"/>
      <w:bookmarkStart w:id="210" w:name="_Toc511634424"/>
      <w:bookmarkStart w:id="211" w:name="_Toc26786364"/>
      <w:r w:rsidRPr="00CC3F4B">
        <w:lastRenderedPageBreak/>
        <w:t>3.</w:t>
      </w:r>
      <w:r w:rsidRPr="00CC3F4B">
        <w:tab/>
        <w:t>C</w:t>
      </w:r>
      <w:r>
        <w:t>ost recovery</w:t>
      </w:r>
      <w:r w:rsidRPr="00CC3F4B">
        <w:t xml:space="preserve"> </w:t>
      </w:r>
      <w:r>
        <w:t>model</w:t>
      </w:r>
      <w:bookmarkEnd w:id="209"/>
      <w:bookmarkEnd w:id="210"/>
      <w:bookmarkEnd w:id="211"/>
    </w:p>
    <w:p w14:paraId="27FDA760" w14:textId="44BCBF3A" w:rsidR="009E3A91" w:rsidRPr="003F7E3A" w:rsidRDefault="009E3A91" w:rsidP="009E3A91">
      <w:r w:rsidRPr="00A84CBD">
        <w:t xml:space="preserve">There are five distinct </w:t>
      </w:r>
      <w:r>
        <w:t>activities</w:t>
      </w:r>
      <w:r w:rsidRPr="00A84CBD">
        <w:t xml:space="preserve"> </w:t>
      </w:r>
      <w:r>
        <w:t xml:space="preserve">(cost components) </w:t>
      </w:r>
      <w:r w:rsidRPr="00A84CBD">
        <w:t>that are included in the total amount of the ACLC and levied on carrier licences on an annual basis</w:t>
      </w:r>
      <w:r w:rsidRPr="001F50FB">
        <w:t>.</w:t>
      </w:r>
      <w:r>
        <w:t xml:space="preserve"> </w:t>
      </w:r>
      <w:r w:rsidRPr="001F50FB">
        <w:t xml:space="preserve">The ACCC’s cost component under paragraph 15(1)(b) of the Act (see below) will include an additional cost for </w:t>
      </w:r>
      <w:r w:rsidR="00FF46E9">
        <w:t xml:space="preserve">its telecommunications functions relating to the administration of the </w:t>
      </w:r>
      <w:r>
        <w:t>MBA</w:t>
      </w:r>
      <w:r w:rsidRPr="001F50FB">
        <w:t xml:space="preserve"> program for the period 2018</w:t>
      </w:r>
      <w:r>
        <w:t>–</w:t>
      </w:r>
      <w:r w:rsidRPr="001F50FB">
        <w:t>19 to 2021</w:t>
      </w:r>
      <w:r>
        <w:t>–</w:t>
      </w:r>
      <w:r w:rsidRPr="001F50FB">
        <w:t>22</w:t>
      </w:r>
      <w:r>
        <w:t>.</w:t>
      </w:r>
    </w:p>
    <w:p w14:paraId="490ACE17" w14:textId="77777777" w:rsidR="009E3A91" w:rsidRPr="0039521A" w:rsidRDefault="009E3A91" w:rsidP="009E3A91">
      <w:pPr>
        <w:pStyle w:val="Heading2"/>
        <w:spacing w:after="240"/>
      </w:pPr>
      <w:bookmarkStart w:id="212" w:name="_Toc511294490"/>
      <w:bookmarkStart w:id="213" w:name="_Toc511634425"/>
      <w:bookmarkStart w:id="214" w:name="_Toc26786365"/>
      <w:r w:rsidRPr="003F7E3A">
        <w:t>3.</w:t>
      </w:r>
      <w:r>
        <w:t>1</w:t>
      </w:r>
      <w:r w:rsidRPr="003F7E3A">
        <w:tab/>
        <w:t xml:space="preserve">Determination of cost component under paragraph 15(1)(b) of the Act—the ACCC’s </w:t>
      </w:r>
      <w:r>
        <w:t xml:space="preserve">MBA-related </w:t>
      </w:r>
      <w:r w:rsidRPr="003F7E3A">
        <w:t>activit</w:t>
      </w:r>
      <w:r>
        <w:t>ies</w:t>
      </w:r>
      <w:bookmarkEnd w:id="212"/>
      <w:bookmarkEnd w:id="213"/>
      <w:bookmarkEnd w:id="214"/>
      <w:r>
        <w:t xml:space="preserve"> </w:t>
      </w:r>
    </w:p>
    <w:p w14:paraId="3E911562" w14:textId="77777777" w:rsidR="009E3A91" w:rsidRPr="003F7E3A" w:rsidRDefault="009E3A91" w:rsidP="009E3A91">
      <w:pPr>
        <w:pStyle w:val="Heading3"/>
      </w:pPr>
      <w:bookmarkStart w:id="215" w:name="_Toc511294491"/>
      <w:bookmarkStart w:id="216" w:name="_Toc511634426"/>
      <w:bookmarkStart w:id="217" w:name="_Toc26786366"/>
      <w:r w:rsidRPr="003F7E3A">
        <w:t>3.</w:t>
      </w:r>
      <w:r>
        <w:t>1</w:t>
      </w:r>
      <w:r w:rsidRPr="003F7E3A">
        <w:t>.1</w:t>
      </w:r>
      <w:r w:rsidRPr="003F7E3A">
        <w:tab/>
        <w:t>Outputs and business processes of the activity</w:t>
      </w:r>
      <w:bookmarkEnd w:id="215"/>
      <w:bookmarkEnd w:id="216"/>
      <w:bookmarkEnd w:id="217"/>
    </w:p>
    <w:p w14:paraId="5EEE1FF3" w14:textId="6068050A" w:rsidR="009E3A91" w:rsidRDefault="009E3A91" w:rsidP="009E3A91">
      <w:r>
        <w:t>This component represents the ACCC’s costs incurred during 2017–18 in delivering the MBA program</w:t>
      </w:r>
      <w:r w:rsidR="00F428DC">
        <w:t xml:space="preserve"> that are attributable to its telecommunications functions and powers</w:t>
      </w:r>
      <w:r>
        <w:t>. While the ACCC has a range of telecommunications functions and powers, any outputs of business processes that do not map directly to the MBA program delivery are not included in determining this cost component.</w:t>
      </w:r>
    </w:p>
    <w:p w14:paraId="704C94D3" w14:textId="1F4753D2" w:rsidR="009E3A91" w:rsidRPr="006F3DEF" w:rsidRDefault="009E3A91" w:rsidP="009E3A91">
      <w:pPr>
        <w:spacing w:after="80"/>
        <w:rPr>
          <w:rFonts w:cs="Arial"/>
          <w:szCs w:val="20"/>
          <w:lang w:eastAsia="en-US"/>
        </w:rPr>
      </w:pPr>
      <w:r w:rsidRPr="006F3DEF">
        <w:rPr>
          <w:rFonts w:cs="Arial"/>
          <w:szCs w:val="20"/>
          <w:lang w:eastAsia="en-US"/>
        </w:rPr>
        <w:t xml:space="preserve">The </w:t>
      </w:r>
      <w:r>
        <w:rPr>
          <w:rFonts w:cs="Arial"/>
          <w:szCs w:val="20"/>
          <w:lang w:eastAsia="en-US"/>
        </w:rPr>
        <w:t xml:space="preserve">delivery of the MBA program </w:t>
      </w:r>
      <w:r w:rsidR="00951B27">
        <w:rPr>
          <w:rFonts w:cs="Arial"/>
          <w:szCs w:val="20"/>
          <w:lang w:eastAsia="en-US"/>
        </w:rPr>
        <w:t>is</w:t>
      </w:r>
      <w:r w:rsidRPr="006F3DEF">
        <w:rPr>
          <w:rFonts w:cs="Arial"/>
          <w:szCs w:val="20"/>
          <w:lang w:eastAsia="en-US"/>
        </w:rPr>
        <w:t xml:space="preserve"> underpinned by </w:t>
      </w:r>
      <w:proofErr w:type="gramStart"/>
      <w:r w:rsidRPr="006F3DEF">
        <w:rPr>
          <w:rFonts w:cs="Arial"/>
          <w:szCs w:val="20"/>
          <w:lang w:eastAsia="en-US"/>
        </w:rPr>
        <w:t>a number of</w:t>
      </w:r>
      <w:proofErr w:type="gramEnd"/>
      <w:r w:rsidRPr="006F3DEF">
        <w:rPr>
          <w:rFonts w:cs="Arial"/>
          <w:szCs w:val="20"/>
          <w:lang w:eastAsia="en-US"/>
        </w:rPr>
        <w:t xml:space="preserve"> key business processes</w:t>
      </w:r>
      <w:r>
        <w:rPr>
          <w:rFonts w:cs="Arial"/>
          <w:szCs w:val="20"/>
          <w:lang w:eastAsia="en-US"/>
        </w:rPr>
        <w:t>, the cost of which is</w:t>
      </w:r>
      <w:r w:rsidR="007E675C">
        <w:rPr>
          <w:rFonts w:cs="Arial"/>
          <w:szCs w:val="20"/>
          <w:lang w:eastAsia="en-US"/>
        </w:rPr>
        <w:t xml:space="preserve"> to be </w:t>
      </w:r>
      <w:r>
        <w:rPr>
          <w:rFonts w:cs="Arial"/>
          <w:szCs w:val="20"/>
          <w:lang w:eastAsia="en-US"/>
        </w:rPr>
        <w:t>charged to industry</w:t>
      </w:r>
      <w:r w:rsidRPr="006F3DEF">
        <w:rPr>
          <w:rFonts w:cs="Arial"/>
          <w:szCs w:val="20"/>
          <w:lang w:eastAsia="en-US"/>
        </w:rPr>
        <w:t>. These processes include:</w:t>
      </w:r>
    </w:p>
    <w:p w14:paraId="44F663E7" w14:textId="455D057A" w:rsidR="009E3A91" w:rsidRPr="006F3DEF" w:rsidRDefault="009E3A91" w:rsidP="009E3A91">
      <w:pPr>
        <w:pStyle w:val="ListBullet"/>
        <w:rPr>
          <w:rFonts w:eastAsia="SimSun"/>
          <w:lang w:eastAsia="en-US"/>
        </w:rPr>
      </w:pPr>
      <w:r w:rsidRPr="006F3DEF">
        <w:rPr>
          <w:rFonts w:eastAsia="SimSun"/>
          <w:lang w:eastAsia="en-US"/>
        </w:rPr>
        <w:t xml:space="preserve">recruitment of potential participants and selection of participants </w:t>
      </w:r>
      <w:r>
        <w:rPr>
          <w:rFonts w:eastAsia="SimSun"/>
          <w:lang w:eastAsia="en-US"/>
        </w:rPr>
        <w:t xml:space="preserve">receiving broadband services matching those the ACCC has chosen to include in </w:t>
      </w:r>
      <w:r w:rsidR="009265CE">
        <w:rPr>
          <w:rFonts w:eastAsia="SimSun"/>
          <w:lang w:eastAsia="en-US"/>
        </w:rPr>
        <w:t>its</w:t>
      </w:r>
      <w:r>
        <w:rPr>
          <w:rFonts w:eastAsia="SimSun"/>
          <w:lang w:eastAsia="en-US"/>
        </w:rPr>
        <w:t xml:space="preserve"> reporting</w:t>
      </w:r>
      <w:r w:rsidRPr="006F3DEF">
        <w:rPr>
          <w:rFonts w:eastAsia="SimSun"/>
          <w:lang w:eastAsia="en-US"/>
        </w:rPr>
        <w:t xml:space="preserve"> (</w:t>
      </w:r>
      <w:r>
        <w:rPr>
          <w:rFonts w:eastAsia="SimSun"/>
          <w:lang w:eastAsia="en-US"/>
        </w:rPr>
        <w:t>for example, certain combinations of broadband technology, retail service providers and speed tier</w:t>
      </w:r>
      <w:r>
        <w:rPr>
          <w:rStyle w:val="FootnoteReference"/>
          <w:rFonts w:eastAsia="SimSun"/>
          <w:lang w:eastAsia="en-US"/>
        </w:rPr>
        <w:footnoteReference w:id="22"/>
      </w:r>
      <w:r>
        <w:rPr>
          <w:rFonts w:eastAsia="SimSun"/>
          <w:lang w:eastAsia="en-US"/>
        </w:rPr>
        <w:t>)</w:t>
      </w:r>
    </w:p>
    <w:p w14:paraId="3B637B7F" w14:textId="6545BA68" w:rsidR="009E3A91" w:rsidRPr="006F3DEF" w:rsidRDefault="009E3A91" w:rsidP="009E3A91">
      <w:pPr>
        <w:pStyle w:val="ListBullet"/>
        <w:rPr>
          <w:rFonts w:eastAsia="SimSun"/>
          <w:lang w:eastAsia="en-US"/>
        </w:rPr>
      </w:pPr>
      <w:r w:rsidRPr="006F3DEF">
        <w:rPr>
          <w:rFonts w:eastAsia="SimSun"/>
          <w:lang w:eastAsia="en-US"/>
        </w:rPr>
        <w:t>distribution and m</w:t>
      </w:r>
      <w:r>
        <w:rPr>
          <w:rFonts w:eastAsia="SimSun"/>
          <w:lang w:eastAsia="en-US"/>
        </w:rPr>
        <w:t>anagement of monitoring devices</w:t>
      </w:r>
    </w:p>
    <w:p w14:paraId="72858429" w14:textId="3F0D1720" w:rsidR="009E3A91" w:rsidRPr="006F3DEF" w:rsidRDefault="009E3A91" w:rsidP="009E3A91">
      <w:pPr>
        <w:pStyle w:val="ListBullet"/>
        <w:rPr>
          <w:rFonts w:eastAsia="SimSun"/>
          <w:lang w:eastAsia="en-US"/>
        </w:rPr>
      </w:pPr>
      <w:r w:rsidRPr="006F3DEF">
        <w:rPr>
          <w:rFonts w:eastAsia="SimSun"/>
          <w:lang w:eastAsia="en-US"/>
        </w:rPr>
        <w:t>collection of NBN fixed-line speed and reliability data from approximately 4,000 volunteers across different service providers</w:t>
      </w:r>
      <w:r>
        <w:rPr>
          <w:rFonts w:eastAsia="SimSun"/>
          <w:lang w:eastAsia="en-US"/>
        </w:rPr>
        <w:t xml:space="preserve"> and different retail offerings</w:t>
      </w:r>
    </w:p>
    <w:p w14:paraId="072C0E9C" w14:textId="374D65E7" w:rsidR="009E3A91" w:rsidRPr="006F3DEF" w:rsidRDefault="009E3A91" w:rsidP="009E3A91">
      <w:pPr>
        <w:pStyle w:val="ListBullet"/>
        <w:rPr>
          <w:rFonts w:eastAsia="SimSun"/>
          <w:lang w:eastAsia="en-US"/>
        </w:rPr>
      </w:pPr>
      <w:r w:rsidRPr="006F3DEF">
        <w:rPr>
          <w:rFonts w:eastAsia="SimSun"/>
          <w:lang w:eastAsia="en-US"/>
        </w:rPr>
        <w:t>analysis of test results to determine speed and reliability, and identify causes of performan</w:t>
      </w:r>
      <w:r>
        <w:rPr>
          <w:rFonts w:eastAsia="SimSun"/>
          <w:lang w:eastAsia="en-US"/>
        </w:rPr>
        <w:t>ce issues</w:t>
      </w:r>
    </w:p>
    <w:p w14:paraId="403937EF" w14:textId="77777777" w:rsidR="009E3A91" w:rsidRPr="006F3DEF" w:rsidRDefault="009E3A91" w:rsidP="009E3A91">
      <w:pPr>
        <w:pStyle w:val="ListBulletLast"/>
        <w:rPr>
          <w:rFonts w:eastAsia="SimSun"/>
          <w:lang w:eastAsia="en-US"/>
        </w:rPr>
      </w:pPr>
      <w:r w:rsidRPr="006F3DEF">
        <w:rPr>
          <w:rFonts w:eastAsia="SimSun"/>
          <w:lang w:eastAsia="en-US"/>
        </w:rPr>
        <w:t>regular publication of detailed real-world performance (speed/reliability) data.</w:t>
      </w:r>
    </w:p>
    <w:p w14:paraId="6E23ADAE" w14:textId="0E676B58" w:rsidR="009E3A91" w:rsidRDefault="009E3A91" w:rsidP="009E3A91">
      <w:r>
        <w:t xml:space="preserve">The cost of these charges to industry will be calculated annually by the ACCC and </w:t>
      </w:r>
      <w:r w:rsidR="00A344A9">
        <w:t xml:space="preserve">is included in its paragraph 15(1)(b) determination </w:t>
      </w:r>
      <w:r w:rsidR="00E94C15">
        <w:t xml:space="preserve">so that it can be recovered through </w:t>
      </w:r>
      <w:r>
        <w:t>the existing ACLC charging framework.</w:t>
      </w:r>
    </w:p>
    <w:p w14:paraId="69CACE97" w14:textId="7EA66E56" w:rsidR="009E3A91" w:rsidRDefault="009E3A91" w:rsidP="009E3A91">
      <w:r w:rsidRPr="000F5354">
        <w:t xml:space="preserve">The </w:t>
      </w:r>
      <w:r>
        <w:t>MBA</w:t>
      </w:r>
      <w:r w:rsidRPr="000F5354">
        <w:t xml:space="preserve"> program will undergo an evaluation after three years of operation. Any proposal for an extension </w:t>
      </w:r>
      <w:r>
        <w:t xml:space="preserve">of its </w:t>
      </w:r>
      <w:r w:rsidRPr="000F5354">
        <w:t>four</w:t>
      </w:r>
      <w:r>
        <w:t>-</w:t>
      </w:r>
      <w:r w:rsidRPr="000F5354">
        <w:t>year</w:t>
      </w:r>
      <w:r>
        <w:t xml:space="preserve"> term</w:t>
      </w:r>
      <w:r w:rsidRPr="000F5354">
        <w:t xml:space="preserve"> will require a new policy proposal in the </w:t>
      </w:r>
      <w:r w:rsidR="008519E7">
        <w:t>b</w:t>
      </w:r>
      <w:r w:rsidRPr="000F5354">
        <w:t>udget context and will need to comply with the applicable Budget Process Operational Rules and Charging Framework.</w:t>
      </w:r>
    </w:p>
    <w:p w14:paraId="246463BA" w14:textId="77777777" w:rsidR="009E3A91" w:rsidRPr="003F7E3A" w:rsidRDefault="009E3A91" w:rsidP="009E3A91">
      <w:pPr>
        <w:pStyle w:val="Heading3"/>
      </w:pPr>
      <w:bookmarkStart w:id="218" w:name="_Toc511294492"/>
      <w:bookmarkStart w:id="219" w:name="_Toc511634427"/>
      <w:bookmarkStart w:id="220" w:name="_Toc26786367"/>
      <w:r w:rsidRPr="003F7E3A">
        <w:t>3.</w:t>
      </w:r>
      <w:r>
        <w:t>1</w:t>
      </w:r>
      <w:r w:rsidRPr="003F7E3A">
        <w:t>.2</w:t>
      </w:r>
      <w:r w:rsidRPr="003F7E3A">
        <w:tab/>
        <w:t>Costs of the activity</w:t>
      </w:r>
      <w:bookmarkEnd w:id="218"/>
      <w:bookmarkEnd w:id="219"/>
      <w:bookmarkEnd w:id="220"/>
    </w:p>
    <w:p w14:paraId="3A52AD7D" w14:textId="213EBC83" w:rsidR="009E3A91" w:rsidRDefault="009E3A91" w:rsidP="009E3A91">
      <w:pPr>
        <w:spacing w:after="80"/>
      </w:pPr>
      <w:r>
        <w:t>The primary cost drivers</w:t>
      </w:r>
      <w:r w:rsidR="00E94C15">
        <w:t xml:space="preserve"> for the MBA</w:t>
      </w:r>
      <w:r>
        <w:t xml:space="preserve"> are:</w:t>
      </w:r>
    </w:p>
    <w:p w14:paraId="10D662DD" w14:textId="2F4B0D69" w:rsidR="009E3A91" w:rsidRPr="00584E54" w:rsidRDefault="009E3A91" w:rsidP="009E3A91">
      <w:pPr>
        <w:pStyle w:val="ListBullet"/>
        <w:rPr>
          <w:rFonts w:eastAsia="SimSun"/>
          <w:lang w:eastAsia="en-US"/>
        </w:rPr>
      </w:pPr>
      <w:r w:rsidRPr="00584E54">
        <w:rPr>
          <w:rFonts w:eastAsia="SimSun"/>
          <w:lang w:eastAsia="en-US"/>
        </w:rPr>
        <w:t xml:space="preserve">purchase and distribution of monitoring devices (one per </w:t>
      </w:r>
      <w:r>
        <w:rPr>
          <w:rFonts w:eastAsia="SimSun"/>
          <w:lang w:eastAsia="en-US"/>
        </w:rPr>
        <w:t>monitored service</w:t>
      </w:r>
      <w:r w:rsidRPr="00584E54">
        <w:rPr>
          <w:rFonts w:eastAsia="SimSun"/>
          <w:lang w:eastAsia="en-US"/>
        </w:rPr>
        <w:t>)</w:t>
      </w:r>
    </w:p>
    <w:p w14:paraId="0B9B7295" w14:textId="6D4E3B5A" w:rsidR="009E3A91" w:rsidRPr="00584E54" w:rsidRDefault="009E3A91" w:rsidP="009E3A91">
      <w:pPr>
        <w:pStyle w:val="ListBullet"/>
        <w:rPr>
          <w:rFonts w:eastAsia="SimSun"/>
          <w:lang w:eastAsia="en-US"/>
        </w:rPr>
      </w:pPr>
      <w:r w:rsidRPr="00584E54">
        <w:rPr>
          <w:rFonts w:eastAsia="SimSun"/>
          <w:lang w:eastAsia="en-US"/>
        </w:rPr>
        <w:t>maintenance of test servers</w:t>
      </w:r>
    </w:p>
    <w:p w14:paraId="65877DBE" w14:textId="6D47CD1A" w:rsidR="009E3A91" w:rsidRPr="00584E54" w:rsidRDefault="009E3A91" w:rsidP="009E3A91">
      <w:pPr>
        <w:pStyle w:val="ListBullet"/>
        <w:rPr>
          <w:rFonts w:eastAsia="SimSun"/>
          <w:lang w:eastAsia="en-US"/>
        </w:rPr>
      </w:pPr>
      <w:r w:rsidRPr="00584E54">
        <w:rPr>
          <w:rFonts w:eastAsia="SimSun"/>
          <w:lang w:eastAsia="en-US"/>
        </w:rPr>
        <w:t>ongoing maintenance and/or replacement of testing devices as needed</w:t>
      </w:r>
    </w:p>
    <w:p w14:paraId="19EFC408" w14:textId="76943D60" w:rsidR="009E3A91" w:rsidRPr="00584E54" w:rsidRDefault="009E3A91" w:rsidP="009E3A91">
      <w:pPr>
        <w:pStyle w:val="ListBullet"/>
        <w:rPr>
          <w:rFonts w:eastAsia="SimSun"/>
          <w:lang w:eastAsia="en-US"/>
        </w:rPr>
      </w:pPr>
      <w:r w:rsidRPr="00584E54">
        <w:rPr>
          <w:rFonts w:eastAsia="SimSun"/>
          <w:lang w:eastAsia="en-US"/>
        </w:rPr>
        <w:t>recruitment and maintenance of volunteer base</w:t>
      </w:r>
    </w:p>
    <w:p w14:paraId="1E4030DD" w14:textId="30039179" w:rsidR="009E3A91" w:rsidRPr="00584E54" w:rsidRDefault="009E3A91" w:rsidP="009E3A91">
      <w:pPr>
        <w:pStyle w:val="ListBullet"/>
        <w:rPr>
          <w:rFonts w:eastAsia="SimSun"/>
          <w:lang w:eastAsia="en-US"/>
        </w:rPr>
      </w:pPr>
      <w:r w:rsidRPr="00584E54">
        <w:rPr>
          <w:rFonts w:eastAsia="SimSun"/>
          <w:lang w:eastAsia="en-US"/>
        </w:rPr>
        <w:lastRenderedPageBreak/>
        <w:t>establishment and operation of testing servers and system, including software, hosting and bandwidth charges</w:t>
      </w:r>
    </w:p>
    <w:p w14:paraId="1F9F4C7A" w14:textId="77777777" w:rsidR="009E3A91" w:rsidRPr="00584E54" w:rsidRDefault="009E3A91" w:rsidP="009E3A91">
      <w:pPr>
        <w:pStyle w:val="ListBulletLast"/>
        <w:rPr>
          <w:rFonts w:eastAsia="SimSun"/>
          <w:lang w:eastAsia="en-US"/>
        </w:rPr>
      </w:pPr>
      <w:r w:rsidRPr="00584E54">
        <w:rPr>
          <w:rFonts w:eastAsia="SimSun"/>
          <w:lang w:eastAsia="en-US"/>
        </w:rPr>
        <w:t xml:space="preserve">production of quarterly </w:t>
      </w:r>
      <w:r>
        <w:rPr>
          <w:rFonts w:eastAsia="SimSun"/>
          <w:lang w:eastAsia="en-US"/>
        </w:rPr>
        <w:t xml:space="preserve">and other </w:t>
      </w:r>
      <w:r w:rsidRPr="00584E54">
        <w:rPr>
          <w:rFonts w:eastAsia="SimSun"/>
          <w:lang w:eastAsia="en-US"/>
        </w:rPr>
        <w:t>reports</w:t>
      </w:r>
      <w:r>
        <w:rPr>
          <w:rFonts w:eastAsia="SimSun"/>
          <w:lang w:eastAsia="en-US"/>
        </w:rPr>
        <w:t xml:space="preserve"> based on the MBA program data</w:t>
      </w:r>
      <w:r w:rsidRPr="00584E54">
        <w:rPr>
          <w:rFonts w:eastAsia="SimSun"/>
          <w:lang w:eastAsia="en-US"/>
        </w:rPr>
        <w:t>.</w:t>
      </w:r>
    </w:p>
    <w:p w14:paraId="3D45B505" w14:textId="445BFC67" w:rsidR="009E3A91" w:rsidRDefault="009E3A91" w:rsidP="009E3A91">
      <w:r w:rsidRPr="00083A83">
        <w:t xml:space="preserve">Table </w:t>
      </w:r>
      <w:r>
        <w:t>2</w:t>
      </w:r>
      <w:r w:rsidRPr="00083A83">
        <w:t xml:space="preserve"> provides details </w:t>
      </w:r>
      <w:r w:rsidR="00951B27" w:rsidRPr="00951B27">
        <w:t>of the ACCC’s anticipated program expenses by financial year. The estimated total cost of the program over four years is $6.974 million</w:t>
      </w:r>
      <w:r>
        <w:t>.</w:t>
      </w:r>
    </w:p>
    <w:p w14:paraId="342C7715" w14:textId="77777777" w:rsidR="009E3A91" w:rsidRDefault="009E3A91" w:rsidP="009E3A91">
      <w:pPr>
        <w:pStyle w:val="ACMATableHeader"/>
      </w:pPr>
      <w:r w:rsidRPr="006A56FD">
        <w:t xml:space="preserve">The ACCC’s </w:t>
      </w:r>
      <w:r w:rsidRPr="00584E54">
        <w:t xml:space="preserve">anticipated </w:t>
      </w:r>
      <w:r>
        <w:t>program expenses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3611"/>
        <w:gridCol w:w="1014"/>
        <w:gridCol w:w="1012"/>
        <w:gridCol w:w="1012"/>
        <w:gridCol w:w="1006"/>
      </w:tblGrid>
      <w:tr w:rsidR="00413A64" w:rsidRPr="00B4771B" w14:paraId="353E738B" w14:textId="77777777" w:rsidTr="009E3A91">
        <w:trPr>
          <w:trHeight w:val="361"/>
          <w:tblHeader/>
        </w:trPr>
        <w:tc>
          <w:tcPr>
            <w:tcW w:w="2359" w:type="pct"/>
            <w:shd w:val="clear" w:color="auto" w:fill="404040" w:themeFill="text1" w:themeFillTint="BF"/>
            <w:vAlign w:val="center"/>
          </w:tcPr>
          <w:p w14:paraId="28E13081" w14:textId="5CCAB27D" w:rsidR="009E3A91" w:rsidRPr="00786F09" w:rsidRDefault="00786F09" w:rsidP="00786F09">
            <w:pPr>
              <w:pStyle w:val="TableHeading"/>
              <w:rPr>
                <w:bCs/>
                <w:color w:val="FFFFFF" w:themeColor="background1"/>
              </w:rPr>
            </w:pPr>
            <w:r w:rsidRPr="00786F09">
              <w:rPr>
                <w:bCs/>
                <w:color w:val="FFFFFF" w:themeColor="background1"/>
              </w:rPr>
              <w:t>Expense</w:t>
            </w:r>
          </w:p>
        </w:tc>
        <w:tc>
          <w:tcPr>
            <w:tcW w:w="662" w:type="pct"/>
            <w:shd w:val="clear" w:color="auto" w:fill="404040" w:themeFill="text1" w:themeFillTint="BF"/>
            <w:vAlign w:val="center"/>
          </w:tcPr>
          <w:p w14:paraId="632B4DB7" w14:textId="77777777" w:rsidR="00413A64" w:rsidRDefault="00413A64" w:rsidP="00C13A58">
            <w:pPr>
              <w:pStyle w:val="TableHeading"/>
              <w:rPr>
                <w:color w:val="FFFFFF" w:themeColor="background1"/>
              </w:rPr>
            </w:pPr>
            <w:r>
              <w:rPr>
                <w:color w:val="FFFFFF" w:themeColor="background1"/>
              </w:rPr>
              <w:t>Budget</w:t>
            </w:r>
          </w:p>
          <w:p w14:paraId="16B9FD4C" w14:textId="3895BAC8" w:rsidR="009E3A91" w:rsidRDefault="009E3A91" w:rsidP="00C13A58">
            <w:pPr>
              <w:pStyle w:val="TableHeading"/>
              <w:rPr>
                <w:color w:val="FFFFFF" w:themeColor="background1"/>
              </w:rPr>
            </w:pPr>
            <w:r w:rsidRPr="00CE6BED">
              <w:rPr>
                <w:color w:val="FFFFFF" w:themeColor="background1"/>
              </w:rPr>
              <w:t>201</w:t>
            </w:r>
            <w:r>
              <w:rPr>
                <w:color w:val="FFFFFF" w:themeColor="background1"/>
              </w:rPr>
              <w:t>7</w:t>
            </w:r>
            <w:r w:rsidRPr="00CE6BED">
              <w:rPr>
                <w:color w:val="FFFFFF" w:themeColor="background1"/>
              </w:rPr>
              <w:t>–1</w:t>
            </w:r>
            <w:r>
              <w:rPr>
                <w:color w:val="FFFFFF" w:themeColor="background1"/>
              </w:rPr>
              <w:t>8</w:t>
            </w:r>
          </w:p>
          <w:p w14:paraId="620E9077" w14:textId="0A5E02FA" w:rsidR="00413A64" w:rsidRPr="00413A64" w:rsidRDefault="00413A64" w:rsidP="00C13A58">
            <w:pPr>
              <w:pStyle w:val="TableHeading"/>
              <w:rPr>
                <w:color w:val="FFFFFF" w:themeColor="background1"/>
              </w:rPr>
            </w:pPr>
            <w:r>
              <w:rPr>
                <w:color w:val="FFFFFF" w:themeColor="background1"/>
              </w:rPr>
              <w:t>million</w:t>
            </w:r>
          </w:p>
        </w:tc>
        <w:tc>
          <w:tcPr>
            <w:tcW w:w="661" w:type="pct"/>
            <w:shd w:val="clear" w:color="auto" w:fill="404040" w:themeFill="text1" w:themeFillTint="BF"/>
            <w:vAlign w:val="center"/>
          </w:tcPr>
          <w:p w14:paraId="4BF63DC1" w14:textId="77777777" w:rsidR="00413A64" w:rsidRDefault="00413A64" w:rsidP="00C13A58">
            <w:pPr>
              <w:pStyle w:val="TableHeading"/>
              <w:rPr>
                <w:color w:val="FFFFFF" w:themeColor="background1"/>
              </w:rPr>
            </w:pPr>
            <w:r>
              <w:rPr>
                <w:color w:val="FFFFFF" w:themeColor="background1"/>
              </w:rPr>
              <w:t>Budget</w:t>
            </w:r>
          </w:p>
          <w:p w14:paraId="21425E10" w14:textId="77777777" w:rsidR="009E3A91" w:rsidRDefault="009E3A91" w:rsidP="00C13A58">
            <w:pPr>
              <w:pStyle w:val="TableHeading"/>
              <w:rPr>
                <w:color w:val="FFFFFF" w:themeColor="background1"/>
              </w:rPr>
            </w:pPr>
            <w:r w:rsidRPr="00CE6BED">
              <w:rPr>
                <w:color w:val="FFFFFF" w:themeColor="background1"/>
              </w:rPr>
              <w:t>201</w:t>
            </w:r>
            <w:r>
              <w:rPr>
                <w:color w:val="FFFFFF" w:themeColor="background1"/>
              </w:rPr>
              <w:t>8</w:t>
            </w:r>
            <w:r w:rsidRPr="00CE6BED">
              <w:rPr>
                <w:color w:val="FFFFFF" w:themeColor="background1"/>
              </w:rPr>
              <w:t>–1</w:t>
            </w:r>
            <w:r>
              <w:rPr>
                <w:color w:val="FFFFFF" w:themeColor="background1"/>
              </w:rPr>
              <w:t>9</w:t>
            </w:r>
          </w:p>
          <w:p w14:paraId="63C909A2" w14:textId="22E0C53F" w:rsidR="00413A64" w:rsidRPr="00AE2FD7" w:rsidRDefault="00413A64" w:rsidP="00C13A58">
            <w:pPr>
              <w:pStyle w:val="TableHeading"/>
              <w:rPr>
                <w:color w:val="FFFFFF" w:themeColor="background1"/>
              </w:rPr>
            </w:pPr>
            <w:r>
              <w:rPr>
                <w:color w:val="FFFFFF" w:themeColor="background1"/>
              </w:rPr>
              <w:t>million</w:t>
            </w:r>
          </w:p>
        </w:tc>
        <w:tc>
          <w:tcPr>
            <w:tcW w:w="661" w:type="pct"/>
            <w:shd w:val="clear" w:color="auto" w:fill="404040" w:themeFill="text1" w:themeFillTint="BF"/>
            <w:vAlign w:val="center"/>
          </w:tcPr>
          <w:p w14:paraId="30A5C08E" w14:textId="77777777" w:rsidR="00413A64" w:rsidRDefault="00413A64" w:rsidP="00C13A58">
            <w:pPr>
              <w:pStyle w:val="TableHeading"/>
              <w:rPr>
                <w:color w:val="FFFFFF" w:themeColor="background1"/>
              </w:rPr>
            </w:pPr>
            <w:r>
              <w:rPr>
                <w:color w:val="FFFFFF" w:themeColor="background1"/>
              </w:rPr>
              <w:t>Budget</w:t>
            </w:r>
          </w:p>
          <w:p w14:paraId="56449BAD" w14:textId="77777777" w:rsidR="009E3A91" w:rsidRDefault="009E3A91" w:rsidP="00C13A58">
            <w:pPr>
              <w:pStyle w:val="TableHeading"/>
              <w:rPr>
                <w:color w:val="FFFFFF" w:themeColor="background1"/>
              </w:rPr>
            </w:pPr>
            <w:r w:rsidRPr="00CE6BED">
              <w:rPr>
                <w:color w:val="FFFFFF" w:themeColor="background1"/>
              </w:rPr>
              <w:t>201</w:t>
            </w:r>
            <w:r>
              <w:rPr>
                <w:color w:val="FFFFFF" w:themeColor="background1"/>
              </w:rPr>
              <w:t>9</w:t>
            </w:r>
            <w:r w:rsidRPr="00CE6BED">
              <w:rPr>
                <w:color w:val="FFFFFF" w:themeColor="background1"/>
              </w:rPr>
              <w:t>–</w:t>
            </w:r>
            <w:r>
              <w:rPr>
                <w:color w:val="FFFFFF" w:themeColor="background1"/>
              </w:rPr>
              <w:t>20</w:t>
            </w:r>
          </w:p>
          <w:p w14:paraId="328374FA" w14:textId="4DDB0891" w:rsidR="00413A64" w:rsidRPr="00AE2FD7" w:rsidRDefault="00413A64" w:rsidP="00C13A58">
            <w:pPr>
              <w:pStyle w:val="TableHeading"/>
              <w:rPr>
                <w:b w:val="0"/>
                <w:color w:val="FFFFFF" w:themeColor="background1"/>
              </w:rPr>
            </w:pPr>
            <w:r>
              <w:rPr>
                <w:color w:val="FFFFFF" w:themeColor="background1"/>
              </w:rPr>
              <w:t>million</w:t>
            </w:r>
          </w:p>
        </w:tc>
        <w:tc>
          <w:tcPr>
            <w:tcW w:w="657" w:type="pct"/>
            <w:tcBorders>
              <w:top w:val="single" w:sz="6" w:space="0" w:color="auto"/>
            </w:tcBorders>
            <w:shd w:val="clear" w:color="auto" w:fill="404040" w:themeFill="text1" w:themeFillTint="BF"/>
            <w:vAlign w:val="center"/>
          </w:tcPr>
          <w:p w14:paraId="0CBACB5D" w14:textId="77777777" w:rsidR="00413A64" w:rsidRDefault="00413A64" w:rsidP="00C13A58">
            <w:pPr>
              <w:pStyle w:val="TableHeading"/>
              <w:rPr>
                <w:color w:val="FFFFFF" w:themeColor="background1"/>
              </w:rPr>
            </w:pPr>
            <w:r>
              <w:rPr>
                <w:color w:val="FFFFFF" w:themeColor="background1"/>
              </w:rPr>
              <w:t>Budget</w:t>
            </w:r>
          </w:p>
          <w:p w14:paraId="46167823" w14:textId="77777777" w:rsidR="009E3A91" w:rsidRDefault="009E3A91" w:rsidP="00C13A58">
            <w:pPr>
              <w:pStyle w:val="TableHeading"/>
              <w:rPr>
                <w:color w:val="FFFFFF" w:themeColor="background1"/>
              </w:rPr>
            </w:pPr>
            <w:r w:rsidRPr="00CE6BED">
              <w:rPr>
                <w:color w:val="FFFFFF" w:themeColor="background1"/>
              </w:rPr>
              <w:t>20</w:t>
            </w:r>
            <w:r>
              <w:rPr>
                <w:color w:val="FFFFFF" w:themeColor="background1"/>
              </w:rPr>
              <w:t>20</w:t>
            </w:r>
            <w:r w:rsidRPr="00CE6BED">
              <w:rPr>
                <w:color w:val="FFFFFF" w:themeColor="background1"/>
              </w:rPr>
              <w:t>–</w:t>
            </w:r>
            <w:r>
              <w:rPr>
                <w:color w:val="FFFFFF" w:themeColor="background1"/>
              </w:rPr>
              <w:t>21</w:t>
            </w:r>
          </w:p>
          <w:p w14:paraId="782B6E96" w14:textId="627C3403" w:rsidR="00413A64" w:rsidRPr="00584E54" w:rsidRDefault="00413A64" w:rsidP="00C13A58">
            <w:pPr>
              <w:pStyle w:val="TableHeading"/>
              <w:rPr>
                <w:color w:val="FFFFFF" w:themeColor="background1"/>
              </w:rPr>
            </w:pPr>
            <w:r>
              <w:rPr>
                <w:color w:val="FFFFFF" w:themeColor="background1"/>
              </w:rPr>
              <w:t>million</w:t>
            </w:r>
          </w:p>
        </w:tc>
      </w:tr>
      <w:tr w:rsidR="00413A64" w:rsidRPr="00B4771B" w14:paraId="0C717268" w14:textId="77777777" w:rsidTr="009E3A91">
        <w:trPr>
          <w:trHeight w:val="256"/>
        </w:trPr>
        <w:tc>
          <w:tcPr>
            <w:tcW w:w="2359" w:type="pct"/>
          </w:tcPr>
          <w:p w14:paraId="37E3697F" w14:textId="22500852" w:rsidR="009E3A91" w:rsidRPr="00F45CD9" w:rsidRDefault="009E3A91" w:rsidP="009E3A91">
            <w:pPr>
              <w:keepNext/>
              <w:spacing w:after="0"/>
              <w:rPr>
                <w:rFonts w:cs="Arial"/>
                <w:szCs w:val="20"/>
              </w:rPr>
            </w:pPr>
            <w:r>
              <w:t>MBA</w:t>
            </w:r>
            <w:r w:rsidRPr="00477064">
              <w:t xml:space="preserve"> </w:t>
            </w:r>
            <w:r w:rsidR="00413A64">
              <w:t xml:space="preserve">budgeted </w:t>
            </w:r>
            <w:r w:rsidRPr="00477064">
              <w:t>program expenses</w:t>
            </w:r>
          </w:p>
        </w:tc>
        <w:tc>
          <w:tcPr>
            <w:tcW w:w="662" w:type="pct"/>
          </w:tcPr>
          <w:p w14:paraId="2A530A59" w14:textId="2EEABFB9" w:rsidR="009E3A91" w:rsidRDefault="009E3A91" w:rsidP="00C13A58">
            <w:pPr>
              <w:keepNext/>
              <w:spacing w:after="0"/>
              <w:rPr>
                <w:rFonts w:cs="Arial"/>
                <w:color w:val="000000"/>
                <w:szCs w:val="20"/>
              </w:rPr>
            </w:pPr>
            <w:r w:rsidRPr="00477064">
              <w:t>$</w:t>
            </w:r>
            <w:r w:rsidR="00413A64">
              <w:t>1.997</w:t>
            </w:r>
          </w:p>
        </w:tc>
        <w:tc>
          <w:tcPr>
            <w:tcW w:w="661" w:type="pct"/>
          </w:tcPr>
          <w:p w14:paraId="4EC0D0AC" w14:textId="4FB5B863" w:rsidR="009E3A91" w:rsidRDefault="009E3A91" w:rsidP="00C13A58">
            <w:pPr>
              <w:keepNext/>
              <w:spacing w:after="0"/>
              <w:rPr>
                <w:rFonts w:cs="Arial"/>
                <w:color w:val="000000"/>
                <w:szCs w:val="20"/>
              </w:rPr>
            </w:pPr>
            <w:r w:rsidRPr="00477064">
              <w:t>$1.</w:t>
            </w:r>
            <w:r w:rsidR="00413A64">
              <w:t>684</w:t>
            </w:r>
            <w:r w:rsidRPr="00477064">
              <w:t xml:space="preserve"> </w:t>
            </w:r>
          </w:p>
        </w:tc>
        <w:tc>
          <w:tcPr>
            <w:tcW w:w="661" w:type="pct"/>
          </w:tcPr>
          <w:p w14:paraId="5612363E" w14:textId="42760AFC" w:rsidR="009E3A91" w:rsidRDefault="009E3A91" w:rsidP="00C13A58">
            <w:pPr>
              <w:keepNext/>
              <w:spacing w:after="0"/>
              <w:rPr>
                <w:rFonts w:cs="Arial"/>
                <w:color w:val="000000"/>
                <w:szCs w:val="20"/>
              </w:rPr>
            </w:pPr>
            <w:r w:rsidRPr="00477064">
              <w:t>$1.6</w:t>
            </w:r>
            <w:r w:rsidR="00413A64">
              <w:t>42</w:t>
            </w:r>
          </w:p>
        </w:tc>
        <w:tc>
          <w:tcPr>
            <w:tcW w:w="657" w:type="pct"/>
          </w:tcPr>
          <w:p w14:paraId="13B7C79C" w14:textId="09D3A75A" w:rsidR="009E3A91" w:rsidRDefault="009E3A91" w:rsidP="00C13A58">
            <w:pPr>
              <w:keepNext/>
              <w:spacing w:after="0"/>
              <w:rPr>
                <w:rFonts w:cs="Arial"/>
                <w:color w:val="000000"/>
                <w:szCs w:val="20"/>
              </w:rPr>
            </w:pPr>
            <w:r w:rsidRPr="00477064">
              <w:t>$1.</w:t>
            </w:r>
            <w:r w:rsidR="00413A64">
              <w:t>651</w:t>
            </w:r>
          </w:p>
        </w:tc>
      </w:tr>
    </w:tbl>
    <w:p w14:paraId="773EC53D" w14:textId="77777777" w:rsidR="009E3A91" w:rsidRDefault="009E3A91" w:rsidP="009E3A91">
      <w:pPr>
        <w:pStyle w:val="ACMASpaceaftertable"/>
        <w:rPr>
          <w:rFonts w:eastAsia="SimSun"/>
          <w:lang w:eastAsia="en-US"/>
        </w:rPr>
      </w:pPr>
    </w:p>
    <w:p w14:paraId="3E219D9C" w14:textId="589CBBB1" w:rsidR="009E3A91" w:rsidRDefault="009E3A91" w:rsidP="009E3A91">
      <w:pPr>
        <w:rPr>
          <w:rFonts w:eastAsia="SimSun"/>
          <w:lang w:eastAsia="en-US"/>
        </w:rPr>
      </w:pPr>
      <w:r>
        <w:rPr>
          <w:rFonts w:eastAsia="SimSun" w:cs="Arial"/>
          <w:szCs w:val="20"/>
          <w:lang w:eastAsia="en-US"/>
        </w:rPr>
        <w:t xml:space="preserve">Costs associated with ACCC </w:t>
      </w:r>
      <w:r w:rsidRPr="00BD4FBF">
        <w:rPr>
          <w:rFonts w:eastAsia="SimSun"/>
          <w:lang w:eastAsia="en-US"/>
        </w:rPr>
        <w:t>project and contract management</w:t>
      </w:r>
      <w:r>
        <w:rPr>
          <w:rFonts w:eastAsia="SimSun"/>
          <w:lang w:eastAsia="en-US"/>
        </w:rPr>
        <w:t xml:space="preserve">, and publishing of results </w:t>
      </w:r>
      <w:r w:rsidR="000328DD">
        <w:rPr>
          <w:rFonts w:eastAsia="SimSun"/>
          <w:lang w:eastAsia="en-US"/>
        </w:rPr>
        <w:t xml:space="preserve">is </w:t>
      </w:r>
      <w:r>
        <w:rPr>
          <w:rFonts w:eastAsia="SimSun"/>
          <w:lang w:eastAsia="en-US"/>
        </w:rPr>
        <w:t>not cost recovered</w:t>
      </w:r>
      <w:r w:rsidR="006F62D9">
        <w:rPr>
          <w:rFonts w:eastAsia="SimSun"/>
          <w:lang w:eastAsia="en-US"/>
        </w:rPr>
        <w:t xml:space="preserve"> </w:t>
      </w:r>
      <w:r w:rsidR="006F62D9" w:rsidRPr="006F62D9">
        <w:rPr>
          <w:rFonts w:eastAsia="SimSun"/>
          <w:lang w:eastAsia="en-US"/>
        </w:rPr>
        <w:t>under the MBA program</w:t>
      </w:r>
      <w:r w:rsidR="009265CE">
        <w:rPr>
          <w:rFonts w:eastAsia="SimSun"/>
          <w:lang w:eastAsia="en-US"/>
        </w:rPr>
        <w:t>.</w:t>
      </w:r>
      <w:r w:rsidR="00C169EB">
        <w:rPr>
          <w:rFonts w:eastAsia="SimSun"/>
          <w:lang w:eastAsia="en-US"/>
        </w:rPr>
        <w:t xml:space="preserve"> </w:t>
      </w:r>
      <w:r w:rsidR="009265CE">
        <w:rPr>
          <w:rFonts w:eastAsia="SimSun"/>
          <w:lang w:eastAsia="en-US"/>
        </w:rPr>
        <w:t>I</w:t>
      </w:r>
      <w:r w:rsidR="007E675C" w:rsidRPr="007E675C">
        <w:rPr>
          <w:rFonts w:eastAsia="SimSun"/>
          <w:lang w:eastAsia="en-US"/>
        </w:rPr>
        <w:t xml:space="preserve">nstead </w:t>
      </w:r>
      <w:r w:rsidR="00F133BF">
        <w:rPr>
          <w:rFonts w:eastAsia="SimSun"/>
          <w:lang w:eastAsia="en-US"/>
        </w:rPr>
        <w:t>these costs</w:t>
      </w:r>
      <w:r w:rsidR="00F133BF" w:rsidRPr="007E675C">
        <w:rPr>
          <w:rFonts w:eastAsia="SimSun"/>
          <w:lang w:eastAsia="en-US"/>
        </w:rPr>
        <w:t xml:space="preserve"> </w:t>
      </w:r>
      <w:r w:rsidR="007E675C" w:rsidRPr="007E675C">
        <w:rPr>
          <w:rFonts w:eastAsia="SimSun"/>
          <w:lang w:eastAsia="en-US"/>
        </w:rPr>
        <w:t xml:space="preserve">will be recovered through </w:t>
      </w:r>
      <w:r w:rsidR="00F133BF">
        <w:rPr>
          <w:rFonts w:eastAsia="SimSun"/>
          <w:lang w:eastAsia="en-US"/>
        </w:rPr>
        <w:t xml:space="preserve">the </w:t>
      </w:r>
      <w:r w:rsidR="007E675C" w:rsidRPr="007E675C">
        <w:rPr>
          <w:rFonts w:eastAsia="SimSun"/>
          <w:lang w:eastAsia="en-US"/>
        </w:rPr>
        <w:t xml:space="preserve">ACLC </w:t>
      </w:r>
      <w:r w:rsidR="00C933AE">
        <w:rPr>
          <w:rFonts w:eastAsia="SimSun"/>
          <w:lang w:eastAsia="en-US"/>
        </w:rPr>
        <w:t xml:space="preserve">component </w:t>
      </w:r>
      <w:r w:rsidR="007E675C" w:rsidRPr="007E675C">
        <w:rPr>
          <w:rFonts w:eastAsia="SimSun"/>
          <w:lang w:eastAsia="en-US"/>
        </w:rPr>
        <w:t>attributable to paragraph 15(1)(b) of the Act</w:t>
      </w:r>
      <w:r w:rsidR="00097188">
        <w:rPr>
          <w:rFonts w:eastAsia="SimSun"/>
          <w:lang w:eastAsia="en-US"/>
        </w:rPr>
        <w:t>.</w:t>
      </w:r>
    </w:p>
    <w:p w14:paraId="1B086CA8" w14:textId="0D8FADBF" w:rsidR="006F62D9" w:rsidRDefault="006F62D9" w:rsidP="009E3A91">
      <w:pPr>
        <w:rPr>
          <w:rFonts w:eastAsia="SimSun"/>
          <w:lang w:eastAsia="en-US"/>
        </w:rPr>
      </w:pPr>
      <w:r w:rsidRPr="006F62D9">
        <w:rPr>
          <w:rFonts w:eastAsia="SimSun"/>
          <w:lang w:eastAsia="en-US"/>
        </w:rPr>
        <w:t xml:space="preserve">The ACCC’s </w:t>
      </w:r>
      <w:r w:rsidR="005A0DC5">
        <w:rPr>
          <w:rFonts w:eastAsia="SimSun"/>
          <w:lang w:eastAsia="en-US"/>
        </w:rPr>
        <w:t xml:space="preserve">paragraph 15(1)(b) </w:t>
      </w:r>
      <w:r w:rsidRPr="006F62D9">
        <w:rPr>
          <w:rFonts w:eastAsia="SimSun"/>
          <w:lang w:eastAsia="en-US"/>
        </w:rPr>
        <w:t xml:space="preserve">component for </w:t>
      </w:r>
      <w:r w:rsidR="005A0DC5">
        <w:rPr>
          <w:rFonts w:eastAsia="SimSun"/>
          <w:lang w:eastAsia="en-US"/>
        </w:rPr>
        <w:t xml:space="preserve">the MBA </w:t>
      </w:r>
      <w:r w:rsidR="00D86351">
        <w:rPr>
          <w:rFonts w:eastAsia="SimSun"/>
          <w:lang w:eastAsia="en-US"/>
        </w:rPr>
        <w:t xml:space="preserve">program </w:t>
      </w:r>
      <w:r w:rsidRPr="006F62D9">
        <w:rPr>
          <w:rFonts w:eastAsia="SimSun"/>
          <w:lang w:eastAsia="en-US"/>
        </w:rPr>
        <w:t>2018</w:t>
      </w:r>
      <w:r w:rsidR="00E74157">
        <w:t>–</w:t>
      </w:r>
      <w:r w:rsidRPr="006F62D9">
        <w:rPr>
          <w:rFonts w:eastAsia="SimSun"/>
          <w:lang w:eastAsia="en-US"/>
        </w:rPr>
        <w:t>19, representing the costs incurred during 2017</w:t>
      </w:r>
      <w:r w:rsidR="00E74157">
        <w:t>–</w:t>
      </w:r>
      <w:r w:rsidRPr="006F62D9">
        <w:rPr>
          <w:rFonts w:eastAsia="SimSun"/>
          <w:lang w:eastAsia="en-US"/>
        </w:rPr>
        <w:t>18, has been calculated at $1,531,854</w:t>
      </w:r>
      <w:r w:rsidR="009265CE">
        <w:rPr>
          <w:rFonts w:eastAsia="SimSun"/>
          <w:lang w:eastAsia="en-US"/>
        </w:rPr>
        <w:t xml:space="preserve"> as disclosed in Table 3 below</w:t>
      </w:r>
      <w:r w:rsidRPr="006F62D9">
        <w:rPr>
          <w:rFonts w:eastAsia="SimSun"/>
          <w:lang w:eastAsia="en-US"/>
        </w:rPr>
        <w:t>. The budget for 2017</w:t>
      </w:r>
      <w:r w:rsidR="00E74157">
        <w:t>–</w:t>
      </w:r>
      <w:r w:rsidRPr="006F62D9">
        <w:rPr>
          <w:rFonts w:eastAsia="SimSun"/>
          <w:lang w:eastAsia="en-US"/>
        </w:rPr>
        <w:t xml:space="preserve">18 was $1,997,000 (as reflected in the table above) and therefore </w:t>
      </w:r>
      <w:r w:rsidR="005A0DC5">
        <w:rPr>
          <w:rFonts w:eastAsia="SimSun"/>
          <w:lang w:eastAsia="en-US"/>
        </w:rPr>
        <w:t xml:space="preserve">the cost of providing MBA services was </w:t>
      </w:r>
      <w:r w:rsidRPr="006F62D9">
        <w:rPr>
          <w:rFonts w:eastAsia="SimSun"/>
          <w:lang w:eastAsia="en-US"/>
        </w:rPr>
        <w:t>$465,146 lower than expected. The variance resulted from timing issues with the start-up phase which meant the ACCC would not become liable for costs until later in the year. The ACCC still expects to finish budget neutral at the end of the program, meaning the future financial years will have expenditure slightly greater than originally profiled in Table 2. The revised budget profile has been presented in Table 5.</w:t>
      </w:r>
    </w:p>
    <w:p w14:paraId="78025293" w14:textId="77777777" w:rsidR="006F62D9" w:rsidRPr="00391FB3" w:rsidRDefault="006F62D9" w:rsidP="006F62D9">
      <w:pPr>
        <w:pStyle w:val="ACMATableHeader"/>
      </w:pPr>
      <w:r w:rsidRPr="00391FB3">
        <w:t xml:space="preserve">The ACCC’s cost component for the MBA program </w:t>
      </w:r>
    </w:p>
    <w:tbl>
      <w:tblPr>
        <w:tblStyle w:val="TableGrid"/>
        <w:tblW w:w="7538" w:type="dxa"/>
        <w:tblInd w:w="-5" w:type="dxa"/>
        <w:tblLayout w:type="fixed"/>
        <w:tblCellMar>
          <w:top w:w="57" w:type="dxa"/>
          <w:bottom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2096"/>
        <w:gridCol w:w="1886"/>
        <w:gridCol w:w="1992"/>
        <w:gridCol w:w="1564"/>
      </w:tblGrid>
      <w:tr w:rsidR="006F62D9" w:rsidRPr="00391FB3" w14:paraId="16763884" w14:textId="77777777" w:rsidTr="00327F11">
        <w:trPr>
          <w:trHeight w:val="843"/>
          <w:tblHeader/>
        </w:trPr>
        <w:tc>
          <w:tcPr>
            <w:tcW w:w="2096" w:type="dxa"/>
            <w:shd w:val="clear" w:color="auto" w:fill="404040" w:themeFill="text1" w:themeFillTint="BF"/>
          </w:tcPr>
          <w:p w14:paraId="0C26D2BB" w14:textId="77777777" w:rsidR="006F62D9" w:rsidRPr="00391FB3" w:rsidRDefault="006F62D9" w:rsidP="00327F11">
            <w:pPr>
              <w:pStyle w:val="TableHeading"/>
              <w:rPr>
                <w:rFonts w:eastAsia="SimSun"/>
                <w:b w:val="0"/>
                <w:color w:val="FFFFFF" w:themeColor="background1"/>
                <w:lang w:eastAsia="en-US"/>
              </w:rPr>
            </w:pPr>
            <w:r w:rsidRPr="00391FB3">
              <w:rPr>
                <w:rFonts w:eastAsia="SimSun"/>
                <w:color w:val="FFFFFF" w:themeColor="background1"/>
                <w:lang w:eastAsia="en-US"/>
              </w:rPr>
              <w:t>Costs</w:t>
            </w:r>
          </w:p>
        </w:tc>
        <w:tc>
          <w:tcPr>
            <w:tcW w:w="1886" w:type="dxa"/>
            <w:shd w:val="clear" w:color="auto" w:fill="404040" w:themeFill="text1" w:themeFillTint="BF"/>
          </w:tcPr>
          <w:p w14:paraId="486F1731" w14:textId="77777777" w:rsidR="006F62D9" w:rsidRPr="00391FB3" w:rsidRDefault="006F62D9" w:rsidP="00C13A58">
            <w:pPr>
              <w:pStyle w:val="TableHeading"/>
              <w:spacing w:after="80"/>
              <w:rPr>
                <w:rFonts w:eastAsia="SimSun"/>
                <w:b w:val="0"/>
                <w:color w:val="FFFFFF" w:themeColor="background1"/>
                <w:lang w:eastAsia="en-US"/>
              </w:rPr>
            </w:pPr>
            <w:r w:rsidRPr="00391FB3">
              <w:rPr>
                <w:rFonts w:eastAsia="SimSun"/>
                <w:color w:val="FFFFFF" w:themeColor="background1"/>
                <w:lang w:eastAsia="en-US"/>
              </w:rPr>
              <w:t>2018–19</w:t>
            </w:r>
          </w:p>
          <w:p w14:paraId="68D982AC" w14:textId="77777777" w:rsidR="006F62D9" w:rsidRPr="00391FB3" w:rsidRDefault="006F62D9" w:rsidP="00C13A58">
            <w:pPr>
              <w:pStyle w:val="TableHeading"/>
              <w:rPr>
                <w:rFonts w:eastAsia="SimSun"/>
                <w:b w:val="0"/>
                <w:color w:val="FFFFFF" w:themeColor="background1"/>
                <w:lang w:eastAsia="en-US"/>
              </w:rPr>
            </w:pPr>
            <w:r w:rsidRPr="00391FB3">
              <w:rPr>
                <w:rFonts w:eastAsia="SimSun"/>
                <w:color w:val="FFFFFF" w:themeColor="background1"/>
                <w:lang w:eastAsia="en-US"/>
              </w:rPr>
              <w:t xml:space="preserve">(based on </w:t>
            </w:r>
            <w:r w:rsidRPr="00391FB3">
              <w:rPr>
                <w:rFonts w:eastAsia="SimSun"/>
                <w:color w:val="FFFFFF" w:themeColor="background1"/>
                <w:lang w:eastAsia="en-US"/>
              </w:rPr>
              <w:br/>
              <w:t>2017–18 costs)</w:t>
            </w:r>
          </w:p>
        </w:tc>
        <w:tc>
          <w:tcPr>
            <w:tcW w:w="1992" w:type="dxa"/>
            <w:shd w:val="clear" w:color="auto" w:fill="404040" w:themeFill="text1" w:themeFillTint="BF"/>
          </w:tcPr>
          <w:p w14:paraId="7B76F272" w14:textId="77777777" w:rsidR="006F62D9" w:rsidRPr="00391FB3" w:rsidRDefault="006F62D9" w:rsidP="00C13A58">
            <w:pPr>
              <w:pStyle w:val="TableHeading"/>
              <w:spacing w:after="80"/>
              <w:rPr>
                <w:rFonts w:eastAsia="SimSun"/>
                <w:b w:val="0"/>
                <w:color w:val="FFFFFF" w:themeColor="background1"/>
                <w:lang w:eastAsia="en-US"/>
              </w:rPr>
            </w:pPr>
            <w:r w:rsidRPr="00391FB3">
              <w:rPr>
                <w:rFonts w:eastAsia="SimSun"/>
                <w:color w:val="FFFFFF" w:themeColor="background1"/>
                <w:lang w:eastAsia="en-US"/>
              </w:rPr>
              <w:t>2017–18</w:t>
            </w:r>
          </w:p>
          <w:p w14:paraId="1D400A2F" w14:textId="77777777" w:rsidR="006F62D9" w:rsidRPr="00391FB3" w:rsidRDefault="006F62D9" w:rsidP="00C13A58">
            <w:pPr>
              <w:pStyle w:val="TableHeading"/>
              <w:rPr>
                <w:rFonts w:eastAsia="SimSun"/>
                <w:b w:val="0"/>
                <w:color w:val="FFFFFF" w:themeColor="background1"/>
                <w:lang w:eastAsia="en-US"/>
              </w:rPr>
            </w:pPr>
            <w:r w:rsidRPr="00391FB3">
              <w:rPr>
                <w:rFonts w:eastAsia="SimSun"/>
                <w:color w:val="FFFFFF" w:themeColor="background1"/>
                <w:lang w:eastAsia="en-US"/>
              </w:rPr>
              <w:t xml:space="preserve">(based on </w:t>
            </w:r>
            <w:r w:rsidRPr="00391FB3">
              <w:rPr>
                <w:rFonts w:eastAsia="SimSun"/>
                <w:color w:val="FFFFFF" w:themeColor="background1"/>
                <w:lang w:eastAsia="en-US"/>
              </w:rPr>
              <w:br/>
              <w:t>2016–17 costs)</w:t>
            </w:r>
          </w:p>
        </w:tc>
        <w:tc>
          <w:tcPr>
            <w:tcW w:w="1564" w:type="dxa"/>
            <w:shd w:val="clear" w:color="auto" w:fill="404040" w:themeFill="text1" w:themeFillTint="BF"/>
          </w:tcPr>
          <w:p w14:paraId="3CD36FD6" w14:textId="77777777" w:rsidR="006F62D9" w:rsidRPr="00391FB3" w:rsidRDefault="006F62D9" w:rsidP="00C13A58">
            <w:pPr>
              <w:pStyle w:val="TableHeading"/>
              <w:rPr>
                <w:rFonts w:eastAsia="SimSun"/>
                <w:b w:val="0"/>
                <w:color w:val="FFFFFF" w:themeColor="background1"/>
                <w:lang w:eastAsia="en-US"/>
              </w:rPr>
            </w:pPr>
            <w:r w:rsidRPr="00391FB3">
              <w:rPr>
                <w:rFonts w:eastAsia="SimSun"/>
                <w:color w:val="FFFFFF" w:themeColor="background1"/>
                <w:lang w:eastAsia="en-US"/>
              </w:rPr>
              <w:t>% change*</w:t>
            </w:r>
          </w:p>
        </w:tc>
      </w:tr>
      <w:tr w:rsidR="006F62D9" w:rsidRPr="003A463A" w14:paraId="74B70564" w14:textId="77777777" w:rsidTr="00327F11">
        <w:trPr>
          <w:trHeight w:val="258"/>
        </w:trPr>
        <w:tc>
          <w:tcPr>
            <w:tcW w:w="2096" w:type="dxa"/>
          </w:tcPr>
          <w:p w14:paraId="5062D647" w14:textId="77777777" w:rsidR="006F62D9" w:rsidRPr="00391FB3" w:rsidRDefault="006F62D9" w:rsidP="00327F11">
            <w:pPr>
              <w:spacing w:after="0"/>
              <w:rPr>
                <w:rFonts w:eastAsia="SimSun" w:cs="Arial"/>
                <w:szCs w:val="20"/>
                <w:lang w:eastAsia="en-US"/>
              </w:rPr>
            </w:pPr>
            <w:r w:rsidRPr="00391FB3">
              <w:rPr>
                <w:rFonts w:eastAsia="Calibri" w:cs="Arial"/>
                <w:szCs w:val="20"/>
              </w:rPr>
              <w:t>MBA program expenses</w:t>
            </w:r>
          </w:p>
        </w:tc>
        <w:tc>
          <w:tcPr>
            <w:tcW w:w="1886" w:type="dxa"/>
          </w:tcPr>
          <w:p w14:paraId="7AC32FB7" w14:textId="77777777" w:rsidR="006F62D9" w:rsidRPr="00391FB3" w:rsidRDefault="006F62D9" w:rsidP="00C13A58">
            <w:pPr>
              <w:spacing w:after="0"/>
              <w:rPr>
                <w:rFonts w:eastAsia="SimSun" w:cs="Arial"/>
                <w:szCs w:val="20"/>
                <w:lang w:eastAsia="en-US"/>
              </w:rPr>
            </w:pPr>
            <w:r w:rsidRPr="00391FB3">
              <w:t xml:space="preserve"> $1,531,854 </w:t>
            </w:r>
          </w:p>
        </w:tc>
        <w:tc>
          <w:tcPr>
            <w:tcW w:w="1992" w:type="dxa"/>
          </w:tcPr>
          <w:p w14:paraId="2D0A7C16" w14:textId="77777777" w:rsidR="006F62D9" w:rsidRPr="00391FB3" w:rsidRDefault="006F62D9" w:rsidP="00C13A58">
            <w:pPr>
              <w:spacing w:after="0"/>
              <w:rPr>
                <w:rFonts w:eastAsia="SimSun" w:cs="Arial"/>
                <w:szCs w:val="20"/>
                <w:lang w:eastAsia="en-US"/>
              </w:rPr>
            </w:pPr>
            <w:r w:rsidRPr="00391FB3">
              <w:t xml:space="preserve"> Not applicable </w:t>
            </w:r>
          </w:p>
        </w:tc>
        <w:tc>
          <w:tcPr>
            <w:tcW w:w="1564" w:type="dxa"/>
          </w:tcPr>
          <w:p w14:paraId="06473488" w14:textId="77777777" w:rsidR="006F62D9" w:rsidRPr="00391FB3" w:rsidRDefault="006F62D9" w:rsidP="00C13A58">
            <w:pPr>
              <w:spacing w:after="0"/>
              <w:rPr>
                <w:rFonts w:eastAsia="SimSun" w:cs="Arial"/>
                <w:szCs w:val="20"/>
                <w:lang w:eastAsia="en-US"/>
              </w:rPr>
            </w:pPr>
            <w:r w:rsidRPr="00391FB3">
              <w:rPr>
                <w:rFonts w:cs="Arial"/>
                <w:color w:val="000000"/>
                <w:szCs w:val="20"/>
              </w:rPr>
              <w:t>Not applicable</w:t>
            </w:r>
          </w:p>
        </w:tc>
      </w:tr>
    </w:tbl>
    <w:p w14:paraId="6A0EFA53" w14:textId="77777777" w:rsidR="006F62D9" w:rsidRPr="00BD4FBF" w:rsidRDefault="006F62D9" w:rsidP="009E3A91">
      <w:pPr>
        <w:rPr>
          <w:rFonts w:eastAsia="SimSun"/>
          <w:lang w:eastAsia="en-US"/>
        </w:rPr>
      </w:pPr>
    </w:p>
    <w:p w14:paraId="2AA84B9B" w14:textId="77777777" w:rsidR="009E3A91" w:rsidRDefault="009E3A91" w:rsidP="009E3A91">
      <w:pPr>
        <w:pStyle w:val="Heading2"/>
      </w:pPr>
      <w:bookmarkStart w:id="221" w:name="_Toc511294493"/>
      <w:bookmarkStart w:id="222" w:name="_Toc511634428"/>
      <w:bookmarkStart w:id="223" w:name="_Toc26786368"/>
      <w:r w:rsidRPr="003F7E3A">
        <w:t>3.</w:t>
      </w:r>
      <w:r>
        <w:t>2</w:t>
      </w:r>
      <w:r w:rsidRPr="003F7E3A">
        <w:tab/>
        <w:t>Design of cost recovery charges</w:t>
      </w:r>
      <w:bookmarkEnd w:id="221"/>
      <w:bookmarkEnd w:id="222"/>
      <w:bookmarkEnd w:id="223"/>
    </w:p>
    <w:p w14:paraId="15693C4C" w14:textId="69966FEB" w:rsidR="009E3A91" w:rsidRPr="00382C3D" w:rsidRDefault="009E3A91" w:rsidP="009E3A91">
      <w:r>
        <w:t xml:space="preserve">The portion of the efficient costs of the program to be cost recovered (as opposed to the proportion of costs which are being absorbed) </w:t>
      </w:r>
      <w:r w:rsidR="005A0DC5">
        <w:t xml:space="preserve">are to </w:t>
      </w:r>
      <w:r>
        <w:t xml:space="preserve">be levied on the carriers whose services are subject to testing via the program (that is, they are the recipients of the activity), </w:t>
      </w:r>
      <w:r w:rsidR="005A0DC5">
        <w:t xml:space="preserve">through the ACLC calculation, </w:t>
      </w:r>
      <w:r>
        <w:t xml:space="preserve">for the duration of that testing. Note that this includes levying both retail carriers whose own retail services are being monitored, and wholesale carriers where their reseller’s retail services are being monitored. </w:t>
      </w:r>
      <w:r w:rsidRPr="00A84CBD">
        <w:t xml:space="preserve">In accordance with the </w:t>
      </w:r>
      <w:r>
        <w:t>calculation of the ACLC levy</w:t>
      </w:r>
      <w:r w:rsidRPr="00A84CBD">
        <w:t>, non-participating persons (that is, the smaller carriers)</w:t>
      </w:r>
      <w:r>
        <w:t xml:space="preserve"> within the meaning of </w:t>
      </w:r>
      <w:r w:rsidRPr="00382C3D">
        <w:t xml:space="preserve">the </w:t>
      </w:r>
      <w:r w:rsidRPr="00C97891">
        <w:t>Telecommunications (Participating Persons) Determination 2015</w:t>
      </w:r>
      <w:r w:rsidRPr="00382C3D">
        <w:t xml:space="preserve"> </w:t>
      </w:r>
      <w:r w:rsidR="005A0DC5">
        <w:t xml:space="preserve">must </w:t>
      </w:r>
      <w:r w:rsidRPr="00382C3D">
        <w:t xml:space="preserve">be exempted from the liability to </w:t>
      </w:r>
      <w:r w:rsidR="005A0DC5">
        <w:t xml:space="preserve">any ACLC associated with the </w:t>
      </w:r>
      <w:r w:rsidRPr="00382C3D">
        <w:t>MBA program</w:t>
      </w:r>
      <w:r w:rsidR="005A0DC5">
        <w:t xml:space="preserve"> or any other telecommunication costs</w:t>
      </w:r>
      <w:r w:rsidRPr="00382C3D">
        <w:t>.</w:t>
      </w:r>
    </w:p>
    <w:p w14:paraId="013AF1ED" w14:textId="4B506C27" w:rsidR="009E3A91" w:rsidRDefault="009E3A91" w:rsidP="009E3A91">
      <w:r>
        <w:t xml:space="preserve">The costs imposed on a carrier via the ACLC for the MBA program </w:t>
      </w:r>
      <w:r w:rsidR="000328DD">
        <w:t>is</w:t>
      </w:r>
      <w:r>
        <w:t xml:space="preserve"> calculated according to the following formula:</w:t>
      </w:r>
    </w:p>
    <w:p w14:paraId="4D5FBB0F" w14:textId="77777777" w:rsidR="009E3A91" w:rsidRPr="004878A6" w:rsidRDefault="009E3A91" w:rsidP="009E3A91">
      <w:pPr>
        <w:rPr>
          <w:rFonts w:asciiTheme="minorHAnsi" w:eastAsia="Calibri" w:hAnsiTheme="minorHAnsi"/>
        </w:rPr>
      </w:pPr>
      <m:oMathPara>
        <m:oMathParaPr>
          <m:jc m:val="left"/>
        </m:oMathParaPr>
        <m:oMath>
          <m:r>
            <w:rPr>
              <w:rFonts w:ascii="Cambria Math" w:eastAsia="Calibri" w:hAnsi="Cambria Math"/>
            </w:rPr>
            <w:lastRenderedPageBreak/>
            <m:t>APC×</m:t>
          </m:r>
          <m:f>
            <m:fPr>
              <m:ctrlPr>
                <w:rPr>
                  <w:rFonts w:ascii="Cambria Math" w:eastAsia="Calibri" w:hAnsi="Cambria Math"/>
                  <w:i/>
                </w:rPr>
              </m:ctrlPr>
            </m:fPr>
            <m:num>
              <m:r>
                <w:rPr>
                  <w:rFonts w:ascii="Cambria Math" w:eastAsia="Calibri" w:hAnsi="Cambria Math"/>
                </w:rPr>
                <m:t>FLC</m:t>
              </m:r>
            </m:num>
            <m:den>
              <m:r>
                <w:rPr>
                  <w:rFonts w:ascii="Cambria Math" w:eastAsia="Calibri" w:hAnsi="Cambria Math"/>
                </w:rPr>
                <m:t>TFLC</m:t>
              </m:r>
            </m:den>
          </m:f>
        </m:oMath>
      </m:oMathPara>
    </w:p>
    <w:p w14:paraId="6C97FD7F" w14:textId="77777777" w:rsidR="009E3A91" w:rsidRDefault="009E3A91" w:rsidP="009E3A91">
      <w:pPr>
        <w:spacing w:after="80"/>
      </w:pPr>
      <w:r>
        <w:t>Where:</w:t>
      </w:r>
    </w:p>
    <w:p w14:paraId="1DE4EEA5" w14:textId="08A4BEE2" w:rsidR="009E3A91" w:rsidRPr="00F37B15" w:rsidRDefault="009E3A91" w:rsidP="009E3A91">
      <w:pPr>
        <w:pStyle w:val="ListBullet"/>
        <w:rPr>
          <w:rFonts w:eastAsia="SimSun"/>
        </w:rPr>
      </w:pPr>
      <w:r>
        <w:rPr>
          <w:rFonts w:eastAsia="SimSun"/>
          <w:lang w:eastAsia="en-US"/>
        </w:rPr>
        <w:t>APC</w:t>
      </w:r>
      <w:r w:rsidRPr="00663CD3">
        <w:rPr>
          <w:rFonts w:eastAsia="SimSun"/>
          <w:lang w:eastAsia="en-US"/>
        </w:rPr>
        <w:t xml:space="preserve"> </w:t>
      </w:r>
      <w:r w:rsidRPr="00F37B15">
        <w:rPr>
          <w:rFonts w:eastAsia="SimSun"/>
        </w:rPr>
        <w:t>is the MBA annual program costs, incurred by the ACCC, during the financial year</w:t>
      </w:r>
      <w:r w:rsidR="002E6069">
        <w:rPr>
          <w:rFonts w:eastAsia="SimSun"/>
        </w:rPr>
        <w:t xml:space="preserve"> as determined by the ACCC as part of its paragraph 15(1)(b) determination</w:t>
      </w:r>
      <w:r w:rsidR="00076FCE">
        <w:rPr>
          <w:rFonts w:eastAsia="SimSun"/>
        </w:rPr>
        <w:t>.</w:t>
      </w:r>
    </w:p>
    <w:p w14:paraId="72A3ED01" w14:textId="333B8898" w:rsidR="009E3A91" w:rsidRPr="00663CD3" w:rsidRDefault="009E3A91" w:rsidP="009E3A91">
      <w:pPr>
        <w:pStyle w:val="ListBullet"/>
        <w:rPr>
          <w:rFonts w:eastAsia="SimSun"/>
          <w:lang w:eastAsia="en-US"/>
        </w:rPr>
      </w:pPr>
      <w:r w:rsidRPr="00F37B15">
        <w:rPr>
          <w:rFonts w:eastAsia="SimSun"/>
        </w:rPr>
        <w:t>FLC is the total number of NBN fixed-line connections operated by the monitored service provider in a test</w:t>
      </w:r>
      <w:r>
        <w:rPr>
          <w:rFonts w:eastAsia="SimSun"/>
          <w:lang w:eastAsia="en-US"/>
        </w:rPr>
        <w:t xml:space="preserve"> segment</w:t>
      </w:r>
      <w:r w:rsidRPr="00663CD3">
        <w:rPr>
          <w:rFonts w:eastAsia="SimSun"/>
          <w:lang w:eastAsia="en-US"/>
        </w:rPr>
        <w:t xml:space="preserve"> </w:t>
      </w:r>
      <w:r w:rsidR="007D146D">
        <w:rPr>
          <w:rFonts w:eastAsia="SimSun"/>
          <w:lang w:eastAsia="en-US"/>
        </w:rPr>
        <w:t>during the financial year</w:t>
      </w:r>
      <w:r w:rsidR="00076FCE">
        <w:rPr>
          <w:rFonts w:eastAsia="SimSun"/>
          <w:lang w:eastAsia="en-US"/>
        </w:rPr>
        <w:t>.</w:t>
      </w:r>
    </w:p>
    <w:p w14:paraId="15C840FE" w14:textId="2AE1E473" w:rsidR="009E3A91" w:rsidRPr="00663CD3" w:rsidRDefault="009E3A91" w:rsidP="009E3A91">
      <w:pPr>
        <w:pStyle w:val="ListBulletLast"/>
        <w:rPr>
          <w:rFonts w:eastAsia="SimSun"/>
          <w:lang w:eastAsia="en-US"/>
        </w:rPr>
      </w:pPr>
      <w:r w:rsidRPr="00663CD3">
        <w:rPr>
          <w:rFonts w:eastAsia="SimSun"/>
          <w:lang w:eastAsia="en-US"/>
        </w:rPr>
        <w:t>TFLC i</w:t>
      </w:r>
      <w:r>
        <w:rPr>
          <w:rFonts w:eastAsia="SimSun"/>
          <w:lang w:eastAsia="en-US"/>
        </w:rPr>
        <w:t>s</w:t>
      </w:r>
      <w:r w:rsidRPr="00663CD3">
        <w:rPr>
          <w:rFonts w:eastAsia="SimSun"/>
          <w:lang w:eastAsia="en-US"/>
        </w:rPr>
        <w:t xml:space="preserve"> the total number of NBN fixed-line connections operated by all monitored service providers</w:t>
      </w:r>
      <w:r>
        <w:rPr>
          <w:rFonts w:eastAsia="SimSun"/>
          <w:lang w:eastAsia="en-US"/>
        </w:rPr>
        <w:t xml:space="preserve"> who are also participating persons (</w:t>
      </w:r>
      <w:r w:rsidR="00F24FB7">
        <w:rPr>
          <w:rFonts w:eastAsia="SimSun"/>
          <w:lang w:eastAsia="en-US"/>
        </w:rPr>
        <w:t xml:space="preserve">excluding non-participating persons </w:t>
      </w:r>
      <w:r w:rsidR="002E6069">
        <w:rPr>
          <w:rFonts w:eastAsia="SimSun"/>
          <w:lang w:eastAsia="en-US"/>
        </w:rPr>
        <w:t xml:space="preserve">defined </w:t>
      </w:r>
      <w:r w:rsidR="00F24FB7">
        <w:rPr>
          <w:rFonts w:eastAsia="SimSun"/>
          <w:lang w:eastAsia="en-US"/>
        </w:rPr>
        <w:t>under</w:t>
      </w:r>
      <w:r>
        <w:rPr>
          <w:rFonts w:eastAsia="SimSun"/>
          <w:lang w:eastAsia="en-US"/>
        </w:rPr>
        <w:t xml:space="preserve"> the </w:t>
      </w:r>
      <w:r w:rsidRPr="00C97891">
        <w:rPr>
          <w:rFonts w:eastAsia="SimSun"/>
          <w:lang w:eastAsia="en-US"/>
        </w:rPr>
        <w:t>Telecommunications (Participating Persons) Determination 2015</w:t>
      </w:r>
      <w:r w:rsidR="002E6069">
        <w:rPr>
          <w:rFonts w:eastAsia="SimSun"/>
          <w:i/>
          <w:lang w:eastAsia="en-US"/>
        </w:rPr>
        <w:t xml:space="preserve"> </w:t>
      </w:r>
      <w:r w:rsidR="002E6069" w:rsidRPr="00D86351">
        <w:rPr>
          <w:rFonts w:eastAsia="SimSun"/>
          <w:lang w:eastAsia="en-US"/>
        </w:rPr>
        <w:t>as required</w:t>
      </w:r>
      <w:r w:rsidR="002E6069">
        <w:rPr>
          <w:rFonts w:eastAsia="SimSun"/>
          <w:i/>
          <w:lang w:eastAsia="en-US"/>
        </w:rPr>
        <w:t xml:space="preserve"> </w:t>
      </w:r>
      <w:r w:rsidR="002E6069">
        <w:rPr>
          <w:rFonts w:eastAsia="SimSun"/>
          <w:lang w:eastAsia="en-US"/>
        </w:rPr>
        <w:t>under the 2017 Direction</w:t>
      </w:r>
      <w:r>
        <w:rPr>
          <w:rFonts w:eastAsia="SimSun"/>
          <w:lang w:eastAsia="en-US"/>
        </w:rPr>
        <w:t>)</w:t>
      </w:r>
      <w:r w:rsidRPr="00663CD3">
        <w:rPr>
          <w:rFonts w:eastAsia="SimSun"/>
          <w:lang w:eastAsia="en-US"/>
        </w:rPr>
        <w:t>.</w:t>
      </w:r>
    </w:p>
    <w:p w14:paraId="1BC8F025" w14:textId="77777777" w:rsidR="00DC3C7E" w:rsidRDefault="00DC3C7E" w:rsidP="00B02D11">
      <w:pPr>
        <w:pStyle w:val="ListBullet"/>
        <w:numPr>
          <w:ilvl w:val="0"/>
          <w:numId w:val="0"/>
        </w:numPr>
        <w:rPr>
          <w:rFonts w:ascii="Calibri" w:hAnsi="Calibri" w:cs="Calibri"/>
          <w:color w:val="1F497D"/>
          <w:sz w:val="22"/>
          <w:szCs w:val="22"/>
          <w:lang w:eastAsia="en-US"/>
        </w:rPr>
      </w:pPr>
      <w:r>
        <w:t>The MBA program provides information about a variety of monitored ‘test segments’, namely fixed-line NBN connection classes each comprising an access technology and/or by speed tier. Annual MBA program costs are allocated to each carrier based upon the volume of fixed-line NBN connections that they acquired in the relevant period within these ‘test segments’ expressed as a proportion of the total number of such connections acquired by all monitored service providers who are also participating persons.</w:t>
      </w:r>
    </w:p>
    <w:p w14:paraId="3E720D0A" w14:textId="7F30F427" w:rsidR="009E3A91" w:rsidRDefault="009E3A91" w:rsidP="009E3A91">
      <w:r>
        <w:t>The number of NBN fixed-line connections in any financial year will be established based on NBN’s quarterly reporting to the ACCC on the number of fixed-line NBN connections.</w:t>
      </w:r>
    </w:p>
    <w:p w14:paraId="386B1E63" w14:textId="14136E36" w:rsidR="009E3A91" w:rsidRDefault="008F49D9" w:rsidP="009E3A91">
      <w:r>
        <w:t>P</w:t>
      </w:r>
      <w:r w:rsidR="009E3A91">
        <w:t>artial year participation in the MBA program will be charged on a pro-rata basis on the number of quarters in which monitoring occurs. It is not anticipated that monitoring of providers will change within a given financial year, however, this methodology accommodates new NBN service provider entrants.</w:t>
      </w:r>
    </w:p>
    <w:p w14:paraId="00798912" w14:textId="77777777" w:rsidR="009E3A91" w:rsidRPr="00554D1B" w:rsidRDefault="009E3A91" w:rsidP="009E3A91">
      <w:bookmarkStart w:id="224" w:name="_Hlk8120198"/>
      <w:r>
        <w:t xml:space="preserve">Invoicing for the charging activity will occur in accordance with existing ACLC </w:t>
      </w:r>
      <w:r w:rsidRPr="00997E71">
        <w:t xml:space="preserve">arrangements. </w:t>
      </w:r>
      <w:r>
        <w:t>The activities funded by the ACLC may be subject to future Communications Portfolio Charging Reviews.</w:t>
      </w:r>
    </w:p>
    <w:p w14:paraId="518C277E" w14:textId="77777777" w:rsidR="009E3A91" w:rsidRDefault="009E3A91" w:rsidP="009E3A91">
      <w:pPr>
        <w:pStyle w:val="Heading1"/>
      </w:pPr>
      <w:bookmarkStart w:id="225" w:name="_Toc511294494"/>
      <w:bookmarkStart w:id="226" w:name="_Toc511634429"/>
      <w:bookmarkStart w:id="227" w:name="_Toc26786369"/>
      <w:bookmarkEnd w:id="224"/>
      <w:r w:rsidRPr="00CC3F4B">
        <w:lastRenderedPageBreak/>
        <w:t xml:space="preserve">4. </w:t>
      </w:r>
      <w:r w:rsidRPr="00CC3F4B">
        <w:tab/>
      </w:r>
      <w:r>
        <w:t>Risk assessment</w:t>
      </w:r>
      <w:bookmarkEnd w:id="225"/>
      <w:bookmarkEnd w:id="226"/>
      <w:bookmarkEnd w:id="227"/>
    </w:p>
    <w:p w14:paraId="08D3F035" w14:textId="77777777" w:rsidR="009E3A91" w:rsidRDefault="009E3A91" w:rsidP="009E3A91">
      <w:pPr>
        <w:autoSpaceDE w:val="0"/>
        <w:autoSpaceDN w:val="0"/>
        <w:adjustRightInd w:val="0"/>
        <w:rPr>
          <w:rFonts w:eastAsia="Calibri" w:cs="Arial"/>
          <w:color w:val="000000"/>
          <w:szCs w:val="20"/>
          <w:lang w:eastAsia="en-US"/>
        </w:rPr>
      </w:pPr>
      <w:r>
        <w:rPr>
          <w:rFonts w:eastAsia="Calibri" w:cs="Arial"/>
          <w:color w:val="000000"/>
          <w:szCs w:val="20"/>
          <w:lang w:eastAsia="en-US"/>
        </w:rPr>
        <w:t>A</w:t>
      </w:r>
      <w:r w:rsidRPr="00AE2183">
        <w:rPr>
          <w:rFonts w:eastAsia="Calibri" w:cs="Arial"/>
          <w:color w:val="000000"/>
          <w:szCs w:val="20"/>
          <w:lang w:eastAsia="en-US"/>
        </w:rPr>
        <w:t xml:space="preserve"> risk assessment </w:t>
      </w:r>
      <w:r>
        <w:rPr>
          <w:rFonts w:eastAsia="Calibri" w:cs="Arial"/>
          <w:color w:val="000000"/>
          <w:szCs w:val="20"/>
          <w:lang w:eastAsia="en-US"/>
        </w:rPr>
        <w:t xml:space="preserve">has been completed </w:t>
      </w:r>
      <w:r w:rsidRPr="00AE2183">
        <w:rPr>
          <w:rFonts w:eastAsia="Calibri" w:cs="Arial"/>
          <w:color w:val="000000"/>
          <w:szCs w:val="20"/>
          <w:lang w:eastAsia="en-US"/>
        </w:rPr>
        <w:t xml:space="preserve">for each component of the </w:t>
      </w:r>
      <w:r>
        <w:rPr>
          <w:rFonts w:eastAsia="Calibri" w:cs="Arial"/>
          <w:color w:val="000000"/>
          <w:szCs w:val="20"/>
          <w:lang w:eastAsia="en-US"/>
        </w:rPr>
        <w:t>MBA program cost recovery</w:t>
      </w:r>
      <w:r w:rsidRPr="00AE2183">
        <w:rPr>
          <w:rFonts w:eastAsia="Calibri" w:cs="Arial"/>
          <w:color w:val="000000"/>
          <w:szCs w:val="20"/>
          <w:lang w:eastAsia="en-US"/>
        </w:rPr>
        <w:t xml:space="preserve">, resulting in an overall </w:t>
      </w:r>
      <w:r>
        <w:rPr>
          <w:rFonts w:eastAsia="Calibri" w:cs="Arial"/>
          <w:color w:val="000000"/>
          <w:szCs w:val="20"/>
          <w:lang w:eastAsia="en-US"/>
        </w:rPr>
        <w:t xml:space="preserve">risk </w:t>
      </w:r>
      <w:r w:rsidRPr="00AE2183">
        <w:rPr>
          <w:rFonts w:eastAsia="Calibri" w:cs="Arial"/>
          <w:color w:val="000000"/>
          <w:szCs w:val="20"/>
          <w:lang w:eastAsia="en-US"/>
        </w:rPr>
        <w:t>rating of medium, with the following individual rating</w:t>
      </w:r>
      <w:r>
        <w:rPr>
          <w:rFonts w:eastAsia="Calibri" w:cs="Arial"/>
          <w:color w:val="000000"/>
          <w:szCs w:val="20"/>
          <w:lang w:eastAsia="en-US"/>
        </w:rPr>
        <w:t>s</w:t>
      </w:r>
      <w:r w:rsidRPr="00AE2183">
        <w:rPr>
          <w:rFonts w:eastAsia="Calibri" w:cs="Arial"/>
          <w:color w:val="000000"/>
          <w:szCs w:val="20"/>
          <w:lang w:eastAsia="en-US"/>
        </w:rPr>
        <w:t xml:space="preserve"> for each cost component.</w:t>
      </w:r>
    </w:p>
    <w:p w14:paraId="45B2E19E" w14:textId="77777777" w:rsidR="009E3A91" w:rsidRPr="006A56FD" w:rsidRDefault="009E3A91" w:rsidP="009E3A91">
      <w:pPr>
        <w:pStyle w:val="ACMATableHeader"/>
        <w:rPr>
          <w:rFonts w:eastAsia="Calibri"/>
        </w:rPr>
      </w:pPr>
      <w:r w:rsidRPr="006A56FD">
        <w:t xml:space="preserve">Risk ratings for </w:t>
      </w:r>
      <w:r>
        <w:t>MBA cost recovery</w:t>
      </w:r>
    </w:p>
    <w:tbl>
      <w:tblPr>
        <w:tblStyle w:val="TableGrid"/>
        <w:tblW w:w="5000" w:type="pct"/>
        <w:tblCellMar>
          <w:top w:w="57" w:type="dxa"/>
          <w:bottom w:w="57" w:type="dxa"/>
        </w:tblCellMar>
        <w:tblLook w:val="04A0" w:firstRow="1" w:lastRow="0" w:firstColumn="1" w:lastColumn="0" w:noHBand="0" w:noVBand="1"/>
        <w:tblCaption w:val="Risk rating for ACLC components"/>
        <w:tblDescription w:val="Includes the reference in the Act, cost component and risk rating."/>
      </w:tblPr>
      <w:tblGrid>
        <w:gridCol w:w="2854"/>
        <w:gridCol w:w="3538"/>
        <w:gridCol w:w="1269"/>
      </w:tblGrid>
      <w:tr w:rsidR="009E3A91" w14:paraId="6BDECBB4" w14:textId="77777777" w:rsidTr="006123EF">
        <w:trPr>
          <w:cantSplit/>
          <w:trHeight w:val="374"/>
          <w:tblHeader/>
        </w:trPr>
        <w:tc>
          <w:tcPr>
            <w:tcW w:w="1863" w:type="pct"/>
            <w:shd w:val="clear" w:color="auto" w:fill="404040" w:themeFill="text1" w:themeFillTint="BF"/>
          </w:tcPr>
          <w:p w14:paraId="7A86455C" w14:textId="77777777" w:rsidR="009E3A91" w:rsidRPr="00CE6BED" w:rsidRDefault="009E3A91" w:rsidP="009E3A91">
            <w:pPr>
              <w:pStyle w:val="TableHeading"/>
              <w:rPr>
                <w:rFonts w:eastAsia="Calibri"/>
                <w:color w:val="FFFFFF" w:themeColor="background1"/>
                <w:lang w:eastAsia="en-US"/>
              </w:rPr>
            </w:pPr>
            <w:r>
              <w:rPr>
                <w:color w:val="FFFFFF" w:themeColor="background1"/>
              </w:rPr>
              <w:t>Risk factor</w:t>
            </w:r>
          </w:p>
        </w:tc>
        <w:tc>
          <w:tcPr>
            <w:tcW w:w="2309" w:type="pct"/>
            <w:shd w:val="clear" w:color="auto" w:fill="404040" w:themeFill="text1" w:themeFillTint="BF"/>
          </w:tcPr>
          <w:p w14:paraId="0C1FC7E5" w14:textId="77777777" w:rsidR="009E3A91" w:rsidRPr="00CE6BED" w:rsidRDefault="009E3A91" w:rsidP="009E3A91">
            <w:pPr>
              <w:pStyle w:val="TableHeading"/>
              <w:rPr>
                <w:rFonts w:eastAsia="Calibri"/>
                <w:color w:val="FFFFFF" w:themeColor="background1"/>
                <w:lang w:eastAsia="en-US"/>
              </w:rPr>
            </w:pPr>
            <w:r>
              <w:rPr>
                <w:color w:val="FFFFFF" w:themeColor="background1"/>
              </w:rPr>
              <w:t>Rationale for risk rating</w:t>
            </w:r>
          </w:p>
        </w:tc>
        <w:tc>
          <w:tcPr>
            <w:tcW w:w="828" w:type="pct"/>
            <w:shd w:val="clear" w:color="auto" w:fill="404040" w:themeFill="text1" w:themeFillTint="BF"/>
          </w:tcPr>
          <w:p w14:paraId="3A445E34" w14:textId="77777777" w:rsidR="009E3A91" w:rsidRPr="00CE6BED" w:rsidRDefault="009E3A91" w:rsidP="009E3A91">
            <w:pPr>
              <w:pStyle w:val="TableHeading"/>
              <w:rPr>
                <w:color w:val="FFFFFF" w:themeColor="background1"/>
              </w:rPr>
            </w:pPr>
            <w:r>
              <w:rPr>
                <w:color w:val="FFFFFF" w:themeColor="background1"/>
              </w:rPr>
              <w:t>Risk rating</w:t>
            </w:r>
          </w:p>
        </w:tc>
      </w:tr>
      <w:tr w:rsidR="009E3A91" w14:paraId="561A680D" w14:textId="77777777" w:rsidTr="006123EF">
        <w:trPr>
          <w:cantSplit/>
          <w:tblHeader/>
        </w:trPr>
        <w:tc>
          <w:tcPr>
            <w:tcW w:w="1863" w:type="pct"/>
          </w:tcPr>
          <w:p w14:paraId="5D3997EC" w14:textId="4877D2C7" w:rsidR="009E3A91" w:rsidRDefault="009E3A91" w:rsidP="009E3A91">
            <w:pPr>
              <w:autoSpaceDE w:val="0"/>
              <w:autoSpaceDN w:val="0"/>
              <w:adjustRightInd w:val="0"/>
              <w:spacing w:after="0"/>
              <w:rPr>
                <w:rFonts w:eastAsia="Calibri" w:cs="Arial"/>
                <w:color w:val="000000"/>
                <w:szCs w:val="20"/>
                <w:lang w:eastAsia="en-US"/>
              </w:rPr>
            </w:pPr>
            <w:r w:rsidRPr="00FE3E22">
              <w:t>What is the change in annual cost</w:t>
            </w:r>
            <w:r>
              <w:t>-</w:t>
            </w:r>
            <w:r w:rsidRPr="00FE3E22">
              <w:t>recovery revenue for the activity?</w:t>
            </w:r>
          </w:p>
        </w:tc>
        <w:tc>
          <w:tcPr>
            <w:tcW w:w="2309" w:type="pct"/>
          </w:tcPr>
          <w:p w14:paraId="0586295B" w14:textId="77777777" w:rsidR="009E3A91" w:rsidRDefault="009E3A91" w:rsidP="009E3A91">
            <w:pPr>
              <w:autoSpaceDE w:val="0"/>
              <w:autoSpaceDN w:val="0"/>
              <w:adjustRightInd w:val="0"/>
              <w:spacing w:after="0"/>
              <w:rPr>
                <w:rFonts w:eastAsia="Calibri" w:cs="Arial"/>
                <w:color w:val="000000"/>
                <w:szCs w:val="20"/>
                <w:lang w:eastAsia="en-US"/>
              </w:rPr>
            </w:pPr>
            <w:r w:rsidRPr="00FE3E22">
              <w:t xml:space="preserve">Resulting change to </w:t>
            </w:r>
            <w:r>
              <w:t xml:space="preserve">total </w:t>
            </w:r>
            <w:r w:rsidRPr="00FE3E22">
              <w:t>ACLC of less than five per cent</w:t>
            </w:r>
          </w:p>
        </w:tc>
        <w:tc>
          <w:tcPr>
            <w:tcW w:w="828" w:type="pct"/>
          </w:tcPr>
          <w:p w14:paraId="06ED3BC3" w14:textId="77777777" w:rsidR="009E3A91" w:rsidRPr="00FE3E22" w:rsidRDefault="009E3A91" w:rsidP="009E3A91">
            <w:pPr>
              <w:autoSpaceDE w:val="0"/>
              <w:autoSpaceDN w:val="0"/>
              <w:adjustRightInd w:val="0"/>
              <w:spacing w:after="0"/>
            </w:pPr>
            <w:r w:rsidRPr="00FE3E22">
              <w:t>Low</w:t>
            </w:r>
          </w:p>
        </w:tc>
      </w:tr>
      <w:tr w:rsidR="009E3A91" w14:paraId="1805778F" w14:textId="77777777" w:rsidTr="006123EF">
        <w:trPr>
          <w:cantSplit/>
          <w:tblHeader/>
        </w:trPr>
        <w:tc>
          <w:tcPr>
            <w:tcW w:w="1863" w:type="pct"/>
          </w:tcPr>
          <w:p w14:paraId="4E16AE1D" w14:textId="37DDE8DF" w:rsidR="009E3A91" w:rsidRDefault="009E3A91" w:rsidP="009E3A91">
            <w:pPr>
              <w:autoSpaceDE w:val="0"/>
              <w:autoSpaceDN w:val="0"/>
              <w:adjustRightInd w:val="0"/>
              <w:spacing w:after="0"/>
              <w:rPr>
                <w:rFonts w:eastAsia="Calibri" w:cs="Arial"/>
                <w:color w:val="000000"/>
                <w:szCs w:val="20"/>
                <w:lang w:eastAsia="en-US"/>
              </w:rPr>
            </w:pPr>
            <w:r w:rsidRPr="00FE3E22">
              <w:t>What is the total annual cost</w:t>
            </w:r>
            <w:r>
              <w:t>-</w:t>
            </w:r>
            <w:r w:rsidRPr="00FE3E22">
              <w:t>recovery revenue for the activity?</w:t>
            </w:r>
          </w:p>
        </w:tc>
        <w:tc>
          <w:tcPr>
            <w:tcW w:w="2309" w:type="pct"/>
          </w:tcPr>
          <w:p w14:paraId="57225DE2" w14:textId="77777777" w:rsidR="009E3A91" w:rsidRDefault="009E3A91" w:rsidP="009E3A91">
            <w:pPr>
              <w:autoSpaceDE w:val="0"/>
              <w:autoSpaceDN w:val="0"/>
              <w:adjustRightInd w:val="0"/>
              <w:spacing w:after="0"/>
              <w:rPr>
                <w:rFonts w:eastAsia="Calibri" w:cs="Arial"/>
                <w:color w:val="000000"/>
                <w:szCs w:val="20"/>
                <w:lang w:eastAsia="en-US"/>
              </w:rPr>
            </w:pPr>
            <w:r w:rsidRPr="00FE3E22">
              <w:t>Total annual cost recover of less than $10 million</w:t>
            </w:r>
          </w:p>
        </w:tc>
        <w:tc>
          <w:tcPr>
            <w:tcW w:w="828" w:type="pct"/>
          </w:tcPr>
          <w:p w14:paraId="5C788EA7" w14:textId="77777777" w:rsidR="009E3A91" w:rsidRPr="00FE3E22" w:rsidRDefault="009E3A91" w:rsidP="009E3A91">
            <w:pPr>
              <w:autoSpaceDE w:val="0"/>
              <w:autoSpaceDN w:val="0"/>
              <w:adjustRightInd w:val="0"/>
              <w:spacing w:after="0"/>
            </w:pPr>
            <w:r w:rsidRPr="00FE3E22">
              <w:t>Low</w:t>
            </w:r>
          </w:p>
        </w:tc>
      </w:tr>
      <w:tr w:rsidR="009E3A91" w14:paraId="0D842400" w14:textId="77777777" w:rsidTr="006123EF">
        <w:trPr>
          <w:cantSplit/>
          <w:tblHeader/>
        </w:trPr>
        <w:tc>
          <w:tcPr>
            <w:tcW w:w="1863" w:type="pct"/>
          </w:tcPr>
          <w:p w14:paraId="24C86917" w14:textId="77777777" w:rsidR="009E3A91" w:rsidRDefault="009E3A91" w:rsidP="009E3A91">
            <w:pPr>
              <w:autoSpaceDE w:val="0"/>
              <w:autoSpaceDN w:val="0"/>
              <w:adjustRightInd w:val="0"/>
              <w:spacing w:after="0"/>
              <w:rPr>
                <w:rFonts w:eastAsia="Calibri" w:cs="Arial"/>
                <w:color w:val="000000"/>
                <w:szCs w:val="20"/>
                <w:lang w:eastAsia="en-US"/>
              </w:rPr>
            </w:pPr>
            <w:r w:rsidRPr="00FE3E22">
              <w:t>What does the policy proposal or change in the cost</w:t>
            </w:r>
            <w:r>
              <w:t>-</w:t>
            </w:r>
            <w:r w:rsidRPr="00FE3E22">
              <w:t>recovered activity involve?</w:t>
            </w:r>
          </w:p>
        </w:tc>
        <w:tc>
          <w:tcPr>
            <w:tcW w:w="2309" w:type="pct"/>
          </w:tcPr>
          <w:p w14:paraId="37745D6A" w14:textId="77777777" w:rsidR="009E3A91" w:rsidRDefault="009E3A91" w:rsidP="009E3A91">
            <w:pPr>
              <w:autoSpaceDE w:val="0"/>
              <w:autoSpaceDN w:val="0"/>
              <w:adjustRightInd w:val="0"/>
              <w:spacing w:after="0"/>
              <w:rPr>
                <w:rFonts w:eastAsia="Calibri" w:cs="Arial"/>
                <w:color w:val="000000"/>
                <w:szCs w:val="20"/>
                <w:lang w:eastAsia="en-US"/>
              </w:rPr>
            </w:pPr>
            <w:r w:rsidRPr="00FE3E22">
              <w:t>Introduction of cost recovery for a new activity or for an existing activity (or its components) that has not been cost recovered previously</w:t>
            </w:r>
          </w:p>
        </w:tc>
        <w:tc>
          <w:tcPr>
            <w:tcW w:w="828" w:type="pct"/>
          </w:tcPr>
          <w:p w14:paraId="06307EFB" w14:textId="77777777" w:rsidR="009E3A91" w:rsidRPr="00FE3E22" w:rsidRDefault="009E3A91" w:rsidP="009E3A91">
            <w:pPr>
              <w:autoSpaceDE w:val="0"/>
              <w:autoSpaceDN w:val="0"/>
              <w:adjustRightInd w:val="0"/>
              <w:spacing w:after="0"/>
            </w:pPr>
            <w:r w:rsidRPr="00FE3E22">
              <w:t>High</w:t>
            </w:r>
          </w:p>
        </w:tc>
      </w:tr>
      <w:tr w:rsidR="009E3A91" w14:paraId="6BBE8D59" w14:textId="77777777" w:rsidTr="006123EF">
        <w:trPr>
          <w:cantSplit/>
          <w:tblHeader/>
        </w:trPr>
        <w:tc>
          <w:tcPr>
            <w:tcW w:w="1863" w:type="pct"/>
          </w:tcPr>
          <w:p w14:paraId="2165CC0C" w14:textId="77777777" w:rsidR="009E3A91" w:rsidRDefault="009E3A91" w:rsidP="009E3A91">
            <w:pPr>
              <w:autoSpaceDE w:val="0"/>
              <w:autoSpaceDN w:val="0"/>
              <w:adjustRightInd w:val="0"/>
              <w:spacing w:after="0"/>
              <w:rPr>
                <w:rFonts w:eastAsia="Calibri" w:cs="Arial"/>
                <w:color w:val="000000"/>
                <w:szCs w:val="20"/>
                <w:lang w:eastAsia="en-US"/>
              </w:rPr>
            </w:pPr>
            <w:r w:rsidRPr="00FE3E22">
              <w:t>What type of cost</w:t>
            </w:r>
            <w:r>
              <w:t>-</w:t>
            </w:r>
            <w:r w:rsidRPr="00FE3E22">
              <w:t>recovery charges will be used?</w:t>
            </w:r>
          </w:p>
        </w:tc>
        <w:tc>
          <w:tcPr>
            <w:tcW w:w="2309" w:type="pct"/>
          </w:tcPr>
          <w:p w14:paraId="5951BD1A" w14:textId="77777777" w:rsidR="009E3A91" w:rsidRDefault="009E3A91" w:rsidP="009E3A91">
            <w:pPr>
              <w:autoSpaceDE w:val="0"/>
              <w:autoSpaceDN w:val="0"/>
              <w:adjustRightInd w:val="0"/>
              <w:spacing w:after="0"/>
              <w:rPr>
                <w:rFonts w:eastAsia="Calibri" w:cs="Arial"/>
                <w:color w:val="000000"/>
                <w:szCs w:val="20"/>
                <w:lang w:eastAsia="en-US"/>
              </w:rPr>
            </w:pPr>
            <w:r w:rsidRPr="00FE3E22">
              <w:t>Fees only or fees and levies</w:t>
            </w:r>
          </w:p>
        </w:tc>
        <w:tc>
          <w:tcPr>
            <w:tcW w:w="828" w:type="pct"/>
          </w:tcPr>
          <w:p w14:paraId="2FD078FF" w14:textId="77777777" w:rsidR="009E3A91" w:rsidRPr="00FE3E22" w:rsidRDefault="009E3A91" w:rsidP="009E3A91">
            <w:pPr>
              <w:autoSpaceDE w:val="0"/>
              <w:autoSpaceDN w:val="0"/>
              <w:adjustRightInd w:val="0"/>
              <w:spacing w:after="0"/>
            </w:pPr>
            <w:r w:rsidRPr="00FE3E22">
              <w:t>Medium</w:t>
            </w:r>
          </w:p>
        </w:tc>
      </w:tr>
      <w:tr w:rsidR="009E3A91" w14:paraId="299464BA" w14:textId="77777777" w:rsidTr="006123EF">
        <w:trPr>
          <w:cantSplit/>
          <w:tblHeader/>
        </w:trPr>
        <w:tc>
          <w:tcPr>
            <w:tcW w:w="1863" w:type="pct"/>
          </w:tcPr>
          <w:p w14:paraId="084190D0" w14:textId="77777777" w:rsidR="009E3A91" w:rsidRDefault="009E3A91" w:rsidP="009E3A91">
            <w:pPr>
              <w:autoSpaceDE w:val="0"/>
              <w:autoSpaceDN w:val="0"/>
              <w:adjustRightInd w:val="0"/>
              <w:spacing w:after="0"/>
              <w:rPr>
                <w:rFonts w:eastAsia="Calibri" w:cs="Arial"/>
                <w:color w:val="000000"/>
                <w:szCs w:val="20"/>
                <w:lang w:eastAsia="en-US"/>
              </w:rPr>
            </w:pPr>
            <w:r w:rsidRPr="00FE3E22">
              <w:t xml:space="preserve">What legislative requirements are necessary for </w:t>
            </w:r>
            <w:r>
              <w:t xml:space="preserve">the </w:t>
            </w:r>
            <w:r w:rsidRPr="00FE3E22">
              <w:t>imposition of cost</w:t>
            </w:r>
            <w:r>
              <w:t>-</w:t>
            </w:r>
            <w:r w:rsidRPr="00FE3E22">
              <w:t>recovery charges?</w:t>
            </w:r>
          </w:p>
        </w:tc>
        <w:tc>
          <w:tcPr>
            <w:tcW w:w="2309" w:type="pct"/>
          </w:tcPr>
          <w:p w14:paraId="565D2A3E" w14:textId="34C4E605" w:rsidR="009E3A91" w:rsidRDefault="009E3A91" w:rsidP="009E3A91">
            <w:pPr>
              <w:autoSpaceDE w:val="0"/>
              <w:autoSpaceDN w:val="0"/>
              <w:adjustRightInd w:val="0"/>
              <w:spacing w:after="0"/>
              <w:rPr>
                <w:rFonts w:eastAsia="Calibri" w:cs="Arial"/>
                <w:color w:val="000000"/>
                <w:szCs w:val="20"/>
                <w:lang w:eastAsia="en-US"/>
              </w:rPr>
            </w:pPr>
            <w:r w:rsidRPr="00FE3E22">
              <w:t>Does not involve an Act of Parliament</w:t>
            </w:r>
          </w:p>
        </w:tc>
        <w:tc>
          <w:tcPr>
            <w:tcW w:w="828" w:type="pct"/>
          </w:tcPr>
          <w:p w14:paraId="4F2A6C95" w14:textId="77777777" w:rsidR="009E3A91" w:rsidRPr="00FE3E22" w:rsidRDefault="009E3A91" w:rsidP="009E3A91">
            <w:pPr>
              <w:autoSpaceDE w:val="0"/>
              <w:autoSpaceDN w:val="0"/>
              <w:adjustRightInd w:val="0"/>
              <w:spacing w:after="0"/>
            </w:pPr>
            <w:r w:rsidRPr="00FE3E22">
              <w:t>Low</w:t>
            </w:r>
          </w:p>
        </w:tc>
      </w:tr>
      <w:tr w:rsidR="009E3A91" w14:paraId="7426B656" w14:textId="77777777" w:rsidTr="006123EF">
        <w:trPr>
          <w:cantSplit/>
          <w:tblHeader/>
        </w:trPr>
        <w:tc>
          <w:tcPr>
            <w:tcW w:w="1863" w:type="pct"/>
          </w:tcPr>
          <w:p w14:paraId="3CE8E9D2" w14:textId="77777777" w:rsidR="009E3A91" w:rsidRDefault="009E3A91" w:rsidP="009E3A91">
            <w:pPr>
              <w:autoSpaceDE w:val="0"/>
              <w:autoSpaceDN w:val="0"/>
              <w:adjustRightInd w:val="0"/>
              <w:spacing w:after="0"/>
              <w:rPr>
                <w:rFonts w:eastAsia="Calibri" w:cs="Arial"/>
                <w:color w:val="000000"/>
                <w:szCs w:val="20"/>
                <w:lang w:eastAsia="en-US"/>
              </w:rPr>
            </w:pPr>
            <w:r w:rsidRPr="00FE3E22">
              <w:t xml:space="preserve">Does the proposal involve working with other Commonwealth, </w:t>
            </w:r>
            <w:r>
              <w:t>s</w:t>
            </w:r>
            <w:r w:rsidRPr="00FE3E22">
              <w:t>tate/</w:t>
            </w:r>
            <w:r>
              <w:t>t</w:t>
            </w:r>
            <w:r w:rsidRPr="00FE3E22">
              <w:t>erritory and/or local government entities?</w:t>
            </w:r>
          </w:p>
        </w:tc>
        <w:tc>
          <w:tcPr>
            <w:tcW w:w="2309" w:type="pct"/>
          </w:tcPr>
          <w:p w14:paraId="4E5EE43F" w14:textId="77777777" w:rsidR="009E3A91" w:rsidRDefault="009E3A91" w:rsidP="009E3A91">
            <w:pPr>
              <w:autoSpaceDE w:val="0"/>
              <w:autoSpaceDN w:val="0"/>
              <w:adjustRightInd w:val="0"/>
              <w:spacing w:after="0"/>
              <w:rPr>
                <w:rFonts w:eastAsia="Calibri" w:cs="Arial"/>
                <w:color w:val="000000"/>
                <w:szCs w:val="20"/>
                <w:lang w:eastAsia="en-US"/>
              </w:rPr>
            </w:pPr>
            <w:r w:rsidRPr="00FE3E22">
              <w:t>Involves only Commonwealth entities</w:t>
            </w:r>
          </w:p>
        </w:tc>
        <w:tc>
          <w:tcPr>
            <w:tcW w:w="828" w:type="pct"/>
          </w:tcPr>
          <w:p w14:paraId="29671F40" w14:textId="77777777" w:rsidR="009E3A91" w:rsidRPr="00FE3E22" w:rsidRDefault="009E3A91" w:rsidP="009E3A91">
            <w:pPr>
              <w:autoSpaceDE w:val="0"/>
              <w:autoSpaceDN w:val="0"/>
              <w:adjustRightInd w:val="0"/>
              <w:spacing w:after="0"/>
            </w:pPr>
            <w:r w:rsidRPr="00FE3E22">
              <w:t>Low</w:t>
            </w:r>
          </w:p>
        </w:tc>
      </w:tr>
      <w:tr w:rsidR="009E3A91" w14:paraId="039BD38D" w14:textId="77777777" w:rsidTr="006123EF">
        <w:trPr>
          <w:cantSplit/>
          <w:tblHeader/>
        </w:trPr>
        <w:tc>
          <w:tcPr>
            <w:tcW w:w="1863" w:type="pct"/>
          </w:tcPr>
          <w:p w14:paraId="0C2DE427" w14:textId="77777777" w:rsidR="009E3A91" w:rsidRDefault="009E3A91" w:rsidP="009E3A91">
            <w:pPr>
              <w:autoSpaceDE w:val="0"/>
              <w:autoSpaceDN w:val="0"/>
              <w:adjustRightInd w:val="0"/>
              <w:spacing w:after="0"/>
              <w:rPr>
                <w:rFonts w:eastAsia="Calibri" w:cs="Arial"/>
                <w:color w:val="000000"/>
                <w:szCs w:val="20"/>
                <w:lang w:eastAsia="en-US"/>
              </w:rPr>
            </w:pPr>
            <w:r w:rsidRPr="00FE3E22">
              <w:t xml:space="preserve">What will be the expected impact of cost recovery on payers? </w:t>
            </w:r>
          </w:p>
        </w:tc>
        <w:tc>
          <w:tcPr>
            <w:tcW w:w="2309" w:type="pct"/>
          </w:tcPr>
          <w:p w14:paraId="579656A7" w14:textId="78EC4829" w:rsidR="009E3A91" w:rsidRDefault="009E3A91" w:rsidP="009E3A91">
            <w:pPr>
              <w:autoSpaceDE w:val="0"/>
              <w:autoSpaceDN w:val="0"/>
              <w:adjustRightInd w:val="0"/>
              <w:spacing w:after="0"/>
              <w:rPr>
                <w:rFonts w:eastAsia="Calibri" w:cs="Arial"/>
                <w:color w:val="000000"/>
                <w:szCs w:val="20"/>
                <w:lang w:eastAsia="en-US"/>
              </w:rPr>
            </w:pPr>
            <w:r w:rsidRPr="00FE3E22">
              <w:t>The additional cost imposed by the program</w:t>
            </w:r>
            <w:r>
              <w:t xml:space="preserve"> is</w:t>
            </w:r>
            <w:r w:rsidRPr="00FE3E22">
              <w:t xml:space="preserve"> low</w:t>
            </w:r>
          </w:p>
        </w:tc>
        <w:tc>
          <w:tcPr>
            <w:tcW w:w="828" w:type="pct"/>
          </w:tcPr>
          <w:p w14:paraId="3D871E22" w14:textId="77777777" w:rsidR="009E3A91" w:rsidRPr="00FE3E22" w:rsidRDefault="009E3A91" w:rsidP="009E3A91">
            <w:pPr>
              <w:autoSpaceDE w:val="0"/>
              <w:autoSpaceDN w:val="0"/>
              <w:adjustRightInd w:val="0"/>
              <w:spacing w:after="0"/>
            </w:pPr>
            <w:r w:rsidRPr="00FE3E22">
              <w:t>Low</w:t>
            </w:r>
          </w:p>
        </w:tc>
      </w:tr>
      <w:tr w:rsidR="009E3A91" w14:paraId="62375CD2" w14:textId="77777777" w:rsidTr="009E3A91">
        <w:trPr>
          <w:cantSplit/>
          <w:tblHeader/>
        </w:trPr>
        <w:tc>
          <w:tcPr>
            <w:tcW w:w="1863" w:type="pct"/>
          </w:tcPr>
          <w:p w14:paraId="0C0F697F" w14:textId="573B7EEA" w:rsidR="009E3A91" w:rsidRDefault="009E3A91" w:rsidP="009E3A91">
            <w:pPr>
              <w:autoSpaceDE w:val="0"/>
              <w:autoSpaceDN w:val="0"/>
              <w:adjustRightInd w:val="0"/>
              <w:spacing w:after="0"/>
              <w:rPr>
                <w:rFonts w:eastAsia="Calibri" w:cs="Arial"/>
                <w:color w:val="000000"/>
                <w:szCs w:val="20"/>
                <w:lang w:eastAsia="en-US"/>
              </w:rPr>
            </w:pPr>
            <w:r w:rsidRPr="00FE3E22">
              <w:t>What consultation has occurred with payers and other stakeholders about the cost recovery?</w:t>
            </w:r>
          </w:p>
        </w:tc>
        <w:tc>
          <w:tcPr>
            <w:tcW w:w="2309" w:type="pct"/>
          </w:tcPr>
          <w:p w14:paraId="464ED320" w14:textId="04102661" w:rsidR="009E3A91" w:rsidRPr="00544310" w:rsidRDefault="008F49D9" w:rsidP="00F24FB7">
            <w:pPr>
              <w:autoSpaceDE w:val="0"/>
              <w:autoSpaceDN w:val="0"/>
              <w:adjustRightInd w:val="0"/>
              <w:spacing w:after="0"/>
              <w:rPr>
                <w:rFonts w:eastAsia="Calibri" w:cs="Arial"/>
                <w:color w:val="000000"/>
                <w:szCs w:val="20"/>
                <w:lang w:eastAsia="en-US"/>
              </w:rPr>
            </w:pPr>
            <w:r w:rsidRPr="00544310">
              <w:t>C</w:t>
            </w:r>
            <w:r>
              <w:t>onsulted for a four-week period from 22 July 2019</w:t>
            </w:r>
          </w:p>
        </w:tc>
        <w:tc>
          <w:tcPr>
            <w:tcW w:w="828" w:type="pct"/>
          </w:tcPr>
          <w:p w14:paraId="59064FFC" w14:textId="7D854437" w:rsidR="009E3A91" w:rsidRPr="00DE36F8" w:rsidRDefault="00AE51BB" w:rsidP="009E57B0">
            <w:pPr>
              <w:autoSpaceDE w:val="0"/>
              <w:autoSpaceDN w:val="0"/>
              <w:adjustRightInd w:val="0"/>
              <w:spacing w:after="0"/>
            </w:pPr>
            <w:r>
              <w:t>Not applicable</w:t>
            </w:r>
          </w:p>
        </w:tc>
      </w:tr>
      <w:tr w:rsidR="009E3A91" w14:paraId="01242733" w14:textId="77777777" w:rsidTr="006123EF">
        <w:trPr>
          <w:cantSplit/>
          <w:tblHeader/>
        </w:trPr>
        <w:tc>
          <w:tcPr>
            <w:tcW w:w="4172" w:type="pct"/>
            <w:gridSpan w:val="2"/>
            <w:shd w:val="clear" w:color="auto" w:fill="D9D9D9" w:themeFill="background1" w:themeFillShade="D9"/>
          </w:tcPr>
          <w:p w14:paraId="00F0E22C" w14:textId="77777777" w:rsidR="009E3A91" w:rsidRPr="00593B36" w:rsidRDefault="009E3A91" w:rsidP="009E3A91">
            <w:pPr>
              <w:autoSpaceDE w:val="0"/>
              <w:autoSpaceDN w:val="0"/>
              <w:adjustRightInd w:val="0"/>
              <w:spacing w:after="0"/>
              <w:rPr>
                <w:rFonts w:eastAsia="Calibri" w:cs="Arial"/>
                <w:b/>
                <w:color w:val="000000"/>
                <w:szCs w:val="20"/>
                <w:lang w:eastAsia="en-US"/>
              </w:rPr>
            </w:pPr>
            <w:r>
              <w:rPr>
                <w:rFonts w:cs="Arial"/>
                <w:b/>
                <w:szCs w:val="20"/>
              </w:rPr>
              <w:t>Overall rating</w:t>
            </w:r>
          </w:p>
        </w:tc>
        <w:tc>
          <w:tcPr>
            <w:tcW w:w="828" w:type="pct"/>
            <w:shd w:val="clear" w:color="auto" w:fill="D9D9D9" w:themeFill="background1" w:themeFillShade="D9"/>
          </w:tcPr>
          <w:p w14:paraId="34216B75" w14:textId="77777777" w:rsidR="009E3A91" w:rsidRPr="00593B36" w:rsidRDefault="009E3A91" w:rsidP="009E3A91">
            <w:pPr>
              <w:autoSpaceDE w:val="0"/>
              <w:autoSpaceDN w:val="0"/>
              <w:adjustRightInd w:val="0"/>
              <w:spacing w:after="0"/>
              <w:rPr>
                <w:rFonts w:cs="Arial"/>
                <w:b/>
                <w:szCs w:val="20"/>
              </w:rPr>
            </w:pPr>
            <w:r w:rsidRPr="00593B36">
              <w:rPr>
                <w:rFonts w:cs="Arial"/>
                <w:b/>
                <w:szCs w:val="20"/>
              </w:rPr>
              <w:t>Medium</w:t>
            </w:r>
          </w:p>
        </w:tc>
      </w:tr>
    </w:tbl>
    <w:p w14:paraId="23ECB347" w14:textId="124C81B8" w:rsidR="009E3A91" w:rsidRDefault="009E3A91" w:rsidP="009E3A91">
      <w:pPr>
        <w:autoSpaceDE w:val="0"/>
        <w:autoSpaceDN w:val="0"/>
        <w:adjustRightInd w:val="0"/>
        <w:spacing w:before="240"/>
        <w:ind w:right="140"/>
        <w:rPr>
          <w:szCs w:val="20"/>
        </w:rPr>
      </w:pPr>
      <w:r>
        <w:rPr>
          <w:szCs w:val="20"/>
        </w:rPr>
        <w:t xml:space="preserve">The above risk rating is based on assessment of the criteria in the </w:t>
      </w:r>
      <w:hyperlink r:id="rId31" w:history="1">
        <w:r w:rsidR="008519E7" w:rsidRPr="00CB036B">
          <w:rPr>
            <w:rStyle w:val="Hyperlink"/>
            <w:szCs w:val="20"/>
          </w:rPr>
          <w:t>Charging Risk Assessment template</w:t>
        </w:r>
      </w:hyperlink>
      <w:r w:rsidR="008519E7">
        <w:rPr>
          <w:szCs w:val="20"/>
        </w:rPr>
        <w:t xml:space="preserve">. </w:t>
      </w:r>
      <w:r>
        <w:rPr>
          <w:szCs w:val="20"/>
        </w:rPr>
        <w:t>Due to a</w:t>
      </w:r>
      <w:r w:rsidRPr="00243005">
        <w:rPr>
          <w:szCs w:val="20"/>
        </w:rPr>
        <w:t>n overall risk rating of medium</w:t>
      </w:r>
      <w:r>
        <w:rPr>
          <w:rStyle w:val="FootnoteReference"/>
          <w:szCs w:val="20"/>
        </w:rPr>
        <w:footnoteReference w:id="23"/>
      </w:r>
      <w:r>
        <w:rPr>
          <w:szCs w:val="20"/>
        </w:rPr>
        <w:t xml:space="preserve">, </w:t>
      </w:r>
      <w:r w:rsidRPr="00243005">
        <w:rPr>
          <w:szCs w:val="20"/>
        </w:rPr>
        <w:t xml:space="preserve">the CRIS </w:t>
      </w:r>
      <w:r>
        <w:rPr>
          <w:szCs w:val="20"/>
        </w:rPr>
        <w:t xml:space="preserve">addendum </w:t>
      </w:r>
      <w:r w:rsidRPr="00243005">
        <w:rPr>
          <w:szCs w:val="20"/>
        </w:rPr>
        <w:t xml:space="preserve">can be approved by the responsible </w:t>
      </w:r>
      <w:r>
        <w:rPr>
          <w:szCs w:val="20"/>
        </w:rPr>
        <w:t>m</w:t>
      </w:r>
      <w:r w:rsidRPr="00243005">
        <w:rPr>
          <w:szCs w:val="20"/>
        </w:rPr>
        <w:t>inister for release to commence charging and does not require approval from the Finance Minister</w:t>
      </w:r>
      <w:r>
        <w:rPr>
          <w:szCs w:val="20"/>
        </w:rPr>
        <w:t>.</w:t>
      </w:r>
    </w:p>
    <w:p w14:paraId="4AA67545" w14:textId="77777777" w:rsidR="009E3A91" w:rsidRPr="006E7651" w:rsidRDefault="009E3A91" w:rsidP="009E3A91">
      <w:pPr>
        <w:pStyle w:val="Heading1"/>
      </w:pPr>
      <w:bookmarkStart w:id="228" w:name="_Toc511294495"/>
      <w:bookmarkStart w:id="229" w:name="_Toc511634430"/>
      <w:bookmarkStart w:id="230" w:name="_Toc26786370"/>
      <w:r>
        <w:lastRenderedPageBreak/>
        <w:t>5</w:t>
      </w:r>
      <w:r w:rsidRPr="00CC3F4B">
        <w:t xml:space="preserve">. </w:t>
      </w:r>
      <w:r w:rsidRPr="00CC3F4B">
        <w:tab/>
        <w:t>Stakeholder engagement</w:t>
      </w:r>
      <w:bookmarkEnd w:id="228"/>
      <w:bookmarkEnd w:id="229"/>
      <w:bookmarkEnd w:id="230"/>
    </w:p>
    <w:p w14:paraId="6EEDC708" w14:textId="320F41AF" w:rsidR="009E3A91" w:rsidRPr="005D0A88" w:rsidRDefault="009E3A91" w:rsidP="009E3A91">
      <w:pPr>
        <w:rPr>
          <w:rFonts w:cs="Arial"/>
          <w:iCs/>
          <w:szCs w:val="20"/>
          <w:lang w:eastAsia="en-US"/>
        </w:rPr>
      </w:pPr>
      <w:r>
        <w:rPr>
          <w:rFonts w:cs="Arial"/>
          <w:iCs/>
          <w:szCs w:val="20"/>
          <w:lang w:eastAsia="en-US"/>
        </w:rPr>
        <w:t>In</w:t>
      </w:r>
      <w:r w:rsidRPr="005D0A88">
        <w:rPr>
          <w:rFonts w:cs="Arial"/>
          <w:iCs/>
          <w:szCs w:val="20"/>
          <w:lang w:eastAsia="en-US"/>
        </w:rPr>
        <w:t xml:space="preserve"> August 2013</w:t>
      </w:r>
      <w:r>
        <w:rPr>
          <w:rFonts w:cs="Arial"/>
          <w:iCs/>
          <w:szCs w:val="20"/>
          <w:lang w:eastAsia="en-US"/>
        </w:rPr>
        <w:t>,</w:t>
      </w:r>
      <w:r w:rsidRPr="005D0A88">
        <w:rPr>
          <w:rFonts w:cs="Arial"/>
          <w:iCs/>
          <w:szCs w:val="20"/>
          <w:lang w:eastAsia="en-US"/>
        </w:rPr>
        <w:t xml:space="preserve"> the ACCC released a consultation paper</w:t>
      </w:r>
      <w:r>
        <w:rPr>
          <w:rFonts w:cs="Arial"/>
          <w:iCs/>
          <w:szCs w:val="20"/>
          <w:lang w:eastAsia="en-US"/>
        </w:rPr>
        <w:t>,</w:t>
      </w:r>
      <w:r w:rsidRPr="005D0A88">
        <w:rPr>
          <w:rFonts w:cs="Arial"/>
          <w:iCs/>
          <w:szCs w:val="20"/>
          <w:lang w:eastAsia="en-US"/>
        </w:rPr>
        <w:t xml:space="preserve"> </w:t>
      </w:r>
      <w:r w:rsidRPr="00F37B15">
        <w:rPr>
          <w:rFonts w:cs="Arial"/>
          <w:i/>
          <w:iCs/>
          <w:szCs w:val="20"/>
          <w:lang w:eastAsia="en-US"/>
        </w:rPr>
        <w:t>Broadband Performance Monitoring and Reporting in the Australian Context</w:t>
      </w:r>
      <w:r w:rsidRPr="005D0A88">
        <w:rPr>
          <w:rFonts w:cs="Arial"/>
          <w:iCs/>
          <w:szCs w:val="20"/>
          <w:lang w:eastAsia="en-US"/>
        </w:rPr>
        <w:t xml:space="preserve">. The paper outlined the policy rationale for </w:t>
      </w:r>
      <w:r>
        <w:rPr>
          <w:rFonts w:cs="Arial"/>
          <w:iCs/>
          <w:szCs w:val="20"/>
          <w:lang w:eastAsia="en-US"/>
        </w:rPr>
        <w:t>the</w:t>
      </w:r>
      <w:r w:rsidRPr="005D0A88">
        <w:rPr>
          <w:rFonts w:cs="Arial"/>
          <w:iCs/>
          <w:szCs w:val="20"/>
          <w:lang w:eastAsia="en-US"/>
        </w:rPr>
        <w:t xml:space="preserve"> </w:t>
      </w:r>
      <w:r w:rsidR="00A10DEE">
        <w:rPr>
          <w:rFonts w:cs="Arial"/>
          <w:iCs/>
          <w:szCs w:val="20"/>
          <w:lang w:eastAsia="en-US"/>
        </w:rPr>
        <w:t>MBA program</w:t>
      </w:r>
      <w:r w:rsidRPr="005D0A88">
        <w:rPr>
          <w:rFonts w:cs="Arial"/>
          <w:iCs/>
          <w:szCs w:val="20"/>
          <w:lang w:eastAsia="en-US"/>
        </w:rPr>
        <w:t xml:space="preserve">, noted similar international examples and sought views on questions of methodology and </w:t>
      </w:r>
      <w:r>
        <w:rPr>
          <w:rFonts w:cs="Arial"/>
          <w:iCs/>
          <w:szCs w:val="20"/>
          <w:lang w:eastAsia="en-US"/>
        </w:rPr>
        <w:t xml:space="preserve">the </w:t>
      </w:r>
      <w:r w:rsidRPr="005D0A88">
        <w:rPr>
          <w:rFonts w:cs="Arial"/>
          <w:iCs/>
          <w:szCs w:val="20"/>
          <w:lang w:eastAsia="en-US"/>
        </w:rPr>
        <w:t>reporting approach.</w:t>
      </w:r>
    </w:p>
    <w:p w14:paraId="32F97E7C" w14:textId="77777777" w:rsidR="009E3A91" w:rsidRPr="007A3D58" w:rsidRDefault="009E3A91" w:rsidP="009E3A91">
      <w:pPr>
        <w:rPr>
          <w:rFonts w:cs="Arial"/>
          <w:iCs/>
          <w:szCs w:val="20"/>
          <w:lang w:eastAsia="en-US"/>
        </w:rPr>
      </w:pPr>
      <w:r w:rsidRPr="007A3D58">
        <w:rPr>
          <w:rFonts w:cs="Arial"/>
          <w:iCs/>
          <w:szCs w:val="20"/>
          <w:lang w:eastAsia="en-US"/>
        </w:rPr>
        <w:t>The consultation produced a range of views from stakeholders. Support for the development of measurement tools and other technologies to better inform the consumer was expressed by ACCAN, Choice, Google and NBN Co</w:t>
      </w:r>
      <w:r>
        <w:rPr>
          <w:rFonts w:cs="Arial"/>
          <w:iCs/>
          <w:szCs w:val="20"/>
          <w:lang w:eastAsia="en-US"/>
        </w:rPr>
        <w:t xml:space="preserve"> L</w:t>
      </w:r>
      <w:r w:rsidRPr="007A3D58">
        <w:rPr>
          <w:rFonts w:cs="Arial"/>
          <w:iCs/>
          <w:szCs w:val="20"/>
          <w:lang w:eastAsia="en-US"/>
        </w:rPr>
        <w:t>imited (</w:t>
      </w:r>
      <w:r>
        <w:rPr>
          <w:rFonts w:cs="Arial"/>
          <w:iCs/>
          <w:szCs w:val="20"/>
          <w:lang w:eastAsia="en-US"/>
        </w:rPr>
        <w:t>NBN Co</w:t>
      </w:r>
      <w:r w:rsidRPr="007A3D58">
        <w:rPr>
          <w:rFonts w:cs="Arial"/>
          <w:iCs/>
          <w:szCs w:val="20"/>
          <w:lang w:eastAsia="en-US"/>
        </w:rPr>
        <w:t>).</w:t>
      </w:r>
    </w:p>
    <w:p w14:paraId="28762933" w14:textId="77777777" w:rsidR="009E3A91" w:rsidRPr="005D0A88" w:rsidRDefault="009E3A91" w:rsidP="009E3A91">
      <w:pPr>
        <w:rPr>
          <w:rFonts w:cs="Arial"/>
          <w:iCs/>
          <w:szCs w:val="20"/>
          <w:lang w:eastAsia="en-US"/>
        </w:rPr>
      </w:pPr>
      <w:proofErr w:type="gramStart"/>
      <w:r>
        <w:rPr>
          <w:rFonts w:cs="Arial"/>
          <w:iCs/>
          <w:szCs w:val="20"/>
          <w:lang w:eastAsia="en-US"/>
        </w:rPr>
        <w:t>A</w:t>
      </w:r>
      <w:r w:rsidRPr="007A3D58">
        <w:rPr>
          <w:rFonts w:cs="Arial"/>
          <w:iCs/>
          <w:szCs w:val="20"/>
          <w:lang w:eastAsia="en-US"/>
        </w:rPr>
        <w:t xml:space="preserve"> number of</w:t>
      </w:r>
      <w:proofErr w:type="gramEnd"/>
      <w:r w:rsidRPr="007A3D58">
        <w:rPr>
          <w:rFonts w:cs="Arial"/>
          <w:iCs/>
          <w:szCs w:val="20"/>
          <w:lang w:eastAsia="en-US"/>
        </w:rPr>
        <w:t xml:space="preserve"> stakeholders, including Telstra, Optus and AAPT indicated that they would like greater clarity on the ACCC policy objectives and raised concerns around certain features of the proposed program. </w:t>
      </w:r>
      <w:proofErr w:type="gramStart"/>
      <w:r w:rsidRPr="007A3D58">
        <w:rPr>
          <w:rFonts w:cs="Arial"/>
          <w:iCs/>
          <w:szCs w:val="20"/>
          <w:lang w:eastAsia="en-US"/>
        </w:rPr>
        <w:t>In particular, Communications Alliance</w:t>
      </w:r>
      <w:proofErr w:type="gramEnd"/>
      <w:r w:rsidRPr="007A3D58">
        <w:rPr>
          <w:rFonts w:cs="Arial"/>
          <w:iCs/>
          <w:szCs w:val="20"/>
          <w:lang w:eastAsia="en-US"/>
        </w:rPr>
        <w:t xml:space="preserve"> expressed strong doubts that consumers want or would benefit from the information that the program would produce.</w:t>
      </w:r>
    </w:p>
    <w:p w14:paraId="58174E4F" w14:textId="77777777" w:rsidR="009E3A91" w:rsidRPr="005D0A88" w:rsidRDefault="009E3A91" w:rsidP="009E3A91">
      <w:pPr>
        <w:rPr>
          <w:rFonts w:cs="Arial"/>
          <w:iCs/>
          <w:szCs w:val="20"/>
          <w:lang w:eastAsia="en-US"/>
        </w:rPr>
      </w:pPr>
      <w:r w:rsidRPr="005D0A88">
        <w:rPr>
          <w:rFonts w:cs="Arial"/>
          <w:iCs/>
          <w:szCs w:val="20"/>
          <w:lang w:eastAsia="en-US"/>
        </w:rPr>
        <w:t xml:space="preserve">All submitters expressed a strong preference to remain engaged with the ACCC over the further development of the program. The ACCC provided an open letter in response to submissions </w:t>
      </w:r>
      <w:r>
        <w:rPr>
          <w:rFonts w:cs="Arial"/>
          <w:iCs/>
          <w:szCs w:val="20"/>
          <w:lang w:eastAsia="en-US"/>
        </w:rPr>
        <w:t>in</w:t>
      </w:r>
      <w:r w:rsidRPr="005D0A88">
        <w:rPr>
          <w:rFonts w:cs="Arial"/>
          <w:iCs/>
          <w:szCs w:val="20"/>
          <w:lang w:eastAsia="en-US"/>
        </w:rPr>
        <w:t xml:space="preserve"> October 2013, expanding on its policy objectives and responding to issues raised in the stakeholder submissions. </w:t>
      </w:r>
    </w:p>
    <w:p w14:paraId="1124232A" w14:textId="77777777" w:rsidR="009E3A91" w:rsidRPr="005D0A88" w:rsidRDefault="009E3A91" w:rsidP="009E3A91">
      <w:pPr>
        <w:rPr>
          <w:rFonts w:cs="Arial"/>
          <w:iCs/>
          <w:szCs w:val="20"/>
          <w:lang w:eastAsia="en-US"/>
        </w:rPr>
      </w:pPr>
      <w:r w:rsidRPr="005D0A88">
        <w:rPr>
          <w:rFonts w:cs="Arial"/>
          <w:iCs/>
          <w:szCs w:val="20"/>
          <w:lang w:eastAsia="en-US"/>
        </w:rPr>
        <w:t xml:space="preserve">Following the release of the open letter, the ACCC conducted a ‘closed’ consultation process from December 2013 through March 2014. This gave key industry stakeholders the chance to discuss their views with the ACCC in more detail and to provide further input on specific issues associated with the design and implementation of the proposed </w:t>
      </w:r>
      <w:r>
        <w:rPr>
          <w:rFonts w:cs="Arial"/>
          <w:iCs/>
          <w:szCs w:val="20"/>
          <w:lang w:eastAsia="en-US"/>
        </w:rPr>
        <w:t>MBA program</w:t>
      </w:r>
      <w:r w:rsidRPr="005D0A88">
        <w:rPr>
          <w:rFonts w:cs="Arial"/>
          <w:iCs/>
          <w:szCs w:val="20"/>
          <w:lang w:eastAsia="en-US"/>
        </w:rPr>
        <w:t>.</w:t>
      </w:r>
    </w:p>
    <w:p w14:paraId="3265BC67" w14:textId="382D9C3D" w:rsidR="009E3A91" w:rsidRPr="005D0A88" w:rsidRDefault="009E3A91" w:rsidP="009E3A91">
      <w:pPr>
        <w:rPr>
          <w:rFonts w:cs="Arial"/>
          <w:iCs/>
          <w:szCs w:val="20"/>
          <w:lang w:eastAsia="en-US"/>
        </w:rPr>
      </w:pPr>
      <w:r w:rsidRPr="005D0A88">
        <w:rPr>
          <w:rFonts w:cs="Arial"/>
          <w:iCs/>
          <w:szCs w:val="20"/>
          <w:lang w:eastAsia="en-US"/>
        </w:rPr>
        <w:t xml:space="preserve">The ACCC subsequently released a </w:t>
      </w:r>
      <w:hyperlink r:id="rId32" w:history="1">
        <w:r w:rsidR="00E35833" w:rsidRPr="00CB036B">
          <w:rPr>
            <w:rStyle w:val="Hyperlink"/>
            <w:rFonts w:cs="Arial"/>
            <w:iCs/>
            <w:szCs w:val="20"/>
            <w:lang w:eastAsia="en-US"/>
          </w:rPr>
          <w:t>position paper</w:t>
        </w:r>
      </w:hyperlink>
      <w:r w:rsidRPr="005D0A88">
        <w:rPr>
          <w:rFonts w:cs="Arial"/>
          <w:iCs/>
          <w:szCs w:val="20"/>
          <w:lang w:eastAsia="en-US"/>
        </w:rPr>
        <w:t xml:space="preserve"> </w:t>
      </w:r>
      <w:r>
        <w:rPr>
          <w:rFonts w:cs="Arial"/>
          <w:iCs/>
          <w:szCs w:val="20"/>
          <w:lang w:eastAsia="en-US"/>
        </w:rPr>
        <w:t>in</w:t>
      </w:r>
      <w:r w:rsidRPr="005D0A88">
        <w:rPr>
          <w:rFonts w:cs="Arial"/>
          <w:iCs/>
          <w:szCs w:val="20"/>
          <w:lang w:eastAsia="en-US"/>
        </w:rPr>
        <w:t xml:space="preserve"> June 2014 that outlined the proposed program specifications taking into account previous consultations and introduced the pilot </w:t>
      </w:r>
      <w:r>
        <w:rPr>
          <w:rFonts w:cs="Arial"/>
          <w:iCs/>
          <w:szCs w:val="20"/>
          <w:lang w:eastAsia="en-US"/>
        </w:rPr>
        <w:t>MBA</w:t>
      </w:r>
      <w:r w:rsidRPr="005D0A88">
        <w:rPr>
          <w:rFonts w:cs="Arial"/>
          <w:iCs/>
          <w:szCs w:val="20"/>
          <w:lang w:eastAsia="en-US"/>
        </w:rPr>
        <w:t xml:space="preserve"> program. The pilot was conducted over a </w:t>
      </w:r>
      <w:r w:rsidR="00AC0442">
        <w:rPr>
          <w:rFonts w:cs="Arial"/>
          <w:iCs/>
          <w:szCs w:val="20"/>
          <w:lang w:eastAsia="en-US"/>
        </w:rPr>
        <w:t xml:space="preserve">period of </w:t>
      </w:r>
      <w:r w:rsidRPr="005D0A88">
        <w:rPr>
          <w:rFonts w:cs="Arial"/>
          <w:iCs/>
          <w:szCs w:val="20"/>
          <w:lang w:eastAsia="en-US"/>
        </w:rPr>
        <w:t>three month</w:t>
      </w:r>
      <w:r w:rsidR="00AC0442">
        <w:rPr>
          <w:rFonts w:cs="Arial"/>
          <w:iCs/>
          <w:szCs w:val="20"/>
          <w:lang w:eastAsia="en-US"/>
        </w:rPr>
        <w:t>s</w:t>
      </w:r>
      <w:r w:rsidR="002A6A5D">
        <w:rPr>
          <w:rFonts w:cs="Arial"/>
          <w:iCs/>
          <w:szCs w:val="20"/>
          <w:lang w:eastAsia="en-US"/>
        </w:rPr>
        <w:t xml:space="preserve"> </w:t>
      </w:r>
      <w:r>
        <w:rPr>
          <w:rFonts w:cs="Arial"/>
          <w:iCs/>
          <w:szCs w:val="20"/>
          <w:lang w:eastAsia="en-US"/>
        </w:rPr>
        <w:t>from</w:t>
      </w:r>
      <w:r w:rsidRPr="005D0A88">
        <w:rPr>
          <w:rFonts w:cs="Arial"/>
          <w:iCs/>
          <w:szCs w:val="20"/>
          <w:lang w:eastAsia="en-US"/>
        </w:rPr>
        <w:t xml:space="preserve"> March</w:t>
      </w:r>
      <w:r>
        <w:rPr>
          <w:rFonts w:cs="Arial"/>
          <w:iCs/>
          <w:szCs w:val="20"/>
          <w:lang w:eastAsia="en-US"/>
        </w:rPr>
        <w:t xml:space="preserve"> to</w:t>
      </w:r>
      <w:r w:rsidRPr="005D0A88">
        <w:rPr>
          <w:rFonts w:cs="Arial"/>
          <w:iCs/>
          <w:szCs w:val="20"/>
          <w:lang w:eastAsia="en-US"/>
        </w:rPr>
        <w:t xml:space="preserve"> May 2015.</w:t>
      </w:r>
    </w:p>
    <w:p w14:paraId="03F99376" w14:textId="075703F6" w:rsidR="009E3A91" w:rsidRDefault="009E3A91" w:rsidP="009E3A91">
      <w:pPr>
        <w:rPr>
          <w:rFonts w:cs="Arial"/>
          <w:iCs/>
          <w:szCs w:val="20"/>
          <w:lang w:eastAsia="en-US"/>
        </w:rPr>
      </w:pPr>
      <w:r>
        <w:rPr>
          <w:rFonts w:cs="Arial"/>
          <w:iCs/>
          <w:szCs w:val="20"/>
          <w:lang w:eastAsia="en-US"/>
        </w:rPr>
        <w:t>In</w:t>
      </w:r>
      <w:r w:rsidRPr="005D0A88">
        <w:rPr>
          <w:rFonts w:cs="Arial"/>
          <w:iCs/>
          <w:szCs w:val="20"/>
          <w:lang w:eastAsia="en-US"/>
        </w:rPr>
        <w:t xml:space="preserve"> September 2015</w:t>
      </w:r>
      <w:r>
        <w:rPr>
          <w:rFonts w:cs="Arial"/>
          <w:iCs/>
          <w:szCs w:val="20"/>
          <w:lang w:eastAsia="en-US"/>
        </w:rPr>
        <w:t>,</w:t>
      </w:r>
      <w:r w:rsidRPr="005D0A88">
        <w:rPr>
          <w:rFonts w:cs="Arial"/>
          <w:iCs/>
          <w:szCs w:val="20"/>
          <w:lang w:eastAsia="en-US"/>
        </w:rPr>
        <w:t xml:space="preserve"> the ACCC released a </w:t>
      </w:r>
      <w:hyperlink r:id="rId33" w:history="1">
        <w:r w:rsidR="00E35833" w:rsidRPr="00CB036B">
          <w:rPr>
            <w:rStyle w:val="Hyperlink"/>
            <w:rFonts w:cs="Arial"/>
            <w:iCs/>
            <w:szCs w:val="20"/>
            <w:lang w:eastAsia="en-US"/>
          </w:rPr>
          <w:t>report</w:t>
        </w:r>
      </w:hyperlink>
      <w:r w:rsidRPr="005D0A88">
        <w:rPr>
          <w:rFonts w:cs="Arial"/>
          <w:iCs/>
          <w:szCs w:val="20"/>
          <w:lang w:eastAsia="en-US"/>
        </w:rPr>
        <w:t xml:space="preserve"> on the results from the pilot program and noted that further consideration and consultation </w:t>
      </w:r>
      <w:r>
        <w:rPr>
          <w:rFonts w:cs="Arial"/>
          <w:iCs/>
          <w:szCs w:val="20"/>
          <w:lang w:eastAsia="en-US"/>
        </w:rPr>
        <w:t>was needed</w:t>
      </w:r>
      <w:r w:rsidRPr="005D0A88">
        <w:rPr>
          <w:rFonts w:cs="Arial"/>
          <w:iCs/>
          <w:szCs w:val="20"/>
          <w:lang w:eastAsia="en-US"/>
        </w:rPr>
        <w:t xml:space="preserve"> to determine which funding model would receive support and cooperation.</w:t>
      </w:r>
    </w:p>
    <w:p w14:paraId="643436C8" w14:textId="08267E0A" w:rsidR="00617A2D" w:rsidRPr="00B02D11" w:rsidRDefault="00617A2D" w:rsidP="009E3A91">
      <w:pPr>
        <w:rPr>
          <w:rFonts w:ascii="Calibri" w:hAnsi="Calibri"/>
          <w:szCs w:val="22"/>
        </w:rPr>
      </w:pPr>
      <w:r>
        <w:t xml:space="preserve">Following the government’s decision to proceed with the MBA program in April 2017, the ACCC published a request for tender on </w:t>
      </w:r>
      <w:proofErr w:type="spellStart"/>
      <w:r>
        <w:t>AusTender</w:t>
      </w:r>
      <w:proofErr w:type="spellEnd"/>
      <w:r>
        <w:t xml:space="preserve"> on 30 May 2017. The competitive open tender to appoint a testing provider closed on 26 June 2017. The tender was conducted in accordance with Commonwealth government procurement policy and rules.</w:t>
      </w:r>
    </w:p>
    <w:p w14:paraId="189AD9C1" w14:textId="7A9D0624" w:rsidR="009E3A91" w:rsidRDefault="009E3A91" w:rsidP="009E3A91">
      <w:pPr>
        <w:rPr>
          <w:rFonts w:cs="Arial"/>
          <w:iCs/>
          <w:szCs w:val="20"/>
          <w:lang w:eastAsia="en-US"/>
        </w:rPr>
      </w:pPr>
      <w:proofErr w:type="spellStart"/>
      <w:r>
        <w:rPr>
          <w:rFonts w:cs="Arial"/>
          <w:iCs/>
          <w:szCs w:val="20"/>
          <w:lang w:eastAsia="en-US"/>
        </w:rPr>
        <w:t>D</w:t>
      </w:r>
      <w:r w:rsidR="00B314F6">
        <w:rPr>
          <w:rFonts w:cs="Arial"/>
          <w:iCs/>
          <w:szCs w:val="20"/>
          <w:lang w:eastAsia="en-US"/>
        </w:rPr>
        <w:t>oCA</w:t>
      </w:r>
      <w:proofErr w:type="spellEnd"/>
      <w:r w:rsidRPr="005D0A88">
        <w:rPr>
          <w:rFonts w:cs="Arial"/>
          <w:iCs/>
          <w:szCs w:val="20"/>
          <w:lang w:eastAsia="en-US"/>
        </w:rPr>
        <w:t xml:space="preserve"> has since </w:t>
      </w:r>
      <w:r>
        <w:rPr>
          <w:rFonts w:cs="Arial"/>
          <w:iCs/>
          <w:szCs w:val="20"/>
          <w:lang w:eastAsia="en-US"/>
        </w:rPr>
        <w:t>consulted</w:t>
      </w:r>
      <w:r w:rsidRPr="005D0A88">
        <w:rPr>
          <w:rFonts w:cs="Arial"/>
          <w:iCs/>
          <w:szCs w:val="20"/>
          <w:lang w:eastAsia="en-US"/>
        </w:rPr>
        <w:t xml:space="preserve"> with both industry and </w:t>
      </w:r>
      <w:r>
        <w:rPr>
          <w:rFonts w:cs="Arial"/>
          <w:iCs/>
          <w:szCs w:val="20"/>
          <w:lang w:eastAsia="en-US"/>
        </w:rPr>
        <w:t>g</w:t>
      </w:r>
      <w:r w:rsidRPr="005D0A88">
        <w:rPr>
          <w:rFonts w:cs="Arial"/>
          <w:iCs/>
          <w:szCs w:val="20"/>
          <w:lang w:eastAsia="en-US"/>
        </w:rPr>
        <w:t xml:space="preserve">overnment bodies and informed these parties that </w:t>
      </w:r>
      <w:r w:rsidR="003C32F2">
        <w:rPr>
          <w:rFonts w:cs="Arial"/>
          <w:iCs/>
          <w:szCs w:val="20"/>
          <w:lang w:eastAsia="en-US"/>
        </w:rPr>
        <w:t xml:space="preserve">it is proposed that </w:t>
      </w:r>
      <w:r w:rsidRPr="005D0A88">
        <w:rPr>
          <w:rFonts w:cs="Arial"/>
          <w:iCs/>
          <w:szCs w:val="20"/>
          <w:lang w:eastAsia="en-US"/>
        </w:rPr>
        <w:t>funding will be recovered through the ACLC.</w:t>
      </w:r>
    </w:p>
    <w:p w14:paraId="5038E481" w14:textId="07FC2525" w:rsidR="00617A2D" w:rsidRPr="0088294F" w:rsidRDefault="00617A2D" w:rsidP="009E3A91">
      <w:pPr>
        <w:rPr>
          <w:rFonts w:cs="Arial"/>
        </w:rPr>
      </w:pPr>
      <w:r w:rsidRPr="00BC1A45">
        <w:rPr>
          <w:rFonts w:cs="Arial"/>
        </w:rPr>
        <w:t xml:space="preserve">A consultation paper and a draft version of this CRIS </w:t>
      </w:r>
      <w:r>
        <w:rPr>
          <w:rFonts w:cs="Arial"/>
        </w:rPr>
        <w:t xml:space="preserve">addendum </w:t>
      </w:r>
      <w:r w:rsidRPr="00BC1A45">
        <w:rPr>
          <w:rFonts w:cs="Arial"/>
        </w:rPr>
        <w:t xml:space="preserve">were published on </w:t>
      </w:r>
      <w:r w:rsidR="00435758">
        <w:rPr>
          <w:rFonts w:cs="Arial"/>
          <w:iCs/>
        </w:rPr>
        <w:t>the</w:t>
      </w:r>
      <w:r w:rsidR="00435758" w:rsidRPr="00E8129B">
        <w:rPr>
          <w:rFonts w:cs="Arial"/>
          <w:iCs/>
        </w:rPr>
        <w:t xml:space="preserve"> </w:t>
      </w:r>
      <w:r w:rsidRPr="00BC1A45">
        <w:rPr>
          <w:rFonts w:cs="Arial"/>
        </w:rPr>
        <w:t xml:space="preserve">ACMA’s website for a </w:t>
      </w:r>
      <w:r>
        <w:rPr>
          <w:rFonts w:cs="Arial"/>
        </w:rPr>
        <w:t>six-week period from 16 April 2018</w:t>
      </w:r>
      <w:r w:rsidRPr="00BC1A45">
        <w:rPr>
          <w:rFonts w:cs="Arial"/>
        </w:rPr>
        <w:t xml:space="preserve"> for public comment. </w:t>
      </w:r>
      <w:r>
        <w:rPr>
          <w:rFonts w:cs="Arial"/>
        </w:rPr>
        <w:t>Telstra</w:t>
      </w:r>
      <w:r w:rsidRPr="00BC1A45">
        <w:rPr>
          <w:rFonts w:cs="Arial"/>
        </w:rPr>
        <w:t xml:space="preserve"> was the only stakeholder that made a submission</w:t>
      </w:r>
      <w:r>
        <w:rPr>
          <w:rFonts w:cs="Arial"/>
        </w:rPr>
        <w:t xml:space="preserve"> in relation to this CRIS addendum</w:t>
      </w:r>
    </w:p>
    <w:p w14:paraId="35C6D0CB" w14:textId="2A2DA4A4" w:rsidR="00617A2D" w:rsidRDefault="00617A2D" w:rsidP="009E3A91">
      <w:pPr>
        <w:rPr>
          <w:rFonts w:cs="Arial"/>
        </w:rPr>
      </w:pPr>
      <w:r>
        <w:t>On</w:t>
      </w:r>
      <w:r w:rsidRPr="001922EC">
        <w:t xml:space="preserve"> 7</w:t>
      </w:r>
      <w:r w:rsidR="00C933AE">
        <w:t xml:space="preserve"> and</w:t>
      </w:r>
      <w:r w:rsidR="00696402">
        <w:t xml:space="preserve"> </w:t>
      </w:r>
      <w:r w:rsidRPr="001922EC">
        <w:t>8 December</w:t>
      </w:r>
      <w:r>
        <w:t xml:space="preserve"> 2017</w:t>
      </w:r>
      <w:r w:rsidRPr="001922EC">
        <w:t xml:space="preserve">, </w:t>
      </w:r>
      <w:r>
        <w:t>the ACCC</w:t>
      </w:r>
      <w:r w:rsidRPr="001922EC">
        <w:t xml:space="preserve"> hosted two briefings</w:t>
      </w:r>
      <w:r>
        <w:t xml:space="preserve"> delivered by the successful testing provider, </w:t>
      </w:r>
      <w:proofErr w:type="spellStart"/>
      <w:r>
        <w:t>SamKnows</w:t>
      </w:r>
      <w:proofErr w:type="spellEnd"/>
      <w:r w:rsidRPr="001922EC">
        <w:t xml:space="preserve"> for industry participants</w:t>
      </w:r>
      <w:r>
        <w:t xml:space="preserve"> including key retail service providers and their representative bodies. During the workshop</w:t>
      </w:r>
      <w:r w:rsidRPr="001922EC">
        <w:t xml:space="preserve"> </w:t>
      </w:r>
      <w:proofErr w:type="spellStart"/>
      <w:r w:rsidRPr="001922EC">
        <w:t>SamKnows</w:t>
      </w:r>
      <w:proofErr w:type="spellEnd"/>
      <w:r w:rsidRPr="001922EC">
        <w:t xml:space="preserve">’ </w:t>
      </w:r>
      <w:r w:rsidRPr="001922EC">
        <w:lastRenderedPageBreak/>
        <w:t>representa</w:t>
      </w:r>
      <w:r>
        <w:t>tives delivered</w:t>
      </w:r>
      <w:r w:rsidRPr="001922EC">
        <w:t xml:space="preserve"> detailed </w:t>
      </w:r>
      <w:r>
        <w:t>presentations covering the technical aspects of the program and</w:t>
      </w:r>
      <w:r w:rsidRPr="001922EC">
        <w:t xml:space="preserve"> </w:t>
      </w:r>
      <w:r>
        <w:t xml:space="preserve">the </w:t>
      </w:r>
      <w:r w:rsidRPr="001922EC">
        <w:t>testing methodologies.</w:t>
      </w:r>
    </w:p>
    <w:p w14:paraId="68526B5D" w14:textId="48186EB4" w:rsidR="006F62D9" w:rsidRPr="00C114DA" w:rsidRDefault="006F62D9" w:rsidP="009E3A91">
      <w:pPr>
        <w:rPr>
          <w:rFonts w:cs="Arial"/>
          <w:color w:val="FF0000"/>
        </w:rPr>
      </w:pPr>
      <w:r w:rsidRPr="006F62D9">
        <w:rPr>
          <w:rFonts w:cs="Arial"/>
        </w:rPr>
        <w:t xml:space="preserve">The ACCC published its first MBA report in March 2018. The release of the report was preceded by an industry briefing involving carriers covered by the report as well as other stakeholders. </w:t>
      </w:r>
    </w:p>
    <w:p w14:paraId="34E73106" w14:textId="77777777" w:rsidR="009E3A91" w:rsidRPr="00CC3F4B" w:rsidRDefault="009E3A91" w:rsidP="009E3A91">
      <w:pPr>
        <w:pStyle w:val="Heading1"/>
      </w:pPr>
      <w:bookmarkStart w:id="231" w:name="_Toc511294496"/>
      <w:bookmarkStart w:id="232" w:name="_Toc511634431"/>
      <w:bookmarkStart w:id="233" w:name="_Toc26786371"/>
      <w:r>
        <w:lastRenderedPageBreak/>
        <w:t>6</w:t>
      </w:r>
      <w:r w:rsidRPr="00CC3F4B">
        <w:t xml:space="preserve">. </w:t>
      </w:r>
      <w:r w:rsidRPr="00CC3F4B">
        <w:tab/>
        <w:t xml:space="preserve">Financial </w:t>
      </w:r>
      <w:r>
        <w:t>estimates</w:t>
      </w:r>
      <w:bookmarkEnd w:id="231"/>
      <w:bookmarkEnd w:id="232"/>
      <w:bookmarkEnd w:id="233"/>
    </w:p>
    <w:p w14:paraId="245086BA" w14:textId="5B0D3E40" w:rsidR="009E3A91" w:rsidRDefault="009E3A91" w:rsidP="009E3A91">
      <w:pPr>
        <w:rPr>
          <w:rFonts w:cs="Arial"/>
          <w:iCs/>
        </w:rPr>
      </w:pPr>
      <w:r w:rsidRPr="00D201AF">
        <w:rPr>
          <w:rFonts w:cs="Arial"/>
          <w:iCs/>
        </w:rPr>
        <w:t xml:space="preserve">Financial estimates for </w:t>
      </w:r>
      <w:r>
        <w:rPr>
          <w:rFonts w:cs="Arial"/>
          <w:iCs/>
        </w:rPr>
        <w:t xml:space="preserve">the </w:t>
      </w:r>
      <w:r w:rsidR="00D346CE">
        <w:rPr>
          <w:rFonts w:cs="Arial"/>
          <w:iCs/>
        </w:rPr>
        <w:t xml:space="preserve">cost of providing the </w:t>
      </w:r>
      <w:r>
        <w:rPr>
          <w:rFonts w:cs="Arial"/>
          <w:iCs/>
        </w:rPr>
        <w:t xml:space="preserve">MBA program </w:t>
      </w:r>
      <w:r w:rsidRPr="00D201AF">
        <w:rPr>
          <w:rFonts w:cs="Arial"/>
          <w:iCs/>
        </w:rPr>
        <w:t xml:space="preserve">for </w:t>
      </w:r>
      <w:r>
        <w:rPr>
          <w:rFonts w:cs="Arial"/>
          <w:iCs/>
        </w:rPr>
        <w:t xml:space="preserve">the financial year </w:t>
      </w:r>
      <w:r w:rsidR="00C114DA">
        <w:rPr>
          <w:rFonts w:cs="Arial"/>
          <w:iCs/>
        </w:rPr>
        <w:t>2018</w:t>
      </w:r>
      <w:r w:rsidR="00E74157">
        <w:t>–</w:t>
      </w:r>
      <w:r w:rsidR="00C114DA">
        <w:rPr>
          <w:rFonts w:cs="Arial"/>
          <w:iCs/>
        </w:rPr>
        <w:t xml:space="preserve">19 </w:t>
      </w:r>
      <w:r w:rsidRPr="00D201AF">
        <w:rPr>
          <w:rFonts w:cs="Arial"/>
          <w:iCs/>
        </w:rPr>
        <w:t xml:space="preserve">and three forward years are </w:t>
      </w:r>
      <w:r>
        <w:rPr>
          <w:rFonts w:cs="Arial"/>
          <w:iCs/>
        </w:rPr>
        <w:t xml:space="preserve">provided in Table 5. </w:t>
      </w:r>
    </w:p>
    <w:p w14:paraId="404D555A" w14:textId="24563990" w:rsidR="009E3A91" w:rsidRPr="000F5354" w:rsidRDefault="009E3A91" w:rsidP="009E3A91">
      <w:pPr>
        <w:pStyle w:val="ACMATableHeader"/>
      </w:pPr>
      <w:bookmarkStart w:id="234" w:name="_Hlk8141284"/>
      <w:r w:rsidRPr="000F5354">
        <w:t xml:space="preserve">Financial </w:t>
      </w:r>
      <w:r w:rsidR="00771438">
        <w:t xml:space="preserve">performance and </w:t>
      </w:r>
      <w:r w:rsidRPr="000F5354">
        <w:t>estimates by activity</w:t>
      </w:r>
    </w:p>
    <w:tbl>
      <w:tblPr>
        <w:tblW w:w="5000" w:type="pct"/>
        <w:tblCellMar>
          <w:top w:w="57" w:type="dxa"/>
          <w:left w:w="57" w:type="dxa"/>
          <w:bottom w:w="57" w:type="dxa"/>
          <w:right w:w="57" w:type="dxa"/>
        </w:tblCellMar>
        <w:tblLook w:val="04A0" w:firstRow="1" w:lastRow="0" w:firstColumn="1" w:lastColumn="0" w:noHBand="0" w:noVBand="1"/>
      </w:tblPr>
      <w:tblGrid>
        <w:gridCol w:w="2165"/>
        <w:gridCol w:w="1098"/>
        <w:gridCol w:w="1098"/>
        <w:gridCol w:w="1098"/>
        <w:gridCol w:w="1098"/>
        <w:gridCol w:w="1099"/>
      </w:tblGrid>
      <w:tr w:rsidR="009E3A91" w:rsidRPr="005A5B87" w14:paraId="5EF153ED" w14:textId="77777777" w:rsidTr="009E3A91">
        <w:trPr>
          <w:trHeight w:val="649"/>
          <w:tblHeader/>
        </w:trPr>
        <w:tc>
          <w:tcPr>
            <w:tcW w:w="1412" w:type="pct"/>
            <w:vMerge w:val="restart"/>
            <w:tcBorders>
              <w:top w:val="single" w:sz="8" w:space="0" w:color="auto"/>
              <w:left w:val="single" w:sz="4" w:space="0" w:color="auto"/>
              <w:bottom w:val="single" w:sz="8" w:space="0" w:color="000000"/>
              <w:right w:val="single" w:sz="8" w:space="0" w:color="auto"/>
            </w:tcBorders>
            <w:shd w:val="clear" w:color="000000" w:fill="404040"/>
            <w:hideMark/>
          </w:tcPr>
          <w:bookmarkEnd w:id="234"/>
          <w:p w14:paraId="71D037FB" w14:textId="77777777" w:rsidR="009E3A91" w:rsidRPr="00CE6BED" w:rsidRDefault="009E3A91" w:rsidP="009E3A91">
            <w:pPr>
              <w:pStyle w:val="TableHeading"/>
              <w:rPr>
                <w:b w:val="0"/>
                <w:color w:val="FFFFFF" w:themeColor="background1"/>
              </w:rPr>
            </w:pPr>
            <w:r w:rsidRPr="00CE6BED">
              <w:rPr>
                <w:color w:val="FFFFFF" w:themeColor="background1"/>
              </w:rPr>
              <w:t>Component</w:t>
            </w:r>
          </w:p>
        </w:tc>
        <w:tc>
          <w:tcPr>
            <w:tcW w:w="717" w:type="pct"/>
            <w:tcBorders>
              <w:top w:val="single" w:sz="8" w:space="0" w:color="auto"/>
              <w:left w:val="nil"/>
              <w:bottom w:val="nil"/>
              <w:right w:val="single" w:sz="8" w:space="0" w:color="auto"/>
            </w:tcBorders>
            <w:shd w:val="clear" w:color="000000" w:fill="404040"/>
            <w:hideMark/>
          </w:tcPr>
          <w:p w14:paraId="4CFD2F95" w14:textId="77777777" w:rsidR="009E3A91" w:rsidRDefault="009E3A91" w:rsidP="00C13A58">
            <w:pPr>
              <w:pStyle w:val="TableHeading"/>
              <w:rPr>
                <w:color w:val="FFFFFF" w:themeColor="background1"/>
              </w:rPr>
            </w:pPr>
            <w:r w:rsidRPr="00CE6BED">
              <w:rPr>
                <w:color w:val="FFFFFF" w:themeColor="background1"/>
              </w:rPr>
              <w:t>201</w:t>
            </w:r>
            <w:r w:rsidR="00465765">
              <w:rPr>
                <w:color w:val="FFFFFF" w:themeColor="background1"/>
              </w:rPr>
              <w:t>7</w:t>
            </w:r>
            <w:r w:rsidRPr="00CE6BED">
              <w:rPr>
                <w:color w:val="FFFFFF" w:themeColor="background1"/>
              </w:rPr>
              <w:t>–1</w:t>
            </w:r>
            <w:r w:rsidR="00465765">
              <w:rPr>
                <w:color w:val="FFFFFF" w:themeColor="background1"/>
              </w:rPr>
              <w:t>8</w:t>
            </w:r>
            <w:r w:rsidRPr="00CE6BED">
              <w:rPr>
                <w:color w:val="FFFFFF" w:themeColor="background1"/>
              </w:rPr>
              <w:t xml:space="preserve"> </w:t>
            </w:r>
          </w:p>
          <w:p w14:paraId="5C0093AA" w14:textId="4FD4290B" w:rsidR="006B5EED" w:rsidRPr="00CE6BED" w:rsidRDefault="007442E2" w:rsidP="00C13A58">
            <w:pPr>
              <w:pStyle w:val="TableHeading"/>
              <w:rPr>
                <w:b w:val="0"/>
                <w:color w:val="FFFFFF" w:themeColor="background1"/>
              </w:rPr>
            </w:pPr>
            <w:r>
              <w:rPr>
                <w:color w:val="FFFFFF" w:themeColor="background1"/>
              </w:rPr>
              <w:t>a</w:t>
            </w:r>
            <w:r w:rsidR="006B5EED">
              <w:rPr>
                <w:color w:val="FFFFFF" w:themeColor="background1"/>
              </w:rPr>
              <w:t>ctual</w:t>
            </w:r>
          </w:p>
        </w:tc>
        <w:tc>
          <w:tcPr>
            <w:tcW w:w="717" w:type="pct"/>
            <w:tcBorders>
              <w:top w:val="single" w:sz="8" w:space="0" w:color="auto"/>
              <w:left w:val="nil"/>
              <w:bottom w:val="nil"/>
              <w:right w:val="single" w:sz="8" w:space="0" w:color="auto"/>
            </w:tcBorders>
            <w:shd w:val="clear" w:color="000000" w:fill="404040"/>
            <w:hideMark/>
          </w:tcPr>
          <w:p w14:paraId="6A3DB7A5" w14:textId="49272549" w:rsidR="00C114DA" w:rsidRDefault="009E3A91" w:rsidP="00C13A58">
            <w:pPr>
              <w:pStyle w:val="TableHeading"/>
              <w:rPr>
                <w:color w:val="FFFFFF" w:themeColor="background1"/>
              </w:rPr>
            </w:pPr>
            <w:r w:rsidRPr="00CE6BED">
              <w:rPr>
                <w:color w:val="FFFFFF" w:themeColor="background1"/>
              </w:rPr>
              <w:t>201</w:t>
            </w:r>
            <w:r>
              <w:rPr>
                <w:color w:val="FFFFFF" w:themeColor="background1"/>
              </w:rPr>
              <w:t>8</w:t>
            </w:r>
            <w:r w:rsidRPr="00CE6BED">
              <w:rPr>
                <w:color w:val="FFFFFF" w:themeColor="background1"/>
              </w:rPr>
              <w:t>–1</w:t>
            </w:r>
            <w:r>
              <w:rPr>
                <w:color w:val="FFFFFF" w:themeColor="background1"/>
              </w:rPr>
              <w:t>9</w:t>
            </w:r>
            <w:r w:rsidRPr="00CE6BED">
              <w:rPr>
                <w:color w:val="FFFFFF" w:themeColor="background1"/>
              </w:rPr>
              <w:t xml:space="preserve"> </w:t>
            </w:r>
          </w:p>
          <w:p w14:paraId="1D2DC7C9" w14:textId="193760A4" w:rsidR="009E3A91" w:rsidRPr="00CE6BED" w:rsidRDefault="007442E2" w:rsidP="00C13A58">
            <w:pPr>
              <w:pStyle w:val="TableHeading"/>
              <w:rPr>
                <w:b w:val="0"/>
                <w:color w:val="FFFFFF" w:themeColor="background1"/>
              </w:rPr>
            </w:pPr>
            <w:r>
              <w:rPr>
                <w:color w:val="FFFFFF" w:themeColor="background1"/>
              </w:rPr>
              <w:t>b</w:t>
            </w:r>
            <w:r w:rsidR="009E3A91" w:rsidRPr="00CE6BED">
              <w:rPr>
                <w:color w:val="FFFFFF" w:themeColor="background1"/>
              </w:rPr>
              <w:t>udget</w:t>
            </w:r>
          </w:p>
        </w:tc>
        <w:tc>
          <w:tcPr>
            <w:tcW w:w="717" w:type="pct"/>
            <w:tcBorders>
              <w:top w:val="single" w:sz="8" w:space="0" w:color="auto"/>
              <w:left w:val="nil"/>
              <w:bottom w:val="nil"/>
              <w:right w:val="single" w:sz="8" w:space="0" w:color="auto"/>
            </w:tcBorders>
            <w:shd w:val="clear" w:color="000000" w:fill="404040"/>
            <w:hideMark/>
          </w:tcPr>
          <w:p w14:paraId="00563A7F" w14:textId="7C833EA7" w:rsidR="009E3A91" w:rsidRPr="00CE6BED" w:rsidRDefault="009E3A91" w:rsidP="00C13A58">
            <w:pPr>
              <w:pStyle w:val="TableHeading"/>
              <w:rPr>
                <w:b w:val="0"/>
                <w:color w:val="FFFFFF" w:themeColor="background1"/>
              </w:rPr>
            </w:pPr>
            <w:r w:rsidRPr="00CE6BED">
              <w:rPr>
                <w:color w:val="FFFFFF" w:themeColor="background1"/>
              </w:rPr>
              <w:t>201</w:t>
            </w:r>
            <w:r>
              <w:rPr>
                <w:color w:val="FFFFFF" w:themeColor="background1"/>
              </w:rPr>
              <w:t>9</w:t>
            </w:r>
            <w:r w:rsidRPr="00CE6BED">
              <w:rPr>
                <w:color w:val="FFFFFF" w:themeColor="background1"/>
              </w:rPr>
              <w:t>–</w:t>
            </w:r>
            <w:r>
              <w:rPr>
                <w:color w:val="FFFFFF" w:themeColor="background1"/>
              </w:rPr>
              <w:t>20</w:t>
            </w:r>
            <w:r w:rsidRPr="00CE6BED">
              <w:rPr>
                <w:color w:val="FFFFFF" w:themeColor="background1"/>
              </w:rPr>
              <w:t xml:space="preserve"> </w:t>
            </w:r>
            <w:r w:rsidR="007442E2">
              <w:rPr>
                <w:color w:val="FFFFFF" w:themeColor="background1"/>
              </w:rPr>
              <w:t>b</w:t>
            </w:r>
            <w:r w:rsidRPr="00CE6BED">
              <w:rPr>
                <w:color w:val="FFFFFF" w:themeColor="background1"/>
              </w:rPr>
              <w:t>udget</w:t>
            </w:r>
          </w:p>
        </w:tc>
        <w:tc>
          <w:tcPr>
            <w:tcW w:w="717" w:type="pct"/>
            <w:tcBorders>
              <w:top w:val="single" w:sz="8" w:space="0" w:color="auto"/>
              <w:left w:val="nil"/>
              <w:bottom w:val="nil"/>
              <w:right w:val="single" w:sz="8" w:space="0" w:color="auto"/>
            </w:tcBorders>
            <w:shd w:val="clear" w:color="000000" w:fill="404040"/>
            <w:hideMark/>
          </w:tcPr>
          <w:p w14:paraId="070ED0C3" w14:textId="06B9D881" w:rsidR="009E3A91" w:rsidRPr="00CE6BED" w:rsidRDefault="009E3A91" w:rsidP="00C13A58">
            <w:pPr>
              <w:pStyle w:val="TableHeading"/>
              <w:rPr>
                <w:b w:val="0"/>
                <w:color w:val="FFFFFF" w:themeColor="background1"/>
              </w:rPr>
            </w:pPr>
            <w:r w:rsidRPr="00CE6BED">
              <w:rPr>
                <w:color w:val="FFFFFF" w:themeColor="background1"/>
              </w:rPr>
              <w:t>20</w:t>
            </w:r>
            <w:r w:rsidR="00C114DA">
              <w:rPr>
                <w:color w:val="FFFFFF" w:themeColor="background1"/>
              </w:rPr>
              <w:t>20</w:t>
            </w:r>
            <w:r w:rsidR="00E74157" w:rsidRPr="00C97891">
              <w:rPr>
                <w:color w:val="FFFFFF" w:themeColor="background1"/>
              </w:rPr>
              <w:t>–</w:t>
            </w:r>
            <w:r w:rsidR="00C114DA">
              <w:rPr>
                <w:color w:val="FFFFFF" w:themeColor="background1"/>
              </w:rPr>
              <w:t>21</w:t>
            </w:r>
            <w:r w:rsidRPr="00CE6BED">
              <w:rPr>
                <w:color w:val="FFFFFF" w:themeColor="background1"/>
              </w:rPr>
              <w:t xml:space="preserve"> </w:t>
            </w:r>
            <w:r w:rsidR="007442E2">
              <w:rPr>
                <w:color w:val="FFFFFF" w:themeColor="background1"/>
              </w:rPr>
              <w:t>b</w:t>
            </w:r>
            <w:r w:rsidRPr="00CE6BED">
              <w:rPr>
                <w:color w:val="FFFFFF" w:themeColor="background1"/>
              </w:rPr>
              <w:t>udget</w:t>
            </w:r>
          </w:p>
        </w:tc>
        <w:tc>
          <w:tcPr>
            <w:tcW w:w="718" w:type="pct"/>
            <w:tcBorders>
              <w:top w:val="single" w:sz="8" w:space="0" w:color="auto"/>
              <w:left w:val="nil"/>
              <w:bottom w:val="nil"/>
              <w:right w:val="single" w:sz="8" w:space="0" w:color="auto"/>
            </w:tcBorders>
            <w:shd w:val="clear" w:color="000000" w:fill="404040"/>
            <w:hideMark/>
          </w:tcPr>
          <w:p w14:paraId="5E6B8C46" w14:textId="22B37E9E" w:rsidR="009E3A91" w:rsidRPr="00CE6BED" w:rsidRDefault="009E3A91" w:rsidP="00C13A58">
            <w:pPr>
              <w:pStyle w:val="TableHeading"/>
              <w:rPr>
                <w:b w:val="0"/>
                <w:color w:val="FFFFFF" w:themeColor="background1"/>
              </w:rPr>
            </w:pPr>
            <w:r>
              <w:rPr>
                <w:color w:val="FFFFFF" w:themeColor="background1"/>
              </w:rPr>
              <w:t>202</w:t>
            </w:r>
            <w:r w:rsidR="00C114DA">
              <w:rPr>
                <w:color w:val="FFFFFF" w:themeColor="background1"/>
              </w:rPr>
              <w:t>1</w:t>
            </w:r>
            <w:r w:rsidRPr="00CE6BED">
              <w:rPr>
                <w:color w:val="FFFFFF" w:themeColor="background1"/>
              </w:rPr>
              <w:t>–</w:t>
            </w:r>
            <w:r>
              <w:rPr>
                <w:color w:val="FFFFFF" w:themeColor="background1"/>
              </w:rPr>
              <w:t>2</w:t>
            </w:r>
            <w:r w:rsidR="00C114DA">
              <w:rPr>
                <w:color w:val="FFFFFF" w:themeColor="background1"/>
              </w:rPr>
              <w:t>2</w:t>
            </w:r>
            <w:r w:rsidRPr="00CE6BED">
              <w:rPr>
                <w:color w:val="FFFFFF" w:themeColor="background1"/>
              </w:rPr>
              <w:t xml:space="preserve"> </w:t>
            </w:r>
            <w:r w:rsidR="007442E2">
              <w:rPr>
                <w:color w:val="FFFFFF" w:themeColor="background1"/>
              </w:rPr>
              <w:t>b</w:t>
            </w:r>
            <w:r w:rsidRPr="00CE6BED">
              <w:rPr>
                <w:color w:val="FFFFFF" w:themeColor="background1"/>
              </w:rPr>
              <w:t>udget</w:t>
            </w:r>
          </w:p>
        </w:tc>
      </w:tr>
      <w:tr w:rsidR="009E3A91" w:rsidRPr="005A5B87" w14:paraId="37D5493C" w14:textId="77777777" w:rsidTr="009E3A91">
        <w:trPr>
          <w:trHeight w:val="106"/>
          <w:tblHeader/>
        </w:trPr>
        <w:tc>
          <w:tcPr>
            <w:tcW w:w="1412" w:type="pct"/>
            <w:vMerge/>
            <w:tcBorders>
              <w:top w:val="single" w:sz="8" w:space="0" w:color="auto"/>
              <w:left w:val="single" w:sz="4" w:space="0" w:color="auto"/>
              <w:bottom w:val="single" w:sz="8" w:space="0" w:color="000000"/>
              <w:right w:val="single" w:sz="8" w:space="0" w:color="auto"/>
            </w:tcBorders>
            <w:hideMark/>
          </w:tcPr>
          <w:p w14:paraId="6B2D9B57" w14:textId="77777777" w:rsidR="009E3A91" w:rsidRPr="00CE6BED" w:rsidRDefault="009E3A91" w:rsidP="009E3A91">
            <w:pPr>
              <w:pStyle w:val="TableHeading"/>
              <w:rPr>
                <w:b w:val="0"/>
                <w:color w:val="FFFFFF" w:themeColor="background1"/>
              </w:rPr>
            </w:pPr>
          </w:p>
        </w:tc>
        <w:tc>
          <w:tcPr>
            <w:tcW w:w="717" w:type="pct"/>
            <w:tcBorders>
              <w:top w:val="nil"/>
              <w:left w:val="nil"/>
              <w:bottom w:val="single" w:sz="8" w:space="0" w:color="auto"/>
              <w:right w:val="single" w:sz="8" w:space="0" w:color="auto"/>
            </w:tcBorders>
            <w:shd w:val="clear" w:color="000000" w:fill="404040"/>
            <w:hideMark/>
          </w:tcPr>
          <w:p w14:paraId="4FAD3631" w14:textId="77777777" w:rsidR="009E3A91" w:rsidRPr="00CE6BED" w:rsidRDefault="009E3A91" w:rsidP="00C13A58">
            <w:pPr>
              <w:pStyle w:val="TableHeading"/>
              <w:rPr>
                <w:b w:val="0"/>
                <w:color w:val="FFFFFF" w:themeColor="background1"/>
              </w:rPr>
            </w:pPr>
            <w:r w:rsidRPr="00CE6BED">
              <w:rPr>
                <w:color w:val="FFFFFF" w:themeColor="background1"/>
              </w:rPr>
              <w:t>($million)</w:t>
            </w:r>
          </w:p>
        </w:tc>
        <w:tc>
          <w:tcPr>
            <w:tcW w:w="717" w:type="pct"/>
            <w:tcBorders>
              <w:top w:val="nil"/>
              <w:left w:val="nil"/>
              <w:bottom w:val="single" w:sz="8" w:space="0" w:color="auto"/>
              <w:right w:val="single" w:sz="8" w:space="0" w:color="auto"/>
            </w:tcBorders>
            <w:shd w:val="clear" w:color="000000" w:fill="404040"/>
            <w:hideMark/>
          </w:tcPr>
          <w:p w14:paraId="4304CAB2" w14:textId="77777777" w:rsidR="009E3A91" w:rsidRPr="00CE6BED" w:rsidRDefault="009E3A91" w:rsidP="00C13A58">
            <w:pPr>
              <w:pStyle w:val="TableHeading"/>
              <w:rPr>
                <w:b w:val="0"/>
                <w:color w:val="FFFFFF" w:themeColor="background1"/>
              </w:rPr>
            </w:pPr>
            <w:r w:rsidRPr="00CE6BED">
              <w:rPr>
                <w:color w:val="FFFFFF" w:themeColor="background1"/>
              </w:rPr>
              <w:t>($million)</w:t>
            </w:r>
          </w:p>
        </w:tc>
        <w:tc>
          <w:tcPr>
            <w:tcW w:w="717" w:type="pct"/>
            <w:tcBorders>
              <w:top w:val="nil"/>
              <w:left w:val="nil"/>
              <w:bottom w:val="single" w:sz="8" w:space="0" w:color="auto"/>
              <w:right w:val="single" w:sz="8" w:space="0" w:color="auto"/>
            </w:tcBorders>
            <w:shd w:val="clear" w:color="000000" w:fill="404040"/>
            <w:hideMark/>
          </w:tcPr>
          <w:p w14:paraId="29E0E0CA" w14:textId="77777777" w:rsidR="009E3A91" w:rsidRPr="00CE6BED" w:rsidRDefault="009E3A91" w:rsidP="00C13A58">
            <w:pPr>
              <w:pStyle w:val="TableHeading"/>
              <w:rPr>
                <w:b w:val="0"/>
                <w:color w:val="FFFFFF" w:themeColor="background1"/>
              </w:rPr>
            </w:pPr>
            <w:r w:rsidRPr="00CE6BED">
              <w:rPr>
                <w:color w:val="FFFFFF" w:themeColor="background1"/>
              </w:rPr>
              <w:t>($million)</w:t>
            </w:r>
          </w:p>
        </w:tc>
        <w:tc>
          <w:tcPr>
            <w:tcW w:w="717" w:type="pct"/>
            <w:tcBorders>
              <w:top w:val="nil"/>
              <w:left w:val="nil"/>
              <w:bottom w:val="single" w:sz="8" w:space="0" w:color="auto"/>
              <w:right w:val="single" w:sz="8" w:space="0" w:color="auto"/>
            </w:tcBorders>
            <w:shd w:val="clear" w:color="000000" w:fill="404040"/>
            <w:hideMark/>
          </w:tcPr>
          <w:p w14:paraId="331C5BDB" w14:textId="77777777" w:rsidR="009E3A91" w:rsidRPr="00CE6BED" w:rsidRDefault="009E3A91" w:rsidP="00C13A58">
            <w:pPr>
              <w:pStyle w:val="TableHeading"/>
              <w:rPr>
                <w:b w:val="0"/>
                <w:color w:val="FFFFFF" w:themeColor="background1"/>
              </w:rPr>
            </w:pPr>
            <w:r w:rsidRPr="00CE6BED">
              <w:rPr>
                <w:color w:val="FFFFFF" w:themeColor="background1"/>
              </w:rPr>
              <w:t>($million)</w:t>
            </w:r>
          </w:p>
        </w:tc>
        <w:tc>
          <w:tcPr>
            <w:tcW w:w="718" w:type="pct"/>
            <w:tcBorders>
              <w:top w:val="nil"/>
              <w:left w:val="nil"/>
              <w:bottom w:val="single" w:sz="8" w:space="0" w:color="auto"/>
              <w:right w:val="single" w:sz="8" w:space="0" w:color="auto"/>
            </w:tcBorders>
            <w:shd w:val="clear" w:color="000000" w:fill="404040"/>
            <w:hideMark/>
          </w:tcPr>
          <w:p w14:paraId="61FCBC6B" w14:textId="77777777" w:rsidR="009E3A91" w:rsidRPr="00CE6BED" w:rsidRDefault="009E3A91" w:rsidP="00C13A58">
            <w:pPr>
              <w:pStyle w:val="TableHeading"/>
              <w:rPr>
                <w:b w:val="0"/>
                <w:color w:val="FFFFFF" w:themeColor="background1"/>
              </w:rPr>
            </w:pPr>
            <w:r w:rsidRPr="00CE6BED">
              <w:rPr>
                <w:color w:val="FFFFFF" w:themeColor="background1"/>
              </w:rPr>
              <w:t>($million)</w:t>
            </w:r>
          </w:p>
        </w:tc>
      </w:tr>
      <w:tr w:rsidR="009E3A91" w:rsidRPr="005A5B87" w14:paraId="0B1CEB86" w14:textId="77777777" w:rsidTr="009E3A91">
        <w:trPr>
          <w:trHeight w:val="242"/>
          <w:tblHeader/>
        </w:trPr>
        <w:tc>
          <w:tcPr>
            <w:tcW w:w="1412" w:type="pct"/>
            <w:tcBorders>
              <w:top w:val="nil"/>
              <w:left w:val="single" w:sz="4" w:space="0" w:color="auto"/>
              <w:bottom w:val="single" w:sz="8" w:space="0" w:color="auto"/>
              <w:right w:val="single" w:sz="8" w:space="0" w:color="auto"/>
            </w:tcBorders>
            <w:shd w:val="clear" w:color="auto" w:fill="auto"/>
            <w:hideMark/>
          </w:tcPr>
          <w:p w14:paraId="0C676003" w14:textId="77777777" w:rsidR="009E3A91" w:rsidRPr="00687A04" w:rsidRDefault="009E3A91" w:rsidP="009E3A91">
            <w:pPr>
              <w:spacing w:after="0" w:line="240" w:lineRule="auto"/>
              <w:rPr>
                <w:rFonts w:cs="Arial"/>
                <w:color w:val="000000"/>
                <w:szCs w:val="20"/>
              </w:rPr>
            </w:pPr>
            <w:r>
              <w:rPr>
                <w:rFonts w:cs="Arial"/>
                <w:color w:val="000000"/>
                <w:szCs w:val="20"/>
              </w:rPr>
              <w:t>MBA program e</w:t>
            </w:r>
            <w:r w:rsidRPr="00687A04">
              <w:rPr>
                <w:rFonts w:cs="Arial"/>
                <w:color w:val="000000"/>
                <w:szCs w:val="20"/>
              </w:rPr>
              <w:t>xpenses</w:t>
            </w:r>
          </w:p>
        </w:tc>
        <w:tc>
          <w:tcPr>
            <w:tcW w:w="717" w:type="pct"/>
            <w:tcBorders>
              <w:top w:val="nil"/>
              <w:left w:val="nil"/>
              <w:bottom w:val="single" w:sz="8" w:space="0" w:color="auto"/>
              <w:right w:val="single" w:sz="8" w:space="0" w:color="auto"/>
            </w:tcBorders>
            <w:shd w:val="clear" w:color="auto" w:fill="auto"/>
          </w:tcPr>
          <w:p w14:paraId="74DB0510" w14:textId="4DAA8CDE" w:rsidR="009E3A91" w:rsidRPr="00687A04" w:rsidRDefault="00C114DA" w:rsidP="00C13A58">
            <w:pPr>
              <w:spacing w:after="0" w:line="240" w:lineRule="auto"/>
              <w:rPr>
                <w:rFonts w:cs="Arial"/>
                <w:color w:val="000000"/>
                <w:szCs w:val="20"/>
              </w:rPr>
            </w:pPr>
            <w:r>
              <w:rPr>
                <w:rFonts w:cs="Arial"/>
                <w:color w:val="000000"/>
                <w:szCs w:val="20"/>
              </w:rPr>
              <w:t>1.</w:t>
            </w:r>
            <w:r w:rsidR="00465765">
              <w:rPr>
                <w:rFonts w:cs="Arial"/>
                <w:color w:val="000000"/>
                <w:szCs w:val="20"/>
              </w:rPr>
              <w:t>532</w:t>
            </w:r>
          </w:p>
        </w:tc>
        <w:tc>
          <w:tcPr>
            <w:tcW w:w="717" w:type="pct"/>
            <w:tcBorders>
              <w:top w:val="nil"/>
              <w:left w:val="nil"/>
              <w:bottom w:val="single" w:sz="8" w:space="0" w:color="auto"/>
              <w:right w:val="single" w:sz="8" w:space="0" w:color="auto"/>
            </w:tcBorders>
            <w:shd w:val="clear" w:color="auto" w:fill="auto"/>
          </w:tcPr>
          <w:p w14:paraId="115E3CF0" w14:textId="5271EBE1" w:rsidR="009E3A91" w:rsidRPr="00687A04" w:rsidRDefault="009E3A91" w:rsidP="00C13A58">
            <w:pPr>
              <w:spacing w:after="0" w:line="240" w:lineRule="auto"/>
              <w:rPr>
                <w:rFonts w:cs="Arial"/>
                <w:color w:val="000000"/>
                <w:szCs w:val="20"/>
              </w:rPr>
            </w:pPr>
            <w:r>
              <w:rPr>
                <w:rFonts w:cs="Arial"/>
                <w:color w:val="000000"/>
                <w:szCs w:val="20"/>
              </w:rPr>
              <w:t>1.7</w:t>
            </w:r>
            <w:r w:rsidR="00465765">
              <w:rPr>
                <w:rFonts w:cs="Arial"/>
                <w:color w:val="000000"/>
                <w:szCs w:val="20"/>
              </w:rPr>
              <w:t>84</w:t>
            </w:r>
          </w:p>
        </w:tc>
        <w:tc>
          <w:tcPr>
            <w:tcW w:w="717" w:type="pct"/>
            <w:tcBorders>
              <w:top w:val="nil"/>
              <w:left w:val="nil"/>
              <w:bottom w:val="single" w:sz="8" w:space="0" w:color="auto"/>
              <w:right w:val="single" w:sz="8" w:space="0" w:color="auto"/>
            </w:tcBorders>
            <w:shd w:val="clear" w:color="auto" w:fill="auto"/>
          </w:tcPr>
          <w:p w14:paraId="67547C0E" w14:textId="49E04842" w:rsidR="009E3A91" w:rsidRPr="00687A04" w:rsidRDefault="009E3A91" w:rsidP="00C13A58">
            <w:pPr>
              <w:spacing w:after="0" w:line="240" w:lineRule="auto"/>
              <w:rPr>
                <w:rFonts w:cs="Arial"/>
                <w:color w:val="000000"/>
                <w:szCs w:val="20"/>
              </w:rPr>
            </w:pPr>
            <w:r>
              <w:rPr>
                <w:rFonts w:cs="Arial"/>
                <w:color w:val="000000"/>
                <w:szCs w:val="20"/>
              </w:rPr>
              <w:t>1.</w:t>
            </w:r>
            <w:r w:rsidR="00465765">
              <w:rPr>
                <w:rFonts w:cs="Arial"/>
                <w:color w:val="000000"/>
                <w:szCs w:val="20"/>
              </w:rPr>
              <w:t>822</w:t>
            </w:r>
          </w:p>
        </w:tc>
        <w:tc>
          <w:tcPr>
            <w:tcW w:w="717" w:type="pct"/>
            <w:tcBorders>
              <w:top w:val="nil"/>
              <w:left w:val="nil"/>
              <w:bottom w:val="single" w:sz="8" w:space="0" w:color="auto"/>
              <w:right w:val="single" w:sz="8" w:space="0" w:color="auto"/>
            </w:tcBorders>
            <w:shd w:val="clear" w:color="auto" w:fill="auto"/>
          </w:tcPr>
          <w:p w14:paraId="2F28201F" w14:textId="562A10EE" w:rsidR="009E3A91" w:rsidRPr="00687A04" w:rsidRDefault="009E3A91" w:rsidP="00C13A58">
            <w:pPr>
              <w:spacing w:after="0" w:line="240" w:lineRule="auto"/>
              <w:rPr>
                <w:rFonts w:cs="Arial"/>
                <w:color w:val="000000"/>
                <w:szCs w:val="20"/>
              </w:rPr>
            </w:pPr>
            <w:r>
              <w:rPr>
                <w:rFonts w:cs="Arial"/>
                <w:color w:val="000000"/>
                <w:szCs w:val="20"/>
              </w:rPr>
              <w:t>1.</w:t>
            </w:r>
            <w:r w:rsidR="006B5EED">
              <w:rPr>
                <w:rFonts w:cs="Arial"/>
                <w:color w:val="000000"/>
                <w:szCs w:val="20"/>
              </w:rPr>
              <w:t>836</w:t>
            </w:r>
          </w:p>
        </w:tc>
        <w:tc>
          <w:tcPr>
            <w:tcW w:w="718" w:type="pct"/>
            <w:tcBorders>
              <w:top w:val="nil"/>
              <w:left w:val="nil"/>
              <w:bottom w:val="single" w:sz="8" w:space="0" w:color="auto"/>
              <w:right w:val="single" w:sz="8" w:space="0" w:color="auto"/>
            </w:tcBorders>
            <w:shd w:val="clear" w:color="auto" w:fill="auto"/>
          </w:tcPr>
          <w:p w14:paraId="3165027B" w14:textId="77777777" w:rsidR="009E3A91" w:rsidRPr="00687A04" w:rsidRDefault="009E3A91" w:rsidP="00C13A58">
            <w:pPr>
              <w:spacing w:after="0" w:line="240" w:lineRule="auto"/>
              <w:rPr>
                <w:rFonts w:cs="Arial"/>
                <w:color w:val="000000"/>
                <w:szCs w:val="20"/>
              </w:rPr>
            </w:pPr>
            <w:r>
              <w:rPr>
                <w:rFonts w:cs="Arial"/>
                <w:color w:val="000000"/>
                <w:szCs w:val="20"/>
              </w:rPr>
              <w:t>0.0</w:t>
            </w:r>
          </w:p>
        </w:tc>
      </w:tr>
      <w:tr w:rsidR="009E3A91" w:rsidRPr="005A5B87" w14:paraId="798E0BBD" w14:textId="77777777" w:rsidTr="009E3A91">
        <w:trPr>
          <w:trHeight w:val="66"/>
          <w:tblHeader/>
        </w:trPr>
        <w:tc>
          <w:tcPr>
            <w:tcW w:w="1412" w:type="pct"/>
            <w:tcBorders>
              <w:top w:val="nil"/>
              <w:left w:val="single" w:sz="4" w:space="0" w:color="auto"/>
              <w:bottom w:val="single" w:sz="8" w:space="0" w:color="auto"/>
              <w:right w:val="single" w:sz="8" w:space="0" w:color="auto"/>
            </w:tcBorders>
            <w:shd w:val="clear" w:color="auto" w:fill="auto"/>
            <w:hideMark/>
          </w:tcPr>
          <w:p w14:paraId="6F84280D" w14:textId="77777777" w:rsidR="009E3A91" w:rsidRPr="00687A04" w:rsidRDefault="009E3A91" w:rsidP="009E3A91">
            <w:pPr>
              <w:spacing w:after="0" w:line="240" w:lineRule="auto"/>
              <w:rPr>
                <w:rFonts w:cs="Arial"/>
                <w:color w:val="000000"/>
                <w:szCs w:val="20"/>
              </w:rPr>
            </w:pPr>
            <w:r>
              <w:rPr>
                <w:rFonts w:cs="Arial"/>
                <w:color w:val="000000"/>
                <w:szCs w:val="20"/>
              </w:rPr>
              <w:t>ACLC revenue</w:t>
            </w:r>
          </w:p>
        </w:tc>
        <w:tc>
          <w:tcPr>
            <w:tcW w:w="717" w:type="pct"/>
            <w:tcBorders>
              <w:top w:val="nil"/>
              <w:left w:val="nil"/>
              <w:bottom w:val="single" w:sz="8" w:space="0" w:color="auto"/>
              <w:right w:val="single" w:sz="8" w:space="0" w:color="auto"/>
            </w:tcBorders>
            <w:shd w:val="clear" w:color="auto" w:fill="auto"/>
          </w:tcPr>
          <w:p w14:paraId="3C0179A7" w14:textId="525EA627" w:rsidR="009E3A91" w:rsidRPr="00687A04" w:rsidRDefault="00465765" w:rsidP="00C13A58">
            <w:pPr>
              <w:spacing w:after="0" w:line="240" w:lineRule="auto"/>
              <w:rPr>
                <w:rFonts w:cs="Arial"/>
                <w:color w:val="000000"/>
                <w:szCs w:val="20"/>
              </w:rPr>
            </w:pPr>
            <w:r>
              <w:rPr>
                <w:rFonts w:cs="Arial"/>
                <w:color w:val="000000"/>
                <w:szCs w:val="20"/>
              </w:rPr>
              <w:t>0</w:t>
            </w:r>
          </w:p>
        </w:tc>
        <w:tc>
          <w:tcPr>
            <w:tcW w:w="717" w:type="pct"/>
            <w:tcBorders>
              <w:top w:val="nil"/>
              <w:left w:val="nil"/>
              <w:bottom w:val="single" w:sz="8" w:space="0" w:color="auto"/>
              <w:right w:val="single" w:sz="8" w:space="0" w:color="auto"/>
            </w:tcBorders>
            <w:shd w:val="clear" w:color="auto" w:fill="auto"/>
          </w:tcPr>
          <w:p w14:paraId="1FA4CA1F" w14:textId="48F43EB8" w:rsidR="009E3A91" w:rsidRPr="00687A04" w:rsidRDefault="00465765" w:rsidP="00C13A58">
            <w:pPr>
              <w:spacing w:after="0" w:line="240" w:lineRule="auto"/>
              <w:rPr>
                <w:rFonts w:cs="Arial"/>
                <w:color w:val="000000"/>
                <w:szCs w:val="20"/>
              </w:rPr>
            </w:pPr>
            <w:r>
              <w:rPr>
                <w:rFonts w:cs="Arial"/>
                <w:color w:val="000000"/>
                <w:szCs w:val="20"/>
              </w:rPr>
              <w:t>1.532</w:t>
            </w:r>
          </w:p>
        </w:tc>
        <w:tc>
          <w:tcPr>
            <w:tcW w:w="717" w:type="pct"/>
            <w:tcBorders>
              <w:top w:val="nil"/>
              <w:left w:val="nil"/>
              <w:bottom w:val="single" w:sz="8" w:space="0" w:color="auto"/>
              <w:right w:val="single" w:sz="8" w:space="0" w:color="auto"/>
            </w:tcBorders>
            <w:shd w:val="clear" w:color="auto" w:fill="auto"/>
          </w:tcPr>
          <w:p w14:paraId="0FEAC18F" w14:textId="23CB316C" w:rsidR="009E3A91" w:rsidRPr="00687A04" w:rsidRDefault="009E3A91" w:rsidP="00C13A58">
            <w:pPr>
              <w:spacing w:after="0" w:line="240" w:lineRule="auto"/>
              <w:rPr>
                <w:rFonts w:cs="Arial"/>
                <w:color w:val="000000"/>
                <w:szCs w:val="20"/>
              </w:rPr>
            </w:pPr>
            <w:r>
              <w:rPr>
                <w:rFonts w:cs="Arial"/>
                <w:color w:val="000000"/>
                <w:szCs w:val="20"/>
              </w:rPr>
              <w:t>1.7</w:t>
            </w:r>
            <w:r w:rsidR="00465765">
              <w:rPr>
                <w:rFonts w:cs="Arial"/>
                <w:color w:val="000000"/>
                <w:szCs w:val="20"/>
              </w:rPr>
              <w:t>84</w:t>
            </w:r>
          </w:p>
        </w:tc>
        <w:tc>
          <w:tcPr>
            <w:tcW w:w="717" w:type="pct"/>
            <w:tcBorders>
              <w:top w:val="nil"/>
              <w:left w:val="nil"/>
              <w:bottom w:val="single" w:sz="8" w:space="0" w:color="auto"/>
              <w:right w:val="single" w:sz="8" w:space="0" w:color="auto"/>
            </w:tcBorders>
            <w:shd w:val="clear" w:color="auto" w:fill="auto"/>
          </w:tcPr>
          <w:p w14:paraId="3C104A90" w14:textId="35CCE802" w:rsidR="009E3A91" w:rsidRPr="00687A04" w:rsidRDefault="009E3A91" w:rsidP="00C13A58">
            <w:pPr>
              <w:spacing w:after="0" w:line="240" w:lineRule="auto"/>
              <w:rPr>
                <w:rFonts w:cs="Arial"/>
                <w:color w:val="000000"/>
                <w:szCs w:val="20"/>
              </w:rPr>
            </w:pPr>
            <w:r>
              <w:rPr>
                <w:rFonts w:cs="Arial"/>
                <w:color w:val="000000"/>
                <w:szCs w:val="20"/>
              </w:rPr>
              <w:t>1.</w:t>
            </w:r>
            <w:r w:rsidR="006B5EED">
              <w:rPr>
                <w:rFonts w:cs="Arial"/>
                <w:color w:val="000000"/>
                <w:szCs w:val="20"/>
              </w:rPr>
              <w:t>822</w:t>
            </w:r>
          </w:p>
        </w:tc>
        <w:tc>
          <w:tcPr>
            <w:tcW w:w="718" w:type="pct"/>
            <w:tcBorders>
              <w:top w:val="nil"/>
              <w:left w:val="nil"/>
              <w:bottom w:val="single" w:sz="8" w:space="0" w:color="auto"/>
              <w:right w:val="single" w:sz="8" w:space="0" w:color="auto"/>
            </w:tcBorders>
            <w:shd w:val="clear" w:color="auto" w:fill="auto"/>
          </w:tcPr>
          <w:p w14:paraId="58095851" w14:textId="2A55F821" w:rsidR="009E3A91" w:rsidRPr="00687A04" w:rsidRDefault="009E3A91" w:rsidP="00C13A58">
            <w:pPr>
              <w:spacing w:after="0" w:line="240" w:lineRule="auto"/>
              <w:rPr>
                <w:rFonts w:cs="Arial"/>
                <w:color w:val="000000"/>
                <w:szCs w:val="20"/>
              </w:rPr>
            </w:pPr>
            <w:r>
              <w:rPr>
                <w:rFonts w:cs="Arial"/>
                <w:color w:val="000000"/>
                <w:szCs w:val="20"/>
              </w:rPr>
              <w:t>1.</w:t>
            </w:r>
            <w:r w:rsidR="006B5EED">
              <w:rPr>
                <w:rFonts w:cs="Arial"/>
                <w:color w:val="000000"/>
                <w:szCs w:val="20"/>
              </w:rPr>
              <w:t>836</w:t>
            </w:r>
          </w:p>
        </w:tc>
      </w:tr>
      <w:tr w:rsidR="009E3A91" w:rsidRPr="005A5B87" w14:paraId="2E7072CE" w14:textId="77777777" w:rsidTr="009E3A91">
        <w:trPr>
          <w:trHeight w:val="66"/>
          <w:tblHeader/>
        </w:trPr>
        <w:tc>
          <w:tcPr>
            <w:tcW w:w="1412" w:type="pct"/>
            <w:tcBorders>
              <w:top w:val="nil"/>
              <w:left w:val="single" w:sz="4" w:space="0" w:color="auto"/>
              <w:bottom w:val="single" w:sz="8" w:space="0" w:color="auto"/>
              <w:right w:val="single" w:sz="8" w:space="0" w:color="auto"/>
            </w:tcBorders>
            <w:shd w:val="clear" w:color="auto" w:fill="D9D9D9" w:themeFill="background1" w:themeFillShade="D9"/>
          </w:tcPr>
          <w:p w14:paraId="59655C93" w14:textId="77777777" w:rsidR="009E3A91" w:rsidRDefault="009E3A91" w:rsidP="009E3A91">
            <w:pPr>
              <w:spacing w:after="0" w:line="240" w:lineRule="auto"/>
              <w:rPr>
                <w:rFonts w:cs="Arial"/>
                <w:color w:val="000000"/>
                <w:szCs w:val="20"/>
              </w:rPr>
            </w:pPr>
            <w:r w:rsidRPr="00687A04">
              <w:rPr>
                <w:rFonts w:cs="Arial"/>
                <w:b/>
                <w:bCs/>
                <w:color w:val="000000"/>
                <w:szCs w:val="20"/>
              </w:rPr>
              <w:t>Balance</w:t>
            </w:r>
          </w:p>
        </w:tc>
        <w:tc>
          <w:tcPr>
            <w:tcW w:w="717" w:type="pct"/>
            <w:tcBorders>
              <w:top w:val="nil"/>
              <w:left w:val="nil"/>
              <w:bottom w:val="single" w:sz="8" w:space="0" w:color="auto"/>
              <w:right w:val="single" w:sz="8" w:space="0" w:color="auto"/>
            </w:tcBorders>
            <w:shd w:val="clear" w:color="auto" w:fill="D9D9D9" w:themeFill="background1" w:themeFillShade="D9"/>
          </w:tcPr>
          <w:p w14:paraId="209D6A9E" w14:textId="308A2BEF" w:rsidR="009E3A91" w:rsidRPr="0059615B" w:rsidRDefault="00465765" w:rsidP="00C13A58">
            <w:pPr>
              <w:spacing w:after="0" w:line="240" w:lineRule="auto"/>
              <w:rPr>
                <w:rFonts w:cs="Arial"/>
                <w:b/>
                <w:color w:val="000000"/>
                <w:szCs w:val="20"/>
              </w:rPr>
            </w:pPr>
            <w:r>
              <w:rPr>
                <w:rFonts w:cs="Arial"/>
                <w:b/>
                <w:color w:val="000000"/>
                <w:szCs w:val="20"/>
              </w:rPr>
              <w:t>(1.532)</w:t>
            </w:r>
          </w:p>
        </w:tc>
        <w:tc>
          <w:tcPr>
            <w:tcW w:w="717" w:type="pct"/>
            <w:tcBorders>
              <w:top w:val="nil"/>
              <w:left w:val="nil"/>
              <w:bottom w:val="single" w:sz="8" w:space="0" w:color="auto"/>
              <w:right w:val="single" w:sz="8" w:space="0" w:color="auto"/>
            </w:tcBorders>
            <w:shd w:val="clear" w:color="auto" w:fill="D9D9D9" w:themeFill="background1" w:themeFillShade="D9"/>
          </w:tcPr>
          <w:p w14:paraId="520FE280" w14:textId="58B4B05B" w:rsidR="009E3A91" w:rsidRPr="0059615B" w:rsidRDefault="006B5EED" w:rsidP="00C13A58">
            <w:pPr>
              <w:spacing w:after="0" w:line="240" w:lineRule="auto"/>
              <w:rPr>
                <w:rFonts w:cs="Arial"/>
                <w:b/>
                <w:color w:val="000000"/>
                <w:szCs w:val="20"/>
              </w:rPr>
            </w:pPr>
            <w:r>
              <w:rPr>
                <w:rFonts w:cs="Arial"/>
                <w:b/>
                <w:color w:val="000000"/>
                <w:szCs w:val="20"/>
              </w:rPr>
              <w:t>(0.252)</w:t>
            </w:r>
          </w:p>
        </w:tc>
        <w:tc>
          <w:tcPr>
            <w:tcW w:w="717" w:type="pct"/>
            <w:tcBorders>
              <w:top w:val="nil"/>
              <w:left w:val="nil"/>
              <w:bottom w:val="single" w:sz="8" w:space="0" w:color="auto"/>
              <w:right w:val="single" w:sz="8" w:space="0" w:color="auto"/>
            </w:tcBorders>
            <w:shd w:val="clear" w:color="auto" w:fill="D9D9D9" w:themeFill="background1" w:themeFillShade="D9"/>
          </w:tcPr>
          <w:p w14:paraId="46711DB2" w14:textId="11A85FDF" w:rsidR="009E3A91" w:rsidRPr="0059615B" w:rsidRDefault="006B5EED" w:rsidP="00C13A58">
            <w:pPr>
              <w:spacing w:after="0" w:line="240" w:lineRule="auto"/>
              <w:rPr>
                <w:rFonts w:cs="Arial"/>
                <w:b/>
                <w:color w:val="000000"/>
                <w:szCs w:val="20"/>
              </w:rPr>
            </w:pPr>
            <w:r>
              <w:rPr>
                <w:rFonts w:cs="Arial"/>
                <w:b/>
                <w:color w:val="000000"/>
                <w:szCs w:val="20"/>
              </w:rPr>
              <w:t>(0.038)</w:t>
            </w:r>
          </w:p>
        </w:tc>
        <w:tc>
          <w:tcPr>
            <w:tcW w:w="717" w:type="pct"/>
            <w:tcBorders>
              <w:top w:val="nil"/>
              <w:left w:val="nil"/>
              <w:bottom w:val="single" w:sz="8" w:space="0" w:color="auto"/>
              <w:right w:val="single" w:sz="8" w:space="0" w:color="auto"/>
            </w:tcBorders>
            <w:shd w:val="clear" w:color="auto" w:fill="D9D9D9" w:themeFill="background1" w:themeFillShade="D9"/>
          </w:tcPr>
          <w:p w14:paraId="7C8CFD4B" w14:textId="099D9060" w:rsidR="009E3A91" w:rsidRPr="0059615B" w:rsidRDefault="009E3A91" w:rsidP="00C13A58">
            <w:pPr>
              <w:spacing w:after="0" w:line="240" w:lineRule="auto"/>
              <w:rPr>
                <w:rFonts w:cs="Arial"/>
                <w:b/>
                <w:color w:val="000000"/>
                <w:szCs w:val="20"/>
              </w:rPr>
            </w:pPr>
            <w:r>
              <w:rPr>
                <w:rFonts w:cs="Arial"/>
                <w:b/>
                <w:color w:val="000000"/>
                <w:szCs w:val="20"/>
              </w:rPr>
              <w:t>(0.</w:t>
            </w:r>
            <w:r w:rsidR="006B5EED">
              <w:rPr>
                <w:rFonts w:cs="Arial"/>
                <w:b/>
                <w:color w:val="000000"/>
                <w:szCs w:val="20"/>
              </w:rPr>
              <w:t>014</w:t>
            </w:r>
            <w:r>
              <w:rPr>
                <w:rFonts w:cs="Arial"/>
                <w:b/>
                <w:color w:val="000000"/>
                <w:szCs w:val="20"/>
              </w:rPr>
              <w:t>)</w:t>
            </w:r>
          </w:p>
        </w:tc>
        <w:tc>
          <w:tcPr>
            <w:tcW w:w="718" w:type="pct"/>
            <w:tcBorders>
              <w:top w:val="nil"/>
              <w:left w:val="nil"/>
              <w:bottom w:val="single" w:sz="8" w:space="0" w:color="auto"/>
              <w:right w:val="single" w:sz="8" w:space="0" w:color="auto"/>
            </w:tcBorders>
            <w:shd w:val="clear" w:color="auto" w:fill="D9D9D9" w:themeFill="background1" w:themeFillShade="D9"/>
          </w:tcPr>
          <w:p w14:paraId="47DE18F6" w14:textId="54FCBC4F" w:rsidR="009E3A91" w:rsidRPr="0059615B" w:rsidRDefault="009E3A91" w:rsidP="00C13A58">
            <w:pPr>
              <w:spacing w:after="0" w:line="240" w:lineRule="auto"/>
              <w:rPr>
                <w:rFonts w:cs="Arial"/>
                <w:b/>
                <w:color w:val="000000"/>
                <w:szCs w:val="20"/>
              </w:rPr>
            </w:pPr>
            <w:r>
              <w:rPr>
                <w:rFonts w:cs="Arial"/>
                <w:b/>
                <w:color w:val="000000"/>
                <w:szCs w:val="20"/>
              </w:rPr>
              <w:t>1.</w:t>
            </w:r>
            <w:r w:rsidR="006B5EED">
              <w:rPr>
                <w:rFonts w:cs="Arial"/>
                <w:b/>
                <w:color w:val="000000"/>
                <w:szCs w:val="20"/>
              </w:rPr>
              <w:t>836</w:t>
            </w:r>
          </w:p>
        </w:tc>
      </w:tr>
      <w:tr w:rsidR="009E3A91" w:rsidRPr="005A5B87" w14:paraId="05F0D3CF" w14:textId="77777777" w:rsidTr="009E3A91">
        <w:trPr>
          <w:trHeight w:val="66"/>
          <w:tblHeader/>
        </w:trPr>
        <w:tc>
          <w:tcPr>
            <w:tcW w:w="1412" w:type="pct"/>
            <w:tcBorders>
              <w:top w:val="nil"/>
              <w:left w:val="single" w:sz="4" w:space="0" w:color="auto"/>
              <w:bottom w:val="single" w:sz="8" w:space="0" w:color="auto"/>
              <w:right w:val="single" w:sz="8" w:space="0" w:color="auto"/>
            </w:tcBorders>
            <w:shd w:val="clear" w:color="auto" w:fill="D9D9D9" w:themeFill="background1" w:themeFillShade="D9"/>
          </w:tcPr>
          <w:p w14:paraId="2AF10FB8" w14:textId="77777777" w:rsidR="009E3A91" w:rsidRDefault="009E3A91" w:rsidP="009E3A91">
            <w:pPr>
              <w:spacing w:after="0" w:line="240" w:lineRule="auto"/>
              <w:rPr>
                <w:rFonts w:cs="Arial"/>
                <w:color w:val="000000"/>
                <w:szCs w:val="20"/>
              </w:rPr>
            </w:pPr>
            <w:bookmarkStart w:id="235" w:name="_Hlk7707145"/>
            <w:r>
              <w:rPr>
                <w:rFonts w:cs="Arial"/>
                <w:b/>
                <w:bCs/>
                <w:color w:val="000000"/>
                <w:szCs w:val="20"/>
              </w:rPr>
              <w:t>Cumulative balance</w:t>
            </w:r>
          </w:p>
        </w:tc>
        <w:tc>
          <w:tcPr>
            <w:tcW w:w="717" w:type="pct"/>
            <w:tcBorders>
              <w:top w:val="nil"/>
              <w:left w:val="nil"/>
              <w:bottom w:val="single" w:sz="8" w:space="0" w:color="auto"/>
              <w:right w:val="single" w:sz="8" w:space="0" w:color="auto"/>
            </w:tcBorders>
            <w:shd w:val="clear" w:color="auto" w:fill="D9D9D9" w:themeFill="background1" w:themeFillShade="D9"/>
          </w:tcPr>
          <w:p w14:paraId="7CF4D93C" w14:textId="495A71E8" w:rsidR="009E3A91" w:rsidRPr="0059615B" w:rsidRDefault="009E3A91" w:rsidP="00C13A58">
            <w:pPr>
              <w:spacing w:after="0" w:line="240" w:lineRule="auto"/>
              <w:rPr>
                <w:rFonts w:cs="Arial"/>
                <w:b/>
                <w:color w:val="000000"/>
                <w:szCs w:val="20"/>
              </w:rPr>
            </w:pPr>
            <w:r>
              <w:rPr>
                <w:rFonts w:cs="Arial"/>
                <w:b/>
                <w:color w:val="000000"/>
                <w:szCs w:val="20"/>
              </w:rPr>
              <w:t>(</w:t>
            </w:r>
            <w:r w:rsidR="00465765">
              <w:rPr>
                <w:rFonts w:cs="Arial"/>
                <w:b/>
                <w:color w:val="000000"/>
                <w:szCs w:val="20"/>
              </w:rPr>
              <w:t>1.532)</w:t>
            </w:r>
          </w:p>
        </w:tc>
        <w:tc>
          <w:tcPr>
            <w:tcW w:w="717" w:type="pct"/>
            <w:tcBorders>
              <w:top w:val="nil"/>
              <w:left w:val="nil"/>
              <w:bottom w:val="single" w:sz="8" w:space="0" w:color="auto"/>
              <w:right w:val="single" w:sz="8" w:space="0" w:color="auto"/>
            </w:tcBorders>
            <w:shd w:val="clear" w:color="auto" w:fill="D9D9D9" w:themeFill="background1" w:themeFillShade="D9"/>
          </w:tcPr>
          <w:p w14:paraId="583ED95E" w14:textId="425CF32D" w:rsidR="009E3A91" w:rsidRPr="0059615B" w:rsidRDefault="009E3A91" w:rsidP="00C13A58">
            <w:pPr>
              <w:spacing w:after="0" w:line="240" w:lineRule="auto"/>
              <w:rPr>
                <w:rFonts w:cs="Arial"/>
                <w:b/>
                <w:color w:val="000000"/>
                <w:szCs w:val="20"/>
              </w:rPr>
            </w:pPr>
            <w:r>
              <w:rPr>
                <w:rFonts w:cs="Arial"/>
                <w:b/>
                <w:color w:val="000000"/>
                <w:szCs w:val="20"/>
              </w:rPr>
              <w:t>(1.7</w:t>
            </w:r>
            <w:r w:rsidR="006B5EED">
              <w:rPr>
                <w:rFonts w:cs="Arial"/>
                <w:b/>
                <w:color w:val="000000"/>
                <w:szCs w:val="20"/>
              </w:rPr>
              <w:t>84</w:t>
            </w:r>
            <w:r>
              <w:rPr>
                <w:rFonts w:cs="Arial"/>
                <w:b/>
                <w:color w:val="000000"/>
                <w:szCs w:val="20"/>
              </w:rPr>
              <w:t>)</w:t>
            </w:r>
          </w:p>
        </w:tc>
        <w:tc>
          <w:tcPr>
            <w:tcW w:w="717" w:type="pct"/>
            <w:tcBorders>
              <w:top w:val="nil"/>
              <w:left w:val="nil"/>
              <w:bottom w:val="single" w:sz="8" w:space="0" w:color="auto"/>
              <w:right w:val="single" w:sz="8" w:space="0" w:color="auto"/>
            </w:tcBorders>
            <w:shd w:val="clear" w:color="auto" w:fill="D9D9D9" w:themeFill="background1" w:themeFillShade="D9"/>
          </w:tcPr>
          <w:p w14:paraId="7E25CDAD" w14:textId="72A8AAB0" w:rsidR="009E3A91" w:rsidRPr="0059615B" w:rsidRDefault="009E3A91" w:rsidP="00C13A58">
            <w:pPr>
              <w:spacing w:after="0" w:line="240" w:lineRule="auto"/>
              <w:rPr>
                <w:rFonts w:cs="Arial"/>
                <w:b/>
                <w:color w:val="000000"/>
                <w:szCs w:val="20"/>
              </w:rPr>
            </w:pPr>
            <w:r>
              <w:rPr>
                <w:rFonts w:cs="Arial"/>
                <w:b/>
                <w:color w:val="000000"/>
                <w:szCs w:val="20"/>
              </w:rPr>
              <w:t>(1.</w:t>
            </w:r>
            <w:r w:rsidR="006B5EED">
              <w:rPr>
                <w:rFonts w:cs="Arial"/>
                <w:b/>
                <w:color w:val="000000"/>
                <w:szCs w:val="20"/>
              </w:rPr>
              <w:t>822</w:t>
            </w:r>
            <w:r>
              <w:rPr>
                <w:rFonts w:cs="Arial"/>
                <w:b/>
                <w:color w:val="000000"/>
                <w:szCs w:val="20"/>
              </w:rPr>
              <w:t>)</w:t>
            </w:r>
          </w:p>
        </w:tc>
        <w:tc>
          <w:tcPr>
            <w:tcW w:w="717" w:type="pct"/>
            <w:tcBorders>
              <w:top w:val="nil"/>
              <w:left w:val="nil"/>
              <w:bottom w:val="single" w:sz="8" w:space="0" w:color="auto"/>
              <w:right w:val="single" w:sz="8" w:space="0" w:color="auto"/>
            </w:tcBorders>
            <w:shd w:val="clear" w:color="auto" w:fill="D9D9D9" w:themeFill="background1" w:themeFillShade="D9"/>
          </w:tcPr>
          <w:p w14:paraId="0B506095" w14:textId="236B6728" w:rsidR="009E3A91" w:rsidRPr="0059615B" w:rsidRDefault="009E3A91" w:rsidP="00C13A58">
            <w:pPr>
              <w:spacing w:after="0" w:line="240" w:lineRule="auto"/>
              <w:rPr>
                <w:rFonts w:cs="Arial"/>
                <w:b/>
                <w:color w:val="000000"/>
                <w:szCs w:val="20"/>
              </w:rPr>
            </w:pPr>
            <w:r>
              <w:rPr>
                <w:rFonts w:cs="Arial"/>
                <w:b/>
                <w:color w:val="000000"/>
                <w:szCs w:val="20"/>
              </w:rPr>
              <w:t>(1.</w:t>
            </w:r>
            <w:r w:rsidR="006B5EED">
              <w:rPr>
                <w:rFonts w:cs="Arial"/>
                <w:b/>
                <w:color w:val="000000"/>
                <w:szCs w:val="20"/>
              </w:rPr>
              <w:t>836</w:t>
            </w:r>
            <w:r>
              <w:rPr>
                <w:rFonts w:cs="Arial"/>
                <w:b/>
                <w:color w:val="000000"/>
                <w:szCs w:val="20"/>
              </w:rPr>
              <w:t>)</w:t>
            </w:r>
          </w:p>
        </w:tc>
        <w:tc>
          <w:tcPr>
            <w:tcW w:w="718" w:type="pct"/>
            <w:tcBorders>
              <w:top w:val="nil"/>
              <w:left w:val="nil"/>
              <w:bottom w:val="single" w:sz="8" w:space="0" w:color="auto"/>
              <w:right w:val="single" w:sz="8" w:space="0" w:color="auto"/>
            </w:tcBorders>
            <w:shd w:val="clear" w:color="auto" w:fill="D9D9D9" w:themeFill="background1" w:themeFillShade="D9"/>
          </w:tcPr>
          <w:p w14:paraId="2595FBFD" w14:textId="77777777" w:rsidR="009E3A91" w:rsidRPr="0059615B" w:rsidRDefault="009E3A91" w:rsidP="00C13A58">
            <w:pPr>
              <w:spacing w:after="0" w:line="240" w:lineRule="auto"/>
              <w:rPr>
                <w:rFonts w:cs="Arial"/>
                <w:b/>
                <w:color w:val="000000"/>
                <w:szCs w:val="20"/>
              </w:rPr>
            </w:pPr>
            <w:r>
              <w:rPr>
                <w:rFonts w:cs="Arial"/>
                <w:b/>
                <w:color w:val="000000"/>
                <w:szCs w:val="20"/>
              </w:rPr>
              <w:t>0.0</w:t>
            </w:r>
          </w:p>
        </w:tc>
      </w:tr>
      <w:bookmarkEnd w:id="235"/>
    </w:tbl>
    <w:p w14:paraId="02FA56D6" w14:textId="1947D5F5" w:rsidR="009E3A91" w:rsidRDefault="009E3A91" w:rsidP="009E3A91">
      <w:pPr>
        <w:pStyle w:val="ACMASpaceaftertable"/>
      </w:pPr>
    </w:p>
    <w:p w14:paraId="42463F76" w14:textId="6F29B54F" w:rsidR="006B5EED" w:rsidRPr="006B5EED" w:rsidRDefault="006B5EED" w:rsidP="006B5EED">
      <w:pPr>
        <w:pStyle w:val="ACMASpaceaftertable"/>
      </w:pPr>
      <w:r w:rsidRPr="006B5EED">
        <w:t xml:space="preserve">These costs </w:t>
      </w:r>
      <w:r w:rsidR="009F5C7C">
        <w:t>will</w:t>
      </w:r>
      <w:r w:rsidR="009F5C7C" w:rsidRPr="006B5EED">
        <w:t xml:space="preserve"> </w:t>
      </w:r>
      <w:r w:rsidRPr="006B5EED">
        <w:t xml:space="preserve">be recouped </w:t>
      </w:r>
      <w:r w:rsidR="00D346CE">
        <w:t xml:space="preserve">through </w:t>
      </w:r>
      <w:r w:rsidRPr="006B5EED">
        <w:t xml:space="preserve">the ACLC, </w:t>
      </w:r>
      <w:r w:rsidR="00531668">
        <w:t xml:space="preserve">to be determined by </w:t>
      </w:r>
      <w:r w:rsidR="00435758">
        <w:rPr>
          <w:iCs/>
        </w:rPr>
        <w:t>the</w:t>
      </w:r>
      <w:r w:rsidR="00435758" w:rsidRPr="00E8129B">
        <w:rPr>
          <w:iCs/>
        </w:rPr>
        <w:t xml:space="preserve"> </w:t>
      </w:r>
      <w:r w:rsidR="00531668">
        <w:t xml:space="preserve">ACMA under the </w:t>
      </w:r>
      <w:r w:rsidRPr="006B5EED">
        <w:t>Act. These charges are levied in the financial year after the financial year in which the costs are incurred, resulting in a deficit equal to the previous financial year’s expenses being carried forward.</w:t>
      </w:r>
    </w:p>
    <w:p w14:paraId="1BFD6BC9" w14:textId="2E7A5976" w:rsidR="006B5EED" w:rsidRPr="006B5EED" w:rsidRDefault="006B5EED" w:rsidP="006B5EED">
      <w:pPr>
        <w:pStyle w:val="ACMASpaceaftertable"/>
      </w:pPr>
      <w:r w:rsidRPr="006B5EED">
        <w:t>Overall, the MBA program is expected to finish budget neutral. The administrative costs associated with implementing the MBA program will not be cost recovered</w:t>
      </w:r>
      <w:r w:rsidR="002068C7">
        <w:t xml:space="preserve"> using the formula set out at </w:t>
      </w:r>
      <w:r w:rsidR="00C13A58">
        <w:t>s</w:t>
      </w:r>
      <w:r w:rsidR="00E35833">
        <w:t xml:space="preserve">ection </w:t>
      </w:r>
      <w:r w:rsidR="002068C7">
        <w:t xml:space="preserve">3.2, but instead will be captured in the component of the ACLC determined </w:t>
      </w:r>
      <w:r w:rsidR="009E5AA1">
        <w:t xml:space="preserve">under paragraph 15(1)(b) of the Act, </w:t>
      </w:r>
      <w:r w:rsidR="002068C7">
        <w:t xml:space="preserve">using the </w:t>
      </w:r>
      <w:r w:rsidR="000B4621">
        <w:t xml:space="preserve">formula </w:t>
      </w:r>
      <w:r w:rsidR="009E5AA1">
        <w:t xml:space="preserve">based on the eligible revenue </w:t>
      </w:r>
      <w:r w:rsidR="000B4621">
        <w:t xml:space="preserve">set out at </w:t>
      </w:r>
      <w:r w:rsidR="00C13A58">
        <w:t>s</w:t>
      </w:r>
      <w:r w:rsidR="009E5AA1">
        <w:t>ection 3</w:t>
      </w:r>
      <w:r w:rsidR="00074F67">
        <w:t>.6 of the CRIS.</w:t>
      </w:r>
    </w:p>
    <w:p w14:paraId="73E7EA59" w14:textId="77777777" w:rsidR="006B5EED" w:rsidRDefault="006B5EED" w:rsidP="009E3A91">
      <w:pPr>
        <w:pStyle w:val="ACMASpaceaftertable"/>
      </w:pPr>
    </w:p>
    <w:p w14:paraId="723A610E" w14:textId="77777777" w:rsidR="009E3A91" w:rsidRPr="00CC3F4B" w:rsidRDefault="009E3A91" w:rsidP="009E3A91">
      <w:pPr>
        <w:pStyle w:val="Heading1"/>
      </w:pPr>
      <w:bookmarkStart w:id="236" w:name="_Toc511294497"/>
      <w:bookmarkStart w:id="237" w:name="_Toc511634432"/>
      <w:bookmarkStart w:id="238" w:name="_Toc26786372"/>
      <w:r>
        <w:lastRenderedPageBreak/>
        <w:t>7A.</w:t>
      </w:r>
      <w:r>
        <w:tab/>
      </w:r>
      <w:r w:rsidRPr="00CC3F4B">
        <w:t xml:space="preserve">Financial </w:t>
      </w:r>
      <w:r>
        <w:t>performance</w:t>
      </w:r>
      <w:bookmarkEnd w:id="236"/>
      <w:bookmarkEnd w:id="237"/>
      <w:bookmarkEnd w:id="238"/>
    </w:p>
    <w:p w14:paraId="634750CB" w14:textId="73B20BD9" w:rsidR="00771438" w:rsidRDefault="00771438" w:rsidP="009E3A91">
      <w:pPr>
        <w:rPr>
          <w:rFonts w:cs="Arial"/>
          <w:iCs/>
        </w:rPr>
      </w:pPr>
      <w:r w:rsidRPr="00771438">
        <w:rPr>
          <w:rFonts w:cs="Arial"/>
          <w:iCs/>
        </w:rPr>
        <w:t>The 2017</w:t>
      </w:r>
      <w:r w:rsidR="00E74157">
        <w:t>–</w:t>
      </w:r>
      <w:r w:rsidRPr="00771438">
        <w:rPr>
          <w:rFonts w:cs="Arial"/>
          <w:iCs/>
        </w:rPr>
        <w:t xml:space="preserve">18 financial results for the MBA program </w:t>
      </w:r>
      <w:r w:rsidR="009265CE">
        <w:rPr>
          <w:rFonts w:cs="Arial"/>
          <w:iCs/>
        </w:rPr>
        <w:t>are</w:t>
      </w:r>
      <w:r w:rsidRPr="00771438">
        <w:rPr>
          <w:rFonts w:cs="Arial"/>
          <w:iCs/>
        </w:rPr>
        <w:t xml:space="preserve"> reported in Table 5 (above)</w:t>
      </w:r>
      <w:r>
        <w:rPr>
          <w:rFonts w:cs="Arial"/>
          <w:iCs/>
        </w:rPr>
        <w:t>.</w:t>
      </w:r>
    </w:p>
    <w:p w14:paraId="1BE657AC" w14:textId="2ABA870E" w:rsidR="00771438" w:rsidRDefault="00771438" w:rsidP="009E3A91">
      <w:pPr>
        <w:rPr>
          <w:rFonts w:cs="Arial"/>
          <w:iCs/>
        </w:rPr>
      </w:pPr>
      <w:r w:rsidRPr="00771438">
        <w:rPr>
          <w:rFonts w:cs="Arial"/>
          <w:iCs/>
        </w:rPr>
        <w:t xml:space="preserve">Following the approach </w:t>
      </w:r>
      <w:r w:rsidR="000B4621">
        <w:rPr>
          <w:rFonts w:cs="Arial"/>
          <w:iCs/>
        </w:rPr>
        <w:t xml:space="preserve">for all the cost components recovered through the </w:t>
      </w:r>
      <w:r w:rsidRPr="00771438">
        <w:rPr>
          <w:rFonts w:cs="Arial"/>
          <w:iCs/>
        </w:rPr>
        <w:t>ACLC, the MBA program expenses are also set on an annual basis. This means the actual costs of activities are ascertained before they translate into the charges for the applicable period. This reduces the risk of over or under recovery from the telecommunications industry.</w:t>
      </w:r>
    </w:p>
    <w:p w14:paraId="51509995" w14:textId="77777777" w:rsidR="009E3A91" w:rsidRPr="00CC3F4B" w:rsidRDefault="009E3A91" w:rsidP="009E3A91">
      <w:pPr>
        <w:pStyle w:val="Heading1"/>
      </w:pPr>
      <w:bookmarkStart w:id="239" w:name="_Toc511294498"/>
      <w:bookmarkStart w:id="240" w:name="_Toc511634433"/>
      <w:bookmarkStart w:id="241" w:name="_Toc26786373"/>
      <w:r>
        <w:lastRenderedPageBreak/>
        <w:t>7B.</w:t>
      </w:r>
      <w:r>
        <w:tab/>
        <w:t>Non-f</w:t>
      </w:r>
      <w:r w:rsidRPr="00CC3F4B">
        <w:t xml:space="preserve">inancial </w:t>
      </w:r>
      <w:r>
        <w:t>performance</w:t>
      </w:r>
      <w:bookmarkEnd w:id="239"/>
      <w:bookmarkEnd w:id="240"/>
      <w:bookmarkEnd w:id="241"/>
    </w:p>
    <w:p w14:paraId="1AFA6D8E" w14:textId="0DC12BC9" w:rsidR="00771438" w:rsidRPr="00771438" w:rsidRDefault="00771438" w:rsidP="00771438">
      <w:pPr>
        <w:spacing w:after="80" w:line="240" w:lineRule="auto"/>
      </w:pPr>
      <w:r w:rsidRPr="00771438">
        <w:t>The ACCC is responsible for the economic regulation of the communications sector, which includes:</w:t>
      </w:r>
    </w:p>
    <w:p w14:paraId="14499530" w14:textId="13F0A3B4" w:rsidR="00771438" w:rsidRPr="00771438" w:rsidRDefault="00771438" w:rsidP="00771438">
      <w:pPr>
        <w:numPr>
          <w:ilvl w:val="0"/>
          <w:numId w:val="1"/>
        </w:numPr>
        <w:spacing w:after="120"/>
      </w:pPr>
      <w:r w:rsidRPr="00771438">
        <w:t>assessing and enforcing terms of access to the NBN in a standard access undertaking (SAU) from NBN Co</w:t>
      </w:r>
    </w:p>
    <w:p w14:paraId="65ED198B" w14:textId="11C4F494" w:rsidR="00771438" w:rsidRPr="00771438" w:rsidRDefault="00771438" w:rsidP="00771438">
      <w:pPr>
        <w:numPr>
          <w:ilvl w:val="0"/>
          <w:numId w:val="1"/>
        </w:numPr>
        <w:spacing w:after="120"/>
      </w:pPr>
      <w:r w:rsidRPr="00771438">
        <w:t>assessing and enforcing Telstra’s structural separation undertaking (SSU) and plan to migrate its customers to the NBN</w:t>
      </w:r>
    </w:p>
    <w:p w14:paraId="53F9D1CC" w14:textId="4BE7907B" w:rsidR="00771438" w:rsidRPr="00771438" w:rsidRDefault="00771438" w:rsidP="00771438">
      <w:pPr>
        <w:numPr>
          <w:ilvl w:val="0"/>
          <w:numId w:val="1"/>
        </w:numPr>
        <w:spacing w:after="120"/>
      </w:pPr>
      <w:r w:rsidRPr="00771438">
        <w:t>setting wholesale prices and wholesale terms of access for declared services</w:t>
      </w:r>
    </w:p>
    <w:p w14:paraId="31F252F5" w14:textId="0D9E99CD" w:rsidR="00771438" w:rsidRPr="00771438" w:rsidRDefault="00771438" w:rsidP="00771438">
      <w:pPr>
        <w:numPr>
          <w:ilvl w:val="0"/>
          <w:numId w:val="1"/>
        </w:numPr>
        <w:spacing w:after="120"/>
      </w:pPr>
      <w:r w:rsidRPr="00771438">
        <w:t>monitoring and reporting on prices and competition in the communications sector</w:t>
      </w:r>
    </w:p>
    <w:p w14:paraId="38653E4C" w14:textId="77777777" w:rsidR="00771438" w:rsidRPr="00771438" w:rsidRDefault="00771438" w:rsidP="00771438">
      <w:pPr>
        <w:numPr>
          <w:ilvl w:val="0"/>
          <w:numId w:val="1"/>
        </w:numPr>
      </w:pPr>
      <w:r w:rsidRPr="00771438">
        <w:t xml:space="preserve">investigating claims of anti-competitive conduct in the communications sector. </w:t>
      </w:r>
    </w:p>
    <w:p w14:paraId="1F13B36B" w14:textId="77777777" w:rsidR="00771438" w:rsidRPr="00771438" w:rsidRDefault="00771438" w:rsidP="00771438">
      <w:pPr>
        <w:spacing w:after="80" w:line="240" w:lineRule="auto"/>
      </w:pPr>
      <w:r w:rsidRPr="00771438">
        <w:t xml:space="preserve">The ACCC’s performance measures for these deliverables include: </w:t>
      </w:r>
    </w:p>
    <w:p w14:paraId="51D6C020" w14:textId="187EFC28" w:rsidR="00771438" w:rsidRPr="00771438" w:rsidRDefault="00771438" w:rsidP="00771438">
      <w:pPr>
        <w:numPr>
          <w:ilvl w:val="0"/>
          <w:numId w:val="1"/>
        </w:numPr>
        <w:spacing w:after="120"/>
      </w:pPr>
      <w:r w:rsidRPr="00771438">
        <w:t>completing inquiries within statutory timeframes</w:t>
      </w:r>
    </w:p>
    <w:p w14:paraId="36956491" w14:textId="5A9C443A" w:rsidR="00771438" w:rsidRPr="00771438" w:rsidRDefault="00771438" w:rsidP="00771438">
      <w:pPr>
        <w:numPr>
          <w:ilvl w:val="0"/>
          <w:numId w:val="1"/>
        </w:numPr>
        <w:spacing w:after="120"/>
      </w:pPr>
      <w:r w:rsidRPr="00771438">
        <w:t xml:space="preserve">providing outcomes that improve consumer welfare, are in the long-term interests of telecommunications end-users, protecting competition and opening markets to competition </w:t>
      </w:r>
    </w:p>
    <w:p w14:paraId="1C3FD975" w14:textId="37F239AA" w:rsidR="00771438" w:rsidRPr="00771438" w:rsidRDefault="00771438" w:rsidP="00771438">
      <w:pPr>
        <w:numPr>
          <w:ilvl w:val="0"/>
          <w:numId w:val="1"/>
        </w:numPr>
        <w:spacing w:after="120"/>
      </w:pPr>
      <w:r w:rsidRPr="00771438">
        <w:t xml:space="preserve">contributing to market and competition analysis and investigations (especially under Part IV of the </w:t>
      </w:r>
      <w:r w:rsidRPr="00771438">
        <w:rPr>
          <w:i/>
        </w:rPr>
        <w:t>Competition and Consumer Act 2010</w:t>
      </w:r>
      <w:r w:rsidRPr="00771438">
        <w:t xml:space="preserve">) in relation to content, media and application services delivered over telecommunications networks  </w:t>
      </w:r>
    </w:p>
    <w:p w14:paraId="58861B9E" w14:textId="629B0B5E" w:rsidR="00771438" w:rsidRPr="00771438" w:rsidRDefault="00771438" w:rsidP="00771438">
      <w:pPr>
        <w:numPr>
          <w:ilvl w:val="0"/>
          <w:numId w:val="1"/>
        </w:numPr>
        <w:spacing w:after="120"/>
      </w:pPr>
      <w:r w:rsidRPr="00771438">
        <w:t>advising other areas of the ACCC on implications of convergent technologies in the context of mergers, adjudication and enforcement activities</w:t>
      </w:r>
    </w:p>
    <w:p w14:paraId="2BDE6C7E" w14:textId="5DAE5D02" w:rsidR="00771438" w:rsidRPr="00771438" w:rsidRDefault="00771438" w:rsidP="00771438">
      <w:pPr>
        <w:numPr>
          <w:ilvl w:val="0"/>
          <w:numId w:val="1"/>
        </w:numPr>
        <w:rPr>
          <w:u w:val="single"/>
        </w:rPr>
      </w:pPr>
      <w:r w:rsidRPr="00771438">
        <w:t xml:space="preserve">formulating briefing material and submissions to major government reviews, such as inquiries regarding the NBN, </w:t>
      </w:r>
      <w:r w:rsidR="00E35833">
        <w:t>s</w:t>
      </w:r>
      <w:r w:rsidRPr="00771438">
        <w:t xml:space="preserve">pectrum, </w:t>
      </w:r>
      <w:r w:rsidR="00E35833">
        <w:t>c</w:t>
      </w:r>
      <w:r w:rsidRPr="00771438">
        <w:t xml:space="preserve">onsumer safeguards, Senate </w:t>
      </w:r>
      <w:r w:rsidR="00E35833">
        <w:t>E</w:t>
      </w:r>
      <w:r w:rsidRPr="00771438">
        <w:t>stimates and other public inquiries.</w:t>
      </w:r>
    </w:p>
    <w:p w14:paraId="0EF4ED6D" w14:textId="16085CE2" w:rsidR="00771438" w:rsidRPr="00771438" w:rsidRDefault="00771438" w:rsidP="00771438">
      <w:r w:rsidRPr="00771438">
        <w:t xml:space="preserve">Table </w:t>
      </w:r>
      <w:r w:rsidR="006739FF">
        <w:t>6</w:t>
      </w:r>
      <w:r w:rsidRPr="00771438">
        <w:t xml:space="preserve"> provides comparisons between forecast and actual </w:t>
      </w:r>
      <w:r w:rsidR="000B4621">
        <w:t xml:space="preserve">monitoring </w:t>
      </w:r>
      <w:r w:rsidRPr="00771438">
        <w:t>device deployment. The device deployments lagged in 2017</w:t>
      </w:r>
      <w:r w:rsidR="00E74157">
        <w:t>–</w:t>
      </w:r>
      <w:r w:rsidRPr="00771438">
        <w:t xml:space="preserve">18 because of the longer than expected start-up phase of the MBA program and delays in the NBN rollout. If devices were </w:t>
      </w:r>
      <w:r w:rsidR="000B4621">
        <w:t>deployed</w:t>
      </w:r>
      <w:r w:rsidRPr="00771438">
        <w:t xml:space="preserve"> as forecast, the program would be overweight in early NBN access technologies and localities, and therefore have fewer left to achieve a representative sample on the newer access technologies and later release localities.</w:t>
      </w:r>
    </w:p>
    <w:p w14:paraId="31D481F2" w14:textId="0C28FC62" w:rsidR="009E3A91" w:rsidRPr="006A56FD" w:rsidRDefault="009E3A91" w:rsidP="009E3A91">
      <w:pPr>
        <w:pStyle w:val="ACMATableHeader"/>
      </w:pPr>
      <w:r w:rsidRPr="006A56FD">
        <w:t xml:space="preserve">The ACCC’s </w:t>
      </w:r>
      <w:r w:rsidRPr="00584E54">
        <w:t>device deployment profile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CC’s anticipated device deployment profile"/>
      </w:tblPr>
      <w:tblGrid>
        <w:gridCol w:w="3678"/>
        <w:gridCol w:w="992"/>
        <w:gridCol w:w="994"/>
        <w:gridCol w:w="994"/>
        <w:gridCol w:w="997"/>
      </w:tblGrid>
      <w:tr w:rsidR="009E3A91" w:rsidRPr="00B4771B" w14:paraId="14BAA7A6" w14:textId="77777777" w:rsidTr="009E3A91">
        <w:trPr>
          <w:trHeight w:val="361"/>
          <w:tblHeader/>
        </w:trPr>
        <w:tc>
          <w:tcPr>
            <w:tcW w:w="2402" w:type="pct"/>
            <w:shd w:val="clear" w:color="auto" w:fill="404040" w:themeFill="text1" w:themeFillTint="BF"/>
          </w:tcPr>
          <w:p w14:paraId="4089EC5E" w14:textId="09C356CF" w:rsidR="009E3A91" w:rsidRPr="00C97891" w:rsidRDefault="00C97891" w:rsidP="009E3A91">
            <w:pPr>
              <w:pStyle w:val="TableHeading"/>
              <w:rPr>
                <w:bCs/>
                <w:color w:val="FFFFFF" w:themeColor="background1"/>
              </w:rPr>
            </w:pPr>
            <w:r w:rsidRPr="00C97891">
              <w:rPr>
                <w:bCs/>
                <w:color w:val="FFFFFF" w:themeColor="background1"/>
              </w:rPr>
              <w:t>Details</w:t>
            </w:r>
          </w:p>
        </w:tc>
        <w:tc>
          <w:tcPr>
            <w:tcW w:w="648" w:type="pct"/>
            <w:shd w:val="clear" w:color="auto" w:fill="404040" w:themeFill="text1" w:themeFillTint="BF"/>
            <w:vAlign w:val="center"/>
          </w:tcPr>
          <w:p w14:paraId="063DA89F" w14:textId="77777777" w:rsidR="009E3A91" w:rsidRPr="00AE2FD7" w:rsidRDefault="009E3A91" w:rsidP="00C13A58">
            <w:pPr>
              <w:pStyle w:val="TableHeading"/>
              <w:rPr>
                <w:b w:val="0"/>
                <w:color w:val="FFFFFF" w:themeColor="background1"/>
              </w:rPr>
            </w:pPr>
            <w:r w:rsidRPr="00CE6BED">
              <w:rPr>
                <w:color w:val="FFFFFF" w:themeColor="background1"/>
              </w:rPr>
              <w:t>201</w:t>
            </w:r>
            <w:r>
              <w:rPr>
                <w:color w:val="FFFFFF" w:themeColor="background1"/>
              </w:rPr>
              <w:t>7</w:t>
            </w:r>
            <w:r w:rsidRPr="00CE6BED">
              <w:rPr>
                <w:color w:val="FFFFFF" w:themeColor="background1"/>
              </w:rPr>
              <w:t>–1</w:t>
            </w:r>
            <w:r>
              <w:rPr>
                <w:color w:val="FFFFFF" w:themeColor="background1"/>
              </w:rPr>
              <w:t>8</w:t>
            </w:r>
          </w:p>
        </w:tc>
        <w:tc>
          <w:tcPr>
            <w:tcW w:w="649" w:type="pct"/>
            <w:shd w:val="clear" w:color="auto" w:fill="404040" w:themeFill="text1" w:themeFillTint="BF"/>
            <w:vAlign w:val="center"/>
          </w:tcPr>
          <w:p w14:paraId="067A8068" w14:textId="77777777" w:rsidR="009E3A91" w:rsidRPr="00AE2FD7" w:rsidRDefault="009E3A91" w:rsidP="00C13A58">
            <w:pPr>
              <w:pStyle w:val="TableHeading"/>
              <w:rPr>
                <w:color w:val="FFFFFF" w:themeColor="background1"/>
              </w:rPr>
            </w:pPr>
            <w:r w:rsidRPr="00CE6BED">
              <w:rPr>
                <w:color w:val="FFFFFF" w:themeColor="background1"/>
              </w:rPr>
              <w:t>201</w:t>
            </w:r>
            <w:r>
              <w:rPr>
                <w:color w:val="FFFFFF" w:themeColor="background1"/>
              </w:rPr>
              <w:t>8</w:t>
            </w:r>
            <w:r w:rsidRPr="00CE6BED">
              <w:rPr>
                <w:color w:val="FFFFFF" w:themeColor="background1"/>
              </w:rPr>
              <w:t>–1</w:t>
            </w:r>
            <w:r>
              <w:rPr>
                <w:color w:val="FFFFFF" w:themeColor="background1"/>
              </w:rPr>
              <w:t>9</w:t>
            </w:r>
          </w:p>
        </w:tc>
        <w:tc>
          <w:tcPr>
            <w:tcW w:w="649" w:type="pct"/>
            <w:shd w:val="clear" w:color="auto" w:fill="404040" w:themeFill="text1" w:themeFillTint="BF"/>
            <w:vAlign w:val="center"/>
          </w:tcPr>
          <w:p w14:paraId="249CC271" w14:textId="77777777" w:rsidR="009E3A91" w:rsidRPr="00AE2FD7" w:rsidRDefault="009E3A91" w:rsidP="00C13A58">
            <w:pPr>
              <w:pStyle w:val="TableHeading"/>
              <w:rPr>
                <w:b w:val="0"/>
                <w:color w:val="FFFFFF" w:themeColor="background1"/>
              </w:rPr>
            </w:pPr>
            <w:r w:rsidRPr="00CE6BED">
              <w:rPr>
                <w:color w:val="FFFFFF" w:themeColor="background1"/>
              </w:rPr>
              <w:t>201</w:t>
            </w:r>
            <w:r>
              <w:rPr>
                <w:color w:val="FFFFFF" w:themeColor="background1"/>
              </w:rPr>
              <w:t>9</w:t>
            </w:r>
            <w:r w:rsidRPr="00CE6BED">
              <w:rPr>
                <w:color w:val="FFFFFF" w:themeColor="background1"/>
              </w:rPr>
              <w:t>–</w:t>
            </w:r>
            <w:r>
              <w:rPr>
                <w:color w:val="FFFFFF" w:themeColor="background1"/>
              </w:rPr>
              <w:t>20</w:t>
            </w:r>
          </w:p>
        </w:tc>
        <w:tc>
          <w:tcPr>
            <w:tcW w:w="651" w:type="pct"/>
            <w:tcBorders>
              <w:top w:val="single" w:sz="6" w:space="0" w:color="auto"/>
            </w:tcBorders>
            <w:shd w:val="clear" w:color="auto" w:fill="404040" w:themeFill="text1" w:themeFillTint="BF"/>
            <w:vAlign w:val="center"/>
          </w:tcPr>
          <w:p w14:paraId="2CDC266B" w14:textId="5778B203" w:rsidR="009E3A91" w:rsidRPr="00584E54" w:rsidRDefault="009E3A91" w:rsidP="00C13A58">
            <w:pPr>
              <w:pStyle w:val="TableHeading"/>
              <w:rPr>
                <w:color w:val="FFFFFF" w:themeColor="background1"/>
              </w:rPr>
            </w:pPr>
            <w:r w:rsidRPr="00CE6BED">
              <w:rPr>
                <w:color w:val="FFFFFF" w:themeColor="background1"/>
              </w:rPr>
              <w:t>20</w:t>
            </w:r>
            <w:r w:rsidR="00E91654">
              <w:rPr>
                <w:color w:val="FFFFFF" w:themeColor="background1"/>
              </w:rPr>
              <w:t>20</w:t>
            </w:r>
            <w:r w:rsidRPr="00CE6BED">
              <w:rPr>
                <w:color w:val="FFFFFF" w:themeColor="background1"/>
              </w:rPr>
              <w:t>–</w:t>
            </w:r>
            <w:r>
              <w:rPr>
                <w:color w:val="FFFFFF" w:themeColor="background1"/>
              </w:rPr>
              <w:t>2</w:t>
            </w:r>
            <w:r w:rsidR="00E91654">
              <w:rPr>
                <w:color w:val="FFFFFF" w:themeColor="background1"/>
              </w:rPr>
              <w:t>1</w:t>
            </w:r>
          </w:p>
        </w:tc>
      </w:tr>
      <w:tr w:rsidR="009E3A91" w:rsidRPr="00B4771B" w14:paraId="0B615755" w14:textId="77777777" w:rsidTr="009E3A91">
        <w:trPr>
          <w:trHeight w:val="256"/>
        </w:trPr>
        <w:tc>
          <w:tcPr>
            <w:tcW w:w="2402" w:type="pct"/>
          </w:tcPr>
          <w:p w14:paraId="57BE3770" w14:textId="6FDBA551" w:rsidR="009E3A91" w:rsidRPr="00F45CD9" w:rsidRDefault="006739FF" w:rsidP="009E3A91">
            <w:pPr>
              <w:keepNext/>
              <w:spacing w:after="0"/>
              <w:rPr>
                <w:rFonts w:cs="Arial"/>
                <w:szCs w:val="20"/>
              </w:rPr>
            </w:pPr>
            <w:r>
              <w:rPr>
                <w:rFonts w:cs="Arial"/>
                <w:szCs w:val="20"/>
              </w:rPr>
              <w:t>Original f</w:t>
            </w:r>
            <w:r w:rsidR="009E3A91">
              <w:rPr>
                <w:rFonts w:cs="Arial"/>
                <w:szCs w:val="20"/>
              </w:rPr>
              <w:t xml:space="preserve">orecast </w:t>
            </w:r>
            <w:r>
              <w:rPr>
                <w:rFonts w:cs="Arial"/>
                <w:szCs w:val="20"/>
              </w:rPr>
              <w:t xml:space="preserve">of </w:t>
            </w:r>
            <w:r w:rsidR="009E3A91">
              <w:rPr>
                <w:rFonts w:cs="Arial"/>
                <w:szCs w:val="20"/>
              </w:rPr>
              <w:t>total n</w:t>
            </w:r>
            <w:r w:rsidR="009E3A91" w:rsidRPr="00584E54">
              <w:rPr>
                <w:rFonts w:cs="Arial"/>
                <w:szCs w:val="20"/>
              </w:rPr>
              <w:t xml:space="preserve">umber of measurement devices </w:t>
            </w:r>
            <w:r w:rsidR="009E3A91">
              <w:rPr>
                <w:rFonts w:cs="Arial"/>
                <w:szCs w:val="20"/>
              </w:rPr>
              <w:t>deployed</w:t>
            </w:r>
          </w:p>
        </w:tc>
        <w:tc>
          <w:tcPr>
            <w:tcW w:w="648" w:type="pct"/>
          </w:tcPr>
          <w:p w14:paraId="37619D01" w14:textId="77777777" w:rsidR="009E3A91" w:rsidRDefault="009E3A91" w:rsidP="00C13A58">
            <w:pPr>
              <w:keepNext/>
              <w:spacing w:after="0"/>
              <w:rPr>
                <w:rFonts w:cs="Arial"/>
                <w:color w:val="000000"/>
                <w:szCs w:val="20"/>
              </w:rPr>
            </w:pPr>
            <w:r w:rsidRPr="00F333FB">
              <w:t>2,500</w:t>
            </w:r>
          </w:p>
        </w:tc>
        <w:tc>
          <w:tcPr>
            <w:tcW w:w="649" w:type="pct"/>
          </w:tcPr>
          <w:p w14:paraId="36D0F69F" w14:textId="77777777" w:rsidR="009E3A91" w:rsidRDefault="009E3A91" w:rsidP="00C13A58">
            <w:pPr>
              <w:keepNext/>
              <w:spacing w:after="0"/>
              <w:rPr>
                <w:rFonts w:cs="Arial"/>
                <w:color w:val="000000"/>
                <w:szCs w:val="20"/>
              </w:rPr>
            </w:pPr>
            <w:r w:rsidRPr="00F333FB">
              <w:t>3,300</w:t>
            </w:r>
          </w:p>
        </w:tc>
        <w:tc>
          <w:tcPr>
            <w:tcW w:w="649" w:type="pct"/>
          </w:tcPr>
          <w:p w14:paraId="099201A4" w14:textId="77777777" w:rsidR="009E3A91" w:rsidRDefault="009E3A91" w:rsidP="00C13A58">
            <w:pPr>
              <w:keepNext/>
              <w:spacing w:after="0"/>
              <w:rPr>
                <w:rFonts w:cs="Arial"/>
                <w:color w:val="000000"/>
                <w:szCs w:val="20"/>
              </w:rPr>
            </w:pPr>
            <w:r w:rsidRPr="00F333FB">
              <w:t>3,800</w:t>
            </w:r>
          </w:p>
        </w:tc>
        <w:tc>
          <w:tcPr>
            <w:tcW w:w="651" w:type="pct"/>
          </w:tcPr>
          <w:p w14:paraId="415595D1" w14:textId="77777777" w:rsidR="009E3A91" w:rsidRDefault="009E3A91" w:rsidP="00C13A58">
            <w:pPr>
              <w:keepNext/>
              <w:spacing w:after="0"/>
              <w:rPr>
                <w:rFonts w:cs="Arial"/>
                <w:color w:val="000000"/>
                <w:szCs w:val="20"/>
              </w:rPr>
            </w:pPr>
            <w:r w:rsidRPr="00F333FB">
              <w:t>&gt;=4,000</w:t>
            </w:r>
          </w:p>
        </w:tc>
      </w:tr>
      <w:tr w:rsidR="009E3A91" w:rsidRPr="00B4771B" w14:paraId="213B070F" w14:textId="77777777" w:rsidTr="009E3A91">
        <w:trPr>
          <w:trHeight w:val="446"/>
        </w:trPr>
        <w:tc>
          <w:tcPr>
            <w:tcW w:w="2402" w:type="pct"/>
          </w:tcPr>
          <w:p w14:paraId="30601AA4" w14:textId="77777777" w:rsidR="009E3A91" w:rsidRPr="00F45CD9" w:rsidRDefault="009E3A91" w:rsidP="009E3A91">
            <w:pPr>
              <w:keepNext/>
              <w:spacing w:after="0"/>
              <w:rPr>
                <w:rFonts w:cs="Arial"/>
                <w:szCs w:val="20"/>
              </w:rPr>
            </w:pPr>
            <w:r>
              <w:rPr>
                <w:rFonts w:cs="Arial"/>
                <w:szCs w:val="20"/>
              </w:rPr>
              <w:t xml:space="preserve">Actual total </w:t>
            </w:r>
            <w:r w:rsidRPr="00584E54">
              <w:rPr>
                <w:rFonts w:cs="Arial"/>
                <w:szCs w:val="20"/>
              </w:rPr>
              <w:t xml:space="preserve">number of measurement devices </w:t>
            </w:r>
            <w:r>
              <w:rPr>
                <w:rFonts w:cs="Arial"/>
                <w:szCs w:val="20"/>
              </w:rPr>
              <w:t>deployed</w:t>
            </w:r>
          </w:p>
        </w:tc>
        <w:tc>
          <w:tcPr>
            <w:tcW w:w="648" w:type="pct"/>
          </w:tcPr>
          <w:p w14:paraId="71EAD958" w14:textId="4AC21D5C" w:rsidR="009E3A91" w:rsidRPr="001F1E37" w:rsidRDefault="006739FF" w:rsidP="00C13A58">
            <w:pPr>
              <w:keepNext/>
              <w:spacing w:after="0"/>
              <w:rPr>
                <w:rFonts w:cs="Arial"/>
                <w:color w:val="000000"/>
                <w:szCs w:val="20"/>
              </w:rPr>
            </w:pPr>
            <w:r>
              <w:rPr>
                <w:rFonts w:cs="Arial"/>
                <w:color w:val="000000"/>
                <w:szCs w:val="20"/>
              </w:rPr>
              <w:t>1,200</w:t>
            </w:r>
          </w:p>
        </w:tc>
        <w:tc>
          <w:tcPr>
            <w:tcW w:w="649" w:type="pct"/>
          </w:tcPr>
          <w:p w14:paraId="59A10804" w14:textId="77777777" w:rsidR="009E3A91" w:rsidRPr="001F1E37" w:rsidRDefault="009E3A91" w:rsidP="00C13A58">
            <w:pPr>
              <w:keepNext/>
              <w:spacing w:after="0"/>
              <w:rPr>
                <w:rFonts w:cs="Arial"/>
                <w:color w:val="000000"/>
                <w:szCs w:val="20"/>
              </w:rPr>
            </w:pPr>
            <w:r w:rsidRPr="001F1E37">
              <w:t>To be reported</w:t>
            </w:r>
          </w:p>
        </w:tc>
        <w:tc>
          <w:tcPr>
            <w:tcW w:w="649" w:type="pct"/>
          </w:tcPr>
          <w:p w14:paraId="11BD75D2" w14:textId="77777777" w:rsidR="009E3A91" w:rsidRPr="001F1E37" w:rsidRDefault="009E3A91" w:rsidP="00C13A58">
            <w:pPr>
              <w:keepNext/>
              <w:spacing w:after="0"/>
              <w:rPr>
                <w:rFonts w:cs="Arial"/>
                <w:color w:val="000000"/>
                <w:szCs w:val="20"/>
              </w:rPr>
            </w:pPr>
            <w:r w:rsidRPr="001F1E37">
              <w:t>To be reported</w:t>
            </w:r>
          </w:p>
        </w:tc>
        <w:tc>
          <w:tcPr>
            <w:tcW w:w="651" w:type="pct"/>
          </w:tcPr>
          <w:p w14:paraId="2C5DB023" w14:textId="77777777" w:rsidR="009E3A91" w:rsidRPr="001F1E37" w:rsidRDefault="009E3A91" w:rsidP="00C13A58">
            <w:pPr>
              <w:keepNext/>
              <w:spacing w:after="0"/>
              <w:rPr>
                <w:rFonts w:cs="Arial"/>
                <w:color w:val="000000"/>
                <w:szCs w:val="20"/>
              </w:rPr>
            </w:pPr>
            <w:r w:rsidRPr="001F1E37">
              <w:t>To be reported</w:t>
            </w:r>
          </w:p>
        </w:tc>
      </w:tr>
      <w:tr w:rsidR="009E3A91" w:rsidRPr="00B4771B" w14:paraId="60FD8B3A" w14:textId="77777777" w:rsidTr="009E3A91">
        <w:trPr>
          <w:trHeight w:val="253"/>
        </w:trPr>
        <w:tc>
          <w:tcPr>
            <w:tcW w:w="2402" w:type="pct"/>
            <w:shd w:val="clear" w:color="auto" w:fill="D9D9D9" w:themeFill="background1" w:themeFillShade="D9"/>
          </w:tcPr>
          <w:p w14:paraId="708A83D7" w14:textId="77777777" w:rsidR="009E3A91" w:rsidRPr="00EE71B4" w:rsidRDefault="009E3A91" w:rsidP="009E3A91">
            <w:pPr>
              <w:keepNext/>
              <w:spacing w:after="0"/>
              <w:rPr>
                <w:rFonts w:cs="Arial"/>
                <w:b/>
                <w:szCs w:val="20"/>
              </w:rPr>
            </w:pPr>
            <w:r>
              <w:rPr>
                <w:rFonts w:cs="Arial"/>
                <w:b/>
                <w:szCs w:val="20"/>
              </w:rPr>
              <w:t>Variation</w:t>
            </w:r>
          </w:p>
        </w:tc>
        <w:tc>
          <w:tcPr>
            <w:tcW w:w="648" w:type="pct"/>
            <w:shd w:val="clear" w:color="auto" w:fill="D9D9D9" w:themeFill="background1" w:themeFillShade="D9"/>
          </w:tcPr>
          <w:p w14:paraId="0CF0D48E" w14:textId="4F7CB5DB" w:rsidR="009E3A91" w:rsidRPr="00EE71B4" w:rsidRDefault="00C933AE" w:rsidP="00C13A58">
            <w:pPr>
              <w:keepNext/>
              <w:spacing w:after="0"/>
              <w:rPr>
                <w:b/>
              </w:rPr>
            </w:pPr>
            <w:r>
              <w:rPr>
                <w:b/>
              </w:rPr>
              <w:t>(</w:t>
            </w:r>
            <w:r w:rsidR="006739FF">
              <w:rPr>
                <w:b/>
              </w:rPr>
              <w:t>1,300</w:t>
            </w:r>
            <w:r>
              <w:rPr>
                <w:b/>
              </w:rPr>
              <w:t>)</w:t>
            </w:r>
          </w:p>
        </w:tc>
        <w:tc>
          <w:tcPr>
            <w:tcW w:w="649" w:type="pct"/>
            <w:shd w:val="clear" w:color="auto" w:fill="D9D9D9" w:themeFill="background1" w:themeFillShade="D9"/>
          </w:tcPr>
          <w:p w14:paraId="0E171266" w14:textId="77777777" w:rsidR="009E3A91" w:rsidRPr="00EE71B4" w:rsidRDefault="009E3A91" w:rsidP="00C13A58">
            <w:pPr>
              <w:keepNext/>
              <w:spacing w:after="0"/>
              <w:rPr>
                <w:b/>
              </w:rPr>
            </w:pPr>
            <w:r w:rsidRPr="00F37B15">
              <w:rPr>
                <w:b/>
              </w:rPr>
              <w:t>To be reported</w:t>
            </w:r>
          </w:p>
        </w:tc>
        <w:tc>
          <w:tcPr>
            <w:tcW w:w="649" w:type="pct"/>
            <w:shd w:val="clear" w:color="auto" w:fill="D9D9D9" w:themeFill="background1" w:themeFillShade="D9"/>
          </w:tcPr>
          <w:p w14:paraId="2629791F" w14:textId="77777777" w:rsidR="009E3A91" w:rsidRPr="00EE71B4" w:rsidRDefault="009E3A91" w:rsidP="00C13A58">
            <w:pPr>
              <w:keepNext/>
              <w:spacing w:after="0"/>
              <w:rPr>
                <w:b/>
              </w:rPr>
            </w:pPr>
            <w:r>
              <w:rPr>
                <w:b/>
              </w:rPr>
              <w:t>To be reported</w:t>
            </w:r>
          </w:p>
        </w:tc>
        <w:tc>
          <w:tcPr>
            <w:tcW w:w="651" w:type="pct"/>
            <w:shd w:val="clear" w:color="auto" w:fill="D9D9D9" w:themeFill="background1" w:themeFillShade="D9"/>
          </w:tcPr>
          <w:p w14:paraId="2018583B" w14:textId="77777777" w:rsidR="009E3A91" w:rsidRPr="00EE71B4" w:rsidRDefault="009E3A91" w:rsidP="00C13A58">
            <w:pPr>
              <w:keepNext/>
              <w:spacing w:after="0"/>
              <w:rPr>
                <w:b/>
              </w:rPr>
            </w:pPr>
            <w:r>
              <w:rPr>
                <w:b/>
              </w:rPr>
              <w:t>To be reported</w:t>
            </w:r>
          </w:p>
        </w:tc>
      </w:tr>
    </w:tbl>
    <w:p w14:paraId="79D307F5" w14:textId="77777777" w:rsidR="009E3A91" w:rsidRDefault="009E3A91" w:rsidP="009E3A91">
      <w:pPr>
        <w:spacing w:line="240" w:lineRule="auto"/>
      </w:pPr>
    </w:p>
    <w:p w14:paraId="098898A9" w14:textId="69A9163E" w:rsidR="009E3A91" w:rsidRDefault="00290445" w:rsidP="00E35833">
      <w:pPr>
        <w:keepNext/>
        <w:keepLines/>
      </w:pPr>
      <w:r>
        <w:t>The ACCC publish</w:t>
      </w:r>
      <w:r w:rsidR="00D233EA">
        <w:t>es</w:t>
      </w:r>
      <w:r w:rsidR="009E3A91">
        <w:t xml:space="preserve"> report</w:t>
      </w:r>
      <w:r>
        <w:t>s</w:t>
      </w:r>
      <w:r w:rsidR="009E3A91">
        <w:t xml:space="preserve"> of MBA program results </w:t>
      </w:r>
      <w:r w:rsidR="00D233EA">
        <w:t xml:space="preserve">on </w:t>
      </w:r>
      <w:r>
        <w:t xml:space="preserve">its </w:t>
      </w:r>
      <w:r w:rsidR="009E3A91">
        <w:t>website</w:t>
      </w:r>
      <w:r w:rsidR="00D233EA">
        <w:t>s</w:t>
      </w:r>
      <w:r w:rsidR="009E3A91">
        <w:t xml:space="preserve">, </w:t>
      </w:r>
      <w:hyperlink r:id="rId34" w:history="1">
        <w:r w:rsidR="00E35833" w:rsidRPr="003A1A75">
          <w:rPr>
            <w:rStyle w:val="Hyperlink"/>
          </w:rPr>
          <w:t>Measuring Broadband Australia program</w:t>
        </w:r>
      </w:hyperlink>
      <w:r w:rsidR="00E35833">
        <w:t xml:space="preserve"> and </w:t>
      </w:r>
      <w:hyperlink r:id="rId35" w:history="1">
        <w:r w:rsidR="00E35833" w:rsidRPr="003A1A75">
          <w:rPr>
            <w:rStyle w:val="Hyperlink"/>
          </w:rPr>
          <w:t>Broadband performance data</w:t>
        </w:r>
      </w:hyperlink>
      <w:r w:rsidR="00E35833">
        <w:t xml:space="preserve">. </w:t>
      </w:r>
      <w:r w:rsidR="009E3A91">
        <w:t>Further n</w:t>
      </w:r>
      <w:r w:rsidR="009E3A91" w:rsidRPr="00900472">
        <w:t>on-financial performance data will be included in future CRIS documentation.</w:t>
      </w:r>
    </w:p>
    <w:p w14:paraId="58554FE1" w14:textId="77777777" w:rsidR="009E3A91" w:rsidRPr="00CC3F4B" w:rsidRDefault="009E3A91" w:rsidP="009E3A91">
      <w:pPr>
        <w:pStyle w:val="Heading1"/>
      </w:pPr>
      <w:bookmarkStart w:id="242" w:name="_Toc511294499"/>
      <w:bookmarkStart w:id="243" w:name="_Toc511634434"/>
      <w:bookmarkStart w:id="244" w:name="_Toc26786374"/>
      <w:r>
        <w:lastRenderedPageBreak/>
        <w:t>8</w:t>
      </w:r>
      <w:r w:rsidRPr="00CC3F4B">
        <w:t>.</w:t>
      </w:r>
      <w:r w:rsidRPr="00CC3F4B">
        <w:tab/>
      </w:r>
      <w:r>
        <w:t>K</w:t>
      </w:r>
      <w:r w:rsidRPr="00CC3F4B">
        <w:t>ey forward dates and events</w:t>
      </w:r>
      <w:bookmarkEnd w:id="242"/>
      <w:bookmarkEnd w:id="243"/>
      <w:bookmarkEnd w:id="244"/>
    </w:p>
    <w:p w14:paraId="5BE64553" w14:textId="5345EDE6" w:rsidR="009E3A91" w:rsidRDefault="009E3A91" w:rsidP="009E3A91">
      <w:r w:rsidRPr="00A84CBD">
        <w:t xml:space="preserve">Reflecting the annual nature of the ACLC, the CRIS </w:t>
      </w:r>
      <w:r w:rsidR="00290445">
        <w:t>relating to the</w:t>
      </w:r>
      <w:r w:rsidR="00770B81">
        <w:t xml:space="preserve"> MBA program costs</w:t>
      </w:r>
      <w:r w:rsidR="00290445">
        <w:t xml:space="preserve"> </w:t>
      </w:r>
      <w:r w:rsidR="00770B81">
        <w:t xml:space="preserve">will </w:t>
      </w:r>
      <w:r w:rsidRPr="00A84CBD">
        <w:t xml:space="preserve">also </w:t>
      </w:r>
      <w:r w:rsidR="00770B81">
        <w:t xml:space="preserve">be </w:t>
      </w:r>
      <w:r w:rsidRPr="00A84CBD">
        <w:t>updated on an annual basis. The key forward events and dates f</w:t>
      </w:r>
      <w:r>
        <w:t>or the ACLC process for the 201</w:t>
      </w:r>
      <w:r w:rsidR="006739FF">
        <w:t>8</w:t>
      </w:r>
      <w:r w:rsidRPr="00A84CBD">
        <w:t>–</w:t>
      </w:r>
      <w:r>
        <w:t>1</w:t>
      </w:r>
      <w:r w:rsidR="006739FF">
        <w:t>9</w:t>
      </w:r>
      <w:r w:rsidRPr="00A84CBD">
        <w:t xml:space="preserve"> financial year are provided</w:t>
      </w:r>
      <w:r>
        <w:t xml:space="preserve"> </w:t>
      </w:r>
      <w:r w:rsidR="002A69BE">
        <w:t xml:space="preserve">below </w:t>
      </w:r>
      <w:r>
        <w:t>in Table 7</w:t>
      </w:r>
      <w:r w:rsidRPr="00A84CBD">
        <w:t>.</w:t>
      </w:r>
    </w:p>
    <w:p w14:paraId="2BFE7225" w14:textId="77777777" w:rsidR="009E3A91" w:rsidRPr="006A56FD" w:rsidRDefault="009E3A91" w:rsidP="009E3A91">
      <w:pPr>
        <w:pStyle w:val="ACMATableHeader"/>
      </w:pPr>
      <w:r w:rsidRPr="006A56FD">
        <w:t>Key forward dates and events</w:t>
      </w:r>
    </w:p>
    <w:tbl>
      <w:tblPr>
        <w:tblW w:w="48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Key forward dates and events"/>
        <w:tblDescription w:val="Update of forward financial estimates (section 6) in Dec 2016; Update of actual costs in May 2017."/>
      </w:tblPr>
      <w:tblGrid>
        <w:gridCol w:w="5255"/>
        <w:gridCol w:w="2126"/>
      </w:tblGrid>
      <w:tr w:rsidR="009E3A91" w:rsidRPr="000D6F80" w14:paraId="4BB24137" w14:textId="77777777" w:rsidTr="009E3A91">
        <w:trPr>
          <w:cantSplit/>
          <w:trHeight w:val="85"/>
          <w:tblHeader/>
        </w:trPr>
        <w:tc>
          <w:tcPr>
            <w:tcW w:w="3560" w:type="pct"/>
            <w:shd w:val="clear" w:color="auto" w:fill="404040" w:themeFill="text1" w:themeFillTint="BF"/>
          </w:tcPr>
          <w:p w14:paraId="5B6DCBFB" w14:textId="77777777" w:rsidR="009E3A91" w:rsidRPr="00E50A27" w:rsidRDefault="009E3A91" w:rsidP="009E3A91">
            <w:pPr>
              <w:pStyle w:val="TableHeading"/>
              <w:rPr>
                <w:b w:val="0"/>
                <w:color w:val="FFFFFF" w:themeColor="background1"/>
                <w:highlight w:val="yellow"/>
              </w:rPr>
            </w:pPr>
            <w:r w:rsidRPr="00E50A27">
              <w:rPr>
                <w:color w:val="FFFFFF" w:themeColor="background1"/>
              </w:rPr>
              <w:t>Key events</w:t>
            </w:r>
          </w:p>
        </w:tc>
        <w:tc>
          <w:tcPr>
            <w:tcW w:w="1440" w:type="pct"/>
            <w:tcBorders>
              <w:top w:val="single" w:sz="6" w:space="0" w:color="auto"/>
            </w:tcBorders>
            <w:shd w:val="clear" w:color="auto" w:fill="404040" w:themeFill="text1" w:themeFillTint="BF"/>
          </w:tcPr>
          <w:p w14:paraId="1E375485" w14:textId="77777777" w:rsidR="009E3A91" w:rsidRPr="00E50A27" w:rsidRDefault="009E3A91" w:rsidP="009E3A91">
            <w:pPr>
              <w:pStyle w:val="TableHeading"/>
              <w:rPr>
                <w:b w:val="0"/>
                <w:color w:val="FFFFFF" w:themeColor="background1"/>
              </w:rPr>
            </w:pPr>
            <w:r w:rsidRPr="00E50A27">
              <w:rPr>
                <w:color w:val="FFFFFF" w:themeColor="background1"/>
              </w:rPr>
              <w:t>Date</w:t>
            </w:r>
          </w:p>
        </w:tc>
      </w:tr>
      <w:tr w:rsidR="001F3D36" w:rsidRPr="000D6F80" w14:paraId="2D0F619A" w14:textId="77777777" w:rsidTr="009E3A91">
        <w:trPr>
          <w:cantSplit/>
          <w:trHeight w:val="247"/>
          <w:tblHeader/>
        </w:trPr>
        <w:tc>
          <w:tcPr>
            <w:tcW w:w="3560" w:type="pct"/>
          </w:tcPr>
          <w:p w14:paraId="3ACDBF7B" w14:textId="59599CE1" w:rsidR="001F3D36" w:rsidRDefault="001F3D36" w:rsidP="001F3D36">
            <w:pPr>
              <w:spacing w:after="0"/>
              <w:ind w:right="-142"/>
              <w:rPr>
                <w:rFonts w:cs="Arial"/>
                <w:szCs w:val="20"/>
              </w:rPr>
            </w:pPr>
            <w:r>
              <w:rPr>
                <w:rFonts w:cs="Arial"/>
                <w:szCs w:val="20"/>
              </w:rPr>
              <w:t>Update of forward estimates</w:t>
            </w:r>
          </w:p>
        </w:tc>
        <w:tc>
          <w:tcPr>
            <w:tcW w:w="1440" w:type="pct"/>
          </w:tcPr>
          <w:p w14:paraId="0237ADB3" w14:textId="6089B808" w:rsidR="001F3D36" w:rsidRPr="0039435F" w:rsidRDefault="009F5C7C" w:rsidP="001F3D36">
            <w:pPr>
              <w:spacing w:after="0"/>
              <w:rPr>
                <w:rFonts w:cs="Arial"/>
                <w:szCs w:val="20"/>
              </w:rPr>
            </w:pPr>
            <w:r>
              <w:rPr>
                <w:rFonts w:cs="Arial"/>
                <w:szCs w:val="20"/>
              </w:rPr>
              <w:t xml:space="preserve">November </w:t>
            </w:r>
            <w:r w:rsidR="001F3D36">
              <w:rPr>
                <w:rFonts w:cs="Arial"/>
                <w:szCs w:val="20"/>
              </w:rPr>
              <w:t>201</w:t>
            </w:r>
            <w:r w:rsidR="006739FF">
              <w:rPr>
                <w:rFonts w:cs="Arial"/>
                <w:szCs w:val="20"/>
              </w:rPr>
              <w:t>9</w:t>
            </w:r>
          </w:p>
        </w:tc>
      </w:tr>
      <w:tr w:rsidR="001F3D36" w:rsidRPr="000D6F80" w14:paraId="5D351F18" w14:textId="77777777" w:rsidTr="009E3A91">
        <w:trPr>
          <w:cantSplit/>
          <w:trHeight w:val="197"/>
          <w:tblHeader/>
        </w:trPr>
        <w:tc>
          <w:tcPr>
            <w:tcW w:w="3560" w:type="pct"/>
          </w:tcPr>
          <w:p w14:paraId="422025EB" w14:textId="6350D369" w:rsidR="001F3D36" w:rsidRDefault="001F3D36" w:rsidP="001F3D36">
            <w:pPr>
              <w:spacing w:after="0"/>
              <w:ind w:right="-142"/>
              <w:rPr>
                <w:rFonts w:cs="Arial"/>
                <w:szCs w:val="20"/>
              </w:rPr>
            </w:pPr>
            <w:r>
              <w:rPr>
                <w:rFonts w:cs="Arial"/>
                <w:szCs w:val="20"/>
              </w:rPr>
              <w:t>Update of actual costs</w:t>
            </w:r>
          </w:p>
        </w:tc>
        <w:tc>
          <w:tcPr>
            <w:tcW w:w="1440" w:type="pct"/>
          </w:tcPr>
          <w:p w14:paraId="665B7219" w14:textId="1E65F276" w:rsidR="001F3D36" w:rsidRDefault="00BE3EC1" w:rsidP="001F3D36">
            <w:pPr>
              <w:spacing w:after="0"/>
              <w:rPr>
                <w:rFonts w:cs="Arial"/>
                <w:szCs w:val="20"/>
                <w:highlight w:val="yellow"/>
              </w:rPr>
            </w:pPr>
            <w:r>
              <w:rPr>
                <w:rFonts w:cs="Arial"/>
                <w:szCs w:val="20"/>
              </w:rPr>
              <w:t>November</w:t>
            </w:r>
            <w:r w:rsidRPr="0039435F">
              <w:rPr>
                <w:rFonts w:cs="Arial"/>
                <w:szCs w:val="20"/>
              </w:rPr>
              <w:t xml:space="preserve"> </w:t>
            </w:r>
            <w:r w:rsidR="001F3D36" w:rsidRPr="0039435F">
              <w:rPr>
                <w:rFonts w:cs="Arial"/>
                <w:szCs w:val="20"/>
              </w:rPr>
              <w:t>2</w:t>
            </w:r>
            <w:r w:rsidR="006739FF">
              <w:rPr>
                <w:rFonts w:cs="Arial"/>
                <w:szCs w:val="20"/>
              </w:rPr>
              <w:t>020</w:t>
            </w:r>
          </w:p>
        </w:tc>
      </w:tr>
    </w:tbl>
    <w:p w14:paraId="6FCBF540" w14:textId="77777777" w:rsidR="00E21B13" w:rsidRDefault="00E21B13">
      <w:pPr>
        <w:spacing w:after="0" w:line="240" w:lineRule="auto"/>
        <w:rPr>
          <w:rFonts w:cs="Arial"/>
          <w:bCs/>
          <w:color w:val="323232"/>
          <w:kern w:val="32"/>
          <w:sz w:val="53"/>
          <w:szCs w:val="32"/>
        </w:rPr>
      </w:pPr>
      <w:bookmarkStart w:id="245" w:name="_Toc511294500"/>
      <w:r>
        <w:br w:type="page"/>
      </w:r>
    </w:p>
    <w:p w14:paraId="60B81537" w14:textId="77777777" w:rsidR="00FA3514" w:rsidRPr="00693E17" w:rsidRDefault="00FA3514" w:rsidP="00FA3514">
      <w:pPr>
        <w:pStyle w:val="Heading1"/>
        <w:spacing w:after="120"/>
        <w:ind w:right="-142"/>
        <w:rPr>
          <w:sz w:val="44"/>
          <w:szCs w:val="22"/>
        </w:rPr>
      </w:pPr>
      <w:bookmarkStart w:id="246" w:name="_Toc483221510"/>
      <w:bookmarkStart w:id="247" w:name="_Toc532543442"/>
      <w:bookmarkStart w:id="248" w:name="_Toc26786375"/>
      <w:bookmarkStart w:id="249" w:name="_Toc511634435"/>
      <w:bookmarkEnd w:id="183"/>
      <w:r w:rsidRPr="00693E17">
        <w:rPr>
          <w:sz w:val="44"/>
          <w:szCs w:val="22"/>
        </w:rPr>
        <w:lastRenderedPageBreak/>
        <w:t xml:space="preserve">Attachment </w:t>
      </w:r>
      <w:bookmarkEnd w:id="246"/>
      <w:r w:rsidRPr="00693E17">
        <w:rPr>
          <w:sz w:val="44"/>
          <w:szCs w:val="22"/>
        </w:rPr>
        <w:t>C</w:t>
      </w:r>
      <w:bookmarkEnd w:id="247"/>
      <w:bookmarkEnd w:id="248"/>
    </w:p>
    <w:p w14:paraId="1112C81C" w14:textId="731999C1" w:rsidR="00FA3514" w:rsidRPr="00C13A58" w:rsidRDefault="00FA3514" w:rsidP="00C13A58">
      <w:pPr>
        <w:pStyle w:val="Heading2"/>
      </w:pPr>
      <w:bookmarkStart w:id="250" w:name="_Toc417990971"/>
      <w:bookmarkStart w:id="251" w:name="_Toc424115079"/>
      <w:bookmarkStart w:id="252" w:name="_Toc483221511"/>
      <w:bookmarkStart w:id="253" w:name="_Toc532543443"/>
      <w:bookmarkStart w:id="254" w:name="_Toc26786376"/>
      <w:r w:rsidRPr="00C13A58">
        <w:t>ACLC for 2018–1</w:t>
      </w:r>
      <w:bookmarkEnd w:id="250"/>
      <w:bookmarkEnd w:id="251"/>
      <w:bookmarkEnd w:id="252"/>
      <w:bookmarkEnd w:id="253"/>
      <w:r w:rsidRPr="00C13A58">
        <w:t>9</w:t>
      </w:r>
      <w:bookmarkEnd w:id="254"/>
    </w:p>
    <w:tbl>
      <w:tblPr>
        <w:tblW w:w="10632" w:type="dxa"/>
        <w:tblInd w:w="-5" w:type="dxa"/>
        <w:tblLook w:val="04A0" w:firstRow="1" w:lastRow="0" w:firstColumn="1" w:lastColumn="0" w:noHBand="0" w:noVBand="1"/>
      </w:tblPr>
      <w:tblGrid>
        <w:gridCol w:w="628"/>
        <w:gridCol w:w="3118"/>
        <w:gridCol w:w="1718"/>
        <w:gridCol w:w="1329"/>
        <w:gridCol w:w="1394"/>
        <w:gridCol w:w="1117"/>
        <w:gridCol w:w="1328"/>
      </w:tblGrid>
      <w:tr w:rsidR="00693E17" w:rsidRPr="000B6563" w14:paraId="39E2AD8E" w14:textId="77777777" w:rsidTr="00EB7AE9">
        <w:trPr>
          <w:trHeight w:val="927"/>
        </w:trPr>
        <w:tc>
          <w:tcPr>
            <w:tcW w:w="628"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14:paraId="1041529B" w14:textId="77777777" w:rsidR="00693E17" w:rsidRPr="00EB7AE9" w:rsidRDefault="00693E17" w:rsidP="007D6691">
            <w:pPr>
              <w:spacing w:after="0" w:line="240" w:lineRule="auto"/>
              <w:rPr>
                <w:rFonts w:cs="Arial"/>
                <w:b/>
                <w:bCs/>
                <w:color w:val="FFFFFF"/>
                <w:szCs w:val="20"/>
              </w:rPr>
            </w:pPr>
            <w:r w:rsidRPr="00EB7AE9">
              <w:rPr>
                <w:rFonts w:cs="Arial"/>
                <w:b/>
                <w:bCs/>
                <w:color w:val="FFFFFF"/>
                <w:szCs w:val="20"/>
              </w:rPr>
              <w:t>Item</w:t>
            </w:r>
          </w:p>
        </w:tc>
        <w:tc>
          <w:tcPr>
            <w:tcW w:w="3118"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350ABD2E" w14:textId="77777777" w:rsidR="00693E17" w:rsidRPr="00EB7AE9" w:rsidRDefault="00693E17" w:rsidP="007D6691">
            <w:pPr>
              <w:spacing w:after="0" w:line="240" w:lineRule="auto"/>
              <w:rPr>
                <w:rFonts w:cs="Arial"/>
                <w:b/>
                <w:bCs/>
                <w:color w:val="FFFFFF"/>
                <w:szCs w:val="20"/>
              </w:rPr>
            </w:pPr>
            <w:r w:rsidRPr="00EB7AE9">
              <w:rPr>
                <w:rFonts w:cs="Arial"/>
                <w:b/>
                <w:bCs/>
                <w:color w:val="FFFFFF"/>
                <w:szCs w:val="20"/>
              </w:rPr>
              <w:t>Carrier</w:t>
            </w:r>
          </w:p>
        </w:tc>
        <w:tc>
          <w:tcPr>
            <w:tcW w:w="1718" w:type="dxa"/>
            <w:tcBorders>
              <w:top w:val="single" w:sz="4" w:space="0" w:color="auto"/>
              <w:left w:val="nil"/>
              <w:bottom w:val="single" w:sz="4" w:space="0" w:color="auto"/>
              <w:right w:val="single" w:sz="4" w:space="0" w:color="auto"/>
            </w:tcBorders>
            <w:shd w:val="clear" w:color="auto" w:fill="404040" w:themeFill="text1" w:themeFillTint="BF"/>
            <w:vAlign w:val="center"/>
            <w:hideMark/>
          </w:tcPr>
          <w:p w14:paraId="78086260" w14:textId="77777777" w:rsidR="00693E17" w:rsidRPr="00EB7AE9" w:rsidRDefault="00693E17" w:rsidP="00C13A58">
            <w:pPr>
              <w:spacing w:after="0" w:line="240" w:lineRule="auto"/>
              <w:rPr>
                <w:rFonts w:cs="Arial"/>
                <w:b/>
                <w:bCs/>
                <w:color w:val="FFFFFF"/>
                <w:szCs w:val="20"/>
              </w:rPr>
            </w:pPr>
            <w:r w:rsidRPr="00EB7AE9">
              <w:rPr>
                <w:rFonts w:cs="Arial"/>
                <w:b/>
                <w:bCs/>
                <w:color w:val="FFFFFF"/>
                <w:szCs w:val="20"/>
              </w:rPr>
              <w:t xml:space="preserve">Eligible revenue </w:t>
            </w:r>
          </w:p>
          <w:p w14:paraId="74B306D1" w14:textId="4CAFD615" w:rsidR="00693E17" w:rsidRPr="00EB7AE9" w:rsidRDefault="00693E17" w:rsidP="00C13A58">
            <w:pPr>
              <w:spacing w:after="0" w:line="240" w:lineRule="auto"/>
              <w:rPr>
                <w:rFonts w:cs="Arial"/>
                <w:b/>
                <w:bCs/>
                <w:color w:val="FFFFFF"/>
                <w:szCs w:val="20"/>
              </w:rPr>
            </w:pPr>
            <w:r w:rsidRPr="00EB7AE9">
              <w:rPr>
                <w:rFonts w:cs="Arial"/>
                <w:b/>
                <w:bCs/>
                <w:color w:val="FFFFFF"/>
                <w:szCs w:val="20"/>
              </w:rPr>
              <w:t>2017</w:t>
            </w:r>
            <w:r w:rsidR="006A59D7">
              <w:rPr>
                <w:rFonts w:cs="Arial"/>
                <w:b/>
                <w:bCs/>
                <w:color w:val="FFFFFF"/>
                <w:szCs w:val="20"/>
              </w:rPr>
              <w:t>–</w:t>
            </w:r>
            <w:r w:rsidRPr="00EB7AE9">
              <w:rPr>
                <w:rFonts w:cs="Arial"/>
                <w:b/>
                <w:bCs/>
                <w:color w:val="FFFFFF"/>
                <w:szCs w:val="20"/>
              </w:rPr>
              <w:t>18</w:t>
            </w:r>
          </w:p>
        </w:tc>
        <w:tc>
          <w:tcPr>
            <w:tcW w:w="1329" w:type="dxa"/>
            <w:tcBorders>
              <w:top w:val="single" w:sz="4" w:space="0" w:color="auto"/>
              <w:left w:val="nil"/>
              <w:bottom w:val="single" w:sz="4" w:space="0" w:color="auto"/>
              <w:right w:val="single" w:sz="4" w:space="0" w:color="auto"/>
            </w:tcBorders>
            <w:shd w:val="clear" w:color="auto" w:fill="404040" w:themeFill="text1" w:themeFillTint="BF"/>
            <w:vAlign w:val="center"/>
            <w:hideMark/>
          </w:tcPr>
          <w:p w14:paraId="13196934" w14:textId="77777777" w:rsidR="00693E17" w:rsidRPr="00EB7AE9" w:rsidRDefault="00693E17" w:rsidP="00C13A58">
            <w:pPr>
              <w:spacing w:after="0" w:line="240" w:lineRule="auto"/>
              <w:rPr>
                <w:rFonts w:cs="Arial"/>
                <w:b/>
                <w:bCs/>
                <w:color w:val="FFFFFF"/>
                <w:szCs w:val="20"/>
              </w:rPr>
            </w:pPr>
            <w:r w:rsidRPr="00EB7AE9">
              <w:rPr>
                <w:rFonts w:cs="Arial"/>
                <w:b/>
                <w:bCs/>
                <w:color w:val="FFFFFF"/>
                <w:szCs w:val="20"/>
              </w:rPr>
              <w:t xml:space="preserve">ACLC </w:t>
            </w:r>
          </w:p>
          <w:p w14:paraId="50E5AB4F" w14:textId="10B4C663" w:rsidR="00693E17" w:rsidRPr="00EB7AE9" w:rsidRDefault="00693E17" w:rsidP="00C13A58">
            <w:pPr>
              <w:spacing w:after="0" w:line="240" w:lineRule="auto"/>
              <w:rPr>
                <w:rFonts w:cs="Arial"/>
                <w:b/>
                <w:bCs/>
                <w:color w:val="FFFFFF"/>
                <w:szCs w:val="20"/>
              </w:rPr>
            </w:pPr>
            <w:r w:rsidRPr="00EB7AE9">
              <w:rPr>
                <w:rFonts w:cs="Arial"/>
                <w:b/>
                <w:bCs/>
                <w:color w:val="FFFFFF"/>
                <w:szCs w:val="20"/>
              </w:rPr>
              <w:t>2018</w:t>
            </w:r>
            <w:r w:rsidR="006A59D7">
              <w:rPr>
                <w:rFonts w:cs="Arial"/>
                <w:b/>
                <w:bCs/>
                <w:color w:val="FFFFFF"/>
                <w:szCs w:val="20"/>
              </w:rPr>
              <w:t>–</w:t>
            </w:r>
            <w:r w:rsidRPr="00EB7AE9">
              <w:rPr>
                <w:rFonts w:cs="Arial"/>
                <w:b/>
                <w:bCs/>
                <w:color w:val="FFFFFF"/>
                <w:szCs w:val="20"/>
              </w:rPr>
              <w:t>19 (excl</w:t>
            </w:r>
            <w:r w:rsidR="006A59D7">
              <w:rPr>
                <w:rFonts w:cs="Arial"/>
                <w:b/>
                <w:bCs/>
                <w:color w:val="FFFFFF"/>
                <w:szCs w:val="20"/>
              </w:rPr>
              <w:t>.</w:t>
            </w:r>
            <w:r w:rsidRPr="00EB7AE9">
              <w:rPr>
                <w:rFonts w:cs="Arial"/>
                <w:b/>
                <w:bCs/>
                <w:color w:val="FFFFFF"/>
                <w:szCs w:val="20"/>
              </w:rPr>
              <w:t xml:space="preserve"> MBA)</w:t>
            </w:r>
          </w:p>
        </w:tc>
        <w:tc>
          <w:tcPr>
            <w:tcW w:w="1394" w:type="dxa"/>
            <w:tcBorders>
              <w:top w:val="single" w:sz="4" w:space="0" w:color="auto"/>
              <w:left w:val="nil"/>
              <w:bottom w:val="single" w:sz="4" w:space="0" w:color="auto"/>
              <w:right w:val="single" w:sz="4" w:space="0" w:color="auto"/>
            </w:tcBorders>
            <w:shd w:val="clear" w:color="auto" w:fill="404040" w:themeFill="text1" w:themeFillTint="BF"/>
          </w:tcPr>
          <w:p w14:paraId="15E9D11D" w14:textId="022B86E1" w:rsidR="00693E17" w:rsidRPr="00EB7AE9" w:rsidRDefault="00693E17" w:rsidP="00C13A58">
            <w:pPr>
              <w:spacing w:after="0" w:line="240" w:lineRule="auto"/>
              <w:rPr>
                <w:rFonts w:cs="Arial"/>
                <w:b/>
                <w:bCs/>
                <w:color w:val="FFFFFF"/>
                <w:szCs w:val="20"/>
              </w:rPr>
            </w:pPr>
            <w:r w:rsidRPr="00EB7AE9">
              <w:rPr>
                <w:rFonts w:cs="Arial"/>
                <w:b/>
                <w:bCs/>
                <w:color w:val="FFFFFF"/>
                <w:szCs w:val="20"/>
              </w:rPr>
              <w:t>Fixed line connections 2017</w:t>
            </w:r>
            <w:r w:rsidR="006A59D7">
              <w:rPr>
                <w:rFonts w:cs="Arial"/>
                <w:b/>
                <w:bCs/>
                <w:color w:val="FFFFFF"/>
                <w:szCs w:val="20"/>
              </w:rPr>
              <w:t>–</w:t>
            </w:r>
            <w:r w:rsidRPr="00EB7AE9">
              <w:rPr>
                <w:rFonts w:cs="Arial"/>
                <w:b/>
                <w:bCs/>
                <w:color w:val="FFFFFF"/>
                <w:szCs w:val="20"/>
              </w:rPr>
              <w:t>18</w:t>
            </w:r>
          </w:p>
        </w:tc>
        <w:tc>
          <w:tcPr>
            <w:tcW w:w="1117"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46081017" w14:textId="5AE22115" w:rsidR="00693E17" w:rsidRPr="00EB7AE9" w:rsidRDefault="00693E17" w:rsidP="00C13A58">
            <w:pPr>
              <w:spacing w:after="0" w:line="240" w:lineRule="auto"/>
              <w:rPr>
                <w:rFonts w:cs="Arial"/>
                <w:b/>
                <w:bCs/>
                <w:color w:val="FFFFFF"/>
                <w:szCs w:val="20"/>
              </w:rPr>
            </w:pPr>
            <w:r w:rsidRPr="00EB7AE9">
              <w:rPr>
                <w:rFonts w:cs="Arial"/>
                <w:b/>
                <w:bCs/>
                <w:color w:val="FFFFFF"/>
                <w:szCs w:val="20"/>
              </w:rPr>
              <w:t>ACLC MBA 2018</w:t>
            </w:r>
            <w:r w:rsidR="006A59D7">
              <w:rPr>
                <w:rFonts w:cs="Arial"/>
                <w:b/>
                <w:bCs/>
                <w:color w:val="FFFFFF"/>
                <w:szCs w:val="20"/>
              </w:rPr>
              <w:t>–</w:t>
            </w:r>
            <w:r w:rsidRPr="00EB7AE9">
              <w:rPr>
                <w:rFonts w:cs="Arial"/>
                <w:b/>
                <w:bCs/>
                <w:color w:val="FFFFFF"/>
                <w:szCs w:val="20"/>
              </w:rPr>
              <w:t>19</w:t>
            </w:r>
          </w:p>
        </w:tc>
        <w:tc>
          <w:tcPr>
            <w:tcW w:w="1328" w:type="dxa"/>
            <w:tcBorders>
              <w:top w:val="single" w:sz="4" w:space="0" w:color="auto"/>
              <w:left w:val="nil"/>
              <w:bottom w:val="single" w:sz="4" w:space="0" w:color="auto"/>
              <w:right w:val="single" w:sz="4" w:space="0" w:color="auto"/>
            </w:tcBorders>
            <w:shd w:val="clear" w:color="auto" w:fill="404040" w:themeFill="text1" w:themeFillTint="BF"/>
            <w:vAlign w:val="center"/>
            <w:hideMark/>
          </w:tcPr>
          <w:p w14:paraId="3E5E11EE" w14:textId="301BF714" w:rsidR="00693E17" w:rsidRPr="00EB7AE9" w:rsidRDefault="00693E17" w:rsidP="00C13A58">
            <w:pPr>
              <w:spacing w:after="0" w:line="240" w:lineRule="auto"/>
              <w:rPr>
                <w:rFonts w:cs="Arial"/>
                <w:b/>
                <w:bCs/>
                <w:color w:val="FFFFFF"/>
                <w:szCs w:val="20"/>
              </w:rPr>
            </w:pPr>
            <w:r w:rsidRPr="00EB7AE9">
              <w:rPr>
                <w:rFonts w:cs="Arial"/>
                <w:b/>
                <w:bCs/>
                <w:color w:val="FFFFFF"/>
                <w:szCs w:val="20"/>
              </w:rPr>
              <w:t>Total ACLC 2018</w:t>
            </w:r>
            <w:r w:rsidR="006A59D7">
              <w:rPr>
                <w:rFonts w:cs="Arial"/>
                <w:b/>
                <w:bCs/>
                <w:color w:val="FFFFFF"/>
                <w:szCs w:val="20"/>
              </w:rPr>
              <w:t>–</w:t>
            </w:r>
            <w:r w:rsidRPr="00EB7AE9">
              <w:rPr>
                <w:rFonts w:cs="Arial"/>
                <w:b/>
                <w:bCs/>
                <w:color w:val="FFFFFF"/>
                <w:szCs w:val="20"/>
              </w:rPr>
              <w:t>19</w:t>
            </w:r>
          </w:p>
        </w:tc>
      </w:tr>
      <w:tr w:rsidR="00693E17" w:rsidRPr="000B6563" w14:paraId="4FD55C1C"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4828EF1C"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w:t>
            </w:r>
          </w:p>
        </w:tc>
        <w:tc>
          <w:tcPr>
            <w:tcW w:w="3118" w:type="dxa"/>
            <w:tcBorders>
              <w:top w:val="nil"/>
              <w:left w:val="nil"/>
              <w:bottom w:val="single" w:sz="4" w:space="0" w:color="auto"/>
              <w:right w:val="single" w:sz="4" w:space="0" w:color="auto"/>
            </w:tcBorders>
            <w:shd w:val="clear" w:color="auto" w:fill="auto"/>
            <w:noWrap/>
            <w:vAlign w:val="center"/>
            <w:hideMark/>
          </w:tcPr>
          <w:p w14:paraId="6569ECCC" w14:textId="77777777"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AARNet</w:t>
            </w:r>
            <w:proofErr w:type="spellEnd"/>
            <w:r w:rsidRPr="00EB7AE9">
              <w:rPr>
                <w:rFonts w:cs="Arial"/>
                <w:color w:val="000000"/>
                <w:sz w:val="18"/>
                <w:szCs w:val="18"/>
              </w:rPr>
              <w:t xml:space="preserve"> Pty Ltd</w:t>
            </w:r>
          </w:p>
        </w:tc>
        <w:tc>
          <w:tcPr>
            <w:tcW w:w="1718" w:type="dxa"/>
            <w:tcBorders>
              <w:top w:val="nil"/>
              <w:left w:val="nil"/>
              <w:bottom w:val="single" w:sz="4" w:space="0" w:color="auto"/>
              <w:right w:val="single" w:sz="4" w:space="0" w:color="auto"/>
            </w:tcBorders>
            <w:shd w:val="clear" w:color="auto" w:fill="auto"/>
            <w:noWrap/>
            <w:vAlign w:val="center"/>
            <w:hideMark/>
          </w:tcPr>
          <w:p w14:paraId="2BAE2FF8"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$52,440,563</w:t>
            </w:r>
          </w:p>
        </w:tc>
        <w:tc>
          <w:tcPr>
            <w:tcW w:w="1329" w:type="dxa"/>
            <w:tcBorders>
              <w:top w:val="nil"/>
              <w:left w:val="nil"/>
              <w:bottom w:val="single" w:sz="4" w:space="0" w:color="auto"/>
              <w:right w:val="single" w:sz="4" w:space="0" w:color="auto"/>
            </w:tcBorders>
            <w:shd w:val="clear" w:color="auto" w:fill="auto"/>
            <w:noWrap/>
            <w:vAlign w:val="center"/>
            <w:hideMark/>
          </w:tcPr>
          <w:p w14:paraId="5472F91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$56,520</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59CB93F7"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F8610A"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60AFB591"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$56,520</w:t>
            </w:r>
          </w:p>
        </w:tc>
      </w:tr>
      <w:tr w:rsidR="00693E17" w:rsidRPr="000B6563" w14:paraId="3A32CA85"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473B6F3F"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w:t>
            </w:r>
          </w:p>
        </w:tc>
        <w:tc>
          <w:tcPr>
            <w:tcW w:w="3118" w:type="dxa"/>
            <w:tcBorders>
              <w:top w:val="nil"/>
              <w:left w:val="nil"/>
              <w:bottom w:val="single" w:sz="4" w:space="0" w:color="auto"/>
              <w:right w:val="single" w:sz="4" w:space="0" w:color="auto"/>
            </w:tcBorders>
            <w:shd w:val="clear" w:color="auto" w:fill="auto"/>
            <w:noWrap/>
            <w:vAlign w:val="center"/>
            <w:hideMark/>
          </w:tcPr>
          <w:p w14:paraId="4E278BE4"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Allegro Networks Pty Ltd</w:t>
            </w:r>
          </w:p>
        </w:tc>
        <w:tc>
          <w:tcPr>
            <w:tcW w:w="1718" w:type="dxa"/>
            <w:tcBorders>
              <w:top w:val="nil"/>
              <w:left w:val="nil"/>
              <w:bottom w:val="single" w:sz="4" w:space="0" w:color="auto"/>
              <w:right w:val="single" w:sz="4" w:space="0" w:color="auto"/>
            </w:tcBorders>
            <w:shd w:val="clear" w:color="auto" w:fill="auto"/>
            <w:noWrap/>
            <w:vAlign w:val="center"/>
            <w:hideMark/>
          </w:tcPr>
          <w:p w14:paraId="5E2E9905"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$3,308,574</w:t>
            </w:r>
          </w:p>
        </w:tc>
        <w:tc>
          <w:tcPr>
            <w:tcW w:w="1329" w:type="dxa"/>
            <w:tcBorders>
              <w:top w:val="nil"/>
              <w:left w:val="nil"/>
              <w:bottom w:val="single" w:sz="4" w:space="0" w:color="auto"/>
              <w:right w:val="single" w:sz="4" w:space="0" w:color="auto"/>
            </w:tcBorders>
            <w:shd w:val="clear" w:color="auto" w:fill="auto"/>
            <w:noWrap/>
            <w:vAlign w:val="center"/>
            <w:hideMark/>
          </w:tcPr>
          <w:p w14:paraId="3CB143F0"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$3,566</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77880FF9"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D9AFBB"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6F375E8A"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$3,566</w:t>
            </w:r>
          </w:p>
        </w:tc>
      </w:tr>
      <w:tr w:rsidR="00693E17" w:rsidRPr="000B6563" w14:paraId="1DCDB0E3"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499029DB"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3</w:t>
            </w:r>
          </w:p>
        </w:tc>
        <w:tc>
          <w:tcPr>
            <w:tcW w:w="3118" w:type="dxa"/>
            <w:tcBorders>
              <w:top w:val="nil"/>
              <w:left w:val="nil"/>
              <w:bottom w:val="single" w:sz="4" w:space="0" w:color="auto"/>
              <w:right w:val="single" w:sz="4" w:space="0" w:color="auto"/>
            </w:tcBorders>
            <w:shd w:val="clear" w:color="auto" w:fill="auto"/>
            <w:noWrap/>
            <w:vAlign w:val="center"/>
            <w:hideMark/>
          </w:tcPr>
          <w:p w14:paraId="3AA292B9" w14:textId="77777777"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BigAir</w:t>
            </w:r>
            <w:proofErr w:type="spellEnd"/>
            <w:r w:rsidRPr="00EB7AE9">
              <w:rPr>
                <w:rFonts w:cs="Arial"/>
                <w:color w:val="000000"/>
                <w:sz w:val="18"/>
                <w:szCs w:val="18"/>
              </w:rPr>
              <w:t xml:space="preserve"> Cloud Managed Services Pty Ltd </w:t>
            </w:r>
          </w:p>
        </w:tc>
        <w:tc>
          <w:tcPr>
            <w:tcW w:w="1718" w:type="dxa"/>
            <w:tcBorders>
              <w:top w:val="nil"/>
              <w:left w:val="nil"/>
              <w:bottom w:val="single" w:sz="4" w:space="0" w:color="auto"/>
              <w:right w:val="single" w:sz="4" w:space="0" w:color="auto"/>
            </w:tcBorders>
            <w:shd w:val="clear" w:color="auto" w:fill="auto"/>
            <w:noWrap/>
            <w:vAlign w:val="center"/>
            <w:hideMark/>
          </w:tcPr>
          <w:p w14:paraId="09E386B9"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$2,291,262</w:t>
            </w:r>
          </w:p>
        </w:tc>
        <w:tc>
          <w:tcPr>
            <w:tcW w:w="1329" w:type="dxa"/>
            <w:tcBorders>
              <w:top w:val="nil"/>
              <w:left w:val="nil"/>
              <w:bottom w:val="single" w:sz="4" w:space="0" w:color="auto"/>
              <w:right w:val="single" w:sz="4" w:space="0" w:color="auto"/>
            </w:tcBorders>
            <w:shd w:val="clear" w:color="auto" w:fill="auto"/>
            <w:noWrap/>
            <w:vAlign w:val="center"/>
            <w:hideMark/>
          </w:tcPr>
          <w:p w14:paraId="78B40D91"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$2,470</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2E7973E1"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5F507D"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579F856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$2,470</w:t>
            </w:r>
          </w:p>
        </w:tc>
      </w:tr>
      <w:tr w:rsidR="00693E17" w:rsidRPr="000B6563" w14:paraId="5210A927"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707C097"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4</w:t>
            </w:r>
          </w:p>
        </w:tc>
        <w:tc>
          <w:tcPr>
            <w:tcW w:w="3118" w:type="dxa"/>
            <w:tcBorders>
              <w:top w:val="nil"/>
              <w:left w:val="nil"/>
              <w:bottom w:val="single" w:sz="4" w:space="0" w:color="auto"/>
              <w:right w:val="single" w:sz="4" w:space="0" w:color="auto"/>
            </w:tcBorders>
            <w:shd w:val="clear" w:color="auto" w:fill="auto"/>
            <w:noWrap/>
            <w:vAlign w:val="center"/>
            <w:hideMark/>
          </w:tcPr>
          <w:p w14:paraId="7F744FAC" w14:textId="764C9739"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BigAir</w:t>
            </w:r>
            <w:proofErr w:type="spellEnd"/>
            <w:r w:rsidRPr="00EB7AE9">
              <w:rPr>
                <w:rFonts w:cs="Arial"/>
                <w:color w:val="000000"/>
                <w:sz w:val="18"/>
                <w:szCs w:val="18"/>
              </w:rPr>
              <w:t xml:space="preserve"> Group </w:t>
            </w:r>
            <w:r w:rsidR="00214E39" w:rsidRPr="00EB7AE9">
              <w:rPr>
                <w:rFonts w:cs="Arial"/>
                <w:color w:val="000000"/>
                <w:sz w:val="18"/>
                <w:szCs w:val="18"/>
              </w:rPr>
              <w:t xml:space="preserve">Pty </w:t>
            </w:r>
            <w:r w:rsidRPr="00EB7AE9">
              <w:rPr>
                <w:rFonts w:cs="Arial"/>
                <w:color w:val="000000"/>
                <w:sz w:val="18"/>
                <w:szCs w:val="18"/>
              </w:rPr>
              <w:t>Limited</w:t>
            </w:r>
          </w:p>
        </w:tc>
        <w:tc>
          <w:tcPr>
            <w:tcW w:w="1718" w:type="dxa"/>
            <w:tcBorders>
              <w:top w:val="nil"/>
              <w:left w:val="nil"/>
              <w:bottom w:val="single" w:sz="4" w:space="0" w:color="auto"/>
              <w:right w:val="single" w:sz="4" w:space="0" w:color="auto"/>
            </w:tcBorders>
            <w:shd w:val="clear" w:color="auto" w:fill="auto"/>
            <w:noWrap/>
            <w:vAlign w:val="center"/>
            <w:hideMark/>
          </w:tcPr>
          <w:p w14:paraId="2C216C33"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$18,031,536</w:t>
            </w:r>
          </w:p>
        </w:tc>
        <w:tc>
          <w:tcPr>
            <w:tcW w:w="1329" w:type="dxa"/>
            <w:tcBorders>
              <w:top w:val="nil"/>
              <w:left w:val="nil"/>
              <w:bottom w:val="single" w:sz="4" w:space="0" w:color="auto"/>
              <w:right w:val="single" w:sz="4" w:space="0" w:color="auto"/>
            </w:tcBorders>
            <w:shd w:val="clear" w:color="auto" w:fill="auto"/>
            <w:noWrap/>
            <w:vAlign w:val="center"/>
            <w:hideMark/>
          </w:tcPr>
          <w:p w14:paraId="1940BDF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$19,434</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63C4739C"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94216F"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07D3592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$19,434</w:t>
            </w:r>
          </w:p>
        </w:tc>
      </w:tr>
      <w:tr w:rsidR="00693E17" w:rsidRPr="000B6563" w14:paraId="4B4417E8"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64362887"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5</w:t>
            </w:r>
          </w:p>
        </w:tc>
        <w:tc>
          <w:tcPr>
            <w:tcW w:w="3118" w:type="dxa"/>
            <w:tcBorders>
              <w:top w:val="nil"/>
              <w:left w:val="nil"/>
              <w:bottom w:val="single" w:sz="4" w:space="0" w:color="auto"/>
              <w:right w:val="single" w:sz="4" w:space="0" w:color="auto"/>
            </w:tcBorders>
            <w:shd w:val="clear" w:color="auto" w:fill="auto"/>
            <w:noWrap/>
            <w:vAlign w:val="center"/>
            <w:hideMark/>
          </w:tcPr>
          <w:p w14:paraId="0CBDBF21"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Caprock Communications (Australia) Pty Ltd</w:t>
            </w:r>
          </w:p>
        </w:tc>
        <w:tc>
          <w:tcPr>
            <w:tcW w:w="1718" w:type="dxa"/>
            <w:tcBorders>
              <w:top w:val="nil"/>
              <w:left w:val="nil"/>
              <w:bottom w:val="single" w:sz="4" w:space="0" w:color="auto"/>
              <w:right w:val="single" w:sz="4" w:space="0" w:color="auto"/>
            </w:tcBorders>
            <w:shd w:val="clear" w:color="auto" w:fill="auto"/>
            <w:noWrap/>
            <w:vAlign w:val="center"/>
            <w:hideMark/>
          </w:tcPr>
          <w:p w14:paraId="665A00A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$3,720,122</w:t>
            </w:r>
          </w:p>
        </w:tc>
        <w:tc>
          <w:tcPr>
            <w:tcW w:w="1329" w:type="dxa"/>
            <w:tcBorders>
              <w:top w:val="nil"/>
              <w:left w:val="nil"/>
              <w:bottom w:val="single" w:sz="4" w:space="0" w:color="auto"/>
              <w:right w:val="single" w:sz="4" w:space="0" w:color="auto"/>
            </w:tcBorders>
            <w:shd w:val="clear" w:color="auto" w:fill="auto"/>
            <w:noWrap/>
            <w:vAlign w:val="center"/>
            <w:hideMark/>
          </w:tcPr>
          <w:p w14:paraId="25D89C5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$4,010</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01F308AF"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A0C8D6"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2A459A7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$4,010</w:t>
            </w:r>
          </w:p>
        </w:tc>
      </w:tr>
      <w:tr w:rsidR="00693E17" w:rsidRPr="000B6563" w14:paraId="7043EC19"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0E55F41A"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6</w:t>
            </w:r>
          </w:p>
        </w:tc>
        <w:tc>
          <w:tcPr>
            <w:tcW w:w="3118" w:type="dxa"/>
            <w:tcBorders>
              <w:top w:val="nil"/>
              <w:left w:val="nil"/>
              <w:bottom w:val="single" w:sz="4" w:space="0" w:color="auto"/>
              <w:right w:val="single" w:sz="4" w:space="0" w:color="auto"/>
            </w:tcBorders>
            <w:shd w:val="clear" w:color="auto" w:fill="auto"/>
            <w:noWrap/>
            <w:vAlign w:val="center"/>
            <w:hideMark/>
          </w:tcPr>
          <w:p w14:paraId="1282549A" w14:textId="77777777" w:rsidR="00693E17" w:rsidRPr="00EB7AE9" w:rsidRDefault="00693E17" w:rsidP="007D6691">
            <w:pPr>
              <w:spacing w:after="0" w:line="240" w:lineRule="auto"/>
              <w:rPr>
                <w:rFonts w:cs="Arial"/>
                <w:sz w:val="18"/>
                <w:szCs w:val="18"/>
              </w:rPr>
            </w:pPr>
            <w:r w:rsidRPr="00EB7AE9">
              <w:rPr>
                <w:rFonts w:cs="Arial"/>
                <w:sz w:val="18"/>
                <w:szCs w:val="18"/>
              </w:rPr>
              <w:t>Chime Communications Pty Ltd</w:t>
            </w:r>
          </w:p>
        </w:tc>
        <w:tc>
          <w:tcPr>
            <w:tcW w:w="1718" w:type="dxa"/>
            <w:tcBorders>
              <w:top w:val="nil"/>
              <w:left w:val="nil"/>
              <w:bottom w:val="single" w:sz="4" w:space="0" w:color="auto"/>
              <w:right w:val="single" w:sz="4" w:space="0" w:color="auto"/>
            </w:tcBorders>
            <w:shd w:val="clear" w:color="auto" w:fill="auto"/>
            <w:noWrap/>
            <w:vAlign w:val="center"/>
            <w:hideMark/>
          </w:tcPr>
          <w:p w14:paraId="2CF4528A"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$460,971,006</w:t>
            </w:r>
          </w:p>
        </w:tc>
        <w:tc>
          <w:tcPr>
            <w:tcW w:w="1329" w:type="dxa"/>
            <w:tcBorders>
              <w:top w:val="nil"/>
              <w:left w:val="nil"/>
              <w:bottom w:val="single" w:sz="4" w:space="0" w:color="auto"/>
              <w:right w:val="single" w:sz="4" w:space="0" w:color="auto"/>
            </w:tcBorders>
            <w:shd w:val="clear" w:color="auto" w:fill="auto"/>
            <w:noWrap/>
            <w:vAlign w:val="center"/>
            <w:hideMark/>
          </w:tcPr>
          <w:p w14:paraId="340F539F"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$496,833</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4B07CC49"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316,416</w:t>
            </w: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34D7FA"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 $132,512</w:t>
            </w:r>
          </w:p>
        </w:tc>
        <w:tc>
          <w:tcPr>
            <w:tcW w:w="1328" w:type="dxa"/>
            <w:tcBorders>
              <w:top w:val="nil"/>
              <w:left w:val="nil"/>
              <w:bottom w:val="single" w:sz="4" w:space="0" w:color="auto"/>
              <w:right w:val="single" w:sz="4" w:space="0" w:color="auto"/>
            </w:tcBorders>
            <w:shd w:val="clear" w:color="auto" w:fill="auto"/>
            <w:noWrap/>
            <w:vAlign w:val="center"/>
            <w:hideMark/>
          </w:tcPr>
          <w:p w14:paraId="574E41EC" w14:textId="77777777" w:rsidR="00693E17" w:rsidRPr="00EB7AE9" w:rsidRDefault="00693E17" w:rsidP="00C13A58">
            <w:pPr>
              <w:spacing w:after="0" w:line="240" w:lineRule="auto"/>
              <w:rPr>
                <w:rFonts w:cs="Arial"/>
                <w:strike/>
                <w:color w:val="000000"/>
                <w:sz w:val="18"/>
                <w:szCs w:val="18"/>
              </w:rPr>
            </w:pPr>
            <w:r w:rsidRPr="00EB7AE9">
              <w:rPr>
                <w:rFonts w:cs="Arial"/>
                <w:color w:val="000000"/>
                <w:sz w:val="18"/>
                <w:szCs w:val="18"/>
              </w:rPr>
              <w:t>$629,345</w:t>
            </w:r>
          </w:p>
        </w:tc>
      </w:tr>
      <w:tr w:rsidR="00693E17" w:rsidRPr="000B6563" w14:paraId="22829C4D"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8C57476"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7</w:t>
            </w:r>
          </w:p>
        </w:tc>
        <w:tc>
          <w:tcPr>
            <w:tcW w:w="3118" w:type="dxa"/>
            <w:tcBorders>
              <w:top w:val="nil"/>
              <w:left w:val="nil"/>
              <w:bottom w:val="single" w:sz="4" w:space="0" w:color="auto"/>
              <w:right w:val="single" w:sz="4" w:space="0" w:color="auto"/>
            </w:tcBorders>
            <w:shd w:val="clear" w:color="auto" w:fill="auto"/>
            <w:noWrap/>
            <w:vAlign w:val="center"/>
            <w:hideMark/>
          </w:tcPr>
          <w:p w14:paraId="4A11DCF6"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Integrated Data Labs Pty Ltd</w:t>
            </w:r>
          </w:p>
        </w:tc>
        <w:tc>
          <w:tcPr>
            <w:tcW w:w="1718" w:type="dxa"/>
            <w:tcBorders>
              <w:top w:val="nil"/>
              <w:left w:val="nil"/>
              <w:bottom w:val="single" w:sz="4" w:space="0" w:color="auto"/>
              <w:right w:val="single" w:sz="4" w:space="0" w:color="auto"/>
            </w:tcBorders>
            <w:shd w:val="clear" w:color="auto" w:fill="auto"/>
            <w:noWrap/>
            <w:vAlign w:val="center"/>
            <w:hideMark/>
          </w:tcPr>
          <w:p w14:paraId="2A569A3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$657,288</w:t>
            </w:r>
          </w:p>
        </w:tc>
        <w:tc>
          <w:tcPr>
            <w:tcW w:w="1329" w:type="dxa"/>
            <w:tcBorders>
              <w:top w:val="nil"/>
              <w:left w:val="nil"/>
              <w:bottom w:val="single" w:sz="4" w:space="0" w:color="auto"/>
              <w:right w:val="single" w:sz="4" w:space="0" w:color="auto"/>
            </w:tcBorders>
            <w:shd w:val="clear" w:color="auto" w:fill="auto"/>
            <w:noWrap/>
            <w:vAlign w:val="center"/>
            <w:hideMark/>
          </w:tcPr>
          <w:p w14:paraId="57670972"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$708</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26E22F9C"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493B4E"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6A74EBB0"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$708</w:t>
            </w:r>
          </w:p>
        </w:tc>
      </w:tr>
      <w:tr w:rsidR="00693E17" w:rsidRPr="000B6563" w14:paraId="08F2C972"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07B2F5E4"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8</w:t>
            </w:r>
          </w:p>
        </w:tc>
        <w:tc>
          <w:tcPr>
            <w:tcW w:w="3118" w:type="dxa"/>
            <w:tcBorders>
              <w:top w:val="nil"/>
              <w:left w:val="nil"/>
              <w:bottom w:val="single" w:sz="4" w:space="0" w:color="auto"/>
              <w:right w:val="single" w:sz="4" w:space="0" w:color="auto"/>
            </w:tcBorders>
            <w:shd w:val="clear" w:color="auto" w:fill="auto"/>
            <w:noWrap/>
            <w:vAlign w:val="center"/>
            <w:hideMark/>
          </w:tcPr>
          <w:p w14:paraId="778FDCFA"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Intelligent IP Communications Pty Ltd</w:t>
            </w:r>
          </w:p>
        </w:tc>
        <w:tc>
          <w:tcPr>
            <w:tcW w:w="1718" w:type="dxa"/>
            <w:tcBorders>
              <w:top w:val="nil"/>
              <w:left w:val="nil"/>
              <w:bottom w:val="single" w:sz="4" w:space="0" w:color="auto"/>
              <w:right w:val="single" w:sz="4" w:space="0" w:color="auto"/>
            </w:tcBorders>
            <w:shd w:val="clear" w:color="auto" w:fill="auto"/>
            <w:noWrap/>
            <w:vAlign w:val="center"/>
            <w:hideMark/>
          </w:tcPr>
          <w:p w14:paraId="651D6904"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$4,506,737</w:t>
            </w:r>
          </w:p>
        </w:tc>
        <w:tc>
          <w:tcPr>
            <w:tcW w:w="1329" w:type="dxa"/>
            <w:tcBorders>
              <w:top w:val="nil"/>
              <w:left w:val="nil"/>
              <w:bottom w:val="single" w:sz="4" w:space="0" w:color="auto"/>
              <w:right w:val="single" w:sz="4" w:space="0" w:color="auto"/>
            </w:tcBorders>
            <w:shd w:val="clear" w:color="auto" w:fill="auto"/>
            <w:noWrap/>
            <w:vAlign w:val="center"/>
            <w:hideMark/>
          </w:tcPr>
          <w:p w14:paraId="3452A495"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$4,857</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6180B1B5"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2E54D5"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09792E53"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$4,857</w:t>
            </w:r>
          </w:p>
        </w:tc>
      </w:tr>
      <w:tr w:rsidR="00693E17" w:rsidRPr="000B6563" w14:paraId="0FFC965A"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6526E318"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9</w:t>
            </w:r>
          </w:p>
        </w:tc>
        <w:tc>
          <w:tcPr>
            <w:tcW w:w="3118" w:type="dxa"/>
            <w:tcBorders>
              <w:top w:val="nil"/>
              <w:left w:val="nil"/>
              <w:bottom w:val="single" w:sz="4" w:space="0" w:color="auto"/>
              <w:right w:val="single" w:sz="4" w:space="0" w:color="auto"/>
            </w:tcBorders>
            <w:shd w:val="clear" w:color="auto" w:fill="auto"/>
            <w:noWrap/>
            <w:vAlign w:val="center"/>
            <w:hideMark/>
          </w:tcPr>
          <w:p w14:paraId="1FE2F0E7" w14:textId="19034CB2"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Macquarie Telecom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604097F2"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$73,527,484</w:t>
            </w:r>
          </w:p>
        </w:tc>
        <w:tc>
          <w:tcPr>
            <w:tcW w:w="1329" w:type="dxa"/>
            <w:tcBorders>
              <w:top w:val="nil"/>
              <w:left w:val="nil"/>
              <w:bottom w:val="single" w:sz="4" w:space="0" w:color="auto"/>
              <w:right w:val="single" w:sz="4" w:space="0" w:color="auto"/>
            </w:tcBorders>
            <w:shd w:val="clear" w:color="auto" w:fill="auto"/>
            <w:noWrap/>
            <w:vAlign w:val="center"/>
            <w:hideMark/>
          </w:tcPr>
          <w:p w14:paraId="29120A70"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$79,248</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34273744"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7FF79B"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4B4ACF39"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$79,248</w:t>
            </w:r>
          </w:p>
        </w:tc>
      </w:tr>
      <w:tr w:rsidR="00693E17" w:rsidRPr="000B6563" w14:paraId="39A1D6B5"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6820A999"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10</w:t>
            </w:r>
          </w:p>
        </w:tc>
        <w:tc>
          <w:tcPr>
            <w:tcW w:w="3118" w:type="dxa"/>
            <w:tcBorders>
              <w:top w:val="nil"/>
              <w:left w:val="nil"/>
              <w:bottom w:val="single" w:sz="4" w:space="0" w:color="auto"/>
              <w:right w:val="single" w:sz="4" w:space="0" w:color="auto"/>
            </w:tcBorders>
            <w:shd w:val="clear" w:color="auto" w:fill="auto"/>
            <w:noWrap/>
            <w:vAlign w:val="center"/>
            <w:hideMark/>
          </w:tcPr>
          <w:p w14:paraId="4817478C" w14:textId="77777777"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nbn</w:t>
            </w:r>
            <w:proofErr w:type="spellEnd"/>
            <w:r w:rsidRPr="00EB7AE9">
              <w:rPr>
                <w:rFonts w:cs="Arial"/>
                <w:color w:val="000000"/>
                <w:sz w:val="18"/>
                <w:szCs w:val="18"/>
              </w:rPr>
              <w:t xml:space="preserve"> co Limited</w:t>
            </w:r>
          </w:p>
        </w:tc>
        <w:tc>
          <w:tcPr>
            <w:tcW w:w="1718" w:type="dxa"/>
            <w:tcBorders>
              <w:top w:val="nil"/>
              <w:left w:val="nil"/>
              <w:bottom w:val="single" w:sz="4" w:space="0" w:color="auto"/>
              <w:right w:val="single" w:sz="4" w:space="0" w:color="auto"/>
            </w:tcBorders>
            <w:shd w:val="clear" w:color="auto" w:fill="auto"/>
            <w:noWrap/>
            <w:vAlign w:val="center"/>
            <w:hideMark/>
          </w:tcPr>
          <w:p w14:paraId="40208E1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$1,167,918,916</w:t>
            </w:r>
          </w:p>
        </w:tc>
        <w:tc>
          <w:tcPr>
            <w:tcW w:w="1329" w:type="dxa"/>
            <w:tcBorders>
              <w:top w:val="nil"/>
              <w:left w:val="nil"/>
              <w:bottom w:val="single" w:sz="4" w:space="0" w:color="auto"/>
              <w:right w:val="single" w:sz="4" w:space="0" w:color="auto"/>
            </w:tcBorders>
            <w:shd w:val="clear" w:color="auto" w:fill="auto"/>
            <w:noWrap/>
            <w:vAlign w:val="center"/>
            <w:hideMark/>
          </w:tcPr>
          <w:p w14:paraId="3BF7E61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$1,258,778</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3042E31D"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0F9273"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1D72011F"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$1,258,778</w:t>
            </w:r>
          </w:p>
        </w:tc>
      </w:tr>
      <w:tr w:rsidR="00693E17" w:rsidRPr="000B6563" w14:paraId="6C0532FB"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0B6AC6F"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11</w:t>
            </w:r>
          </w:p>
        </w:tc>
        <w:tc>
          <w:tcPr>
            <w:tcW w:w="3118" w:type="dxa"/>
            <w:tcBorders>
              <w:top w:val="nil"/>
              <w:left w:val="nil"/>
              <w:bottom w:val="single" w:sz="4" w:space="0" w:color="auto"/>
              <w:right w:val="single" w:sz="4" w:space="0" w:color="auto"/>
            </w:tcBorders>
            <w:shd w:val="clear" w:color="auto" w:fill="auto"/>
            <w:noWrap/>
            <w:vAlign w:val="center"/>
            <w:hideMark/>
          </w:tcPr>
          <w:p w14:paraId="4B01C729"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New Skies Satellites Australia Pty Ltd</w:t>
            </w:r>
          </w:p>
        </w:tc>
        <w:tc>
          <w:tcPr>
            <w:tcW w:w="1718" w:type="dxa"/>
            <w:tcBorders>
              <w:top w:val="nil"/>
              <w:left w:val="nil"/>
              <w:bottom w:val="single" w:sz="4" w:space="0" w:color="auto"/>
              <w:right w:val="single" w:sz="4" w:space="0" w:color="auto"/>
            </w:tcBorders>
            <w:shd w:val="clear" w:color="auto" w:fill="auto"/>
            <w:noWrap/>
            <w:vAlign w:val="center"/>
            <w:hideMark/>
          </w:tcPr>
          <w:p w14:paraId="1E424983"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$16,592,420</w:t>
            </w:r>
          </w:p>
        </w:tc>
        <w:tc>
          <w:tcPr>
            <w:tcW w:w="1329" w:type="dxa"/>
            <w:tcBorders>
              <w:top w:val="nil"/>
              <w:left w:val="nil"/>
              <w:bottom w:val="single" w:sz="4" w:space="0" w:color="auto"/>
              <w:right w:val="single" w:sz="4" w:space="0" w:color="auto"/>
            </w:tcBorders>
            <w:shd w:val="clear" w:color="auto" w:fill="auto"/>
            <w:noWrap/>
            <w:vAlign w:val="center"/>
            <w:hideMark/>
          </w:tcPr>
          <w:p w14:paraId="700AE35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$17,883</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6CC0FFCF"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229BD0"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21C05EE5"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$17,883</w:t>
            </w:r>
          </w:p>
        </w:tc>
      </w:tr>
      <w:tr w:rsidR="00693E17" w:rsidRPr="000B6563" w14:paraId="4F1D258D"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E81C571"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12</w:t>
            </w:r>
          </w:p>
        </w:tc>
        <w:tc>
          <w:tcPr>
            <w:tcW w:w="3118" w:type="dxa"/>
            <w:tcBorders>
              <w:top w:val="nil"/>
              <w:left w:val="nil"/>
              <w:bottom w:val="single" w:sz="4" w:space="0" w:color="auto"/>
              <w:right w:val="single" w:sz="4" w:space="0" w:color="auto"/>
            </w:tcBorders>
            <w:shd w:val="clear" w:color="auto" w:fill="auto"/>
            <w:noWrap/>
            <w:vAlign w:val="center"/>
            <w:hideMark/>
          </w:tcPr>
          <w:p w14:paraId="73803612" w14:textId="6CF526E0"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Nextgen Networks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18A74F52"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$130,307,636</w:t>
            </w:r>
          </w:p>
        </w:tc>
        <w:tc>
          <w:tcPr>
            <w:tcW w:w="1329" w:type="dxa"/>
            <w:tcBorders>
              <w:top w:val="nil"/>
              <w:left w:val="nil"/>
              <w:bottom w:val="single" w:sz="4" w:space="0" w:color="auto"/>
              <w:right w:val="single" w:sz="4" w:space="0" w:color="auto"/>
            </w:tcBorders>
            <w:shd w:val="clear" w:color="auto" w:fill="auto"/>
            <w:noWrap/>
            <w:vAlign w:val="center"/>
            <w:hideMark/>
          </w:tcPr>
          <w:p w14:paraId="659ABD2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$140,445</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7C575C21"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764B75"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5B39AFE1"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$140,445</w:t>
            </w:r>
          </w:p>
        </w:tc>
      </w:tr>
      <w:tr w:rsidR="00693E17" w:rsidRPr="000B6563" w14:paraId="266750E0"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2C3671C2"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13</w:t>
            </w:r>
          </w:p>
        </w:tc>
        <w:tc>
          <w:tcPr>
            <w:tcW w:w="3118" w:type="dxa"/>
            <w:tcBorders>
              <w:top w:val="nil"/>
              <w:left w:val="nil"/>
              <w:bottom w:val="single" w:sz="4" w:space="0" w:color="auto"/>
              <w:right w:val="single" w:sz="4" w:space="0" w:color="auto"/>
            </w:tcBorders>
            <w:shd w:val="clear" w:color="auto" w:fill="auto"/>
            <w:noWrap/>
            <w:vAlign w:val="center"/>
            <w:hideMark/>
          </w:tcPr>
          <w:p w14:paraId="3FB6E9A8" w14:textId="77777777"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NuSkope</w:t>
            </w:r>
            <w:proofErr w:type="spellEnd"/>
            <w:r w:rsidRPr="00EB7AE9">
              <w:rPr>
                <w:rFonts w:cs="Arial"/>
                <w:color w:val="000000"/>
                <w:sz w:val="18"/>
                <w:szCs w:val="18"/>
              </w:rPr>
              <w:t xml:space="preserve"> Pty Ltd </w:t>
            </w:r>
          </w:p>
        </w:tc>
        <w:tc>
          <w:tcPr>
            <w:tcW w:w="1718" w:type="dxa"/>
            <w:tcBorders>
              <w:top w:val="nil"/>
              <w:left w:val="nil"/>
              <w:bottom w:val="single" w:sz="4" w:space="0" w:color="auto"/>
              <w:right w:val="single" w:sz="4" w:space="0" w:color="auto"/>
            </w:tcBorders>
            <w:shd w:val="clear" w:color="auto" w:fill="auto"/>
            <w:noWrap/>
            <w:vAlign w:val="center"/>
            <w:hideMark/>
          </w:tcPr>
          <w:p w14:paraId="672EA520"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$6,047,292</w:t>
            </w:r>
          </w:p>
        </w:tc>
        <w:tc>
          <w:tcPr>
            <w:tcW w:w="1329" w:type="dxa"/>
            <w:tcBorders>
              <w:top w:val="nil"/>
              <w:left w:val="nil"/>
              <w:bottom w:val="single" w:sz="4" w:space="0" w:color="auto"/>
              <w:right w:val="single" w:sz="4" w:space="0" w:color="auto"/>
            </w:tcBorders>
            <w:shd w:val="clear" w:color="auto" w:fill="auto"/>
            <w:noWrap/>
            <w:vAlign w:val="center"/>
            <w:hideMark/>
          </w:tcPr>
          <w:p w14:paraId="0381A754"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$6,518</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1FFCE7CE"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559CB5"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2369A18D"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$6,518</w:t>
            </w:r>
          </w:p>
        </w:tc>
      </w:tr>
      <w:tr w:rsidR="00693E17" w:rsidRPr="000B6563" w14:paraId="50D22597"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6496731F"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14</w:t>
            </w:r>
          </w:p>
        </w:tc>
        <w:tc>
          <w:tcPr>
            <w:tcW w:w="3118" w:type="dxa"/>
            <w:tcBorders>
              <w:top w:val="nil"/>
              <w:left w:val="nil"/>
              <w:bottom w:val="single" w:sz="4" w:space="0" w:color="auto"/>
              <w:right w:val="single" w:sz="4" w:space="0" w:color="auto"/>
            </w:tcBorders>
            <w:shd w:val="clear" w:color="auto" w:fill="auto"/>
            <w:noWrap/>
            <w:vAlign w:val="center"/>
            <w:hideMark/>
          </w:tcPr>
          <w:p w14:paraId="7ACB4C9E"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O3B Teleport Services (Australia) Pty Ltd</w:t>
            </w:r>
          </w:p>
        </w:tc>
        <w:tc>
          <w:tcPr>
            <w:tcW w:w="1718" w:type="dxa"/>
            <w:tcBorders>
              <w:top w:val="nil"/>
              <w:left w:val="nil"/>
              <w:bottom w:val="single" w:sz="4" w:space="0" w:color="auto"/>
              <w:right w:val="single" w:sz="4" w:space="0" w:color="auto"/>
            </w:tcBorders>
            <w:shd w:val="clear" w:color="auto" w:fill="auto"/>
            <w:noWrap/>
            <w:vAlign w:val="center"/>
            <w:hideMark/>
          </w:tcPr>
          <w:p w14:paraId="644739DD"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$37,054,101</w:t>
            </w:r>
          </w:p>
        </w:tc>
        <w:tc>
          <w:tcPr>
            <w:tcW w:w="1329" w:type="dxa"/>
            <w:tcBorders>
              <w:top w:val="nil"/>
              <w:left w:val="nil"/>
              <w:bottom w:val="single" w:sz="4" w:space="0" w:color="auto"/>
              <w:right w:val="single" w:sz="4" w:space="0" w:color="auto"/>
            </w:tcBorders>
            <w:shd w:val="clear" w:color="auto" w:fill="auto"/>
            <w:noWrap/>
            <w:vAlign w:val="center"/>
            <w:hideMark/>
          </w:tcPr>
          <w:p w14:paraId="1B83C5DA"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$39,937</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294A0B9F"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AC9AEC"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30C00024"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$39,937</w:t>
            </w:r>
          </w:p>
        </w:tc>
      </w:tr>
      <w:tr w:rsidR="00693E17" w:rsidRPr="000B6563" w14:paraId="5EAAC529"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28F8FAC2"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15</w:t>
            </w:r>
          </w:p>
        </w:tc>
        <w:tc>
          <w:tcPr>
            <w:tcW w:w="3118" w:type="dxa"/>
            <w:tcBorders>
              <w:top w:val="nil"/>
              <w:left w:val="nil"/>
              <w:bottom w:val="single" w:sz="4" w:space="0" w:color="auto"/>
              <w:right w:val="single" w:sz="4" w:space="0" w:color="auto"/>
            </w:tcBorders>
            <w:shd w:val="clear" w:color="auto" w:fill="auto"/>
            <w:noWrap/>
            <w:vAlign w:val="center"/>
            <w:hideMark/>
          </w:tcPr>
          <w:p w14:paraId="72B8A357" w14:textId="124EA50C"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Optus Fixed Infrastructure Pty L</w:t>
            </w:r>
            <w:r w:rsidR="00214E39" w:rsidRPr="00EB7AE9">
              <w:rPr>
                <w:rFonts w:cs="Arial"/>
                <w:color w:val="000000"/>
                <w:sz w:val="18"/>
                <w:szCs w:val="18"/>
              </w:rPr>
              <w:t>imited</w:t>
            </w:r>
            <w:r w:rsidRPr="00EB7AE9">
              <w:rPr>
                <w:rFonts w:cs="Arial"/>
                <w:color w:val="000000"/>
                <w:sz w:val="18"/>
                <w:szCs w:val="18"/>
              </w:rPr>
              <w:t xml:space="preserve"> (formerly </w:t>
            </w:r>
            <w:proofErr w:type="spellStart"/>
            <w:r w:rsidRPr="00EB7AE9">
              <w:rPr>
                <w:rFonts w:cs="Arial"/>
                <w:color w:val="000000"/>
                <w:sz w:val="18"/>
                <w:szCs w:val="18"/>
              </w:rPr>
              <w:t>XYZed</w:t>
            </w:r>
            <w:proofErr w:type="spellEnd"/>
            <w:r w:rsidRPr="00EB7AE9">
              <w:rPr>
                <w:rFonts w:cs="Arial"/>
                <w:color w:val="000000"/>
                <w:sz w:val="18"/>
                <w:szCs w:val="18"/>
              </w:rPr>
              <w:t xml:space="preserve"> Pty Ltd)</w:t>
            </w:r>
          </w:p>
        </w:tc>
        <w:tc>
          <w:tcPr>
            <w:tcW w:w="1718" w:type="dxa"/>
            <w:tcBorders>
              <w:top w:val="nil"/>
              <w:left w:val="nil"/>
              <w:bottom w:val="single" w:sz="4" w:space="0" w:color="auto"/>
              <w:right w:val="single" w:sz="4" w:space="0" w:color="auto"/>
            </w:tcBorders>
            <w:shd w:val="clear" w:color="auto" w:fill="auto"/>
            <w:noWrap/>
            <w:vAlign w:val="center"/>
            <w:hideMark/>
          </w:tcPr>
          <w:p w14:paraId="305F29A8"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$21,034,886</w:t>
            </w:r>
          </w:p>
        </w:tc>
        <w:tc>
          <w:tcPr>
            <w:tcW w:w="1329" w:type="dxa"/>
            <w:tcBorders>
              <w:top w:val="nil"/>
              <w:left w:val="nil"/>
              <w:bottom w:val="single" w:sz="4" w:space="0" w:color="auto"/>
              <w:right w:val="single" w:sz="4" w:space="0" w:color="auto"/>
            </w:tcBorders>
            <w:shd w:val="clear" w:color="auto" w:fill="auto"/>
            <w:noWrap/>
            <w:vAlign w:val="center"/>
            <w:hideMark/>
          </w:tcPr>
          <w:p w14:paraId="4DCDDEF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$22,671</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6DF031ED"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B83CC5"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61002C2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$22,671</w:t>
            </w:r>
          </w:p>
        </w:tc>
      </w:tr>
      <w:tr w:rsidR="00693E17" w:rsidRPr="000B6563" w14:paraId="1F074337"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585A8C70"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16</w:t>
            </w:r>
          </w:p>
        </w:tc>
        <w:tc>
          <w:tcPr>
            <w:tcW w:w="3118" w:type="dxa"/>
            <w:tcBorders>
              <w:top w:val="nil"/>
              <w:left w:val="nil"/>
              <w:bottom w:val="single" w:sz="4" w:space="0" w:color="auto"/>
              <w:right w:val="single" w:sz="4" w:space="0" w:color="auto"/>
            </w:tcBorders>
            <w:shd w:val="clear" w:color="auto" w:fill="auto"/>
            <w:noWrap/>
            <w:vAlign w:val="center"/>
            <w:hideMark/>
          </w:tcPr>
          <w:p w14:paraId="24CA76A9" w14:textId="604D9068"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Optus Mobile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0637004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$4,336,262,691</w:t>
            </w:r>
          </w:p>
        </w:tc>
        <w:tc>
          <w:tcPr>
            <w:tcW w:w="1329" w:type="dxa"/>
            <w:tcBorders>
              <w:top w:val="nil"/>
              <w:left w:val="nil"/>
              <w:bottom w:val="single" w:sz="4" w:space="0" w:color="auto"/>
              <w:right w:val="single" w:sz="4" w:space="0" w:color="auto"/>
            </w:tcBorders>
            <w:shd w:val="clear" w:color="auto" w:fill="auto"/>
            <w:noWrap/>
            <w:vAlign w:val="center"/>
            <w:hideMark/>
          </w:tcPr>
          <w:p w14:paraId="0713215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$4,673,606</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03F346F3"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535,525</w:t>
            </w: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F5962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$224,273</w:t>
            </w:r>
          </w:p>
        </w:tc>
        <w:tc>
          <w:tcPr>
            <w:tcW w:w="1328" w:type="dxa"/>
            <w:tcBorders>
              <w:top w:val="nil"/>
              <w:left w:val="nil"/>
              <w:bottom w:val="single" w:sz="4" w:space="0" w:color="auto"/>
              <w:right w:val="single" w:sz="4" w:space="0" w:color="auto"/>
            </w:tcBorders>
            <w:shd w:val="clear" w:color="auto" w:fill="auto"/>
            <w:noWrap/>
            <w:vAlign w:val="center"/>
            <w:hideMark/>
          </w:tcPr>
          <w:p w14:paraId="368ECACF"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$4,897,879</w:t>
            </w:r>
          </w:p>
        </w:tc>
      </w:tr>
      <w:tr w:rsidR="00693E17" w:rsidRPr="000B6563" w14:paraId="3647A9AA"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4AA4A8D"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17</w:t>
            </w:r>
          </w:p>
        </w:tc>
        <w:tc>
          <w:tcPr>
            <w:tcW w:w="3118" w:type="dxa"/>
            <w:tcBorders>
              <w:top w:val="nil"/>
              <w:left w:val="nil"/>
              <w:bottom w:val="single" w:sz="4" w:space="0" w:color="auto"/>
              <w:right w:val="single" w:sz="4" w:space="0" w:color="auto"/>
            </w:tcBorders>
            <w:shd w:val="clear" w:color="auto" w:fill="auto"/>
            <w:noWrap/>
            <w:vAlign w:val="center"/>
            <w:hideMark/>
          </w:tcPr>
          <w:p w14:paraId="43FAFE8E" w14:textId="47541F33"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Optus Networks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0F0466D4"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$1,027,310,147</w:t>
            </w:r>
          </w:p>
        </w:tc>
        <w:tc>
          <w:tcPr>
            <w:tcW w:w="1329" w:type="dxa"/>
            <w:tcBorders>
              <w:top w:val="nil"/>
              <w:left w:val="nil"/>
              <w:bottom w:val="single" w:sz="4" w:space="0" w:color="auto"/>
              <w:right w:val="single" w:sz="4" w:space="0" w:color="auto"/>
            </w:tcBorders>
            <w:shd w:val="clear" w:color="auto" w:fill="auto"/>
            <w:noWrap/>
            <w:vAlign w:val="center"/>
            <w:hideMark/>
          </w:tcPr>
          <w:p w14:paraId="36E9934E"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$1,107,231</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39C4EB55"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84E71B"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4FA2DEB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$1,107,231</w:t>
            </w:r>
          </w:p>
        </w:tc>
      </w:tr>
      <w:tr w:rsidR="00693E17" w:rsidRPr="000B6563" w14:paraId="02258F84"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644B0A7"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18</w:t>
            </w:r>
          </w:p>
        </w:tc>
        <w:tc>
          <w:tcPr>
            <w:tcW w:w="3118" w:type="dxa"/>
            <w:tcBorders>
              <w:top w:val="nil"/>
              <w:left w:val="nil"/>
              <w:bottom w:val="single" w:sz="4" w:space="0" w:color="auto"/>
              <w:right w:val="single" w:sz="4" w:space="0" w:color="auto"/>
            </w:tcBorders>
            <w:shd w:val="clear" w:color="auto" w:fill="auto"/>
            <w:noWrap/>
            <w:vAlign w:val="center"/>
            <w:hideMark/>
          </w:tcPr>
          <w:p w14:paraId="4439E4F6" w14:textId="47F79930"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Optus Satellite Network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7C11999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$166,785,565</w:t>
            </w:r>
          </w:p>
        </w:tc>
        <w:tc>
          <w:tcPr>
            <w:tcW w:w="1329" w:type="dxa"/>
            <w:tcBorders>
              <w:top w:val="nil"/>
              <w:left w:val="nil"/>
              <w:bottom w:val="single" w:sz="4" w:space="0" w:color="auto"/>
              <w:right w:val="single" w:sz="4" w:space="0" w:color="auto"/>
            </w:tcBorders>
            <w:shd w:val="clear" w:color="auto" w:fill="auto"/>
            <w:noWrap/>
            <w:vAlign w:val="center"/>
            <w:hideMark/>
          </w:tcPr>
          <w:p w14:paraId="4A3E2918"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$179,761</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4DBB65A5"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37424F"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47F7A298"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$179,761</w:t>
            </w:r>
          </w:p>
        </w:tc>
      </w:tr>
      <w:tr w:rsidR="00693E17" w:rsidRPr="000B6563" w14:paraId="16C25EED"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5FF7CD0"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19</w:t>
            </w:r>
          </w:p>
        </w:tc>
        <w:tc>
          <w:tcPr>
            <w:tcW w:w="3118" w:type="dxa"/>
            <w:tcBorders>
              <w:top w:val="nil"/>
              <w:left w:val="nil"/>
              <w:bottom w:val="single" w:sz="4" w:space="0" w:color="auto"/>
              <w:right w:val="single" w:sz="4" w:space="0" w:color="auto"/>
            </w:tcBorders>
            <w:shd w:val="clear" w:color="auto" w:fill="auto"/>
            <w:noWrap/>
            <w:vAlign w:val="center"/>
            <w:hideMark/>
          </w:tcPr>
          <w:p w14:paraId="65642ACD" w14:textId="3D755EC3"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Pivotel</w:t>
            </w:r>
            <w:proofErr w:type="spellEnd"/>
            <w:r w:rsidRPr="00EB7AE9">
              <w:rPr>
                <w:rFonts w:cs="Arial"/>
                <w:color w:val="000000"/>
                <w:sz w:val="18"/>
                <w:szCs w:val="18"/>
              </w:rPr>
              <w:t xml:space="preserve"> Group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4ECAF953"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$28,894,512</w:t>
            </w:r>
          </w:p>
        </w:tc>
        <w:tc>
          <w:tcPr>
            <w:tcW w:w="1329" w:type="dxa"/>
            <w:tcBorders>
              <w:top w:val="nil"/>
              <w:left w:val="nil"/>
              <w:bottom w:val="single" w:sz="4" w:space="0" w:color="auto"/>
              <w:right w:val="single" w:sz="4" w:space="0" w:color="auto"/>
            </w:tcBorders>
            <w:shd w:val="clear" w:color="auto" w:fill="auto"/>
            <w:noWrap/>
            <w:vAlign w:val="center"/>
            <w:hideMark/>
          </w:tcPr>
          <w:p w14:paraId="5BCBD2D9"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$31,142</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3564A5AD"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34A554"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0BB76C4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$31,142</w:t>
            </w:r>
          </w:p>
        </w:tc>
      </w:tr>
      <w:tr w:rsidR="00693E17" w:rsidRPr="000B6563" w14:paraId="4A576977"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39C0703B"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20</w:t>
            </w:r>
          </w:p>
        </w:tc>
        <w:tc>
          <w:tcPr>
            <w:tcW w:w="3118" w:type="dxa"/>
            <w:tcBorders>
              <w:top w:val="nil"/>
              <w:left w:val="nil"/>
              <w:bottom w:val="single" w:sz="4" w:space="0" w:color="auto"/>
              <w:right w:val="single" w:sz="4" w:space="0" w:color="auto"/>
            </w:tcBorders>
            <w:shd w:val="clear" w:color="auto" w:fill="auto"/>
            <w:noWrap/>
            <w:vAlign w:val="center"/>
            <w:hideMark/>
          </w:tcPr>
          <w:p w14:paraId="269E61E0" w14:textId="78FE564A"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Primus Telecommunications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251D8B12"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$229,552,318</w:t>
            </w:r>
          </w:p>
        </w:tc>
        <w:tc>
          <w:tcPr>
            <w:tcW w:w="1329" w:type="dxa"/>
            <w:tcBorders>
              <w:top w:val="nil"/>
              <w:left w:val="nil"/>
              <w:bottom w:val="single" w:sz="4" w:space="0" w:color="auto"/>
              <w:right w:val="single" w:sz="4" w:space="0" w:color="auto"/>
            </w:tcBorders>
            <w:shd w:val="clear" w:color="auto" w:fill="auto"/>
            <w:noWrap/>
            <w:vAlign w:val="center"/>
            <w:hideMark/>
          </w:tcPr>
          <w:p w14:paraId="796CE9F5"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$247,411</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62585396"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8B9DCC"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14318210"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$247,411</w:t>
            </w:r>
          </w:p>
        </w:tc>
      </w:tr>
      <w:tr w:rsidR="00693E17" w:rsidRPr="000B6563" w14:paraId="76B25A23"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tcPr>
          <w:p w14:paraId="1675E947"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21</w:t>
            </w:r>
          </w:p>
        </w:tc>
        <w:tc>
          <w:tcPr>
            <w:tcW w:w="3118" w:type="dxa"/>
            <w:tcBorders>
              <w:top w:val="nil"/>
              <w:left w:val="nil"/>
              <w:bottom w:val="single" w:sz="4" w:space="0" w:color="auto"/>
              <w:right w:val="single" w:sz="4" w:space="0" w:color="auto"/>
            </w:tcBorders>
            <w:shd w:val="clear" w:color="auto" w:fill="auto"/>
            <w:noWrap/>
            <w:vAlign w:val="center"/>
          </w:tcPr>
          <w:p w14:paraId="4483039D" w14:textId="46F97874" w:rsidR="00693E17" w:rsidRPr="00EB7AE9" w:rsidRDefault="00693E17" w:rsidP="007D6691">
            <w:pPr>
              <w:spacing w:after="0" w:line="240" w:lineRule="auto"/>
              <w:rPr>
                <w:rFonts w:cs="Arial"/>
                <w:color w:val="000000"/>
                <w:sz w:val="18"/>
                <w:szCs w:val="18"/>
              </w:rPr>
            </w:pPr>
            <w:r w:rsidRPr="00EB7AE9">
              <w:rPr>
                <w:rFonts w:cs="Arial"/>
                <w:sz w:val="18"/>
                <w:szCs w:val="18"/>
              </w:rPr>
              <w:t>Soul Pattinson Telecommunications Pty L</w:t>
            </w:r>
            <w:r w:rsidR="00214E39" w:rsidRPr="00EB7AE9">
              <w:rPr>
                <w:rFonts w:cs="Arial"/>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tcPr>
          <w:p w14:paraId="712E6810"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$787,800,578</w:t>
            </w:r>
          </w:p>
        </w:tc>
        <w:tc>
          <w:tcPr>
            <w:tcW w:w="1329" w:type="dxa"/>
            <w:tcBorders>
              <w:top w:val="nil"/>
              <w:left w:val="nil"/>
              <w:bottom w:val="single" w:sz="4" w:space="0" w:color="auto"/>
              <w:right w:val="single" w:sz="4" w:space="0" w:color="auto"/>
            </w:tcBorders>
            <w:shd w:val="clear" w:color="auto" w:fill="auto"/>
            <w:noWrap/>
            <w:vAlign w:val="center"/>
          </w:tcPr>
          <w:p w14:paraId="1C5B1956"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$849,088</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6DE7C4E4"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540,755</w:t>
            </w: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F79580F"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 $226,463</w:t>
            </w:r>
          </w:p>
        </w:tc>
        <w:tc>
          <w:tcPr>
            <w:tcW w:w="1328" w:type="dxa"/>
            <w:tcBorders>
              <w:top w:val="nil"/>
              <w:left w:val="nil"/>
              <w:bottom w:val="single" w:sz="4" w:space="0" w:color="auto"/>
              <w:right w:val="single" w:sz="4" w:space="0" w:color="auto"/>
            </w:tcBorders>
            <w:shd w:val="clear" w:color="auto" w:fill="auto"/>
            <w:noWrap/>
            <w:vAlign w:val="center"/>
          </w:tcPr>
          <w:p w14:paraId="1D3433C2"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$1,075,551</w:t>
            </w:r>
          </w:p>
        </w:tc>
      </w:tr>
      <w:tr w:rsidR="00693E17" w:rsidRPr="000B6563" w14:paraId="07F6869C"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3338E78D"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22</w:t>
            </w:r>
          </w:p>
        </w:tc>
        <w:tc>
          <w:tcPr>
            <w:tcW w:w="3118" w:type="dxa"/>
            <w:tcBorders>
              <w:top w:val="nil"/>
              <w:left w:val="nil"/>
              <w:bottom w:val="single" w:sz="4" w:space="0" w:color="auto"/>
              <w:right w:val="single" w:sz="4" w:space="0" w:color="auto"/>
            </w:tcBorders>
            <w:shd w:val="clear" w:color="auto" w:fill="auto"/>
            <w:noWrap/>
            <w:vAlign w:val="center"/>
            <w:hideMark/>
          </w:tcPr>
          <w:p w14:paraId="2917E95C" w14:textId="4F28485A"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Speedcast</w:t>
            </w:r>
            <w:proofErr w:type="spellEnd"/>
            <w:r w:rsidRPr="00EB7AE9">
              <w:rPr>
                <w:rFonts w:cs="Arial"/>
                <w:color w:val="000000"/>
                <w:sz w:val="18"/>
                <w:szCs w:val="18"/>
              </w:rPr>
              <w:t xml:space="preserve"> Australia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15603FC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$24,350,579</w:t>
            </w:r>
          </w:p>
        </w:tc>
        <w:tc>
          <w:tcPr>
            <w:tcW w:w="1329" w:type="dxa"/>
            <w:tcBorders>
              <w:top w:val="nil"/>
              <w:left w:val="nil"/>
              <w:bottom w:val="single" w:sz="4" w:space="0" w:color="auto"/>
              <w:right w:val="single" w:sz="4" w:space="0" w:color="auto"/>
            </w:tcBorders>
            <w:shd w:val="clear" w:color="auto" w:fill="auto"/>
            <w:noWrap/>
            <w:vAlign w:val="center"/>
            <w:hideMark/>
          </w:tcPr>
          <w:p w14:paraId="287C32A1"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$26,245</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3FAF02D6"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0C95FF"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55E331B3"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$26,245</w:t>
            </w:r>
          </w:p>
        </w:tc>
      </w:tr>
      <w:tr w:rsidR="00693E17" w:rsidRPr="000B6563" w14:paraId="54BF52AC"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796B556"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23</w:t>
            </w:r>
          </w:p>
        </w:tc>
        <w:tc>
          <w:tcPr>
            <w:tcW w:w="3118" w:type="dxa"/>
            <w:tcBorders>
              <w:top w:val="nil"/>
              <w:left w:val="nil"/>
              <w:bottom w:val="single" w:sz="4" w:space="0" w:color="auto"/>
              <w:right w:val="single" w:sz="4" w:space="0" w:color="auto"/>
            </w:tcBorders>
            <w:shd w:val="clear" w:color="auto" w:fill="auto"/>
            <w:noWrap/>
            <w:vAlign w:val="center"/>
            <w:hideMark/>
          </w:tcPr>
          <w:p w14:paraId="0BB77398" w14:textId="77777777"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Superloop</w:t>
            </w:r>
            <w:proofErr w:type="spellEnd"/>
            <w:r w:rsidRPr="00EB7AE9">
              <w:rPr>
                <w:rFonts w:cs="Arial"/>
                <w:color w:val="000000"/>
                <w:sz w:val="18"/>
                <w:szCs w:val="18"/>
              </w:rPr>
              <w:t xml:space="preserve"> (Australia) Pty Ltd</w:t>
            </w:r>
          </w:p>
        </w:tc>
        <w:tc>
          <w:tcPr>
            <w:tcW w:w="1718" w:type="dxa"/>
            <w:tcBorders>
              <w:top w:val="nil"/>
              <w:left w:val="nil"/>
              <w:bottom w:val="single" w:sz="4" w:space="0" w:color="auto"/>
              <w:right w:val="single" w:sz="4" w:space="0" w:color="auto"/>
            </w:tcBorders>
            <w:shd w:val="clear" w:color="auto" w:fill="auto"/>
            <w:noWrap/>
            <w:vAlign w:val="center"/>
            <w:hideMark/>
          </w:tcPr>
          <w:p w14:paraId="17DA4F69"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$6,575,515</w:t>
            </w:r>
          </w:p>
        </w:tc>
        <w:tc>
          <w:tcPr>
            <w:tcW w:w="1329" w:type="dxa"/>
            <w:tcBorders>
              <w:top w:val="nil"/>
              <w:left w:val="nil"/>
              <w:bottom w:val="single" w:sz="4" w:space="0" w:color="auto"/>
              <w:right w:val="single" w:sz="4" w:space="0" w:color="auto"/>
            </w:tcBorders>
            <w:shd w:val="clear" w:color="auto" w:fill="auto"/>
            <w:noWrap/>
            <w:vAlign w:val="center"/>
            <w:hideMark/>
          </w:tcPr>
          <w:p w14:paraId="2D2523A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$7,087</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04D63DA0"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06E92F"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662C838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$7,087</w:t>
            </w:r>
          </w:p>
        </w:tc>
      </w:tr>
      <w:tr w:rsidR="00693E17" w:rsidRPr="000B6563" w14:paraId="1253B7AD"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4AD36EE5"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24</w:t>
            </w:r>
          </w:p>
        </w:tc>
        <w:tc>
          <w:tcPr>
            <w:tcW w:w="3118" w:type="dxa"/>
            <w:tcBorders>
              <w:top w:val="nil"/>
              <w:left w:val="nil"/>
              <w:bottom w:val="single" w:sz="4" w:space="0" w:color="auto"/>
              <w:right w:val="single" w:sz="4" w:space="0" w:color="auto"/>
            </w:tcBorders>
            <w:shd w:val="clear" w:color="auto" w:fill="auto"/>
            <w:noWrap/>
            <w:vAlign w:val="center"/>
            <w:hideMark/>
          </w:tcPr>
          <w:p w14:paraId="2C521BF0" w14:textId="62CFF32C"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Telstra Corporation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65068A5F"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$16,458,916,721</w:t>
            </w:r>
          </w:p>
        </w:tc>
        <w:tc>
          <w:tcPr>
            <w:tcW w:w="1329" w:type="dxa"/>
            <w:tcBorders>
              <w:top w:val="nil"/>
              <w:left w:val="nil"/>
              <w:bottom w:val="single" w:sz="4" w:space="0" w:color="auto"/>
              <w:right w:val="single" w:sz="4" w:space="0" w:color="auto"/>
            </w:tcBorders>
            <w:shd w:val="clear" w:color="auto" w:fill="auto"/>
            <w:noWrap/>
            <w:vAlign w:val="center"/>
            <w:hideMark/>
          </w:tcPr>
          <w:p w14:paraId="46F7439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$17,739,354</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16E8D2F9"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1,918,061</w:t>
            </w: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F24922"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$803,265</w:t>
            </w:r>
          </w:p>
        </w:tc>
        <w:tc>
          <w:tcPr>
            <w:tcW w:w="1328" w:type="dxa"/>
            <w:tcBorders>
              <w:top w:val="nil"/>
              <w:left w:val="nil"/>
              <w:bottom w:val="single" w:sz="4" w:space="0" w:color="auto"/>
              <w:right w:val="single" w:sz="4" w:space="0" w:color="auto"/>
            </w:tcBorders>
            <w:shd w:val="clear" w:color="auto" w:fill="auto"/>
            <w:noWrap/>
            <w:vAlign w:val="center"/>
            <w:hideMark/>
          </w:tcPr>
          <w:p w14:paraId="75ECA3C5"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$18,542,619</w:t>
            </w:r>
          </w:p>
        </w:tc>
      </w:tr>
      <w:tr w:rsidR="00693E17" w:rsidRPr="000B6563" w14:paraId="6210C852"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30BA2C1C"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25</w:t>
            </w:r>
          </w:p>
        </w:tc>
        <w:tc>
          <w:tcPr>
            <w:tcW w:w="3118" w:type="dxa"/>
            <w:tcBorders>
              <w:top w:val="nil"/>
              <w:left w:val="nil"/>
              <w:bottom w:val="single" w:sz="4" w:space="0" w:color="auto"/>
              <w:right w:val="single" w:sz="4" w:space="0" w:color="auto"/>
            </w:tcBorders>
            <w:shd w:val="clear" w:color="auto" w:fill="auto"/>
            <w:noWrap/>
            <w:vAlign w:val="center"/>
            <w:hideMark/>
          </w:tcPr>
          <w:p w14:paraId="713AF3DA" w14:textId="48184BB9"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Telstra Multimedia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7DA9EF8C"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$69,018,857</w:t>
            </w:r>
          </w:p>
        </w:tc>
        <w:tc>
          <w:tcPr>
            <w:tcW w:w="1329" w:type="dxa"/>
            <w:tcBorders>
              <w:top w:val="nil"/>
              <w:left w:val="nil"/>
              <w:bottom w:val="single" w:sz="4" w:space="0" w:color="auto"/>
              <w:right w:val="single" w:sz="4" w:space="0" w:color="auto"/>
            </w:tcBorders>
            <w:shd w:val="clear" w:color="auto" w:fill="auto"/>
            <w:noWrap/>
            <w:vAlign w:val="center"/>
            <w:hideMark/>
          </w:tcPr>
          <w:p w14:paraId="7B57C9B6"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$74,388</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71E2550F"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E609BA"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1E0FDFFE"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$74,388</w:t>
            </w:r>
          </w:p>
        </w:tc>
      </w:tr>
      <w:tr w:rsidR="00693E17" w:rsidRPr="000B6563" w14:paraId="1AA89CEE"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38E1E2B5"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26</w:t>
            </w:r>
          </w:p>
        </w:tc>
        <w:tc>
          <w:tcPr>
            <w:tcW w:w="3118" w:type="dxa"/>
            <w:tcBorders>
              <w:top w:val="nil"/>
              <w:left w:val="nil"/>
              <w:bottom w:val="single" w:sz="4" w:space="0" w:color="auto"/>
              <w:right w:val="single" w:sz="4" w:space="0" w:color="auto"/>
            </w:tcBorders>
            <w:shd w:val="clear" w:color="auto" w:fill="auto"/>
            <w:noWrap/>
            <w:vAlign w:val="center"/>
            <w:hideMark/>
          </w:tcPr>
          <w:p w14:paraId="4CC30954" w14:textId="4E1DA4FC"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Uecomm</w:t>
            </w:r>
            <w:proofErr w:type="spellEnd"/>
            <w:r w:rsidRPr="00EB7AE9">
              <w:rPr>
                <w:rFonts w:cs="Arial"/>
                <w:color w:val="000000"/>
                <w:sz w:val="18"/>
                <w:szCs w:val="18"/>
              </w:rPr>
              <w:t xml:space="preserve">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7149B19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$66,224,168</w:t>
            </w:r>
          </w:p>
        </w:tc>
        <w:tc>
          <w:tcPr>
            <w:tcW w:w="1329" w:type="dxa"/>
            <w:tcBorders>
              <w:top w:val="nil"/>
              <w:left w:val="nil"/>
              <w:bottom w:val="single" w:sz="4" w:space="0" w:color="auto"/>
              <w:right w:val="single" w:sz="4" w:space="0" w:color="auto"/>
            </w:tcBorders>
            <w:shd w:val="clear" w:color="auto" w:fill="auto"/>
            <w:noWrap/>
            <w:vAlign w:val="center"/>
            <w:hideMark/>
          </w:tcPr>
          <w:p w14:paraId="332F7C33"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$71,376</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3FBC71CA"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66343D"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5AEEEA8A"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$71,376</w:t>
            </w:r>
          </w:p>
        </w:tc>
      </w:tr>
      <w:tr w:rsidR="00693E17" w:rsidRPr="000B6563" w14:paraId="1F74943E"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51992669"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27</w:t>
            </w:r>
          </w:p>
        </w:tc>
        <w:tc>
          <w:tcPr>
            <w:tcW w:w="3118" w:type="dxa"/>
            <w:tcBorders>
              <w:top w:val="nil"/>
              <w:left w:val="nil"/>
              <w:bottom w:val="single" w:sz="4" w:space="0" w:color="auto"/>
              <w:right w:val="single" w:sz="4" w:space="0" w:color="auto"/>
            </w:tcBorders>
            <w:shd w:val="clear" w:color="auto" w:fill="auto"/>
            <w:noWrap/>
            <w:vAlign w:val="center"/>
            <w:hideMark/>
          </w:tcPr>
          <w:p w14:paraId="7B635CB6" w14:textId="04E0D2A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Verizon Australia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2DE8B8C4"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$25,793,185</w:t>
            </w:r>
          </w:p>
        </w:tc>
        <w:tc>
          <w:tcPr>
            <w:tcW w:w="1329" w:type="dxa"/>
            <w:tcBorders>
              <w:top w:val="nil"/>
              <w:left w:val="nil"/>
              <w:bottom w:val="single" w:sz="4" w:space="0" w:color="auto"/>
              <w:right w:val="single" w:sz="4" w:space="0" w:color="auto"/>
            </w:tcBorders>
            <w:shd w:val="clear" w:color="auto" w:fill="auto"/>
            <w:noWrap/>
            <w:vAlign w:val="center"/>
            <w:hideMark/>
          </w:tcPr>
          <w:p w14:paraId="5404FA6A"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$27,800</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5E078BB9"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882287"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1BA18B95"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$27,800</w:t>
            </w:r>
          </w:p>
        </w:tc>
      </w:tr>
      <w:tr w:rsidR="00693E17" w:rsidRPr="000B6563" w14:paraId="6AD4931B"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5667E271"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28</w:t>
            </w:r>
          </w:p>
        </w:tc>
        <w:tc>
          <w:tcPr>
            <w:tcW w:w="3118" w:type="dxa"/>
            <w:tcBorders>
              <w:top w:val="nil"/>
              <w:left w:val="nil"/>
              <w:bottom w:val="single" w:sz="4" w:space="0" w:color="auto"/>
              <w:right w:val="single" w:sz="4" w:space="0" w:color="auto"/>
            </w:tcBorders>
            <w:shd w:val="clear" w:color="auto" w:fill="auto"/>
            <w:noWrap/>
            <w:vAlign w:val="center"/>
            <w:hideMark/>
          </w:tcPr>
          <w:p w14:paraId="6A66F3AC"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Victorian Rail Track</w:t>
            </w:r>
          </w:p>
        </w:tc>
        <w:tc>
          <w:tcPr>
            <w:tcW w:w="1718" w:type="dxa"/>
            <w:tcBorders>
              <w:top w:val="nil"/>
              <w:left w:val="nil"/>
              <w:bottom w:val="single" w:sz="4" w:space="0" w:color="auto"/>
              <w:right w:val="single" w:sz="4" w:space="0" w:color="auto"/>
            </w:tcBorders>
            <w:shd w:val="clear" w:color="auto" w:fill="auto"/>
            <w:noWrap/>
            <w:vAlign w:val="center"/>
            <w:hideMark/>
          </w:tcPr>
          <w:p w14:paraId="0A9EF989"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$35,879,217</w:t>
            </w:r>
          </w:p>
        </w:tc>
        <w:tc>
          <w:tcPr>
            <w:tcW w:w="1329" w:type="dxa"/>
            <w:tcBorders>
              <w:top w:val="nil"/>
              <w:left w:val="nil"/>
              <w:bottom w:val="single" w:sz="4" w:space="0" w:color="auto"/>
              <w:right w:val="single" w:sz="4" w:space="0" w:color="auto"/>
            </w:tcBorders>
            <w:shd w:val="clear" w:color="auto" w:fill="auto"/>
            <w:noWrap/>
            <w:vAlign w:val="center"/>
            <w:hideMark/>
          </w:tcPr>
          <w:p w14:paraId="0FD7AD6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$38,670</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6023F779"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D9B97E"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61ADFD20"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$38,670</w:t>
            </w:r>
          </w:p>
        </w:tc>
      </w:tr>
      <w:tr w:rsidR="00693E17" w:rsidRPr="000B6563" w14:paraId="1BD28702"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81C74E2"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29</w:t>
            </w:r>
          </w:p>
        </w:tc>
        <w:tc>
          <w:tcPr>
            <w:tcW w:w="3118" w:type="dxa"/>
            <w:tcBorders>
              <w:top w:val="nil"/>
              <w:left w:val="nil"/>
              <w:bottom w:val="single" w:sz="4" w:space="0" w:color="auto"/>
              <w:right w:val="single" w:sz="4" w:space="0" w:color="auto"/>
            </w:tcBorders>
            <w:shd w:val="clear" w:color="auto" w:fill="auto"/>
            <w:noWrap/>
            <w:vAlign w:val="center"/>
            <w:hideMark/>
          </w:tcPr>
          <w:p w14:paraId="76BCE887" w14:textId="77777777"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Vividwireless</w:t>
            </w:r>
            <w:proofErr w:type="spellEnd"/>
            <w:r w:rsidRPr="00EB7AE9">
              <w:rPr>
                <w:rFonts w:cs="Arial"/>
                <w:color w:val="000000"/>
                <w:sz w:val="18"/>
                <w:szCs w:val="18"/>
              </w:rPr>
              <w:t xml:space="preserve"> Pty Ltd</w:t>
            </w:r>
          </w:p>
        </w:tc>
        <w:tc>
          <w:tcPr>
            <w:tcW w:w="1718" w:type="dxa"/>
            <w:tcBorders>
              <w:top w:val="nil"/>
              <w:left w:val="nil"/>
              <w:bottom w:val="single" w:sz="4" w:space="0" w:color="auto"/>
              <w:right w:val="single" w:sz="4" w:space="0" w:color="auto"/>
            </w:tcBorders>
            <w:shd w:val="clear" w:color="auto" w:fill="auto"/>
            <w:noWrap/>
            <w:vAlign w:val="center"/>
            <w:hideMark/>
          </w:tcPr>
          <w:p w14:paraId="48316892"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$44,132,676</w:t>
            </w:r>
          </w:p>
        </w:tc>
        <w:tc>
          <w:tcPr>
            <w:tcW w:w="1329" w:type="dxa"/>
            <w:tcBorders>
              <w:top w:val="nil"/>
              <w:left w:val="nil"/>
              <w:bottom w:val="single" w:sz="4" w:space="0" w:color="auto"/>
              <w:right w:val="single" w:sz="4" w:space="0" w:color="auto"/>
            </w:tcBorders>
            <w:shd w:val="clear" w:color="auto" w:fill="auto"/>
            <w:noWrap/>
            <w:vAlign w:val="center"/>
            <w:hideMark/>
          </w:tcPr>
          <w:p w14:paraId="2A8587AD"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$47,566</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5FB2BB22" w14:textId="77777777" w:rsidR="00693E17" w:rsidRPr="00EB7AE9" w:rsidRDefault="00693E17">
            <w:pPr>
              <w:spacing w:after="0" w:line="240" w:lineRule="auto"/>
              <w:rPr>
                <w:rFonts w:cs="Arial"/>
                <w:color w:val="000000"/>
                <w:sz w:val="18"/>
                <w:szCs w:val="18"/>
              </w:rPr>
            </w:pP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C1E589" w14:textId="77777777" w:rsidR="00693E17" w:rsidRPr="00EB7AE9" w:rsidRDefault="00693E17">
            <w:pPr>
              <w:spacing w:after="0" w:line="240" w:lineRule="auto"/>
              <w:rPr>
                <w:rFonts w:cs="Arial"/>
                <w:color w:val="000000"/>
                <w:sz w:val="18"/>
                <w:szCs w:val="18"/>
              </w:rPr>
            </w:pPr>
            <w:r w:rsidRPr="00EB7AE9">
              <w:rPr>
                <w:rFonts w:cs="Arial"/>
                <w:color w:val="000000"/>
                <w:sz w:val="18"/>
                <w:szCs w:val="18"/>
              </w:rPr>
              <w:t> </w:t>
            </w:r>
          </w:p>
        </w:tc>
        <w:tc>
          <w:tcPr>
            <w:tcW w:w="1328" w:type="dxa"/>
            <w:tcBorders>
              <w:top w:val="nil"/>
              <w:left w:val="nil"/>
              <w:bottom w:val="single" w:sz="4" w:space="0" w:color="auto"/>
              <w:right w:val="single" w:sz="4" w:space="0" w:color="auto"/>
            </w:tcBorders>
            <w:shd w:val="clear" w:color="auto" w:fill="auto"/>
            <w:noWrap/>
            <w:vAlign w:val="center"/>
            <w:hideMark/>
          </w:tcPr>
          <w:p w14:paraId="378F9EF9"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$47,566</w:t>
            </w:r>
          </w:p>
        </w:tc>
      </w:tr>
      <w:tr w:rsidR="00693E17" w:rsidRPr="000B6563" w14:paraId="711057EF"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6921551"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30</w:t>
            </w:r>
          </w:p>
        </w:tc>
        <w:tc>
          <w:tcPr>
            <w:tcW w:w="3118" w:type="dxa"/>
            <w:tcBorders>
              <w:top w:val="nil"/>
              <w:left w:val="nil"/>
              <w:bottom w:val="single" w:sz="4" w:space="0" w:color="auto"/>
              <w:right w:val="single" w:sz="4" w:space="0" w:color="auto"/>
            </w:tcBorders>
            <w:shd w:val="clear" w:color="auto" w:fill="auto"/>
            <w:noWrap/>
            <w:vAlign w:val="center"/>
            <w:hideMark/>
          </w:tcPr>
          <w:p w14:paraId="5D48AA1A" w14:textId="77777777" w:rsidR="00693E17" w:rsidRPr="00EB7AE9" w:rsidRDefault="00693E17" w:rsidP="007D6691">
            <w:pPr>
              <w:spacing w:after="0" w:line="240" w:lineRule="auto"/>
              <w:rPr>
                <w:rFonts w:cs="Arial"/>
                <w:color w:val="000000"/>
                <w:sz w:val="18"/>
                <w:szCs w:val="18"/>
              </w:rPr>
            </w:pPr>
            <w:proofErr w:type="spellStart"/>
            <w:r w:rsidRPr="00EB7AE9">
              <w:rPr>
                <w:rFonts w:cs="Arial"/>
                <w:color w:val="000000"/>
                <w:sz w:val="18"/>
                <w:szCs w:val="18"/>
              </w:rPr>
              <w:t>Vocus</w:t>
            </w:r>
            <w:proofErr w:type="spellEnd"/>
            <w:r w:rsidRPr="00EB7AE9">
              <w:rPr>
                <w:rFonts w:cs="Arial"/>
                <w:color w:val="000000"/>
                <w:sz w:val="18"/>
                <w:szCs w:val="18"/>
              </w:rPr>
              <w:t xml:space="preserve"> Fibre Pty Ltd</w:t>
            </w:r>
          </w:p>
        </w:tc>
        <w:tc>
          <w:tcPr>
            <w:tcW w:w="1718" w:type="dxa"/>
            <w:tcBorders>
              <w:top w:val="nil"/>
              <w:left w:val="nil"/>
              <w:bottom w:val="single" w:sz="4" w:space="0" w:color="auto"/>
              <w:right w:val="single" w:sz="4" w:space="0" w:color="auto"/>
            </w:tcBorders>
            <w:shd w:val="clear" w:color="auto" w:fill="auto"/>
            <w:noWrap/>
            <w:vAlign w:val="center"/>
            <w:hideMark/>
          </w:tcPr>
          <w:p w14:paraId="47B29404"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$181,985,801</w:t>
            </w:r>
          </w:p>
        </w:tc>
        <w:tc>
          <w:tcPr>
            <w:tcW w:w="1329" w:type="dxa"/>
            <w:tcBorders>
              <w:top w:val="nil"/>
              <w:left w:val="nil"/>
              <w:bottom w:val="single" w:sz="4" w:space="0" w:color="auto"/>
              <w:right w:val="single" w:sz="4" w:space="0" w:color="auto"/>
            </w:tcBorders>
            <w:shd w:val="clear" w:color="auto" w:fill="auto"/>
            <w:noWrap/>
            <w:vAlign w:val="center"/>
            <w:hideMark/>
          </w:tcPr>
          <w:p w14:paraId="28E53EDD"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$196,144</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7DA95CDA"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337,956</w:t>
            </w: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5C1CB7"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$141,533</w:t>
            </w:r>
          </w:p>
        </w:tc>
        <w:tc>
          <w:tcPr>
            <w:tcW w:w="1328" w:type="dxa"/>
            <w:tcBorders>
              <w:top w:val="nil"/>
              <w:left w:val="nil"/>
              <w:bottom w:val="single" w:sz="4" w:space="0" w:color="auto"/>
              <w:right w:val="single" w:sz="4" w:space="0" w:color="auto"/>
            </w:tcBorders>
            <w:shd w:val="clear" w:color="auto" w:fill="auto"/>
            <w:noWrap/>
            <w:vAlign w:val="center"/>
            <w:hideMark/>
          </w:tcPr>
          <w:p w14:paraId="19C68CB2"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$337,676</w:t>
            </w:r>
          </w:p>
        </w:tc>
      </w:tr>
      <w:tr w:rsidR="00693E17" w:rsidRPr="000B6563" w14:paraId="26C591FF" w14:textId="77777777" w:rsidTr="00EB7AE9">
        <w:trPr>
          <w:trHeight w:val="30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B0A72C6" w14:textId="77777777"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31</w:t>
            </w:r>
          </w:p>
        </w:tc>
        <w:tc>
          <w:tcPr>
            <w:tcW w:w="3118" w:type="dxa"/>
            <w:tcBorders>
              <w:top w:val="nil"/>
              <w:left w:val="nil"/>
              <w:bottom w:val="single" w:sz="4" w:space="0" w:color="auto"/>
              <w:right w:val="single" w:sz="4" w:space="0" w:color="auto"/>
            </w:tcBorders>
            <w:shd w:val="clear" w:color="auto" w:fill="auto"/>
            <w:noWrap/>
            <w:vAlign w:val="center"/>
            <w:hideMark/>
          </w:tcPr>
          <w:p w14:paraId="7AE1CEA6" w14:textId="3F008F70" w:rsidR="00693E17" w:rsidRPr="00EB7AE9" w:rsidRDefault="00693E17" w:rsidP="007D6691">
            <w:pPr>
              <w:spacing w:after="0" w:line="240" w:lineRule="auto"/>
              <w:rPr>
                <w:rFonts w:cs="Arial"/>
                <w:color w:val="000000"/>
                <w:sz w:val="18"/>
                <w:szCs w:val="18"/>
              </w:rPr>
            </w:pPr>
            <w:r w:rsidRPr="00EB7AE9">
              <w:rPr>
                <w:rFonts w:cs="Arial"/>
                <w:color w:val="000000"/>
                <w:sz w:val="18"/>
                <w:szCs w:val="18"/>
              </w:rPr>
              <w:t>Vodafone Australia Pty L</w:t>
            </w:r>
            <w:r w:rsidR="00214E39" w:rsidRPr="00EB7AE9">
              <w:rPr>
                <w:rFonts w:cs="Arial"/>
                <w:color w:val="000000"/>
                <w:sz w:val="18"/>
                <w:szCs w:val="18"/>
              </w:rPr>
              <w:t>imited</w:t>
            </w:r>
          </w:p>
        </w:tc>
        <w:tc>
          <w:tcPr>
            <w:tcW w:w="1718" w:type="dxa"/>
            <w:tcBorders>
              <w:top w:val="nil"/>
              <w:left w:val="nil"/>
              <w:bottom w:val="single" w:sz="4" w:space="0" w:color="auto"/>
              <w:right w:val="single" w:sz="4" w:space="0" w:color="auto"/>
            </w:tcBorders>
            <w:shd w:val="clear" w:color="auto" w:fill="auto"/>
            <w:noWrap/>
            <w:vAlign w:val="center"/>
            <w:hideMark/>
          </w:tcPr>
          <w:p w14:paraId="43C1A366"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$2,023,587,336</w:t>
            </w:r>
          </w:p>
        </w:tc>
        <w:tc>
          <w:tcPr>
            <w:tcW w:w="1329" w:type="dxa"/>
            <w:tcBorders>
              <w:top w:val="nil"/>
              <w:left w:val="nil"/>
              <w:bottom w:val="single" w:sz="4" w:space="0" w:color="auto"/>
              <w:right w:val="single" w:sz="4" w:space="0" w:color="auto"/>
            </w:tcBorders>
            <w:shd w:val="clear" w:color="auto" w:fill="auto"/>
            <w:noWrap/>
            <w:vAlign w:val="center"/>
            <w:hideMark/>
          </w:tcPr>
          <w:p w14:paraId="76A66BE0"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$2,181,014</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698558D3"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9,094</w:t>
            </w: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AD7896"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$3,808</w:t>
            </w:r>
          </w:p>
        </w:tc>
        <w:tc>
          <w:tcPr>
            <w:tcW w:w="1328" w:type="dxa"/>
            <w:tcBorders>
              <w:top w:val="nil"/>
              <w:left w:val="nil"/>
              <w:bottom w:val="single" w:sz="4" w:space="0" w:color="auto"/>
              <w:right w:val="single" w:sz="4" w:space="0" w:color="auto"/>
            </w:tcBorders>
            <w:shd w:val="clear" w:color="auto" w:fill="auto"/>
            <w:noWrap/>
            <w:vAlign w:val="center"/>
            <w:hideMark/>
          </w:tcPr>
          <w:p w14:paraId="08F7D57B" w14:textId="77777777" w:rsidR="00693E17" w:rsidRPr="00EB7AE9" w:rsidRDefault="00693E17" w:rsidP="00C13A58">
            <w:pPr>
              <w:spacing w:after="0" w:line="240" w:lineRule="auto"/>
              <w:rPr>
                <w:rFonts w:cs="Arial"/>
                <w:color w:val="000000"/>
                <w:sz w:val="18"/>
                <w:szCs w:val="18"/>
              </w:rPr>
            </w:pPr>
            <w:r w:rsidRPr="00EB7AE9">
              <w:rPr>
                <w:rFonts w:cs="Arial"/>
                <w:color w:val="000000"/>
                <w:sz w:val="18"/>
                <w:szCs w:val="18"/>
              </w:rPr>
              <w:t>$2,184,823</w:t>
            </w:r>
          </w:p>
        </w:tc>
      </w:tr>
      <w:tr w:rsidR="00693E17" w:rsidRPr="000B6563" w14:paraId="1D83BF70" w14:textId="77777777" w:rsidTr="00EB7AE9">
        <w:trPr>
          <w:trHeight w:val="303"/>
        </w:trPr>
        <w:tc>
          <w:tcPr>
            <w:tcW w:w="37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7EB3F7" w14:textId="77777777" w:rsidR="00693E17" w:rsidRPr="00EB7AE9" w:rsidRDefault="00693E17" w:rsidP="00ED7779">
            <w:pPr>
              <w:spacing w:after="0" w:line="240" w:lineRule="auto"/>
              <w:rPr>
                <w:rFonts w:cs="Arial"/>
                <w:b/>
                <w:bCs/>
                <w:color w:val="000000"/>
                <w:sz w:val="18"/>
                <w:szCs w:val="18"/>
              </w:rPr>
            </w:pPr>
            <w:r w:rsidRPr="00EB7AE9">
              <w:rPr>
                <w:rFonts w:cs="Arial"/>
                <w:b/>
                <w:bCs/>
                <w:color w:val="000000"/>
                <w:sz w:val="18"/>
                <w:szCs w:val="18"/>
              </w:rPr>
              <w:t xml:space="preserve">Totals </w:t>
            </w:r>
          </w:p>
        </w:tc>
        <w:tc>
          <w:tcPr>
            <w:tcW w:w="1718" w:type="dxa"/>
            <w:tcBorders>
              <w:top w:val="nil"/>
              <w:left w:val="nil"/>
              <w:bottom w:val="single" w:sz="4" w:space="0" w:color="auto"/>
              <w:right w:val="single" w:sz="4" w:space="0" w:color="auto"/>
            </w:tcBorders>
            <w:shd w:val="clear" w:color="auto" w:fill="auto"/>
            <w:noWrap/>
            <w:vAlign w:val="center"/>
            <w:hideMark/>
          </w:tcPr>
          <w:p w14:paraId="0BCAB36C" w14:textId="77777777" w:rsidR="00693E17" w:rsidRPr="00EB7AE9" w:rsidRDefault="00693E17" w:rsidP="00C13A58">
            <w:pPr>
              <w:spacing w:after="0" w:line="240" w:lineRule="auto"/>
              <w:rPr>
                <w:rFonts w:cs="Arial"/>
                <w:b/>
                <w:bCs/>
                <w:color w:val="000000"/>
                <w:sz w:val="18"/>
                <w:szCs w:val="18"/>
              </w:rPr>
            </w:pPr>
            <w:r w:rsidRPr="00EB7AE9">
              <w:rPr>
                <w:rFonts w:cs="Arial"/>
                <w:b/>
                <w:bCs/>
                <w:color w:val="000000"/>
                <w:sz w:val="18"/>
                <w:szCs w:val="18"/>
              </w:rPr>
              <w:t>$27,511,479,689</w:t>
            </w:r>
          </w:p>
        </w:tc>
        <w:tc>
          <w:tcPr>
            <w:tcW w:w="1329" w:type="dxa"/>
            <w:tcBorders>
              <w:top w:val="nil"/>
              <w:left w:val="nil"/>
              <w:bottom w:val="single" w:sz="4" w:space="0" w:color="auto"/>
              <w:right w:val="single" w:sz="4" w:space="0" w:color="auto"/>
            </w:tcBorders>
            <w:shd w:val="clear" w:color="auto" w:fill="auto"/>
            <w:noWrap/>
            <w:vAlign w:val="center"/>
            <w:hideMark/>
          </w:tcPr>
          <w:p w14:paraId="7A51DB8C" w14:textId="77777777" w:rsidR="00693E17" w:rsidRPr="00EB7AE9" w:rsidRDefault="00693E17" w:rsidP="00C13A58">
            <w:pPr>
              <w:spacing w:after="0" w:line="240" w:lineRule="auto"/>
              <w:rPr>
                <w:rFonts w:cs="Arial"/>
                <w:b/>
                <w:bCs/>
                <w:color w:val="000000"/>
                <w:sz w:val="18"/>
                <w:szCs w:val="18"/>
              </w:rPr>
            </w:pPr>
            <w:r w:rsidRPr="00EB7AE9">
              <w:rPr>
                <w:rFonts w:cs="Arial"/>
                <w:b/>
                <w:bCs/>
                <w:color w:val="000000"/>
                <w:sz w:val="18"/>
                <w:szCs w:val="18"/>
              </w:rPr>
              <w:t>$29,651,761</w:t>
            </w:r>
          </w:p>
        </w:tc>
        <w:tc>
          <w:tcPr>
            <w:tcW w:w="1394" w:type="dxa"/>
            <w:tcBorders>
              <w:top w:val="nil"/>
              <w:left w:val="nil"/>
              <w:bottom w:val="single" w:sz="4" w:space="0" w:color="auto"/>
              <w:right w:val="single" w:sz="4" w:space="0" w:color="auto"/>
            </w:tcBorders>
            <w:shd w:val="clear" w:color="auto" w:fill="D9D9D9" w:themeFill="background1" w:themeFillShade="D9"/>
            <w:vAlign w:val="center"/>
          </w:tcPr>
          <w:p w14:paraId="3160753C" w14:textId="77777777" w:rsidR="00693E17" w:rsidRPr="00EB7AE9" w:rsidRDefault="00693E17" w:rsidP="00C13A58">
            <w:pPr>
              <w:spacing w:after="0" w:line="240" w:lineRule="auto"/>
              <w:rPr>
                <w:rFonts w:cs="Arial"/>
                <w:b/>
                <w:bCs/>
                <w:color w:val="000000"/>
                <w:sz w:val="18"/>
                <w:szCs w:val="18"/>
              </w:rPr>
            </w:pPr>
            <w:r w:rsidRPr="00EB7AE9">
              <w:rPr>
                <w:rFonts w:cs="Arial"/>
                <w:b/>
                <w:bCs/>
                <w:color w:val="000000"/>
                <w:sz w:val="18"/>
                <w:szCs w:val="18"/>
              </w:rPr>
              <w:t>3,657,807</w:t>
            </w:r>
          </w:p>
        </w:tc>
        <w:tc>
          <w:tcPr>
            <w:tcW w:w="11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7E3D83" w14:textId="77777777" w:rsidR="00693E17" w:rsidRPr="00EB7AE9" w:rsidRDefault="00693E17" w:rsidP="00C13A58">
            <w:pPr>
              <w:spacing w:after="0" w:line="240" w:lineRule="auto"/>
              <w:rPr>
                <w:rFonts w:cs="Arial"/>
                <w:b/>
                <w:bCs/>
                <w:color w:val="000000"/>
                <w:sz w:val="18"/>
                <w:szCs w:val="18"/>
              </w:rPr>
            </w:pPr>
            <w:r w:rsidRPr="00EB7AE9">
              <w:rPr>
                <w:rFonts w:cs="Arial"/>
                <w:b/>
                <w:bCs/>
                <w:color w:val="000000"/>
                <w:sz w:val="18"/>
                <w:szCs w:val="18"/>
              </w:rPr>
              <w:t>$1,531,854</w:t>
            </w:r>
          </w:p>
        </w:tc>
        <w:tc>
          <w:tcPr>
            <w:tcW w:w="1328" w:type="dxa"/>
            <w:tcBorders>
              <w:top w:val="nil"/>
              <w:left w:val="nil"/>
              <w:bottom w:val="single" w:sz="4" w:space="0" w:color="auto"/>
              <w:right w:val="single" w:sz="4" w:space="0" w:color="auto"/>
            </w:tcBorders>
            <w:shd w:val="clear" w:color="auto" w:fill="auto"/>
            <w:noWrap/>
            <w:vAlign w:val="center"/>
            <w:hideMark/>
          </w:tcPr>
          <w:p w14:paraId="720AA5B3" w14:textId="77777777" w:rsidR="00693E17" w:rsidRPr="00EB7AE9" w:rsidRDefault="00693E17" w:rsidP="00C13A58">
            <w:pPr>
              <w:spacing w:after="0" w:line="240" w:lineRule="auto"/>
              <w:rPr>
                <w:rFonts w:cs="Arial"/>
                <w:b/>
                <w:bCs/>
                <w:color w:val="000000"/>
                <w:sz w:val="18"/>
                <w:szCs w:val="18"/>
              </w:rPr>
            </w:pPr>
            <w:r w:rsidRPr="00EB7AE9">
              <w:rPr>
                <w:rFonts w:cs="Arial"/>
                <w:b/>
                <w:bCs/>
                <w:color w:val="000000"/>
                <w:sz w:val="18"/>
                <w:szCs w:val="18"/>
              </w:rPr>
              <w:t>$31,183,615</w:t>
            </w:r>
          </w:p>
        </w:tc>
      </w:tr>
    </w:tbl>
    <w:p w14:paraId="19430AEE" w14:textId="3BE27995" w:rsidR="000B6563" w:rsidRPr="00001810" w:rsidRDefault="00693E17" w:rsidP="00EB7AE9">
      <w:pPr>
        <w:pStyle w:val="ACMANotes"/>
      </w:pPr>
      <w:r w:rsidRPr="005E5E84">
        <w:t>Note: Fixed line connections for TPG Group have been distributed to Chime communications Pty Ltd and Soul</w:t>
      </w:r>
      <w:r w:rsidR="00C13A58">
        <w:t xml:space="preserve"> </w:t>
      </w:r>
      <w:r w:rsidRPr="005E5E84">
        <w:t xml:space="preserve">Pattinson Telecommunications Pty Ltd based on </w:t>
      </w:r>
      <w:r>
        <w:t>their</w:t>
      </w:r>
      <w:r w:rsidRPr="005E5E84">
        <w:t xml:space="preserve"> eligible revenue for the 2017-18 financial year</w:t>
      </w:r>
      <w:r w:rsidR="00C13A58">
        <w:t>.</w:t>
      </w:r>
    </w:p>
    <w:p w14:paraId="5DEDCC6C" w14:textId="77777777" w:rsidR="00FA3514" w:rsidRPr="00031A40" w:rsidRDefault="00FA3514" w:rsidP="00FA3514">
      <w:pPr>
        <w:pStyle w:val="Heading1"/>
      </w:pPr>
      <w:bookmarkStart w:id="255" w:name="_Toc532543444"/>
      <w:bookmarkStart w:id="256" w:name="_Toc26786377"/>
      <w:bookmarkStart w:id="257" w:name="_Toc483221515"/>
      <w:r w:rsidRPr="00031A40">
        <w:lastRenderedPageBreak/>
        <w:t>Attachment D</w:t>
      </w:r>
      <w:bookmarkEnd w:id="255"/>
      <w:bookmarkEnd w:id="256"/>
    </w:p>
    <w:p w14:paraId="5A2D3646" w14:textId="7A5F0F42" w:rsidR="00292055" w:rsidRDefault="00FA3514" w:rsidP="00EB7AE9">
      <w:pPr>
        <w:pStyle w:val="Heading2"/>
      </w:pPr>
      <w:bookmarkStart w:id="258" w:name="_Toc532543445"/>
      <w:bookmarkStart w:id="259" w:name="_Toc26786378"/>
      <w:r w:rsidRPr="00EB7AE9">
        <w:rPr>
          <w:bCs w:val="0"/>
          <w:iCs w:val="0"/>
        </w:rPr>
        <w:t>Summary of issues raised in industry consultation</w:t>
      </w:r>
      <w:bookmarkEnd w:id="257"/>
      <w:r w:rsidRPr="00EB7AE9">
        <w:rPr>
          <w:bCs w:val="0"/>
          <w:iCs w:val="0"/>
        </w:rPr>
        <w:t>—ACLC 2018–1</w:t>
      </w:r>
      <w:bookmarkEnd w:id="258"/>
      <w:r w:rsidRPr="00EB7AE9">
        <w:rPr>
          <w:bCs w:val="0"/>
          <w:iCs w:val="0"/>
        </w:rPr>
        <w:t>9</w:t>
      </w:r>
      <w:bookmarkEnd w:id="259"/>
    </w:p>
    <w:tbl>
      <w:tblPr>
        <w:tblW w:w="1049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5811"/>
      </w:tblGrid>
      <w:tr w:rsidR="004A6547" w:rsidRPr="004A6547" w14:paraId="6A88E162" w14:textId="77777777" w:rsidTr="00CF4479">
        <w:trPr>
          <w:tblHeader/>
        </w:trPr>
        <w:tc>
          <w:tcPr>
            <w:tcW w:w="4679" w:type="dxa"/>
            <w:shd w:val="clear" w:color="auto" w:fill="404040" w:themeFill="text1" w:themeFillTint="BF"/>
          </w:tcPr>
          <w:p w14:paraId="14C881DF" w14:textId="77777777" w:rsidR="004A6547" w:rsidRPr="00EB7AE9" w:rsidRDefault="004A6547" w:rsidP="004A6547">
            <w:pPr>
              <w:rPr>
                <w:b/>
                <w:color w:val="FFFFFF" w:themeColor="background1"/>
              </w:rPr>
            </w:pPr>
            <w:r w:rsidRPr="00EB7AE9">
              <w:rPr>
                <w:b/>
                <w:color w:val="FFFFFF" w:themeColor="background1"/>
              </w:rPr>
              <w:t>Recommendation / issue</w:t>
            </w:r>
          </w:p>
        </w:tc>
        <w:tc>
          <w:tcPr>
            <w:tcW w:w="5811" w:type="dxa"/>
            <w:shd w:val="clear" w:color="auto" w:fill="404040" w:themeFill="text1" w:themeFillTint="BF"/>
          </w:tcPr>
          <w:p w14:paraId="6B2AF86A" w14:textId="77777777" w:rsidR="004A6547" w:rsidRPr="00EB7AE9" w:rsidRDefault="004A6547" w:rsidP="004A6547">
            <w:pPr>
              <w:rPr>
                <w:b/>
                <w:color w:val="FFFFFF" w:themeColor="background1"/>
              </w:rPr>
            </w:pPr>
            <w:r w:rsidRPr="00EB7AE9">
              <w:rPr>
                <w:b/>
                <w:color w:val="FFFFFF" w:themeColor="background1"/>
              </w:rPr>
              <w:t>Response</w:t>
            </w:r>
          </w:p>
        </w:tc>
      </w:tr>
      <w:tr w:rsidR="004A6547" w:rsidRPr="004A6547" w14:paraId="1F4ED49A" w14:textId="77777777" w:rsidTr="00CF4479">
        <w:trPr>
          <w:trHeight w:val="358"/>
        </w:trPr>
        <w:tc>
          <w:tcPr>
            <w:tcW w:w="10490" w:type="dxa"/>
            <w:gridSpan w:val="2"/>
            <w:shd w:val="clear" w:color="auto" w:fill="D9D9D9" w:themeFill="background1" w:themeFillShade="D9"/>
          </w:tcPr>
          <w:p w14:paraId="203B5594" w14:textId="77777777" w:rsidR="004A6547" w:rsidRPr="004A6547" w:rsidRDefault="004A6547" w:rsidP="004A6547">
            <w:pPr>
              <w:rPr>
                <w:b/>
              </w:rPr>
            </w:pPr>
            <w:r w:rsidRPr="004A6547">
              <w:rPr>
                <w:b/>
              </w:rPr>
              <w:t>Telstra</w:t>
            </w:r>
          </w:p>
        </w:tc>
      </w:tr>
      <w:tr w:rsidR="004A6547" w:rsidRPr="004A6547" w14:paraId="1C5A9C86" w14:textId="77777777" w:rsidTr="00CF4479">
        <w:tc>
          <w:tcPr>
            <w:tcW w:w="4679" w:type="dxa"/>
            <w:noWrap/>
          </w:tcPr>
          <w:p w14:paraId="3BB82CC4" w14:textId="23EA6215" w:rsidR="004A6547" w:rsidRPr="004A6547" w:rsidRDefault="006A59D7" w:rsidP="004A6547">
            <w:pPr>
              <w:numPr>
                <w:ilvl w:val="0"/>
                <w:numId w:val="30"/>
              </w:numPr>
            </w:pPr>
            <w:bookmarkStart w:id="260" w:name="_Hlk18993868"/>
            <w:r>
              <w:t xml:space="preserve">The </w:t>
            </w:r>
            <w:r w:rsidR="004A6547" w:rsidRPr="004A6547">
              <w:t>ACMA’s support costs display significant variation, ranging from 29.8% to 94.9%, depending on activity. In contrast, support costs for the ACCC component of the ACLC comprise a flat 33.8% of total costs across different activities. The CRIS provide more clarity in the rationale underlying the attribution of support costs, especially for activities that have a high proportion of support costs.</w:t>
            </w:r>
            <w:bookmarkEnd w:id="260"/>
          </w:p>
        </w:tc>
        <w:tc>
          <w:tcPr>
            <w:tcW w:w="5811" w:type="dxa"/>
          </w:tcPr>
          <w:p w14:paraId="239A387E" w14:textId="2BD957C8" w:rsidR="004A6547" w:rsidRPr="004A6547" w:rsidRDefault="004A6547" w:rsidP="004A6547">
            <w:r w:rsidRPr="004A6547">
              <w:t>As outlined in the CRIS (see page 10 and 12</w:t>
            </w:r>
            <w:r w:rsidR="006A59D7">
              <w:t>—</w:t>
            </w:r>
            <w:r w:rsidRPr="004A6547">
              <w:t xml:space="preserve">section 3.1.2) </w:t>
            </w:r>
            <w:r w:rsidR="00435758">
              <w:rPr>
                <w:rFonts w:cs="Arial"/>
                <w:iCs/>
              </w:rPr>
              <w:t>the</w:t>
            </w:r>
            <w:r w:rsidR="00435758" w:rsidRPr="00E8129B">
              <w:rPr>
                <w:rFonts w:cs="Arial"/>
                <w:iCs/>
              </w:rPr>
              <w:t xml:space="preserve"> </w:t>
            </w:r>
            <w:r w:rsidRPr="004A6547">
              <w:t xml:space="preserve">ACMA’s costs are subject to a rigorous process using an Activity Based </w:t>
            </w:r>
            <w:r w:rsidR="00FE5E6A">
              <w:t>Man</w:t>
            </w:r>
            <w:r w:rsidR="0045045A">
              <w:t>a</w:t>
            </w:r>
            <w:r w:rsidR="00FE5E6A">
              <w:t>gement</w:t>
            </w:r>
            <w:r w:rsidR="00FE5E6A" w:rsidRPr="004A6547">
              <w:t xml:space="preserve"> </w:t>
            </w:r>
            <w:r w:rsidRPr="004A6547">
              <w:t>(AB</w:t>
            </w:r>
            <w:r w:rsidR="00FE5E6A">
              <w:t>M</w:t>
            </w:r>
            <w:r w:rsidRPr="004A6547">
              <w:t xml:space="preserve">) system that applies multiple cost drivers to determine direct and support costs. </w:t>
            </w:r>
          </w:p>
          <w:p w14:paraId="3DED587B" w14:textId="0439D73D" w:rsidR="004A6547" w:rsidRPr="004A6547" w:rsidRDefault="004A6547" w:rsidP="004A6547">
            <w:r w:rsidRPr="004A6547">
              <w:t xml:space="preserve">As a result, supports cost are comparatively higher than the relevant direct costs. As noted in the CRIS, the 29.8% variation results from a direct cost component relating to outsourced arrangements, with less involvement from ACMA staff and thereby less support costs being driven to the activity. The 94.9% variation relates to the administering of the carrier licence charging arrangements and costing of regulatory activities associated with telecommunications. This activity is by nature predominantly conducted by support line areas with minimal input from direct line areas. Therefore, the support costs and direct costs split would vary depending on the usage of ASL and other cost drivers. </w:t>
            </w:r>
          </w:p>
          <w:p w14:paraId="55684637" w14:textId="4C09506C" w:rsidR="004A6547" w:rsidRPr="004A6547" w:rsidRDefault="004A6547" w:rsidP="004A6547">
            <w:r w:rsidRPr="004A6547">
              <w:t>The categorisation of costs as disclosed in the CRIS (see page 12</w:t>
            </w:r>
            <w:r w:rsidR="006A59D7">
              <w:t>—</w:t>
            </w:r>
            <w:r w:rsidRPr="004A6547">
              <w:t>Table 9) have been independently reviewed and agreed by auditors in prior years and have confirmed that the application of cost drivers used for the allocation of costs was appropriate.</w:t>
            </w:r>
          </w:p>
        </w:tc>
      </w:tr>
      <w:tr w:rsidR="004A6547" w:rsidRPr="004A6547" w14:paraId="1673606B" w14:textId="77777777" w:rsidTr="00CF4479">
        <w:tc>
          <w:tcPr>
            <w:tcW w:w="4679" w:type="dxa"/>
            <w:noWrap/>
          </w:tcPr>
          <w:p w14:paraId="5B3393C6" w14:textId="3A02E00E" w:rsidR="004A6547" w:rsidRPr="004A6547" w:rsidRDefault="004A6547" w:rsidP="004A6547">
            <w:pPr>
              <w:numPr>
                <w:ilvl w:val="0"/>
                <w:numId w:val="30"/>
              </w:numPr>
            </w:pPr>
            <w:r w:rsidRPr="004A6547">
              <w:t xml:space="preserve">More information from </w:t>
            </w:r>
            <w:r w:rsidR="00435758">
              <w:rPr>
                <w:rFonts w:cs="Arial"/>
                <w:iCs/>
              </w:rPr>
              <w:t>the</w:t>
            </w:r>
            <w:r w:rsidR="00435758" w:rsidRPr="00E8129B">
              <w:rPr>
                <w:rFonts w:cs="Arial"/>
                <w:iCs/>
              </w:rPr>
              <w:t xml:space="preserve"> </w:t>
            </w:r>
            <w:r w:rsidRPr="004A6547">
              <w:t>ACMA and the ACCC on how a reduction in inputs or resources has been achieved for a given set of outputs or outcome to help industry understand the degree to which cost reductions are driven by efficiency gains, in contrast to reduced workloads (both short- or long-term).</w:t>
            </w:r>
            <w:r w:rsidRPr="004A6547">
              <w:rPr>
                <w:lang w:val="en-GB"/>
              </w:rPr>
              <w:t xml:space="preserve"> </w:t>
            </w:r>
          </w:p>
        </w:tc>
        <w:tc>
          <w:tcPr>
            <w:tcW w:w="5811" w:type="dxa"/>
          </w:tcPr>
          <w:p w14:paraId="64B8FDA0" w14:textId="469307F7" w:rsidR="004A6547" w:rsidRPr="004A6547" w:rsidRDefault="004A6547" w:rsidP="004A6547">
            <w:pPr>
              <w:rPr>
                <w:lang w:val="en-GB"/>
              </w:rPr>
            </w:pPr>
            <w:r w:rsidRPr="004A6547">
              <w:t xml:space="preserve">As outlined in the CRIS (see page 14) </w:t>
            </w:r>
            <w:r w:rsidR="006A59D7">
              <w:t xml:space="preserve">the </w:t>
            </w:r>
            <w:r w:rsidRPr="004A6547">
              <w:t xml:space="preserve">ACMA’s costs take all productivity gains and operational savings into account, including the efficient use of resources as a result of the application of an annual efficiency dividend. </w:t>
            </w:r>
            <w:r w:rsidR="001C60CE" w:rsidRPr="004A6547">
              <w:t>Therefore,</w:t>
            </w:r>
            <w:r w:rsidRPr="004A6547">
              <w:t xml:space="preserve"> it is not practical for </w:t>
            </w:r>
            <w:r w:rsidR="006A59D7">
              <w:t xml:space="preserve">the </w:t>
            </w:r>
            <w:r w:rsidRPr="004A6547">
              <w:t xml:space="preserve">ACMA to split the cost allocations by efficiency gains any further. </w:t>
            </w:r>
            <w:r w:rsidR="006A59D7">
              <w:t xml:space="preserve">The </w:t>
            </w:r>
            <w:r w:rsidRPr="004A6547">
              <w:rPr>
                <w:lang w:val="en-GB"/>
              </w:rPr>
              <w:t xml:space="preserve">ACMA aims to provide financial comparisons to commence next year, which should help better understand the cost drivers and any efficiencies gained. </w:t>
            </w:r>
          </w:p>
          <w:p w14:paraId="27E6D624" w14:textId="3FC9ADC0" w:rsidR="004A6547" w:rsidRPr="004A6547" w:rsidRDefault="004A6547" w:rsidP="004A6547">
            <w:r w:rsidRPr="004A6547">
              <w:rPr>
                <w:b/>
                <w:bCs/>
                <w:u w:val="single"/>
              </w:rPr>
              <w:t xml:space="preserve">ACCC </w:t>
            </w:r>
            <w:r w:rsidR="00E35833">
              <w:rPr>
                <w:b/>
                <w:bCs/>
                <w:u w:val="single"/>
              </w:rPr>
              <w:t>r</w:t>
            </w:r>
            <w:r w:rsidRPr="004A6547">
              <w:rPr>
                <w:b/>
                <w:bCs/>
                <w:u w:val="single"/>
              </w:rPr>
              <w:t>esponse:</w:t>
            </w:r>
            <w:r w:rsidRPr="004A6547">
              <w:t xml:space="preserve">  The 10.3% decrease of </w:t>
            </w:r>
            <w:r w:rsidR="006A59D7">
              <w:t xml:space="preserve">the </w:t>
            </w:r>
            <w:r w:rsidRPr="004A6547">
              <w:t>ACCC’s cost component mainly reflects a temporary reprioritisation of resources during a downward period of the regulation cycle.  This was an even distribution across our key outputs.</w:t>
            </w:r>
          </w:p>
          <w:p w14:paraId="5DB1F5F3" w14:textId="77777777" w:rsidR="004A6547" w:rsidRPr="004A6547" w:rsidRDefault="004A6547" w:rsidP="004A6547">
            <w:r w:rsidRPr="004A6547">
              <w:t>As stated in the CRIS:</w:t>
            </w:r>
          </w:p>
          <w:p w14:paraId="0F354113" w14:textId="1C5F24FD" w:rsidR="004A6547" w:rsidRPr="004A6547" w:rsidRDefault="004A6547" w:rsidP="00EB7AE9">
            <w:pPr>
              <w:spacing w:after="80"/>
            </w:pPr>
            <w:r w:rsidRPr="004A6547">
              <w:t>The ACCC’s component for 2018-19 has been calculated at $11,764,009. This represents a $1,345,164 (10.3</w:t>
            </w:r>
            <w:r w:rsidR="00E35833">
              <w:t>%</w:t>
            </w:r>
            <w:r w:rsidRPr="004A6547">
              <w:t>) decrease from the previous year, largely driven by a reduction in employee costs. The employee cost reduction has arisen mainly from:</w:t>
            </w:r>
          </w:p>
          <w:p w14:paraId="7F36A154" w14:textId="63EB0868" w:rsidR="004A6547" w:rsidRPr="004A6547" w:rsidRDefault="004A6547" w:rsidP="00EB7AE9">
            <w:pPr>
              <w:pStyle w:val="ListBullet"/>
            </w:pPr>
            <w:r w:rsidRPr="004A6547">
              <w:lastRenderedPageBreak/>
              <w:t>Telecommunications staff transferred to other areas within the ACCC and the AER to progress the urgent delivery of the new budget measures. Filling the staff vacancies was not an immediate priority due to the telecommunications regulation cycle being largely in a downward phase due to many access declarations and determinations finalised in 2016</w:t>
            </w:r>
            <w:r w:rsidR="006A59D7">
              <w:t>–</w:t>
            </w:r>
            <w:r w:rsidRPr="004A6547">
              <w:t>17 and early 2017</w:t>
            </w:r>
            <w:r w:rsidR="006A59D7">
              <w:t>–</w:t>
            </w:r>
            <w:r w:rsidRPr="004A6547">
              <w:t xml:space="preserve">18. </w:t>
            </w:r>
          </w:p>
          <w:p w14:paraId="6DD81A3C" w14:textId="4AAE6136" w:rsidR="004A6547" w:rsidRPr="004A6547" w:rsidRDefault="004A6547" w:rsidP="00EB7AE9">
            <w:pPr>
              <w:pStyle w:val="ListBullet"/>
            </w:pPr>
            <w:r w:rsidRPr="004A6547">
              <w:t>Employee costs from corporate support functions were spread across more business lines in 2017</w:t>
            </w:r>
            <w:r w:rsidR="00C13549">
              <w:t>–</w:t>
            </w:r>
            <w:r w:rsidRPr="004A6547">
              <w:t>18 due to the ACCC and the AER being funded for budget measures involving new (or expanded) functions and market studies.</w:t>
            </w:r>
          </w:p>
        </w:tc>
      </w:tr>
      <w:tr w:rsidR="004A6547" w:rsidRPr="004A6547" w14:paraId="1FA31B07" w14:textId="77777777" w:rsidTr="00CF4479">
        <w:tc>
          <w:tcPr>
            <w:tcW w:w="4679" w:type="dxa"/>
            <w:noWrap/>
          </w:tcPr>
          <w:p w14:paraId="63469CA5" w14:textId="1ED42FE2" w:rsidR="004A6547" w:rsidRPr="004A6547" w:rsidRDefault="004A6547" w:rsidP="004A6547">
            <w:pPr>
              <w:numPr>
                <w:ilvl w:val="0"/>
                <w:numId w:val="30"/>
              </w:numPr>
            </w:pPr>
            <w:r w:rsidRPr="004A6547">
              <w:lastRenderedPageBreak/>
              <w:t xml:space="preserve">Make available to Industry the study of Deloitte’s cost-efficiency analysis of </w:t>
            </w:r>
            <w:r w:rsidR="004A36F2">
              <w:rPr>
                <w:rFonts w:cs="Arial"/>
                <w:iCs/>
              </w:rPr>
              <w:t>the</w:t>
            </w:r>
            <w:r w:rsidR="004A36F2" w:rsidRPr="00E8129B">
              <w:rPr>
                <w:rFonts w:cs="Arial"/>
                <w:iCs/>
              </w:rPr>
              <w:t xml:space="preserve"> </w:t>
            </w:r>
            <w:r w:rsidRPr="004A6547">
              <w:t xml:space="preserve">ACMA’s costs. </w:t>
            </w:r>
          </w:p>
        </w:tc>
        <w:tc>
          <w:tcPr>
            <w:tcW w:w="5811" w:type="dxa"/>
          </w:tcPr>
          <w:p w14:paraId="26F4537D" w14:textId="4D3DADB8" w:rsidR="004A6547" w:rsidRPr="004A6547" w:rsidRDefault="004A6547" w:rsidP="004A6547">
            <w:r w:rsidRPr="004A6547">
              <w:t>The independent Cost Base Review (the Review) completed in 2017</w:t>
            </w:r>
            <w:r w:rsidR="00C13549">
              <w:t>–</w:t>
            </w:r>
            <w:r w:rsidRPr="004A6547">
              <w:t xml:space="preserve">18 focused on whether </w:t>
            </w:r>
            <w:r w:rsidR="004A36F2">
              <w:rPr>
                <w:rFonts w:cs="Arial"/>
                <w:iCs/>
              </w:rPr>
              <w:t>the</w:t>
            </w:r>
            <w:r w:rsidR="004A36F2" w:rsidRPr="00E8129B">
              <w:rPr>
                <w:rFonts w:cs="Arial"/>
                <w:iCs/>
              </w:rPr>
              <w:t xml:space="preserve"> </w:t>
            </w:r>
            <w:r w:rsidRPr="004A6547">
              <w:t xml:space="preserve">ACMA is operating at minimum efficient cost with benchmarking undertaken through the analysis of economic efficiency, productivity, technical efficiency, effectiveness and allocative efficiency. </w:t>
            </w:r>
          </w:p>
          <w:p w14:paraId="0633AB52" w14:textId="5A2F1768" w:rsidR="004A6547" w:rsidRPr="004A6547" w:rsidRDefault="004A6547" w:rsidP="004A6547">
            <w:r w:rsidRPr="004A6547">
              <w:t xml:space="preserve">The Review found </w:t>
            </w:r>
            <w:r w:rsidR="004A36F2">
              <w:rPr>
                <w:rFonts w:cs="Arial"/>
                <w:iCs/>
              </w:rPr>
              <w:t>the</w:t>
            </w:r>
            <w:r w:rsidR="004A36F2" w:rsidRPr="00E8129B">
              <w:rPr>
                <w:rFonts w:cs="Arial"/>
                <w:iCs/>
              </w:rPr>
              <w:t xml:space="preserve"> </w:t>
            </w:r>
            <w:r w:rsidRPr="004A6547">
              <w:t>ACMA is operating at, or better than benchmark levels, while improving productivity, outputs and maintaining compliance with performance targets against a backdrop of decreasing funding and staffing levels.</w:t>
            </w:r>
          </w:p>
          <w:p w14:paraId="07401227" w14:textId="6B510BA0" w:rsidR="004A6547" w:rsidRPr="004A6547" w:rsidRDefault="004A6547" w:rsidP="004A6547">
            <w:r w:rsidRPr="004A6547">
              <w:t>The Review also concluded that</w:t>
            </w:r>
            <w:r w:rsidR="004A36F2">
              <w:t xml:space="preserve"> </w:t>
            </w:r>
            <w:r w:rsidR="004A36F2">
              <w:rPr>
                <w:rFonts w:cs="Arial"/>
                <w:iCs/>
              </w:rPr>
              <w:t>the</w:t>
            </w:r>
            <w:r w:rsidRPr="004A6547">
              <w:t xml:space="preserve"> ACMA is operating efficiently, in accordance with the Department of Finance Cost Recovery Guidelines and noted it had developed a cost recovery costing framework that will help ensure it is consistent in costing its cost recovery activities into the future. </w:t>
            </w:r>
          </w:p>
          <w:p w14:paraId="40051FD6" w14:textId="246C72DB" w:rsidR="004A6547" w:rsidRPr="004A6547" w:rsidRDefault="00D65467" w:rsidP="004A6547">
            <w:r>
              <w:t>The review was prepared for the consideration of government and will not be released publicly.</w:t>
            </w:r>
          </w:p>
        </w:tc>
      </w:tr>
      <w:tr w:rsidR="004A6547" w:rsidRPr="004A6547" w14:paraId="6F6FB608" w14:textId="77777777" w:rsidTr="00CF4479">
        <w:tc>
          <w:tcPr>
            <w:tcW w:w="4679" w:type="dxa"/>
            <w:noWrap/>
          </w:tcPr>
          <w:p w14:paraId="4F509D8E" w14:textId="77777777" w:rsidR="004A6547" w:rsidRPr="004A6547" w:rsidRDefault="004A6547" w:rsidP="004A6547">
            <w:pPr>
              <w:numPr>
                <w:ilvl w:val="0"/>
                <w:numId w:val="30"/>
              </w:numPr>
            </w:pPr>
            <w:r w:rsidRPr="004A6547">
              <w:t xml:space="preserve">The ACLC is only imposed on carriers with annual revenue in excess of $25 million. We believe all carriers, or at least a larger percentage of carriers, should contribute to the ACLC, as all carriers operate in the same industry, create the need for regulation, and benefit from regulation. </w:t>
            </w:r>
          </w:p>
          <w:p w14:paraId="62B92B66" w14:textId="77777777" w:rsidR="004A6547" w:rsidRPr="004A6547" w:rsidRDefault="004A6547" w:rsidP="004A6547"/>
        </w:tc>
        <w:tc>
          <w:tcPr>
            <w:tcW w:w="5811" w:type="dxa"/>
          </w:tcPr>
          <w:p w14:paraId="04D924CA" w14:textId="39B67FBD" w:rsidR="00B74C7F" w:rsidRDefault="004A6547" w:rsidP="004A6547">
            <w:r w:rsidRPr="004A6547">
              <w:t xml:space="preserve">This would require amendments to the </w:t>
            </w:r>
            <w:r w:rsidRPr="00EB7AE9">
              <w:t>Telecommunications (Participating Persons) Determination 2015</w:t>
            </w:r>
            <w:r w:rsidRPr="004A6547">
              <w:t xml:space="preserve">, </w:t>
            </w:r>
            <w:r w:rsidR="003A7C41">
              <w:t xml:space="preserve"> and the revocation of the </w:t>
            </w:r>
            <w:r w:rsidR="003A7C41" w:rsidRPr="00EB7AE9">
              <w:t>Australian Communications and Media Authority (Annual Carrier Licence Charge) Direction 2017</w:t>
            </w:r>
            <w:r w:rsidR="003A7C41" w:rsidRPr="00876EEF">
              <w:t xml:space="preserve"> </w:t>
            </w:r>
            <w:r w:rsidRPr="004A6547">
              <w:t>which provides exemption for carriers with revenues less than $25 million from the requirement of lodging an eligible revenue return to</w:t>
            </w:r>
            <w:r w:rsidR="004A36F2">
              <w:rPr>
                <w:rFonts w:cs="Arial"/>
                <w:iCs/>
              </w:rPr>
              <w:t xml:space="preserve"> the</w:t>
            </w:r>
            <w:r w:rsidRPr="004A6547">
              <w:t xml:space="preserve"> ACMA, and consequently exempting from paying the ACLC. </w:t>
            </w:r>
          </w:p>
          <w:p w14:paraId="74C2C796" w14:textId="159DE49C" w:rsidR="004A6547" w:rsidRPr="004A6547" w:rsidRDefault="004A6547" w:rsidP="004A6547">
            <w:r w:rsidRPr="004A6547">
              <w:t xml:space="preserve">Any proposed changes to the ACLC arising from the Portfolio Charging Review currently undertaken by </w:t>
            </w:r>
            <w:proofErr w:type="spellStart"/>
            <w:r w:rsidRPr="004A6547">
              <w:t>DoCA</w:t>
            </w:r>
            <w:proofErr w:type="spellEnd"/>
            <w:r w:rsidRPr="004A6547">
              <w:t xml:space="preserve"> would be consulted upon separately during the 2019</w:t>
            </w:r>
            <w:r w:rsidR="003258D4">
              <w:t>–</w:t>
            </w:r>
            <w:r w:rsidRPr="004A6547">
              <w:t xml:space="preserve">20 financial year with the relevant stakeholders, if required.  </w:t>
            </w:r>
          </w:p>
        </w:tc>
      </w:tr>
      <w:tr w:rsidR="004A6547" w:rsidRPr="004A6547" w14:paraId="4AC7615A" w14:textId="77777777" w:rsidTr="00CF4479">
        <w:tc>
          <w:tcPr>
            <w:tcW w:w="4679" w:type="dxa"/>
          </w:tcPr>
          <w:p w14:paraId="2BA74A84" w14:textId="6557ED8A" w:rsidR="004A6547" w:rsidRPr="004A6547" w:rsidRDefault="004A6547" w:rsidP="004A6547">
            <w:pPr>
              <w:numPr>
                <w:ilvl w:val="0"/>
                <w:numId w:val="30"/>
              </w:numPr>
            </w:pPr>
            <w:r w:rsidRPr="004A6547">
              <w:t xml:space="preserve">That the </w:t>
            </w:r>
            <w:r w:rsidR="003258D4">
              <w:t>MBA</w:t>
            </w:r>
            <w:r w:rsidRPr="004A6547">
              <w:t xml:space="preserve"> program was established without development of a Regulation Impact Statement.</w:t>
            </w:r>
          </w:p>
        </w:tc>
        <w:tc>
          <w:tcPr>
            <w:tcW w:w="5811" w:type="dxa"/>
          </w:tcPr>
          <w:p w14:paraId="4BE27C4D" w14:textId="4465A8D6" w:rsidR="004A6547" w:rsidRPr="004A6547" w:rsidRDefault="004A6547" w:rsidP="005E3ED8">
            <w:r w:rsidRPr="004A6547">
              <w:t>A Regulation Impact Statement was not prepared because the proposal was considered to have minor regulatory impacts. T</w:t>
            </w:r>
            <w:r w:rsidR="0015752B">
              <w:t xml:space="preserve">he Office of Best Practice Regulation has confirmed that the regulatory impacts of the MBA scheme met its requirements (decision </w:t>
            </w:r>
            <w:r w:rsidR="0015752B" w:rsidRPr="00B02D11">
              <w:t>22444</w:t>
            </w:r>
            <w:r w:rsidR="005E3ED8">
              <w:rPr>
                <w:color w:val="7030A0"/>
              </w:rPr>
              <w:t xml:space="preserve"> </w:t>
            </w:r>
            <w:r w:rsidR="0015752B">
              <w:t>refers).</w:t>
            </w:r>
          </w:p>
        </w:tc>
      </w:tr>
      <w:tr w:rsidR="004A6547" w:rsidRPr="004A6547" w14:paraId="0D1E457D" w14:textId="77777777" w:rsidTr="00CF4479">
        <w:tc>
          <w:tcPr>
            <w:tcW w:w="4679" w:type="dxa"/>
          </w:tcPr>
          <w:p w14:paraId="5DEE8931" w14:textId="77777777" w:rsidR="004A6547" w:rsidRPr="004A6547" w:rsidRDefault="004A6547" w:rsidP="00EB7AE9">
            <w:pPr>
              <w:numPr>
                <w:ilvl w:val="0"/>
                <w:numId w:val="30"/>
              </w:numPr>
              <w:spacing w:after="80"/>
            </w:pPr>
            <w:r w:rsidRPr="004A6547">
              <w:lastRenderedPageBreak/>
              <w:t>Telstra is not aware of any attempt to quantify the benefits the program purports to provide. In particular:</w:t>
            </w:r>
          </w:p>
          <w:p w14:paraId="07547388" w14:textId="1A52819A" w:rsidR="004A6547" w:rsidRPr="004A6547" w:rsidRDefault="004A6547" w:rsidP="00EB7AE9">
            <w:pPr>
              <w:numPr>
                <w:ilvl w:val="0"/>
                <w:numId w:val="45"/>
              </w:numPr>
              <w:spacing w:after="80"/>
            </w:pPr>
            <w:r w:rsidRPr="004A6547">
              <w:t>The number of volunteers enlisted is 1,095 (in the August 2019 survey), well short of the 4,000 households that were originally planned to be signed up.</w:t>
            </w:r>
          </w:p>
          <w:p w14:paraId="4DE0E94B" w14:textId="0B0B0305" w:rsidR="004A6547" w:rsidRPr="004A6547" w:rsidRDefault="004A6547" w:rsidP="004A6547">
            <w:pPr>
              <w:numPr>
                <w:ilvl w:val="0"/>
                <w:numId w:val="45"/>
              </w:numPr>
              <w:rPr>
                <w:lang w:val="en-GB"/>
              </w:rPr>
            </w:pPr>
            <w:r w:rsidRPr="004A6547">
              <w:t>A key objective of the program was to assist consumers to make informed decisions when selecting an RSP to deliver the fastest speeds. However, the reports show that the speeds delivered to individual consumers is largely determined by their NBN access technology, rather than the performance of individual RSPs, as there is little variation between RSP download speeds which are typically between 5% and 10%.</w:t>
            </w:r>
          </w:p>
        </w:tc>
        <w:tc>
          <w:tcPr>
            <w:tcW w:w="5811" w:type="dxa"/>
          </w:tcPr>
          <w:p w14:paraId="4862C7A0" w14:textId="3208EE00" w:rsidR="004A6547" w:rsidRPr="004A6547" w:rsidRDefault="004A6547" w:rsidP="004A6547">
            <w:pPr>
              <w:rPr>
                <w:b/>
                <w:bCs/>
                <w:u w:val="single"/>
              </w:rPr>
            </w:pPr>
            <w:r w:rsidRPr="004A6547">
              <w:rPr>
                <w:b/>
                <w:bCs/>
                <w:u w:val="single"/>
              </w:rPr>
              <w:t xml:space="preserve">ACCC </w:t>
            </w:r>
            <w:r w:rsidR="00E35833">
              <w:rPr>
                <w:b/>
                <w:bCs/>
                <w:u w:val="single"/>
              </w:rPr>
              <w:t>r</w:t>
            </w:r>
            <w:r w:rsidRPr="004A6547">
              <w:rPr>
                <w:b/>
                <w:bCs/>
                <w:u w:val="single"/>
              </w:rPr>
              <w:t>esponse:</w:t>
            </w:r>
          </w:p>
          <w:p w14:paraId="105BFB2A" w14:textId="02E7EF49" w:rsidR="004A6547" w:rsidRPr="004A6547" w:rsidRDefault="004A6547" w:rsidP="00B74C7F">
            <w:pPr>
              <w:numPr>
                <w:ilvl w:val="0"/>
                <w:numId w:val="46"/>
              </w:numPr>
              <w:ind w:left="320"/>
            </w:pPr>
            <w:r w:rsidRPr="004A6547">
              <w:t>The forecast deployment of devices in 2017</w:t>
            </w:r>
            <w:r w:rsidR="00345B9B">
              <w:t>–</w:t>
            </w:r>
            <w:r w:rsidRPr="004A6547">
              <w:t>18 was 2,500 with an actual deployment of 1,200. The variance resulted from timing issues with the start-up phase. The MBA Program forecasts deploying 4,000 in its fourth year, 2020</w:t>
            </w:r>
            <w:r w:rsidR="00345B9B">
              <w:t>–</w:t>
            </w:r>
            <w:r w:rsidRPr="004A6547">
              <w:t xml:space="preserve">21. See </w:t>
            </w:r>
            <w:r w:rsidR="00B561AD" w:rsidRPr="00345B9B">
              <w:t>T</w:t>
            </w:r>
            <w:r w:rsidRPr="00345B9B">
              <w:t>able</w:t>
            </w:r>
            <w:r w:rsidRPr="004A6547">
              <w:t xml:space="preserve"> </w:t>
            </w:r>
            <w:r w:rsidR="003D2CA7">
              <w:t>6</w:t>
            </w:r>
            <w:r w:rsidRPr="004A6547">
              <w:t xml:space="preserve"> of Attachment B for details.</w:t>
            </w:r>
          </w:p>
          <w:p w14:paraId="6D165741" w14:textId="77777777" w:rsidR="004A6547" w:rsidRPr="004A6547" w:rsidRDefault="004A6547" w:rsidP="00B74C7F">
            <w:pPr>
              <w:numPr>
                <w:ilvl w:val="0"/>
                <w:numId w:val="46"/>
              </w:numPr>
              <w:ind w:left="320"/>
            </w:pPr>
            <w:r w:rsidRPr="004A6547">
              <w:t>The MBA program provides valuable information concerning the overall performance of NBN services, with a breakdown for the eight largest retail service providers, as demonstrated by the continuing engagement by media, consumers and ISPs with the published results. The program also provides a catalyst for network operators and ISPs to improve their services and thereby achieve a higher score. The value of the program is not diminished by the extent of variation between ISP level results or the NBN access technology results.</w:t>
            </w:r>
          </w:p>
        </w:tc>
      </w:tr>
      <w:tr w:rsidR="004A6547" w:rsidRPr="004A6547" w14:paraId="247076D7" w14:textId="77777777" w:rsidTr="00CF4479">
        <w:tc>
          <w:tcPr>
            <w:tcW w:w="4679" w:type="dxa"/>
          </w:tcPr>
          <w:p w14:paraId="5D5C7D0A" w14:textId="77777777" w:rsidR="004A6547" w:rsidRPr="001B00EE" w:rsidRDefault="004A6547" w:rsidP="004A6547">
            <w:pPr>
              <w:numPr>
                <w:ilvl w:val="0"/>
                <w:numId w:val="30"/>
              </w:numPr>
            </w:pPr>
            <w:r w:rsidRPr="00D80ECD">
              <w:t>Based on the reporting in Table 11 and Table 13, the exact sum of the MBA’s one-off costs is unclear. To provide clarity over all MBA related costs, in addition to the delivery costs, the ‘one-off’ costs due to the program’s establishments and over</w:t>
            </w:r>
            <w:r w:rsidRPr="001B00EE">
              <w:t xml:space="preserve">sight, including the procurement process for an outsourced provider, be disclosed separately. </w:t>
            </w:r>
          </w:p>
          <w:p w14:paraId="4035BE0D" w14:textId="77777777" w:rsidR="004A6547" w:rsidRPr="004A6547" w:rsidRDefault="004A6547" w:rsidP="004A6547"/>
        </w:tc>
        <w:tc>
          <w:tcPr>
            <w:tcW w:w="5811" w:type="dxa"/>
          </w:tcPr>
          <w:p w14:paraId="68C8D542" w14:textId="47F6786B" w:rsidR="004A6547" w:rsidRPr="004A6547" w:rsidRDefault="004A6547" w:rsidP="004A6547">
            <w:r w:rsidRPr="004A6547">
              <w:rPr>
                <w:b/>
                <w:bCs/>
                <w:u w:val="single"/>
              </w:rPr>
              <w:t xml:space="preserve">ACCC </w:t>
            </w:r>
            <w:r w:rsidR="00E35833">
              <w:rPr>
                <w:b/>
                <w:bCs/>
                <w:u w:val="single"/>
              </w:rPr>
              <w:t>r</w:t>
            </w:r>
            <w:r w:rsidRPr="004A6547">
              <w:rPr>
                <w:b/>
                <w:bCs/>
                <w:u w:val="single"/>
              </w:rPr>
              <w:t>esponse:</w:t>
            </w:r>
            <w:r w:rsidRPr="00B02D11">
              <w:rPr>
                <w:b/>
                <w:bCs/>
              </w:rPr>
              <w:t xml:space="preserve"> </w:t>
            </w:r>
            <w:r w:rsidRPr="004A6547">
              <w:t>Expert procurement advice for the MBA Program totalled $</w:t>
            </w:r>
            <w:r w:rsidR="00E35833">
              <w:t>0.0</w:t>
            </w:r>
            <w:r w:rsidRPr="004A6547">
              <w:t>83</w:t>
            </w:r>
            <w:r w:rsidR="00E35833">
              <w:t xml:space="preserve"> million</w:t>
            </w:r>
            <w:r w:rsidRPr="004A6547">
              <w:t xml:space="preserve"> of the $</w:t>
            </w:r>
            <w:r w:rsidR="00E35833">
              <w:t>0.</w:t>
            </w:r>
            <w:r w:rsidRPr="004A6547">
              <w:t>35</w:t>
            </w:r>
            <w:r w:rsidR="00E35833">
              <w:t>1 million</w:t>
            </w:r>
            <w:r w:rsidRPr="004A6547">
              <w:t xml:space="preserve"> incurred in consultancies in 2017</w:t>
            </w:r>
            <w:r w:rsidR="00D348D1">
              <w:t>–</w:t>
            </w:r>
            <w:r w:rsidRPr="004A6547">
              <w:t>18.</w:t>
            </w:r>
          </w:p>
          <w:p w14:paraId="7BAA2B53" w14:textId="77777777" w:rsidR="004A6547" w:rsidRPr="004A6547" w:rsidRDefault="004A6547" w:rsidP="004A6547">
            <w:r w:rsidRPr="004A6547">
              <w:t>The management and oversight for program establishment was not tracked separately and was undertaken as part of broader management of the telecommunications function.</w:t>
            </w:r>
          </w:p>
          <w:p w14:paraId="4A4D1400" w14:textId="77777777" w:rsidR="004A6547" w:rsidRPr="004A6547" w:rsidRDefault="004A6547" w:rsidP="00EB7AE9">
            <w:pPr>
              <w:spacing w:after="80"/>
            </w:pPr>
            <w:r w:rsidRPr="004A6547">
              <w:t>As stated in the CRIS:</w:t>
            </w:r>
          </w:p>
          <w:p w14:paraId="0A051FCA" w14:textId="55766C66" w:rsidR="004A6547" w:rsidRPr="004A6547" w:rsidRDefault="004A6547" w:rsidP="00EB7AE9">
            <w:pPr>
              <w:pStyle w:val="ListBullet"/>
            </w:pPr>
            <w:r w:rsidRPr="004A6547">
              <w:t xml:space="preserve">Table 11 shows </w:t>
            </w:r>
            <w:r w:rsidR="00D80ECD">
              <w:t xml:space="preserve">the </w:t>
            </w:r>
            <w:r w:rsidRPr="004A6547">
              <w:t>ACCC’s cost for 2017</w:t>
            </w:r>
            <w:r w:rsidR="00D348D1">
              <w:t>–</w:t>
            </w:r>
            <w:r w:rsidRPr="004A6547">
              <w:t>18 of $11,764,009</w:t>
            </w:r>
          </w:p>
          <w:p w14:paraId="01A14F6B" w14:textId="7894E233" w:rsidR="004A6547" w:rsidRPr="004A6547" w:rsidRDefault="004A6547" w:rsidP="00EB7AE9">
            <w:pPr>
              <w:pStyle w:val="ListBullet"/>
            </w:pPr>
            <w:r w:rsidRPr="004A6547">
              <w:t xml:space="preserve">Table 13 shows </w:t>
            </w:r>
            <w:r w:rsidR="00D80ECD">
              <w:t xml:space="preserve">the </w:t>
            </w:r>
            <w:r w:rsidRPr="004A6547">
              <w:t>ACCC’s forecast expense budgets and revenue</w:t>
            </w:r>
            <w:r w:rsidR="00D348D1">
              <w:t>.</w:t>
            </w:r>
          </w:p>
        </w:tc>
      </w:tr>
      <w:tr w:rsidR="004A6547" w:rsidRPr="004A6547" w14:paraId="58391752" w14:textId="77777777" w:rsidTr="00CF4479">
        <w:tc>
          <w:tcPr>
            <w:tcW w:w="10490" w:type="dxa"/>
            <w:gridSpan w:val="2"/>
            <w:shd w:val="clear" w:color="auto" w:fill="D9D9D9" w:themeFill="background1" w:themeFillShade="D9"/>
          </w:tcPr>
          <w:p w14:paraId="098BEE13" w14:textId="77777777" w:rsidR="004A6547" w:rsidRPr="004A6547" w:rsidRDefault="004A6547" w:rsidP="004A6547">
            <w:pPr>
              <w:rPr>
                <w:b/>
              </w:rPr>
            </w:pPr>
            <w:r w:rsidRPr="004A6547">
              <w:rPr>
                <w:b/>
              </w:rPr>
              <w:t>Communications Alliance (CA)</w:t>
            </w:r>
          </w:p>
        </w:tc>
      </w:tr>
      <w:tr w:rsidR="004A6547" w:rsidRPr="004A6547" w14:paraId="70D04934" w14:textId="77777777" w:rsidTr="00CF4479">
        <w:tc>
          <w:tcPr>
            <w:tcW w:w="4679" w:type="dxa"/>
            <w:shd w:val="clear" w:color="auto" w:fill="FFFFFF" w:themeFill="background1"/>
          </w:tcPr>
          <w:p w14:paraId="214080C4" w14:textId="40E650C4" w:rsidR="004A6547" w:rsidRPr="004A6547" w:rsidRDefault="004A6547" w:rsidP="00D27829">
            <w:pPr>
              <w:numPr>
                <w:ilvl w:val="0"/>
                <w:numId w:val="30"/>
              </w:numPr>
            </w:pPr>
            <w:r w:rsidRPr="004A6547">
              <w:t>As provided by Telstra in their feedback (see issue 5 above), CA members also do not support the $7</w:t>
            </w:r>
            <w:r w:rsidR="00D348D1">
              <w:t xml:space="preserve"> </w:t>
            </w:r>
            <w:r w:rsidRPr="004A6547">
              <w:t>m</w:t>
            </w:r>
            <w:r w:rsidR="00D348D1">
              <w:t>illion</w:t>
            </w:r>
            <w:r w:rsidRPr="004A6547">
              <w:t xml:space="preserve"> cost of the MBA or its inclusion in the ACLC due to the lack of a regulatory </w:t>
            </w:r>
            <w:r w:rsidR="00D27829" w:rsidRPr="004A6547">
              <w:t xml:space="preserve">impact </w:t>
            </w:r>
            <w:r w:rsidRPr="004A6547">
              <w:t xml:space="preserve">statement and the ‘potential market impacts of the publicised data having more than a minor regulatory impact’. </w:t>
            </w:r>
          </w:p>
        </w:tc>
        <w:tc>
          <w:tcPr>
            <w:tcW w:w="5811" w:type="dxa"/>
            <w:shd w:val="clear" w:color="auto" w:fill="FFFFFF" w:themeFill="background1"/>
          </w:tcPr>
          <w:p w14:paraId="74E9303B" w14:textId="3B29627E" w:rsidR="004A6547" w:rsidRPr="00B02D11" w:rsidRDefault="004A6547" w:rsidP="004A6547">
            <w:r w:rsidRPr="004A6547">
              <w:rPr>
                <w:b/>
                <w:bCs/>
                <w:u w:val="single"/>
              </w:rPr>
              <w:t xml:space="preserve">ACCC </w:t>
            </w:r>
            <w:r w:rsidR="00E35833">
              <w:rPr>
                <w:b/>
                <w:bCs/>
                <w:u w:val="single"/>
              </w:rPr>
              <w:t>r</w:t>
            </w:r>
            <w:r w:rsidRPr="004A6547">
              <w:rPr>
                <w:b/>
                <w:bCs/>
                <w:u w:val="single"/>
              </w:rPr>
              <w:t>esponse:</w:t>
            </w:r>
            <w:r w:rsidRPr="004A6547">
              <w:rPr>
                <w:b/>
                <w:bCs/>
              </w:rPr>
              <w:t xml:space="preserve"> </w:t>
            </w:r>
            <w:r w:rsidRPr="004A6547">
              <w:t>See Issue</w:t>
            </w:r>
            <w:r w:rsidR="00D27829">
              <w:t>s</w:t>
            </w:r>
            <w:r w:rsidRPr="004A6547">
              <w:t xml:space="preserve"> 5</w:t>
            </w:r>
            <w:r w:rsidR="00D27829">
              <w:t xml:space="preserve"> and 9</w:t>
            </w:r>
            <w:r w:rsidRPr="004A6547">
              <w:t xml:space="preserve">. </w:t>
            </w:r>
          </w:p>
          <w:p w14:paraId="30EC3594" w14:textId="77777777" w:rsidR="004A6547" w:rsidRPr="004A6547" w:rsidRDefault="004A6547" w:rsidP="004A6547"/>
        </w:tc>
      </w:tr>
      <w:tr w:rsidR="004A6547" w:rsidRPr="004A6547" w14:paraId="435D8485" w14:textId="77777777" w:rsidTr="00CF4479">
        <w:tc>
          <w:tcPr>
            <w:tcW w:w="4679" w:type="dxa"/>
            <w:shd w:val="clear" w:color="auto" w:fill="FFFFFF" w:themeFill="background1"/>
          </w:tcPr>
          <w:p w14:paraId="019532F3" w14:textId="77777777" w:rsidR="004A6547" w:rsidRPr="004A6547" w:rsidRDefault="004A6547" w:rsidP="004A6547">
            <w:pPr>
              <w:numPr>
                <w:ilvl w:val="0"/>
                <w:numId w:val="30"/>
              </w:numPr>
            </w:pPr>
            <w:r w:rsidRPr="004A6547">
              <w:t xml:space="preserve">CA are not aware of any attempt to build a benefits analysis into the program, any ongoing attempts to quantify those benefits, or any examination of how the program performs against the ACCC deliverables enumerated in the CRIS. This is particularly important </w:t>
            </w:r>
            <w:proofErr w:type="gramStart"/>
            <w:r w:rsidRPr="004A6547">
              <w:t>in light of</w:t>
            </w:r>
            <w:proofErr w:type="gramEnd"/>
            <w:r w:rsidRPr="004A6547">
              <w:t xml:space="preserve"> a range of viable commercial alternatives, including the testing program run by CHOICE and the Netflix ISP Speed Index.</w:t>
            </w:r>
          </w:p>
        </w:tc>
        <w:tc>
          <w:tcPr>
            <w:tcW w:w="5811" w:type="dxa"/>
            <w:shd w:val="clear" w:color="auto" w:fill="FFFFFF" w:themeFill="background1"/>
          </w:tcPr>
          <w:p w14:paraId="53D04CD9" w14:textId="3DB442A8" w:rsidR="004A6547" w:rsidRPr="004A6547" w:rsidRDefault="004A6547" w:rsidP="00EB7AE9">
            <w:pPr>
              <w:spacing w:after="80"/>
              <w:rPr>
                <w:b/>
                <w:bCs/>
                <w:u w:val="single"/>
              </w:rPr>
            </w:pPr>
            <w:r w:rsidRPr="004A6547">
              <w:rPr>
                <w:b/>
                <w:bCs/>
                <w:u w:val="single"/>
              </w:rPr>
              <w:t xml:space="preserve">ACCC </w:t>
            </w:r>
            <w:r w:rsidR="00E35833">
              <w:rPr>
                <w:b/>
                <w:bCs/>
                <w:u w:val="single"/>
              </w:rPr>
              <w:t>r</w:t>
            </w:r>
            <w:r w:rsidRPr="004A6547">
              <w:rPr>
                <w:b/>
                <w:bCs/>
                <w:u w:val="single"/>
              </w:rPr>
              <w:t>esponse:</w:t>
            </w:r>
            <w:r w:rsidRPr="004A6547">
              <w:rPr>
                <w:b/>
                <w:bCs/>
              </w:rPr>
              <w:t xml:space="preserve"> </w:t>
            </w:r>
            <w:r w:rsidRPr="004A6547">
              <w:t>The benefits of the MBA program were stated by the government when the program was announced on 7 April 2017 as follows:</w:t>
            </w:r>
          </w:p>
          <w:p w14:paraId="7920FFFD" w14:textId="77777777" w:rsidR="004A6547" w:rsidRPr="004A6547" w:rsidRDefault="004A6547" w:rsidP="00EB7AE9">
            <w:pPr>
              <w:spacing w:after="80"/>
            </w:pPr>
            <w:r w:rsidRPr="004A6547">
              <w:t>‘By collecting and publishing information about the speed and reliability of broadband packages, consumers will be better placed to choose a plan that is right for them. It will also encourage retailers to compete on the quality of their broadband plans’.</w:t>
            </w:r>
          </w:p>
          <w:p w14:paraId="02098C71" w14:textId="476DFA6D" w:rsidR="004A6547" w:rsidRPr="004A6547" w:rsidRDefault="004A6547" w:rsidP="00D27829">
            <w:r w:rsidRPr="004A6547">
              <w:t xml:space="preserve">The MBA program has collected and published this information each quarter for a range of broadband packages supplied by </w:t>
            </w:r>
            <w:r w:rsidRPr="004A6547">
              <w:lastRenderedPageBreak/>
              <w:t xml:space="preserve">the eight leading NBN RSPs. RSPs now differentiate their NBN service offerings and compete over busy hour speeds, including through periodic updates to their speed claims to better align with MBA results. Other speed </w:t>
            </w:r>
            <w:r w:rsidR="00D27829">
              <w:t xml:space="preserve">testing </w:t>
            </w:r>
            <w:r w:rsidRPr="004A6547">
              <w:t>programs</w:t>
            </w:r>
            <w:r w:rsidR="00D27829">
              <w:t xml:space="preserve"> are not directly comparable</w:t>
            </w:r>
            <w:r w:rsidRPr="004A6547">
              <w:t xml:space="preserve"> the MBA program due to limited scope of reporting</w:t>
            </w:r>
            <w:r w:rsidR="00D27829">
              <w:t xml:space="preserve"> and/or differences in methodology</w:t>
            </w:r>
            <w:r w:rsidRPr="004A6547">
              <w:t>.</w:t>
            </w:r>
          </w:p>
        </w:tc>
      </w:tr>
      <w:tr w:rsidR="004A6547" w:rsidRPr="004A6547" w14:paraId="5A6AB4C1" w14:textId="77777777" w:rsidTr="00CF4479">
        <w:tc>
          <w:tcPr>
            <w:tcW w:w="4679" w:type="dxa"/>
            <w:shd w:val="clear" w:color="auto" w:fill="FFFFFF" w:themeFill="background1"/>
          </w:tcPr>
          <w:p w14:paraId="75B1C85E" w14:textId="77777777" w:rsidR="004A6547" w:rsidRPr="004A6547" w:rsidRDefault="004A6547" w:rsidP="004A6547">
            <w:pPr>
              <w:numPr>
                <w:ilvl w:val="0"/>
                <w:numId w:val="30"/>
              </w:numPr>
            </w:pPr>
            <w:r w:rsidRPr="004A6547">
              <w:lastRenderedPageBreak/>
              <w:t>With the existence of commercial alternatives, we are concerned that the MBA could be considered a commercial program.</w:t>
            </w:r>
          </w:p>
        </w:tc>
        <w:tc>
          <w:tcPr>
            <w:tcW w:w="5811" w:type="dxa"/>
            <w:shd w:val="clear" w:color="auto" w:fill="FFFFFF" w:themeFill="background1"/>
          </w:tcPr>
          <w:p w14:paraId="4060BE20" w14:textId="612D07CE" w:rsidR="004A6547" w:rsidRPr="004A6547" w:rsidRDefault="004A6547" w:rsidP="004A6547">
            <w:pPr>
              <w:rPr>
                <w:b/>
                <w:bCs/>
                <w:u w:val="single"/>
              </w:rPr>
            </w:pPr>
            <w:r w:rsidRPr="004A6547">
              <w:rPr>
                <w:b/>
                <w:bCs/>
                <w:u w:val="single"/>
              </w:rPr>
              <w:t xml:space="preserve">ACCC </w:t>
            </w:r>
            <w:r w:rsidR="00E35833">
              <w:rPr>
                <w:b/>
                <w:bCs/>
                <w:u w:val="single"/>
              </w:rPr>
              <w:t>r</w:t>
            </w:r>
            <w:r w:rsidRPr="004A6547">
              <w:rPr>
                <w:b/>
                <w:bCs/>
                <w:u w:val="single"/>
              </w:rPr>
              <w:t>esponse:</w:t>
            </w:r>
            <w:r w:rsidRPr="004A6547">
              <w:rPr>
                <w:b/>
                <w:bCs/>
              </w:rPr>
              <w:t xml:space="preserve"> </w:t>
            </w:r>
            <w:r w:rsidRPr="004A6547">
              <w:t xml:space="preserve">The MBA program is a regulatory program, forming an important part of an overall regulatory strategy to boost competition and consumer outcomes in the supply of broadband services in the Australian market. </w:t>
            </w:r>
          </w:p>
        </w:tc>
      </w:tr>
      <w:tr w:rsidR="004A6547" w:rsidRPr="004A6547" w14:paraId="70436611" w14:textId="77777777" w:rsidTr="00CF4479">
        <w:tc>
          <w:tcPr>
            <w:tcW w:w="4679" w:type="dxa"/>
            <w:shd w:val="clear" w:color="auto" w:fill="FFFFFF" w:themeFill="background1"/>
          </w:tcPr>
          <w:p w14:paraId="4AA535DE" w14:textId="77777777" w:rsidR="004A6547" w:rsidRPr="004A6547" w:rsidRDefault="004A6547" w:rsidP="004A6547">
            <w:pPr>
              <w:numPr>
                <w:ilvl w:val="0"/>
                <w:numId w:val="30"/>
              </w:numPr>
            </w:pPr>
            <w:r w:rsidRPr="004A6547">
              <w:t>CA recommends direct consultation with participants on the raw data collected on actual broadband speeds should be publicised. Given that industry is already paying for the program, access to the raw dataset would increase transparency in the reported speed measures and allow insights to be drawn from the data.</w:t>
            </w:r>
          </w:p>
        </w:tc>
        <w:tc>
          <w:tcPr>
            <w:tcW w:w="5811" w:type="dxa"/>
            <w:shd w:val="clear" w:color="auto" w:fill="FFFFFF" w:themeFill="background1"/>
          </w:tcPr>
          <w:p w14:paraId="3F1052C0" w14:textId="17914C5F" w:rsidR="004A6547" w:rsidRPr="004A6547" w:rsidRDefault="004A6547" w:rsidP="004A6547">
            <w:pPr>
              <w:rPr>
                <w:b/>
                <w:bCs/>
                <w:u w:val="single"/>
              </w:rPr>
            </w:pPr>
            <w:r w:rsidRPr="004A6547">
              <w:rPr>
                <w:b/>
                <w:bCs/>
                <w:u w:val="single"/>
              </w:rPr>
              <w:t xml:space="preserve">ACCC </w:t>
            </w:r>
            <w:r w:rsidR="00E35833">
              <w:rPr>
                <w:b/>
                <w:bCs/>
                <w:u w:val="single"/>
              </w:rPr>
              <w:t>r</w:t>
            </w:r>
            <w:r w:rsidRPr="004A6547">
              <w:rPr>
                <w:b/>
                <w:bCs/>
                <w:u w:val="single"/>
              </w:rPr>
              <w:t>esponse:</w:t>
            </w:r>
            <w:r w:rsidRPr="004A6547">
              <w:rPr>
                <w:b/>
                <w:bCs/>
              </w:rPr>
              <w:t xml:space="preserve"> </w:t>
            </w:r>
            <w:r w:rsidRPr="004A6547">
              <w:t>The MBA program is being further developed and additional data is released with each report, including the provision of a metric requested by industry that compares own claims against observed download speeds. The release of raw data can be considered as part of future enhancements to the program.</w:t>
            </w:r>
          </w:p>
        </w:tc>
      </w:tr>
      <w:tr w:rsidR="004A6547" w:rsidRPr="004A6547" w14:paraId="327169E4" w14:textId="77777777" w:rsidTr="00CF4479">
        <w:tc>
          <w:tcPr>
            <w:tcW w:w="4679" w:type="dxa"/>
            <w:shd w:val="clear" w:color="auto" w:fill="FFFFFF" w:themeFill="background1"/>
          </w:tcPr>
          <w:p w14:paraId="64AF7D9B" w14:textId="25FA1170" w:rsidR="004A6547" w:rsidRPr="004A6547" w:rsidRDefault="004A6547" w:rsidP="004A6547">
            <w:pPr>
              <w:numPr>
                <w:ilvl w:val="0"/>
                <w:numId w:val="30"/>
              </w:numPr>
            </w:pPr>
            <w:r w:rsidRPr="004A6547">
              <w:t xml:space="preserve">As Industry was not previously consulted on the development of the CRIS, </w:t>
            </w:r>
            <w:r w:rsidR="00E35833">
              <w:t>CA</w:t>
            </w:r>
            <w:r w:rsidR="00E35833" w:rsidRPr="004A6547">
              <w:t xml:space="preserve"> </w:t>
            </w:r>
            <w:r w:rsidRPr="004A6547">
              <w:t>would appreciate clarity on the proposed next steps, including on further consultation while developing the final CRIS.</w:t>
            </w:r>
          </w:p>
        </w:tc>
        <w:tc>
          <w:tcPr>
            <w:tcW w:w="5811" w:type="dxa"/>
            <w:shd w:val="clear" w:color="auto" w:fill="FFFFFF" w:themeFill="background1"/>
          </w:tcPr>
          <w:p w14:paraId="3B727EA6" w14:textId="3C2B8685" w:rsidR="004A6547" w:rsidRPr="004A6547" w:rsidRDefault="004A36F2" w:rsidP="00FD1F53">
            <w:r>
              <w:t xml:space="preserve">The </w:t>
            </w:r>
            <w:r w:rsidR="004A6547" w:rsidRPr="004A6547">
              <w:t>ACMA consults each year with the industry prior to the finalisation of the CRIS</w:t>
            </w:r>
            <w:r w:rsidR="006865FF">
              <w:t xml:space="preserve"> and accordingly the charging arrangement for the MBA program was consulted on in the 2017</w:t>
            </w:r>
            <w:r w:rsidR="007E3006">
              <w:t>–</w:t>
            </w:r>
            <w:r w:rsidR="006865FF">
              <w:t>18 financial year</w:t>
            </w:r>
            <w:r w:rsidR="004A6547" w:rsidRPr="004A6547">
              <w:t>. All issues, where appropriate, are considered for inclusion in both the current or future CRIS’s depending on the availability or ability to capture and report o</w:t>
            </w:r>
            <w:r w:rsidR="007D227F">
              <w:t>n</w:t>
            </w:r>
            <w:r w:rsidR="004A6547" w:rsidRPr="004A6547">
              <w:t xml:space="preserve"> the requested information.  </w:t>
            </w:r>
          </w:p>
        </w:tc>
      </w:tr>
      <w:tr w:rsidR="004A6547" w:rsidRPr="004A6547" w14:paraId="6A0D240B" w14:textId="77777777" w:rsidTr="00CF4479">
        <w:tc>
          <w:tcPr>
            <w:tcW w:w="4679" w:type="dxa"/>
            <w:shd w:val="clear" w:color="auto" w:fill="FFFFFF" w:themeFill="background1"/>
          </w:tcPr>
          <w:p w14:paraId="43F82386" w14:textId="5528C0BD" w:rsidR="004A6547" w:rsidRPr="004A6547" w:rsidRDefault="004A6547" w:rsidP="004A6547">
            <w:pPr>
              <w:numPr>
                <w:ilvl w:val="0"/>
                <w:numId w:val="30"/>
              </w:numPr>
            </w:pPr>
            <w:r w:rsidRPr="004A6547">
              <w:t>That the CRIS does not appropriately reflect</w:t>
            </w:r>
            <w:r w:rsidR="007E3006">
              <w:t>,</w:t>
            </w:r>
            <w:r w:rsidRPr="004A6547">
              <w:t xml:space="preserve"> </w:t>
            </w:r>
            <w:r w:rsidR="007E3006">
              <w:t>‘</w:t>
            </w:r>
            <w:r w:rsidRPr="004A6547">
              <w:t>a summary of the most recent consultation and stakeholder views</w:t>
            </w:r>
            <w:r w:rsidR="007E3006">
              <w:t>’</w:t>
            </w:r>
            <w:r w:rsidRPr="004A6547">
              <w:t xml:space="preserve"> on the MBA, in particular stakeholder engagement views expressed by </w:t>
            </w:r>
            <w:r w:rsidR="007E3006">
              <w:t>i</w:t>
            </w:r>
            <w:r w:rsidRPr="004A6547">
              <w:t>ndustry in August 2013, in the subsequent six years raised through consultative processes, including with the selection of provider, methodology, and reporting.</w:t>
            </w:r>
          </w:p>
        </w:tc>
        <w:tc>
          <w:tcPr>
            <w:tcW w:w="5811" w:type="dxa"/>
            <w:shd w:val="clear" w:color="auto" w:fill="FFFFFF" w:themeFill="background1"/>
          </w:tcPr>
          <w:p w14:paraId="2177A166" w14:textId="2B5778AE" w:rsidR="004A6547" w:rsidRPr="004A6547" w:rsidRDefault="004A6547" w:rsidP="004A6547">
            <w:pPr>
              <w:rPr>
                <w:b/>
                <w:bCs/>
                <w:u w:val="single"/>
              </w:rPr>
            </w:pPr>
            <w:r w:rsidRPr="004A6547">
              <w:rPr>
                <w:b/>
                <w:bCs/>
                <w:u w:val="single"/>
              </w:rPr>
              <w:t xml:space="preserve">ACCC </w:t>
            </w:r>
            <w:r w:rsidR="00E35833">
              <w:rPr>
                <w:b/>
                <w:bCs/>
                <w:u w:val="single"/>
              </w:rPr>
              <w:t>r</w:t>
            </w:r>
            <w:r w:rsidRPr="004A6547">
              <w:rPr>
                <w:b/>
                <w:bCs/>
                <w:u w:val="single"/>
              </w:rPr>
              <w:t>esponse:</w:t>
            </w:r>
            <w:r w:rsidRPr="004A6547">
              <w:rPr>
                <w:b/>
                <w:bCs/>
              </w:rPr>
              <w:t xml:space="preserve"> </w:t>
            </w:r>
            <w:r w:rsidRPr="004A6547">
              <w:t>As disclosed in the CRIS (see page 44</w:t>
            </w:r>
            <w:r w:rsidR="007E3006">
              <w:t>—</w:t>
            </w:r>
            <w:r w:rsidRPr="004A6547">
              <w:t xml:space="preserve"> section 5) a broad consultation process was undertaken with a range of stakeholders, prior to the </w:t>
            </w:r>
            <w:r w:rsidR="00E35833">
              <w:t xml:space="preserve">Australian </w:t>
            </w:r>
            <w:r w:rsidRPr="004A6547">
              <w:t xml:space="preserve">Government’s decision to proceed with the MBA program in April 2017. Further details of this consultation process and the views expressed, can be found on the </w:t>
            </w:r>
            <w:hyperlink r:id="rId36" w:history="1">
              <w:r w:rsidRPr="007E3006">
                <w:rPr>
                  <w:rStyle w:val="Hyperlink"/>
                </w:rPr>
                <w:t>ACCC website</w:t>
              </w:r>
            </w:hyperlink>
            <w:r w:rsidR="007E3006">
              <w:t>.</w:t>
            </w:r>
            <w:r w:rsidRPr="004A6547">
              <w:t xml:space="preserve"> </w:t>
            </w:r>
          </w:p>
          <w:p w14:paraId="5812F350" w14:textId="5F02BF4B" w:rsidR="004A6547" w:rsidRPr="004A6547" w:rsidRDefault="004A6547" w:rsidP="004A6547">
            <w:r w:rsidRPr="004A6547">
              <w:t>The 2018</w:t>
            </w:r>
            <w:r w:rsidR="007E3006">
              <w:t>–</w:t>
            </w:r>
            <w:r w:rsidRPr="004A6547">
              <w:t>19 CRIS has, however, been updated to include further information on the selection of the provider.</w:t>
            </w:r>
          </w:p>
        </w:tc>
      </w:tr>
      <w:tr w:rsidR="004A6547" w:rsidRPr="004A6547" w14:paraId="2FA1F9BD" w14:textId="77777777" w:rsidTr="00CF4479">
        <w:tc>
          <w:tcPr>
            <w:tcW w:w="4679" w:type="dxa"/>
            <w:shd w:val="clear" w:color="auto" w:fill="FFFFFF" w:themeFill="background1"/>
          </w:tcPr>
          <w:p w14:paraId="152CADFD" w14:textId="77777777" w:rsidR="004A6547" w:rsidRPr="004A6547" w:rsidRDefault="004A6547" w:rsidP="004A6547">
            <w:pPr>
              <w:numPr>
                <w:ilvl w:val="0"/>
                <w:numId w:val="30"/>
              </w:numPr>
            </w:pPr>
            <w:r w:rsidRPr="004A6547">
              <w:t>The Cost Recovery Guidelines (the Guidelines) also recommend the inclusion of benchmarking as good practice. As there is a current program which offers a clear opportunity for comparison, it would be appropriate to include benchmarking against the CHOICE program earlier referenced.</w:t>
            </w:r>
          </w:p>
        </w:tc>
        <w:tc>
          <w:tcPr>
            <w:tcW w:w="5811" w:type="dxa"/>
            <w:shd w:val="clear" w:color="auto" w:fill="FFFFFF" w:themeFill="background1"/>
          </w:tcPr>
          <w:p w14:paraId="6E1B7D47" w14:textId="2BF47B29" w:rsidR="00781D31" w:rsidRPr="00B02D11" w:rsidRDefault="004A6547" w:rsidP="00EB7AE9">
            <w:pPr>
              <w:spacing w:after="0"/>
            </w:pPr>
            <w:r w:rsidRPr="004A6547">
              <w:rPr>
                <w:b/>
                <w:bCs/>
                <w:u w:val="single"/>
              </w:rPr>
              <w:t xml:space="preserve">ACCC </w:t>
            </w:r>
            <w:r w:rsidR="00E35833">
              <w:rPr>
                <w:b/>
                <w:bCs/>
                <w:u w:val="single"/>
              </w:rPr>
              <w:t>r</w:t>
            </w:r>
            <w:r w:rsidRPr="004A6547">
              <w:rPr>
                <w:b/>
                <w:bCs/>
                <w:u w:val="single"/>
              </w:rPr>
              <w:t>esponse:</w:t>
            </w:r>
            <w:r w:rsidRPr="004A6547">
              <w:rPr>
                <w:b/>
                <w:bCs/>
              </w:rPr>
              <w:t xml:space="preserve"> </w:t>
            </w:r>
            <w:r w:rsidR="00781D31">
              <w:t>The MBA program comprises a suite of specialised services and is therefore a more appropriate benchmark, given the differing scope, outputs and methodology of the CHOICE program.</w:t>
            </w:r>
          </w:p>
        </w:tc>
      </w:tr>
      <w:tr w:rsidR="004A6547" w:rsidRPr="004A6547" w14:paraId="159C0467" w14:textId="77777777" w:rsidTr="00CF4479">
        <w:tc>
          <w:tcPr>
            <w:tcW w:w="4679" w:type="dxa"/>
            <w:shd w:val="clear" w:color="auto" w:fill="FFFFFF" w:themeFill="background1"/>
          </w:tcPr>
          <w:p w14:paraId="73F6A5B1" w14:textId="77777777" w:rsidR="004A6547" w:rsidRPr="004A6547" w:rsidRDefault="004A6547" w:rsidP="004A6547">
            <w:pPr>
              <w:numPr>
                <w:ilvl w:val="0"/>
                <w:numId w:val="30"/>
              </w:numPr>
            </w:pPr>
            <w:r w:rsidRPr="004A6547">
              <w:t>We also note that the Guidelines recommend internal control systems to manage any under or over-recovery and considering the variability in a volunteer-based program, it would be appropriate for the CRIS to contain a section on these mechanisms.</w:t>
            </w:r>
          </w:p>
        </w:tc>
        <w:tc>
          <w:tcPr>
            <w:tcW w:w="5811" w:type="dxa"/>
            <w:shd w:val="clear" w:color="auto" w:fill="FFFFFF" w:themeFill="background1"/>
          </w:tcPr>
          <w:p w14:paraId="583F75EE" w14:textId="16C83A11" w:rsidR="004A6547" w:rsidRPr="004A6547" w:rsidRDefault="004A6547" w:rsidP="004A6547">
            <w:pPr>
              <w:rPr>
                <w:b/>
                <w:bCs/>
                <w:u w:val="single"/>
              </w:rPr>
            </w:pPr>
            <w:r w:rsidRPr="004A6547">
              <w:rPr>
                <w:b/>
                <w:bCs/>
                <w:u w:val="single"/>
              </w:rPr>
              <w:t xml:space="preserve">ACCC </w:t>
            </w:r>
            <w:r w:rsidR="001B00EE">
              <w:rPr>
                <w:b/>
                <w:bCs/>
                <w:u w:val="single"/>
              </w:rPr>
              <w:t>r</w:t>
            </w:r>
            <w:r w:rsidRPr="004A6547">
              <w:rPr>
                <w:b/>
                <w:bCs/>
                <w:u w:val="single"/>
              </w:rPr>
              <w:t>esponse:</w:t>
            </w:r>
            <w:r w:rsidRPr="004A6547">
              <w:rPr>
                <w:b/>
                <w:bCs/>
              </w:rPr>
              <w:t xml:space="preserve"> </w:t>
            </w:r>
            <w:r w:rsidRPr="004A6547">
              <w:t xml:space="preserve">The ACCC cost component is based on actual costs incurred by the MBA program which are captured in a discrete cost centre and are therefore easily identifiable. The indirect costs are allocated using well-established drivers and robustness of the model is reviewed annually. Refer to </w:t>
            </w:r>
            <w:r w:rsidRPr="0074396B">
              <w:rPr>
                <w:bCs/>
              </w:rPr>
              <w:t>Table 7 in</w:t>
            </w:r>
            <w:r w:rsidRPr="004A6547">
              <w:t xml:space="preserve"> </w:t>
            </w:r>
            <w:r w:rsidR="009E0EF0">
              <w:t xml:space="preserve">section 3 of </w:t>
            </w:r>
            <w:r w:rsidR="0074396B">
              <w:t xml:space="preserve">the </w:t>
            </w:r>
            <w:r w:rsidR="00A22EE3" w:rsidRPr="004A6547">
              <w:t>ACLC</w:t>
            </w:r>
            <w:r w:rsidRPr="004A6547">
              <w:t xml:space="preserve"> CRIS.</w:t>
            </w:r>
          </w:p>
        </w:tc>
      </w:tr>
      <w:tr w:rsidR="004A6547" w:rsidRPr="004A6547" w14:paraId="7940BBAB" w14:textId="77777777" w:rsidTr="00CF4479">
        <w:tc>
          <w:tcPr>
            <w:tcW w:w="4679" w:type="dxa"/>
            <w:shd w:val="clear" w:color="auto" w:fill="FFFFFF" w:themeFill="background1"/>
          </w:tcPr>
          <w:p w14:paraId="1D61AE33" w14:textId="68666AF6" w:rsidR="004A6547" w:rsidRPr="004A6547" w:rsidRDefault="004A6547" w:rsidP="004A6547">
            <w:pPr>
              <w:numPr>
                <w:ilvl w:val="0"/>
                <w:numId w:val="30"/>
              </w:numPr>
            </w:pPr>
            <w:r w:rsidRPr="004A6547">
              <w:lastRenderedPageBreak/>
              <w:t>The Guidelines call for clarity on sensitivity</w:t>
            </w:r>
            <w:r w:rsidR="00C23122">
              <w:t>, ‘</w:t>
            </w:r>
            <w:r w:rsidRPr="004A6547">
              <w:t>to changes in assumptions</w:t>
            </w:r>
            <w:r w:rsidR="00C23122">
              <w:t>—</w:t>
            </w:r>
            <w:r w:rsidRPr="004A6547">
              <w:t>the changed in the assumed value of a variable</w:t>
            </w:r>
            <w:r w:rsidR="00C23122">
              <w:t>’,</w:t>
            </w:r>
            <w:r w:rsidRPr="004A6547">
              <w:t xml:space="preserve"> and explain that</w:t>
            </w:r>
            <w:r w:rsidR="00C23122">
              <w:t>,</w:t>
            </w:r>
            <w:r w:rsidRPr="004A6547">
              <w:t xml:space="preserve"> </w:t>
            </w:r>
            <w:r w:rsidR="00C23122">
              <w:t>‘</w:t>
            </w:r>
            <w:r w:rsidRPr="004A6547">
              <w:t>the entity should indicate the level of sensitivity in the CRIS</w:t>
            </w:r>
            <w:r w:rsidR="00C23122">
              <w:t xml:space="preserve">’. </w:t>
            </w:r>
            <w:r w:rsidRPr="004A6547">
              <w:t>The first year’s numbers vary significantly from the original forecasts. The sensitivity to changes</w:t>
            </w:r>
            <w:r w:rsidR="00C23122">
              <w:t>—</w:t>
            </w:r>
            <w:r w:rsidRPr="004A6547">
              <w:t xml:space="preserve">and thus the ability for </w:t>
            </w:r>
            <w:r w:rsidR="00C23122">
              <w:t>i</w:t>
            </w:r>
            <w:r w:rsidRPr="004A6547">
              <w:t>ndustry to understand the potential changes in costs if the forecast number of volunteers is not reached</w:t>
            </w:r>
            <w:r w:rsidR="00C23122">
              <w:t>—</w:t>
            </w:r>
            <w:r w:rsidRPr="004A6547">
              <w:t>should be included.</w:t>
            </w:r>
          </w:p>
        </w:tc>
        <w:tc>
          <w:tcPr>
            <w:tcW w:w="5811" w:type="dxa"/>
            <w:shd w:val="clear" w:color="auto" w:fill="FFFFFF" w:themeFill="background1"/>
          </w:tcPr>
          <w:p w14:paraId="476498A5" w14:textId="3C2252D5" w:rsidR="004A6547" w:rsidRPr="004A6547" w:rsidRDefault="004A6547" w:rsidP="004A6547">
            <w:r w:rsidRPr="004A6547">
              <w:rPr>
                <w:b/>
                <w:bCs/>
                <w:u w:val="single"/>
              </w:rPr>
              <w:t xml:space="preserve">ACCC </w:t>
            </w:r>
            <w:r w:rsidR="001B00EE">
              <w:rPr>
                <w:b/>
                <w:bCs/>
                <w:u w:val="single"/>
              </w:rPr>
              <w:t>r</w:t>
            </w:r>
            <w:r w:rsidRPr="004A6547">
              <w:rPr>
                <w:b/>
                <w:bCs/>
                <w:u w:val="single"/>
              </w:rPr>
              <w:t>esponse:</w:t>
            </w:r>
            <w:r w:rsidRPr="004A6547">
              <w:rPr>
                <w:b/>
                <w:bCs/>
              </w:rPr>
              <w:t xml:space="preserve"> </w:t>
            </w:r>
            <w:r w:rsidRPr="004A6547">
              <w:t xml:space="preserve">Timing issues with the start-up phase delayed rollout of devices to volunteer households. However, the MBA program is expected to finish budget neutral by the conclusion of the </w:t>
            </w:r>
            <w:r w:rsidR="00E35833">
              <w:t>p</w:t>
            </w:r>
            <w:r w:rsidRPr="004A6547">
              <w:t xml:space="preserve">rogram. </w:t>
            </w:r>
          </w:p>
        </w:tc>
      </w:tr>
      <w:tr w:rsidR="004A6547" w:rsidRPr="004A6547" w14:paraId="2A69AE8A" w14:textId="77777777" w:rsidTr="00CF4479">
        <w:tc>
          <w:tcPr>
            <w:tcW w:w="4679" w:type="dxa"/>
            <w:shd w:val="clear" w:color="auto" w:fill="FFFFFF" w:themeFill="background1"/>
          </w:tcPr>
          <w:p w14:paraId="436C8522" w14:textId="5A8C0F18" w:rsidR="004A6547" w:rsidRPr="004A6547" w:rsidRDefault="004A6547" w:rsidP="004A6547">
            <w:pPr>
              <w:numPr>
                <w:ilvl w:val="0"/>
                <w:numId w:val="30"/>
              </w:numPr>
            </w:pPr>
            <w:r w:rsidRPr="004A6547">
              <w:t xml:space="preserve">A key concern: </w:t>
            </w:r>
            <w:r w:rsidR="00C23122">
              <w:t>‘</w:t>
            </w:r>
            <w:r w:rsidRPr="004A6547">
              <w:t>Industry has not been directly engaged with on this model, and even the current step of consultation was an Addendum to a much larger consultation.</w:t>
            </w:r>
            <w:r w:rsidR="00C23122">
              <w:t>’</w:t>
            </w:r>
          </w:p>
        </w:tc>
        <w:tc>
          <w:tcPr>
            <w:tcW w:w="5811" w:type="dxa"/>
            <w:shd w:val="clear" w:color="auto" w:fill="FFFFFF" w:themeFill="background1"/>
          </w:tcPr>
          <w:p w14:paraId="353C467D" w14:textId="4A2BE6FB" w:rsidR="004A6547" w:rsidRPr="004A6547" w:rsidRDefault="004A6547" w:rsidP="00A80DE0">
            <w:r w:rsidRPr="004A6547">
              <w:rPr>
                <w:b/>
                <w:bCs/>
                <w:u w:val="single"/>
              </w:rPr>
              <w:t xml:space="preserve">ACCC </w:t>
            </w:r>
            <w:r w:rsidR="00E35833">
              <w:rPr>
                <w:b/>
                <w:bCs/>
                <w:u w:val="single"/>
              </w:rPr>
              <w:t>r</w:t>
            </w:r>
            <w:r w:rsidRPr="004A6547">
              <w:rPr>
                <w:b/>
                <w:bCs/>
                <w:u w:val="single"/>
              </w:rPr>
              <w:t>esponse:</w:t>
            </w:r>
            <w:r w:rsidRPr="004A6547">
              <w:rPr>
                <w:b/>
                <w:bCs/>
              </w:rPr>
              <w:t xml:space="preserve"> </w:t>
            </w:r>
            <w:r w:rsidRPr="004A6547">
              <w:t xml:space="preserve">See issue 5 and 8. </w:t>
            </w:r>
          </w:p>
          <w:p w14:paraId="6468FAC8" w14:textId="11490E2B" w:rsidR="004A6547" w:rsidRPr="004A6547" w:rsidRDefault="004A6547" w:rsidP="004A6547">
            <w:pPr>
              <w:rPr>
                <w:b/>
                <w:bCs/>
                <w:u w:val="single"/>
              </w:rPr>
            </w:pPr>
            <w:r w:rsidRPr="004A6547">
              <w:t>This was also consulted on in the 2017</w:t>
            </w:r>
            <w:r w:rsidR="00C23122">
              <w:t>–</w:t>
            </w:r>
            <w:r w:rsidRPr="004A6547">
              <w:t xml:space="preserve">18 CRIS, however no submissions or concerns were received on the MBA Model. </w:t>
            </w:r>
          </w:p>
        </w:tc>
      </w:tr>
      <w:tr w:rsidR="004A6547" w:rsidRPr="004A6547" w14:paraId="71536ED3" w14:textId="77777777" w:rsidTr="00CF4479">
        <w:tc>
          <w:tcPr>
            <w:tcW w:w="4679" w:type="dxa"/>
            <w:shd w:val="clear" w:color="auto" w:fill="FFFFFF" w:themeFill="background1"/>
          </w:tcPr>
          <w:p w14:paraId="33599C7B" w14:textId="4E5C6594" w:rsidR="004A6547" w:rsidRPr="004A6547" w:rsidRDefault="00874D55" w:rsidP="004A6547">
            <w:pPr>
              <w:numPr>
                <w:ilvl w:val="0"/>
                <w:numId w:val="30"/>
              </w:numPr>
            </w:pPr>
            <w:r>
              <w:t>CA</w:t>
            </w:r>
            <w:r w:rsidRPr="004A6547">
              <w:t xml:space="preserve"> </w:t>
            </w:r>
            <w:r w:rsidR="004A6547" w:rsidRPr="004A6547">
              <w:t xml:space="preserve">are concerned that it is arguably inequitable that the costs of this program should be borne by carriers alone. The program does not just monitor NBN fixed-line services provided by carriers, but those also provided by carriage service providers, and as the ACCC is inviting in additional participants via volunteer participation, it could continue to grow. </w:t>
            </w:r>
          </w:p>
        </w:tc>
        <w:tc>
          <w:tcPr>
            <w:tcW w:w="5811" w:type="dxa"/>
            <w:shd w:val="clear" w:color="auto" w:fill="FFFFFF" w:themeFill="background1"/>
          </w:tcPr>
          <w:p w14:paraId="0FD4E4F1" w14:textId="3AB13913" w:rsidR="004A6547" w:rsidRDefault="004A6547" w:rsidP="004A6547">
            <w:r w:rsidRPr="004A6547">
              <w:rPr>
                <w:b/>
                <w:bCs/>
                <w:u w:val="single"/>
              </w:rPr>
              <w:t xml:space="preserve">ACCC </w:t>
            </w:r>
            <w:r w:rsidR="00E35833">
              <w:rPr>
                <w:b/>
                <w:bCs/>
                <w:u w:val="single"/>
              </w:rPr>
              <w:t>r</w:t>
            </w:r>
            <w:r w:rsidRPr="004A6547">
              <w:rPr>
                <w:b/>
                <w:bCs/>
                <w:u w:val="single"/>
              </w:rPr>
              <w:t>esponse:</w:t>
            </w:r>
            <w:r w:rsidRPr="004A6547">
              <w:rPr>
                <w:b/>
                <w:bCs/>
              </w:rPr>
              <w:t xml:space="preserve"> </w:t>
            </w:r>
            <w:r w:rsidRPr="004A6547">
              <w:t xml:space="preserve">MBA program costs are allocated to carrier groups by share of the wholesale NBN access market not the share of monitored services and so cost allocations are not affected by mix of participating volunteers. All significant NBN RSPs by market share are members of a carrier group, and many of those that are not purchase wholesale services via a member of a carrier group. </w:t>
            </w:r>
          </w:p>
          <w:p w14:paraId="755FA540" w14:textId="04BDA29A" w:rsidR="004A6547" w:rsidRPr="004A6547" w:rsidRDefault="004A6547" w:rsidP="00D27829"/>
        </w:tc>
      </w:tr>
    </w:tbl>
    <w:p w14:paraId="4E1BD5C4" w14:textId="77777777" w:rsidR="00F64217" w:rsidRPr="00B02D11" w:rsidRDefault="00F64217" w:rsidP="00AD1254"/>
    <w:p w14:paraId="59F6B8C7" w14:textId="14AD05EE" w:rsidR="009E3A91" w:rsidRPr="00C320F6" w:rsidRDefault="009E3A91" w:rsidP="009E3A91">
      <w:pPr>
        <w:pStyle w:val="Heading1"/>
        <w:ind w:right="-142"/>
      </w:pPr>
      <w:bookmarkStart w:id="261" w:name="_Toc26786379"/>
      <w:r w:rsidRPr="00C320F6">
        <w:lastRenderedPageBreak/>
        <w:t>Glossary</w:t>
      </w:r>
      <w:bookmarkEnd w:id="245"/>
      <w:bookmarkEnd w:id="249"/>
      <w:bookmarkEnd w:id="261"/>
    </w:p>
    <w:p w14:paraId="3D75A0F7" w14:textId="77777777" w:rsidR="00EF0497" w:rsidRPr="00BA7B31" w:rsidRDefault="00EF0497" w:rsidP="00EF0497">
      <w:pPr>
        <w:pStyle w:val="ACMABodyText"/>
        <w:tabs>
          <w:tab w:val="left" w:pos="1843"/>
        </w:tabs>
        <w:spacing w:after="80"/>
        <w:ind w:left="1843" w:right="-142" w:hanging="1843"/>
        <w:rPr>
          <w:rFonts w:cs="Arial"/>
          <w:sz w:val="20"/>
          <w:szCs w:val="20"/>
        </w:rPr>
      </w:pPr>
      <w:r>
        <w:rPr>
          <w:rFonts w:cs="Arial"/>
          <w:sz w:val="20"/>
          <w:szCs w:val="22"/>
        </w:rPr>
        <w:t>2017 Direction</w:t>
      </w:r>
      <w:r>
        <w:rPr>
          <w:rFonts w:cs="Arial"/>
          <w:sz w:val="20"/>
          <w:szCs w:val="22"/>
        </w:rPr>
        <w:tab/>
      </w:r>
      <w:r w:rsidRPr="00C97891">
        <w:rPr>
          <w:rFonts w:cs="Arial"/>
          <w:sz w:val="20"/>
          <w:szCs w:val="22"/>
        </w:rPr>
        <w:t>Australian Communications and Media Authority (Annual Carrier Licence Charge) Direction 2017</w:t>
      </w:r>
    </w:p>
    <w:p w14:paraId="0B332CA8" w14:textId="77777777" w:rsidR="00EF0497" w:rsidRPr="00C320F6" w:rsidRDefault="00EF0497" w:rsidP="00EF0497">
      <w:pPr>
        <w:pStyle w:val="ACMABodyText"/>
        <w:tabs>
          <w:tab w:val="left" w:pos="1843"/>
        </w:tabs>
        <w:spacing w:after="80"/>
        <w:ind w:right="-142"/>
        <w:rPr>
          <w:rFonts w:cs="Arial"/>
          <w:sz w:val="20"/>
          <w:szCs w:val="20"/>
        </w:rPr>
      </w:pPr>
      <w:r w:rsidRPr="00C320F6">
        <w:rPr>
          <w:rFonts w:cs="Arial"/>
          <w:sz w:val="20"/>
          <w:szCs w:val="20"/>
        </w:rPr>
        <w:t>ABC</w:t>
      </w:r>
      <w:r w:rsidRPr="00C320F6">
        <w:rPr>
          <w:rFonts w:cs="Arial"/>
          <w:sz w:val="20"/>
          <w:szCs w:val="20"/>
        </w:rPr>
        <w:tab/>
      </w:r>
      <w:r w:rsidRPr="0014060A">
        <w:rPr>
          <w:rFonts w:cs="Arial"/>
          <w:sz w:val="20"/>
          <w:szCs w:val="20"/>
        </w:rPr>
        <w:t>Activity Based Costing</w:t>
      </w:r>
    </w:p>
    <w:p w14:paraId="691B9B0F" w14:textId="77777777" w:rsidR="009E3A91" w:rsidRPr="00ED54FF" w:rsidRDefault="009E3A91" w:rsidP="009E3A91">
      <w:pPr>
        <w:pStyle w:val="ACMABodyText"/>
        <w:tabs>
          <w:tab w:val="left" w:pos="1843"/>
        </w:tabs>
        <w:spacing w:after="80"/>
        <w:ind w:right="-142"/>
        <w:rPr>
          <w:rFonts w:cs="Arial"/>
          <w:sz w:val="20"/>
          <w:szCs w:val="20"/>
        </w:rPr>
      </w:pPr>
      <w:r w:rsidRPr="00ED54FF">
        <w:rPr>
          <w:rFonts w:cs="Arial"/>
          <w:sz w:val="20"/>
          <w:szCs w:val="20"/>
        </w:rPr>
        <w:t>ACCAN</w:t>
      </w:r>
      <w:r w:rsidRPr="00ED54FF">
        <w:rPr>
          <w:rFonts w:cs="Arial"/>
          <w:sz w:val="20"/>
          <w:szCs w:val="20"/>
        </w:rPr>
        <w:tab/>
        <w:t>Australian Communications Consumer Action Network</w:t>
      </w:r>
    </w:p>
    <w:p w14:paraId="63187673" w14:textId="77777777" w:rsidR="009E3A91" w:rsidRPr="00ED54FF" w:rsidRDefault="009E3A91" w:rsidP="009E3A91">
      <w:pPr>
        <w:pStyle w:val="ACMABodyText"/>
        <w:tabs>
          <w:tab w:val="left" w:pos="1843"/>
        </w:tabs>
        <w:spacing w:after="80"/>
        <w:ind w:right="-142"/>
        <w:rPr>
          <w:rFonts w:cs="Arial"/>
          <w:sz w:val="20"/>
          <w:szCs w:val="20"/>
        </w:rPr>
      </w:pPr>
      <w:r w:rsidRPr="00ED54FF">
        <w:rPr>
          <w:rFonts w:cs="Arial"/>
          <w:sz w:val="20"/>
          <w:szCs w:val="20"/>
        </w:rPr>
        <w:t>ACCC</w:t>
      </w:r>
      <w:r w:rsidRPr="00ED54FF">
        <w:rPr>
          <w:rFonts w:cs="Arial"/>
          <w:sz w:val="20"/>
          <w:szCs w:val="20"/>
        </w:rPr>
        <w:tab/>
        <w:t>Australian Competition and Consumer Commission</w:t>
      </w:r>
    </w:p>
    <w:p w14:paraId="3C84F81D" w14:textId="77777777" w:rsidR="009E3A91" w:rsidRPr="00ED54FF" w:rsidRDefault="009E3A91" w:rsidP="009E3A91">
      <w:pPr>
        <w:pStyle w:val="ACMABodyText"/>
        <w:tabs>
          <w:tab w:val="left" w:pos="1843"/>
        </w:tabs>
        <w:spacing w:after="80"/>
        <w:ind w:right="-142"/>
        <w:rPr>
          <w:rFonts w:cs="Arial"/>
          <w:sz w:val="20"/>
          <w:szCs w:val="20"/>
        </w:rPr>
      </w:pPr>
      <w:r w:rsidRPr="00ED54FF">
        <w:rPr>
          <w:rFonts w:cs="Arial"/>
          <w:sz w:val="20"/>
          <w:szCs w:val="20"/>
        </w:rPr>
        <w:t>ACLC</w:t>
      </w:r>
      <w:r w:rsidRPr="00ED54FF">
        <w:rPr>
          <w:rFonts w:cs="Arial"/>
          <w:sz w:val="20"/>
          <w:szCs w:val="20"/>
        </w:rPr>
        <w:tab/>
        <w:t>Annual Carrier Licence Charge</w:t>
      </w:r>
    </w:p>
    <w:p w14:paraId="542F3E4F" w14:textId="77777777" w:rsidR="009E3A91" w:rsidRPr="00ED54FF" w:rsidRDefault="009E3A91" w:rsidP="009E3A91">
      <w:pPr>
        <w:pStyle w:val="ACMABodyText"/>
        <w:tabs>
          <w:tab w:val="left" w:pos="1843"/>
        </w:tabs>
        <w:spacing w:after="80"/>
        <w:ind w:right="-142"/>
        <w:rPr>
          <w:rFonts w:cs="Arial"/>
          <w:sz w:val="20"/>
          <w:szCs w:val="20"/>
        </w:rPr>
      </w:pPr>
      <w:r w:rsidRPr="00ED54FF">
        <w:rPr>
          <w:rFonts w:cs="Arial"/>
          <w:sz w:val="20"/>
          <w:szCs w:val="20"/>
        </w:rPr>
        <w:t xml:space="preserve">ACMA </w:t>
      </w:r>
      <w:r w:rsidRPr="00ED54FF">
        <w:rPr>
          <w:rFonts w:cs="Arial"/>
          <w:sz w:val="20"/>
          <w:szCs w:val="20"/>
        </w:rPr>
        <w:tab/>
        <w:t>Australian Communications and Media Authority</w:t>
      </w:r>
    </w:p>
    <w:p w14:paraId="014FDF6F" w14:textId="77777777" w:rsidR="00EF0497" w:rsidRDefault="00EF0497" w:rsidP="00EF0497">
      <w:pPr>
        <w:pStyle w:val="ACMABodyText"/>
        <w:tabs>
          <w:tab w:val="left" w:pos="1843"/>
        </w:tabs>
        <w:spacing w:after="80"/>
        <w:ind w:right="-142"/>
        <w:rPr>
          <w:rFonts w:cs="Arial"/>
          <w:i/>
          <w:sz w:val="20"/>
          <w:szCs w:val="20"/>
        </w:rPr>
      </w:pPr>
      <w:r w:rsidRPr="00C320F6">
        <w:rPr>
          <w:rFonts w:cs="Arial"/>
          <w:sz w:val="20"/>
          <w:szCs w:val="20"/>
        </w:rPr>
        <w:t>ACMA Act</w:t>
      </w:r>
      <w:r w:rsidRPr="00C320F6">
        <w:rPr>
          <w:rFonts w:cs="Arial"/>
          <w:sz w:val="20"/>
          <w:szCs w:val="20"/>
        </w:rPr>
        <w:tab/>
      </w:r>
      <w:r w:rsidRPr="00C320F6">
        <w:rPr>
          <w:rFonts w:cs="Arial"/>
          <w:i/>
          <w:sz w:val="20"/>
          <w:szCs w:val="20"/>
        </w:rPr>
        <w:t>Australian Communications and Media Authority Act 2005</w:t>
      </w:r>
    </w:p>
    <w:p w14:paraId="070693DD" w14:textId="05EE638F" w:rsidR="00F14B7D" w:rsidRDefault="00F14B7D" w:rsidP="009E3A91">
      <w:pPr>
        <w:pStyle w:val="ACMABodyText"/>
        <w:tabs>
          <w:tab w:val="left" w:pos="1843"/>
        </w:tabs>
        <w:spacing w:after="80"/>
        <w:ind w:right="-142"/>
        <w:rPr>
          <w:rFonts w:cs="Arial"/>
          <w:sz w:val="20"/>
          <w:szCs w:val="20"/>
        </w:rPr>
      </w:pPr>
      <w:r>
        <w:rPr>
          <w:rFonts w:cs="Arial"/>
          <w:sz w:val="20"/>
          <w:szCs w:val="20"/>
        </w:rPr>
        <w:t>AER</w:t>
      </w:r>
      <w:r>
        <w:rPr>
          <w:rFonts w:cs="Arial"/>
          <w:sz w:val="20"/>
          <w:szCs w:val="20"/>
        </w:rPr>
        <w:tab/>
        <w:t>Australian Energy Regulator</w:t>
      </w:r>
    </w:p>
    <w:p w14:paraId="33764B5F" w14:textId="65E7C1E6" w:rsidR="009E3A91" w:rsidRPr="00F16A3D" w:rsidRDefault="009E3A91" w:rsidP="009E3A91">
      <w:pPr>
        <w:pStyle w:val="ACMABodyText"/>
        <w:tabs>
          <w:tab w:val="left" w:pos="1843"/>
        </w:tabs>
        <w:spacing w:after="80"/>
        <w:ind w:right="-142"/>
        <w:rPr>
          <w:rFonts w:cs="Arial"/>
          <w:sz w:val="20"/>
          <w:szCs w:val="20"/>
        </w:rPr>
      </w:pPr>
      <w:r w:rsidRPr="00F16A3D">
        <w:rPr>
          <w:rFonts w:cs="Arial"/>
          <w:sz w:val="20"/>
          <w:szCs w:val="20"/>
        </w:rPr>
        <w:t xml:space="preserve">APC </w:t>
      </w:r>
      <w:r>
        <w:rPr>
          <w:rFonts w:cs="Arial"/>
          <w:sz w:val="20"/>
          <w:szCs w:val="20"/>
        </w:rPr>
        <w:tab/>
        <w:t>A</w:t>
      </w:r>
      <w:r w:rsidRPr="00F16A3D">
        <w:rPr>
          <w:rFonts w:cs="Arial"/>
          <w:sz w:val="20"/>
          <w:szCs w:val="20"/>
        </w:rPr>
        <w:t>nnual program costs</w:t>
      </w:r>
      <w:r>
        <w:rPr>
          <w:rFonts w:cs="Arial"/>
          <w:sz w:val="20"/>
          <w:szCs w:val="20"/>
        </w:rPr>
        <w:t xml:space="preserve"> by financial year</w:t>
      </w:r>
    </w:p>
    <w:p w14:paraId="1543AF53" w14:textId="77777777" w:rsidR="00EF0497" w:rsidRPr="00D96D21" w:rsidRDefault="00EF0497" w:rsidP="00EF0497">
      <w:pPr>
        <w:pStyle w:val="ACMABodyText"/>
        <w:tabs>
          <w:tab w:val="left" w:pos="1843"/>
        </w:tabs>
        <w:spacing w:after="80"/>
        <w:ind w:right="-142"/>
        <w:rPr>
          <w:rFonts w:cs="Arial"/>
          <w:sz w:val="20"/>
          <w:szCs w:val="20"/>
        </w:rPr>
      </w:pPr>
      <w:r w:rsidRPr="00B817EC">
        <w:rPr>
          <w:rFonts w:cs="Arial"/>
          <w:sz w:val="20"/>
          <w:szCs w:val="20"/>
        </w:rPr>
        <w:t>ASL</w:t>
      </w:r>
      <w:r w:rsidRPr="00B817EC">
        <w:rPr>
          <w:rFonts w:cs="Arial"/>
          <w:sz w:val="20"/>
          <w:szCs w:val="20"/>
        </w:rPr>
        <w:tab/>
        <w:t>Average Staffing Level</w:t>
      </w:r>
    </w:p>
    <w:p w14:paraId="0DFE4CE9" w14:textId="77777777" w:rsidR="00EF0497" w:rsidRDefault="00EF0497" w:rsidP="00EF0497">
      <w:pPr>
        <w:pStyle w:val="ACMABodyText"/>
        <w:tabs>
          <w:tab w:val="left" w:pos="1843"/>
        </w:tabs>
        <w:spacing w:after="80"/>
        <w:ind w:right="-142"/>
        <w:rPr>
          <w:sz w:val="20"/>
        </w:rPr>
      </w:pPr>
      <w:r>
        <w:rPr>
          <w:rFonts w:cs="Arial"/>
          <w:sz w:val="20"/>
          <w:szCs w:val="20"/>
        </w:rPr>
        <w:t>CA</w:t>
      </w:r>
      <w:r>
        <w:rPr>
          <w:rFonts w:cs="Arial"/>
          <w:sz w:val="20"/>
          <w:szCs w:val="20"/>
        </w:rPr>
        <w:tab/>
      </w:r>
      <w:r w:rsidRPr="00451B25">
        <w:rPr>
          <w:sz w:val="20"/>
        </w:rPr>
        <w:t>Communications Alliance Ltd</w:t>
      </w:r>
    </w:p>
    <w:p w14:paraId="6FD9394B" w14:textId="77777777" w:rsidR="00EF0497" w:rsidRDefault="00EF0497" w:rsidP="00EF0497">
      <w:pPr>
        <w:pStyle w:val="ACMABodyText"/>
        <w:tabs>
          <w:tab w:val="left" w:pos="1843"/>
        </w:tabs>
        <w:spacing w:after="80"/>
        <w:ind w:right="-142"/>
        <w:rPr>
          <w:rFonts w:cs="Arial"/>
          <w:sz w:val="20"/>
          <w:szCs w:val="20"/>
        </w:rPr>
      </w:pPr>
      <w:r w:rsidRPr="00B817EC">
        <w:rPr>
          <w:rFonts w:cs="Arial"/>
          <w:sz w:val="20"/>
          <w:szCs w:val="20"/>
        </w:rPr>
        <w:t>CCF</w:t>
      </w:r>
      <w:r w:rsidRPr="00B817EC">
        <w:rPr>
          <w:rFonts w:cs="Arial"/>
          <w:sz w:val="20"/>
          <w:szCs w:val="20"/>
        </w:rPr>
        <w:tab/>
        <w:t>Consumer Consultative Forum</w:t>
      </w:r>
    </w:p>
    <w:p w14:paraId="27563ED5" w14:textId="77777777" w:rsidR="009E3A91" w:rsidRDefault="009E3A91" w:rsidP="009E3A91">
      <w:pPr>
        <w:pStyle w:val="ACMABodyText"/>
        <w:tabs>
          <w:tab w:val="left" w:pos="1843"/>
        </w:tabs>
        <w:spacing w:after="80"/>
        <w:ind w:right="-142"/>
        <w:rPr>
          <w:rFonts w:cs="Arial"/>
          <w:sz w:val="20"/>
          <w:szCs w:val="20"/>
        </w:rPr>
      </w:pPr>
      <w:r w:rsidRPr="00ED54FF">
        <w:rPr>
          <w:rFonts w:cs="Arial"/>
          <w:sz w:val="20"/>
          <w:szCs w:val="20"/>
        </w:rPr>
        <w:t>CRIS</w:t>
      </w:r>
      <w:r w:rsidRPr="00ED54FF">
        <w:rPr>
          <w:rFonts w:cs="Arial"/>
          <w:sz w:val="20"/>
          <w:szCs w:val="20"/>
        </w:rPr>
        <w:tab/>
        <w:t>Cost Recovery Implementation Statement</w:t>
      </w:r>
    </w:p>
    <w:p w14:paraId="1D349B73" w14:textId="77777777" w:rsidR="00EF0497" w:rsidRDefault="00EF0497" w:rsidP="00EF0497">
      <w:pPr>
        <w:pStyle w:val="ACMABodyText"/>
        <w:tabs>
          <w:tab w:val="left" w:pos="1843"/>
        </w:tabs>
        <w:spacing w:after="80"/>
        <w:ind w:right="-142"/>
        <w:rPr>
          <w:rFonts w:cs="Arial"/>
          <w:sz w:val="20"/>
          <w:szCs w:val="20"/>
        </w:rPr>
      </w:pPr>
      <w:proofErr w:type="spellStart"/>
      <w:r>
        <w:rPr>
          <w:rFonts w:cs="Arial"/>
          <w:sz w:val="20"/>
          <w:szCs w:val="20"/>
        </w:rPr>
        <w:t>DoCA</w:t>
      </w:r>
      <w:proofErr w:type="spellEnd"/>
      <w:r>
        <w:rPr>
          <w:rFonts w:cs="Arial"/>
          <w:sz w:val="20"/>
          <w:szCs w:val="20"/>
        </w:rPr>
        <w:tab/>
        <w:t>Department of Communications and the Arts</w:t>
      </w:r>
    </w:p>
    <w:p w14:paraId="063C3B69" w14:textId="065A6C0B" w:rsidR="00EF0497" w:rsidRPr="00C320F6" w:rsidRDefault="00EF0497" w:rsidP="00EF0497">
      <w:pPr>
        <w:pStyle w:val="ACMABodyText"/>
        <w:tabs>
          <w:tab w:val="left" w:pos="1843"/>
        </w:tabs>
        <w:spacing w:after="80"/>
        <w:ind w:right="-142"/>
        <w:rPr>
          <w:rFonts w:cs="Arial"/>
          <w:sz w:val="20"/>
          <w:szCs w:val="20"/>
        </w:rPr>
      </w:pPr>
      <w:r w:rsidRPr="00C320F6">
        <w:rPr>
          <w:rFonts w:cs="Arial"/>
          <w:sz w:val="20"/>
          <w:szCs w:val="20"/>
        </w:rPr>
        <w:t>ER</w:t>
      </w:r>
      <w:r w:rsidRPr="00C320F6">
        <w:rPr>
          <w:rFonts w:cs="Arial"/>
          <w:sz w:val="20"/>
          <w:szCs w:val="20"/>
        </w:rPr>
        <w:tab/>
      </w:r>
      <w:r w:rsidR="00BA7B31">
        <w:rPr>
          <w:rFonts w:cs="Arial"/>
          <w:sz w:val="20"/>
          <w:szCs w:val="20"/>
        </w:rPr>
        <w:t>E</w:t>
      </w:r>
      <w:r w:rsidRPr="00C320F6">
        <w:rPr>
          <w:rFonts w:cs="Arial"/>
          <w:sz w:val="20"/>
          <w:szCs w:val="20"/>
        </w:rPr>
        <w:t xml:space="preserve">ligible revenue </w:t>
      </w:r>
    </w:p>
    <w:p w14:paraId="32B534AA" w14:textId="77777777" w:rsidR="009E3A91" w:rsidRPr="00F16A3D" w:rsidRDefault="009E3A91" w:rsidP="009E3A91">
      <w:pPr>
        <w:pStyle w:val="ACMABodyText"/>
        <w:tabs>
          <w:tab w:val="left" w:pos="1843"/>
        </w:tabs>
        <w:spacing w:after="80"/>
        <w:ind w:left="1843" w:right="-142" w:hanging="1843"/>
        <w:rPr>
          <w:rFonts w:cs="Arial"/>
          <w:sz w:val="20"/>
          <w:szCs w:val="20"/>
        </w:rPr>
      </w:pPr>
      <w:r w:rsidRPr="00F16A3D">
        <w:rPr>
          <w:rFonts w:cs="Arial"/>
          <w:sz w:val="20"/>
          <w:szCs w:val="20"/>
        </w:rPr>
        <w:t xml:space="preserve">FLC </w:t>
      </w:r>
      <w:r>
        <w:rPr>
          <w:rFonts w:cs="Arial"/>
          <w:sz w:val="20"/>
          <w:szCs w:val="20"/>
        </w:rPr>
        <w:tab/>
        <w:t>T</w:t>
      </w:r>
      <w:r w:rsidRPr="00F16A3D">
        <w:rPr>
          <w:rFonts w:cs="Arial"/>
          <w:sz w:val="20"/>
          <w:szCs w:val="20"/>
        </w:rPr>
        <w:t>he total number of NBN fixed-line connections operated by the monitored ser</w:t>
      </w:r>
      <w:r>
        <w:rPr>
          <w:rFonts w:cs="Arial"/>
          <w:sz w:val="20"/>
          <w:szCs w:val="20"/>
        </w:rPr>
        <w:t>vice provider in a test segment</w:t>
      </w:r>
      <w:r w:rsidRPr="00F16A3D">
        <w:rPr>
          <w:rFonts w:cs="Arial"/>
          <w:sz w:val="20"/>
          <w:szCs w:val="20"/>
        </w:rPr>
        <w:t xml:space="preserve"> </w:t>
      </w:r>
    </w:p>
    <w:p w14:paraId="6CB23BF1" w14:textId="77777777" w:rsidR="009E3A91" w:rsidRDefault="009E3A91" w:rsidP="009E3A91">
      <w:pPr>
        <w:pStyle w:val="ACMABodyText"/>
        <w:tabs>
          <w:tab w:val="left" w:pos="1843"/>
        </w:tabs>
        <w:spacing w:after="80"/>
        <w:ind w:right="-142"/>
        <w:rPr>
          <w:rFonts w:cs="Arial"/>
          <w:sz w:val="20"/>
          <w:szCs w:val="20"/>
        </w:rPr>
      </w:pPr>
      <w:r>
        <w:rPr>
          <w:rFonts w:cs="Arial"/>
          <w:sz w:val="20"/>
          <w:szCs w:val="20"/>
        </w:rPr>
        <w:t>FTTN</w:t>
      </w:r>
      <w:r>
        <w:rPr>
          <w:rFonts w:cs="Arial"/>
          <w:sz w:val="20"/>
          <w:szCs w:val="20"/>
        </w:rPr>
        <w:tab/>
        <w:t>Fibre-to-the-node</w:t>
      </w:r>
    </w:p>
    <w:p w14:paraId="6A3CE34A" w14:textId="77777777" w:rsidR="00EF0497" w:rsidRDefault="00EF0497" w:rsidP="00EF0497">
      <w:pPr>
        <w:pStyle w:val="ACMABodyText"/>
        <w:tabs>
          <w:tab w:val="left" w:pos="1843"/>
        </w:tabs>
        <w:spacing w:after="80"/>
        <w:ind w:right="-142"/>
        <w:rPr>
          <w:rFonts w:cs="Arial"/>
          <w:sz w:val="20"/>
          <w:szCs w:val="20"/>
        </w:rPr>
      </w:pPr>
      <w:r w:rsidRPr="00C320F6">
        <w:rPr>
          <w:rFonts w:cs="Arial"/>
          <w:sz w:val="20"/>
          <w:szCs w:val="20"/>
        </w:rPr>
        <w:t>Guidelines</w:t>
      </w:r>
      <w:r w:rsidRPr="00C320F6">
        <w:rPr>
          <w:rFonts w:cs="Arial"/>
          <w:sz w:val="20"/>
          <w:szCs w:val="20"/>
        </w:rPr>
        <w:tab/>
        <w:t>Australian Government Co</w:t>
      </w:r>
      <w:r>
        <w:rPr>
          <w:rFonts w:cs="Arial"/>
          <w:sz w:val="20"/>
          <w:szCs w:val="20"/>
        </w:rPr>
        <w:t>st Recovery Guidelines July 2014</w:t>
      </w:r>
    </w:p>
    <w:p w14:paraId="3CE87C7A" w14:textId="55EF91E0" w:rsidR="00EF0497" w:rsidRDefault="00EF0497" w:rsidP="00EF0497">
      <w:pPr>
        <w:pStyle w:val="ACMABodyText"/>
        <w:tabs>
          <w:tab w:val="left" w:pos="1843"/>
        </w:tabs>
        <w:spacing w:after="80"/>
        <w:ind w:right="-142"/>
        <w:rPr>
          <w:rFonts w:cs="Arial"/>
          <w:sz w:val="20"/>
          <w:szCs w:val="20"/>
        </w:rPr>
      </w:pPr>
      <w:r>
        <w:rPr>
          <w:rFonts w:cs="Arial"/>
          <w:sz w:val="20"/>
          <w:szCs w:val="20"/>
        </w:rPr>
        <w:t>ICT</w:t>
      </w:r>
      <w:r>
        <w:rPr>
          <w:rFonts w:cs="Arial"/>
          <w:sz w:val="20"/>
          <w:szCs w:val="20"/>
        </w:rPr>
        <w:tab/>
      </w:r>
      <w:r w:rsidR="00BA7B31">
        <w:rPr>
          <w:rFonts w:cs="Arial"/>
          <w:sz w:val="20"/>
          <w:szCs w:val="20"/>
        </w:rPr>
        <w:t>I</w:t>
      </w:r>
      <w:r w:rsidRPr="0006216F">
        <w:rPr>
          <w:rFonts w:cs="Arial"/>
          <w:sz w:val="20"/>
          <w:szCs w:val="20"/>
        </w:rPr>
        <w:t>nformatio</w:t>
      </w:r>
      <w:r>
        <w:rPr>
          <w:rFonts w:cs="Arial"/>
          <w:sz w:val="20"/>
          <w:szCs w:val="20"/>
        </w:rPr>
        <w:t>n and communication technology</w:t>
      </w:r>
    </w:p>
    <w:p w14:paraId="4038436F" w14:textId="24B524C0" w:rsidR="00FC357D" w:rsidRDefault="00FC357D" w:rsidP="00EF0497">
      <w:pPr>
        <w:pStyle w:val="ACMABodyText"/>
        <w:tabs>
          <w:tab w:val="left" w:pos="1843"/>
        </w:tabs>
        <w:spacing w:after="80"/>
        <w:ind w:right="-142"/>
        <w:rPr>
          <w:rFonts w:cs="Arial"/>
          <w:sz w:val="20"/>
          <w:szCs w:val="20"/>
        </w:rPr>
      </w:pPr>
      <w:r>
        <w:rPr>
          <w:rFonts w:cs="Arial"/>
          <w:sz w:val="20"/>
          <w:szCs w:val="20"/>
        </w:rPr>
        <w:t>IPND</w:t>
      </w:r>
      <w:r>
        <w:rPr>
          <w:rFonts w:cs="Arial"/>
          <w:sz w:val="20"/>
          <w:szCs w:val="20"/>
        </w:rPr>
        <w:tab/>
      </w:r>
      <w:r w:rsidRPr="00FC357D">
        <w:rPr>
          <w:rFonts w:cs="Arial"/>
          <w:sz w:val="20"/>
          <w:szCs w:val="20"/>
        </w:rPr>
        <w:t>Integrated Public Number Database</w:t>
      </w:r>
    </w:p>
    <w:p w14:paraId="3DFC320E" w14:textId="62BC1AD6" w:rsidR="00EF0497" w:rsidRPr="00C320F6" w:rsidRDefault="00EF0497" w:rsidP="00EF0497">
      <w:pPr>
        <w:pStyle w:val="ACMABodyText"/>
        <w:tabs>
          <w:tab w:val="left" w:pos="1843"/>
        </w:tabs>
        <w:spacing w:after="80"/>
        <w:ind w:right="-142"/>
        <w:rPr>
          <w:rFonts w:cs="Arial"/>
          <w:sz w:val="20"/>
          <w:szCs w:val="20"/>
        </w:rPr>
      </w:pPr>
      <w:r>
        <w:rPr>
          <w:rFonts w:cs="Arial"/>
          <w:sz w:val="20"/>
          <w:szCs w:val="20"/>
        </w:rPr>
        <w:t>IT</w:t>
      </w:r>
      <w:r>
        <w:rPr>
          <w:rFonts w:cs="Arial"/>
          <w:sz w:val="20"/>
          <w:szCs w:val="20"/>
        </w:rPr>
        <w:tab/>
      </w:r>
      <w:r w:rsidR="00BA7B31">
        <w:rPr>
          <w:rFonts w:cs="Arial"/>
          <w:sz w:val="20"/>
          <w:szCs w:val="20"/>
        </w:rPr>
        <w:t>I</w:t>
      </w:r>
      <w:r>
        <w:rPr>
          <w:rFonts w:cs="Arial"/>
          <w:sz w:val="20"/>
          <w:szCs w:val="20"/>
        </w:rPr>
        <w:t>nformation technology</w:t>
      </w:r>
    </w:p>
    <w:p w14:paraId="0F1925D8" w14:textId="77777777" w:rsidR="00EF0497" w:rsidRPr="00C320F6" w:rsidRDefault="00EF0497" w:rsidP="00EF0497">
      <w:pPr>
        <w:pStyle w:val="ACMABodyText"/>
        <w:tabs>
          <w:tab w:val="left" w:pos="1843"/>
        </w:tabs>
        <w:spacing w:after="80"/>
        <w:ind w:right="-142"/>
        <w:rPr>
          <w:rFonts w:cs="Arial"/>
          <w:sz w:val="20"/>
          <w:szCs w:val="20"/>
        </w:rPr>
      </w:pPr>
      <w:r w:rsidRPr="00C320F6">
        <w:rPr>
          <w:rFonts w:cs="Arial"/>
          <w:sz w:val="20"/>
          <w:szCs w:val="20"/>
        </w:rPr>
        <w:t>ITU</w:t>
      </w:r>
      <w:r w:rsidRPr="00C320F6">
        <w:rPr>
          <w:rFonts w:cs="Arial"/>
          <w:sz w:val="20"/>
          <w:szCs w:val="20"/>
        </w:rPr>
        <w:tab/>
        <w:t>International Telecommunication Union</w:t>
      </w:r>
    </w:p>
    <w:p w14:paraId="52CD9261" w14:textId="655E6320" w:rsidR="00EF0497" w:rsidRPr="0071508A" w:rsidRDefault="00EF0497" w:rsidP="00EF0497">
      <w:pPr>
        <w:pStyle w:val="ACMABodyText"/>
        <w:tabs>
          <w:tab w:val="left" w:pos="1843"/>
        </w:tabs>
        <w:spacing w:after="80"/>
        <w:ind w:right="-142"/>
        <w:rPr>
          <w:rFonts w:cs="Arial"/>
          <w:sz w:val="20"/>
          <w:szCs w:val="20"/>
        </w:rPr>
      </w:pPr>
      <w:r w:rsidRPr="0071508A">
        <w:rPr>
          <w:rFonts w:cs="Arial"/>
          <w:sz w:val="20"/>
          <w:szCs w:val="20"/>
        </w:rPr>
        <w:t>ITU-D</w:t>
      </w:r>
      <w:r w:rsidRPr="0071508A">
        <w:rPr>
          <w:rFonts w:cs="Arial"/>
          <w:sz w:val="20"/>
          <w:szCs w:val="20"/>
        </w:rPr>
        <w:tab/>
        <w:t>International Telecommunication Union</w:t>
      </w:r>
      <w:r w:rsidR="00BA7B31">
        <w:rPr>
          <w:rFonts w:cs="Arial"/>
          <w:sz w:val="20"/>
          <w:szCs w:val="20"/>
        </w:rPr>
        <w:t>—</w:t>
      </w:r>
      <w:r w:rsidRPr="0071508A">
        <w:rPr>
          <w:rFonts w:cs="Arial"/>
          <w:sz w:val="20"/>
          <w:szCs w:val="20"/>
        </w:rPr>
        <w:t>Development Sector</w:t>
      </w:r>
    </w:p>
    <w:p w14:paraId="337574F2" w14:textId="710DA53A" w:rsidR="00EF0497" w:rsidRPr="0071508A" w:rsidRDefault="00EF0497" w:rsidP="00EF0497">
      <w:pPr>
        <w:pStyle w:val="ACMABodyText"/>
        <w:tabs>
          <w:tab w:val="left" w:pos="1843"/>
        </w:tabs>
        <w:spacing w:after="80"/>
        <w:ind w:left="1843" w:right="-142" w:hanging="1843"/>
        <w:rPr>
          <w:rFonts w:cs="Arial"/>
          <w:sz w:val="20"/>
          <w:szCs w:val="20"/>
        </w:rPr>
      </w:pPr>
      <w:r w:rsidRPr="0071508A">
        <w:rPr>
          <w:rFonts w:cs="Arial"/>
          <w:sz w:val="20"/>
          <w:szCs w:val="20"/>
        </w:rPr>
        <w:t>ITU-R</w:t>
      </w:r>
      <w:r w:rsidRPr="0071508A">
        <w:rPr>
          <w:rFonts w:cs="Arial"/>
          <w:sz w:val="20"/>
          <w:szCs w:val="20"/>
        </w:rPr>
        <w:tab/>
        <w:t>International Telecommunication Union</w:t>
      </w:r>
      <w:r w:rsidR="00BA7B31">
        <w:rPr>
          <w:rFonts w:cs="Arial"/>
          <w:sz w:val="20"/>
          <w:szCs w:val="20"/>
        </w:rPr>
        <w:t>—</w:t>
      </w:r>
      <w:r w:rsidRPr="0071508A">
        <w:rPr>
          <w:rFonts w:cs="Arial"/>
          <w:sz w:val="20"/>
          <w:szCs w:val="20"/>
        </w:rPr>
        <w:t>Radiocommunication Sector</w:t>
      </w:r>
    </w:p>
    <w:p w14:paraId="3C143C5C" w14:textId="3388A3C6" w:rsidR="00EF0497" w:rsidRDefault="00EF0497" w:rsidP="00EF0497">
      <w:pPr>
        <w:pStyle w:val="ACMABodyText"/>
        <w:tabs>
          <w:tab w:val="left" w:pos="1843"/>
        </w:tabs>
        <w:spacing w:after="80"/>
        <w:ind w:left="1843" w:right="-142" w:hanging="1843"/>
        <w:rPr>
          <w:rFonts w:cs="Arial"/>
          <w:sz w:val="20"/>
          <w:szCs w:val="20"/>
        </w:rPr>
      </w:pPr>
      <w:r w:rsidRPr="0071508A">
        <w:rPr>
          <w:rFonts w:cs="Arial"/>
          <w:sz w:val="20"/>
          <w:szCs w:val="20"/>
        </w:rPr>
        <w:t>ITU-T</w:t>
      </w:r>
      <w:r w:rsidRPr="0071508A">
        <w:rPr>
          <w:rFonts w:cs="Arial"/>
          <w:sz w:val="20"/>
          <w:szCs w:val="20"/>
        </w:rPr>
        <w:tab/>
        <w:t>International Telecommunication Union</w:t>
      </w:r>
      <w:r w:rsidR="00BA7B31">
        <w:rPr>
          <w:rFonts w:cs="Arial"/>
          <w:sz w:val="20"/>
          <w:szCs w:val="20"/>
        </w:rPr>
        <w:t>—</w:t>
      </w:r>
      <w:r w:rsidRPr="0071508A">
        <w:rPr>
          <w:rFonts w:cs="Arial"/>
          <w:sz w:val="20"/>
          <w:szCs w:val="20"/>
        </w:rPr>
        <w:t>Telecommunication Standardi</w:t>
      </w:r>
      <w:r>
        <w:rPr>
          <w:rFonts w:cs="Arial"/>
          <w:sz w:val="20"/>
          <w:szCs w:val="20"/>
        </w:rPr>
        <w:t>z</w:t>
      </w:r>
      <w:r w:rsidRPr="0071508A">
        <w:rPr>
          <w:rFonts w:cs="Arial"/>
          <w:sz w:val="20"/>
          <w:szCs w:val="20"/>
        </w:rPr>
        <w:t>ation Sector</w:t>
      </w:r>
    </w:p>
    <w:p w14:paraId="07C78108" w14:textId="44E2EED3" w:rsidR="009265CE" w:rsidRDefault="009265CE" w:rsidP="00EF0497">
      <w:pPr>
        <w:pStyle w:val="ACMABodyText"/>
        <w:tabs>
          <w:tab w:val="left" w:pos="1843"/>
        </w:tabs>
        <w:spacing w:after="80"/>
        <w:ind w:right="-142"/>
        <w:rPr>
          <w:rFonts w:cs="Arial"/>
          <w:sz w:val="20"/>
          <w:szCs w:val="20"/>
        </w:rPr>
      </w:pPr>
      <w:r w:rsidRPr="009265CE">
        <w:rPr>
          <w:rFonts w:cs="Arial"/>
          <w:sz w:val="20"/>
          <w:szCs w:val="20"/>
        </w:rPr>
        <w:t xml:space="preserve">MBA </w:t>
      </w:r>
      <w:r w:rsidRPr="009265CE">
        <w:rPr>
          <w:rFonts w:cs="Arial"/>
          <w:sz w:val="20"/>
          <w:szCs w:val="20"/>
        </w:rPr>
        <w:tab/>
        <w:t>Measuring Broadband Australia</w:t>
      </w:r>
    </w:p>
    <w:p w14:paraId="5AF3991E" w14:textId="48628CFC" w:rsidR="00EF0497" w:rsidRPr="00C320F6" w:rsidRDefault="00EF0497" w:rsidP="00EF0497">
      <w:pPr>
        <w:pStyle w:val="ACMABodyText"/>
        <w:tabs>
          <w:tab w:val="left" w:pos="1843"/>
        </w:tabs>
        <w:spacing w:after="80"/>
        <w:ind w:right="-142"/>
        <w:rPr>
          <w:rFonts w:cs="Arial"/>
          <w:sz w:val="20"/>
          <w:szCs w:val="20"/>
        </w:rPr>
      </w:pPr>
      <w:r w:rsidRPr="00C320F6">
        <w:rPr>
          <w:rFonts w:cs="Arial"/>
          <w:sz w:val="20"/>
          <w:szCs w:val="20"/>
        </w:rPr>
        <w:t>MCA</w:t>
      </w:r>
      <w:r w:rsidRPr="00C320F6">
        <w:rPr>
          <w:rFonts w:cs="Arial"/>
          <w:sz w:val="20"/>
          <w:szCs w:val="20"/>
        </w:rPr>
        <w:tab/>
      </w:r>
      <w:r w:rsidR="00BA7B31">
        <w:rPr>
          <w:rFonts w:cs="Arial"/>
          <w:sz w:val="20"/>
          <w:szCs w:val="20"/>
        </w:rPr>
        <w:t>M</w:t>
      </w:r>
      <w:r w:rsidRPr="00C320F6">
        <w:rPr>
          <w:rFonts w:cs="Arial"/>
          <w:sz w:val="20"/>
          <w:szCs w:val="20"/>
        </w:rPr>
        <w:t>aximum charge amount</w:t>
      </w:r>
    </w:p>
    <w:p w14:paraId="34E926AA" w14:textId="77777777" w:rsidR="009E3A91" w:rsidRPr="00ED54FF" w:rsidRDefault="009E3A91" w:rsidP="009E3A91">
      <w:pPr>
        <w:pStyle w:val="ACMABodyText"/>
        <w:tabs>
          <w:tab w:val="left" w:pos="1843"/>
        </w:tabs>
        <w:spacing w:after="80"/>
        <w:ind w:right="-142"/>
        <w:rPr>
          <w:rFonts w:cs="Arial"/>
          <w:sz w:val="20"/>
          <w:szCs w:val="20"/>
        </w:rPr>
      </w:pPr>
      <w:r w:rsidRPr="00ED54FF">
        <w:rPr>
          <w:rFonts w:cs="Arial"/>
          <w:sz w:val="20"/>
          <w:szCs w:val="20"/>
        </w:rPr>
        <w:t>NBN</w:t>
      </w:r>
      <w:r w:rsidRPr="00ED54FF">
        <w:rPr>
          <w:rFonts w:cs="Arial"/>
          <w:sz w:val="20"/>
          <w:szCs w:val="20"/>
        </w:rPr>
        <w:tab/>
        <w:t>National Broadband Network</w:t>
      </w:r>
    </w:p>
    <w:p w14:paraId="6F7D0559" w14:textId="77777777" w:rsidR="009E3A91" w:rsidRDefault="009E3A91" w:rsidP="009E3A91">
      <w:pPr>
        <w:pStyle w:val="ACMABodyText"/>
        <w:tabs>
          <w:tab w:val="left" w:pos="1843"/>
        </w:tabs>
        <w:spacing w:after="80"/>
        <w:ind w:right="-142"/>
        <w:rPr>
          <w:rFonts w:cs="Arial"/>
          <w:sz w:val="20"/>
          <w:szCs w:val="20"/>
        </w:rPr>
      </w:pPr>
      <w:r>
        <w:rPr>
          <w:rFonts w:cs="Arial"/>
          <w:sz w:val="20"/>
          <w:szCs w:val="20"/>
        </w:rPr>
        <w:t>NBN Co</w:t>
      </w:r>
      <w:r w:rsidRPr="00ED54FF">
        <w:rPr>
          <w:rFonts w:cs="Arial"/>
          <w:sz w:val="20"/>
          <w:szCs w:val="20"/>
        </w:rPr>
        <w:tab/>
        <w:t>NBN Co Limited</w:t>
      </w:r>
    </w:p>
    <w:p w14:paraId="462FC49F" w14:textId="39A6C985" w:rsidR="00EF0497" w:rsidRDefault="00EF0497" w:rsidP="00EF0497">
      <w:pPr>
        <w:pStyle w:val="ACMABodyText"/>
        <w:tabs>
          <w:tab w:val="left" w:pos="1843"/>
        </w:tabs>
        <w:spacing w:after="80"/>
        <w:ind w:right="-142"/>
        <w:rPr>
          <w:rFonts w:cs="Arial"/>
          <w:sz w:val="20"/>
          <w:szCs w:val="20"/>
        </w:rPr>
      </w:pPr>
      <w:r w:rsidRPr="00C320F6">
        <w:rPr>
          <w:rFonts w:cs="Arial"/>
          <w:sz w:val="20"/>
          <w:szCs w:val="20"/>
        </w:rPr>
        <w:t>OTC</w:t>
      </w:r>
      <w:r w:rsidRPr="00C320F6">
        <w:rPr>
          <w:rFonts w:cs="Arial"/>
          <w:sz w:val="20"/>
          <w:szCs w:val="20"/>
        </w:rPr>
        <w:tab/>
      </w:r>
      <w:r w:rsidR="00BA7B31">
        <w:rPr>
          <w:rFonts w:cs="Arial"/>
          <w:sz w:val="20"/>
          <w:szCs w:val="20"/>
        </w:rPr>
        <w:t>O</w:t>
      </w:r>
      <w:r w:rsidRPr="00C320F6">
        <w:rPr>
          <w:rFonts w:cs="Arial"/>
          <w:sz w:val="20"/>
          <w:szCs w:val="20"/>
        </w:rPr>
        <w:t>ther telecommunications charges</w:t>
      </w:r>
    </w:p>
    <w:p w14:paraId="3196DEAE" w14:textId="77777777" w:rsidR="00EF0497" w:rsidRDefault="00EF0497" w:rsidP="00EF0497">
      <w:pPr>
        <w:pStyle w:val="ACMABodyText"/>
        <w:tabs>
          <w:tab w:val="left" w:pos="1843"/>
        </w:tabs>
        <w:spacing w:after="80"/>
        <w:ind w:right="-142"/>
        <w:rPr>
          <w:rFonts w:eastAsia="SimSun" w:cs="Arial"/>
          <w:sz w:val="20"/>
        </w:rPr>
      </w:pPr>
      <w:r w:rsidRPr="0071508A">
        <w:rPr>
          <w:rFonts w:eastAsia="SimSun" w:cs="Arial"/>
          <w:sz w:val="20"/>
        </w:rPr>
        <w:t>POI</w:t>
      </w:r>
      <w:r w:rsidRPr="0071508A">
        <w:rPr>
          <w:rFonts w:eastAsia="SimSun" w:cs="Arial"/>
          <w:sz w:val="20"/>
        </w:rPr>
        <w:tab/>
        <w:t>Point of Interconnection</w:t>
      </w:r>
    </w:p>
    <w:p w14:paraId="2A430D03" w14:textId="77777777" w:rsidR="009E3A91" w:rsidRDefault="009E3A91" w:rsidP="009E3A91">
      <w:pPr>
        <w:pStyle w:val="ACMABodyText"/>
        <w:tabs>
          <w:tab w:val="left" w:pos="1843"/>
        </w:tabs>
        <w:spacing w:after="80"/>
        <w:ind w:right="-142"/>
        <w:rPr>
          <w:rFonts w:cs="Arial"/>
          <w:sz w:val="20"/>
          <w:szCs w:val="20"/>
        </w:rPr>
      </w:pPr>
      <w:r>
        <w:rPr>
          <w:rFonts w:cs="Arial"/>
          <w:sz w:val="20"/>
          <w:szCs w:val="20"/>
        </w:rPr>
        <w:t>RSP</w:t>
      </w:r>
      <w:r>
        <w:rPr>
          <w:rFonts w:cs="Arial"/>
          <w:sz w:val="20"/>
          <w:szCs w:val="20"/>
        </w:rPr>
        <w:tab/>
        <w:t>Retail service provider</w:t>
      </w:r>
    </w:p>
    <w:p w14:paraId="6956F24C" w14:textId="360EEF55" w:rsidR="009E3A91" w:rsidRDefault="009E3A91" w:rsidP="009E3A91">
      <w:pPr>
        <w:pStyle w:val="ACMABodyText"/>
        <w:tabs>
          <w:tab w:val="left" w:pos="1843"/>
        </w:tabs>
        <w:spacing w:after="80"/>
        <w:ind w:right="-142"/>
        <w:rPr>
          <w:rFonts w:cs="Arial"/>
          <w:sz w:val="20"/>
          <w:szCs w:val="20"/>
        </w:rPr>
      </w:pPr>
      <w:r>
        <w:rPr>
          <w:rFonts w:cs="Arial"/>
          <w:sz w:val="20"/>
          <w:szCs w:val="20"/>
        </w:rPr>
        <w:lastRenderedPageBreak/>
        <w:t>SAU</w:t>
      </w:r>
      <w:r>
        <w:rPr>
          <w:rFonts w:cs="Arial"/>
          <w:sz w:val="20"/>
          <w:szCs w:val="20"/>
        </w:rPr>
        <w:tab/>
      </w:r>
      <w:r w:rsidR="00BA7B31">
        <w:rPr>
          <w:rFonts w:cs="Arial"/>
          <w:sz w:val="20"/>
          <w:szCs w:val="20"/>
        </w:rPr>
        <w:t>S</w:t>
      </w:r>
      <w:r>
        <w:rPr>
          <w:rFonts w:cs="Arial"/>
          <w:sz w:val="20"/>
          <w:szCs w:val="20"/>
        </w:rPr>
        <w:t xml:space="preserve">pecial </w:t>
      </w:r>
      <w:r w:rsidR="009265CE">
        <w:rPr>
          <w:rFonts w:cs="Arial"/>
          <w:sz w:val="20"/>
          <w:szCs w:val="20"/>
        </w:rPr>
        <w:t>access</w:t>
      </w:r>
      <w:r>
        <w:rPr>
          <w:rFonts w:cs="Arial"/>
          <w:sz w:val="20"/>
          <w:szCs w:val="20"/>
        </w:rPr>
        <w:t xml:space="preserve"> undertaking</w:t>
      </w:r>
    </w:p>
    <w:p w14:paraId="489B9EC5" w14:textId="2FC8176E" w:rsidR="00DF204A" w:rsidRDefault="00DF204A" w:rsidP="009E3A91">
      <w:pPr>
        <w:pStyle w:val="ACMABodyText"/>
        <w:tabs>
          <w:tab w:val="left" w:pos="1843"/>
        </w:tabs>
        <w:spacing w:after="80"/>
        <w:ind w:right="-142"/>
        <w:rPr>
          <w:rFonts w:cs="Arial"/>
          <w:sz w:val="20"/>
          <w:szCs w:val="20"/>
        </w:rPr>
      </w:pPr>
      <w:r>
        <w:rPr>
          <w:rFonts w:cs="Arial"/>
          <w:sz w:val="20"/>
          <w:szCs w:val="20"/>
        </w:rPr>
        <w:t>SIO</w:t>
      </w:r>
      <w:r>
        <w:rPr>
          <w:rFonts w:cs="Arial"/>
          <w:sz w:val="20"/>
          <w:szCs w:val="20"/>
        </w:rPr>
        <w:tab/>
      </w:r>
      <w:r w:rsidR="00BA7B31">
        <w:rPr>
          <w:rFonts w:cs="Arial"/>
          <w:sz w:val="20"/>
          <w:szCs w:val="20"/>
        </w:rPr>
        <w:t>S</w:t>
      </w:r>
      <w:r w:rsidRPr="00DF204A">
        <w:rPr>
          <w:rFonts w:cs="Arial"/>
          <w:sz w:val="20"/>
          <w:szCs w:val="20"/>
        </w:rPr>
        <w:t xml:space="preserve">ervices </w:t>
      </w:r>
      <w:r>
        <w:rPr>
          <w:rFonts w:cs="Arial"/>
          <w:sz w:val="20"/>
          <w:szCs w:val="20"/>
        </w:rPr>
        <w:t>i</w:t>
      </w:r>
      <w:r w:rsidRPr="00DF204A">
        <w:rPr>
          <w:rFonts w:cs="Arial"/>
          <w:sz w:val="20"/>
          <w:szCs w:val="20"/>
        </w:rPr>
        <w:t xml:space="preserve">n </w:t>
      </w:r>
      <w:r>
        <w:rPr>
          <w:rFonts w:cs="Arial"/>
          <w:sz w:val="20"/>
          <w:szCs w:val="20"/>
        </w:rPr>
        <w:t>o</w:t>
      </w:r>
      <w:r w:rsidRPr="00DF204A">
        <w:rPr>
          <w:rFonts w:cs="Arial"/>
          <w:sz w:val="20"/>
          <w:szCs w:val="20"/>
        </w:rPr>
        <w:t xml:space="preserve">peration  </w:t>
      </w:r>
    </w:p>
    <w:p w14:paraId="479A2F04" w14:textId="2A37A94F" w:rsidR="009E3A91" w:rsidRPr="00ED54FF" w:rsidRDefault="009E3A91" w:rsidP="009E3A91">
      <w:pPr>
        <w:pStyle w:val="ACMABodyText"/>
        <w:tabs>
          <w:tab w:val="left" w:pos="1843"/>
        </w:tabs>
        <w:spacing w:after="80"/>
        <w:ind w:right="-142"/>
        <w:rPr>
          <w:rFonts w:cs="Arial"/>
          <w:sz w:val="20"/>
          <w:szCs w:val="20"/>
        </w:rPr>
      </w:pPr>
      <w:r>
        <w:rPr>
          <w:rFonts w:cs="Arial"/>
          <w:sz w:val="20"/>
          <w:szCs w:val="20"/>
        </w:rPr>
        <w:t>SSU</w:t>
      </w:r>
      <w:r>
        <w:rPr>
          <w:rFonts w:cs="Arial"/>
          <w:sz w:val="20"/>
          <w:szCs w:val="20"/>
        </w:rPr>
        <w:tab/>
      </w:r>
      <w:r w:rsidR="00BA7B31">
        <w:rPr>
          <w:rFonts w:cs="Arial"/>
          <w:sz w:val="20"/>
          <w:szCs w:val="20"/>
        </w:rPr>
        <w:t>S</w:t>
      </w:r>
      <w:r>
        <w:rPr>
          <w:rFonts w:cs="Arial"/>
          <w:sz w:val="20"/>
          <w:szCs w:val="20"/>
        </w:rPr>
        <w:t>tructural separation undertaking</w:t>
      </w:r>
    </w:p>
    <w:p w14:paraId="78FE2787" w14:textId="77777777" w:rsidR="00D52B96" w:rsidRDefault="00D52B96" w:rsidP="00D52B96">
      <w:pPr>
        <w:pStyle w:val="ACMABodyText"/>
        <w:tabs>
          <w:tab w:val="left" w:pos="1843"/>
        </w:tabs>
        <w:spacing w:after="80"/>
        <w:ind w:left="1843" w:right="-142" w:hanging="1843"/>
        <w:rPr>
          <w:rFonts w:cs="Arial"/>
          <w:sz w:val="20"/>
          <w:szCs w:val="20"/>
        </w:rPr>
      </w:pPr>
      <w:r>
        <w:rPr>
          <w:rFonts w:cs="Arial"/>
          <w:sz w:val="20"/>
          <w:szCs w:val="20"/>
        </w:rPr>
        <w:t>TCP</w:t>
      </w:r>
      <w:r>
        <w:rPr>
          <w:rFonts w:cs="Arial"/>
          <w:sz w:val="20"/>
          <w:szCs w:val="20"/>
        </w:rPr>
        <w:tab/>
        <w:t>Telecommunications Consumer Protections Code</w:t>
      </w:r>
    </w:p>
    <w:p w14:paraId="493F4F04" w14:textId="77777777" w:rsidR="00D52B96" w:rsidRDefault="00D52B96" w:rsidP="00D52B96">
      <w:pPr>
        <w:pStyle w:val="ACMABodyText"/>
        <w:tabs>
          <w:tab w:val="left" w:pos="1843"/>
        </w:tabs>
        <w:spacing w:after="80"/>
        <w:ind w:left="1843" w:right="-142" w:hanging="1843"/>
        <w:rPr>
          <w:rFonts w:cs="Arial"/>
          <w:sz w:val="20"/>
          <w:szCs w:val="20"/>
        </w:rPr>
      </w:pPr>
      <w:r>
        <w:rPr>
          <w:rFonts w:cs="Arial"/>
          <w:sz w:val="20"/>
          <w:szCs w:val="20"/>
        </w:rPr>
        <w:t>TCPSS Act</w:t>
      </w:r>
      <w:r>
        <w:rPr>
          <w:rFonts w:cs="Arial"/>
          <w:sz w:val="20"/>
          <w:szCs w:val="20"/>
        </w:rPr>
        <w:tab/>
      </w:r>
      <w:r w:rsidRPr="00CF3BDA">
        <w:rPr>
          <w:rFonts w:cs="Arial"/>
          <w:i/>
          <w:sz w:val="20"/>
          <w:szCs w:val="20"/>
        </w:rPr>
        <w:t>Telecommunications (Consumer Protection and Service Standards) Act 1999</w:t>
      </w:r>
    </w:p>
    <w:p w14:paraId="1CC738BA" w14:textId="77777777" w:rsidR="00D52B96" w:rsidRPr="00C9249E" w:rsidRDefault="00D52B96" w:rsidP="00D52B96">
      <w:pPr>
        <w:pStyle w:val="ACMABodyText"/>
        <w:tabs>
          <w:tab w:val="left" w:pos="1843"/>
        </w:tabs>
        <w:spacing w:after="80"/>
        <w:ind w:right="-142"/>
        <w:rPr>
          <w:rFonts w:cs="Arial"/>
          <w:i/>
          <w:sz w:val="20"/>
          <w:szCs w:val="20"/>
        </w:rPr>
      </w:pPr>
      <w:r>
        <w:rPr>
          <w:rFonts w:cs="Arial"/>
          <w:sz w:val="20"/>
          <w:szCs w:val="20"/>
        </w:rPr>
        <w:t>Telco Act</w:t>
      </w:r>
      <w:r>
        <w:rPr>
          <w:rFonts w:cs="Arial"/>
          <w:sz w:val="20"/>
          <w:szCs w:val="20"/>
        </w:rPr>
        <w:tab/>
      </w:r>
      <w:r>
        <w:rPr>
          <w:rFonts w:cs="Arial"/>
          <w:i/>
          <w:sz w:val="20"/>
          <w:szCs w:val="20"/>
        </w:rPr>
        <w:t>Telecommunications Act 1997</w:t>
      </w:r>
    </w:p>
    <w:p w14:paraId="21D7FD1B" w14:textId="34670714" w:rsidR="00D52B96" w:rsidRPr="00C320F6" w:rsidRDefault="00D52B96" w:rsidP="00D52B96">
      <w:pPr>
        <w:pStyle w:val="ACMABodyText"/>
        <w:tabs>
          <w:tab w:val="left" w:pos="1843"/>
        </w:tabs>
        <w:spacing w:after="80"/>
        <w:ind w:right="-142"/>
        <w:rPr>
          <w:rFonts w:cs="Arial"/>
          <w:sz w:val="20"/>
          <w:szCs w:val="20"/>
        </w:rPr>
      </w:pPr>
      <w:r w:rsidRPr="00C320F6">
        <w:rPr>
          <w:rFonts w:cs="Arial"/>
          <w:sz w:val="20"/>
          <w:szCs w:val="20"/>
        </w:rPr>
        <w:t>TER</w:t>
      </w:r>
      <w:r w:rsidRPr="00C320F6">
        <w:rPr>
          <w:rFonts w:cs="Arial"/>
          <w:sz w:val="20"/>
          <w:szCs w:val="20"/>
        </w:rPr>
        <w:tab/>
      </w:r>
      <w:r w:rsidR="00BA7B31">
        <w:rPr>
          <w:rFonts w:cs="Arial"/>
          <w:sz w:val="20"/>
          <w:szCs w:val="20"/>
        </w:rPr>
        <w:t>T</w:t>
      </w:r>
      <w:r w:rsidRPr="00C320F6">
        <w:rPr>
          <w:rFonts w:cs="Arial"/>
          <w:sz w:val="20"/>
          <w:szCs w:val="20"/>
        </w:rPr>
        <w:t>otal eligible revenue</w:t>
      </w:r>
    </w:p>
    <w:p w14:paraId="010A8B64" w14:textId="76005376" w:rsidR="009E3A91" w:rsidRPr="00F16A3D" w:rsidRDefault="009E3A91" w:rsidP="009E3A91">
      <w:pPr>
        <w:spacing w:after="80"/>
        <w:ind w:left="1872" w:hanging="1872"/>
      </w:pPr>
      <w:r w:rsidRPr="00F16A3D">
        <w:t xml:space="preserve">TFLC </w:t>
      </w:r>
      <w:r>
        <w:tab/>
        <w:t>T</w:t>
      </w:r>
      <w:r w:rsidRPr="00F16A3D">
        <w:t>he total number of NBN fixed-line connections operated by all monitored service provider.</w:t>
      </w:r>
    </w:p>
    <w:p w14:paraId="0C923421" w14:textId="1DF09E4C" w:rsidR="009E3A91" w:rsidRDefault="009E3A91" w:rsidP="009E3A91">
      <w:pPr>
        <w:pStyle w:val="ACMABodyText"/>
        <w:tabs>
          <w:tab w:val="left" w:pos="1843"/>
        </w:tabs>
        <w:spacing w:after="80"/>
        <w:ind w:right="-142"/>
        <w:rPr>
          <w:rFonts w:cs="Arial"/>
          <w:i/>
          <w:iCs/>
          <w:sz w:val="20"/>
        </w:rPr>
      </w:pPr>
      <w:r w:rsidRPr="00ED54FF">
        <w:rPr>
          <w:rFonts w:cs="Arial"/>
          <w:sz w:val="20"/>
          <w:szCs w:val="20"/>
        </w:rPr>
        <w:t>the Act</w:t>
      </w:r>
      <w:r w:rsidRPr="00ED54FF">
        <w:rPr>
          <w:rFonts w:cs="Arial"/>
          <w:sz w:val="20"/>
          <w:szCs w:val="20"/>
        </w:rPr>
        <w:tab/>
      </w:r>
      <w:r w:rsidRPr="00ED54FF">
        <w:rPr>
          <w:rFonts w:cs="Arial"/>
          <w:i/>
          <w:sz w:val="20"/>
        </w:rPr>
        <w:t>Telecommunications (</w:t>
      </w:r>
      <w:r w:rsidRPr="00ED54FF">
        <w:rPr>
          <w:rFonts w:cs="Arial"/>
          <w:i/>
          <w:iCs/>
          <w:sz w:val="20"/>
        </w:rPr>
        <w:t>Carrier Licence Charges) Act 1997</w:t>
      </w:r>
    </w:p>
    <w:p w14:paraId="155EF759" w14:textId="5936AC96" w:rsidR="009E3A91" w:rsidRPr="00D52B96" w:rsidRDefault="00D52B96" w:rsidP="00D52B96">
      <w:pPr>
        <w:pStyle w:val="ACMABodyText"/>
        <w:tabs>
          <w:tab w:val="left" w:pos="1843"/>
        </w:tabs>
        <w:spacing w:after="80"/>
        <w:ind w:right="-142"/>
        <w:rPr>
          <w:rFonts w:cs="Arial"/>
          <w:sz w:val="20"/>
          <w:szCs w:val="20"/>
        </w:rPr>
      </w:pPr>
      <w:r>
        <w:rPr>
          <w:rFonts w:cs="Arial"/>
          <w:sz w:val="20"/>
          <w:szCs w:val="20"/>
        </w:rPr>
        <w:t>TIO</w:t>
      </w:r>
      <w:r>
        <w:rPr>
          <w:rFonts w:cs="Arial"/>
          <w:sz w:val="20"/>
          <w:szCs w:val="20"/>
        </w:rPr>
        <w:tab/>
        <w:t>Telecommunications Industry Ombudsman</w:t>
      </w:r>
    </w:p>
    <w:sectPr w:rsidR="009E3A91" w:rsidRPr="00D52B96" w:rsidSect="00C77380">
      <w:headerReference w:type="even" r:id="rId37"/>
      <w:headerReference w:type="default" r:id="rId38"/>
      <w:footerReference w:type="even" r:id="rId39"/>
      <w:footerReference w:type="default" r:id="rId40"/>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CA7EF" w14:textId="77777777" w:rsidR="00CF7BA1" w:rsidRDefault="00CF7BA1">
      <w:r>
        <w:separator/>
      </w:r>
    </w:p>
  </w:endnote>
  <w:endnote w:type="continuationSeparator" w:id="0">
    <w:p w14:paraId="710AEF46" w14:textId="77777777" w:rsidR="00CF7BA1" w:rsidRDefault="00CF7BA1">
      <w:r>
        <w:continuationSeparator/>
      </w:r>
    </w:p>
  </w:endnote>
  <w:endnote w:type="continuationNotice" w:id="1">
    <w:p w14:paraId="1089D38A" w14:textId="77777777" w:rsidR="00CF7BA1" w:rsidRDefault="00CF7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Franklin Gothic Demi"/>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0F94" w14:textId="0C6F8B7B" w:rsidR="004354C8" w:rsidRPr="00A5474E" w:rsidRDefault="004354C8" w:rsidP="00A5474E">
    <w:pPr>
      <w:pStyle w:val="Footer"/>
    </w:pPr>
    <w:r w:rsidRPr="005E250B">
      <w:rPr>
        <w:noProof/>
        <w:vertAlign w:val="subscript"/>
      </w:rPr>
      <w:drawing>
        <wp:anchor distT="0" distB="0" distL="114300" distR="114300" simplePos="0" relativeHeight="251659264" behindDoc="0" locked="0" layoutInCell="1" allowOverlap="1" wp14:anchorId="2E46AE93" wp14:editId="7B012B50">
          <wp:simplePos x="0" y="0"/>
          <wp:positionH relativeFrom="margin">
            <wp:posOffset>5223510</wp:posOffset>
          </wp:positionH>
          <wp:positionV relativeFrom="paragraph">
            <wp:posOffset>-9525</wp:posOffset>
          </wp:positionV>
          <wp:extent cx="1065530" cy="290830"/>
          <wp:effectExtent l="0" t="0" r="0" b="0"/>
          <wp:wrapThrough wrapText="bothSides">
            <wp:wrapPolygon edited="0">
              <wp:start x="1159" y="2830"/>
              <wp:lineTo x="772" y="18393"/>
              <wp:lineTo x="20853" y="18393"/>
              <wp:lineTo x="20467" y="7074"/>
              <wp:lineTo x="19309" y="2830"/>
              <wp:lineTo x="1159" y="2830"/>
            </wp:wrapPolygon>
          </wp:wrapThrough>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065530" cy="2908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7A42" w14:textId="77777777" w:rsidR="004354C8" w:rsidRDefault="00435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FB20" w14:textId="77777777" w:rsidR="004354C8" w:rsidRDefault="004354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9652" w14:textId="5134516C" w:rsidR="004354C8" w:rsidRPr="00622A3B" w:rsidRDefault="004354C8" w:rsidP="006D3409">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51D5AA2B" w14:textId="77777777" w:rsidR="004354C8" w:rsidRPr="00A5474E" w:rsidRDefault="004354C8"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78D2" w14:textId="77777777" w:rsidR="004354C8" w:rsidRPr="00A5474E" w:rsidRDefault="004354C8"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F234" w14:textId="35570040" w:rsidR="004354C8" w:rsidRPr="00622A3B" w:rsidRDefault="004354C8"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7CCC9E63" w14:textId="77777777" w:rsidR="004354C8" w:rsidRPr="00A5474E" w:rsidRDefault="004354C8"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A029" w14:textId="26D5CE06" w:rsidR="004354C8" w:rsidRPr="00622A3B" w:rsidRDefault="004354C8" w:rsidP="00B43262">
    <w:pPr>
      <w:pStyle w:val="FooterLeft"/>
      <w:framePr w:wrap="around" w:x="1141" w:y="16166"/>
      <w:tabs>
        <w:tab w:val="clear" w:pos="113"/>
        <w:tab w:val="right" w:pos="397"/>
      </w:tabs>
    </w:pPr>
    <w:r>
      <w:fldChar w:fldCharType="begin"/>
    </w:r>
    <w:r>
      <w:instrText xml:space="preserve"> PAGE  \* Arabic  \* MERGEFORMAT </w:instrText>
    </w:r>
    <w:r>
      <w:fldChar w:fldCharType="separate"/>
    </w:r>
    <w:r>
      <w:rPr>
        <w:noProof/>
      </w:rPr>
      <w:t>56</w:t>
    </w:r>
    <w:r>
      <w:rPr>
        <w:noProof/>
      </w:rPr>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7760795" w14:textId="77777777" w:rsidR="004354C8" w:rsidRPr="00A5474E" w:rsidRDefault="004354C8"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AA44" w14:textId="581A6230" w:rsidR="004354C8" w:rsidRPr="00622A3B" w:rsidRDefault="004354C8"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59</w:t>
    </w:r>
    <w:r w:rsidRPr="00575AC5">
      <w:rPr>
        <w:color w:val="505050"/>
      </w:rPr>
      <w:fldChar w:fldCharType="end"/>
    </w:r>
  </w:p>
  <w:p w14:paraId="3D55E69E" w14:textId="77777777" w:rsidR="004354C8" w:rsidRPr="00A5474E" w:rsidRDefault="004354C8"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FF29A" w14:textId="77777777" w:rsidR="00CF7BA1" w:rsidRDefault="00CF7BA1">
      <w:r>
        <w:separator/>
      </w:r>
    </w:p>
  </w:footnote>
  <w:footnote w:type="continuationSeparator" w:id="0">
    <w:p w14:paraId="160B9ED6" w14:textId="77777777" w:rsidR="00CF7BA1" w:rsidRDefault="00CF7BA1">
      <w:r>
        <w:continuationSeparator/>
      </w:r>
    </w:p>
  </w:footnote>
  <w:footnote w:type="continuationNotice" w:id="1">
    <w:p w14:paraId="63B51C84" w14:textId="77777777" w:rsidR="00CF7BA1" w:rsidRDefault="00CF7BA1">
      <w:pPr>
        <w:spacing w:after="0" w:line="240" w:lineRule="auto"/>
      </w:pPr>
    </w:p>
  </w:footnote>
  <w:footnote w:id="2">
    <w:p w14:paraId="68FCAB5A" w14:textId="7209023B" w:rsidR="004354C8" w:rsidRDefault="004354C8">
      <w:pPr>
        <w:pStyle w:val="FootnoteText"/>
      </w:pPr>
      <w:r>
        <w:rPr>
          <w:rStyle w:val="FootnoteReference"/>
        </w:rPr>
        <w:footnoteRef/>
      </w:r>
      <w:r>
        <w:t xml:space="preserve"> </w:t>
      </w:r>
      <w:r w:rsidRPr="00EA3C30">
        <w:t xml:space="preserve">The </w:t>
      </w:r>
      <w:r>
        <w:t>Minister for Communications, Cyber Safety and the Arts made the</w:t>
      </w:r>
      <w:r w:rsidRPr="00F92709">
        <w:t xml:space="preserve"> </w:t>
      </w:r>
      <w:r w:rsidRPr="002950BA">
        <w:t>Australian Communications and Media Authority (Annual Carrier Licence Charge) Direction 2017</w:t>
      </w:r>
      <w:r>
        <w:t>,</w:t>
      </w:r>
      <w:r w:rsidRPr="005B4096">
        <w:t xml:space="preserve"> </w:t>
      </w:r>
      <w:r>
        <w:t>which</w:t>
      </w:r>
      <w:r>
        <w:rPr>
          <w:i/>
        </w:rPr>
        <w:t xml:space="preserve"> </w:t>
      </w:r>
      <w:r>
        <w:t xml:space="preserve">directs the ACMA to determine the ACLC of non-participating persons to be $0 for the financial year commencing 1 July 2017 and subsequent years. </w:t>
      </w:r>
    </w:p>
  </w:footnote>
  <w:footnote w:id="3">
    <w:p w14:paraId="40467E27" w14:textId="7C9C9C18" w:rsidR="004354C8" w:rsidRDefault="004354C8" w:rsidP="00AA7B15">
      <w:pPr>
        <w:pStyle w:val="FootnoteText"/>
      </w:pPr>
      <w:r w:rsidRPr="00E648E5">
        <w:rPr>
          <w:rStyle w:val="FootnoteReference"/>
        </w:rPr>
        <w:footnoteRef/>
      </w:r>
      <w:r w:rsidRPr="00E648E5">
        <w:t xml:space="preserve"> </w:t>
      </w:r>
      <w:r>
        <w:t xml:space="preserve">See the </w:t>
      </w:r>
      <w:r w:rsidRPr="002950BA">
        <w:t>Telecommunications (Participating Persons) Determination 2015</w:t>
      </w:r>
      <w:r>
        <w:rPr>
          <w:i/>
        </w:rPr>
        <w:t>.</w:t>
      </w:r>
      <w:r>
        <w:t xml:space="preserve"> </w:t>
      </w:r>
      <w:r w:rsidRPr="00E648E5">
        <w:t>More information can be obtained from</w:t>
      </w:r>
      <w:r>
        <w:t xml:space="preserve"> the </w:t>
      </w:r>
      <w:hyperlink r:id="rId1" w:history="1">
        <w:r w:rsidRPr="00C17CC3">
          <w:rPr>
            <w:rStyle w:val="Hyperlink"/>
          </w:rPr>
          <w:t>ACMA website</w:t>
        </w:r>
      </w:hyperlink>
      <w:r>
        <w:t>.</w:t>
      </w:r>
    </w:p>
  </w:footnote>
  <w:footnote w:id="4">
    <w:p w14:paraId="55066350" w14:textId="57F92B56" w:rsidR="004354C8" w:rsidRDefault="004354C8" w:rsidP="00832330">
      <w:pPr>
        <w:pStyle w:val="FootnoteText"/>
      </w:pPr>
      <w:r>
        <w:rPr>
          <w:rStyle w:val="FootnoteReference"/>
        </w:rPr>
        <w:footnoteRef/>
      </w:r>
      <w:r>
        <w:t xml:space="preserve"> More information is available on the </w:t>
      </w:r>
      <w:hyperlink r:id="rId2" w:history="1">
        <w:r w:rsidRPr="00170CE0">
          <w:rPr>
            <w:rStyle w:val="Hyperlink"/>
          </w:rPr>
          <w:t>Department of Finance website</w:t>
        </w:r>
      </w:hyperlink>
      <w:r>
        <w:t>.</w:t>
      </w:r>
      <w:hyperlink r:id="rId3" w:history="1">
        <w:r w:rsidRPr="00C34A0B">
          <w:t xml:space="preserve"> </w:t>
        </w:r>
      </w:hyperlink>
      <w:r w:rsidRPr="00C34A0B">
        <w:t xml:space="preserve"> </w:t>
      </w:r>
    </w:p>
    <w:p w14:paraId="6A4E2FE9" w14:textId="77777777" w:rsidR="004354C8" w:rsidRDefault="004354C8" w:rsidP="00832330">
      <w:pPr>
        <w:pStyle w:val="FootnoteText"/>
      </w:pPr>
    </w:p>
  </w:footnote>
  <w:footnote w:id="5">
    <w:p w14:paraId="73CA23F1" w14:textId="3F5E6714" w:rsidR="004354C8" w:rsidRDefault="004354C8" w:rsidP="00DD646E">
      <w:pPr>
        <w:pStyle w:val="FootnoteText"/>
      </w:pPr>
      <w:r w:rsidRPr="00393089">
        <w:rPr>
          <w:rStyle w:val="FootnoteReference"/>
          <w:rFonts w:cs="Arial"/>
        </w:rPr>
        <w:footnoteRef/>
      </w:r>
      <w:r w:rsidRPr="00393089">
        <w:t xml:space="preserve"> </w:t>
      </w:r>
      <w:hyperlink r:id="rId4" w:history="1">
        <w:r w:rsidRPr="00DD646E">
          <w:rPr>
            <w:rStyle w:val="Hyperlink"/>
          </w:rPr>
          <w:t>https://archive.budget.gov.au/1996-97/statement4/bst04.pdf</w:t>
        </w:r>
      </w:hyperlink>
    </w:p>
    <w:p w14:paraId="23A54010" w14:textId="3D075659" w:rsidR="004354C8" w:rsidRDefault="00A711D3" w:rsidP="00DD646E">
      <w:pPr>
        <w:pStyle w:val="FootnoteText"/>
      </w:pPr>
      <w:hyperlink r:id="rId5" w:history="1">
        <w:r w:rsidR="004354C8" w:rsidRPr="00C365A7">
          <w:rPr>
            <w:rStyle w:val="Hyperlink"/>
          </w:rPr>
          <w:t>https://archive.budget.gov.au/2005-06/myefo/myefo_2005-06.pdf</w:t>
        </w:r>
      </w:hyperlink>
    </w:p>
    <w:p w14:paraId="6A299EFA" w14:textId="121C8DD1" w:rsidR="004354C8" w:rsidRDefault="00A711D3" w:rsidP="00DD646E">
      <w:pPr>
        <w:pStyle w:val="FootnoteText"/>
      </w:pPr>
      <w:hyperlink r:id="rId6" w:history="1">
        <w:r w:rsidR="004354C8" w:rsidRPr="00C365A7">
          <w:rPr>
            <w:rStyle w:val="Hyperlink"/>
          </w:rPr>
          <w:t>https://archive.budget.gov.au/2009-10/bp2/bp2_consolidated.pdf</w:t>
        </w:r>
      </w:hyperlink>
    </w:p>
    <w:p w14:paraId="6B9A57D0" w14:textId="6E0E4E6E" w:rsidR="004354C8" w:rsidRPr="00DD646E" w:rsidRDefault="00A711D3" w:rsidP="00DD646E">
      <w:pPr>
        <w:pStyle w:val="FootnoteText"/>
      </w:pPr>
      <w:hyperlink r:id="rId7" w:history="1">
        <w:r w:rsidR="004354C8" w:rsidRPr="005708C8">
          <w:rPr>
            <w:rStyle w:val="Hyperlink"/>
          </w:rPr>
          <w:t>https://archive.budget.gov.au/2009-10/myefo/MYEFO_2009-10.pdf</w:t>
        </w:r>
      </w:hyperlink>
    </w:p>
    <w:p w14:paraId="68B6866C" w14:textId="7AFEAD32" w:rsidR="004354C8" w:rsidRPr="00393089" w:rsidRDefault="00A711D3" w:rsidP="00471A8B">
      <w:pPr>
        <w:pStyle w:val="FootnoteText"/>
      </w:pPr>
      <w:hyperlink r:id="rId8" w:history="1">
        <w:r w:rsidR="004354C8" w:rsidRPr="005708C8">
          <w:rPr>
            <w:rStyle w:val="Hyperlink"/>
          </w:rPr>
          <w:t>https://archive.budget.gov.au/2010-11/bp2/bp2.pdf</w:t>
        </w:r>
      </w:hyperlink>
    </w:p>
    <w:p w14:paraId="5EC5E3F4" w14:textId="0FCCCC83" w:rsidR="004354C8" w:rsidRDefault="00A711D3" w:rsidP="00471A8B">
      <w:pPr>
        <w:pStyle w:val="FootnoteText"/>
      </w:pPr>
      <w:hyperlink r:id="rId9" w:history="1">
        <w:r w:rsidR="004354C8" w:rsidRPr="005708C8">
          <w:rPr>
            <w:rStyle w:val="Hyperlink"/>
          </w:rPr>
          <w:t>https://archive.budget.gov.au/2011-12/bp2/bp2.pdf</w:t>
        </w:r>
      </w:hyperlink>
    </w:p>
    <w:p w14:paraId="1D068FA1" w14:textId="54590E3A" w:rsidR="004354C8" w:rsidRDefault="00A711D3" w:rsidP="00471A8B">
      <w:pPr>
        <w:pStyle w:val="FootnoteText"/>
      </w:pPr>
      <w:hyperlink r:id="rId10" w:history="1">
        <w:r w:rsidR="004354C8" w:rsidRPr="005708C8">
          <w:rPr>
            <w:rStyle w:val="Hyperlink"/>
          </w:rPr>
          <w:t>https://archive.budget.gov.au/2013-14/bp2/BP2_consolidated.pdf</w:t>
        </w:r>
      </w:hyperlink>
    </w:p>
    <w:p w14:paraId="027DA20A" w14:textId="1B81E07A" w:rsidR="004354C8" w:rsidRPr="00393089" w:rsidRDefault="00A711D3" w:rsidP="00471A8B">
      <w:pPr>
        <w:pStyle w:val="FootnoteText"/>
      </w:pPr>
      <w:hyperlink r:id="rId11" w:history="1">
        <w:r w:rsidR="004354C8" w:rsidRPr="00D853F6">
          <w:rPr>
            <w:rStyle w:val="Hyperlink"/>
          </w:rPr>
          <w:t>https://archive.budget.gov.au/2014-15/bp2/BP2_consolidated.pdf</w:t>
        </w:r>
      </w:hyperlink>
    </w:p>
    <w:p w14:paraId="1BF8D4A5" w14:textId="6E3CC2DC" w:rsidR="004354C8" w:rsidRPr="00393089" w:rsidRDefault="00A711D3" w:rsidP="00471A8B">
      <w:pPr>
        <w:pStyle w:val="FootnoteText"/>
        <w:rPr>
          <w:rFonts w:cs="Arial"/>
        </w:rPr>
      </w:pPr>
      <w:hyperlink r:id="rId12" w:history="1">
        <w:r w:rsidR="004354C8" w:rsidRPr="007F6129">
          <w:rPr>
            <w:rStyle w:val="Hyperlink"/>
          </w:rPr>
          <w:t>www.communications.gov.au/documents/2015-16-dept-comms-and-arts-paes</w:t>
        </w:r>
      </w:hyperlink>
      <w:r w:rsidR="004354C8" w:rsidRPr="00393089">
        <w:rPr>
          <w:rStyle w:val="Hyperlink"/>
          <w:rFonts w:cs="Arial"/>
          <w:color w:val="auto"/>
          <w:u w:val="none"/>
        </w:rPr>
        <w:t>.</w:t>
      </w:r>
    </w:p>
  </w:footnote>
  <w:footnote w:id="6">
    <w:p w14:paraId="69C0AE37" w14:textId="058ECFEE" w:rsidR="004354C8" w:rsidRDefault="004354C8">
      <w:pPr>
        <w:pStyle w:val="FootnoteText"/>
      </w:pPr>
      <w:r w:rsidRPr="00393089">
        <w:rPr>
          <w:rStyle w:val="FootnoteReference"/>
        </w:rPr>
        <w:footnoteRef/>
      </w:r>
      <w:r w:rsidRPr="00393089">
        <w:t xml:space="preserve"> </w:t>
      </w:r>
      <w:hyperlink r:id="rId13" w:history="1">
        <w:r w:rsidRPr="00393089">
          <w:rPr>
            <w:rStyle w:val="Hyperlink"/>
          </w:rPr>
          <w:t>https://www.budget.gov.au/2019-20/content/bp2/index.htm</w:t>
        </w:r>
      </w:hyperlink>
      <w:r>
        <w:t>.</w:t>
      </w:r>
    </w:p>
  </w:footnote>
  <w:footnote w:id="7">
    <w:p w14:paraId="545CE216" w14:textId="77777777" w:rsidR="004354C8" w:rsidRDefault="004354C8">
      <w:pPr>
        <w:pStyle w:val="FootnoteText"/>
      </w:pPr>
      <w:r>
        <w:rPr>
          <w:rStyle w:val="FootnoteReference"/>
        </w:rPr>
        <w:footnoteRef/>
      </w:r>
      <w:r>
        <w:t xml:space="preserve"> This can be accessed from: </w:t>
      </w:r>
      <w:hyperlink r:id="rId14" w:history="1">
        <w:r w:rsidRPr="0095444A">
          <w:rPr>
            <w:rStyle w:val="Hyperlink"/>
          </w:rPr>
          <w:t>https://www.legislation.gov.au/Details/F2017L00542</w:t>
        </w:r>
      </w:hyperlink>
      <w:r w:rsidRPr="005B4096">
        <w:rPr>
          <w:rStyle w:val="Hyperlink"/>
          <w:color w:val="auto"/>
          <w:u w:val="none"/>
        </w:rPr>
        <w:t>.</w:t>
      </w:r>
      <w:r w:rsidRPr="00F5728D">
        <w:t xml:space="preserve"> </w:t>
      </w:r>
    </w:p>
  </w:footnote>
  <w:footnote w:id="8">
    <w:p w14:paraId="0A5A53C4" w14:textId="755A2542" w:rsidR="004354C8" w:rsidRPr="002223D2" w:rsidRDefault="004354C8">
      <w:pPr>
        <w:pStyle w:val="FootnoteText"/>
      </w:pPr>
      <w:r w:rsidRPr="002223D2">
        <w:rPr>
          <w:rStyle w:val="FootnoteReference"/>
        </w:rPr>
        <w:footnoteRef/>
      </w:r>
      <w:r w:rsidRPr="002223D2">
        <w:t xml:space="preserve"> The 2017 </w:t>
      </w:r>
      <w:r>
        <w:t xml:space="preserve">Direction </w:t>
      </w:r>
      <w:r w:rsidRPr="002223D2">
        <w:t>defines relevant financial year as the financial year tha</w:t>
      </w:r>
      <w:r>
        <w:t>t begins on 1 July 2017</w:t>
      </w:r>
      <w:r w:rsidRPr="002223D2">
        <w:t xml:space="preserve"> and each later financial year</w:t>
      </w:r>
      <w:r>
        <w:t xml:space="preserve">. </w:t>
      </w:r>
    </w:p>
  </w:footnote>
  <w:footnote w:id="9">
    <w:p w14:paraId="5DDAE0E4" w14:textId="59CB82DC" w:rsidR="004354C8" w:rsidRPr="00F65D9C" w:rsidRDefault="004354C8">
      <w:pPr>
        <w:pStyle w:val="FootnoteText"/>
      </w:pPr>
      <w:r>
        <w:rPr>
          <w:rStyle w:val="FootnoteReference"/>
        </w:rPr>
        <w:footnoteRef/>
      </w:r>
      <w:r>
        <w:t xml:space="preserve"> Non-participating person for the purpose of the 2017 Direction has the same meaning as in subsection 4(3) of the </w:t>
      </w:r>
      <w:r w:rsidRPr="00205AC5">
        <w:t>Telecommunications (Participating Persons) Determination 2015</w:t>
      </w:r>
      <w:r>
        <w:rPr>
          <w:i/>
        </w:rPr>
        <w:t>.</w:t>
      </w:r>
    </w:p>
  </w:footnote>
  <w:footnote w:id="10">
    <w:p w14:paraId="464C3DA6" w14:textId="7A138F23" w:rsidR="004354C8" w:rsidRDefault="004354C8">
      <w:pPr>
        <w:pStyle w:val="FootnoteText"/>
      </w:pPr>
      <w:r w:rsidRPr="007B5ADB">
        <w:rPr>
          <w:rStyle w:val="FootnoteReference"/>
        </w:rPr>
        <w:footnoteRef/>
      </w:r>
      <w:r w:rsidRPr="007B5ADB">
        <w:t xml:space="preserve"> This component may incorporate costs indirectly related to the MBA program (for example administration costs, contract management and publishing of results costs) associated more generally with the ACLC.</w:t>
      </w:r>
      <w:r>
        <w:t xml:space="preserve"> </w:t>
      </w:r>
      <w:r w:rsidRPr="0062541E">
        <w:t>However, costs which directly relate to the MBA Program are not included in Table 1, but these are disclosed in Attachment B</w:t>
      </w:r>
      <w:r>
        <w:t>—</w:t>
      </w:r>
      <w:r w:rsidRPr="0062541E">
        <w:t xml:space="preserve">CRIS </w:t>
      </w:r>
      <w:r>
        <w:t>A</w:t>
      </w:r>
      <w:r w:rsidRPr="0062541E">
        <w:t>ddendum.</w:t>
      </w:r>
      <w:r>
        <w:t xml:space="preserve"> </w:t>
      </w:r>
    </w:p>
  </w:footnote>
  <w:footnote w:id="11">
    <w:p w14:paraId="75E5F307" w14:textId="71100277" w:rsidR="004354C8" w:rsidRDefault="004354C8">
      <w:pPr>
        <w:pStyle w:val="FootnoteText"/>
      </w:pPr>
      <w:r>
        <w:rPr>
          <w:rStyle w:val="FootnoteReference"/>
        </w:rPr>
        <w:footnoteRef/>
      </w:r>
      <w:r>
        <w:t xml:space="preserve"> This can be accessed from: </w:t>
      </w:r>
      <w:hyperlink r:id="rId15" w:history="1">
        <w:r w:rsidRPr="006E4377">
          <w:rPr>
            <w:rStyle w:val="Hyperlink"/>
          </w:rPr>
          <w:t>https://www.legislation.gov.au/Details/F2019L00135</w:t>
        </w:r>
      </w:hyperlink>
      <w:r>
        <w:t>.</w:t>
      </w:r>
    </w:p>
  </w:footnote>
  <w:footnote w:id="12">
    <w:p w14:paraId="11A938B3" w14:textId="77777777" w:rsidR="004354C8" w:rsidRDefault="004354C8">
      <w:pPr>
        <w:pStyle w:val="FootnoteText"/>
      </w:pPr>
      <w:r>
        <w:rPr>
          <w:rStyle w:val="FootnoteReference"/>
        </w:rPr>
        <w:footnoteRef/>
      </w:r>
      <w:r>
        <w:t xml:space="preserve"> Subsection 15(4) of the Act defines the terms ‘ACMA’s telecommunications functions’ and ‘ACMA’s telecommunications powers’ for the purposes of the Act. </w:t>
      </w:r>
    </w:p>
  </w:footnote>
  <w:footnote w:id="13">
    <w:p w14:paraId="68D31447" w14:textId="5EC0767A" w:rsidR="004354C8" w:rsidRDefault="004354C8">
      <w:pPr>
        <w:pStyle w:val="FootnoteText"/>
      </w:pPr>
      <w:r>
        <w:rPr>
          <w:rStyle w:val="FootnoteReference"/>
        </w:rPr>
        <w:footnoteRef/>
      </w:r>
      <w:r>
        <w:t xml:space="preserve"> </w:t>
      </w:r>
      <w:bookmarkStart w:id="61" w:name="_Hlk12375529"/>
      <w:r>
        <w:t>These costs relate to activities involved with the assessment of eligible revenue with the 2017 Direction and the administration of revenue collection.</w:t>
      </w:r>
      <w:bookmarkEnd w:id="61"/>
    </w:p>
  </w:footnote>
  <w:footnote w:id="14">
    <w:p w14:paraId="6478BDC8" w14:textId="59A89C09" w:rsidR="004354C8" w:rsidRDefault="004354C8">
      <w:pPr>
        <w:pStyle w:val="FootnoteText"/>
      </w:pPr>
      <w:r>
        <w:rPr>
          <w:rStyle w:val="FootnoteReference"/>
        </w:rPr>
        <w:footnoteRef/>
      </w:r>
      <w:r>
        <w:t xml:space="preserve"> These costs relate to </w:t>
      </w:r>
      <w:r w:rsidRPr="00255144">
        <w:t>activit</w:t>
      </w:r>
      <w:r>
        <w:t>ies</w:t>
      </w:r>
      <w:r w:rsidRPr="00255144">
        <w:t xml:space="preserve"> </w:t>
      </w:r>
      <w:r>
        <w:t xml:space="preserve">essentially </w:t>
      </w:r>
      <w:r w:rsidRPr="00255144">
        <w:t>involve</w:t>
      </w:r>
      <w:r>
        <w:t>d with</w:t>
      </w:r>
      <w:r w:rsidRPr="00255144">
        <w:t xml:space="preserve"> the administration of </w:t>
      </w:r>
      <w:r>
        <w:t>cost recovery arrangements.</w:t>
      </w:r>
    </w:p>
  </w:footnote>
  <w:footnote w:id="15">
    <w:p w14:paraId="4F2C63C8" w14:textId="77777777" w:rsidR="0047101A" w:rsidRPr="0047101A" w:rsidRDefault="0047101A" w:rsidP="00393C57">
      <w:pPr>
        <w:pStyle w:val="Footer"/>
        <w:rPr>
          <w:rFonts w:asciiTheme="minorHAnsi" w:hAnsiTheme="minorHAnsi"/>
        </w:rPr>
      </w:pPr>
      <w:r w:rsidRPr="0047101A">
        <w:rPr>
          <w:rStyle w:val="FootnoteReference"/>
          <w:szCs w:val="16"/>
        </w:rPr>
        <w:footnoteRef/>
      </w:r>
      <w:r w:rsidRPr="0047101A">
        <w:t xml:space="preserve"> This is the amount of the ACMA’s costs for the immediately preceding financial year that is attributable to its telecommunications functions and powers but has been met from telecommunications charges other than the ACLC (see Attachment A). This amount excludes the costs of activities prescribed under subsection 15(4) of the Act in relation to the Do Not Call Register and telemarketing activities.</w:t>
      </w:r>
    </w:p>
    <w:p w14:paraId="19AC860A" w14:textId="74FCBC9B" w:rsidR="0047101A" w:rsidRDefault="0047101A">
      <w:pPr>
        <w:pStyle w:val="FootnoteText"/>
      </w:pPr>
    </w:p>
  </w:footnote>
  <w:footnote w:id="16">
    <w:p w14:paraId="4C731264" w14:textId="77777777" w:rsidR="004354C8" w:rsidRDefault="004354C8" w:rsidP="00501D5F">
      <w:pPr>
        <w:pStyle w:val="FootnoteText"/>
      </w:pPr>
      <w:r>
        <w:rPr>
          <w:rStyle w:val="FootnoteReference"/>
        </w:rPr>
        <w:footnoteRef/>
      </w:r>
      <w:r>
        <w:t xml:space="preserve"> </w:t>
      </w:r>
      <w:r w:rsidRPr="00720272">
        <w:rPr>
          <w:rFonts w:cs="Arial"/>
        </w:rPr>
        <w:t>The Act requires the components under paragraph 15(1)(a)</w:t>
      </w:r>
      <w:r>
        <w:rPr>
          <w:rFonts w:cs="Arial"/>
        </w:rPr>
        <w:t xml:space="preserve">, </w:t>
      </w:r>
      <w:r w:rsidRPr="00720272">
        <w:rPr>
          <w:rFonts w:cs="Arial"/>
        </w:rPr>
        <w:t xml:space="preserve">15(1)(b) and 15(1)(ca) to be calculated on the costs that are incurred in the financial year immediately preceding the financial year </w:t>
      </w:r>
      <w:r>
        <w:rPr>
          <w:rFonts w:cs="Arial"/>
        </w:rPr>
        <w:t xml:space="preserve">(the 2017–18 financial year) </w:t>
      </w:r>
      <w:r w:rsidRPr="00720272">
        <w:rPr>
          <w:rFonts w:cs="Arial"/>
        </w:rPr>
        <w:t>for which the charges are imposed</w:t>
      </w:r>
      <w:r>
        <w:rPr>
          <w:rFonts w:cs="Arial"/>
        </w:rPr>
        <w:t>. T</w:t>
      </w:r>
      <w:r w:rsidRPr="00D35E14">
        <w:t xml:space="preserve">he cost component under paragraph 15(1)(c) relates to the calendar year </w:t>
      </w:r>
      <w:r>
        <w:t xml:space="preserve">(the 2018 calendar year) </w:t>
      </w:r>
      <w:r w:rsidRPr="00D35E14">
        <w:t>in which the beginning of the financial year for imposing the ACLC occurs.</w:t>
      </w:r>
      <w:r>
        <w:t xml:space="preserve"> The component under paragraph 15(1)(d) relates to the 2018–19 financial year.</w:t>
      </w:r>
    </w:p>
  </w:footnote>
  <w:footnote w:id="17">
    <w:p w14:paraId="7823F34D" w14:textId="6618BBB7" w:rsidR="004354C8" w:rsidRDefault="004354C8" w:rsidP="000A64FA">
      <w:pPr>
        <w:pStyle w:val="FootnoteText"/>
      </w:pPr>
      <w:r>
        <w:rPr>
          <w:rStyle w:val="FootnoteReference"/>
        </w:rPr>
        <w:footnoteRef/>
      </w:r>
      <w:r>
        <w:t xml:space="preserve"> This is available on </w:t>
      </w:r>
      <w:hyperlink r:id="rId16" w:history="1">
        <w:r>
          <w:rPr>
            <w:rStyle w:val="Hyperlink"/>
          </w:rPr>
          <w:t>https://www.finance.gov.au/sites/default/files/2019-11/RMG-302%20Australian%20Government%20Charging%20Framework_0.pdf</w:t>
        </w:r>
      </w:hyperlink>
    </w:p>
  </w:footnote>
  <w:footnote w:id="18">
    <w:p w14:paraId="69991BA2" w14:textId="377EC721" w:rsidR="004354C8" w:rsidRPr="00065318" w:rsidRDefault="004354C8" w:rsidP="006754FE">
      <w:pPr>
        <w:pStyle w:val="FootnoteText"/>
      </w:pPr>
      <w:r w:rsidRPr="00065318">
        <w:rPr>
          <w:rStyle w:val="FootnoteReference"/>
        </w:rPr>
        <w:footnoteRef/>
      </w:r>
      <w:r w:rsidRPr="00065318">
        <w:t xml:space="preserve"> ACCC 2018</w:t>
      </w:r>
      <w:r>
        <w:t>–</w:t>
      </w:r>
      <w:r w:rsidRPr="00065318">
        <w:t xml:space="preserve">19 Portfolio Budget Statements, </w:t>
      </w:r>
      <w:hyperlink r:id="rId17" w:history="1">
        <w:r w:rsidRPr="0011699E">
          <w:rPr>
            <w:rStyle w:val="Hyperlink"/>
          </w:rPr>
          <w:t>https://treasury.gov.au/sites/default/files/2019-03/01_Portfolio-Budget-Statements-2017-18-1.pdf</w:t>
        </w:r>
      </w:hyperlink>
      <w:r>
        <w:t>—</w:t>
      </w:r>
      <w:r w:rsidRPr="00065318">
        <w:t>p.73</w:t>
      </w:r>
      <w:r>
        <w:t xml:space="preserve">. </w:t>
      </w:r>
    </w:p>
  </w:footnote>
  <w:footnote w:id="19">
    <w:p w14:paraId="31C5F7B6" w14:textId="2B3E6903" w:rsidR="004354C8" w:rsidRDefault="004354C8" w:rsidP="006754FE">
      <w:pPr>
        <w:pStyle w:val="FootnoteText"/>
      </w:pPr>
      <w:r w:rsidRPr="00065318">
        <w:rPr>
          <w:rStyle w:val="FootnoteReference"/>
        </w:rPr>
        <w:footnoteRef/>
      </w:r>
      <w:r w:rsidRPr="00065318">
        <w:t xml:space="preserve"> ACCC 2018-19 Portfolio Additional Estimates Statements,  </w:t>
      </w:r>
      <w:hyperlink r:id="rId18" w:history="1">
        <w:r w:rsidRPr="0011699E">
          <w:rPr>
            <w:rStyle w:val="Hyperlink"/>
          </w:rPr>
          <w:t>https://static.treasury.gov.au/uploads/sites/1/2019/02/2018-19PAES-p2019-359570-v2.pdf</w:t>
        </w:r>
      </w:hyperlink>
      <w:r>
        <w:t>—</w:t>
      </w:r>
      <w:r w:rsidRPr="00065318">
        <w:t>p.55</w:t>
      </w:r>
      <w:r>
        <w:t>.</w:t>
      </w:r>
    </w:p>
    <w:p w14:paraId="12BCBD23" w14:textId="77777777" w:rsidR="004354C8" w:rsidRDefault="004354C8" w:rsidP="006754FE">
      <w:pPr>
        <w:pStyle w:val="FootnoteText"/>
      </w:pPr>
    </w:p>
    <w:p w14:paraId="6DB0AE25" w14:textId="77777777" w:rsidR="004354C8" w:rsidRDefault="004354C8" w:rsidP="006754FE">
      <w:pPr>
        <w:pStyle w:val="FootnoteText"/>
      </w:pPr>
    </w:p>
  </w:footnote>
  <w:footnote w:id="20">
    <w:p w14:paraId="5FE67D53" w14:textId="358ED092" w:rsidR="004354C8" w:rsidRDefault="004354C8" w:rsidP="009E3A91">
      <w:pPr>
        <w:pStyle w:val="FootnoteText"/>
      </w:pPr>
      <w:r>
        <w:rPr>
          <w:rStyle w:val="FootnoteReference"/>
        </w:rPr>
        <w:footnoteRef/>
      </w:r>
      <w:r>
        <w:t xml:space="preserve"> Australian Competition and Consumer Commission (2017), </w:t>
      </w:r>
      <w:r w:rsidRPr="009D2B04">
        <w:rPr>
          <w:i/>
        </w:rPr>
        <w:t>ACCC to monitor Australia's broadband performance</w:t>
      </w:r>
      <w:r>
        <w:t xml:space="preserve">, </w:t>
      </w:r>
      <w:hyperlink r:id="rId19" w:history="1">
        <w:r w:rsidRPr="00565F9A">
          <w:rPr>
            <w:rStyle w:val="Hyperlink"/>
          </w:rPr>
          <w:t>https://www.accc.gov.au/media-release/accc-to-monitor-australias-broadband-performance</w:t>
        </w:r>
      </w:hyperlink>
      <w:r>
        <w:rPr>
          <w:rStyle w:val="Hyperlink"/>
        </w:rPr>
        <w:t>;</w:t>
      </w:r>
      <w:r>
        <w:br/>
      </w:r>
      <w:r w:rsidRPr="009D2B04">
        <w:t>Senator the Hon Mitch Fifield</w:t>
      </w:r>
      <w:r>
        <w:t xml:space="preserve"> (2017)</w:t>
      </w:r>
      <w:r w:rsidRPr="00F37B15">
        <w:rPr>
          <w:rStyle w:val="Hyperlink"/>
          <w:color w:val="auto"/>
          <w:u w:val="none"/>
        </w:rPr>
        <w:t>.</w:t>
      </w:r>
    </w:p>
  </w:footnote>
  <w:footnote w:id="21">
    <w:p w14:paraId="2862CC5B" w14:textId="401E804C" w:rsidR="004354C8" w:rsidRDefault="004354C8" w:rsidP="009E3A91">
      <w:pPr>
        <w:pStyle w:val="FootnoteText"/>
      </w:pPr>
      <w:r>
        <w:rPr>
          <w:rStyle w:val="FootnoteReference"/>
        </w:rPr>
        <w:footnoteRef/>
      </w:r>
      <w:r>
        <w:t xml:space="preserve"> Portfolio Budget Statements 2017</w:t>
      </w:r>
      <w:r w:rsidRPr="00DF1372">
        <w:rPr>
          <w:rFonts w:cs="Arial"/>
        </w:rPr>
        <w:t>–</w:t>
      </w:r>
      <w:r>
        <w:t xml:space="preserve">18 Budget Related Paper No. 1.16 Treasury Portfolio, </w:t>
      </w:r>
      <w:hyperlink r:id="rId20" w:history="1">
        <w:r w:rsidRPr="00B45D9C">
          <w:rPr>
            <w:rStyle w:val="Hyperlink"/>
          </w:rPr>
          <w:t>https://static.treasury.gov.au/uploads/sites/1/2017/06/PBS-2.pdf</w:t>
        </w:r>
      </w:hyperlink>
      <w:r>
        <w:t xml:space="preserve">, p. 83. </w:t>
      </w:r>
    </w:p>
  </w:footnote>
  <w:footnote w:id="22">
    <w:p w14:paraId="71469021" w14:textId="0E3B6D21" w:rsidR="004354C8" w:rsidRDefault="004354C8" w:rsidP="009E3A91">
      <w:pPr>
        <w:pStyle w:val="FootnoteText"/>
      </w:pPr>
      <w:r>
        <w:rPr>
          <w:rStyle w:val="FootnoteReference"/>
        </w:rPr>
        <w:footnoteRef/>
      </w:r>
      <w:r>
        <w:t xml:space="preserve"> </w:t>
      </w:r>
      <w:r w:rsidRPr="006D0585">
        <w:t>Speed tier refers to the NBN speed option being used to provide the volunteer’s broadband service (</w:t>
      </w:r>
      <w:r>
        <w:t>for example,</w:t>
      </w:r>
      <w:r w:rsidRPr="006D0585">
        <w:t xml:space="preserve"> 12/1 Mbps, 25/5 Mbps)</w:t>
      </w:r>
      <w:r>
        <w:t>,</w:t>
      </w:r>
      <w:r w:rsidRPr="006D0585">
        <w:t xml:space="preserve"> being a speed tier that the ACCC has chosen to include in </w:t>
      </w:r>
      <w:r>
        <w:t>its</w:t>
      </w:r>
      <w:r w:rsidRPr="006D0585">
        <w:t xml:space="preserve"> reporting.</w:t>
      </w:r>
    </w:p>
  </w:footnote>
  <w:footnote w:id="23">
    <w:p w14:paraId="10900255" w14:textId="5D74995D" w:rsidR="004354C8" w:rsidRDefault="004354C8" w:rsidP="009E3A91">
      <w:pPr>
        <w:pStyle w:val="FootnoteText"/>
      </w:pPr>
      <w:r>
        <w:rPr>
          <w:rStyle w:val="FootnoteReference"/>
        </w:rPr>
        <w:footnoteRef/>
      </w:r>
      <w:r>
        <w:t xml:space="preserve"> Overall risk rating is determined according to the formula published at </w:t>
      </w:r>
      <w:hyperlink r:id="rId21" w:history="1">
        <w:r>
          <w:rPr>
            <w:rStyle w:val="Hyperlink"/>
          </w:rPr>
          <w:t>https://www.finance.gov.au/government/managing-commonwealth-resources/managing-money-property/managing-money/australian-government-charging-framework/charging-activities</w:t>
        </w:r>
      </w:hyperlink>
      <w:r w:rsidRPr="00C97891">
        <w:rPr>
          <w:rStyle w:val="Hyperlink"/>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9284" w14:textId="11BF4615" w:rsidR="004354C8" w:rsidRPr="00A5474E" w:rsidRDefault="004354C8" w:rsidP="00A5474E">
    <w:pPr>
      <w:pStyle w:val="Header"/>
    </w:pPr>
    <w:r>
      <w:rPr>
        <w:noProof/>
      </w:rPr>
      <w:drawing>
        <wp:inline distT="0" distB="0" distL="0" distR="0" wp14:anchorId="71F05F27" wp14:editId="21BD2664">
          <wp:extent cx="5699125" cy="523875"/>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699125" cy="523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F856" w14:textId="77777777" w:rsidR="004354C8" w:rsidRPr="00A5474E" w:rsidRDefault="004354C8"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8E28" w14:textId="77777777" w:rsidR="004354C8" w:rsidRDefault="004354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DABE" w14:textId="77777777" w:rsidR="004354C8" w:rsidRDefault="004354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4354C8" w14:paraId="5079DD69" w14:textId="77777777" w:rsidTr="00997A48">
      <w:trPr>
        <w:trHeight w:hRule="exact" w:val="988"/>
      </w:trPr>
      <w:tc>
        <w:tcPr>
          <w:tcW w:w="7678" w:type="dxa"/>
          <w:shd w:val="clear" w:color="auto" w:fill="auto"/>
        </w:tcPr>
        <w:p w14:paraId="7449DB95" w14:textId="77777777" w:rsidR="004354C8" w:rsidRDefault="004354C8" w:rsidP="006D3409">
          <w:pPr>
            <w:pStyle w:val="Header"/>
          </w:pPr>
        </w:p>
      </w:tc>
    </w:tr>
    <w:tr w:rsidR="004354C8" w14:paraId="400E1E40" w14:textId="77777777" w:rsidTr="00997A48">
      <w:tc>
        <w:tcPr>
          <w:tcW w:w="7678" w:type="dxa"/>
          <w:shd w:val="clear" w:color="auto" w:fill="auto"/>
        </w:tcPr>
        <w:p w14:paraId="6E2FEFC4" w14:textId="77777777" w:rsidR="004354C8" w:rsidRDefault="004354C8" w:rsidP="006D3409">
          <w:pPr>
            <w:pStyle w:val="GridTable31"/>
          </w:pPr>
          <w:r>
            <w:t xml:space="preserve">Contents </w:t>
          </w:r>
          <w:r w:rsidRPr="00915B1C">
            <w:rPr>
              <w:b w:val="0"/>
              <w:spacing w:val="0"/>
              <w:sz w:val="28"/>
              <w:szCs w:val="28"/>
            </w:rPr>
            <w:t>(Continued)</w:t>
          </w:r>
        </w:p>
      </w:tc>
    </w:tr>
    <w:tr w:rsidR="004354C8" w14:paraId="5FD163AE" w14:textId="77777777" w:rsidTr="00997A48">
      <w:trPr>
        <w:trHeight w:val="1220"/>
      </w:trPr>
      <w:tc>
        <w:tcPr>
          <w:tcW w:w="7678" w:type="dxa"/>
          <w:shd w:val="clear" w:color="auto" w:fill="auto"/>
        </w:tcPr>
        <w:p w14:paraId="78AB5463" w14:textId="77777777" w:rsidR="004354C8" w:rsidRDefault="004354C8" w:rsidP="006D3409"/>
      </w:tc>
    </w:tr>
  </w:tbl>
  <w:p w14:paraId="7EEA0504" w14:textId="77777777" w:rsidR="004354C8" w:rsidRPr="00A5474E" w:rsidRDefault="004354C8" w:rsidP="00A547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3420" w14:textId="77777777" w:rsidR="004354C8" w:rsidRPr="00A5474E" w:rsidRDefault="004354C8"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21FED" w14:textId="77777777" w:rsidR="004354C8" w:rsidRDefault="004354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5060" w14:textId="77777777" w:rsidR="004354C8" w:rsidRDefault="00435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20CFA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6F82478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43D3654"/>
    <w:multiLevelType w:val="hybridMultilevel"/>
    <w:tmpl w:val="DA383ADE"/>
    <w:lvl w:ilvl="0" w:tplc="0C090017">
      <w:start w:val="1"/>
      <w:numFmt w:val="lowerLetter"/>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6" w15:restartNumberingAfterBreak="0">
    <w:nsid w:val="093568BC"/>
    <w:multiLevelType w:val="hybridMultilevel"/>
    <w:tmpl w:val="71705464"/>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882450"/>
    <w:multiLevelType w:val="hybridMultilevel"/>
    <w:tmpl w:val="A3C2B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D25F01"/>
    <w:multiLevelType w:val="hybridMultilevel"/>
    <w:tmpl w:val="257088F6"/>
    <w:lvl w:ilvl="0" w:tplc="0C090001">
      <w:start w:val="1"/>
      <w:numFmt w:val="bullet"/>
      <w:lvlText w:val=""/>
      <w:lvlJc w:val="left"/>
      <w:pPr>
        <w:ind w:left="1014" w:hanging="360"/>
      </w:pPr>
      <w:rPr>
        <w:rFonts w:ascii="Symbol" w:hAnsi="Symbol" w:hint="default"/>
      </w:rPr>
    </w:lvl>
    <w:lvl w:ilvl="1" w:tplc="0C090003">
      <w:start w:val="1"/>
      <w:numFmt w:val="bullet"/>
      <w:lvlText w:val="o"/>
      <w:lvlJc w:val="left"/>
      <w:pPr>
        <w:ind w:left="1734" w:hanging="360"/>
      </w:pPr>
      <w:rPr>
        <w:rFonts w:ascii="Courier New" w:hAnsi="Courier New" w:cs="Courier New" w:hint="default"/>
      </w:rPr>
    </w:lvl>
    <w:lvl w:ilvl="2" w:tplc="0C090005">
      <w:start w:val="1"/>
      <w:numFmt w:val="bullet"/>
      <w:lvlText w:val=""/>
      <w:lvlJc w:val="left"/>
      <w:pPr>
        <w:ind w:left="2454" w:hanging="360"/>
      </w:pPr>
      <w:rPr>
        <w:rFonts w:ascii="Wingdings" w:hAnsi="Wingdings" w:hint="default"/>
      </w:rPr>
    </w:lvl>
    <w:lvl w:ilvl="3" w:tplc="0C090001">
      <w:start w:val="1"/>
      <w:numFmt w:val="bullet"/>
      <w:lvlText w:val=""/>
      <w:lvlJc w:val="left"/>
      <w:pPr>
        <w:ind w:left="3174" w:hanging="360"/>
      </w:pPr>
      <w:rPr>
        <w:rFonts w:ascii="Symbol" w:hAnsi="Symbol" w:hint="default"/>
      </w:rPr>
    </w:lvl>
    <w:lvl w:ilvl="4" w:tplc="0C090003">
      <w:start w:val="1"/>
      <w:numFmt w:val="bullet"/>
      <w:lvlText w:val="o"/>
      <w:lvlJc w:val="left"/>
      <w:pPr>
        <w:ind w:left="3894" w:hanging="360"/>
      </w:pPr>
      <w:rPr>
        <w:rFonts w:ascii="Courier New" w:hAnsi="Courier New" w:cs="Courier New" w:hint="default"/>
      </w:rPr>
    </w:lvl>
    <w:lvl w:ilvl="5" w:tplc="0C090005">
      <w:start w:val="1"/>
      <w:numFmt w:val="bullet"/>
      <w:lvlText w:val=""/>
      <w:lvlJc w:val="left"/>
      <w:pPr>
        <w:ind w:left="4614" w:hanging="360"/>
      </w:pPr>
      <w:rPr>
        <w:rFonts w:ascii="Wingdings" w:hAnsi="Wingdings" w:hint="default"/>
      </w:rPr>
    </w:lvl>
    <w:lvl w:ilvl="6" w:tplc="0C090001">
      <w:start w:val="1"/>
      <w:numFmt w:val="bullet"/>
      <w:lvlText w:val=""/>
      <w:lvlJc w:val="left"/>
      <w:pPr>
        <w:ind w:left="5334" w:hanging="360"/>
      </w:pPr>
      <w:rPr>
        <w:rFonts w:ascii="Symbol" w:hAnsi="Symbol" w:hint="default"/>
      </w:rPr>
    </w:lvl>
    <w:lvl w:ilvl="7" w:tplc="0C090003">
      <w:start w:val="1"/>
      <w:numFmt w:val="bullet"/>
      <w:lvlText w:val="o"/>
      <w:lvlJc w:val="left"/>
      <w:pPr>
        <w:ind w:left="6054" w:hanging="360"/>
      </w:pPr>
      <w:rPr>
        <w:rFonts w:ascii="Courier New" w:hAnsi="Courier New" w:cs="Courier New" w:hint="default"/>
      </w:rPr>
    </w:lvl>
    <w:lvl w:ilvl="8" w:tplc="0C090005">
      <w:start w:val="1"/>
      <w:numFmt w:val="bullet"/>
      <w:lvlText w:val=""/>
      <w:lvlJc w:val="left"/>
      <w:pPr>
        <w:ind w:left="6774" w:hanging="360"/>
      </w:pPr>
      <w:rPr>
        <w:rFonts w:ascii="Wingdings" w:hAnsi="Wingdings" w:hint="default"/>
      </w:rPr>
    </w:lvl>
  </w:abstractNum>
  <w:abstractNum w:abstractNumId="9" w15:restartNumberingAfterBreak="0">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10" w15:restartNumberingAfterBreak="0">
    <w:nsid w:val="194F20DA"/>
    <w:multiLevelType w:val="hybridMultilevel"/>
    <w:tmpl w:val="1F229C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567AB1"/>
    <w:multiLevelType w:val="hybridMultilevel"/>
    <w:tmpl w:val="56CAF6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719E8"/>
    <w:multiLevelType w:val="hybridMultilevel"/>
    <w:tmpl w:val="3392B164"/>
    <w:lvl w:ilvl="0" w:tplc="A24CE84C">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671264"/>
    <w:multiLevelType w:val="hybridMultilevel"/>
    <w:tmpl w:val="389C3D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30526FC6"/>
    <w:multiLevelType w:val="hybridMultilevel"/>
    <w:tmpl w:val="8048A88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75A35"/>
    <w:multiLevelType w:val="hybridMultilevel"/>
    <w:tmpl w:val="EE2471DC"/>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443C0E"/>
    <w:multiLevelType w:val="hybridMultilevel"/>
    <w:tmpl w:val="3AC88E38"/>
    <w:lvl w:ilvl="0" w:tplc="5D24AD74">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C54047D"/>
    <w:multiLevelType w:val="hybridMultilevel"/>
    <w:tmpl w:val="F872E3BC"/>
    <w:lvl w:ilvl="0" w:tplc="3286BA1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CF73DD"/>
    <w:multiLevelType w:val="hybridMultilevel"/>
    <w:tmpl w:val="6B90F10A"/>
    <w:lvl w:ilvl="0" w:tplc="C296A452">
      <w:start w:val="1"/>
      <w:numFmt w:val="bullet"/>
      <w:pStyle w:val="Bullet1"/>
      <w:lvlText w:val="•"/>
      <w:lvlJc w:val="left"/>
      <w:pPr>
        <w:ind w:left="360" w:hanging="360"/>
      </w:pPr>
      <w:rPr>
        <w:rFonts w:ascii="Arial" w:hAnsi="Arial" w:cs="Times New Roman" w:hint="default"/>
      </w:rPr>
    </w:lvl>
    <w:lvl w:ilvl="1" w:tplc="A2AC32E2">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B44A59"/>
    <w:multiLevelType w:val="hybridMultilevel"/>
    <w:tmpl w:val="728250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E47993"/>
    <w:multiLevelType w:val="multilevel"/>
    <w:tmpl w:val="8056EF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5AA21F0"/>
    <w:multiLevelType w:val="hybridMultilevel"/>
    <w:tmpl w:val="0A84E9D0"/>
    <w:lvl w:ilvl="0" w:tplc="030419D2">
      <w:start w:val="1"/>
      <w:numFmt w:val="decimal"/>
      <w:pStyle w:val="ACMATableHeader"/>
      <w:lvlText w:val="Table %1:"/>
      <w:lvlJc w:val="left"/>
      <w:pPr>
        <w:tabs>
          <w:tab w:val="num" w:pos="964"/>
        </w:tabs>
        <w:ind w:left="964" w:hanging="96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84AB1"/>
    <w:multiLevelType w:val="hybridMultilevel"/>
    <w:tmpl w:val="C562D9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B180201"/>
    <w:multiLevelType w:val="hybridMultilevel"/>
    <w:tmpl w:val="01DC90F8"/>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D230DB"/>
    <w:multiLevelType w:val="hybridMultilevel"/>
    <w:tmpl w:val="0CA8F08C"/>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123BFE"/>
    <w:multiLevelType w:val="hybridMultilevel"/>
    <w:tmpl w:val="60A636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6D7824"/>
    <w:multiLevelType w:val="hybridMultilevel"/>
    <w:tmpl w:val="9E46694E"/>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3654F1"/>
    <w:multiLevelType w:val="hybridMultilevel"/>
    <w:tmpl w:val="B69E7778"/>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16B2A"/>
    <w:multiLevelType w:val="hybridMultilevel"/>
    <w:tmpl w:val="1496FCA8"/>
    <w:lvl w:ilvl="0" w:tplc="6A42D8FC">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778A0"/>
    <w:multiLevelType w:val="hybridMultilevel"/>
    <w:tmpl w:val="DCEAB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A4498F"/>
    <w:multiLevelType w:val="hybridMultilevel"/>
    <w:tmpl w:val="586A44B6"/>
    <w:lvl w:ilvl="0" w:tplc="5D24AD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9208B5"/>
    <w:multiLevelType w:val="hybridMultilevel"/>
    <w:tmpl w:val="5BD435D8"/>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14"/>
  </w:num>
  <w:num w:numId="6">
    <w:abstractNumId w:val="31"/>
  </w:num>
  <w:num w:numId="7">
    <w:abstractNumId w:val="23"/>
  </w:num>
  <w:num w:numId="8">
    <w:abstractNumId w:val="30"/>
  </w:num>
  <w:num w:numId="9">
    <w:abstractNumId w:val="33"/>
  </w:num>
  <w:num w:numId="10">
    <w:abstractNumId w:val="15"/>
  </w:num>
  <w:num w:numId="11">
    <w:abstractNumId w:val="9"/>
    <w:lvlOverride w:ilvl="0">
      <w:startOverride w:val="1"/>
    </w:lvlOverride>
  </w:num>
  <w:num w:numId="12">
    <w:abstractNumId w:val="6"/>
  </w:num>
  <w:num w:numId="13">
    <w:abstractNumId w:val="26"/>
  </w:num>
  <w:num w:numId="14">
    <w:abstractNumId w:val="28"/>
  </w:num>
  <w:num w:numId="15">
    <w:abstractNumId w:val="17"/>
  </w:num>
  <w:num w:numId="16">
    <w:abstractNumId w:val="25"/>
  </w:num>
  <w:num w:numId="17">
    <w:abstractNumId w:val="35"/>
  </w:num>
  <w:num w:numId="18">
    <w:abstractNumId w:val="29"/>
  </w:num>
  <w:num w:numId="19">
    <w:abstractNumId w:val="18"/>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2"/>
  </w:num>
  <w:num w:numId="32">
    <w:abstractNumId w:val="32"/>
  </w:num>
  <w:num w:numId="33">
    <w:abstractNumId w:val="11"/>
  </w:num>
  <w:num w:numId="34">
    <w:abstractNumId w:val="36"/>
  </w:num>
  <w:num w:numId="35">
    <w:abstractNumId w:val="4"/>
  </w:num>
  <w:num w:numId="36">
    <w:abstractNumId w:val="19"/>
  </w:num>
  <w:num w:numId="37">
    <w:abstractNumId w:val="16"/>
  </w:num>
  <w:num w:numId="38">
    <w:abstractNumId w:val="20"/>
  </w:num>
  <w:num w:numId="39">
    <w:abstractNumId w:val="8"/>
  </w:num>
  <w:num w:numId="40">
    <w:abstractNumId w:val="5"/>
  </w:num>
  <w:num w:numId="41">
    <w:abstractNumId w:val="34"/>
  </w:num>
  <w:num w:numId="42">
    <w:abstractNumId w:val="7"/>
  </w:num>
  <w:num w:numId="43">
    <w:abstractNumId w:val="24"/>
  </w:num>
  <w:num w:numId="44">
    <w:abstractNumId w:val="13"/>
  </w:num>
  <w:num w:numId="45">
    <w:abstractNumId w:val="10"/>
  </w:num>
  <w:num w:numId="4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A5"/>
    <w:rsid w:val="0000177E"/>
    <w:rsid w:val="00001810"/>
    <w:rsid w:val="00001CE4"/>
    <w:rsid w:val="00002330"/>
    <w:rsid w:val="000024B1"/>
    <w:rsid w:val="00004252"/>
    <w:rsid w:val="00004952"/>
    <w:rsid w:val="00005B6A"/>
    <w:rsid w:val="00005F61"/>
    <w:rsid w:val="0001001A"/>
    <w:rsid w:val="00010667"/>
    <w:rsid w:val="000108F3"/>
    <w:rsid w:val="000109E0"/>
    <w:rsid w:val="000110A0"/>
    <w:rsid w:val="000114F8"/>
    <w:rsid w:val="000129D5"/>
    <w:rsid w:val="000130E7"/>
    <w:rsid w:val="000153DA"/>
    <w:rsid w:val="00015AE7"/>
    <w:rsid w:val="0001676E"/>
    <w:rsid w:val="00016E21"/>
    <w:rsid w:val="0001719C"/>
    <w:rsid w:val="000202B6"/>
    <w:rsid w:val="00021D0D"/>
    <w:rsid w:val="000222FF"/>
    <w:rsid w:val="00023329"/>
    <w:rsid w:val="0002333A"/>
    <w:rsid w:val="00026185"/>
    <w:rsid w:val="000269F7"/>
    <w:rsid w:val="00026F91"/>
    <w:rsid w:val="000277B0"/>
    <w:rsid w:val="00031A40"/>
    <w:rsid w:val="000320BD"/>
    <w:rsid w:val="000321B5"/>
    <w:rsid w:val="000328DD"/>
    <w:rsid w:val="00034407"/>
    <w:rsid w:val="00035A55"/>
    <w:rsid w:val="00042AD0"/>
    <w:rsid w:val="000432F8"/>
    <w:rsid w:val="00043FDB"/>
    <w:rsid w:val="00047BA9"/>
    <w:rsid w:val="0005011A"/>
    <w:rsid w:val="0005045A"/>
    <w:rsid w:val="00050D45"/>
    <w:rsid w:val="000518C7"/>
    <w:rsid w:val="00051C1E"/>
    <w:rsid w:val="000539F9"/>
    <w:rsid w:val="000544DC"/>
    <w:rsid w:val="00054C27"/>
    <w:rsid w:val="00055EC3"/>
    <w:rsid w:val="000563CE"/>
    <w:rsid w:val="00057A5B"/>
    <w:rsid w:val="00057AE2"/>
    <w:rsid w:val="0006066E"/>
    <w:rsid w:val="0006216F"/>
    <w:rsid w:val="000648BF"/>
    <w:rsid w:val="00064A46"/>
    <w:rsid w:val="00065318"/>
    <w:rsid w:val="000659B6"/>
    <w:rsid w:val="00065BA6"/>
    <w:rsid w:val="000670BD"/>
    <w:rsid w:val="0006722A"/>
    <w:rsid w:val="00067273"/>
    <w:rsid w:val="0007149B"/>
    <w:rsid w:val="00071DDF"/>
    <w:rsid w:val="00073157"/>
    <w:rsid w:val="000731A0"/>
    <w:rsid w:val="000732CF"/>
    <w:rsid w:val="00073FCE"/>
    <w:rsid w:val="00074F67"/>
    <w:rsid w:val="00075767"/>
    <w:rsid w:val="00075B96"/>
    <w:rsid w:val="00076712"/>
    <w:rsid w:val="00076DC6"/>
    <w:rsid w:val="00076FCE"/>
    <w:rsid w:val="0008196A"/>
    <w:rsid w:val="00083344"/>
    <w:rsid w:val="00083F84"/>
    <w:rsid w:val="000849B6"/>
    <w:rsid w:val="000850B2"/>
    <w:rsid w:val="00085F34"/>
    <w:rsid w:val="000915ED"/>
    <w:rsid w:val="0009209D"/>
    <w:rsid w:val="00094631"/>
    <w:rsid w:val="000969BD"/>
    <w:rsid w:val="000969BF"/>
    <w:rsid w:val="00097188"/>
    <w:rsid w:val="000A006E"/>
    <w:rsid w:val="000A0C22"/>
    <w:rsid w:val="000A119A"/>
    <w:rsid w:val="000A3C43"/>
    <w:rsid w:val="000A40F6"/>
    <w:rsid w:val="000A4A51"/>
    <w:rsid w:val="000A5ABB"/>
    <w:rsid w:val="000A5D2B"/>
    <w:rsid w:val="000A60A8"/>
    <w:rsid w:val="000A64FA"/>
    <w:rsid w:val="000A6C93"/>
    <w:rsid w:val="000B02FD"/>
    <w:rsid w:val="000B12BA"/>
    <w:rsid w:val="000B1895"/>
    <w:rsid w:val="000B1E0A"/>
    <w:rsid w:val="000B304E"/>
    <w:rsid w:val="000B3645"/>
    <w:rsid w:val="000B4621"/>
    <w:rsid w:val="000B4C8D"/>
    <w:rsid w:val="000B51F3"/>
    <w:rsid w:val="000B5DE3"/>
    <w:rsid w:val="000B6563"/>
    <w:rsid w:val="000B6B41"/>
    <w:rsid w:val="000B6C59"/>
    <w:rsid w:val="000B7850"/>
    <w:rsid w:val="000C0A57"/>
    <w:rsid w:val="000C0EE9"/>
    <w:rsid w:val="000C11E8"/>
    <w:rsid w:val="000C1AF2"/>
    <w:rsid w:val="000C230C"/>
    <w:rsid w:val="000C27AF"/>
    <w:rsid w:val="000C35C0"/>
    <w:rsid w:val="000C38F8"/>
    <w:rsid w:val="000C4C3C"/>
    <w:rsid w:val="000C4CEA"/>
    <w:rsid w:val="000C509C"/>
    <w:rsid w:val="000C50DA"/>
    <w:rsid w:val="000C599B"/>
    <w:rsid w:val="000C7CC9"/>
    <w:rsid w:val="000C7F48"/>
    <w:rsid w:val="000D2EE7"/>
    <w:rsid w:val="000D4779"/>
    <w:rsid w:val="000D5F25"/>
    <w:rsid w:val="000D71D9"/>
    <w:rsid w:val="000D76E0"/>
    <w:rsid w:val="000D7E8B"/>
    <w:rsid w:val="000E06F7"/>
    <w:rsid w:val="000E0EFD"/>
    <w:rsid w:val="000E1864"/>
    <w:rsid w:val="000E19E6"/>
    <w:rsid w:val="000E2E68"/>
    <w:rsid w:val="000E4449"/>
    <w:rsid w:val="000E6097"/>
    <w:rsid w:val="000E61B9"/>
    <w:rsid w:val="000E6FA6"/>
    <w:rsid w:val="000F0193"/>
    <w:rsid w:val="000F0374"/>
    <w:rsid w:val="000F0446"/>
    <w:rsid w:val="000F1579"/>
    <w:rsid w:val="000F1838"/>
    <w:rsid w:val="000F30A6"/>
    <w:rsid w:val="000F3887"/>
    <w:rsid w:val="000F59D2"/>
    <w:rsid w:val="00103218"/>
    <w:rsid w:val="00103628"/>
    <w:rsid w:val="00103829"/>
    <w:rsid w:val="00104923"/>
    <w:rsid w:val="00106630"/>
    <w:rsid w:val="00106C3F"/>
    <w:rsid w:val="001071EB"/>
    <w:rsid w:val="00107B1E"/>
    <w:rsid w:val="00111A86"/>
    <w:rsid w:val="00111FCE"/>
    <w:rsid w:val="00112F79"/>
    <w:rsid w:val="00113856"/>
    <w:rsid w:val="00113FA8"/>
    <w:rsid w:val="001147EF"/>
    <w:rsid w:val="00115A80"/>
    <w:rsid w:val="00116C5C"/>
    <w:rsid w:val="00120B54"/>
    <w:rsid w:val="00121F33"/>
    <w:rsid w:val="001228D1"/>
    <w:rsid w:val="001229A5"/>
    <w:rsid w:val="00123A07"/>
    <w:rsid w:val="0012489B"/>
    <w:rsid w:val="0012599F"/>
    <w:rsid w:val="001269E9"/>
    <w:rsid w:val="00130017"/>
    <w:rsid w:val="001309F5"/>
    <w:rsid w:val="00130B63"/>
    <w:rsid w:val="00130F91"/>
    <w:rsid w:val="00132811"/>
    <w:rsid w:val="001333A1"/>
    <w:rsid w:val="001339B4"/>
    <w:rsid w:val="00136347"/>
    <w:rsid w:val="0013647F"/>
    <w:rsid w:val="001365CE"/>
    <w:rsid w:val="00136A92"/>
    <w:rsid w:val="00137424"/>
    <w:rsid w:val="0013788E"/>
    <w:rsid w:val="00140318"/>
    <w:rsid w:val="0014060A"/>
    <w:rsid w:val="00140B7C"/>
    <w:rsid w:val="00141AD9"/>
    <w:rsid w:val="00142961"/>
    <w:rsid w:val="00144A3A"/>
    <w:rsid w:val="00145727"/>
    <w:rsid w:val="00146CE6"/>
    <w:rsid w:val="00152903"/>
    <w:rsid w:val="00153D17"/>
    <w:rsid w:val="001544A7"/>
    <w:rsid w:val="00155697"/>
    <w:rsid w:val="00155823"/>
    <w:rsid w:val="0015614F"/>
    <w:rsid w:val="00156B53"/>
    <w:rsid w:val="0015752B"/>
    <w:rsid w:val="001577C2"/>
    <w:rsid w:val="00157B12"/>
    <w:rsid w:val="00157C74"/>
    <w:rsid w:val="00157F82"/>
    <w:rsid w:val="00160BA1"/>
    <w:rsid w:val="0016145B"/>
    <w:rsid w:val="001633C4"/>
    <w:rsid w:val="0016377B"/>
    <w:rsid w:val="00165284"/>
    <w:rsid w:val="00165787"/>
    <w:rsid w:val="00167116"/>
    <w:rsid w:val="00171591"/>
    <w:rsid w:val="00173819"/>
    <w:rsid w:val="00173981"/>
    <w:rsid w:val="001746D1"/>
    <w:rsid w:val="00174953"/>
    <w:rsid w:val="00176CB9"/>
    <w:rsid w:val="0017719D"/>
    <w:rsid w:val="00181240"/>
    <w:rsid w:val="00181743"/>
    <w:rsid w:val="001839CE"/>
    <w:rsid w:val="00183E4C"/>
    <w:rsid w:val="00185049"/>
    <w:rsid w:val="00185CAB"/>
    <w:rsid w:val="001861E6"/>
    <w:rsid w:val="001862A9"/>
    <w:rsid w:val="001875B7"/>
    <w:rsid w:val="00187CB3"/>
    <w:rsid w:val="0019050A"/>
    <w:rsid w:val="001910D4"/>
    <w:rsid w:val="0019204E"/>
    <w:rsid w:val="00192225"/>
    <w:rsid w:val="00193436"/>
    <w:rsid w:val="001937CA"/>
    <w:rsid w:val="00194FDF"/>
    <w:rsid w:val="001951DE"/>
    <w:rsid w:val="00195898"/>
    <w:rsid w:val="001958CD"/>
    <w:rsid w:val="00195C92"/>
    <w:rsid w:val="00195E56"/>
    <w:rsid w:val="0019657A"/>
    <w:rsid w:val="001976E3"/>
    <w:rsid w:val="00197CD7"/>
    <w:rsid w:val="001A0139"/>
    <w:rsid w:val="001A3BDB"/>
    <w:rsid w:val="001A44EC"/>
    <w:rsid w:val="001A63F3"/>
    <w:rsid w:val="001A656F"/>
    <w:rsid w:val="001A7DBF"/>
    <w:rsid w:val="001B00EE"/>
    <w:rsid w:val="001B038E"/>
    <w:rsid w:val="001B277A"/>
    <w:rsid w:val="001B58AA"/>
    <w:rsid w:val="001B68DB"/>
    <w:rsid w:val="001B7871"/>
    <w:rsid w:val="001B7A4D"/>
    <w:rsid w:val="001B7E48"/>
    <w:rsid w:val="001C0FA9"/>
    <w:rsid w:val="001C1216"/>
    <w:rsid w:val="001C17CE"/>
    <w:rsid w:val="001C1C15"/>
    <w:rsid w:val="001C2D07"/>
    <w:rsid w:val="001C34CB"/>
    <w:rsid w:val="001C36CA"/>
    <w:rsid w:val="001C38B6"/>
    <w:rsid w:val="001C3DE0"/>
    <w:rsid w:val="001C44D1"/>
    <w:rsid w:val="001C45E9"/>
    <w:rsid w:val="001C5542"/>
    <w:rsid w:val="001C60CE"/>
    <w:rsid w:val="001C6AEE"/>
    <w:rsid w:val="001C6F7D"/>
    <w:rsid w:val="001C7630"/>
    <w:rsid w:val="001D062D"/>
    <w:rsid w:val="001D29AD"/>
    <w:rsid w:val="001D2AC1"/>
    <w:rsid w:val="001D4777"/>
    <w:rsid w:val="001D49A2"/>
    <w:rsid w:val="001D4BA6"/>
    <w:rsid w:val="001D4C7C"/>
    <w:rsid w:val="001D5C0F"/>
    <w:rsid w:val="001D5FB3"/>
    <w:rsid w:val="001D61BD"/>
    <w:rsid w:val="001D64D9"/>
    <w:rsid w:val="001D6D15"/>
    <w:rsid w:val="001D7281"/>
    <w:rsid w:val="001E0589"/>
    <w:rsid w:val="001E3074"/>
    <w:rsid w:val="001E48CF"/>
    <w:rsid w:val="001E5229"/>
    <w:rsid w:val="001E6B67"/>
    <w:rsid w:val="001E75F7"/>
    <w:rsid w:val="001E7AF7"/>
    <w:rsid w:val="001F1593"/>
    <w:rsid w:val="001F3D36"/>
    <w:rsid w:val="001F4147"/>
    <w:rsid w:val="001F571B"/>
    <w:rsid w:val="001F572C"/>
    <w:rsid w:val="001F7558"/>
    <w:rsid w:val="00200651"/>
    <w:rsid w:val="002010FE"/>
    <w:rsid w:val="002029F4"/>
    <w:rsid w:val="00205178"/>
    <w:rsid w:val="00205AC5"/>
    <w:rsid w:val="00205B57"/>
    <w:rsid w:val="00205C03"/>
    <w:rsid w:val="002068C7"/>
    <w:rsid w:val="00207982"/>
    <w:rsid w:val="00213978"/>
    <w:rsid w:val="00214E39"/>
    <w:rsid w:val="0021504E"/>
    <w:rsid w:val="00215589"/>
    <w:rsid w:val="002157E0"/>
    <w:rsid w:val="00216A57"/>
    <w:rsid w:val="002219BD"/>
    <w:rsid w:val="002220E3"/>
    <w:rsid w:val="00222107"/>
    <w:rsid w:val="002223D2"/>
    <w:rsid w:val="00222E46"/>
    <w:rsid w:val="0022334F"/>
    <w:rsid w:val="002237C2"/>
    <w:rsid w:val="00223DBD"/>
    <w:rsid w:val="0022535C"/>
    <w:rsid w:val="00226819"/>
    <w:rsid w:val="00230E76"/>
    <w:rsid w:val="00231D7A"/>
    <w:rsid w:val="00233101"/>
    <w:rsid w:val="002334CC"/>
    <w:rsid w:val="0023358A"/>
    <w:rsid w:val="00233817"/>
    <w:rsid w:val="002338EB"/>
    <w:rsid w:val="0023538E"/>
    <w:rsid w:val="002367FF"/>
    <w:rsid w:val="0023777F"/>
    <w:rsid w:val="00240CE9"/>
    <w:rsid w:val="00240E25"/>
    <w:rsid w:val="002434BA"/>
    <w:rsid w:val="00244410"/>
    <w:rsid w:val="002447B9"/>
    <w:rsid w:val="00246089"/>
    <w:rsid w:val="00246093"/>
    <w:rsid w:val="00246702"/>
    <w:rsid w:val="00246BEA"/>
    <w:rsid w:val="00246D2B"/>
    <w:rsid w:val="00247C59"/>
    <w:rsid w:val="00247F2E"/>
    <w:rsid w:val="00250900"/>
    <w:rsid w:val="00250A48"/>
    <w:rsid w:val="00250ADC"/>
    <w:rsid w:val="00250B07"/>
    <w:rsid w:val="00252477"/>
    <w:rsid w:val="002525CD"/>
    <w:rsid w:val="002534A7"/>
    <w:rsid w:val="00254990"/>
    <w:rsid w:val="00255013"/>
    <w:rsid w:val="00255144"/>
    <w:rsid w:val="00256A1A"/>
    <w:rsid w:val="00257553"/>
    <w:rsid w:val="0026003E"/>
    <w:rsid w:val="00260633"/>
    <w:rsid w:val="00260980"/>
    <w:rsid w:val="00260FB2"/>
    <w:rsid w:val="00261225"/>
    <w:rsid w:val="00261921"/>
    <w:rsid w:val="00262128"/>
    <w:rsid w:val="00271003"/>
    <w:rsid w:val="0027165D"/>
    <w:rsid w:val="00273252"/>
    <w:rsid w:val="002733D2"/>
    <w:rsid w:val="00273CEB"/>
    <w:rsid w:val="00274C6A"/>
    <w:rsid w:val="00276E70"/>
    <w:rsid w:val="00277027"/>
    <w:rsid w:val="0027788D"/>
    <w:rsid w:val="00277A10"/>
    <w:rsid w:val="00280208"/>
    <w:rsid w:val="00281C89"/>
    <w:rsid w:val="002821BC"/>
    <w:rsid w:val="002821D2"/>
    <w:rsid w:val="0028282F"/>
    <w:rsid w:val="00285099"/>
    <w:rsid w:val="002850F8"/>
    <w:rsid w:val="00287AA3"/>
    <w:rsid w:val="00290445"/>
    <w:rsid w:val="00291CF1"/>
    <w:rsid w:val="00291F05"/>
    <w:rsid w:val="00292055"/>
    <w:rsid w:val="00292FFE"/>
    <w:rsid w:val="00293B75"/>
    <w:rsid w:val="00293DB0"/>
    <w:rsid w:val="00294F5B"/>
    <w:rsid w:val="002950BA"/>
    <w:rsid w:val="0029593B"/>
    <w:rsid w:val="00295CB7"/>
    <w:rsid w:val="00295E8B"/>
    <w:rsid w:val="00296813"/>
    <w:rsid w:val="002973A6"/>
    <w:rsid w:val="00297FC5"/>
    <w:rsid w:val="002A0417"/>
    <w:rsid w:val="002A085A"/>
    <w:rsid w:val="002A0E22"/>
    <w:rsid w:val="002A0F47"/>
    <w:rsid w:val="002A16D8"/>
    <w:rsid w:val="002A19F7"/>
    <w:rsid w:val="002A1BC8"/>
    <w:rsid w:val="002A1BF3"/>
    <w:rsid w:val="002A1F60"/>
    <w:rsid w:val="002A3E04"/>
    <w:rsid w:val="002A3EF2"/>
    <w:rsid w:val="002A49C2"/>
    <w:rsid w:val="002A69BE"/>
    <w:rsid w:val="002A6A5D"/>
    <w:rsid w:val="002A7CFA"/>
    <w:rsid w:val="002B0DED"/>
    <w:rsid w:val="002B1795"/>
    <w:rsid w:val="002B19A2"/>
    <w:rsid w:val="002B2A94"/>
    <w:rsid w:val="002B2CE2"/>
    <w:rsid w:val="002B381A"/>
    <w:rsid w:val="002B3C83"/>
    <w:rsid w:val="002B3CF0"/>
    <w:rsid w:val="002B4FCC"/>
    <w:rsid w:val="002B5189"/>
    <w:rsid w:val="002B5531"/>
    <w:rsid w:val="002B7329"/>
    <w:rsid w:val="002B7408"/>
    <w:rsid w:val="002B7CFD"/>
    <w:rsid w:val="002C210F"/>
    <w:rsid w:val="002C5439"/>
    <w:rsid w:val="002C5D95"/>
    <w:rsid w:val="002C647D"/>
    <w:rsid w:val="002C67CF"/>
    <w:rsid w:val="002C6EB5"/>
    <w:rsid w:val="002D0C18"/>
    <w:rsid w:val="002D3600"/>
    <w:rsid w:val="002D69B8"/>
    <w:rsid w:val="002D6B92"/>
    <w:rsid w:val="002D6F88"/>
    <w:rsid w:val="002D764E"/>
    <w:rsid w:val="002D7B26"/>
    <w:rsid w:val="002E04FF"/>
    <w:rsid w:val="002E37B0"/>
    <w:rsid w:val="002E4DDC"/>
    <w:rsid w:val="002E50C9"/>
    <w:rsid w:val="002E6069"/>
    <w:rsid w:val="002E71D3"/>
    <w:rsid w:val="002E7A0B"/>
    <w:rsid w:val="002F2054"/>
    <w:rsid w:val="002F33E4"/>
    <w:rsid w:val="002F48A3"/>
    <w:rsid w:val="002F64B1"/>
    <w:rsid w:val="002F6A09"/>
    <w:rsid w:val="002F73FC"/>
    <w:rsid w:val="003011D7"/>
    <w:rsid w:val="00302480"/>
    <w:rsid w:val="003035D0"/>
    <w:rsid w:val="003043BF"/>
    <w:rsid w:val="003051AC"/>
    <w:rsid w:val="00307ECC"/>
    <w:rsid w:val="003165E6"/>
    <w:rsid w:val="0031688A"/>
    <w:rsid w:val="00316FB7"/>
    <w:rsid w:val="0031720B"/>
    <w:rsid w:val="00317267"/>
    <w:rsid w:val="0032065D"/>
    <w:rsid w:val="00320BCB"/>
    <w:rsid w:val="003221CF"/>
    <w:rsid w:val="00322516"/>
    <w:rsid w:val="00322A82"/>
    <w:rsid w:val="003233ED"/>
    <w:rsid w:val="00323846"/>
    <w:rsid w:val="00323C02"/>
    <w:rsid w:val="00324D9F"/>
    <w:rsid w:val="003258D4"/>
    <w:rsid w:val="00325B84"/>
    <w:rsid w:val="00325BFA"/>
    <w:rsid w:val="003266C1"/>
    <w:rsid w:val="00327948"/>
    <w:rsid w:val="00327F11"/>
    <w:rsid w:val="0033000F"/>
    <w:rsid w:val="003318CF"/>
    <w:rsid w:val="00332011"/>
    <w:rsid w:val="00332339"/>
    <w:rsid w:val="00332518"/>
    <w:rsid w:val="003327AC"/>
    <w:rsid w:val="00332925"/>
    <w:rsid w:val="00332C1E"/>
    <w:rsid w:val="003332ED"/>
    <w:rsid w:val="0033515A"/>
    <w:rsid w:val="0033525E"/>
    <w:rsid w:val="00335FC3"/>
    <w:rsid w:val="003368DC"/>
    <w:rsid w:val="0033742B"/>
    <w:rsid w:val="00340263"/>
    <w:rsid w:val="00341109"/>
    <w:rsid w:val="00341387"/>
    <w:rsid w:val="00343D4A"/>
    <w:rsid w:val="00344437"/>
    <w:rsid w:val="00345927"/>
    <w:rsid w:val="00345B9B"/>
    <w:rsid w:val="00345C89"/>
    <w:rsid w:val="00345D25"/>
    <w:rsid w:val="00347085"/>
    <w:rsid w:val="003479BC"/>
    <w:rsid w:val="00350584"/>
    <w:rsid w:val="00350D97"/>
    <w:rsid w:val="00351857"/>
    <w:rsid w:val="00353103"/>
    <w:rsid w:val="00354985"/>
    <w:rsid w:val="00356FD9"/>
    <w:rsid w:val="003610E1"/>
    <w:rsid w:val="0036128F"/>
    <w:rsid w:val="003617DD"/>
    <w:rsid w:val="003641EC"/>
    <w:rsid w:val="00364C70"/>
    <w:rsid w:val="00366A20"/>
    <w:rsid w:val="00366C73"/>
    <w:rsid w:val="00366E8C"/>
    <w:rsid w:val="00367116"/>
    <w:rsid w:val="003671BE"/>
    <w:rsid w:val="00367A15"/>
    <w:rsid w:val="00370E1B"/>
    <w:rsid w:val="003719D0"/>
    <w:rsid w:val="00371FAE"/>
    <w:rsid w:val="00372371"/>
    <w:rsid w:val="00372485"/>
    <w:rsid w:val="00372EAE"/>
    <w:rsid w:val="00373200"/>
    <w:rsid w:val="003751CA"/>
    <w:rsid w:val="00375EF5"/>
    <w:rsid w:val="003767A5"/>
    <w:rsid w:val="00380B46"/>
    <w:rsid w:val="00385254"/>
    <w:rsid w:val="00386FB7"/>
    <w:rsid w:val="00387831"/>
    <w:rsid w:val="00390E8E"/>
    <w:rsid w:val="00391111"/>
    <w:rsid w:val="003925ED"/>
    <w:rsid w:val="00393089"/>
    <w:rsid w:val="00393958"/>
    <w:rsid w:val="00393C57"/>
    <w:rsid w:val="0039435F"/>
    <w:rsid w:val="00394924"/>
    <w:rsid w:val="00395707"/>
    <w:rsid w:val="00395A41"/>
    <w:rsid w:val="00397734"/>
    <w:rsid w:val="00397F1C"/>
    <w:rsid w:val="003A1551"/>
    <w:rsid w:val="003A2CEA"/>
    <w:rsid w:val="003A2E6F"/>
    <w:rsid w:val="003A32BF"/>
    <w:rsid w:val="003A36E2"/>
    <w:rsid w:val="003A3DEA"/>
    <w:rsid w:val="003A43D9"/>
    <w:rsid w:val="003A4873"/>
    <w:rsid w:val="003A5E07"/>
    <w:rsid w:val="003A5F5B"/>
    <w:rsid w:val="003A7775"/>
    <w:rsid w:val="003A789A"/>
    <w:rsid w:val="003A7931"/>
    <w:rsid w:val="003A7C41"/>
    <w:rsid w:val="003A7E79"/>
    <w:rsid w:val="003A7FA5"/>
    <w:rsid w:val="003B049F"/>
    <w:rsid w:val="003B0551"/>
    <w:rsid w:val="003B12EC"/>
    <w:rsid w:val="003B16F3"/>
    <w:rsid w:val="003B1F20"/>
    <w:rsid w:val="003B21DE"/>
    <w:rsid w:val="003B261B"/>
    <w:rsid w:val="003B4C03"/>
    <w:rsid w:val="003B5358"/>
    <w:rsid w:val="003B676E"/>
    <w:rsid w:val="003C0C7F"/>
    <w:rsid w:val="003C2470"/>
    <w:rsid w:val="003C32F2"/>
    <w:rsid w:val="003C3E9A"/>
    <w:rsid w:val="003C406F"/>
    <w:rsid w:val="003C50CF"/>
    <w:rsid w:val="003C516D"/>
    <w:rsid w:val="003C6CA8"/>
    <w:rsid w:val="003C7026"/>
    <w:rsid w:val="003C77E0"/>
    <w:rsid w:val="003C7C8A"/>
    <w:rsid w:val="003D0BC1"/>
    <w:rsid w:val="003D1412"/>
    <w:rsid w:val="003D177E"/>
    <w:rsid w:val="003D17D7"/>
    <w:rsid w:val="003D2678"/>
    <w:rsid w:val="003D2CA7"/>
    <w:rsid w:val="003D3005"/>
    <w:rsid w:val="003D3730"/>
    <w:rsid w:val="003D5194"/>
    <w:rsid w:val="003D59D4"/>
    <w:rsid w:val="003D62FB"/>
    <w:rsid w:val="003D7152"/>
    <w:rsid w:val="003D71A3"/>
    <w:rsid w:val="003D7D43"/>
    <w:rsid w:val="003E2897"/>
    <w:rsid w:val="003E2B8A"/>
    <w:rsid w:val="003E45EE"/>
    <w:rsid w:val="003E5D16"/>
    <w:rsid w:val="003E5D58"/>
    <w:rsid w:val="003F0793"/>
    <w:rsid w:val="003F10EE"/>
    <w:rsid w:val="003F16F6"/>
    <w:rsid w:val="003F1C7F"/>
    <w:rsid w:val="003F3603"/>
    <w:rsid w:val="003F4664"/>
    <w:rsid w:val="003F4DC7"/>
    <w:rsid w:val="003F5235"/>
    <w:rsid w:val="003F5A2B"/>
    <w:rsid w:val="003F6205"/>
    <w:rsid w:val="003F7635"/>
    <w:rsid w:val="003F7E3A"/>
    <w:rsid w:val="00400A7F"/>
    <w:rsid w:val="00401B37"/>
    <w:rsid w:val="004027E4"/>
    <w:rsid w:val="00403B50"/>
    <w:rsid w:val="004065C6"/>
    <w:rsid w:val="00406F5C"/>
    <w:rsid w:val="0041071D"/>
    <w:rsid w:val="00410995"/>
    <w:rsid w:val="00413A64"/>
    <w:rsid w:val="00413B83"/>
    <w:rsid w:val="004140FE"/>
    <w:rsid w:val="00414AFC"/>
    <w:rsid w:val="004151A7"/>
    <w:rsid w:val="00415310"/>
    <w:rsid w:val="00415539"/>
    <w:rsid w:val="004162FC"/>
    <w:rsid w:val="00420958"/>
    <w:rsid w:val="004210B2"/>
    <w:rsid w:val="00421709"/>
    <w:rsid w:val="00422F40"/>
    <w:rsid w:val="004230C2"/>
    <w:rsid w:val="00423662"/>
    <w:rsid w:val="00423763"/>
    <w:rsid w:val="00424453"/>
    <w:rsid w:val="0042762F"/>
    <w:rsid w:val="00427DC7"/>
    <w:rsid w:val="00430D74"/>
    <w:rsid w:val="00431613"/>
    <w:rsid w:val="00431792"/>
    <w:rsid w:val="0043297A"/>
    <w:rsid w:val="00432EB2"/>
    <w:rsid w:val="00433B9E"/>
    <w:rsid w:val="00434461"/>
    <w:rsid w:val="00434DE0"/>
    <w:rsid w:val="004354C8"/>
    <w:rsid w:val="00435758"/>
    <w:rsid w:val="00435B04"/>
    <w:rsid w:val="0043714F"/>
    <w:rsid w:val="004438B5"/>
    <w:rsid w:val="004442EA"/>
    <w:rsid w:val="00444C61"/>
    <w:rsid w:val="00445850"/>
    <w:rsid w:val="0044617B"/>
    <w:rsid w:val="0044687D"/>
    <w:rsid w:val="00447037"/>
    <w:rsid w:val="00447244"/>
    <w:rsid w:val="004473B6"/>
    <w:rsid w:val="00447B41"/>
    <w:rsid w:val="0045045A"/>
    <w:rsid w:val="004506BF"/>
    <w:rsid w:val="0045124D"/>
    <w:rsid w:val="00451B25"/>
    <w:rsid w:val="00451E07"/>
    <w:rsid w:val="00452183"/>
    <w:rsid w:val="00452279"/>
    <w:rsid w:val="00452980"/>
    <w:rsid w:val="004541FF"/>
    <w:rsid w:val="00454596"/>
    <w:rsid w:val="004554F3"/>
    <w:rsid w:val="004556F1"/>
    <w:rsid w:val="0045605D"/>
    <w:rsid w:val="0045658C"/>
    <w:rsid w:val="00456BA2"/>
    <w:rsid w:val="00461070"/>
    <w:rsid w:val="0046135B"/>
    <w:rsid w:val="00462477"/>
    <w:rsid w:val="00463BDB"/>
    <w:rsid w:val="004643B8"/>
    <w:rsid w:val="00464F6C"/>
    <w:rsid w:val="00465765"/>
    <w:rsid w:val="0046793D"/>
    <w:rsid w:val="0047093B"/>
    <w:rsid w:val="00470C99"/>
    <w:rsid w:val="0047101A"/>
    <w:rsid w:val="004718CC"/>
    <w:rsid w:val="00471937"/>
    <w:rsid w:val="00471A62"/>
    <w:rsid w:val="00471A8B"/>
    <w:rsid w:val="00472A4F"/>
    <w:rsid w:val="00472E0C"/>
    <w:rsid w:val="00473DBD"/>
    <w:rsid w:val="00473EFF"/>
    <w:rsid w:val="00476D3E"/>
    <w:rsid w:val="00481695"/>
    <w:rsid w:val="004831DA"/>
    <w:rsid w:val="00483EA7"/>
    <w:rsid w:val="00484562"/>
    <w:rsid w:val="00484A74"/>
    <w:rsid w:val="004856ED"/>
    <w:rsid w:val="00486F9E"/>
    <w:rsid w:val="00487155"/>
    <w:rsid w:val="00490173"/>
    <w:rsid w:val="004923E7"/>
    <w:rsid w:val="00493029"/>
    <w:rsid w:val="00493DFE"/>
    <w:rsid w:val="004958DB"/>
    <w:rsid w:val="00495A96"/>
    <w:rsid w:val="00495B20"/>
    <w:rsid w:val="00495BB3"/>
    <w:rsid w:val="00497542"/>
    <w:rsid w:val="004A3214"/>
    <w:rsid w:val="004A3561"/>
    <w:rsid w:val="004A36F2"/>
    <w:rsid w:val="004A38F0"/>
    <w:rsid w:val="004A3BE9"/>
    <w:rsid w:val="004A3F35"/>
    <w:rsid w:val="004A499A"/>
    <w:rsid w:val="004A4DB9"/>
    <w:rsid w:val="004A56BB"/>
    <w:rsid w:val="004A6547"/>
    <w:rsid w:val="004A6B3B"/>
    <w:rsid w:val="004A6F17"/>
    <w:rsid w:val="004B0306"/>
    <w:rsid w:val="004B052A"/>
    <w:rsid w:val="004B09E0"/>
    <w:rsid w:val="004B1751"/>
    <w:rsid w:val="004B1B30"/>
    <w:rsid w:val="004B2779"/>
    <w:rsid w:val="004B36B1"/>
    <w:rsid w:val="004B47B6"/>
    <w:rsid w:val="004B4A19"/>
    <w:rsid w:val="004B4E2D"/>
    <w:rsid w:val="004B6011"/>
    <w:rsid w:val="004C0253"/>
    <w:rsid w:val="004C13FF"/>
    <w:rsid w:val="004C3BA8"/>
    <w:rsid w:val="004C41DD"/>
    <w:rsid w:val="004C6E3D"/>
    <w:rsid w:val="004C73A8"/>
    <w:rsid w:val="004C7DEC"/>
    <w:rsid w:val="004D04D6"/>
    <w:rsid w:val="004D0E2A"/>
    <w:rsid w:val="004D246B"/>
    <w:rsid w:val="004D3B6F"/>
    <w:rsid w:val="004D3CA2"/>
    <w:rsid w:val="004D4BD1"/>
    <w:rsid w:val="004D51E1"/>
    <w:rsid w:val="004D56FF"/>
    <w:rsid w:val="004D642B"/>
    <w:rsid w:val="004E0244"/>
    <w:rsid w:val="004E2F7E"/>
    <w:rsid w:val="004E3361"/>
    <w:rsid w:val="004E39D3"/>
    <w:rsid w:val="004E508A"/>
    <w:rsid w:val="004E5EAA"/>
    <w:rsid w:val="004E616D"/>
    <w:rsid w:val="004E68CD"/>
    <w:rsid w:val="004E6C0C"/>
    <w:rsid w:val="004F1BDE"/>
    <w:rsid w:val="004F2262"/>
    <w:rsid w:val="004F2CEE"/>
    <w:rsid w:val="004F3816"/>
    <w:rsid w:val="004F556E"/>
    <w:rsid w:val="004F60C6"/>
    <w:rsid w:val="004F63B2"/>
    <w:rsid w:val="004F79CA"/>
    <w:rsid w:val="004F7F44"/>
    <w:rsid w:val="00501D5F"/>
    <w:rsid w:val="00502073"/>
    <w:rsid w:val="005037B4"/>
    <w:rsid w:val="005079BF"/>
    <w:rsid w:val="00512435"/>
    <w:rsid w:val="005134AA"/>
    <w:rsid w:val="00514169"/>
    <w:rsid w:val="00514762"/>
    <w:rsid w:val="005156D0"/>
    <w:rsid w:val="00515E31"/>
    <w:rsid w:val="00516F70"/>
    <w:rsid w:val="005214C7"/>
    <w:rsid w:val="005219E7"/>
    <w:rsid w:val="00523DCE"/>
    <w:rsid w:val="0053132B"/>
    <w:rsid w:val="00531668"/>
    <w:rsid w:val="00531B9A"/>
    <w:rsid w:val="00531D15"/>
    <w:rsid w:val="00531DDE"/>
    <w:rsid w:val="0053216E"/>
    <w:rsid w:val="005333EC"/>
    <w:rsid w:val="00534686"/>
    <w:rsid w:val="0053725B"/>
    <w:rsid w:val="00537604"/>
    <w:rsid w:val="00540B7F"/>
    <w:rsid w:val="005414AD"/>
    <w:rsid w:val="00542377"/>
    <w:rsid w:val="005428F4"/>
    <w:rsid w:val="00544132"/>
    <w:rsid w:val="0054634F"/>
    <w:rsid w:val="00546523"/>
    <w:rsid w:val="005476EB"/>
    <w:rsid w:val="005516C2"/>
    <w:rsid w:val="00551782"/>
    <w:rsid w:val="00551FE4"/>
    <w:rsid w:val="00553ADE"/>
    <w:rsid w:val="00553FA5"/>
    <w:rsid w:val="00554004"/>
    <w:rsid w:val="00554A55"/>
    <w:rsid w:val="0055511E"/>
    <w:rsid w:val="00556216"/>
    <w:rsid w:val="00557FA1"/>
    <w:rsid w:val="00561D95"/>
    <w:rsid w:val="00563560"/>
    <w:rsid w:val="00563C19"/>
    <w:rsid w:val="00563EF1"/>
    <w:rsid w:val="005664E6"/>
    <w:rsid w:val="00566AB4"/>
    <w:rsid w:val="00567899"/>
    <w:rsid w:val="005708C8"/>
    <w:rsid w:val="00571289"/>
    <w:rsid w:val="005724E8"/>
    <w:rsid w:val="00572FA3"/>
    <w:rsid w:val="00573764"/>
    <w:rsid w:val="005741DB"/>
    <w:rsid w:val="0057551F"/>
    <w:rsid w:val="00575AC5"/>
    <w:rsid w:val="00575B76"/>
    <w:rsid w:val="0057605D"/>
    <w:rsid w:val="00580917"/>
    <w:rsid w:val="00581347"/>
    <w:rsid w:val="00581AC9"/>
    <w:rsid w:val="005822FA"/>
    <w:rsid w:val="00583998"/>
    <w:rsid w:val="00583B01"/>
    <w:rsid w:val="00583CA5"/>
    <w:rsid w:val="005849F8"/>
    <w:rsid w:val="00585687"/>
    <w:rsid w:val="00586D91"/>
    <w:rsid w:val="00590BF0"/>
    <w:rsid w:val="005931F3"/>
    <w:rsid w:val="005938DF"/>
    <w:rsid w:val="00593B36"/>
    <w:rsid w:val="00593C38"/>
    <w:rsid w:val="00594C25"/>
    <w:rsid w:val="00594E9C"/>
    <w:rsid w:val="0059546E"/>
    <w:rsid w:val="00596FD7"/>
    <w:rsid w:val="00597BF9"/>
    <w:rsid w:val="005A035B"/>
    <w:rsid w:val="005A099B"/>
    <w:rsid w:val="005A0DC5"/>
    <w:rsid w:val="005A105D"/>
    <w:rsid w:val="005A2D9C"/>
    <w:rsid w:val="005A30CB"/>
    <w:rsid w:val="005A3185"/>
    <w:rsid w:val="005A3BF2"/>
    <w:rsid w:val="005A55FE"/>
    <w:rsid w:val="005A5B87"/>
    <w:rsid w:val="005A6A11"/>
    <w:rsid w:val="005B1640"/>
    <w:rsid w:val="005B1839"/>
    <w:rsid w:val="005B4096"/>
    <w:rsid w:val="005B510B"/>
    <w:rsid w:val="005B5E9D"/>
    <w:rsid w:val="005B64C1"/>
    <w:rsid w:val="005B7841"/>
    <w:rsid w:val="005B7E00"/>
    <w:rsid w:val="005C1542"/>
    <w:rsid w:val="005C2BF4"/>
    <w:rsid w:val="005C4666"/>
    <w:rsid w:val="005C6B2F"/>
    <w:rsid w:val="005C781B"/>
    <w:rsid w:val="005D01DF"/>
    <w:rsid w:val="005D2502"/>
    <w:rsid w:val="005D47F3"/>
    <w:rsid w:val="005D49BF"/>
    <w:rsid w:val="005D4F8A"/>
    <w:rsid w:val="005D67A8"/>
    <w:rsid w:val="005D6DD6"/>
    <w:rsid w:val="005D6F4E"/>
    <w:rsid w:val="005D74A1"/>
    <w:rsid w:val="005E12B5"/>
    <w:rsid w:val="005E13C8"/>
    <w:rsid w:val="005E338B"/>
    <w:rsid w:val="005E3ACD"/>
    <w:rsid w:val="005E3ED8"/>
    <w:rsid w:val="005E4110"/>
    <w:rsid w:val="005E4C53"/>
    <w:rsid w:val="005E681F"/>
    <w:rsid w:val="005E6AF4"/>
    <w:rsid w:val="005E7226"/>
    <w:rsid w:val="005E7A57"/>
    <w:rsid w:val="005E7C6B"/>
    <w:rsid w:val="005F0189"/>
    <w:rsid w:val="005F0356"/>
    <w:rsid w:val="005F1396"/>
    <w:rsid w:val="005F1585"/>
    <w:rsid w:val="005F2077"/>
    <w:rsid w:val="005F24B0"/>
    <w:rsid w:val="005F2751"/>
    <w:rsid w:val="005F3B11"/>
    <w:rsid w:val="005F5EE0"/>
    <w:rsid w:val="005F64B1"/>
    <w:rsid w:val="005F64CD"/>
    <w:rsid w:val="005F74E0"/>
    <w:rsid w:val="0060078D"/>
    <w:rsid w:val="00600CEF"/>
    <w:rsid w:val="00601985"/>
    <w:rsid w:val="00601A38"/>
    <w:rsid w:val="00601C07"/>
    <w:rsid w:val="00601D5F"/>
    <w:rsid w:val="00601DA3"/>
    <w:rsid w:val="00603395"/>
    <w:rsid w:val="00603AA0"/>
    <w:rsid w:val="00604315"/>
    <w:rsid w:val="00604466"/>
    <w:rsid w:val="00604B7C"/>
    <w:rsid w:val="00604E26"/>
    <w:rsid w:val="006051F5"/>
    <w:rsid w:val="006052CF"/>
    <w:rsid w:val="00606394"/>
    <w:rsid w:val="00607B8D"/>
    <w:rsid w:val="00610C27"/>
    <w:rsid w:val="00611F5C"/>
    <w:rsid w:val="006123EF"/>
    <w:rsid w:val="00613636"/>
    <w:rsid w:val="00613D6D"/>
    <w:rsid w:val="00613FA3"/>
    <w:rsid w:val="00615B02"/>
    <w:rsid w:val="00616057"/>
    <w:rsid w:val="006168C8"/>
    <w:rsid w:val="00616E09"/>
    <w:rsid w:val="006174BB"/>
    <w:rsid w:val="0061763C"/>
    <w:rsid w:val="00617A2D"/>
    <w:rsid w:val="00617F5E"/>
    <w:rsid w:val="00617FF9"/>
    <w:rsid w:val="00620438"/>
    <w:rsid w:val="0062061C"/>
    <w:rsid w:val="0062091B"/>
    <w:rsid w:val="00622A3B"/>
    <w:rsid w:val="00622EEA"/>
    <w:rsid w:val="00623154"/>
    <w:rsid w:val="0062396C"/>
    <w:rsid w:val="00623FF9"/>
    <w:rsid w:val="0062541E"/>
    <w:rsid w:val="00626187"/>
    <w:rsid w:val="00626841"/>
    <w:rsid w:val="00627665"/>
    <w:rsid w:val="00627D4E"/>
    <w:rsid w:val="006306B5"/>
    <w:rsid w:val="00634478"/>
    <w:rsid w:val="0064240D"/>
    <w:rsid w:val="006428C7"/>
    <w:rsid w:val="00644373"/>
    <w:rsid w:val="00645915"/>
    <w:rsid w:val="006475A0"/>
    <w:rsid w:val="006519C3"/>
    <w:rsid w:val="00651B6A"/>
    <w:rsid w:val="00652B30"/>
    <w:rsid w:val="00654133"/>
    <w:rsid w:val="00654359"/>
    <w:rsid w:val="00654448"/>
    <w:rsid w:val="00654EBB"/>
    <w:rsid w:val="00655393"/>
    <w:rsid w:val="00655716"/>
    <w:rsid w:val="00656345"/>
    <w:rsid w:val="00656448"/>
    <w:rsid w:val="00656DC6"/>
    <w:rsid w:val="00660D8F"/>
    <w:rsid w:val="006615A5"/>
    <w:rsid w:val="006638FE"/>
    <w:rsid w:val="00664110"/>
    <w:rsid w:val="00664D17"/>
    <w:rsid w:val="00665CFD"/>
    <w:rsid w:val="00665E7A"/>
    <w:rsid w:val="006660DE"/>
    <w:rsid w:val="00666520"/>
    <w:rsid w:val="00666F7C"/>
    <w:rsid w:val="006671D5"/>
    <w:rsid w:val="00667C5B"/>
    <w:rsid w:val="00670099"/>
    <w:rsid w:val="00670186"/>
    <w:rsid w:val="00670770"/>
    <w:rsid w:val="006720CD"/>
    <w:rsid w:val="0067215F"/>
    <w:rsid w:val="006739FF"/>
    <w:rsid w:val="00673D1F"/>
    <w:rsid w:val="00673DB9"/>
    <w:rsid w:val="0067534E"/>
    <w:rsid w:val="006754FE"/>
    <w:rsid w:val="0067629E"/>
    <w:rsid w:val="00676B65"/>
    <w:rsid w:val="00677C18"/>
    <w:rsid w:val="00677E6C"/>
    <w:rsid w:val="006804B7"/>
    <w:rsid w:val="00680D23"/>
    <w:rsid w:val="0068149E"/>
    <w:rsid w:val="00681F59"/>
    <w:rsid w:val="00682391"/>
    <w:rsid w:val="0068315E"/>
    <w:rsid w:val="00683407"/>
    <w:rsid w:val="006838B2"/>
    <w:rsid w:val="00684D6F"/>
    <w:rsid w:val="00685B5D"/>
    <w:rsid w:val="006865FF"/>
    <w:rsid w:val="00690BDA"/>
    <w:rsid w:val="00691C6D"/>
    <w:rsid w:val="00692CDE"/>
    <w:rsid w:val="00693073"/>
    <w:rsid w:val="006935FB"/>
    <w:rsid w:val="00693E17"/>
    <w:rsid w:val="00694C07"/>
    <w:rsid w:val="00694F5C"/>
    <w:rsid w:val="0069517B"/>
    <w:rsid w:val="00695D10"/>
    <w:rsid w:val="00696402"/>
    <w:rsid w:val="00696EB1"/>
    <w:rsid w:val="00696EF1"/>
    <w:rsid w:val="006977FF"/>
    <w:rsid w:val="00697E3C"/>
    <w:rsid w:val="006A00D7"/>
    <w:rsid w:val="006A01FA"/>
    <w:rsid w:val="006A088D"/>
    <w:rsid w:val="006A0E9E"/>
    <w:rsid w:val="006A0F18"/>
    <w:rsid w:val="006A0F23"/>
    <w:rsid w:val="006A1AC8"/>
    <w:rsid w:val="006A25C7"/>
    <w:rsid w:val="006A2C4F"/>
    <w:rsid w:val="006A3E57"/>
    <w:rsid w:val="006A3F76"/>
    <w:rsid w:val="006A4AAD"/>
    <w:rsid w:val="006A56FD"/>
    <w:rsid w:val="006A59D7"/>
    <w:rsid w:val="006A6053"/>
    <w:rsid w:val="006A64AA"/>
    <w:rsid w:val="006A6DA2"/>
    <w:rsid w:val="006A7342"/>
    <w:rsid w:val="006A7AB2"/>
    <w:rsid w:val="006A7CB9"/>
    <w:rsid w:val="006B01D1"/>
    <w:rsid w:val="006B1349"/>
    <w:rsid w:val="006B48BA"/>
    <w:rsid w:val="006B519D"/>
    <w:rsid w:val="006B5717"/>
    <w:rsid w:val="006B582F"/>
    <w:rsid w:val="006B5EED"/>
    <w:rsid w:val="006B7EDC"/>
    <w:rsid w:val="006C0CEB"/>
    <w:rsid w:val="006C1684"/>
    <w:rsid w:val="006C23CD"/>
    <w:rsid w:val="006C296C"/>
    <w:rsid w:val="006C3B1E"/>
    <w:rsid w:val="006C47FD"/>
    <w:rsid w:val="006C4ACA"/>
    <w:rsid w:val="006C4FD9"/>
    <w:rsid w:val="006C513A"/>
    <w:rsid w:val="006C5153"/>
    <w:rsid w:val="006C70A0"/>
    <w:rsid w:val="006D27CB"/>
    <w:rsid w:val="006D2F08"/>
    <w:rsid w:val="006D3408"/>
    <w:rsid w:val="006D3409"/>
    <w:rsid w:val="006D46E2"/>
    <w:rsid w:val="006D4BFE"/>
    <w:rsid w:val="006D53BB"/>
    <w:rsid w:val="006D576C"/>
    <w:rsid w:val="006D5865"/>
    <w:rsid w:val="006D5DBA"/>
    <w:rsid w:val="006D67FF"/>
    <w:rsid w:val="006D6ED5"/>
    <w:rsid w:val="006D70D5"/>
    <w:rsid w:val="006E0BB2"/>
    <w:rsid w:val="006E30E3"/>
    <w:rsid w:val="006E3208"/>
    <w:rsid w:val="006E423A"/>
    <w:rsid w:val="006E4B1B"/>
    <w:rsid w:val="006E5445"/>
    <w:rsid w:val="006E7D93"/>
    <w:rsid w:val="006F06E5"/>
    <w:rsid w:val="006F1456"/>
    <w:rsid w:val="006F4C16"/>
    <w:rsid w:val="006F4DBE"/>
    <w:rsid w:val="006F62D9"/>
    <w:rsid w:val="006F66CC"/>
    <w:rsid w:val="006F670E"/>
    <w:rsid w:val="00700CB8"/>
    <w:rsid w:val="0070194D"/>
    <w:rsid w:val="00701CCE"/>
    <w:rsid w:val="007029A3"/>
    <w:rsid w:val="0070432D"/>
    <w:rsid w:val="00704FFE"/>
    <w:rsid w:val="0070539F"/>
    <w:rsid w:val="00705655"/>
    <w:rsid w:val="00706DBA"/>
    <w:rsid w:val="00706E4E"/>
    <w:rsid w:val="0070791C"/>
    <w:rsid w:val="00710A09"/>
    <w:rsid w:val="00713794"/>
    <w:rsid w:val="0071383C"/>
    <w:rsid w:val="0071397C"/>
    <w:rsid w:val="007141A7"/>
    <w:rsid w:val="0071508A"/>
    <w:rsid w:val="00715A9E"/>
    <w:rsid w:val="007167F9"/>
    <w:rsid w:val="00716D7B"/>
    <w:rsid w:val="00717751"/>
    <w:rsid w:val="00717B89"/>
    <w:rsid w:val="00720C38"/>
    <w:rsid w:val="00721032"/>
    <w:rsid w:val="00721B55"/>
    <w:rsid w:val="007226C7"/>
    <w:rsid w:val="00723A38"/>
    <w:rsid w:val="0072457B"/>
    <w:rsid w:val="0072527A"/>
    <w:rsid w:val="00726CE4"/>
    <w:rsid w:val="00726F21"/>
    <w:rsid w:val="00730201"/>
    <w:rsid w:val="00732250"/>
    <w:rsid w:val="00734143"/>
    <w:rsid w:val="00734804"/>
    <w:rsid w:val="00735773"/>
    <w:rsid w:val="00735E46"/>
    <w:rsid w:val="0073625C"/>
    <w:rsid w:val="007368D9"/>
    <w:rsid w:val="00737845"/>
    <w:rsid w:val="00737BD8"/>
    <w:rsid w:val="00737E2C"/>
    <w:rsid w:val="00737E47"/>
    <w:rsid w:val="00737EC5"/>
    <w:rsid w:val="00737F52"/>
    <w:rsid w:val="00740EAC"/>
    <w:rsid w:val="00741F32"/>
    <w:rsid w:val="0074276E"/>
    <w:rsid w:val="0074396B"/>
    <w:rsid w:val="007442E2"/>
    <w:rsid w:val="00744956"/>
    <w:rsid w:val="00744E80"/>
    <w:rsid w:val="00745A5C"/>
    <w:rsid w:val="0074605F"/>
    <w:rsid w:val="007462D9"/>
    <w:rsid w:val="00747E94"/>
    <w:rsid w:val="00752C55"/>
    <w:rsid w:val="00755080"/>
    <w:rsid w:val="00757B8A"/>
    <w:rsid w:val="00757BE4"/>
    <w:rsid w:val="00757D30"/>
    <w:rsid w:val="00760660"/>
    <w:rsid w:val="00760A84"/>
    <w:rsid w:val="00761DDD"/>
    <w:rsid w:val="00763532"/>
    <w:rsid w:val="00765013"/>
    <w:rsid w:val="00765BB7"/>
    <w:rsid w:val="00765C1E"/>
    <w:rsid w:val="00766749"/>
    <w:rsid w:val="00766CE5"/>
    <w:rsid w:val="00767C1B"/>
    <w:rsid w:val="00767C1C"/>
    <w:rsid w:val="00770B81"/>
    <w:rsid w:val="0077141D"/>
    <w:rsid w:val="00771438"/>
    <w:rsid w:val="007714A9"/>
    <w:rsid w:val="00773864"/>
    <w:rsid w:val="00774F88"/>
    <w:rsid w:val="00774FDB"/>
    <w:rsid w:val="00775096"/>
    <w:rsid w:val="007763EC"/>
    <w:rsid w:val="00777BA2"/>
    <w:rsid w:val="00777FE2"/>
    <w:rsid w:val="00780026"/>
    <w:rsid w:val="007801E9"/>
    <w:rsid w:val="00781408"/>
    <w:rsid w:val="00781D31"/>
    <w:rsid w:val="007841D0"/>
    <w:rsid w:val="00784C47"/>
    <w:rsid w:val="00784F7A"/>
    <w:rsid w:val="00784F7F"/>
    <w:rsid w:val="00786F09"/>
    <w:rsid w:val="00787E10"/>
    <w:rsid w:val="00791B3D"/>
    <w:rsid w:val="00796908"/>
    <w:rsid w:val="00796C7D"/>
    <w:rsid w:val="00796F25"/>
    <w:rsid w:val="007A2787"/>
    <w:rsid w:val="007A2E98"/>
    <w:rsid w:val="007A371B"/>
    <w:rsid w:val="007A3BA3"/>
    <w:rsid w:val="007A3C1D"/>
    <w:rsid w:val="007A4BBB"/>
    <w:rsid w:val="007A5E97"/>
    <w:rsid w:val="007A6CC0"/>
    <w:rsid w:val="007A77B1"/>
    <w:rsid w:val="007A7B4C"/>
    <w:rsid w:val="007A7FEC"/>
    <w:rsid w:val="007B032B"/>
    <w:rsid w:val="007B0ABF"/>
    <w:rsid w:val="007B13C2"/>
    <w:rsid w:val="007B1499"/>
    <w:rsid w:val="007B1BB7"/>
    <w:rsid w:val="007B1BBF"/>
    <w:rsid w:val="007B2960"/>
    <w:rsid w:val="007B2A6C"/>
    <w:rsid w:val="007B2F6C"/>
    <w:rsid w:val="007B355D"/>
    <w:rsid w:val="007B3BF4"/>
    <w:rsid w:val="007B3E93"/>
    <w:rsid w:val="007B4F2E"/>
    <w:rsid w:val="007B57F4"/>
    <w:rsid w:val="007B5ADB"/>
    <w:rsid w:val="007B7292"/>
    <w:rsid w:val="007B76CB"/>
    <w:rsid w:val="007B7980"/>
    <w:rsid w:val="007C06EF"/>
    <w:rsid w:val="007C3E84"/>
    <w:rsid w:val="007C4163"/>
    <w:rsid w:val="007C4199"/>
    <w:rsid w:val="007C44D1"/>
    <w:rsid w:val="007C47DD"/>
    <w:rsid w:val="007C485A"/>
    <w:rsid w:val="007C4BAA"/>
    <w:rsid w:val="007C506F"/>
    <w:rsid w:val="007C5D5A"/>
    <w:rsid w:val="007C5E5C"/>
    <w:rsid w:val="007C607F"/>
    <w:rsid w:val="007C6429"/>
    <w:rsid w:val="007C706F"/>
    <w:rsid w:val="007C722C"/>
    <w:rsid w:val="007C7652"/>
    <w:rsid w:val="007C79DD"/>
    <w:rsid w:val="007D146D"/>
    <w:rsid w:val="007D1A97"/>
    <w:rsid w:val="007D1BD2"/>
    <w:rsid w:val="007D227F"/>
    <w:rsid w:val="007D2342"/>
    <w:rsid w:val="007D2CD6"/>
    <w:rsid w:val="007D3063"/>
    <w:rsid w:val="007D350D"/>
    <w:rsid w:val="007D3CEB"/>
    <w:rsid w:val="007D4E71"/>
    <w:rsid w:val="007D6691"/>
    <w:rsid w:val="007D6A37"/>
    <w:rsid w:val="007D7FAF"/>
    <w:rsid w:val="007E1651"/>
    <w:rsid w:val="007E19DC"/>
    <w:rsid w:val="007E231A"/>
    <w:rsid w:val="007E247E"/>
    <w:rsid w:val="007E2AC8"/>
    <w:rsid w:val="007E3006"/>
    <w:rsid w:val="007E46DB"/>
    <w:rsid w:val="007E51E9"/>
    <w:rsid w:val="007E5D83"/>
    <w:rsid w:val="007E675C"/>
    <w:rsid w:val="007E6DF8"/>
    <w:rsid w:val="007E7683"/>
    <w:rsid w:val="007E76AB"/>
    <w:rsid w:val="007E7CA6"/>
    <w:rsid w:val="007E7D6B"/>
    <w:rsid w:val="007F15C9"/>
    <w:rsid w:val="007F2724"/>
    <w:rsid w:val="007F3835"/>
    <w:rsid w:val="007F49FA"/>
    <w:rsid w:val="007F54C4"/>
    <w:rsid w:val="007F6E9A"/>
    <w:rsid w:val="0080179F"/>
    <w:rsid w:val="00802724"/>
    <w:rsid w:val="008044D4"/>
    <w:rsid w:val="00806A36"/>
    <w:rsid w:val="00810073"/>
    <w:rsid w:val="00810A6F"/>
    <w:rsid w:val="00810AB4"/>
    <w:rsid w:val="00811341"/>
    <w:rsid w:val="0081186A"/>
    <w:rsid w:val="00812709"/>
    <w:rsid w:val="0081354C"/>
    <w:rsid w:val="008172A6"/>
    <w:rsid w:val="00817409"/>
    <w:rsid w:val="008174E7"/>
    <w:rsid w:val="00817B56"/>
    <w:rsid w:val="00821566"/>
    <w:rsid w:val="00821A88"/>
    <w:rsid w:val="0082326E"/>
    <w:rsid w:val="008233FF"/>
    <w:rsid w:val="00823735"/>
    <w:rsid w:val="0082384E"/>
    <w:rsid w:val="00823932"/>
    <w:rsid w:val="0082468A"/>
    <w:rsid w:val="0082495D"/>
    <w:rsid w:val="00825A0E"/>
    <w:rsid w:val="00826313"/>
    <w:rsid w:val="00826D8E"/>
    <w:rsid w:val="00830147"/>
    <w:rsid w:val="0083033F"/>
    <w:rsid w:val="008311DE"/>
    <w:rsid w:val="00831AC3"/>
    <w:rsid w:val="00832330"/>
    <w:rsid w:val="00832602"/>
    <w:rsid w:val="00834FF6"/>
    <w:rsid w:val="0083506A"/>
    <w:rsid w:val="00835672"/>
    <w:rsid w:val="00836476"/>
    <w:rsid w:val="00837568"/>
    <w:rsid w:val="008402A4"/>
    <w:rsid w:val="008408FF"/>
    <w:rsid w:val="00844DDC"/>
    <w:rsid w:val="00844F56"/>
    <w:rsid w:val="0084754A"/>
    <w:rsid w:val="008506E9"/>
    <w:rsid w:val="008519E7"/>
    <w:rsid w:val="00851BD7"/>
    <w:rsid w:val="00851F3F"/>
    <w:rsid w:val="008524B2"/>
    <w:rsid w:val="00852CFE"/>
    <w:rsid w:val="00855426"/>
    <w:rsid w:val="00855C57"/>
    <w:rsid w:val="00856EDC"/>
    <w:rsid w:val="00857F01"/>
    <w:rsid w:val="00860543"/>
    <w:rsid w:val="00860618"/>
    <w:rsid w:val="00860A31"/>
    <w:rsid w:val="008623B5"/>
    <w:rsid w:val="008644DF"/>
    <w:rsid w:val="00864956"/>
    <w:rsid w:val="0086523B"/>
    <w:rsid w:val="0086526B"/>
    <w:rsid w:val="00867F32"/>
    <w:rsid w:val="00870ABA"/>
    <w:rsid w:val="008710E1"/>
    <w:rsid w:val="008716E5"/>
    <w:rsid w:val="0087366E"/>
    <w:rsid w:val="0087448D"/>
    <w:rsid w:val="00874D55"/>
    <w:rsid w:val="0087520B"/>
    <w:rsid w:val="008757E2"/>
    <w:rsid w:val="00876B93"/>
    <w:rsid w:val="00876EEF"/>
    <w:rsid w:val="008779EF"/>
    <w:rsid w:val="00877AD7"/>
    <w:rsid w:val="00881CA9"/>
    <w:rsid w:val="00882248"/>
    <w:rsid w:val="0088294F"/>
    <w:rsid w:val="00883628"/>
    <w:rsid w:val="00885544"/>
    <w:rsid w:val="0088634E"/>
    <w:rsid w:val="0088675C"/>
    <w:rsid w:val="008868D7"/>
    <w:rsid w:val="00887927"/>
    <w:rsid w:val="00890A12"/>
    <w:rsid w:val="00890BC5"/>
    <w:rsid w:val="00891345"/>
    <w:rsid w:val="0089162F"/>
    <w:rsid w:val="008935AF"/>
    <w:rsid w:val="0089367C"/>
    <w:rsid w:val="00893AB8"/>
    <w:rsid w:val="00894618"/>
    <w:rsid w:val="00894923"/>
    <w:rsid w:val="00895525"/>
    <w:rsid w:val="008A0447"/>
    <w:rsid w:val="008A04C8"/>
    <w:rsid w:val="008A233F"/>
    <w:rsid w:val="008A2FC3"/>
    <w:rsid w:val="008A4599"/>
    <w:rsid w:val="008A5757"/>
    <w:rsid w:val="008A645D"/>
    <w:rsid w:val="008A648A"/>
    <w:rsid w:val="008A6913"/>
    <w:rsid w:val="008A692D"/>
    <w:rsid w:val="008B038C"/>
    <w:rsid w:val="008B1F63"/>
    <w:rsid w:val="008B3EE2"/>
    <w:rsid w:val="008B40C2"/>
    <w:rsid w:val="008B4359"/>
    <w:rsid w:val="008B44DE"/>
    <w:rsid w:val="008B5867"/>
    <w:rsid w:val="008B6B01"/>
    <w:rsid w:val="008B70F3"/>
    <w:rsid w:val="008B76DF"/>
    <w:rsid w:val="008B797A"/>
    <w:rsid w:val="008C10F4"/>
    <w:rsid w:val="008C1269"/>
    <w:rsid w:val="008C13EF"/>
    <w:rsid w:val="008C2172"/>
    <w:rsid w:val="008C4D45"/>
    <w:rsid w:val="008C65F7"/>
    <w:rsid w:val="008D0406"/>
    <w:rsid w:val="008D179B"/>
    <w:rsid w:val="008D24A5"/>
    <w:rsid w:val="008D288C"/>
    <w:rsid w:val="008D42C1"/>
    <w:rsid w:val="008D4578"/>
    <w:rsid w:val="008D5060"/>
    <w:rsid w:val="008E065C"/>
    <w:rsid w:val="008E07B7"/>
    <w:rsid w:val="008E0B5F"/>
    <w:rsid w:val="008E0DB6"/>
    <w:rsid w:val="008E2D5F"/>
    <w:rsid w:val="008E3864"/>
    <w:rsid w:val="008E4767"/>
    <w:rsid w:val="008E7A8C"/>
    <w:rsid w:val="008F3CE0"/>
    <w:rsid w:val="008F437D"/>
    <w:rsid w:val="008F49D9"/>
    <w:rsid w:val="008F54DA"/>
    <w:rsid w:val="008F749F"/>
    <w:rsid w:val="008F7654"/>
    <w:rsid w:val="008F7A47"/>
    <w:rsid w:val="008F7FEA"/>
    <w:rsid w:val="00901BF7"/>
    <w:rsid w:val="0090217E"/>
    <w:rsid w:val="00902EAB"/>
    <w:rsid w:val="00903285"/>
    <w:rsid w:val="00903992"/>
    <w:rsid w:val="00903B93"/>
    <w:rsid w:val="00906F40"/>
    <w:rsid w:val="0090731E"/>
    <w:rsid w:val="009115AE"/>
    <w:rsid w:val="00912BD6"/>
    <w:rsid w:val="00913E30"/>
    <w:rsid w:val="00914FAE"/>
    <w:rsid w:val="009159FB"/>
    <w:rsid w:val="00915B1C"/>
    <w:rsid w:val="009164F5"/>
    <w:rsid w:val="0091656A"/>
    <w:rsid w:val="009174F3"/>
    <w:rsid w:val="0091797D"/>
    <w:rsid w:val="009200F9"/>
    <w:rsid w:val="009215DD"/>
    <w:rsid w:val="0092180F"/>
    <w:rsid w:val="00922C1D"/>
    <w:rsid w:val="00923CBA"/>
    <w:rsid w:val="009246B9"/>
    <w:rsid w:val="009257E1"/>
    <w:rsid w:val="00925E8E"/>
    <w:rsid w:val="009263A5"/>
    <w:rsid w:val="009265CE"/>
    <w:rsid w:val="00926703"/>
    <w:rsid w:val="00927525"/>
    <w:rsid w:val="00927691"/>
    <w:rsid w:val="00927A5F"/>
    <w:rsid w:val="00931AC7"/>
    <w:rsid w:val="00933079"/>
    <w:rsid w:val="0093407C"/>
    <w:rsid w:val="00935B63"/>
    <w:rsid w:val="00936B69"/>
    <w:rsid w:val="0094078F"/>
    <w:rsid w:val="00940FA3"/>
    <w:rsid w:val="00941FB0"/>
    <w:rsid w:val="009426D4"/>
    <w:rsid w:val="0094737E"/>
    <w:rsid w:val="00947F25"/>
    <w:rsid w:val="00950159"/>
    <w:rsid w:val="00951B27"/>
    <w:rsid w:val="009532E4"/>
    <w:rsid w:val="00953BCE"/>
    <w:rsid w:val="0095490B"/>
    <w:rsid w:val="009554DB"/>
    <w:rsid w:val="00955E51"/>
    <w:rsid w:val="009609AC"/>
    <w:rsid w:val="00961A56"/>
    <w:rsid w:val="00962586"/>
    <w:rsid w:val="009627ED"/>
    <w:rsid w:val="00963A16"/>
    <w:rsid w:val="009655B5"/>
    <w:rsid w:val="009658D3"/>
    <w:rsid w:val="009659F8"/>
    <w:rsid w:val="00965E8B"/>
    <w:rsid w:val="00966AB1"/>
    <w:rsid w:val="00966AF8"/>
    <w:rsid w:val="009679A4"/>
    <w:rsid w:val="0097168B"/>
    <w:rsid w:val="00973082"/>
    <w:rsid w:val="009737B2"/>
    <w:rsid w:val="00974363"/>
    <w:rsid w:val="009743AE"/>
    <w:rsid w:val="00974B71"/>
    <w:rsid w:val="00974F74"/>
    <w:rsid w:val="0097576E"/>
    <w:rsid w:val="00977B43"/>
    <w:rsid w:val="00981898"/>
    <w:rsid w:val="00984521"/>
    <w:rsid w:val="00990463"/>
    <w:rsid w:val="009906F9"/>
    <w:rsid w:val="009910CE"/>
    <w:rsid w:val="009945B4"/>
    <w:rsid w:val="0099577C"/>
    <w:rsid w:val="00995F09"/>
    <w:rsid w:val="00997A48"/>
    <w:rsid w:val="009A15FD"/>
    <w:rsid w:val="009A1D9D"/>
    <w:rsid w:val="009A378C"/>
    <w:rsid w:val="009A3FCC"/>
    <w:rsid w:val="009A4595"/>
    <w:rsid w:val="009A5D20"/>
    <w:rsid w:val="009A775E"/>
    <w:rsid w:val="009B074B"/>
    <w:rsid w:val="009B23F5"/>
    <w:rsid w:val="009B2786"/>
    <w:rsid w:val="009B2A22"/>
    <w:rsid w:val="009B41C3"/>
    <w:rsid w:val="009B4480"/>
    <w:rsid w:val="009B47EA"/>
    <w:rsid w:val="009B4E9E"/>
    <w:rsid w:val="009B53C8"/>
    <w:rsid w:val="009B6D7A"/>
    <w:rsid w:val="009B7744"/>
    <w:rsid w:val="009B7F58"/>
    <w:rsid w:val="009C02D4"/>
    <w:rsid w:val="009C1690"/>
    <w:rsid w:val="009C34BB"/>
    <w:rsid w:val="009C4FCC"/>
    <w:rsid w:val="009C53E0"/>
    <w:rsid w:val="009C5EE9"/>
    <w:rsid w:val="009C64BD"/>
    <w:rsid w:val="009C6881"/>
    <w:rsid w:val="009C723A"/>
    <w:rsid w:val="009C744E"/>
    <w:rsid w:val="009C7759"/>
    <w:rsid w:val="009D043D"/>
    <w:rsid w:val="009D0764"/>
    <w:rsid w:val="009D183B"/>
    <w:rsid w:val="009D1B0C"/>
    <w:rsid w:val="009D258D"/>
    <w:rsid w:val="009D3691"/>
    <w:rsid w:val="009D3C4F"/>
    <w:rsid w:val="009D3CF3"/>
    <w:rsid w:val="009D54C2"/>
    <w:rsid w:val="009D5810"/>
    <w:rsid w:val="009D6C71"/>
    <w:rsid w:val="009E0631"/>
    <w:rsid w:val="009E0EF0"/>
    <w:rsid w:val="009E16D0"/>
    <w:rsid w:val="009E171C"/>
    <w:rsid w:val="009E1880"/>
    <w:rsid w:val="009E26EB"/>
    <w:rsid w:val="009E38FD"/>
    <w:rsid w:val="009E3A91"/>
    <w:rsid w:val="009E48A1"/>
    <w:rsid w:val="009E57B0"/>
    <w:rsid w:val="009E5AA1"/>
    <w:rsid w:val="009E5CB7"/>
    <w:rsid w:val="009E783D"/>
    <w:rsid w:val="009E7B6E"/>
    <w:rsid w:val="009F13D6"/>
    <w:rsid w:val="009F1958"/>
    <w:rsid w:val="009F3E06"/>
    <w:rsid w:val="009F4508"/>
    <w:rsid w:val="009F4C6B"/>
    <w:rsid w:val="009F53A3"/>
    <w:rsid w:val="009F5C7C"/>
    <w:rsid w:val="009F6542"/>
    <w:rsid w:val="009F69F8"/>
    <w:rsid w:val="009F78A8"/>
    <w:rsid w:val="00A0125E"/>
    <w:rsid w:val="00A028D6"/>
    <w:rsid w:val="00A02AD6"/>
    <w:rsid w:val="00A02F70"/>
    <w:rsid w:val="00A0322B"/>
    <w:rsid w:val="00A0328F"/>
    <w:rsid w:val="00A0351A"/>
    <w:rsid w:val="00A03E5E"/>
    <w:rsid w:val="00A04FBA"/>
    <w:rsid w:val="00A05C89"/>
    <w:rsid w:val="00A07096"/>
    <w:rsid w:val="00A07318"/>
    <w:rsid w:val="00A07320"/>
    <w:rsid w:val="00A102AB"/>
    <w:rsid w:val="00A10472"/>
    <w:rsid w:val="00A10DEE"/>
    <w:rsid w:val="00A10EE1"/>
    <w:rsid w:val="00A11370"/>
    <w:rsid w:val="00A159C9"/>
    <w:rsid w:val="00A211ED"/>
    <w:rsid w:val="00A2139A"/>
    <w:rsid w:val="00A224CE"/>
    <w:rsid w:val="00A22522"/>
    <w:rsid w:val="00A22EE3"/>
    <w:rsid w:val="00A23C36"/>
    <w:rsid w:val="00A24AFD"/>
    <w:rsid w:val="00A24F5C"/>
    <w:rsid w:val="00A261CF"/>
    <w:rsid w:val="00A26605"/>
    <w:rsid w:val="00A269DD"/>
    <w:rsid w:val="00A32A73"/>
    <w:rsid w:val="00A32F96"/>
    <w:rsid w:val="00A344A9"/>
    <w:rsid w:val="00A34B80"/>
    <w:rsid w:val="00A35C59"/>
    <w:rsid w:val="00A35DCB"/>
    <w:rsid w:val="00A36080"/>
    <w:rsid w:val="00A36614"/>
    <w:rsid w:val="00A372F1"/>
    <w:rsid w:val="00A37EF7"/>
    <w:rsid w:val="00A40871"/>
    <w:rsid w:val="00A4093E"/>
    <w:rsid w:val="00A4119C"/>
    <w:rsid w:val="00A412AB"/>
    <w:rsid w:val="00A4193E"/>
    <w:rsid w:val="00A440E0"/>
    <w:rsid w:val="00A442EF"/>
    <w:rsid w:val="00A4490A"/>
    <w:rsid w:val="00A45642"/>
    <w:rsid w:val="00A46D9D"/>
    <w:rsid w:val="00A47C06"/>
    <w:rsid w:val="00A51180"/>
    <w:rsid w:val="00A51D1A"/>
    <w:rsid w:val="00A5418D"/>
    <w:rsid w:val="00A5474E"/>
    <w:rsid w:val="00A557EF"/>
    <w:rsid w:val="00A575B2"/>
    <w:rsid w:val="00A609D4"/>
    <w:rsid w:val="00A61505"/>
    <w:rsid w:val="00A622CC"/>
    <w:rsid w:val="00A6254F"/>
    <w:rsid w:val="00A62F57"/>
    <w:rsid w:val="00A64485"/>
    <w:rsid w:val="00A65186"/>
    <w:rsid w:val="00A65D34"/>
    <w:rsid w:val="00A65EEA"/>
    <w:rsid w:val="00A70ADF"/>
    <w:rsid w:val="00A70C0A"/>
    <w:rsid w:val="00A711D3"/>
    <w:rsid w:val="00A71466"/>
    <w:rsid w:val="00A71F52"/>
    <w:rsid w:val="00A72304"/>
    <w:rsid w:val="00A72456"/>
    <w:rsid w:val="00A72A43"/>
    <w:rsid w:val="00A7356A"/>
    <w:rsid w:val="00A74B5E"/>
    <w:rsid w:val="00A74FDB"/>
    <w:rsid w:val="00A7508A"/>
    <w:rsid w:val="00A75418"/>
    <w:rsid w:val="00A75447"/>
    <w:rsid w:val="00A7664A"/>
    <w:rsid w:val="00A8027B"/>
    <w:rsid w:val="00A80792"/>
    <w:rsid w:val="00A80DE0"/>
    <w:rsid w:val="00A81BED"/>
    <w:rsid w:val="00A81EC4"/>
    <w:rsid w:val="00A83698"/>
    <w:rsid w:val="00A83A78"/>
    <w:rsid w:val="00A83BE9"/>
    <w:rsid w:val="00A85034"/>
    <w:rsid w:val="00A85056"/>
    <w:rsid w:val="00A8523A"/>
    <w:rsid w:val="00A858B6"/>
    <w:rsid w:val="00A86A9D"/>
    <w:rsid w:val="00A87E51"/>
    <w:rsid w:val="00A90C13"/>
    <w:rsid w:val="00A91A29"/>
    <w:rsid w:val="00A92FCB"/>
    <w:rsid w:val="00A94469"/>
    <w:rsid w:val="00A945DA"/>
    <w:rsid w:val="00A95D6A"/>
    <w:rsid w:val="00A95E6B"/>
    <w:rsid w:val="00A9645C"/>
    <w:rsid w:val="00A967FD"/>
    <w:rsid w:val="00AA0DBC"/>
    <w:rsid w:val="00AA1278"/>
    <w:rsid w:val="00AA1833"/>
    <w:rsid w:val="00AA66E8"/>
    <w:rsid w:val="00AA751F"/>
    <w:rsid w:val="00AA7B15"/>
    <w:rsid w:val="00AB0869"/>
    <w:rsid w:val="00AB0E16"/>
    <w:rsid w:val="00AB156C"/>
    <w:rsid w:val="00AB18D1"/>
    <w:rsid w:val="00AB62C6"/>
    <w:rsid w:val="00AB6814"/>
    <w:rsid w:val="00AB6C70"/>
    <w:rsid w:val="00AC0442"/>
    <w:rsid w:val="00AC04BA"/>
    <w:rsid w:val="00AC0680"/>
    <w:rsid w:val="00AC0CFF"/>
    <w:rsid w:val="00AC0E39"/>
    <w:rsid w:val="00AC1A83"/>
    <w:rsid w:val="00AC24CB"/>
    <w:rsid w:val="00AC3432"/>
    <w:rsid w:val="00AD1254"/>
    <w:rsid w:val="00AD2433"/>
    <w:rsid w:val="00AD2563"/>
    <w:rsid w:val="00AD29E5"/>
    <w:rsid w:val="00AD3082"/>
    <w:rsid w:val="00AD4693"/>
    <w:rsid w:val="00AD4AD0"/>
    <w:rsid w:val="00AD5436"/>
    <w:rsid w:val="00AD5E9C"/>
    <w:rsid w:val="00AD5F92"/>
    <w:rsid w:val="00AD60CD"/>
    <w:rsid w:val="00AD6427"/>
    <w:rsid w:val="00AD6C8C"/>
    <w:rsid w:val="00AD7393"/>
    <w:rsid w:val="00AD7622"/>
    <w:rsid w:val="00AD7A39"/>
    <w:rsid w:val="00AE091D"/>
    <w:rsid w:val="00AE2441"/>
    <w:rsid w:val="00AE2FD7"/>
    <w:rsid w:val="00AE3B60"/>
    <w:rsid w:val="00AE51BB"/>
    <w:rsid w:val="00AE53A1"/>
    <w:rsid w:val="00AE7A7C"/>
    <w:rsid w:val="00AF1BE6"/>
    <w:rsid w:val="00AF1F82"/>
    <w:rsid w:val="00AF228C"/>
    <w:rsid w:val="00AF2484"/>
    <w:rsid w:val="00AF4267"/>
    <w:rsid w:val="00AF4312"/>
    <w:rsid w:val="00AF63E7"/>
    <w:rsid w:val="00AF689C"/>
    <w:rsid w:val="00B0165D"/>
    <w:rsid w:val="00B02D11"/>
    <w:rsid w:val="00B030F0"/>
    <w:rsid w:val="00B031F3"/>
    <w:rsid w:val="00B03C45"/>
    <w:rsid w:val="00B046BE"/>
    <w:rsid w:val="00B0521D"/>
    <w:rsid w:val="00B052A4"/>
    <w:rsid w:val="00B10494"/>
    <w:rsid w:val="00B10ED0"/>
    <w:rsid w:val="00B11632"/>
    <w:rsid w:val="00B1182A"/>
    <w:rsid w:val="00B125DE"/>
    <w:rsid w:val="00B12CBE"/>
    <w:rsid w:val="00B13FDD"/>
    <w:rsid w:val="00B148FB"/>
    <w:rsid w:val="00B15F8A"/>
    <w:rsid w:val="00B1767A"/>
    <w:rsid w:val="00B20C10"/>
    <w:rsid w:val="00B20DE1"/>
    <w:rsid w:val="00B2195A"/>
    <w:rsid w:val="00B22EB2"/>
    <w:rsid w:val="00B2411D"/>
    <w:rsid w:val="00B27031"/>
    <w:rsid w:val="00B27039"/>
    <w:rsid w:val="00B27442"/>
    <w:rsid w:val="00B27DA2"/>
    <w:rsid w:val="00B306A8"/>
    <w:rsid w:val="00B31167"/>
    <w:rsid w:val="00B314F6"/>
    <w:rsid w:val="00B321CC"/>
    <w:rsid w:val="00B327BF"/>
    <w:rsid w:val="00B329D8"/>
    <w:rsid w:val="00B32BB9"/>
    <w:rsid w:val="00B33282"/>
    <w:rsid w:val="00B33AE1"/>
    <w:rsid w:val="00B33B5B"/>
    <w:rsid w:val="00B363A6"/>
    <w:rsid w:val="00B36970"/>
    <w:rsid w:val="00B37C38"/>
    <w:rsid w:val="00B40851"/>
    <w:rsid w:val="00B410E4"/>
    <w:rsid w:val="00B420EA"/>
    <w:rsid w:val="00B4288C"/>
    <w:rsid w:val="00B43262"/>
    <w:rsid w:val="00B435F0"/>
    <w:rsid w:val="00B43B0C"/>
    <w:rsid w:val="00B43E79"/>
    <w:rsid w:val="00B44100"/>
    <w:rsid w:val="00B44A86"/>
    <w:rsid w:val="00B46592"/>
    <w:rsid w:val="00B46902"/>
    <w:rsid w:val="00B469D9"/>
    <w:rsid w:val="00B46CBA"/>
    <w:rsid w:val="00B46F94"/>
    <w:rsid w:val="00B4734C"/>
    <w:rsid w:val="00B50172"/>
    <w:rsid w:val="00B53E20"/>
    <w:rsid w:val="00B53F9F"/>
    <w:rsid w:val="00B557CB"/>
    <w:rsid w:val="00B561AD"/>
    <w:rsid w:val="00B5754F"/>
    <w:rsid w:val="00B601A3"/>
    <w:rsid w:val="00B60999"/>
    <w:rsid w:val="00B60F85"/>
    <w:rsid w:val="00B61427"/>
    <w:rsid w:val="00B61F03"/>
    <w:rsid w:val="00B626E4"/>
    <w:rsid w:val="00B6288B"/>
    <w:rsid w:val="00B62AAE"/>
    <w:rsid w:val="00B6368D"/>
    <w:rsid w:val="00B64534"/>
    <w:rsid w:val="00B649F4"/>
    <w:rsid w:val="00B64D37"/>
    <w:rsid w:val="00B65B52"/>
    <w:rsid w:val="00B67036"/>
    <w:rsid w:val="00B6735C"/>
    <w:rsid w:val="00B71556"/>
    <w:rsid w:val="00B72E06"/>
    <w:rsid w:val="00B72F4A"/>
    <w:rsid w:val="00B7357B"/>
    <w:rsid w:val="00B73AEB"/>
    <w:rsid w:val="00B74C7F"/>
    <w:rsid w:val="00B774DF"/>
    <w:rsid w:val="00B80B82"/>
    <w:rsid w:val="00B815BC"/>
    <w:rsid w:val="00B817EC"/>
    <w:rsid w:val="00B833E1"/>
    <w:rsid w:val="00B83A7C"/>
    <w:rsid w:val="00B83C27"/>
    <w:rsid w:val="00B84BC3"/>
    <w:rsid w:val="00B84BDD"/>
    <w:rsid w:val="00B85E28"/>
    <w:rsid w:val="00B86433"/>
    <w:rsid w:val="00B90EBA"/>
    <w:rsid w:val="00B92812"/>
    <w:rsid w:val="00B92ACD"/>
    <w:rsid w:val="00B92EA4"/>
    <w:rsid w:val="00B9480B"/>
    <w:rsid w:val="00BA2689"/>
    <w:rsid w:val="00BA40D6"/>
    <w:rsid w:val="00BA51A8"/>
    <w:rsid w:val="00BA6431"/>
    <w:rsid w:val="00BA7B31"/>
    <w:rsid w:val="00BB21BB"/>
    <w:rsid w:val="00BB4533"/>
    <w:rsid w:val="00BB45A1"/>
    <w:rsid w:val="00BB614F"/>
    <w:rsid w:val="00BB73E8"/>
    <w:rsid w:val="00BB7686"/>
    <w:rsid w:val="00BC04C6"/>
    <w:rsid w:val="00BC1236"/>
    <w:rsid w:val="00BC1A45"/>
    <w:rsid w:val="00BC23F9"/>
    <w:rsid w:val="00BC3421"/>
    <w:rsid w:val="00BC60F4"/>
    <w:rsid w:val="00BC6F96"/>
    <w:rsid w:val="00BC732C"/>
    <w:rsid w:val="00BC77EA"/>
    <w:rsid w:val="00BD1C67"/>
    <w:rsid w:val="00BD44CE"/>
    <w:rsid w:val="00BD5A96"/>
    <w:rsid w:val="00BD6BEC"/>
    <w:rsid w:val="00BE1C29"/>
    <w:rsid w:val="00BE2580"/>
    <w:rsid w:val="00BE266D"/>
    <w:rsid w:val="00BE28D1"/>
    <w:rsid w:val="00BE299E"/>
    <w:rsid w:val="00BE2F68"/>
    <w:rsid w:val="00BE3938"/>
    <w:rsid w:val="00BE3EC1"/>
    <w:rsid w:val="00BE4C11"/>
    <w:rsid w:val="00BE71C0"/>
    <w:rsid w:val="00BF0FBB"/>
    <w:rsid w:val="00BF2591"/>
    <w:rsid w:val="00BF371A"/>
    <w:rsid w:val="00BF610C"/>
    <w:rsid w:val="00BF67C8"/>
    <w:rsid w:val="00C0060B"/>
    <w:rsid w:val="00C0277D"/>
    <w:rsid w:val="00C03710"/>
    <w:rsid w:val="00C049AD"/>
    <w:rsid w:val="00C053A1"/>
    <w:rsid w:val="00C057A4"/>
    <w:rsid w:val="00C05F92"/>
    <w:rsid w:val="00C06581"/>
    <w:rsid w:val="00C06F10"/>
    <w:rsid w:val="00C0770E"/>
    <w:rsid w:val="00C1008E"/>
    <w:rsid w:val="00C10CFE"/>
    <w:rsid w:val="00C114DA"/>
    <w:rsid w:val="00C11DED"/>
    <w:rsid w:val="00C13549"/>
    <w:rsid w:val="00C13A58"/>
    <w:rsid w:val="00C13C55"/>
    <w:rsid w:val="00C14D72"/>
    <w:rsid w:val="00C154A6"/>
    <w:rsid w:val="00C16198"/>
    <w:rsid w:val="00C16337"/>
    <w:rsid w:val="00C16841"/>
    <w:rsid w:val="00C169EB"/>
    <w:rsid w:val="00C17CC3"/>
    <w:rsid w:val="00C2083D"/>
    <w:rsid w:val="00C23122"/>
    <w:rsid w:val="00C23AF1"/>
    <w:rsid w:val="00C24A53"/>
    <w:rsid w:val="00C259F8"/>
    <w:rsid w:val="00C3097F"/>
    <w:rsid w:val="00C31952"/>
    <w:rsid w:val="00C31CAC"/>
    <w:rsid w:val="00C32914"/>
    <w:rsid w:val="00C330DE"/>
    <w:rsid w:val="00C33415"/>
    <w:rsid w:val="00C34A0B"/>
    <w:rsid w:val="00C35A69"/>
    <w:rsid w:val="00C365A7"/>
    <w:rsid w:val="00C36801"/>
    <w:rsid w:val="00C3702D"/>
    <w:rsid w:val="00C37CA9"/>
    <w:rsid w:val="00C37EAD"/>
    <w:rsid w:val="00C4032F"/>
    <w:rsid w:val="00C42E15"/>
    <w:rsid w:val="00C42F71"/>
    <w:rsid w:val="00C44047"/>
    <w:rsid w:val="00C4464B"/>
    <w:rsid w:val="00C45155"/>
    <w:rsid w:val="00C4527D"/>
    <w:rsid w:val="00C452A0"/>
    <w:rsid w:val="00C45C4C"/>
    <w:rsid w:val="00C45ED9"/>
    <w:rsid w:val="00C46D75"/>
    <w:rsid w:val="00C5269D"/>
    <w:rsid w:val="00C53D56"/>
    <w:rsid w:val="00C547CE"/>
    <w:rsid w:val="00C5498F"/>
    <w:rsid w:val="00C55235"/>
    <w:rsid w:val="00C5591D"/>
    <w:rsid w:val="00C576A0"/>
    <w:rsid w:val="00C61C2A"/>
    <w:rsid w:val="00C62D82"/>
    <w:rsid w:val="00C64CD0"/>
    <w:rsid w:val="00C64E29"/>
    <w:rsid w:val="00C65483"/>
    <w:rsid w:val="00C6603A"/>
    <w:rsid w:val="00C66479"/>
    <w:rsid w:val="00C6684F"/>
    <w:rsid w:val="00C66B6E"/>
    <w:rsid w:val="00C67AA3"/>
    <w:rsid w:val="00C70E70"/>
    <w:rsid w:val="00C71654"/>
    <w:rsid w:val="00C71FB9"/>
    <w:rsid w:val="00C748BB"/>
    <w:rsid w:val="00C74971"/>
    <w:rsid w:val="00C74ED0"/>
    <w:rsid w:val="00C75F8D"/>
    <w:rsid w:val="00C76002"/>
    <w:rsid w:val="00C77342"/>
    <w:rsid w:val="00C77380"/>
    <w:rsid w:val="00C80255"/>
    <w:rsid w:val="00C80BD6"/>
    <w:rsid w:val="00C81ADB"/>
    <w:rsid w:val="00C8335B"/>
    <w:rsid w:val="00C83BAC"/>
    <w:rsid w:val="00C84B2F"/>
    <w:rsid w:val="00C84ECA"/>
    <w:rsid w:val="00C855AD"/>
    <w:rsid w:val="00C860C5"/>
    <w:rsid w:val="00C863D1"/>
    <w:rsid w:val="00C86A16"/>
    <w:rsid w:val="00C87691"/>
    <w:rsid w:val="00C90335"/>
    <w:rsid w:val="00C90E75"/>
    <w:rsid w:val="00C91139"/>
    <w:rsid w:val="00C9249E"/>
    <w:rsid w:val="00C929DE"/>
    <w:rsid w:val="00C933AE"/>
    <w:rsid w:val="00C937AC"/>
    <w:rsid w:val="00C94FA8"/>
    <w:rsid w:val="00C95AC0"/>
    <w:rsid w:val="00C97736"/>
    <w:rsid w:val="00C97891"/>
    <w:rsid w:val="00C97C23"/>
    <w:rsid w:val="00CA0081"/>
    <w:rsid w:val="00CA03CA"/>
    <w:rsid w:val="00CA0D08"/>
    <w:rsid w:val="00CA32EA"/>
    <w:rsid w:val="00CA345A"/>
    <w:rsid w:val="00CA6B24"/>
    <w:rsid w:val="00CA7BB3"/>
    <w:rsid w:val="00CA7CB5"/>
    <w:rsid w:val="00CB0F91"/>
    <w:rsid w:val="00CB1822"/>
    <w:rsid w:val="00CB1E82"/>
    <w:rsid w:val="00CB3D67"/>
    <w:rsid w:val="00CB4539"/>
    <w:rsid w:val="00CB4A1F"/>
    <w:rsid w:val="00CB4BA8"/>
    <w:rsid w:val="00CB52D7"/>
    <w:rsid w:val="00CB6DEB"/>
    <w:rsid w:val="00CB6E96"/>
    <w:rsid w:val="00CB72DF"/>
    <w:rsid w:val="00CB7A04"/>
    <w:rsid w:val="00CC0543"/>
    <w:rsid w:val="00CC1182"/>
    <w:rsid w:val="00CC1A96"/>
    <w:rsid w:val="00CC2D7D"/>
    <w:rsid w:val="00CC63DF"/>
    <w:rsid w:val="00CC6732"/>
    <w:rsid w:val="00CC6932"/>
    <w:rsid w:val="00CD0711"/>
    <w:rsid w:val="00CD0D32"/>
    <w:rsid w:val="00CD101D"/>
    <w:rsid w:val="00CD31CE"/>
    <w:rsid w:val="00CD395F"/>
    <w:rsid w:val="00CD6E7B"/>
    <w:rsid w:val="00CD6F7A"/>
    <w:rsid w:val="00CD76FE"/>
    <w:rsid w:val="00CD7998"/>
    <w:rsid w:val="00CE0559"/>
    <w:rsid w:val="00CE09A4"/>
    <w:rsid w:val="00CE1BCF"/>
    <w:rsid w:val="00CE2623"/>
    <w:rsid w:val="00CE3BEA"/>
    <w:rsid w:val="00CE3C96"/>
    <w:rsid w:val="00CE44DD"/>
    <w:rsid w:val="00CE45E5"/>
    <w:rsid w:val="00CE51A8"/>
    <w:rsid w:val="00CE5674"/>
    <w:rsid w:val="00CE60AA"/>
    <w:rsid w:val="00CE6BED"/>
    <w:rsid w:val="00CE6C78"/>
    <w:rsid w:val="00CE6FA6"/>
    <w:rsid w:val="00CE7FCB"/>
    <w:rsid w:val="00CF0CAD"/>
    <w:rsid w:val="00CF110C"/>
    <w:rsid w:val="00CF1633"/>
    <w:rsid w:val="00CF369B"/>
    <w:rsid w:val="00CF3BDA"/>
    <w:rsid w:val="00CF4479"/>
    <w:rsid w:val="00CF48FA"/>
    <w:rsid w:val="00CF5341"/>
    <w:rsid w:val="00CF7BA1"/>
    <w:rsid w:val="00CF7BD8"/>
    <w:rsid w:val="00D004C9"/>
    <w:rsid w:val="00D00E28"/>
    <w:rsid w:val="00D018AA"/>
    <w:rsid w:val="00D0269E"/>
    <w:rsid w:val="00D057F7"/>
    <w:rsid w:val="00D05D44"/>
    <w:rsid w:val="00D07871"/>
    <w:rsid w:val="00D10029"/>
    <w:rsid w:val="00D102FF"/>
    <w:rsid w:val="00D110A8"/>
    <w:rsid w:val="00D121D6"/>
    <w:rsid w:val="00D12CFD"/>
    <w:rsid w:val="00D13C35"/>
    <w:rsid w:val="00D14215"/>
    <w:rsid w:val="00D15810"/>
    <w:rsid w:val="00D16A06"/>
    <w:rsid w:val="00D16D4E"/>
    <w:rsid w:val="00D16FE3"/>
    <w:rsid w:val="00D172BB"/>
    <w:rsid w:val="00D17D01"/>
    <w:rsid w:val="00D17D25"/>
    <w:rsid w:val="00D17F6E"/>
    <w:rsid w:val="00D20A7D"/>
    <w:rsid w:val="00D2135C"/>
    <w:rsid w:val="00D233EA"/>
    <w:rsid w:val="00D24737"/>
    <w:rsid w:val="00D27069"/>
    <w:rsid w:val="00D27102"/>
    <w:rsid w:val="00D277B0"/>
    <w:rsid w:val="00D27829"/>
    <w:rsid w:val="00D27C67"/>
    <w:rsid w:val="00D27F41"/>
    <w:rsid w:val="00D30E1E"/>
    <w:rsid w:val="00D32AF4"/>
    <w:rsid w:val="00D346CE"/>
    <w:rsid w:val="00D34849"/>
    <w:rsid w:val="00D348D1"/>
    <w:rsid w:val="00D35388"/>
    <w:rsid w:val="00D3561C"/>
    <w:rsid w:val="00D35E14"/>
    <w:rsid w:val="00D36441"/>
    <w:rsid w:val="00D372CC"/>
    <w:rsid w:val="00D4064E"/>
    <w:rsid w:val="00D41451"/>
    <w:rsid w:val="00D41C57"/>
    <w:rsid w:val="00D42DE1"/>
    <w:rsid w:val="00D449CC"/>
    <w:rsid w:val="00D44E9B"/>
    <w:rsid w:val="00D47AEB"/>
    <w:rsid w:val="00D50DB9"/>
    <w:rsid w:val="00D50E15"/>
    <w:rsid w:val="00D522C8"/>
    <w:rsid w:val="00D525FC"/>
    <w:rsid w:val="00D52B96"/>
    <w:rsid w:val="00D52C43"/>
    <w:rsid w:val="00D54D9E"/>
    <w:rsid w:val="00D567BE"/>
    <w:rsid w:val="00D57A1B"/>
    <w:rsid w:val="00D60493"/>
    <w:rsid w:val="00D60743"/>
    <w:rsid w:val="00D60DC4"/>
    <w:rsid w:val="00D61B3E"/>
    <w:rsid w:val="00D63DB8"/>
    <w:rsid w:val="00D641FF"/>
    <w:rsid w:val="00D64894"/>
    <w:rsid w:val="00D64D7D"/>
    <w:rsid w:val="00D6507F"/>
    <w:rsid w:val="00D65381"/>
    <w:rsid w:val="00D65467"/>
    <w:rsid w:val="00D65B7D"/>
    <w:rsid w:val="00D666D0"/>
    <w:rsid w:val="00D67111"/>
    <w:rsid w:val="00D7010C"/>
    <w:rsid w:val="00D71DDA"/>
    <w:rsid w:val="00D72139"/>
    <w:rsid w:val="00D721C7"/>
    <w:rsid w:val="00D724E7"/>
    <w:rsid w:val="00D72C45"/>
    <w:rsid w:val="00D730BC"/>
    <w:rsid w:val="00D73912"/>
    <w:rsid w:val="00D7442A"/>
    <w:rsid w:val="00D7517D"/>
    <w:rsid w:val="00D76D07"/>
    <w:rsid w:val="00D801ED"/>
    <w:rsid w:val="00D8038E"/>
    <w:rsid w:val="00D80ECD"/>
    <w:rsid w:val="00D81D4A"/>
    <w:rsid w:val="00D849B2"/>
    <w:rsid w:val="00D85226"/>
    <w:rsid w:val="00D853F6"/>
    <w:rsid w:val="00D86351"/>
    <w:rsid w:val="00D866D4"/>
    <w:rsid w:val="00D87B94"/>
    <w:rsid w:val="00D92D49"/>
    <w:rsid w:val="00D92E67"/>
    <w:rsid w:val="00D92EC1"/>
    <w:rsid w:val="00D96D21"/>
    <w:rsid w:val="00D96D7E"/>
    <w:rsid w:val="00D96DEA"/>
    <w:rsid w:val="00D972FA"/>
    <w:rsid w:val="00D978AE"/>
    <w:rsid w:val="00D979D0"/>
    <w:rsid w:val="00DA29E6"/>
    <w:rsid w:val="00DA3847"/>
    <w:rsid w:val="00DA4E41"/>
    <w:rsid w:val="00DA4F3F"/>
    <w:rsid w:val="00DA5037"/>
    <w:rsid w:val="00DA572C"/>
    <w:rsid w:val="00DA5B8D"/>
    <w:rsid w:val="00DA61EF"/>
    <w:rsid w:val="00DA73AF"/>
    <w:rsid w:val="00DA7C60"/>
    <w:rsid w:val="00DB05C5"/>
    <w:rsid w:val="00DB117A"/>
    <w:rsid w:val="00DB2661"/>
    <w:rsid w:val="00DB2EF8"/>
    <w:rsid w:val="00DB3415"/>
    <w:rsid w:val="00DB3E21"/>
    <w:rsid w:val="00DB4418"/>
    <w:rsid w:val="00DB47B5"/>
    <w:rsid w:val="00DB5173"/>
    <w:rsid w:val="00DB7873"/>
    <w:rsid w:val="00DC09B9"/>
    <w:rsid w:val="00DC10E8"/>
    <w:rsid w:val="00DC187B"/>
    <w:rsid w:val="00DC1CE8"/>
    <w:rsid w:val="00DC3C7E"/>
    <w:rsid w:val="00DC46FB"/>
    <w:rsid w:val="00DC4A17"/>
    <w:rsid w:val="00DC5161"/>
    <w:rsid w:val="00DC524A"/>
    <w:rsid w:val="00DC53C1"/>
    <w:rsid w:val="00DC5B2E"/>
    <w:rsid w:val="00DC78B0"/>
    <w:rsid w:val="00DD1F61"/>
    <w:rsid w:val="00DD444C"/>
    <w:rsid w:val="00DD646E"/>
    <w:rsid w:val="00DD6F3C"/>
    <w:rsid w:val="00DD73C2"/>
    <w:rsid w:val="00DD7517"/>
    <w:rsid w:val="00DE009E"/>
    <w:rsid w:val="00DE0556"/>
    <w:rsid w:val="00DE088A"/>
    <w:rsid w:val="00DE097F"/>
    <w:rsid w:val="00DE1A3E"/>
    <w:rsid w:val="00DE1E26"/>
    <w:rsid w:val="00DE319B"/>
    <w:rsid w:val="00DE47AB"/>
    <w:rsid w:val="00DE497A"/>
    <w:rsid w:val="00DF169E"/>
    <w:rsid w:val="00DF1B09"/>
    <w:rsid w:val="00DF204A"/>
    <w:rsid w:val="00DF2076"/>
    <w:rsid w:val="00DF2939"/>
    <w:rsid w:val="00DF2C28"/>
    <w:rsid w:val="00DF34FE"/>
    <w:rsid w:val="00DF4E1A"/>
    <w:rsid w:val="00DF56AA"/>
    <w:rsid w:val="00DF6D88"/>
    <w:rsid w:val="00DF78E7"/>
    <w:rsid w:val="00E00F42"/>
    <w:rsid w:val="00E0161E"/>
    <w:rsid w:val="00E0307D"/>
    <w:rsid w:val="00E03CB3"/>
    <w:rsid w:val="00E06DF3"/>
    <w:rsid w:val="00E0754D"/>
    <w:rsid w:val="00E0790B"/>
    <w:rsid w:val="00E07A23"/>
    <w:rsid w:val="00E07AFE"/>
    <w:rsid w:val="00E10E01"/>
    <w:rsid w:val="00E110E0"/>
    <w:rsid w:val="00E1226F"/>
    <w:rsid w:val="00E1275C"/>
    <w:rsid w:val="00E1418A"/>
    <w:rsid w:val="00E14E43"/>
    <w:rsid w:val="00E1511C"/>
    <w:rsid w:val="00E15371"/>
    <w:rsid w:val="00E15C91"/>
    <w:rsid w:val="00E17B48"/>
    <w:rsid w:val="00E219EF"/>
    <w:rsid w:val="00E21B13"/>
    <w:rsid w:val="00E22916"/>
    <w:rsid w:val="00E22EB6"/>
    <w:rsid w:val="00E230DB"/>
    <w:rsid w:val="00E23A41"/>
    <w:rsid w:val="00E24104"/>
    <w:rsid w:val="00E2517F"/>
    <w:rsid w:val="00E25B3D"/>
    <w:rsid w:val="00E264B6"/>
    <w:rsid w:val="00E26C15"/>
    <w:rsid w:val="00E273A3"/>
    <w:rsid w:val="00E27462"/>
    <w:rsid w:val="00E302D0"/>
    <w:rsid w:val="00E31CF2"/>
    <w:rsid w:val="00E33CBA"/>
    <w:rsid w:val="00E341EA"/>
    <w:rsid w:val="00E34299"/>
    <w:rsid w:val="00E34A7E"/>
    <w:rsid w:val="00E35707"/>
    <w:rsid w:val="00E35833"/>
    <w:rsid w:val="00E36A32"/>
    <w:rsid w:val="00E36AA1"/>
    <w:rsid w:val="00E37142"/>
    <w:rsid w:val="00E37CA7"/>
    <w:rsid w:val="00E37D9C"/>
    <w:rsid w:val="00E405AE"/>
    <w:rsid w:val="00E41ECB"/>
    <w:rsid w:val="00E43761"/>
    <w:rsid w:val="00E44904"/>
    <w:rsid w:val="00E462B7"/>
    <w:rsid w:val="00E46A54"/>
    <w:rsid w:val="00E47571"/>
    <w:rsid w:val="00E506B4"/>
    <w:rsid w:val="00E50A27"/>
    <w:rsid w:val="00E50F6C"/>
    <w:rsid w:val="00E54FDB"/>
    <w:rsid w:val="00E5617D"/>
    <w:rsid w:val="00E563D7"/>
    <w:rsid w:val="00E60155"/>
    <w:rsid w:val="00E60AEE"/>
    <w:rsid w:val="00E6234B"/>
    <w:rsid w:val="00E62589"/>
    <w:rsid w:val="00E62A1F"/>
    <w:rsid w:val="00E62FBB"/>
    <w:rsid w:val="00E6338F"/>
    <w:rsid w:val="00E6490A"/>
    <w:rsid w:val="00E663F4"/>
    <w:rsid w:val="00E666F2"/>
    <w:rsid w:val="00E66B70"/>
    <w:rsid w:val="00E66DD4"/>
    <w:rsid w:val="00E704C9"/>
    <w:rsid w:val="00E70CCD"/>
    <w:rsid w:val="00E71BA4"/>
    <w:rsid w:val="00E74086"/>
    <w:rsid w:val="00E74157"/>
    <w:rsid w:val="00E748CC"/>
    <w:rsid w:val="00E75415"/>
    <w:rsid w:val="00E775B1"/>
    <w:rsid w:val="00E77F8F"/>
    <w:rsid w:val="00E8129B"/>
    <w:rsid w:val="00E8152A"/>
    <w:rsid w:val="00E815C6"/>
    <w:rsid w:val="00E830D3"/>
    <w:rsid w:val="00E851D5"/>
    <w:rsid w:val="00E86FF8"/>
    <w:rsid w:val="00E87055"/>
    <w:rsid w:val="00E90ADB"/>
    <w:rsid w:val="00E91654"/>
    <w:rsid w:val="00E93629"/>
    <w:rsid w:val="00E93B5C"/>
    <w:rsid w:val="00E93C8A"/>
    <w:rsid w:val="00E94C15"/>
    <w:rsid w:val="00E94CEC"/>
    <w:rsid w:val="00E94E7A"/>
    <w:rsid w:val="00E94F6D"/>
    <w:rsid w:val="00E96799"/>
    <w:rsid w:val="00E969CE"/>
    <w:rsid w:val="00EA04EF"/>
    <w:rsid w:val="00EA11C4"/>
    <w:rsid w:val="00EA1FAE"/>
    <w:rsid w:val="00EA23D3"/>
    <w:rsid w:val="00EA2B61"/>
    <w:rsid w:val="00EA3B0D"/>
    <w:rsid w:val="00EA3C30"/>
    <w:rsid w:val="00EA4A5F"/>
    <w:rsid w:val="00EA4DA5"/>
    <w:rsid w:val="00EA6F19"/>
    <w:rsid w:val="00EA782A"/>
    <w:rsid w:val="00EB0111"/>
    <w:rsid w:val="00EB2C11"/>
    <w:rsid w:val="00EB5D8C"/>
    <w:rsid w:val="00EB6101"/>
    <w:rsid w:val="00EB69C6"/>
    <w:rsid w:val="00EB6DAE"/>
    <w:rsid w:val="00EB7087"/>
    <w:rsid w:val="00EB7090"/>
    <w:rsid w:val="00EB7322"/>
    <w:rsid w:val="00EB7AE9"/>
    <w:rsid w:val="00EC0882"/>
    <w:rsid w:val="00EC19FE"/>
    <w:rsid w:val="00EC1BBE"/>
    <w:rsid w:val="00EC20B7"/>
    <w:rsid w:val="00EC2F26"/>
    <w:rsid w:val="00EC32FD"/>
    <w:rsid w:val="00EC5AC1"/>
    <w:rsid w:val="00EC5CD7"/>
    <w:rsid w:val="00ED0289"/>
    <w:rsid w:val="00ED119C"/>
    <w:rsid w:val="00ED29E0"/>
    <w:rsid w:val="00ED2CBB"/>
    <w:rsid w:val="00ED5948"/>
    <w:rsid w:val="00ED7770"/>
    <w:rsid w:val="00ED7779"/>
    <w:rsid w:val="00EE32E3"/>
    <w:rsid w:val="00EE3D17"/>
    <w:rsid w:val="00EE5FB3"/>
    <w:rsid w:val="00EE7F79"/>
    <w:rsid w:val="00EF0497"/>
    <w:rsid w:val="00EF0AF3"/>
    <w:rsid w:val="00EF103D"/>
    <w:rsid w:val="00EF1602"/>
    <w:rsid w:val="00EF3404"/>
    <w:rsid w:val="00EF4320"/>
    <w:rsid w:val="00EF4F4D"/>
    <w:rsid w:val="00EF715A"/>
    <w:rsid w:val="00EF7289"/>
    <w:rsid w:val="00EF7E80"/>
    <w:rsid w:val="00F006F8"/>
    <w:rsid w:val="00F0093C"/>
    <w:rsid w:val="00F00BB0"/>
    <w:rsid w:val="00F0187E"/>
    <w:rsid w:val="00F024FD"/>
    <w:rsid w:val="00F0261D"/>
    <w:rsid w:val="00F02932"/>
    <w:rsid w:val="00F029AA"/>
    <w:rsid w:val="00F037E7"/>
    <w:rsid w:val="00F04262"/>
    <w:rsid w:val="00F053CB"/>
    <w:rsid w:val="00F059F2"/>
    <w:rsid w:val="00F05F67"/>
    <w:rsid w:val="00F067A4"/>
    <w:rsid w:val="00F06E14"/>
    <w:rsid w:val="00F071C8"/>
    <w:rsid w:val="00F0730F"/>
    <w:rsid w:val="00F07C43"/>
    <w:rsid w:val="00F10110"/>
    <w:rsid w:val="00F106B6"/>
    <w:rsid w:val="00F11847"/>
    <w:rsid w:val="00F12D9F"/>
    <w:rsid w:val="00F133BF"/>
    <w:rsid w:val="00F14B7D"/>
    <w:rsid w:val="00F15365"/>
    <w:rsid w:val="00F170EB"/>
    <w:rsid w:val="00F179D4"/>
    <w:rsid w:val="00F20010"/>
    <w:rsid w:val="00F21ABB"/>
    <w:rsid w:val="00F23426"/>
    <w:rsid w:val="00F238B0"/>
    <w:rsid w:val="00F24FB7"/>
    <w:rsid w:val="00F250B5"/>
    <w:rsid w:val="00F254A8"/>
    <w:rsid w:val="00F25B6A"/>
    <w:rsid w:val="00F31CCF"/>
    <w:rsid w:val="00F33C56"/>
    <w:rsid w:val="00F34021"/>
    <w:rsid w:val="00F347C7"/>
    <w:rsid w:val="00F34848"/>
    <w:rsid w:val="00F37BED"/>
    <w:rsid w:val="00F37E39"/>
    <w:rsid w:val="00F404BE"/>
    <w:rsid w:val="00F41441"/>
    <w:rsid w:val="00F42760"/>
    <w:rsid w:val="00F428DC"/>
    <w:rsid w:val="00F42B83"/>
    <w:rsid w:val="00F42D46"/>
    <w:rsid w:val="00F438BB"/>
    <w:rsid w:val="00F4496C"/>
    <w:rsid w:val="00F44F3A"/>
    <w:rsid w:val="00F47C96"/>
    <w:rsid w:val="00F5093C"/>
    <w:rsid w:val="00F51C15"/>
    <w:rsid w:val="00F51F10"/>
    <w:rsid w:val="00F529A5"/>
    <w:rsid w:val="00F52E7B"/>
    <w:rsid w:val="00F53A67"/>
    <w:rsid w:val="00F540C0"/>
    <w:rsid w:val="00F5619D"/>
    <w:rsid w:val="00F5728D"/>
    <w:rsid w:val="00F606B5"/>
    <w:rsid w:val="00F60F00"/>
    <w:rsid w:val="00F614C0"/>
    <w:rsid w:val="00F62678"/>
    <w:rsid w:val="00F64217"/>
    <w:rsid w:val="00F64E5B"/>
    <w:rsid w:val="00F65B5E"/>
    <w:rsid w:val="00F65D9C"/>
    <w:rsid w:val="00F6658E"/>
    <w:rsid w:val="00F72205"/>
    <w:rsid w:val="00F75982"/>
    <w:rsid w:val="00F75C24"/>
    <w:rsid w:val="00F773AA"/>
    <w:rsid w:val="00F8031A"/>
    <w:rsid w:val="00F80ECF"/>
    <w:rsid w:val="00F81381"/>
    <w:rsid w:val="00F81968"/>
    <w:rsid w:val="00F81D51"/>
    <w:rsid w:val="00F82F17"/>
    <w:rsid w:val="00F83848"/>
    <w:rsid w:val="00F8537F"/>
    <w:rsid w:val="00F85B22"/>
    <w:rsid w:val="00F8644A"/>
    <w:rsid w:val="00F87191"/>
    <w:rsid w:val="00F9107C"/>
    <w:rsid w:val="00F92709"/>
    <w:rsid w:val="00F92D2D"/>
    <w:rsid w:val="00F94A46"/>
    <w:rsid w:val="00F94FD9"/>
    <w:rsid w:val="00F9559C"/>
    <w:rsid w:val="00F975E9"/>
    <w:rsid w:val="00FA02BF"/>
    <w:rsid w:val="00FA06A5"/>
    <w:rsid w:val="00FA1B7D"/>
    <w:rsid w:val="00FA253E"/>
    <w:rsid w:val="00FA2857"/>
    <w:rsid w:val="00FA2F86"/>
    <w:rsid w:val="00FA3514"/>
    <w:rsid w:val="00FA388F"/>
    <w:rsid w:val="00FA4114"/>
    <w:rsid w:val="00FA5060"/>
    <w:rsid w:val="00FA51BF"/>
    <w:rsid w:val="00FA62A4"/>
    <w:rsid w:val="00FB1498"/>
    <w:rsid w:val="00FB14BB"/>
    <w:rsid w:val="00FB1B4D"/>
    <w:rsid w:val="00FB2AC3"/>
    <w:rsid w:val="00FB3978"/>
    <w:rsid w:val="00FB4310"/>
    <w:rsid w:val="00FB476B"/>
    <w:rsid w:val="00FB4C3B"/>
    <w:rsid w:val="00FB67DA"/>
    <w:rsid w:val="00FB6B88"/>
    <w:rsid w:val="00FB78AA"/>
    <w:rsid w:val="00FC0129"/>
    <w:rsid w:val="00FC040B"/>
    <w:rsid w:val="00FC07B9"/>
    <w:rsid w:val="00FC2E48"/>
    <w:rsid w:val="00FC357D"/>
    <w:rsid w:val="00FC4391"/>
    <w:rsid w:val="00FC44FC"/>
    <w:rsid w:val="00FC4E21"/>
    <w:rsid w:val="00FC5F6D"/>
    <w:rsid w:val="00FC770E"/>
    <w:rsid w:val="00FC78EC"/>
    <w:rsid w:val="00FC7FE1"/>
    <w:rsid w:val="00FD003F"/>
    <w:rsid w:val="00FD0107"/>
    <w:rsid w:val="00FD1F53"/>
    <w:rsid w:val="00FD1FBC"/>
    <w:rsid w:val="00FD2C2F"/>
    <w:rsid w:val="00FD3B31"/>
    <w:rsid w:val="00FD404F"/>
    <w:rsid w:val="00FD62B2"/>
    <w:rsid w:val="00FD7256"/>
    <w:rsid w:val="00FD7663"/>
    <w:rsid w:val="00FE0CE7"/>
    <w:rsid w:val="00FE0E5A"/>
    <w:rsid w:val="00FE167A"/>
    <w:rsid w:val="00FE1823"/>
    <w:rsid w:val="00FE218D"/>
    <w:rsid w:val="00FE3B51"/>
    <w:rsid w:val="00FE487A"/>
    <w:rsid w:val="00FE4BD2"/>
    <w:rsid w:val="00FE4E32"/>
    <w:rsid w:val="00FE52D2"/>
    <w:rsid w:val="00FE5C75"/>
    <w:rsid w:val="00FE5E6A"/>
    <w:rsid w:val="00FE70E6"/>
    <w:rsid w:val="00FE783B"/>
    <w:rsid w:val="00FF03BF"/>
    <w:rsid w:val="00FF0493"/>
    <w:rsid w:val="00FF0569"/>
    <w:rsid w:val="00FF0A1B"/>
    <w:rsid w:val="00FF1C39"/>
    <w:rsid w:val="00FF206E"/>
    <w:rsid w:val="00FF356D"/>
    <w:rsid w:val="00FF3C69"/>
    <w:rsid w:val="00FF46E9"/>
    <w:rsid w:val="00FF6DA5"/>
    <w:rsid w:val="00FF6E0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14:docId w14:val="471D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unhideWhenUsed="1" w:qFormat="1"/>
    <w:lsdException w:name="heading 8" w:uiPriority="99" w:unhideWhenUsed="1" w:qFormat="1"/>
    <w:lsdException w:name="heading 9" w:uiPriority="9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qFormat="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9B2"/>
    <w:pPr>
      <w:spacing w:after="240" w:line="240" w:lineRule="atLeast"/>
    </w:pPr>
    <w:rPr>
      <w:rFonts w:ascii="Arial" w:hAnsi="Arial"/>
      <w:sz w:val="20"/>
    </w:rPr>
  </w:style>
  <w:style w:type="paragraph" w:styleId="Heading1">
    <w:name w:val="heading 1"/>
    <w:basedOn w:val="Normal"/>
    <w:next w:val="Normal"/>
    <w:uiPriority w:val="9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uiPriority w:val="99"/>
    <w:qFormat/>
    <w:rsid w:val="00C55235"/>
    <w:pPr>
      <w:keepNext/>
      <w:spacing w:before="320" w:after="60"/>
      <w:outlineLvl w:val="1"/>
    </w:pPr>
    <w:rPr>
      <w:rFonts w:cs="Arial"/>
      <w:b/>
      <w:bCs/>
      <w:iCs/>
      <w:sz w:val="28"/>
      <w:szCs w:val="28"/>
    </w:rPr>
  </w:style>
  <w:style w:type="paragraph" w:styleId="Heading3">
    <w:name w:val="heading 3"/>
    <w:basedOn w:val="Normal"/>
    <w:next w:val="Normal"/>
    <w:uiPriority w:val="99"/>
    <w:qFormat/>
    <w:rsid w:val="00C55235"/>
    <w:pPr>
      <w:keepNext/>
      <w:spacing w:before="60" w:after="60"/>
      <w:outlineLvl w:val="2"/>
    </w:pPr>
    <w:rPr>
      <w:rFonts w:cs="Arial"/>
      <w:b/>
      <w:bCs/>
      <w:szCs w:val="26"/>
    </w:rPr>
  </w:style>
  <w:style w:type="paragraph" w:styleId="Heading4">
    <w:name w:val="heading 4"/>
    <w:basedOn w:val="Normal"/>
    <w:next w:val="Normal"/>
    <w:uiPriority w:val="99"/>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uiPriority w:val="9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AA7B15"/>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character" w:customStyle="1" w:styleId="HeaderChar">
    <w:name w:val="Header Char"/>
    <w:basedOn w:val="DefaultParagraphFont"/>
    <w:link w:val="Header"/>
    <w:rsid w:val="009E783D"/>
    <w:rPr>
      <w:rFonts w:ascii="Arial" w:hAnsi="Arial"/>
      <w:sz w:val="16"/>
    </w:rPr>
  </w:style>
  <w:style w:type="paragraph" w:customStyle="1" w:styleId="ReportTitle">
    <w:name w:val="Report Title"/>
    <w:basedOn w:val="Normal"/>
    <w:rsid w:val="009E783D"/>
    <w:pPr>
      <w:spacing w:after="0" w:line="560" w:lineRule="exact"/>
    </w:pPr>
    <w:rPr>
      <w:b/>
      <w:color w:val="4D4D4F"/>
      <w:spacing w:val="-28"/>
      <w:sz w:val="53"/>
    </w:rPr>
  </w:style>
  <w:style w:type="paragraph" w:customStyle="1" w:styleId="ReportSubtitle">
    <w:name w:val="Report Sub title"/>
    <w:basedOn w:val="Normal"/>
    <w:rsid w:val="009E783D"/>
    <w:pPr>
      <w:spacing w:after="0" w:line="560" w:lineRule="exact"/>
    </w:pPr>
    <w:rPr>
      <w:color w:val="808285"/>
      <w:spacing w:val="-28"/>
      <w:sz w:val="53"/>
    </w:rPr>
  </w:style>
  <w:style w:type="paragraph" w:customStyle="1" w:styleId="ReportDate">
    <w:name w:val="Report Date"/>
    <w:basedOn w:val="ReportSubtitle"/>
    <w:rsid w:val="009E783D"/>
    <w:pPr>
      <w:spacing w:line="240" w:lineRule="auto"/>
    </w:pPr>
    <w:rPr>
      <w:caps/>
      <w:spacing w:val="-10"/>
      <w:sz w:val="20"/>
    </w:rPr>
  </w:style>
  <w:style w:type="paragraph" w:customStyle="1" w:styleId="Bodysubheader0">
    <w:name w:val="Body sub header"/>
    <w:basedOn w:val="Normal"/>
    <w:next w:val="Normal"/>
    <w:rsid w:val="003F7E3A"/>
    <w:pPr>
      <w:spacing w:after="40"/>
    </w:pPr>
    <w:rPr>
      <w:b/>
      <w:i/>
    </w:rPr>
  </w:style>
  <w:style w:type="paragraph" w:customStyle="1" w:styleId="ExecSummaryHeading">
    <w:name w:val="Exec Summary Heading"/>
    <w:basedOn w:val="Normal"/>
    <w:rsid w:val="009E783D"/>
    <w:pPr>
      <w:spacing w:after="1440" w:line="550" w:lineRule="exact"/>
    </w:pPr>
    <w:rPr>
      <w:b/>
      <w:color w:val="4D4D4F"/>
      <w:spacing w:val="-18"/>
      <w:sz w:val="53"/>
    </w:rPr>
  </w:style>
  <w:style w:type="character" w:customStyle="1" w:styleId="FootnoteTextChar">
    <w:name w:val="Footnote Text Char"/>
    <w:aliases w:val="ACMA Footnote Text Char,ABA Footnote Text Char"/>
    <w:basedOn w:val="DefaultParagraphFont"/>
    <w:link w:val="FootnoteText"/>
    <w:rsid w:val="00AA7B15"/>
    <w:rPr>
      <w:rFonts w:ascii="Arial" w:hAnsi="Arial"/>
      <w:sz w:val="16"/>
      <w:szCs w:val="16"/>
    </w:rPr>
  </w:style>
  <w:style w:type="paragraph" w:styleId="TOC9">
    <w:name w:val="toc 9"/>
    <w:aliases w:val="TOC ExecSumm"/>
    <w:basedOn w:val="Normal"/>
    <w:next w:val="Normal"/>
    <w:rsid w:val="009E783D"/>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9E783D"/>
    <w:pPr>
      <w:spacing w:after="0" w:line="560" w:lineRule="exact"/>
    </w:pPr>
    <w:rPr>
      <w:color w:val="808285"/>
      <w:spacing w:val="-28"/>
      <w:sz w:val="53"/>
    </w:rPr>
  </w:style>
  <w:style w:type="character" w:customStyle="1" w:styleId="apple-style-span">
    <w:name w:val="apple-style-span"/>
    <w:basedOn w:val="DefaultParagraphFont"/>
    <w:rsid w:val="009E783D"/>
  </w:style>
  <w:style w:type="paragraph" w:customStyle="1" w:styleId="ACMABodyText">
    <w:name w:val="ACMA Body Text"/>
    <w:link w:val="ACMABodyTextChar"/>
    <w:rsid w:val="009E783D"/>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9E783D"/>
    <w:rPr>
      <w:rFonts w:ascii="Arial" w:hAnsi="Arial"/>
      <w:lang w:eastAsia="en-US"/>
    </w:rPr>
  </w:style>
  <w:style w:type="paragraph" w:customStyle="1" w:styleId="ACMABulletLevel1">
    <w:name w:val="ACMA Bullet Level 1"/>
    <w:uiPriority w:val="99"/>
    <w:rsid w:val="009E783D"/>
    <w:pPr>
      <w:numPr>
        <w:numId w:val="10"/>
      </w:numPr>
      <w:spacing w:after="120"/>
    </w:pPr>
    <w:rPr>
      <w:rFonts w:ascii="Arial" w:hAnsi="Arial"/>
      <w:lang w:eastAsia="en-US"/>
    </w:rPr>
  </w:style>
  <w:style w:type="paragraph" w:customStyle="1" w:styleId="ACMAHeading2">
    <w:name w:val="ACMA Heading 2"/>
    <w:next w:val="ACMABodyText"/>
    <w:uiPriority w:val="99"/>
    <w:rsid w:val="009E783D"/>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9E783D"/>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9E783D"/>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9E783D"/>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9E783D"/>
    <w:rPr>
      <w:rFonts w:ascii="Arial" w:hAnsi="Arial"/>
      <w:i/>
      <w:iCs/>
      <w:color w:val="999999"/>
      <w:sz w:val="20"/>
      <w:lang w:eastAsia="en-US"/>
    </w:rPr>
  </w:style>
  <w:style w:type="paragraph" w:customStyle="1" w:styleId="LegislationLvl1">
    <w:name w:val="Legislation Lvl 1"/>
    <w:uiPriority w:val="99"/>
    <w:rsid w:val="009E783D"/>
    <w:pPr>
      <w:numPr>
        <w:ilvl w:val="2"/>
        <w:numId w:val="11"/>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9E783D"/>
    <w:pPr>
      <w:numPr>
        <w:ilvl w:val="3"/>
        <w:numId w:val="11"/>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9E783D"/>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9E783D"/>
    <w:pPr>
      <w:tabs>
        <w:tab w:val="num" w:pos="2694"/>
        <w:tab w:val="num" w:pos="2796"/>
      </w:tabs>
      <w:ind w:left="2694" w:hanging="426"/>
    </w:pPr>
    <w:rPr>
      <w:rFonts w:ascii="Arial" w:hAnsi="Arial"/>
      <w:sz w:val="22"/>
      <w:szCs w:val="22"/>
      <w:lang w:eastAsia="en-US"/>
    </w:rPr>
  </w:style>
  <w:style w:type="paragraph" w:styleId="ListParagraph">
    <w:name w:val="List Paragraph"/>
    <w:basedOn w:val="Normal"/>
    <w:uiPriority w:val="34"/>
    <w:qFormat/>
    <w:rsid w:val="009E783D"/>
    <w:pPr>
      <w:spacing w:after="0"/>
      <w:ind w:left="720"/>
      <w:contextualSpacing/>
    </w:pPr>
    <w:rPr>
      <w:rFonts w:ascii="HelveticaNeueLT Std Lt" w:hAnsi="HelveticaNeueLT Std Lt"/>
    </w:rPr>
  </w:style>
  <w:style w:type="paragraph" w:customStyle="1" w:styleId="ExampleText">
    <w:name w:val="Example Text"/>
    <w:basedOn w:val="Normal"/>
    <w:rsid w:val="009E783D"/>
    <w:pPr>
      <w:spacing w:line="260" w:lineRule="exact"/>
    </w:pPr>
    <w:rPr>
      <w:rFonts w:ascii="Book Antiqua" w:hAnsi="Book Antiqua"/>
      <w:i/>
      <w:color w:val="FF0000"/>
      <w:lang w:eastAsia="en-US"/>
    </w:rPr>
  </w:style>
  <w:style w:type="paragraph" w:customStyle="1" w:styleId="Default">
    <w:name w:val="Default"/>
    <w:rsid w:val="009E783D"/>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9E783D"/>
    <w:rPr>
      <w:rFonts w:ascii="HelveticaNeueLT Std Lt" w:hAnsi="HelveticaNeueLT Std Lt"/>
    </w:rPr>
  </w:style>
  <w:style w:type="paragraph" w:styleId="EndnoteText">
    <w:name w:val="endnote text"/>
    <w:basedOn w:val="Normal"/>
    <w:link w:val="EndnoteTextChar"/>
    <w:semiHidden/>
    <w:rsid w:val="009E783D"/>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9E783D"/>
    <w:rPr>
      <w:rFonts w:ascii="Arial" w:hAnsi="Arial"/>
      <w:sz w:val="20"/>
      <w:szCs w:val="20"/>
    </w:rPr>
  </w:style>
  <w:style w:type="paragraph" w:customStyle="1" w:styleId="R1">
    <w:name w:val="R1"/>
    <w:aliases w:val="1. or 1.(1)"/>
    <w:basedOn w:val="Normal"/>
    <w:next w:val="P1"/>
    <w:rsid w:val="009E783D"/>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9E783D"/>
    <w:pPr>
      <w:tabs>
        <w:tab w:val="right" w:pos="1080"/>
      </w:tabs>
      <w:autoSpaceDE w:val="0"/>
      <w:autoSpaceDN w:val="0"/>
      <w:spacing w:before="40" w:after="0" w:line="260" w:lineRule="atLeast"/>
      <w:ind w:left="1276" w:hanging="1280"/>
      <w:jc w:val="both"/>
    </w:pPr>
    <w:rPr>
      <w:rFonts w:ascii="Times" w:hAnsi="Times" w:cs="Times"/>
      <w:sz w:val="26"/>
      <w:szCs w:val="26"/>
    </w:rPr>
  </w:style>
  <w:style w:type="paragraph" w:styleId="Revision">
    <w:name w:val="Revision"/>
    <w:hidden/>
    <w:uiPriority w:val="99"/>
    <w:semiHidden/>
    <w:rsid w:val="009E783D"/>
    <w:rPr>
      <w:rFonts w:ascii="Arial" w:hAnsi="Arial"/>
      <w:sz w:val="20"/>
    </w:rPr>
  </w:style>
  <w:style w:type="table" w:customStyle="1" w:styleId="TableGrid1">
    <w:name w:val="Table Grid1"/>
    <w:basedOn w:val="TableNormal"/>
    <w:next w:val="TableGrid"/>
    <w:uiPriority w:val="59"/>
    <w:rsid w:val="009E78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
    <w:basedOn w:val="Normal"/>
    <w:link w:val="paragraphChar"/>
    <w:rsid w:val="009E783D"/>
    <w:pPr>
      <w:tabs>
        <w:tab w:val="right" w:pos="1531"/>
      </w:tabs>
      <w:spacing w:before="40" w:after="0" w:line="240" w:lineRule="auto"/>
      <w:ind w:left="1644" w:hanging="1644"/>
    </w:pPr>
    <w:rPr>
      <w:rFonts w:ascii="Times New Roman" w:hAnsi="Times New Roman"/>
      <w:sz w:val="22"/>
      <w:szCs w:val="20"/>
    </w:rPr>
  </w:style>
  <w:style w:type="paragraph" w:customStyle="1" w:styleId="Definition">
    <w:name w:val="Definition"/>
    <w:aliases w:val="dd"/>
    <w:basedOn w:val="Normal"/>
    <w:rsid w:val="009E783D"/>
    <w:pPr>
      <w:spacing w:before="180" w:after="0" w:line="240" w:lineRule="auto"/>
      <w:ind w:left="1134"/>
    </w:pPr>
    <w:rPr>
      <w:rFonts w:ascii="Times New Roman" w:hAnsi="Times New Roman"/>
      <w:sz w:val="22"/>
      <w:szCs w:val="20"/>
    </w:rPr>
  </w:style>
  <w:style w:type="character" w:customStyle="1" w:styleId="paragraphChar">
    <w:name w:val="paragraph Char"/>
    <w:aliases w:val="a Char"/>
    <w:basedOn w:val="DefaultParagraphFont"/>
    <w:link w:val="paragraph"/>
    <w:rsid w:val="009E783D"/>
    <w:rPr>
      <w:sz w:val="22"/>
      <w:szCs w:val="20"/>
    </w:rPr>
  </w:style>
  <w:style w:type="table" w:customStyle="1" w:styleId="TableGrid2">
    <w:name w:val="Table Grid2"/>
    <w:basedOn w:val="TableNormal"/>
    <w:next w:val="TableGrid"/>
    <w:uiPriority w:val="59"/>
    <w:rsid w:val="009E78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Normal"/>
    <w:qFormat/>
    <w:rsid w:val="006D3409"/>
    <w:pPr>
      <w:spacing w:after="0" w:line="240" w:lineRule="auto"/>
    </w:pPr>
    <w:rPr>
      <w:b/>
      <w:color w:val="4D4D4F"/>
      <w:spacing w:val="-28"/>
      <w:sz w:val="53"/>
    </w:rPr>
  </w:style>
  <w:style w:type="character" w:styleId="EndnoteReference">
    <w:name w:val="endnote reference"/>
    <w:basedOn w:val="DefaultParagraphFont"/>
    <w:semiHidden/>
    <w:unhideWhenUsed/>
    <w:rsid w:val="00995F09"/>
    <w:rPr>
      <w:vertAlign w:val="superscript"/>
    </w:rPr>
  </w:style>
  <w:style w:type="character" w:customStyle="1" w:styleId="Heading2Char">
    <w:name w:val="Heading 2 Char"/>
    <w:basedOn w:val="DefaultParagraphFont"/>
    <w:link w:val="Heading2"/>
    <w:uiPriority w:val="99"/>
    <w:rsid w:val="00F31CCF"/>
    <w:rPr>
      <w:rFonts w:ascii="Arial" w:hAnsi="Arial" w:cs="Arial"/>
      <w:b/>
      <w:bCs/>
      <w:iCs/>
      <w:sz w:val="28"/>
      <w:szCs w:val="28"/>
    </w:rPr>
  </w:style>
  <w:style w:type="paragraph" w:customStyle="1" w:styleId="hr">
    <w:name w:val="hr"/>
    <w:basedOn w:val="Normal"/>
    <w:rsid w:val="0087520B"/>
    <w:pPr>
      <w:spacing w:before="100" w:beforeAutospacing="1" w:after="100" w:afterAutospacing="1" w:line="240" w:lineRule="auto"/>
    </w:pPr>
    <w:rPr>
      <w:rFonts w:ascii="Times New Roman" w:hAnsi="Times New Roman"/>
      <w:sz w:val="24"/>
    </w:rPr>
  </w:style>
  <w:style w:type="paragraph" w:customStyle="1" w:styleId="r10">
    <w:name w:val="r1"/>
    <w:basedOn w:val="Normal"/>
    <w:rsid w:val="0087520B"/>
    <w:pPr>
      <w:spacing w:before="100" w:beforeAutospacing="1" w:after="100" w:afterAutospacing="1" w:line="240" w:lineRule="auto"/>
    </w:pPr>
    <w:rPr>
      <w:rFonts w:ascii="Times New Roman" w:hAnsi="Times New Roman"/>
      <w:sz w:val="24"/>
    </w:rPr>
  </w:style>
  <w:style w:type="paragraph" w:customStyle="1" w:styleId="p10">
    <w:name w:val="p1"/>
    <w:basedOn w:val="Normal"/>
    <w:rsid w:val="0087520B"/>
    <w:pPr>
      <w:spacing w:before="100" w:beforeAutospacing="1" w:after="100" w:afterAutospacing="1"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240E25"/>
    <w:rPr>
      <w:color w:val="605E5C"/>
      <w:shd w:val="clear" w:color="auto" w:fill="E1DFDD"/>
    </w:rPr>
  </w:style>
  <w:style w:type="character" w:customStyle="1" w:styleId="UnresolvedMention2">
    <w:name w:val="Unresolved Mention2"/>
    <w:basedOn w:val="DefaultParagraphFont"/>
    <w:uiPriority w:val="99"/>
    <w:semiHidden/>
    <w:unhideWhenUsed/>
    <w:rsid w:val="009E5AA1"/>
    <w:rPr>
      <w:color w:val="605E5C"/>
      <w:shd w:val="clear" w:color="auto" w:fill="E1DFDD"/>
    </w:rPr>
  </w:style>
  <w:style w:type="character" w:customStyle="1" w:styleId="UnresolvedMention3">
    <w:name w:val="Unresolved Mention3"/>
    <w:basedOn w:val="DefaultParagraphFont"/>
    <w:uiPriority w:val="99"/>
    <w:semiHidden/>
    <w:unhideWhenUsed/>
    <w:rsid w:val="004140FE"/>
    <w:rPr>
      <w:color w:val="605E5C"/>
      <w:shd w:val="clear" w:color="auto" w:fill="E1DFDD"/>
    </w:rPr>
  </w:style>
  <w:style w:type="paragraph" w:customStyle="1" w:styleId="Bullet1">
    <w:name w:val="Bullet 1"/>
    <w:basedOn w:val="BodyText"/>
    <w:qFormat/>
    <w:rsid w:val="00D96D7E"/>
    <w:pPr>
      <w:numPr>
        <w:numId w:val="38"/>
      </w:numPr>
      <w:tabs>
        <w:tab w:val="num" w:pos="360"/>
        <w:tab w:val="left" w:pos="2268"/>
        <w:tab w:val="left" w:pos="5669"/>
      </w:tabs>
      <w:suppressAutoHyphens/>
      <w:spacing w:after="240" w:line="240" w:lineRule="atLeast"/>
      <w:ind w:left="0" w:firstLine="0"/>
    </w:pPr>
    <w:rPr>
      <w:rFonts w:eastAsia="Cambria" w:cs="Calibri"/>
      <w:i w:val="0"/>
      <w:iCs w:val="0"/>
      <w:color w:val="1C1C1C"/>
      <w:spacing w:val="-2"/>
      <w:szCs w:val="19"/>
      <w:lang w:val="en-US"/>
    </w:rPr>
  </w:style>
  <w:style w:type="character" w:styleId="UnresolvedMention">
    <w:name w:val="Unresolved Mention"/>
    <w:basedOn w:val="DefaultParagraphFont"/>
    <w:uiPriority w:val="99"/>
    <w:semiHidden/>
    <w:unhideWhenUsed/>
    <w:rsid w:val="00832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9208">
      <w:bodyDiv w:val="1"/>
      <w:marLeft w:val="0"/>
      <w:marRight w:val="0"/>
      <w:marTop w:val="0"/>
      <w:marBottom w:val="0"/>
      <w:divBdr>
        <w:top w:val="none" w:sz="0" w:space="0" w:color="auto"/>
        <w:left w:val="none" w:sz="0" w:space="0" w:color="auto"/>
        <w:bottom w:val="none" w:sz="0" w:space="0" w:color="auto"/>
        <w:right w:val="none" w:sz="0" w:space="0" w:color="auto"/>
      </w:divBdr>
    </w:div>
    <w:div w:id="82262674">
      <w:bodyDiv w:val="1"/>
      <w:marLeft w:val="0"/>
      <w:marRight w:val="0"/>
      <w:marTop w:val="0"/>
      <w:marBottom w:val="0"/>
      <w:divBdr>
        <w:top w:val="none" w:sz="0" w:space="0" w:color="auto"/>
        <w:left w:val="none" w:sz="0" w:space="0" w:color="auto"/>
        <w:bottom w:val="none" w:sz="0" w:space="0" w:color="auto"/>
        <w:right w:val="none" w:sz="0" w:space="0" w:color="auto"/>
      </w:divBdr>
    </w:div>
    <w:div w:id="177431885">
      <w:bodyDiv w:val="1"/>
      <w:marLeft w:val="0"/>
      <w:marRight w:val="0"/>
      <w:marTop w:val="0"/>
      <w:marBottom w:val="0"/>
      <w:divBdr>
        <w:top w:val="none" w:sz="0" w:space="0" w:color="auto"/>
        <w:left w:val="none" w:sz="0" w:space="0" w:color="auto"/>
        <w:bottom w:val="none" w:sz="0" w:space="0" w:color="auto"/>
        <w:right w:val="none" w:sz="0" w:space="0" w:color="auto"/>
      </w:divBdr>
    </w:div>
    <w:div w:id="177892180">
      <w:bodyDiv w:val="1"/>
      <w:marLeft w:val="0"/>
      <w:marRight w:val="0"/>
      <w:marTop w:val="0"/>
      <w:marBottom w:val="0"/>
      <w:divBdr>
        <w:top w:val="none" w:sz="0" w:space="0" w:color="auto"/>
        <w:left w:val="none" w:sz="0" w:space="0" w:color="auto"/>
        <w:bottom w:val="none" w:sz="0" w:space="0" w:color="auto"/>
        <w:right w:val="none" w:sz="0" w:space="0" w:color="auto"/>
      </w:divBdr>
    </w:div>
    <w:div w:id="285966053">
      <w:bodyDiv w:val="1"/>
      <w:marLeft w:val="0"/>
      <w:marRight w:val="0"/>
      <w:marTop w:val="0"/>
      <w:marBottom w:val="0"/>
      <w:divBdr>
        <w:top w:val="none" w:sz="0" w:space="0" w:color="auto"/>
        <w:left w:val="none" w:sz="0" w:space="0" w:color="auto"/>
        <w:bottom w:val="none" w:sz="0" w:space="0" w:color="auto"/>
        <w:right w:val="none" w:sz="0" w:space="0" w:color="auto"/>
      </w:divBdr>
    </w:div>
    <w:div w:id="329795024">
      <w:bodyDiv w:val="1"/>
      <w:marLeft w:val="0"/>
      <w:marRight w:val="0"/>
      <w:marTop w:val="0"/>
      <w:marBottom w:val="0"/>
      <w:divBdr>
        <w:top w:val="none" w:sz="0" w:space="0" w:color="auto"/>
        <w:left w:val="none" w:sz="0" w:space="0" w:color="auto"/>
        <w:bottom w:val="none" w:sz="0" w:space="0" w:color="auto"/>
        <w:right w:val="none" w:sz="0" w:space="0" w:color="auto"/>
      </w:divBdr>
    </w:div>
    <w:div w:id="373046240">
      <w:bodyDiv w:val="1"/>
      <w:marLeft w:val="0"/>
      <w:marRight w:val="0"/>
      <w:marTop w:val="0"/>
      <w:marBottom w:val="0"/>
      <w:divBdr>
        <w:top w:val="none" w:sz="0" w:space="0" w:color="auto"/>
        <w:left w:val="none" w:sz="0" w:space="0" w:color="auto"/>
        <w:bottom w:val="none" w:sz="0" w:space="0" w:color="auto"/>
        <w:right w:val="none" w:sz="0" w:space="0" w:color="auto"/>
      </w:divBdr>
    </w:div>
    <w:div w:id="483622118">
      <w:bodyDiv w:val="1"/>
      <w:marLeft w:val="0"/>
      <w:marRight w:val="0"/>
      <w:marTop w:val="0"/>
      <w:marBottom w:val="0"/>
      <w:divBdr>
        <w:top w:val="none" w:sz="0" w:space="0" w:color="auto"/>
        <w:left w:val="none" w:sz="0" w:space="0" w:color="auto"/>
        <w:bottom w:val="none" w:sz="0" w:space="0" w:color="auto"/>
        <w:right w:val="none" w:sz="0" w:space="0" w:color="auto"/>
      </w:divBdr>
    </w:div>
    <w:div w:id="672337755">
      <w:bodyDiv w:val="1"/>
      <w:marLeft w:val="0"/>
      <w:marRight w:val="0"/>
      <w:marTop w:val="0"/>
      <w:marBottom w:val="0"/>
      <w:divBdr>
        <w:top w:val="none" w:sz="0" w:space="0" w:color="auto"/>
        <w:left w:val="none" w:sz="0" w:space="0" w:color="auto"/>
        <w:bottom w:val="none" w:sz="0" w:space="0" w:color="auto"/>
        <w:right w:val="none" w:sz="0" w:space="0" w:color="auto"/>
      </w:divBdr>
    </w:div>
    <w:div w:id="724062807">
      <w:bodyDiv w:val="1"/>
      <w:marLeft w:val="0"/>
      <w:marRight w:val="0"/>
      <w:marTop w:val="0"/>
      <w:marBottom w:val="0"/>
      <w:divBdr>
        <w:top w:val="none" w:sz="0" w:space="0" w:color="auto"/>
        <w:left w:val="none" w:sz="0" w:space="0" w:color="auto"/>
        <w:bottom w:val="none" w:sz="0" w:space="0" w:color="auto"/>
        <w:right w:val="none" w:sz="0" w:space="0" w:color="auto"/>
      </w:divBdr>
    </w:div>
    <w:div w:id="763378535">
      <w:bodyDiv w:val="1"/>
      <w:marLeft w:val="0"/>
      <w:marRight w:val="0"/>
      <w:marTop w:val="0"/>
      <w:marBottom w:val="0"/>
      <w:divBdr>
        <w:top w:val="none" w:sz="0" w:space="0" w:color="auto"/>
        <w:left w:val="none" w:sz="0" w:space="0" w:color="auto"/>
        <w:bottom w:val="none" w:sz="0" w:space="0" w:color="auto"/>
        <w:right w:val="none" w:sz="0" w:space="0" w:color="auto"/>
      </w:divBdr>
    </w:div>
    <w:div w:id="789006851">
      <w:bodyDiv w:val="1"/>
      <w:marLeft w:val="0"/>
      <w:marRight w:val="0"/>
      <w:marTop w:val="0"/>
      <w:marBottom w:val="0"/>
      <w:divBdr>
        <w:top w:val="none" w:sz="0" w:space="0" w:color="auto"/>
        <w:left w:val="none" w:sz="0" w:space="0" w:color="auto"/>
        <w:bottom w:val="none" w:sz="0" w:space="0" w:color="auto"/>
        <w:right w:val="none" w:sz="0" w:space="0" w:color="auto"/>
      </w:divBdr>
    </w:div>
    <w:div w:id="1066298793">
      <w:bodyDiv w:val="1"/>
      <w:marLeft w:val="0"/>
      <w:marRight w:val="0"/>
      <w:marTop w:val="0"/>
      <w:marBottom w:val="0"/>
      <w:divBdr>
        <w:top w:val="none" w:sz="0" w:space="0" w:color="auto"/>
        <w:left w:val="none" w:sz="0" w:space="0" w:color="auto"/>
        <w:bottom w:val="none" w:sz="0" w:space="0" w:color="auto"/>
        <w:right w:val="none" w:sz="0" w:space="0" w:color="auto"/>
      </w:divBdr>
    </w:div>
    <w:div w:id="1118791413">
      <w:bodyDiv w:val="1"/>
      <w:marLeft w:val="0"/>
      <w:marRight w:val="0"/>
      <w:marTop w:val="0"/>
      <w:marBottom w:val="0"/>
      <w:divBdr>
        <w:top w:val="none" w:sz="0" w:space="0" w:color="auto"/>
        <w:left w:val="none" w:sz="0" w:space="0" w:color="auto"/>
        <w:bottom w:val="none" w:sz="0" w:space="0" w:color="auto"/>
        <w:right w:val="none" w:sz="0" w:space="0" w:color="auto"/>
      </w:divBdr>
    </w:div>
    <w:div w:id="1185637459">
      <w:bodyDiv w:val="1"/>
      <w:marLeft w:val="0"/>
      <w:marRight w:val="0"/>
      <w:marTop w:val="0"/>
      <w:marBottom w:val="0"/>
      <w:divBdr>
        <w:top w:val="none" w:sz="0" w:space="0" w:color="auto"/>
        <w:left w:val="none" w:sz="0" w:space="0" w:color="auto"/>
        <w:bottom w:val="none" w:sz="0" w:space="0" w:color="auto"/>
        <w:right w:val="none" w:sz="0" w:space="0" w:color="auto"/>
      </w:divBdr>
    </w:div>
    <w:div w:id="1250575117">
      <w:bodyDiv w:val="1"/>
      <w:marLeft w:val="0"/>
      <w:marRight w:val="0"/>
      <w:marTop w:val="0"/>
      <w:marBottom w:val="0"/>
      <w:divBdr>
        <w:top w:val="none" w:sz="0" w:space="0" w:color="auto"/>
        <w:left w:val="none" w:sz="0" w:space="0" w:color="auto"/>
        <w:bottom w:val="none" w:sz="0" w:space="0" w:color="auto"/>
        <w:right w:val="none" w:sz="0" w:space="0" w:color="auto"/>
      </w:divBdr>
    </w:div>
    <w:div w:id="1258059032">
      <w:bodyDiv w:val="1"/>
      <w:marLeft w:val="0"/>
      <w:marRight w:val="0"/>
      <w:marTop w:val="0"/>
      <w:marBottom w:val="0"/>
      <w:divBdr>
        <w:top w:val="none" w:sz="0" w:space="0" w:color="auto"/>
        <w:left w:val="none" w:sz="0" w:space="0" w:color="auto"/>
        <w:bottom w:val="none" w:sz="0" w:space="0" w:color="auto"/>
        <w:right w:val="none" w:sz="0" w:space="0" w:color="auto"/>
      </w:divBdr>
    </w:div>
    <w:div w:id="1266767196">
      <w:bodyDiv w:val="1"/>
      <w:marLeft w:val="0"/>
      <w:marRight w:val="0"/>
      <w:marTop w:val="0"/>
      <w:marBottom w:val="0"/>
      <w:divBdr>
        <w:top w:val="none" w:sz="0" w:space="0" w:color="auto"/>
        <w:left w:val="none" w:sz="0" w:space="0" w:color="auto"/>
        <w:bottom w:val="none" w:sz="0" w:space="0" w:color="auto"/>
        <w:right w:val="none" w:sz="0" w:space="0" w:color="auto"/>
      </w:divBdr>
      <w:divsChild>
        <w:div w:id="1611085863">
          <w:marLeft w:val="0"/>
          <w:marRight w:val="0"/>
          <w:marTop w:val="0"/>
          <w:marBottom w:val="0"/>
          <w:divBdr>
            <w:top w:val="none" w:sz="0" w:space="0" w:color="auto"/>
            <w:left w:val="none" w:sz="0" w:space="0" w:color="auto"/>
            <w:bottom w:val="none" w:sz="0" w:space="0" w:color="auto"/>
            <w:right w:val="none" w:sz="0" w:space="0" w:color="auto"/>
          </w:divBdr>
          <w:divsChild>
            <w:div w:id="1475559614">
              <w:marLeft w:val="0"/>
              <w:marRight w:val="0"/>
              <w:marTop w:val="0"/>
              <w:marBottom w:val="0"/>
              <w:divBdr>
                <w:top w:val="none" w:sz="0" w:space="0" w:color="auto"/>
                <w:left w:val="none" w:sz="0" w:space="0" w:color="auto"/>
                <w:bottom w:val="none" w:sz="0" w:space="0" w:color="auto"/>
                <w:right w:val="none" w:sz="0" w:space="0" w:color="auto"/>
              </w:divBdr>
              <w:divsChild>
                <w:div w:id="1204711064">
                  <w:marLeft w:val="0"/>
                  <w:marRight w:val="0"/>
                  <w:marTop w:val="0"/>
                  <w:marBottom w:val="0"/>
                  <w:divBdr>
                    <w:top w:val="none" w:sz="0" w:space="0" w:color="auto"/>
                    <w:left w:val="none" w:sz="0" w:space="0" w:color="auto"/>
                    <w:bottom w:val="none" w:sz="0" w:space="0" w:color="auto"/>
                    <w:right w:val="none" w:sz="0" w:space="0" w:color="auto"/>
                  </w:divBdr>
                  <w:divsChild>
                    <w:div w:id="1014694123">
                      <w:marLeft w:val="0"/>
                      <w:marRight w:val="0"/>
                      <w:marTop w:val="0"/>
                      <w:marBottom w:val="0"/>
                      <w:divBdr>
                        <w:top w:val="none" w:sz="0" w:space="0" w:color="auto"/>
                        <w:left w:val="none" w:sz="0" w:space="0" w:color="auto"/>
                        <w:bottom w:val="none" w:sz="0" w:space="0" w:color="auto"/>
                        <w:right w:val="none" w:sz="0" w:space="0" w:color="auto"/>
                      </w:divBdr>
                      <w:divsChild>
                        <w:div w:id="452094198">
                          <w:marLeft w:val="0"/>
                          <w:marRight w:val="0"/>
                          <w:marTop w:val="0"/>
                          <w:marBottom w:val="0"/>
                          <w:divBdr>
                            <w:top w:val="none" w:sz="0" w:space="0" w:color="auto"/>
                            <w:left w:val="none" w:sz="0" w:space="0" w:color="auto"/>
                            <w:bottom w:val="none" w:sz="0" w:space="0" w:color="auto"/>
                            <w:right w:val="none" w:sz="0" w:space="0" w:color="auto"/>
                          </w:divBdr>
                          <w:divsChild>
                            <w:div w:id="192958240">
                              <w:marLeft w:val="0"/>
                              <w:marRight w:val="0"/>
                              <w:marTop w:val="0"/>
                              <w:marBottom w:val="0"/>
                              <w:divBdr>
                                <w:top w:val="none" w:sz="0" w:space="0" w:color="auto"/>
                                <w:left w:val="none" w:sz="0" w:space="0" w:color="auto"/>
                                <w:bottom w:val="none" w:sz="0" w:space="0" w:color="auto"/>
                                <w:right w:val="none" w:sz="0" w:space="0" w:color="auto"/>
                              </w:divBdr>
                              <w:divsChild>
                                <w:div w:id="1309016368">
                                  <w:marLeft w:val="0"/>
                                  <w:marRight w:val="0"/>
                                  <w:marTop w:val="0"/>
                                  <w:marBottom w:val="0"/>
                                  <w:divBdr>
                                    <w:top w:val="none" w:sz="0" w:space="0" w:color="auto"/>
                                    <w:left w:val="none" w:sz="0" w:space="0" w:color="auto"/>
                                    <w:bottom w:val="none" w:sz="0" w:space="0" w:color="auto"/>
                                    <w:right w:val="none" w:sz="0" w:space="0" w:color="auto"/>
                                  </w:divBdr>
                                  <w:divsChild>
                                    <w:div w:id="1379403682">
                                      <w:marLeft w:val="0"/>
                                      <w:marRight w:val="0"/>
                                      <w:marTop w:val="0"/>
                                      <w:marBottom w:val="0"/>
                                      <w:divBdr>
                                        <w:top w:val="none" w:sz="0" w:space="0" w:color="auto"/>
                                        <w:left w:val="none" w:sz="0" w:space="0" w:color="auto"/>
                                        <w:bottom w:val="none" w:sz="0" w:space="0" w:color="auto"/>
                                        <w:right w:val="none" w:sz="0" w:space="0" w:color="auto"/>
                                      </w:divBdr>
                                      <w:divsChild>
                                        <w:div w:id="151794507">
                                          <w:marLeft w:val="0"/>
                                          <w:marRight w:val="0"/>
                                          <w:marTop w:val="0"/>
                                          <w:marBottom w:val="0"/>
                                          <w:divBdr>
                                            <w:top w:val="none" w:sz="0" w:space="0" w:color="auto"/>
                                            <w:left w:val="none" w:sz="0" w:space="0" w:color="auto"/>
                                            <w:bottom w:val="none" w:sz="0" w:space="0" w:color="auto"/>
                                            <w:right w:val="none" w:sz="0" w:space="0" w:color="auto"/>
                                          </w:divBdr>
                                          <w:divsChild>
                                            <w:div w:id="920337709">
                                              <w:marLeft w:val="0"/>
                                              <w:marRight w:val="0"/>
                                              <w:marTop w:val="0"/>
                                              <w:marBottom w:val="0"/>
                                              <w:divBdr>
                                                <w:top w:val="none" w:sz="0" w:space="0" w:color="auto"/>
                                                <w:left w:val="none" w:sz="0" w:space="0" w:color="auto"/>
                                                <w:bottom w:val="none" w:sz="0" w:space="0" w:color="auto"/>
                                                <w:right w:val="none" w:sz="0" w:space="0" w:color="auto"/>
                                              </w:divBdr>
                                              <w:divsChild>
                                                <w:div w:id="1585335092">
                                                  <w:marLeft w:val="0"/>
                                                  <w:marRight w:val="0"/>
                                                  <w:marTop w:val="0"/>
                                                  <w:marBottom w:val="0"/>
                                                  <w:divBdr>
                                                    <w:top w:val="none" w:sz="0" w:space="0" w:color="auto"/>
                                                    <w:left w:val="none" w:sz="0" w:space="0" w:color="auto"/>
                                                    <w:bottom w:val="none" w:sz="0" w:space="0" w:color="auto"/>
                                                    <w:right w:val="none" w:sz="0" w:space="0" w:color="auto"/>
                                                  </w:divBdr>
                                                  <w:divsChild>
                                                    <w:div w:id="1844005442">
                                                      <w:marLeft w:val="0"/>
                                                      <w:marRight w:val="0"/>
                                                      <w:marTop w:val="0"/>
                                                      <w:marBottom w:val="0"/>
                                                      <w:divBdr>
                                                        <w:top w:val="none" w:sz="0" w:space="0" w:color="auto"/>
                                                        <w:left w:val="none" w:sz="0" w:space="0" w:color="auto"/>
                                                        <w:bottom w:val="none" w:sz="0" w:space="0" w:color="auto"/>
                                                        <w:right w:val="none" w:sz="0" w:space="0" w:color="auto"/>
                                                      </w:divBdr>
                                                      <w:divsChild>
                                                        <w:div w:id="19223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6078906">
      <w:bodyDiv w:val="1"/>
      <w:marLeft w:val="0"/>
      <w:marRight w:val="0"/>
      <w:marTop w:val="0"/>
      <w:marBottom w:val="0"/>
      <w:divBdr>
        <w:top w:val="none" w:sz="0" w:space="0" w:color="auto"/>
        <w:left w:val="none" w:sz="0" w:space="0" w:color="auto"/>
        <w:bottom w:val="none" w:sz="0" w:space="0" w:color="auto"/>
        <w:right w:val="none" w:sz="0" w:space="0" w:color="auto"/>
      </w:divBdr>
    </w:div>
    <w:div w:id="1435906907">
      <w:bodyDiv w:val="1"/>
      <w:marLeft w:val="0"/>
      <w:marRight w:val="0"/>
      <w:marTop w:val="0"/>
      <w:marBottom w:val="0"/>
      <w:divBdr>
        <w:top w:val="none" w:sz="0" w:space="0" w:color="auto"/>
        <w:left w:val="none" w:sz="0" w:space="0" w:color="auto"/>
        <w:bottom w:val="none" w:sz="0" w:space="0" w:color="auto"/>
        <w:right w:val="none" w:sz="0" w:space="0" w:color="auto"/>
      </w:divBdr>
    </w:div>
    <w:div w:id="1504010646">
      <w:bodyDiv w:val="1"/>
      <w:marLeft w:val="0"/>
      <w:marRight w:val="0"/>
      <w:marTop w:val="0"/>
      <w:marBottom w:val="0"/>
      <w:divBdr>
        <w:top w:val="none" w:sz="0" w:space="0" w:color="auto"/>
        <w:left w:val="none" w:sz="0" w:space="0" w:color="auto"/>
        <w:bottom w:val="none" w:sz="0" w:space="0" w:color="auto"/>
        <w:right w:val="none" w:sz="0" w:space="0" w:color="auto"/>
      </w:divBdr>
    </w:div>
    <w:div w:id="1607615547">
      <w:bodyDiv w:val="1"/>
      <w:marLeft w:val="0"/>
      <w:marRight w:val="0"/>
      <w:marTop w:val="0"/>
      <w:marBottom w:val="0"/>
      <w:divBdr>
        <w:top w:val="none" w:sz="0" w:space="0" w:color="auto"/>
        <w:left w:val="none" w:sz="0" w:space="0" w:color="auto"/>
        <w:bottom w:val="none" w:sz="0" w:space="0" w:color="auto"/>
        <w:right w:val="none" w:sz="0" w:space="0" w:color="auto"/>
      </w:divBdr>
    </w:div>
    <w:div w:id="1614707738">
      <w:bodyDiv w:val="1"/>
      <w:marLeft w:val="0"/>
      <w:marRight w:val="0"/>
      <w:marTop w:val="0"/>
      <w:marBottom w:val="0"/>
      <w:divBdr>
        <w:top w:val="none" w:sz="0" w:space="0" w:color="auto"/>
        <w:left w:val="none" w:sz="0" w:space="0" w:color="auto"/>
        <w:bottom w:val="none" w:sz="0" w:space="0" w:color="auto"/>
        <w:right w:val="none" w:sz="0" w:space="0" w:color="auto"/>
      </w:divBdr>
    </w:div>
    <w:div w:id="1681348917">
      <w:bodyDiv w:val="1"/>
      <w:marLeft w:val="0"/>
      <w:marRight w:val="0"/>
      <w:marTop w:val="0"/>
      <w:marBottom w:val="0"/>
      <w:divBdr>
        <w:top w:val="none" w:sz="0" w:space="0" w:color="auto"/>
        <w:left w:val="none" w:sz="0" w:space="0" w:color="auto"/>
        <w:bottom w:val="none" w:sz="0" w:space="0" w:color="auto"/>
        <w:right w:val="none" w:sz="0" w:space="0" w:color="auto"/>
      </w:divBdr>
    </w:div>
    <w:div w:id="1831099070">
      <w:bodyDiv w:val="1"/>
      <w:marLeft w:val="0"/>
      <w:marRight w:val="0"/>
      <w:marTop w:val="0"/>
      <w:marBottom w:val="0"/>
      <w:divBdr>
        <w:top w:val="none" w:sz="0" w:space="0" w:color="auto"/>
        <w:left w:val="none" w:sz="0" w:space="0" w:color="auto"/>
        <w:bottom w:val="none" w:sz="0" w:space="0" w:color="auto"/>
        <w:right w:val="none" w:sz="0" w:space="0" w:color="auto"/>
      </w:divBdr>
    </w:div>
    <w:div w:id="1832283300">
      <w:bodyDiv w:val="1"/>
      <w:marLeft w:val="0"/>
      <w:marRight w:val="0"/>
      <w:marTop w:val="0"/>
      <w:marBottom w:val="0"/>
      <w:divBdr>
        <w:top w:val="none" w:sz="0" w:space="0" w:color="auto"/>
        <w:left w:val="none" w:sz="0" w:space="0" w:color="auto"/>
        <w:bottom w:val="none" w:sz="0" w:space="0" w:color="auto"/>
        <w:right w:val="none" w:sz="0" w:space="0" w:color="auto"/>
      </w:divBdr>
    </w:div>
    <w:div w:id="1959599420">
      <w:bodyDiv w:val="1"/>
      <w:marLeft w:val="0"/>
      <w:marRight w:val="0"/>
      <w:marTop w:val="0"/>
      <w:marBottom w:val="0"/>
      <w:divBdr>
        <w:top w:val="none" w:sz="0" w:space="0" w:color="auto"/>
        <w:left w:val="none" w:sz="0" w:space="0" w:color="auto"/>
        <w:bottom w:val="none" w:sz="0" w:space="0" w:color="auto"/>
        <w:right w:val="none" w:sz="0" w:space="0" w:color="auto"/>
      </w:divBdr>
    </w:div>
    <w:div w:id="1962033179">
      <w:bodyDiv w:val="1"/>
      <w:marLeft w:val="0"/>
      <w:marRight w:val="0"/>
      <w:marTop w:val="0"/>
      <w:marBottom w:val="0"/>
      <w:divBdr>
        <w:top w:val="none" w:sz="0" w:space="0" w:color="auto"/>
        <w:left w:val="none" w:sz="0" w:space="0" w:color="auto"/>
        <w:bottom w:val="none" w:sz="0" w:space="0" w:color="auto"/>
        <w:right w:val="none" w:sz="0" w:space="0" w:color="auto"/>
      </w:divBdr>
    </w:div>
    <w:div w:id="2029939355">
      <w:bodyDiv w:val="1"/>
      <w:marLeft w:val="0"/>
      <w:marRight w:val="0"/>
      <w:marTop w:val="0"/>
      <w:marBottom w:val="0"/>
      <w:divBdr>
        <w:top w:val="none" w:sz="0" w:space="0" w:color="auto"/>
        <w:left w:val="none" w:sz="0" w:space="0" w:color="auto"/>
        <w:bottom w:val="none" w:sz="0" w:space="0" w:color="auto"/>
        <w:right w:val="none" w:sz="0" w:space="0" w:color="auto"/>
      </w:divBdr>
    </w:div>
    <w:div w:id="2052142578">
      <w:bodyDiv w:val="1"/>
      <w:marLeft w:val="0"/>
      <w:marRight w:val="0"/>
      <w:marTop w:val="0"/>
      <w:marBottom w:val="0"/>
      <w:divBdr>
        <w:top w:val="none" w:sz="0" w:space="0" w:color="auto"/>
        <w:left w:val="none" w:sz="0" w:space="0" w:color="auto"/>
        <w:bottom w:val="none" w:sz="0" w:space="0" w:color="auto"/>
        <w:right w:val="none" w:sz="0" w:space="0" w:color="auto"/>
      </w:divBdr>
    </w:div>
    <w:div w:id="2065836211">
      <w:bodyDiv w:val="1"/>
      <w:marLeft w:val="0"/>
      <w:marRight w:val="0"/>
      <w:marTop w:val="0"/>
      <w:marBottom w:val="0"/>
      <w:divBdr>
        <w:top w:val="none" w:sz="0" w:space="0" w:color="auto"/>
        <w:left w:val="none" w:sz="0" w:space="0" w:color="auto"/>
        <w:bottom w:val="none" w:sz="0" w:space="0" w:color="auto"/>
        <w:right w:val="none" w:sz="0" w:space="0" w:color="auto"/>
      </w:divBdr>
    </w:div>
    <w:div w:id="2068261821">
      <w:bodyDiv w:val="1"/>
      <w:marLeft w:val="0"/>
      <w:marRight w:val="0"/>
      <w:marTop w:val="0"/>
      <w:marBottom w:val="0"/>
      <w:divBdr>
        <w:top w:val="none" w:sz="0" w:space="0" w:color="auto"/>
        <w:left w:val="none" w:sz="0" w:space="0" w:color="auto"/>
        <w:bottom w:val="none" w:sz="0" w:space="0" w:color="auto"/>
        <w:right w:val="none" w:sz="0" w:space="0" w:color="auto"/>
      </w:divBdr>
    </w:div>
    <w:div w:id="20886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accc.gov.au/regulated-infrastructure/communications/monitoring-reporting/measuring-broadband-australia-program/pilot-program"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andinfo@acma.gov.au" TargetMode="External"/><Relationship Id="rId25" Type="http://schemas.openxmlformats.org/officeDocument/2006/relationships/footer" Target="footer5.xml"/><Relationship Id="rId33" Type="http://schemas.openxmlformats.org/officeDocument/2006/relationships/hyperlink" Target="https://www.accc.gov.au/regulated-infrastructure/communications/monitoring-reporting/measuring-broadband-australia-program/pilot-program"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29" Type="http://schemas.openxmlformats.org/officeDocument/2006/relationships/hyperlink" Target="https://www.acma.gov.au/publications/2019-10/report/australian-communications-and-media-authority-and-office-esafety-commissioner-annual-reports-2018-1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accc.gov.au/regulated-infrastructure/communications/monitoring-reporting/measuring-broadband-australia-program/position-paper" TargetMode="Externa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hyperlink" Target="http://www.accan.org.au/" TargetMode="External"/><Relationship Id="rId36" Type="http://schemas.openxmlformats.org/officeDocument/2006/relationships/hyperlink" Target="https://www.accc.gov.au/regulated-infrastructure/communications/monitoring-reporting/measuring-broadband-australia-program/pilot-program"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finance.gov.au/resource-management/charging-framework/risk-assessment-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reativecommons.org/l/by/3.0/88x31.png" TargetMode="External"/><Relationship Id="rId22" Type="http://schemas.openxmlformats.org/officeDocument/2006/relationships/header" Target="header5.xml"/><Relationship Id="rId27" Type="http://schemas.openxmlformats.org/officeDocument/2006/relationships/hyperlink" Target="https://www.acma.gov.au/publications/2018-10/report/ACMA-annual-report-2017-18" TargetMode="External"/><Relationship Id="rId30" Type="http://schemas.openxmlformats.org/officeDocument/2006/relationships/hyperlink" Target="https://www.accc.gov.au/consumers/internet-landline-services/monitoring-broadband-performance" TargetMode="External"/><Relationship Id="rId35" Type="http://schemas.openxmlformats.org/officeDocument/2006/relationships/hyperlink" Target="https://www.accc.gov.au/consumers/internet-landline-services/broadband-performance-dat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chive.budget.gov.au/2010-11/bp2/bp2.pdf" TargetMode="External"/><Relationship Id="rId13" Type="http://schemas.openxmlformats.org/officeDocument/2006/relationships/hyperlink" Target="https://www.budget.gov.au/2019-20/content/bp2/index.htm" TargetMode="External"/><Relationship Id="rId18" Type="http://schemas.openxmlformats.org/officeDocument/2006/relationships/hyperlink" Target="https://static.treasury.gov.au/uploads/sites/1/2019/02/2018-19PAES-p2019-359570-v2.pdf" TargetMode="External"/><Relationship Id="rId3" Type="http://schemas.openxmlformats.org/officeDocument/2006/relationships/hyperlink" Target="https://www.finance.gov.au/resource-management/charging-framework/portfolio-charging-review-template/" TargetMode="External"/><Relationship Id="rId21" Type="http://schemas.openxmlformats.org/officeDocument/2006/relationships/hyperlink" Target="https://www.finance.gov.au/government/managing-commonwealth-resources/managing-money-property/managing-money/australian-government-charging-framework/charging-activities" TargetMode="External"/><Relationship Id="rId7" Type="http://schemas.openxmlformats.org/officeDocument/2006/relationships/hyperlink" Target="https://archive.budget.gov.au/2009-10/myefo/MYEFO_2009-10.pdf" TargetMode="External"/><Relationship Id="rId12" Type="http://schemas.openxmlformats.org/officeDocument/2006/relationships/hyperlink" Target="http://www.communications.gov.au/documents/2015-16-dept-comms-and-arts-paes" TargetMode="External"/><Relationship Id="rId17" Type="http://schemas.openxmlformats.org/officeDocument/2006/relationships/hyperlink" Target="https://treasury.gov.au/sites/default/files/2019-03/01_Portfolio-Budget-Statements-2017-18-1.pdf" TargetMode="External"/><Relationship Id="rId2" Type="http://schemas.openxmlformats.org/officeDocument/2006/relationships/hyperlink" Target="https://www.finance.gov.au/government/managing-commonwealth-resources/australian-government-charging-framework/portfolio-charging-reviews" TargetMode="External"/><Relationship Id="rId16" Type="http://schemas.openxmlformats.org/officeDocument/2006/relationships/hyperlink" Target="https://www.finance.gov.au/sites/default/files/2019-11/RMG-302%20Australian%20Government%20Charging%20Framework_0.pdf" TargetMode="External"/><Relationship Id="rId20" Type="http://schemas.openxmlformats.org/officeDocument/2006/relationships/hyperlink" Target="https://static.treasury.gov.au/uploads/sites/1/2017/06/PBS-2.pdf" TargetMode="External"/><Relationship Id="rId1" Type="http://schemas.openxmlformats.org/officeDocument/2006/relationships/hyperlink" Target="https://www.acma.gov.au/eligible-revenue-portal-2018-19" TargetMode="External"/><Relationship Id="rId6" Type="http://schemas.openxmlformats.org/officeDocument/2006/relationships/hyperlink" Target="https://archive.budget.gov.au/2009-10/bp2/bp2_consolidated.pdf" TargetMode="External"/><Relationship Id="rId11" Type="http://schemas.openxmlformats.org/officeDocument/2006/relationships/hyperlink" Target="https://archive.budget.gov.au/2014-15/bp2/BP2_consolidated.pdf" TargetMode="External"/><Relationship Id="rId5" Type="http://schemas.openxmlformats.org/officeDocument/2006/relationships/hyperlink" Target="https://archive.budget.gov.au/2005-06/myefo/myefo_2005-06.pdf" TargetMode="External"/><Relationship Id="rId15" Type="http://schemas.openxmlformats.org/officeDocument/2006/relationships/hyperlink" Target="https://www.legislation.gov.au/Details/F2019L00135" TargetMode="External"/><Relationship Id="rId10" Type="http://schemas.openxmlformats.org/officeDocument/2006/relationships/hyperlink" Target="https://archive.budget.gov.au/2013-14/bp2/BP2_consolidated.pdf" TargetMode="External"/><Relationship Id="rId19" Type="http://schemas.openxmlformats.org/officeDocument/2006/relationships/hyperlink" Target="https://www.accc.gov.au/media-release/accc-to-monitor-australias-broadband-performance" TargetMode="External"/><Relationship Id="rId4" Type="http://schemas.openxmlformats.org/officeDocument/2006/relationships/hyperlink" Target="https://archive.budget.gov.au/1996-97/statement4/bst04.pdf" TargetMode="External"/><Relationship Id="rId9" Type="http://schemas.openxmlformats.org/officeDocument/2006/relationships/hyperlink" Target="https://archive.budget.gov.au/2011-12/bp2/bp2.pdf" TargetMode="External"/><Relationship Id="rId14" Type="http://schemas.openxmlformats.org/officeDocument/2006/relationships/hyperlink" Target="https://www.legislation.gov.au/Details/F2017L005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A9403AE99F94DA8EB79A95EB9D154" ma:contentTypeVersion="8" ma:contentTypeDescription="Create a new document." ma:contentTypeScope="" ma:versionID="4b1e454eb9044ff4addab82fc06fbf73">
  <xsd:schema xmlns:xsd="http://www.w3.org/2001/XMLSchema" xmlns:xs="http://www.w3.org/2001/XMLSchema" xmlns:p="http://schemas.microsoft.com/office/2006/metadata/properties" xmlns:ns3="cf55d3db-e73e-44b9-9a2c-90a60d03d295" targetNamespace="http://schemas.microsoft.com/office/2006/metadata/properties" ma:root="true" ma:fieldsID="c6a1534bf7805137bdd16a1ae0c3fa6a" ns3:_="">
    <xsd:import namespace="cf55d3db-e73e-44b9-9a2c-90a60d03d2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5d3db-e73e-44b9-9a2c-90a60d03d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FE95E-4EE3-4DC4-B6DE-674CA02C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5d3db-e73e-44b9-9a2c-90a60d03d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BCB71-A682-46F5-9B5D-DACDE1662512}">
  <ds:schemaRefs>
    <ds:schemaRef ds:uri="http://schemas.microsoft.com/sharepoint/v3/contenttype/forms"/>
  </ds:schemaRefs>
</ds:datastoreItem>
</file>

<file path=customXml/itemProps3.xml><?xml version="1.0" encoding="utf-8"?>
<ds:datastoreItem xmlns:ds="http://schemas.openxmlformats.org/officeDocument/2006/customXml" ds:itemID="{BB525569-185B-4213-AF8E-D552F23747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8ABF7-AE2E-48F7-839E-BF3F900C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18000</Words>
  <Characters>102606</Characters>
  <Application>Microsoft Office Word</Application>
  <DocSecurity>4</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2019-12-10T19:58:00Z</dcterms:created>
  <dcterms:modified xsi:type="dcterms:W3CDTF">2019-12-10T19:58:00Z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0x01010041AA9403AE99F94DA8EB79A95EB9D154</vt:lpwstr>
  </property>
</Properties>
</file>