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64DE9" w14:textId="77777777" w:rsidR="00F06E14" w:rsidRPr="00A51D1A" w:rsidRDefault="00510E9F" w:rsidP="00A51D1A">
      <w:pPr>
        <w:pStyle w:val="ACMAReportTitle"/>
      </w:pPr>
      <w:r w:rsidRPr="00510E9F">
        <w:t>Cost Recovery Implementation Statement</w:t>
      </w:r>
    </w:p>
    <w:p w14:paraId="2BC7C85A" w14:textId="2BDCAB25" w:rsidR="00F06E14" w:rsidRDefault="00AD3D05" w:rsidP="00510E9F">
      <w:pPr>
        <w:pStyle w:val="ACMAReportSubTitle"/>
      </w:pPr>
      <w:r>
        <w:t xml:space="preserve">Do Not Call </w:t>
      </w:r>
      <w:r w:rsidR="00524BB2">
        <w:t>Register</w:t>
      </w:r>
      <w:r>
        <w:t>—</w:t>
      </w:r>
      <w:r w:rsidR="00A54D82">
        <w:t xml:space="preserve">subscription fees effective 1 July </w:t>
      </w:r>
      <w:r>
        <w:t>201</w:t>
      </w:r>
      <w:r w:rsidR="00C67ED8">
        <w:t>9</w:t>
      </w:r>
    </w:p>
    <w:p w14:paraId="2A5DDCF8" w14:textId="12095D75" w:rsidR="00F06E14" w:rsidRDefault="00C64E58" w:rsidP="00D47AEB">
      <w:pPr>
        <w:pStyle w:val="ACMAReportDate"/>
        <w:spacing w:after="720"/>
      </w:pPr>
      <w:r>
        <w:t xml:space="preserve">OCTOBER </w:t>
      </w:r>
      <w:r w:rsidR="00AD3D05">
        <w:t>201</w:t>
      </w:r>
      <w:r w:rsidR="00C67ED8">
        <w:t>9</w:t>
      </w:r>
    </w:p>
    <w:p w14:paraId="6DF2D960" w14:textId="77777777" w:rsidR="00C97736" w:rsidRPr="000D76E0" w:rsidRDefault="00C97736" w:rsidP="0041071D">
      <w:pPr>
        <w:rPr>
          <w:rFonts w:cs="Arial"/>
        </w:rPr>
      </w:pPr>
    </w:p>
    <w:p w14:paraId="188A3C6D" w14:textId="3694AF1E" w:rsidR="00C97736" w:rsidRPr="00763410" w:rsidRDefault="00C97736" w:rsidP="0041071D">
      <w:pPr>
        <w:rPr>
          <w:rFonts w:cs="Arial"/>
          <w:b/>
          <w:sz w:val="44"/>
        </w:rPr>
        <w:sectPr w:rsidR="00C97736" w:rsidRPr="00763410" w:rsidSect="00A954D2">
          <w:headerReference w:type="default" r:id="rId13"/>
          <w:footerReference w:type="default" r:id="rId14"/>
          <w:headerReference w:type="first" r:id="rId15"/>
          <w:pgSz w:w="11906" w:h="16838" w:code="9"/>
          <w:pgMar w:top="3924" w:right="1700" w:bottom="1440" w:left="1418" w:header="709" w:footer="141" w:gutter="0"/>
          <w:cols w:space="708"/>
          <w:docGrid w:linePitch="360"/>
        </w:sectPr>
      </w:pPr>
    </w:p>
    <w:p w14:paraId="0A3CE184" w14:textId="77777777" w:rsidR="0005011A" w:rsidRPr="00F44F3A" w:rsidRDefault="0005011A" w:rsidP="00524BB2">
      <w:pPr>
        <w:pStyle w:val="ACMACorporateAddressHeader"/>
      </w:pPr>
      <w:r w:rsidRPr="00F44F3A">
        <w:lastRenderedPageBreak/>
        <w:t>Canberra</w:t>
      </w:r>
    </w:p>
    <w:p w14:paraId="5CA4361B" w14:textId="77777777" w:rsidR="0005011A" w:rsidRPr="00FC07B9" w:rsidRDefault="0005011A" w:rsidP="00524BB2">
      <w:pPr>
        <w:pStyle w:val="ACMACorporateAddresses"/>
      </w:pPr>
      <w:r w:rsidRPr="00FC07B9">
        <w:t xml:space="preserve">Red Building </w:t>
      </w:r>
      <w:r w:rsidRPr="00FC07B9">
        <w:br/>
        <w:t>Benjamin Offices</w:t>
      </w:r>
      <w:r w:rsidRPr="00FC07B9">
        <w:br/>
        <w:t xml:space="preserve">Chan Street </w:t>
      </w:r>
      <w:r w:rsidRPr="00FC07B9">
        <w:br/>
        <w:t>Belconnen ACT</w:t>
      </w:r>
    </w:p>
    <w:p w14:paraId="22BC89A5" w14:textId="77777777" w:rsidR="0005011A" w:rsidRPr="00FC07B9" w:rsidRDefault="0005011A" w:rsidP="00524BB2">
      <w:pPr>
        <w:pStyle w:val="ACMACorporateAddresses"/>
      </w:pPr>
      <w:r w:rsidRPr="00FC07B9">
        <w:t>PO Box 78</w:t>
      </w:r>
      <w:r w:rsidRPr="00FC07B9">
        <w:br/>
        <w:t>Belconnen ACT 2616</w:t>
      </w:r>
    </w:p>
    <w:p w14:paraId="35F93EA2" w14:textId="77777777" w:rsidR="00FE1823" w:rsidRPr="00FC07B9" w:rsidRDefault="0005011A" w:rsidP="00524BB2">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5E48F77" w14:textId="77777777" w:rsidR="0005011A" w:rsidRPr="00F44F3A" w:rsidRDefault="0005011A" w:rsidP="00524BB2">
      <w:pPr>
        <w:pStyle w:val="ACMACorporateAddressHeader"/>
      </w:pPr>
      <w:r w:rsidRPr="00F44F3A">
        <w:t>Melbourne</w:t>
      </w:r>
    </w:p>
    <w:p w14:paraId="1C608E11" w14:textId="77777777" w:rsidR="0005011A" w:rsidRPr="00F44F3A" w:rsidRDefault="0005011A" w:rsidP="00524BB2">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3F36E0BE" w14:textId="77777777" w:rsidR="0005011A" w:rsidRPr="00F44F3A" w:rsidRDefault="0005011A" w:rsidP="00524BB2">
      <w:pPr>
        <w:pStyle w:val="ACMACorporateAddresses"/>
      </w:pPr>
      <w:r w:rsidRPr="00F44F3A">
        <w:t>PO Box 13112</w:t>
      </w:r>
      <w:r w:rsidRPr="00F44F3A">
        <w:br/>
        <w:t xml:space="preserve">Law Courts </w:t>
      </w:r>
      <w:r w:rsidRPr="00F44F3A">
        <w:br/>
        <w:t>Melbourne VIC 8010</w:t>
      </w:r>
    </w:p>
    <w:p w14:paraId="3758A633" w14:textId="77777777" w:rsidR="0005011A" w:rsidRPr="00F44F3A" w:rsidRDefault="0005011A" w:rsidP="00524BB2">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5EECCFD0" w14:textId="77777777" w:rsidR="0005011A" w:rsidRPr="00F44F3A" w:rsidRDefault="0005011A" w:rsidP="00524BB2">
      <w:pPr>
        <w:pStyle w:val="ACMACorporateAddressHeader"/>
      </w:pPr>
      <w:r w:rsidRPr="00F44F3A">
        <w:t>Sydney</w:t>
      </w:r>
    </w:p>
    <w:p w14:paraId="3DED3DDF" w14:textId="77777777" w:rsidR="0005011A" w:rsidRPr="00F44F3A" w:rsidRDefault="0005011A" w:rsidP="00524BB2">
      <w:pPr>
        <w:pStyle w:val="ACMACorporateAddresses"/>
      </w:pPr>
      <w:r w:rsidRPr="00F44F3A">
        <w:t xml:space="preserve">Level 5 </w:t>
      </w:r>
      <w:r w:rsidRPr="00F44F3A">
        <w:br/>
        <w:t>The Bay Centre</w:t>
      </w:r>
      <w:r w:rsidRPr="00F44F3A">
        <w:br/>
        <w:t xml:space="preserve">65 Pirrama Road </w:t>
      </w:r>
      <w:r w:rsidRPr="00F44F3A">
        <w:br/>
        <w:t>Pyrmont NSW</w:t>
      </w:r>
    </w:p>
    <w:p w14:paraId="516B6FA6" w14:textId="77777777" w:rsidR="0005011A" w:rsidRPr="00F44F3A" w:rsidRDefault="0005011A" w:rsidP="00524BB2">
      <w:pPr>
        <w:pStyle w:val="ACMACorporateAddresses"/>
      </w:pPr>
      <w:r w:rsidRPr="00F44F3A">
        <w:t>PO Box Q500</w:t>
      </w:r>
      <w:r w:rsidRPr="00F44F3A">
        <w:br/>
        <w:t xml:space="preserve">Queen Victoria Building </w:t>
      </w:r>
      <w:r w:rsidRPr="00F44F3A">
        <w:br/>
        <w:t>NSW 1230</w:t>
      </w:r>
    </w:p>
    <w:p w14:paraId="21A712C4" w14:textId="77777777" w:rsidR="0005011A" w:rsidRPr="00F44F3A" w:rsidRDefault="0005011A" w:rsidP="00524BB2">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187AC6A" w14:textId="77777777" w:rsidR="00140318" w:rsidRPr="006D46E5" w:rsidRDefault="00140318" w:rsidP="00524BB2">
      <w:pPr>
        <w:pStyle w:val="ACMACopyrightHeader"/>
      </w:pPr>
      <w:r w:rsidRPr="00140318">
        <w:t>Copyright notice</w:t>
      </w:r>
    </w:p>
    <w:p w14:paraId="6CEE35B9" w14:textId="77777777" w:rsidR="00140318" w:rsidRPr="006D46E5" w:rsidRDefault="00623FF9" w:rsidP="00524BB2">
      <w:pPr>
        <w:pStyle w:val="ACMACClogo"/>
      </w:pPr>
      <w:r w:rsidRPr="00623FF9">
        <w:rPr>
          <w:noProof/>
        </w:rPr>
        <w:drawing>
          <wp:inline distT="0" distB="0" distL="0" distR="0" wp14:anchorId="4ADAD23D" wp14:editId="47C03E55">
            <wp:extent cx="838200" cy="295275"/>
            <wp:effectExtent l="0" t="0" r="0" b="0"/>
            <wp:docPr id="1" name="Picture 1" title="Creative Commons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6"/>
                    </pic:cNvPr>
                    <pic:cNvPicPr>
                      <a:picLocks noChangeAspect="1" noChangeArrowheads="1"/>
                    </pic:cNvPicPr>
                  </pic:nvPicPr>
                  <pic:blipFill>
                    <a:blip r:embed="rId17" cstate="print"/>
                    <a:srcRect/>
                    <a:stretch>
                      <a:fillRect/>
                    </a:stretch>
                  </pic:blipFill>
                  <pic:spPr bwMode="auto">
                    <a:xfrm>
                      <a:off x="0" y="0"/>
                      <a:ext cx="838200" cy="295275"/>
                    </a:xfrm>
                    <a:prstGeom prst="rect">
                      <a:avLst/>
                    </a:prstGeom>
                    <a:noFill/>
                  </pic:spPr>
                </pic:pic>
              </a:graphicData>
            </a:graphic>
          </wp:inline>
        </w:drawing>
      </w:r>
    </w:p>
    <w:p w14:paraId="14916D94" w14:textId="77777777" w:rsidR="00202E72" w:rsidRDefault="00DF7A85" w:rsidP="00524BB2">
      <w:pPr>
        <w:pStyle w:val="ACMACorporateAddresses"/>
        <w:rPr>
          <w:rStyle w:val="Hyperlink"/>
        </w:rPr>
      </w:pPr>
      <w:hyperlink r:id="rId18" w:history="1">
        <w:r w:rsidR="00202E72">
          <w:rPr>
            <w:rStyle w:val="Hyperlink"/>
          </w:rPr>
          <w:t>https://creativecommons.org/licenses/by/4.0//</w:t>
        </w:r>
      </w:hyperlink>
    </w:p>
    <w:p w14:paraId="2A258D6D" w14:textId="77777777" w:rsidR="00202E72" w:rsidRDefault="00202E72" w:rsidP="00524BB2">
      <w:pPr>
        <w:pStyle w:val="ACMACorporateAddresses"/>
      </w:pPr>
      <w:proofErr w:type="gramStart"/>
      <w:r>
        <w:t>With the exception of</w:t>
      </w:r>
      <w:proofErr w:type="gramEnd"/>
      <w:r>
        <w:t xml:space="preserve"> coats of arms, logos, emblems, images, other third-party material or devices protected by a trademark, this content is made available under the terms of the Creative Commons Attribution 4.0 International (CC BY 4.0) licence. </w:t>
      </w:r>
    </w:p>
    <w:p w14:paraId="7DAF4D16" w14:textId="0413AB91" w:rsidR="00202E72" w:rsidRDefault="00202E72" w:rsidP="00524BB2">
      <w:pPr>
        <w:pStyle w:val="ACMACorporateAddresses"/>
      </w:pPr>
      <w:r>
        <w:t>We request attribution as © Commonwealth of Australia (Australian Communications and Media Authority) 201</w:t>
      </w:r>
      <w:r w:rsidR="00C86F94">
        <w:t>9</w:t>
      </w:r>
      <w:r>
        <w:t>.</w:t>
      </w:r>
    </w:p>
    <w:p w14:paraId="7D65167B" w14:textId="77777777" w:rsidR="00140318" w:rsidRPr="006D46E5" w:rsidRDefault="00140318" w:rsidP="00524BB2">
      <w:pPr>
        <w:pStyle w:val="ACMACorporateAddresses"/>
      </w:pPr>
      <w:r>
        <w:t>All other rights are reserved.</w:t>
      </w:r>
    </w:p>
    <w:p w14:paraId="2A1C659F" w14:textId="77777777" w:rsidR="00140318" w:rsidRPr="006D46E5" w:rsidRDefault="00140318" w:rsidP="00524BB2">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1E733ED5" w14:textId="77777777" w:rsidR="00140318" w:rsidRPr="006D46E5" w:rsidRDefault="00140318" w:rsidP="00524BB2">
      <w:pPr>
        <w:pStyle w:val="ACMACorporateAddresses"/>
      </w:pPr>
      <w:r w:rsidRPr="006D46E5">
        <w:t>Written enquiries may be sent to:</w:t>
      </w:r>
    </w:p>
    <w:p w14:paraId="463E4274" w14:textId="77777777" w:rsidR="00D16FE3" w:rsidRDefault="00140318" w:rsidP="00524BB2">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19" w:history="1">
        <w:r w:rsidR="000A1400" w:rsidRPr="00826BEB">
          <w:rPr>
            <w:rStyle w:val="Hyperlink"/>
          </w:rPr>
          <w:t>info@acma.gov.au</w:t>
        </w:r>
      </w:hyperlink>
    </w:p>
    <w:p w14:paraId="5D882425" w14:textId="77777777" w:rsidR="00D16FE3" w:rsidRDefault="00D16FE3" w:rsidP="00524BB2">
      <w:pPr>
        <w:pStyle w:val="ACMACorporateAddresses"/>
        <w:rPr>
          <w:rStyle w:val="Hyperlink"/>
        </w:rPr>
      </w:pPr>
    </w:p>
    <w:p w14:paraId="4ADF8EA2" w14:textId="77777777" w:rsidR="00D16FE3" w:rsidRPr="00D16FE3" w:rsidRDefault="00D16FE3" w:rsidP="00524BB2">
      <w:pPr>
        <w:pStyle w:val="ACMACorporateAddresses"/>
        <w:sectPr w:rsidR="00D16FE3" w:rsidRPr="00D16FE3" w:rsidSect="00453634">
          <w:headerReference w:type="even" r:id="rId20"/>
          <w:headerReference w:type="default" r:id="rId21"/>
          <w:footerReference w:type="even" r:id="rId22"/>
          <w:footerReference w:type="default" r:id="rId23"/>
          <w:pgSz w:w="11906" w:h="16838" w:code="9"/>
          <w:pgMar w:top="3924" w:right="2125" w:bottom="697" w:left="1418" w:header="709" w:footer="119" w:gutter="0"/>
          <w:cols w:space="708"/>
          <w:docGrid w:linePitch="360"/>
        </w:sectPr>
      </w:pPr>
    </w:p>
    <w:p w14:paraId="034922AE" w14:textId="2853CA33" w:rsidR="00EE3190" w:rsidRDefault="003B613A">
      <w:pPr>
        <w:pStyle w:val="TOC1"/>
        <w:rPr>
          <w:rFonts w:asciiTheme="minorHAnsi" w:eastAsiaTheme="minorEastAsia" w:hAnsiTheme="minorHAnsi" w:cstheme="minorBidi"/>
          <w:b w:val="0"/>
          <w:spacing w:val="0"/>
          <w:sz w:val="22"/>
          <w:szCs w:val="22"/>
        </w:rPr>
      </w:pPr>
      <w:r>
        <w:rPr>
          <w:b w:val="0"/>
        </w:rPr>
        <w:lastRenderedPageBreak/>
        <w:fldChar w:fldCharType="begin"/>
      </w:r>
      <w:r>
        <w:rPr>
          <w:rFonts w:cs="Arial"/>
          <w:b w:val="0"/>
        </w:rPr>
        <w:instrText xml:space="preserve"> TOC \o "1-2" \t "ACMA_ExecSummaryHeading,1,ACMA Heading 2,3" </w:instrText>
      </w:r>
      <w:r>
        <w:rPr>
          <w:b w:val="0"/>
        </w:rPr>
        <w:fldChar w:fldCharType="separate"/>
      </w:r>
      <w:r w:rsidR="00EE3190">
        <w:t>Introduction</w:t>
      </w:r>
      <w:r w:rsidR="00EE3190">
        <w:tab/>
      </w:r>
      <w:r w:rsidR="00EE3190">
        <w:fldChar w:fldCharType="begin"/>
      </w:r>
      <w:r w:rsidR="00EE3190">
        <w:instrText xml:space="preserve"> PAGEREF _Toc26195064 \h </w:instrText>
      </w:r>
      <w:r w:rsidR="00EE3190">
        <w:fldChar w:fldCharType="separate"/>
      </w:r>
      <w:r w:rsidR="00EE3190">
        <w:t>1</w:t>
      </w:r>
      <w:r w:rsidR="00EE3190">
        <w:fldChar w:fldCharType="end"/>
      </w:r>
    </w:p>
    <w:p w14:paraId="27C42F69" w14:textId="06D33663" w:rsidR="00EE3190" w:rsidRDefault="00EE3190">
      <w:pPr>
        <w:pStyle w:val="TOC2"/>
        <w:rPr>
          <w:rFonts w:asciiTheme="minorHAnsi" w:eastAsiaTheme="minorEastAsia" w:hAnsiTheme="minorHAnsi" w:cstheme="minorBidi"/>
          <w:spacing w:val="0"/>
          <w:sz w:val="22"/>
          <w:szCs w:val="22"/>
        </w:rPr>
      </w:pPr>
      <w:r>
        <w:t>Purpose of the Cost Recovery Implementation Statement</w:t>
      </w:r>
      <w:r>
        <w:tab/>
      </w:r>
      <w:r>
        <w:fldChar w:fldCharType="begin"/>
      </w:r>
      <w:r>
        <w:instrText xml:space="preserve"> PAGEREF _Toc26195065 \h </w:instrText>
      </w:r>
      <w:r>
        <w:fldChar w:fldCharType="separate"/>
      </w:r>
      <w:r>
        <w:t>1</w:t>
      </w:r>
      <w:r>
        <w:fldChar w:fldCharType="end"/>
      </w:r>
    </w:p>
    <w:p w14:paraId="2C5BA833" w14:textId="7D5B7535" w:rsidR="00EE3190" w:rsidRDefault="00EE3190">
      <w:pPr>
        <w:pStyle w:val="TOC2"/>
        <w:rPr>
          <w:rFonts w:asciiTheme="minorHAnsi" w:eastAsiaTheme="minorEastAsia" w:hAnsiTheme="minorHAnsi" w:cstheme="minorBidi"/>
          <w:spacing w:val="0"/>
          <w:sz w:val="22"/>
          <w:szCs w:val="22"/>
        </w:rPr>
      </w:pPr>
      <w:r>
        <w:t>Background and description of activity</w:t>
      </w:r>
      <w:r>
        <w:tab/>
      </w:r>
      <w:r>
        <w:fldChar w:fldCharType="begin"/>
      </w:r>
      <w:r>
        <w:instrText xml:space="preserve"> PAGEREF _Toc26195066 \h </w:instrText>
      </w:r>
      <w:r>
        <w:fldChar w:fldCharType="separate"/>
      </w:r>
      <w:r>
        <w:t>1</w:t>
      </w:r>
      <w:r>
        <w:fldChar w:fldCharType="end"/>
      </w:r>
    </w:p>
    <w:p w14:paraId="53508594" w14:textId="6BB24840" w:rsidR="00EE3190" w:rsidRDefault="00EE3190">
      <w:pPr>
        <w:pStyle w:val="TOC2"/>
        <w:rPr>
          <w:rFonts w:asciiTheme="minorHAnsi" w:eastAsiaTheme="minorEastAsia" w:hAnsiTheme="minorHAnsi" w:cstheme="minorBidi"/>
          <w:spacing w:val="0"/>
          <w:sz w:val="22"/>
          <w:szCs w:val="22"/>
        </w:rPr>
      </w:pPr>
      <w:r>
        <w:t>Stakeholders</w:t>
      </w:r>
      <w:r>
        <w:tab/>
      </w:r>
      <w:r>
        <w:fldChar w:fldCharType="begin"/>
      </w:r>
      <w:r>
        <w:instrText xml:space="preserve"> PAGEREF _Toc26195067 \h </w:instrText>
      </w:r>
      <w:r>
        <w:fldChar w:fldCharType="separate"/>
      </w:r>
      <w:r>
        <w:t>2</w:t>
      </w:r>
      <w:r>
        <w:fldChar w:fldCharType="end"/>
      </w:r>
    </w:p>
    <w:p w14:paraId="5321672D" w14:textId="7868B457" w:rsidR="00EE3190" w:rsidRDefault="00EE3190">
      <w:pPr>
        <w:pStyle w:val="TOC1"/>
        <w:rPr>
          <w:rFonts w:asciiTheme="minorHAnsi" w:eastAsiaTheme="minorEastAsia" w:hAnsiTheme="minorHAnsi" w:cstheme="minorBidi"/>
          <w:b w:val="0"/>
          <w:spacing w:val="0"/>
          <w:sz w:val="22"/>
          <w:szCs w:val="22"/>
        </w:rPr>
      </w:pPr>
      <w:r>
        <w:t>Policy and statutory authority to recover costs</w:t>
      </w:r>
      <w:r>
        <w:tab/>
      </w:r>
      <w:r>
        <w:fldChar w:fldCharType="begin"/>
      </w:r>
      <w:r>
        <w:instrText xml:space="preserve"> PAGEREF _Toc26195068 \h </w:instrText>
      </w:r>
      <w:r>
        <w:fldChar w:fldCharType="separate"/>
      </w:r>
      <w:r>
        <w:t>3</w:t>
      </w:r>
      <w:r>
        <w:fldChar w:fldCharType="end"/>
      </w:r>
    </w:p>
    <w:p w14:paraId="43801ACA" w14:textId="5F0989E5" w:rsidR="00EE3190" w:rsidRDefault="00EE3190">
      <w:pPr>
        <w:pStyle w:val="TOC2"/>
        <w:rPr>
          <w:rFonts w:asciiTheme="minorHAnsi" w:eastAsiaTheme="minorEastAsia" w:hAnsiTheme="minorHAnsi" w:cstheme="minorBidi"/>
          <w:spacing w:val="0"/>
          <w:sz w:val="22"/>
          <w:szCs w:val="22"/>
        </w:rPr>
      </w:pPr>
      <w:r>
        <w:t>Government policy approval to cost recover</w:t>
      </w:r>
      <w:r>
        <w:tab/>
      </w:r>
      <w:r>
        <w:fldChar w:fldCharType="begin"/>
      </w:r>
      <w:r>
        <w:instrText xml:space="preserve"> PAGEREF _Toc26195069 \h </w:instrText>
      </w:r>
      <w:r>
        <w:fldChar w:fldCharType="separate"/>
      </w:r>
      <w:r>
        <w:t>3</w:t>
      </w:r>
      <w:r>
        <w:fldChar w:fldCharType="end"/>
      </w:r>
    </w:p>
    <w:p w14:paraId="24909160" w14:textId="3F6E070A" w:rsidR="00EE3190" w:rsidRDefault="00EE3190">
      <w:pPr>
        <w:pStyle w:val="TOC2"/>
        <w:rPr>
          <w:rFonts w:asciiTheme="minorHAnsi" w:eastAsiaTheme="minorEastAsia" w:hAnsiTheme="minorHAnsi" w:cstheme="minorBidi"/>
          <w:spacing w:val="0"/>
          <w:sz w:val="22"/>
          <w:szCs w:val="22"/>
        </w:rPr>
      </w:pPr>
      <w:r>
        <w:t>Statutory authority to impose cost recovery charges</w:t>
      </w:r>
      <w:r>
        <w:tab/>
      </w:r>
      <w:r>
        <w:fldChar w:fldCharType="begin"/>
      </w:r>
      <w:r>
        <w:instrText xml:space="preserve"> PAGEREF _Toc26195070 \h </w:instrText>
      </w:r>
      <w:r>
        <w:fldChar w:fldCharType="separate"/>
      </w:r>
      <w:r>
        <w:t>3</w:t>
      </w:r>
      <w:r>
        <w:fldChar w:fldCharType="end"/>
      </w:r>
    </w:p>
    <w:p w14:paraId="5925C91E" w14:textId="30CF2346" w:rsidR="00EE3190" w:rsidRDefault="00EE3190">
      <w:pPr>
        <w:pStyle w:val="TOC1"/>
        <w:rPr>
          <w:rFonts w:asciiTheme="minorHAnsi" w:eastAsiaTheme="minorEastAsia" w:hAnsiTheme="minorHAnsi" w:cstheme="minorBidi"/>
          <w:b w:val="0"/>
          <w:spacing w:val="0"/>
          <w:sz w:val="22"/>
          <w:szCs w:val="22"/>
        </w:rPr>
      </w:pPr>
      <w:r>
        <w:t>Cost recovery model</w:t>
      </w:r>
      <w:r>
        <w:tab/>
      </w:r>
      <w:r>
        <w:fldChar w:fldCharType="begin"/>
      </w:r>
      <w:r>
        <w:instrText xml:space="preserve"> PAGEREF _Toc26195071 \h </w:instrText>
      </w:r>
      <w:r>
        <w:fldChar w:fldCharType="separate"/>
      </w:r>
      <w:r>
        <w:t>4</w:t>
      </w:r>
      <w:r>
        <w:fldChar w:fldCharType="end"/>
      </w:r>
    </w:p>
    <w:p w14:paraId="19A17B69" w14:textId="7ADCF475" w:rsidR="00EE3190" w:rsidRDefault="00EE3190">
      <w:pPr>
        <w:pStyle w:val="TOC2"/>
        <w:rPr>
          <w:rFonts w:asciiTheme="minorHAnsi" w:eastAsiaTheme="minorEastAsia" w:hAnsiTheme="minorHAnsi" w:cstheme="minorBidi"/>
          <w:spacing w:val="0"/>
          <w:sz w:val="22"/>
          <w:szCs w:val="22"/>
        </w:rPr>
      </w:pPr>
      <w:r>
        <w:t>Methodology</w:t>
      </w:r>
      <w:r>
        <w:tab/>
      </w:r>
      <w:r>
        <w:fldChar w:fldCharType="begin"/>
      </w:r>
      <w:r>
        <w:instrText xml:space="preserve"> PAGEREF _Toc26195072 \h </w:instrText>
      </w:r>
      <w:r>
        <w:fldChar w:fldCharType="separate"/>
      </w:r>
      <w:r>
        <w:t>4</w:t>
      </w:r>
      <w:r>
        <w:fldChar w:fldCharType="end"/>
      </w:r>
    </w:p>
    <w:p w14:paraId="63083A1E" w14:textId="7E9CAEE8" w:rsidR="00EE3190" w:rsidRDefault="00EE3190">
      <w:pPr>
        <w:pStyle w:val="TOC2"/>
        <w:rPr>
          <w:rFonts w:asciiTheme="minorHAnsi" w:eastAsiaTheme="minorEastAsia" w:hAnsiTheme="minorHAnsi" w:cstheme="minorBidi"/>
          <w:spacing w:val="0"/>
          <w:sz w:val="22"/>
          <w:szCs w:val="22"/>
        </w:rPr>
      </w:pPr>
      <w:r>
        <w:t>Outputs and business processes of the activity</w:t>
      </w:r>
      <w:r>
        <w:tab/>
      </w:r>
      <w:r>
        <w:fldChar w:fldCharType="begin"/>
      </w:r>
      <w:r>
        <w:instrText xml:space="preserve"> PAGEREF _Toc26195073 \h </w:instrText>
      </w:r>
      <w:r>
        <w:fldChar w:fldCharType="separate"/>
      </w:r>
      <w:r>
        <w:t>5</w:t>
      </w:r>
      <w:r>
        <w:fldChar w:fldCharType="end"/>
      </w:r>
    </w:p>
    <w:p w14:paraId="4DAA7BF8" w14:textId="4410C262" w:rsidR="00EE3190" w:rsidRDefault="00EE3190">
      <w:pPr>
        <w:pStyle w:val="TOC2"/>
        <w:rPr>
          <w:rFonts w:asciiTheme="minorHAnsi" w:eastAsiaTheme="minorEastAsia" w:hAnsiTheme="minorHAnsi" w:cstheme="minorBidi"/>
          <w:spacing w:val="0"/>
          <w:sz w:val="22"/>
          <w:szCs w:val="22"/>
        </w:rPr>
      </w:pPr>
      <w:r>
        <w:t>Costs of the activity</w:t>
      </w:r>
      <w:r>
        <w:tab/>
      </w:r>
      <w:r>
        <w:fldChar w:fldCharType="begin"/>
      </w:r>
      <w:r>
        <w:instrText xml:space="preserve"> PAGEREF _Toc26195074 \h </w:instrText>
      </w:r>
      <w:r>
        <w:fldChar w:fldCharType="separate"/>
      </w:r>
      <w:r>
        <w:t>6</w:t>
      </w:r>
      <w:r>
        <w:fldChar w:fldCharType="end"/>
      </w:r>
    </w:p>
    <w:p w14:paraId="2062C897" w14:textId="26E92FF8" w:rsidR="00EE3190" w:rsidRDefault="00EE3190">
      <w:pPr>
        <w:pStyle w:val="TOC1"/>
        <w:rPr>
          <w:rFonts w:asciiTheme="minorHAnsi" w:eastAsiaTheme="minorEastAsia" w:hAnsiTheme="minorHAnsi" w:cstheme="minorBidi"/>
          <w:b w:val="0"/>
          <w:spacing w:val="0"/>
          <w:sz w:val="22"/>
          <w:szCs w:val="22"/>
        </w:rPr>
      </w:pPr>
      <w:r>
        <w:t>Risk assessment</w:t>
      </w:r>
      <w:r>
        <w:tab/>
      </w:r>
      <w:r>
        <w:fldChar w:fldCharType="begin"/>
      </w:r>
      <w:r>
        <w:instrText xml:space="preserve"> PAGEREF _Toc26195075 \h </w:instrText>
      </w:r>
      <w:r>
        <w:fldChar w:fldCharType="separate"/>
      </w:r>
      <w:r>
        <w:t>8</w:t>
      </w:r>
      <w:r>
        <w:fldChar w:fldCharType="end"/>
      </w:r>
    </w:p>
    <w:p w14:paraId="08B60720" w14:textId="54BE3856" w:rsidR="00EE3190" w:rsidRDefault="00EE3190">
      <w:pPr>
        <w:pStyle w:val="TOC1"/>
        <w:rPr>
          <w:rFonts w:asciiTheme="minorHAnsi" w:eastAsiaTheme="minorEastAsia" w:hAnsiTheme="minorHAnsi" w:cstheme="minorBidi"/>
          <w:b w:val="0"/>
          <w:spacing w:val="0"/>
          <w:sz w:val="22"/>
          <w:szCs w:val="22"/>
        </w:rPr>
      </w:pPr>
      <w:r>
        <w:t>Stakeholder engagement</w:t>
      </w:r>
      <w:r>
        <w:tab/>
      </w:r>
      <w:r>
        <w:fldChar w:fldCharType="begin"/>
      </w:r>
      <w:r>
        <w:instrText xml:space="preserve"> PAGEREF _Toc26195076 \h </w:instrText>
      </w:r>
      <w:r>
        <w:fldChar w:fldCharType="separate"/>
      </w:r>
      <w:r>
        <w:t>9</w:t>
      </w:r>
      <w:r>
        <w:fldChar w:fldCharType="end"/>
      </w:r>
    </w:p>
    <w:p w14:paraId="4A3C07ED" w14:textId="36047875" w:rsidR="00EE3190" w:rsidRDefault="00EE3190">
      <w:pPr>
        <w:pStyle w:val="TOC1"/>
        <w:rPr>
          <w:rFonts w:asciiTheme="minorHAnsi" w:eastAsiaTheme="minorEastAsia" w:hAnsiTheme="minorHAnsi" w:cstheme="minorBidi"/>
          <w:b w:val="0"/>
          <w:spacing w:val="0"/>
          <w:sz w:val="22"/>
          <w:szCs w:val="22"/>
        </w:rPr>
      </w:pPr>
      <w:r>
        <w:t>Financial estimates</w:t>
      </w:r>
      <w:r>
        <w:tab/>
      </w:r>
      <w:r>
        <w:fldChar w:fldCharType="begin"/>
      </w:r>
      <w:r>
        <w:instrText xml:space="preserve"> PAGEREF _Toc26195077 \h </w:instrText>
      </w:r>
      <w:r>
        <w:fldChar w:fldCharType="separate"/>
      </w:r>
      <w:r>
        <w:t>10</w:t>
      </w:r>
      <w:r>
        <w:fldChar w:fldCharType="end"/>
      </w:r>
    </w:p>
    <w:p w14:paraId="7C08FCDD" w14:textId="4C664862" w:rsidR="00EE3190" w:rsidRDefault="00EE3190">
      <w:pPr>
        <w:pStyle w:val="TOC1"/>
        <w:rPr>
          <w:rFonts w:asciiTheme="minorHAnsi" w:eastAsiaTheme="minorEastAsia" w:hAnsiTheme="minorHAnsi" w:cstheme="minorBidi"/>
          <w:b w:val="0"/>
          <w:spacing w:val="0"/>
          <w:sz w:val="22"/>
          <w:szCs w:val="22"/>
        </w:rPr>
      </w:pPr>
      <w:r>
        <w:t>Financial performance</w:t>
      </w:r>
      <w:r>
        <w:tab/>
      </w:r>
      <w:r>
        <w:fldChar w:fldCharType="begin"/>
      </w:r>
      <w:r>
        <w:instrText xml:space="preserve"> PAGEREF _Toc26195078 \h </w:instrText>
      </w:r>
      <w:r>
        <w:fldChar w:fldCharType="separate"/>
      </w:r>
      <w:r>
        <w:t>13</w:t>
      </w:r>
      <w:r>
        <w:fldChar w:fldCharType="end"/>
      </w:r>
    </w:p>
    <w:p w14:paraId="7FD9AE75" w14:textId="3E91C4A7" w:rsidR="00EE3190" w:rsidRDefault="00EE3190">
      <w:pPr>
        <w:pStyle w:val="TOC1"/>
        <w:rPr>
          <w:rFonts w:asciiTheme="minorHAnsi" w:eastAsiaTheme="minorEastAsia" w:hAnsiTheme="minorHAnsi" w:cstheme="minorBidi"/>
          <w:b w:val="0"/>
          <w:spacing w:val="0"/>
          <w:sz w:val="22"/>
          <w:szCs w:val="22"/>
        </w:rPr>
      </w:pPr>
      <w:r>
        <w:t>Non-financial performance</w:t>
      </w:r>
      <w:r>
        <w:tab/>
      </w:r>
      <w:r>
        <w:fldChar w:fldCharType="begin"/>
      </w:r>
      <w:r>
        <w:instrText xml:space="preserve"> PAGEREF _Toc26195079 \h </w:instrText>
      </w:r>
      <w:r>
        <w:fldChar w:fldCharType="separate"/>
      </w:r>
      <w:r>
        <w:t>15</w:t>
      </w:r>
      <w:r>
        <w:fldChar w:fldCharType="end"/>
      </w:r>
    </w:p>
    <w:p w14:paraId="5D06A83A" w14:textId="24C3714A" w:rsidR="00EE3190" w:rsidRDefault="00EE3190">
      <w:pPr>
        <w:pStyle w:val="TOC1"/>
        <w:rPr>
          <w:rFonts w:asciiTheme="minorHAnsi" w:eastAsiaTheme="minorEastAsia" w:hAnsiTheme="minorHAnsi" w:cstheme="minorBidi"/>
          <w:b w:val="0"/>
          <w:spacing w:val="0"/>
          <w:sz w:val="22"/>
          <w:szCs w:val="22"/>
        </w:rPr>
      </w:pPr>
      <w:r>
        <w:t>CRIS approval and change register</w:t>
      </w:r>
      <w:r>
        <w:tab/>
      </w:r>
      <w:r>
        <w:fldChar w:fldCharType="begin"/>
      </w:r>
      <w:r>
        <w:instrText xml:space="preserve"> PAGEREF _Toc26195080 \h </w:instrText>
      </w:r>
      <w:r>
        <w:fldChar w:fldCharType="separate"/>
      </w:r>
      <w:r>
        <w:t>16</w:t>
      </w:r>
      <w:r>
        <w:fldChar w:fldCharType="end"/>
      </w:r>
    </w:p>
    <w:p w14:paraId="0F9D3C5E" w14:textId="293577FE" w:rsidR="000A4A51" w:rsidRPr="00B451A9" w:rsidRDefault="003B613A" w:rsidP="00524BB2">
      <w:pPr>
        <w:rPr>
          <w:rFonts w:cs="Arial"/>
        </w:rPr>
      </w:pPr>
      <w:r>
        <w:rPr>
          <w:rFonts w:cs="Arial"/>
          <w:noProof/>
          <w:spacing w:val="-14"/>
          <w:sz w:val="28"/>
        </w:rPr>
        <w:fldChar w:fldCharType="end"/>
      </w:r>
    </w:p>
    <w:p w14:paraId="1E21A343" w14:textId="77777777" w:rsidR="004D56FF" w:rsidRPr="00B451A9" w:rsidRDefault="004D56FF" w:rsidP="00524BB2">
      <w:pPr>
        <w:rPr>
          <w:rFonts w:cs="Arial"/>
        </w:rPr>
        <w:sectPr w:rsidR="004D56FF" w:rsidRPr="00B451A9" w:rsidSect="00453634">
          <w:headerReference w:type="even" r:id="rId24"/>
          <w:headerReference w:type="default" r:id="rId25"/>
          <w:footerReference w:type="even" r:id="rId26"/>
          <w:footerReference w:type="default" r:id="rId27"/>
          <w:footerReference w:type="first" r:id="rId28"/>
          <w:pgSz w:w="11906" w:h="16838" w:code="9"/>
          <w:pgMar w:top="3646" w:right="2125" w:bottom="1134" w:left="1418" w:header="709" w:footer="119" w:gutter="0"/>
          <w:cols w:space="708"/>
          <w:titlePg/>
          <w:docGrid w:linePitch="360"/>
        </w:sectPr>
      </w:pPr>
    </w:p>
    <w:p w14:paraId="0B811543" w14:textId="5B8108B6" w:rsidR="00510E9F" w:rsidRPr="00B451A9" w:rsidRDefault="00510E9F" w:rsidP="00A954D2">
      <w:pPr>
        <w:pStyle w:val="Heading1"/>
      </w:pPr>
      <w:bookmarkStart w:id="0" w:name="_Toc385256311"/>
      <w:bookmarkStart w:id="1" w:name="_Toc482346584"/>
      <w:bookmarkStart w:id="2" w:name="_Toc16097268"/>
      <w:bookmarkStart w:id="3" w:name="_Toc518999092"/>
      <w:bookmarkStart w:id="4" w:name="_Toc26195064"/>
      <w:r w:rsidRPr="00B451A9">
        <w:lastRenderedPageBreak/>
        <w:t>Introduction</w:t>
      </w:r>
      <w:bookmarkEnd w:id="0"/>
      <w:bookmarkEnd w:id="1"/>
      <w:bookmarkEnd w:id="2"/>
      <w:bookmarkEnd w:id="3"/>
      <w:bookmarkEnd w:id="4"/>
    </w:p>
    <w:p w14:paraId="72196F99" w14:textId="77777777" w:rsidR="00510E9F" w:rsidRPr="00B451A9" w:rsidRDefault="00510E9F" w:rsidP="00A954D2">
      <w:pPr>
        <w:pStyle w:val="Heading2"/>
        <w:spacing w:before="120" w:after="120"/>
      </w:pPr>
      <w:bookmarkStart w:id="5" w:name="_Toc355953982"/>
      <w:bookmarkStart w:id="6" w:name="_Toc385256312"/>
      <w:bookmarkStart w:id="7" w:name="_Toc482346585"/>
      <w:bookmarkStart w:id="8" w:name="_Toc16097269"/>
      <w:bookmarkStart w:id="9" w:name="_Toc518999093"/>
      <w:bookmarkStart w:id="10" w:name="_Toc26195065"/>
      <w:bookmarkStart w:id="11" w:name="purpose"/>
      <w:r w:rsidRPr="00B451A9">
        <w:t>Purpose</w:t>
      </w:r>
      <w:bookmarkEnd w:id="5"/>
      <w:bookmarkEnd w:id="6"/>
      <w:r w:rsidRPr="00B451A9">
        <w:t xml:space="preserve"> of the Cost Recovery Implementation Statement</w:t>
      </w:r>
      <w:bookmarkEnd w:id="7"/>
      <w:bookmarkEnd w:id="8"/>
      <w:bookmarkEnd w:id="9"/>
      <w:bookmarkEnd w:id="10"/>
    </w:p>
    <w:bookmarkEnd w:id="11"/>
    <w:p w14:paraId="0D935B12" w14:textId="00406AD0" w:rsidR="00524BB2" w:rsidRPr="00B451A9" w:rsidRDefault="0026192E" w:rsidP="00524BB2">
      <w:pPr>
        <w:rPr>
          <w:rFonts w:cs="Arial"/>
        </w:rPr>
      </w:pPr>
      <w:r>
        <w:t>T</w:t>
      </w:r>
      <w:r w:rsidR="000B7B08">
        <w:t xml:space="preserve">his </w:t>
      </w:r>
      <w:r w:rsidR="00510E9F" w:rsidRPr="00B451A9">
        <w:t xml:space="preserve">Cost Recovery Implementation Statement (CRIS) </w:t>
      </w:r>
      <w:r w:rsidR="000B7B08">
        <w:t>provide</w:t>
      </w:r>
      <w:r>
        <w:t>s</w:t>
      </w:r>
      <w:r w:rsidR="000B7B08">
        <w:t xml:space="preserve"> </w:t>
      </w:r>
      <w:r w:rsidR="008066E7" w:rsidRPr="00B451A9">
        <w:t xml:space="preserve">annual </w:t>
      </w:r>
      <w:r w:rsidR="00510E9F" w:rsidRPr="00B451A9">
        <w:t xml:space="preserve">information on how the Australian Communications and Media Authority (ACMA) implements cost recovery for the operation of the Do Not Call </w:t>
      </w:r>
      <w:r w:rsidR="00524BB2">
        <w:t>Register</w:t>
      </w:r>
      <w:r w:rsidR="00510E9F" w:rsidRPr="00B451A9">
        <w:t xml:space="preserve"> (the </w:t>
      </w:r>
      <w:r w:rsidR="00FA7E99">
        <w:t>r</w:t>
      </w:r>
      <w:r w:rsidR="00524BB2">
        <w:t>egister</w:t>
      </w:r>
      <w:r w:rsidR="00510E9F" w:rsidRPr="00B451A9">
        <w:t>)</w:t>
      </w:r>
      <w:r w:rsidR="00524BB2">
        <w:t xml:space="preserve"> and set</w:t>
      </w:r>
      <w:r w:rsidR="00427CCE">
        <w:t>s</w:t>
      </w:r>
      <w:r w:rsidR="00524BB2">
        <w:t xml:space="preserve"> out subscription fees </w:t>
      </w:r>
      <w:r w:rsidR="0011388B">
        <w:t>effective as of 1 July 2019</w:t>
      </w:r>
      <w:r w:rsidR="00510E9F" w:rsidRPr="00B451A9">
        <w:rPr>
          <w:rFonts w:cs="Arial"/>
        </w:rPr>
        <w:t xml:space="preserve">. </w:t>
      </w:r>
    </w:p>
    <w:p w14:paraId="00C433A7" w14:textId="3953C6EA" w:rsidR="000B7B08" w:rsidRDefault="000B7B08" w:rsidP="00524BB2">
      <w:pPr>
        <w:rPr>
          <w:snapToGrid w:val="0"/>
        </w:rPr>
      </w:pPr>
      <w:r>
        <w:rPr>
          <w:snapToGrid w:val="0"/>
        </w:rPr>
        <w:t>The CRIS also provides</w:t>
      </w:r>
      <w:r w:rsidRPr="00B451A9">
        <w:rPr>
          <w:snapToGrid w:val="0"/>
        </w:rPr>
        <w:t xml:space="preserve"> </w:t>
      </w:r>
      <w:r w:rsidR="00FA7E99">
        <w:rPr>
          <w:snapToGrid w:val="0"/>
        </w:rPr>
        <w:t>monetary</w:t>
      </w:r>
      <w:r w:rsidR="00FA7E99" w:rsidRPr="00B451A9">
        <w:rPr>
          <w:snapToGrid w:val="0"/>
        </w:rPr>
        <w:t xml:space="preserve"> </w:t>
      </w:r>
      <w:r w:rsidR="00D47EF0">
        <w:rPr>
          <w:snapToGrid w:val="0"/>
        </w:rPr>
        <w:t>forecasts for the financial years 2019</w:t>
      </w:r>
      <w:r w:rsidR="00FA7E99">
        <w:rPr>
          <w:snapToGrid w:val="0"/>
        </w:rPr>
        <w:t>–</w:t>
      </w:r>
      <w:r w:rsidR="00D47EF0">
        <w:rPr>
          <w:snapToGrid w:val="0"/>
        </w:rPr>
        <w:t>20 to 2021</w:t>
      </w:r>
      <w:r w:rsidR="00FA7E99">
        <w:rPr>
          <w:snapToGrid w:val="0"/>
        </w:rPr>
        <w:t>–</w:t>
      </w:r>
      <w:r w:rsidR="00D47EF0">
        <w:rPr>
          <w:snapToGrid w:val="0"/>
        </w:rPr>
        <w:t>22.</w:t>
      </w:r>
      <w:r>
        <w:rPr>
          <w:snapToGrid w:val="0"/>
        </w:rPr>
        <w:t xml:space="preserve"> </w:t>
      </w:r>
      <w:r w:rsidRPr="000B7B08">
        <w:rPr>
          <w:snapToGrid w:val="0"/>
        </w:rPr>
        <w:t>Unless otherwise stated, all figures used are GST</w:t>
      </w:r>
      <w:r w:rsidR="00756B78">
        <w:rPr>
          <w:snapToGrid w:val="0"/>
        </w:rPr>
        <w:t xml:space="preserve"> </w:t>
      </w:r>
      <w:r w:rsidRPr="000B7B08">
        <w:rPr>
          <w:snapToGrid w:val="0"/>
        </w:rPr>
        <w:t>exclusive</w:t>
      </w:r>
      <w:r>
        <w:rPr>
          <w:snapToGrid w:val="0"/>
        </w:rPr>
        <w:t xml:space="preserve">. </w:t>
      </w:r>
    </w:p>
    <w:p w14:paraId="21105242" w14:textId="00D0580C" w:rsidR="0001391B" w:rsidRPr="00B62E6B" w:rsidRDefault="0001391B" w:rsidP="00524BB2">
      <w:pPr>
        <w:rPr>
          <w:b/>
          <w:bCs/>
          <w:snapToGrid w:val="0"/>
        </w:rPr>
      </w:pPr>
      <w:r w:rsidRPr="00B62E6B">
        <w:rPr>
          <w:b/>
          <w:bCs/>
          <w:snapToGrid w:val="0"/>
        </w:rPr>
        <w:t>No change is being proposed to subscription fees</w:t>
      </w:r>
      <w:r w:rsidR="008E669D" w:rsidRPr="00B62E6B">
        <w:rPr>
          <w:b/>
          <w:bCs/>
          <w:snapToGrid w:val="0"/>
        </w:rPr>
        <w:t xml:space="preserve"> or the methodology used</w:t>
      </w:r>
      <w:r w:rsidRPr="00B62E6B">
        <w:rPr>
          <w:b/>
          <w:bCs/>
          <w:snapToGrid w:val="0"/>
        </w:rPr>
        <w:t xml:space="preserve"> in this CRIS. </w:t>
      </w:r>
    </w:p>
    <w:p w14:paraId="37CE4AD8" w14:textId="77777777" w:rsidR="00510E9F" w:rsidRPr="00B451A9" w:rsidRDefault="00510E9F" w:rsidP="00A954D2">
      <w:pPr>
        <w:pStyle w:val="Heading2"/>
        <w:spacing w:before="120" w:after="120"/>
      </w:pPr>
      <w:bookmarkStart w:id="12" w:name="_Toc16075228"/>
      <w:bookmarkStart w:id="13" w:name="_Toc16097216"/>
      <w:bookmarkStart w:id="14" w:name="_Toc16097243"/>
      <w:bookmarkStart w:id="15" w:name="_Toc16097270"/>
      <w:bookmarkStart w:id="16" w:name="_Toc16097379"/>
      <w:bookmarkStart w:id="17" w:name="_Toc355953983"/>
      <w:bookmarkStart w:id="18" w:name="_Toc385256313"/>
      <w:bookmarkStart w:id="19" w:name="_Toc482346586"/>
      <w:bookmarkStart w:id="20" w:name="_Toc16097271"/>
      <w:bookmarkStart w:id="21" w:name="_Toc518999094"/>
      <w:bookmarkStart w:id="22" w:name="_Toc26195066"/>
      <w:bookmarkStart w:id="23" w:name="background"/>
      <w:bookmarkEnd w:id="12"/>
      <w:bookmarkEnd w:id="13"/>
      <w:bookmarkEnd w:id="14"/>
      <w:bookmarkEnd w:id="15"/>
      <w:bookmarkEnd w:id="16"/>
      <w:r w:rsidRPr="00B451A9">
        <w:t>Background</w:t>
      </w:r>
      <w:bookmarkEnd w:id="17"/>
      <w:r w:rsidRPr="00B451A9">
        <w:t xml:space="preserve"> and description of activity</w:t>
      </w:r>
      <w:bookmarkEnd w:id="18"/>
      <w:bookmarkEnd w:id="19"/>
      <w:bookmarkEnd w:id="20"/>
      <w:bookmarkEnd w:id="21"/>
      <w:bookmarkEnd w:id="22"/>
    </w:p>
    <w:bookmarkEnd w:id="23"/>
    <w:p w14:paraId="001A14EB" w14:textId="08D04320" w:rsidR="00510E9F" w:rsidRPr="00B451A9" w:rsidRDefault="00F70492" w:rsidP="00524BB2">
      <w:pPr>
        <w:rPr>
          <w:snapToGrid w:val="0"/>
        </w:rPr>
      </w:pPr>
      <w:r w:rsidRPr="00B451A9">
        <w:rPr>
          <w:rFonts w:cs="Arial"/>
        </w:rPr>
        <w:t>ACMA is Australia's regulator for broadcasting, radiocommunications</w:t>
      </w:r>
      <w:r w:rsidR="008066E7" w:rsidRPr="00B451A9">
        <w:rPr>
          <w:rFonts w:cs="Arial"/>
        </w:rPr>
        <w:t>,</w:t>
      </w:r>
      <w:r w:rsidR="00524BB2">
        <w:rPr>
          <w:rFonts w:cs="Arial"/>
        </w:rPr>
        <w:t xml:space="preserve"> </w:t>
      </w:r>
      <w:r w:rsidRPr="00B451A9">
        <w:rPr>
          <w:rFonts w:cs="Arial"/>
        </w:rPr>
        <w:t>telecommunications</w:t>
      </w:r>
      <w:r w:rsidR="008066E7" w:rsidRPr="00B451A9">
        <w:rPr>
          <w:rFonts w:cs="Arial"/>
        </w:rPr>
        <w:t xml:space="preserve"> and unsolicited communications, among other functions</w:t>
      </w:r>
      <w:r w:rsidRPr="00B451A9">
        <w:rPr>
          <w:rFonts w:cs="Arial"/>
        </w:rPr>
        <w:t xml:space="preserve">. </w:t>
      </w:r>
      <w:r w:rsidR="00510E9F" w:rsidRPr="00B451A9">
        <w:rPr>
          <w:snapToGrid w:val="0"/>
        </w:rPr>
        <w:t xml:space="preserve">Under the </w:t>
      </w:r>
      <w:r w:rsidR="00510E9F" w:rsidRPr="00B451A9">
        <w:rPr>
          <w:i/>
          <w:snapToGrid w:val="0"/>
        </w:rPr>
        <w:t xml:space="preserve">Do Not Call </w:t>
      </w:r>
      <w:r w:rsidR="00524BB2">
        <w:rPr>
          <w:i/>
          <w:snapToGrid w:val="0"/>
        </w:rPr>
        <w:t>Register</w:t>
      </w:r>
      <w:r w:rsidR="00510E9F" w:rsidRPr="00B451A9">
        <w:rPr>
          <w:i/>
          <w:snapToGrid w:val="0"/>
        </w:rPr>
        <w:t xml:space="preserve"> Act 2006</w:t>
      </w:r>
      <w:r w:rsidR="00510E9F" w:rsidRPr="00B451A9">
        <w:rPr>
          <w:snapToGrid w:val="0"/>
        </w:rPr>
        <w:t xml:space="preserve"> (the Act), ACMA is responsible for establishing and overseeing the operation of the </w:t>
      </w:r>
      <w:r w:rsidR="00152461">
        <w:rPr>
          <w:snapToGrid w:val="0"/>
        </w:rPr>
        <w:t>DNCR</w:t>
      </w:r>
      <w:r w:rsidR="00510E9F" w:rsidRPr="00B451A9">
        <w:rPr>
          <w:snapToGrid w:val="0"/>
        </w:rPr>
        <w:t xml:space="preserve">, which includes </w:t>
      </w:r>
      <w:r w:rsidR="00524BB2">
        <w:rPr>
          <w:snapToGrid w:val="0"/>
        </w:rPr>
        <w:t>administering cost</w:t>
      </w:r>
      <w:r w:rsidR="00152461">
        <w:rPr>
          <w:snapToGrid w:val="0"/>
        </w:rPr>
        <w:t>-</w:t>
      </w:r>
      <w:r w:rsidR="00524BB2">
        <w:rPr>
          <w:snapToGrid w:val="0"/>
        </w:rPr>
        <w:t xml:space="preserve">recovery arrangements and </w:t>
      </w:r>
      <w:r w:rsidR="00510E9F" w:rsidRPr="00B451A9">
        <w:rPr>
          <w:snapToGrid w:val="0"/>
        </w:rPr>
        <w:t xml:space="preserve">determining the subscription fees for accessing the </w:t>
      </w:r>
      <w:r w:rsidR="00152461">
        <w:rPr>
          <w:snapToGrid w:val="0"/>
        </w:rPr>
        <w:t>r</w:t>
      </w:r>
      <w:r w:rsidR="00524BB2">
        <w:rPr>
          <w:snapToGrid w:val="0"/>
        </w:rPr>
        <w:t>egister</w:t>
      </w:r>
      <w:r w:rsidR="00510E9F" w:rsidRPr="00B451A9">
        <w:rPr>
          <w:snapToGrid w:val="0"/>
        </w:rPr>
        <w:t>.</w:t>
      </w:r>
    </w:p>
    <w:p w14:paraId="03A123B0" w14:textId="38ABE35D" w:rsidR="00510E9F" w:rsidRPr="00BF0949" w:rsidRDefault="00510E9F" w:rsidP="00524BB2">
      <w:pPr>
        <w:spacing w:after="80"/>
        <w:rPr>
          <w:snapToGrid w:val="0"/>
        </w:rPr>
      </w:pPr>
      <w:proofErr w:type="gramStart"/>
      <w:r w:rsidRPr="00B451A9">
        <w:rPr>
          <w:snapToGrid w:val="0"/>
        </w:rPr>
        <w:t>In order to</w:t>
      </w:r>
      <w:proofErr w:type="gramEnd"/>
      <w:r w:rsidRPr="00B451A9">
        <w:rPr>
          <w:snapToGrid w:val="0"/>
        </w:rPr>
        <w:t xml:space="preserve"> opt-out of receiving certain unsolicited telemarketing calls and marketing faxes, Australian numbers can be placed on the </w:t>
      </w:r>
      <w:r w:rsidR="00152461">
        <w:rPr>
          <w:snapToGrid w:val="0"/>
        </w:rPr>
        <w:t>r</w:t>
      </w:r>
      <w:r w:rsidR="00524BB2">
        <w:rPr>
          <w:snapToGrid w:val="0"/>
        </w:rPr>
        <w:t>egister</w:t>
      </w:r>
      <w:r w:rsidRPr="00B451A9">
        <w:rPr>
          <w:snapToGrid w:val="0"/>
        </w:rPr>
        <w:t xml:space="preserve"> if they </w:t>
      </w:r>
      <w:r w:rsidRPr="00BF0949">
        <w:rPr>
          <w:snapToGrid w:val="0"/>
        </w:rPr>
        <w:t>are:</w:t>
      </w:r>
    </w:p>
    <w:p w14:paraId="57E2BFC6" w14:textId="353E3E3A" w:rsidR="00510E9F" w:rsidRPr="00BF0949" w:rsidRDefault="00510E9F" w:rsidP="00453634">
      <w:pPr>
        <w:pStyle w:val="ListBullet"/>
        <w:ind w:left="0" w:firstLine="0"/>
      </w:pPr>
      <w:r w:rsidRPr="00BF0949">
        <w:t>used primarily for private or domestic purposes</w:t>
      </w:r>
    </w:p>
    <w:p w14:paraId="30E3F6EB" w14:textId="2FE60FF0" w:rsidR="00510E9F" w:rsidRPr="00BF0949" w:rsidRDefault="00510E9F" w:rsidP="00453634">
      <w:pPr>
        <w:pStyle w:val="ListBullet"/>
        <w:ind w:left="0" w:firstLine="0"/>
      </w:pPr>
      <w:r w:rsidRPr="00BF0949">
        <w:t>used or maintained exclusively for transmitting and/or receiving faxes</w:t>
      </w:r>
    </w:p>
    <w:p w14:paraId="34845CDB" w14:textId="27FE2E00" w:rsidR="00510E9F" w:rsidRPr="00BF0949" w:rsidRDefault="00510E9F" w:rsidP="00453634">
      <w:pPr>
        <w:pStyle w:val="ListBullet"/>
        <w:ind w:left="0" w:firstLine="0"/>
      </w:pPr>
      <w:r w:rsidRPr="00BF0949">
        <w:t>used or maintained exclusively for use by a government body</w:t>
      </w:r>
    </w:p>
    <w:p w14:paraId="54EAFBF9" w14:textId="77777777" w:rsidR="00510E9F" w:rsidRPr="00B451A9" w:rsidRDefault="00510E9F" w:rsidP="00453634">
      <w:pPr>
        <w:pStyle w:val="ListBulletLast"/>
        <w:ind w:left="0" w:firstLine="0"/>
      </w:pPr>
      <w:r w:rsidRPr="00B451A9">
        <w:t>an emergency service number.</w:t>
      </w:r>
    </w:p>
    <w:p w14:paraId="55D1650F" w14:textId="16134F3E" w:rsidR="00510E9F" w:rsidRPr="00B451A9" w:rsidRDefault="0026192E" w:rsidP="00524BB2">
      <w:pPr>
        <w:rPr>
          <w:snapToGrid w:val="0"/>
        </w:rPr>
      </w:pPr>
      <w:r>
        <w:rPr>
          <w:snapToGrid w:val="0"/>
        </w:rPr>
        <w:t>Since</w:t>
      </w:r>
      <w:r w:rsidRPr="00B451A9">
        <w:rPr>
          <w:snapToGrid w:val="0"/>
        </w:rPr>
        <w:t xml:space="preserve"> </w:t>
      </w:r>
      <w:r w:rsidR="00510E9F" w:rsidRPr="00B451A9">
        <w:rPr>
          <w:snapToGrid w:val="0"/>
        </w:rPr>
        <w:t>31 May 2007, non-exempt telemarket</w:t>
      </w:r>
      <w:r w:rsidR="008066E7" w:rsidRPr="00B451A9">
        <w:rPr>
          <w:snapToGrid w:val="0"/>
        </w:rPr>
        <w:t>ing was prohibited from</w:t>
      </w:r>
      <w:r w:rsidR="00510E9F" w:rsidRPr="00B451A9">
        <w:rPr>
          <w:snapToGrid w:val="0"/>
        </w:rPr>
        <w:t xml:space="preserve"> </w:t>
      </w:r>
      <w:r w:rsidR="008066E7" w:rsidRPr="00B451A9">
        <w:rPr>
          <w:snapToGrid w:val="0"/>
        </w:rPr>
        <w:t xml:space="preserve">being </w:t>
      </w:r>
      <w:r w:rsidR="00510E9F" w:rsidRPr="00B451A9">
        <w:rPr>
          <w:snapToGrid w:val="0"/>
        </w:rPr>
        <w:t>ma</w:t>
      </w:r>
      <w:r w:rsidR="008066E7" w:rsidRPr="00B451A9">
        <w:rPr>
          <w:snapToGrid w:val="0"/>
        </w:rPr>
        <w:t>de</w:t>
      </w:r>
      <w:r w:rsidR="00510E9F" w:rsidRPr="00B451A9">
        <w:rPr>
          <w:snapToGrid w:val="0"/>
        </w:rPr>
        <w:t xml:space="preserve"> </w:t>
      </w:r>
      <w:r w:rsidR="008066E7" w:rsidRPr="00B451A9">
        <w:rPr>
          <w:snapToGrid w:val="0"/>
        </w:rPr>
        <w:t xml:space="preserve">to </w:t>
      </w:r>
      <w:r w:rsidR="00510E9F" w:rsidRPr="00B451A9">
        <w:rPr>
          <w:snapToGrid w:val="0"/>
        </w:rPr>
        <w:t xml:space="preserve">any number listed on the </w:t>
      </w:r>
      <w:r w:rsidR="00152461">
        <w:rPr>
          <w:snapToGrid w:val="0"/>
        </w:rPr>
        <w:t>r</w:t>
      </w:r>
      <w:r w:rsidR="00524BB2">
        <w:rPr>
          <w:snapToGrid w:val="0"/>
        </w:rPr>
        <w:t>egister</w:t>
      </w:r>
      <w:r w:rsidR="00510E9F" w:rsidRPr="00B451A9">
        <w:rPr>
          <w:snapToGrid w:val="0"/>
        </w:rPr>
        <w:t xml:space="preserve">. On 30 May 2010, the Act was amended to allow fax, emergency service and government numbers to be listed. To avoid calling numbers listed on the </w:t>
      </w:r>
      <w:r w:rsidR="00152461">
        <w:rPr>
          <w:snapToGrid w:val="0"/>
        </w:rPr>
        <w:t>r</w:t>
      </w:r>
      <w:r w:rsidR="00524BB2">
        <w:rPr>
          <w:snapToGrid w:val="0"/>
        </w:rPr>
        <w:t>egister</w:t>
      </w:r>
      <w:r w:rsidR="00510E9F" w:rsidRPr="00B451A9">
        <w:rPr>
          <w:snapToGrid w:val="0"/>
        </w:rPr>
        <w:t xml:space="preserve">, telemarketers and fax marketers </w:t>
      </w:r>
      <w:r w:rsidR="00B51080" w:rsidRPr="00B451A9">
        <w:rPr>
          <w:snapToGrid w:val="0"/>
        </w:rPr>
        <w:t>can</w:t>
      </w:r>
      <w:r w:rsidR="00510E9F" w:rsidRPr="00B451A9">
        <w:rPr>
          <w:snapToGrid w:val="0"/>
        </w:rPr>
        <w:t xml:space="preserve"> check, or ‘wash’</w:t>
      </w:r>
      <w:r w:rsidR="00152461">
        <w:rPr>
          <w:snapToGrid w:val="0"/>
        </w:rPr>
        <w:t>,</w:t>
      </w:r>
      <w:r w:rsidR="00510E9F" w:rsidRPr="00B451A9">
        <w:rPr>
          <w:rStyle w:val="FootnoteReference"/>
          <w:snapToGrid w:val="0"/>
        </w:rPr>
        <w:footnoteReference w:id="2"/>
      </w:r>
      <w:r w:rsidR="00510E9F" w:rsidRPr="00B451A9">
        <w:rPr>
          <w:snapToGrid w:val="0"/>
        </w:rPr>
        <w:t xml:space="preserve"> calling lists against the numbers listed on the </w:t>
      </w:r>
      <w:r w:rsidR="00152461">
        <w:rPr>
          <w:snapToGrid w:val="0"/>
        </w:rPr>
        <w:t>r</w:t>
      </w:r>
      <w:r w:rsidR="00524BB2">
        <w:rPr>
          <w:snapToGrid w:val="0"/>
        </w:rPr>
        <w:t>egister</w:t>
      </w:r>
      <w:r w:rsidR="00510E9F" w:rsidRPr="00B451A9">
        <w:rPr>
          <w:snapToGrid w:val="0"/>
        </w:rPr>
        <w:t xml:space="preserve">. </w:t>
      </w:r>
    </w:p>
    <w:p w14:paraId="5D1ED5FA" w14:textId="2CA7C7AD" w:rsidR="00510E9F" w:rsidRPr="00B451A9" w:rsidRDefault="007444DB" w:rsidP="00524BB2">
      <w:pPr>
        <w:rPr>
          <w:snapToGrid w:val="0"/>
        </w:rPr>
      </w:pPr>
      <w:r>
        <w:rPr>
          <w:snapToGrid w:val="0"/>
        </w:rPr>
        <w:t>The o</w:t>
      </w:r>
      <w:r w:rsidR="00510E9F" w:rsidRPr="00B451A9">
        <w:rPr>
          <w:snapToGrid w:val="0"/>
        </w:rPr>
        <w:t xml:space="preserve">peration of the </w:t>
      </w:r>
      <w:r w:rsidR="00152461">
        <w:rPr>
          <w:snapToGrid w:val="0"/>
        </w:rPr>
        <w:t>DNCR</w:t>
      </w:r>
      <w:r>
        <w:rPr>
          <w:snapToGrid w:val="0"/>
        </w:rPr>
        <w:t xml:space="preserve"> is outsourced. Since the inception of the </w:t>
      </w:r>
      <w:r w:rsidR="00152461">
        <w:rPr>
          <w:snapToGrid w:val="0"/>
        </w:rPr>
        <w:t>r</w:t>
      </w:r>
      <w:r>
        <w:rPr>
          <w:snapToGrid w:val="0"/>
        </w:rPr>
        <w:t>egister</w:t>
      </w:r>
      <w:r w:rsidR="00760AB3">
        <w:rPr>
          <w:snapToGrid w:val="0"/>
        </w:rPr>
        <w:t xml:space="preserve">, </w:t>
      </w:r>
      <w:r w:rsidR="005D6854">
        <w:rPr>
          <w:snapToGrid w:val="0"/>
        </w:rPr>
        <w:t xml:space="preserve">the </w:t>
      </w:r>
      <w:r>
        <w:rPr>
          <w:snapToGrid w:val="0"/>
        </w:rPr>
        <w:t xml:space="preserve">ACMA has entered into two contracts with external service providers to provide </w:t>
      </w:r>
      <w:r w:rsidR="005D6854">
        <w:rPr>
          <w:snapToGrid w:val="0"/>
        </w:rPr>
        <w:t>r</w:t>
      </w:r>
      <w:r>
        <w:rPr>
          <w:snapToGrid w:val="0"/>
        </w:rPr>
        <w:t>egister services. The first was with</w:t>
      </w:r>
      <w:r w:rsidR="00510E9F" w:rsidRPr="00B451A9">
        <w:rPr>
          <w:snapToGrid w:val="0"/>
        </w:rPr>
        <w:t xml:space="preserve"> Service Stream Solutions Pty Ltd </w:t>
      </w:r>
      <w:r>
        <w:rPr>
          <w:snapToGrid w:val="0"/>
        </w:rPr>
        <w:t xml:space="preserve">from </w:t>
      </w:r>
      <w:r w:rsidR="00510E9F" w:rsidRPr="00B451A9">
        <w:rPr>
          <w:snapToGrid w:val="0"/>
        </w:rPr>
        <w:t xml:space="preserve">February 2007 </w:t>
      </w:r>
      <w:r w:rsidR="00510E9F" w:rsidRPr="00B451A9">
        <w:rPr>
          <w:rFonts w:cs="Arial"/>
          <w:iCs/>
          <w:lang w:eastAsia="en-US"/>
        </w:rPr>
        <w:t>to September 2015 with a contract value</w:t>
      </w:r>
      <w:r>
        <w:rPr>
          <w:rFonts w:cs="Arial"/>
          <w:iCs/>
          <w:lang w:eastAsia="en-US"/>
        </w:rPr>
        <w:t xml:space="preserve"> </w:t>
      </w:r>
      <w:r w:rsidR="00510E9F" w:rsidRPr="00D2517E">
        <w:rPr>
          <w:rFonts w:cs="Arial"/>
          <w:iCs/>
          <w:lang w:eastAsia="en-US"/>
        </w:rPr>
        <w:t>of $2</w:t>
      </w:r>
      <w:r w:rsidR="007A7056">
        <w:rPr>
          <w:rFonts w:cs="Arial"/>
          <w:iCs/>
          <w:lang w:eastAsia="en-US"/>
        </w:rPr>
        <w:t>4</w:t>
      </w:r>
      <w:r w:rsidR="00D47EF0" w:rsidRPr="00D2517E">
        <w:rPr>
          <w:rFonts w:cs="Arial"/>
          <w:iCs/>
          <w:lang w:eastAsia="en-US"/>
        </w:rPr>
        <w:t>.</w:t>
      </w:r>
      <w:r w:rsidR="007A7056">
        <w:rPr>
          <w:rFonts w:cs="Arial"/>
          <w:iCs/>
          <w:lang w:eastAsia="en-US"/>
        </w:rPr>
        <w:t>7</w:t>
      </w:r>
      <w:r w:rsidR="00510E9F" w:rsidRPr="00D2517E">
        <w:rPr>
          <w:rFonts w:cs="Arial"/>
          <w:iCs/>
          <w:lang w:eastAsia="en-US"/>
        </w:rPr>
        <w:t xml:space="preserve"> million</w:t>
      </w:r>
      <w:r w:rsidR="009C2FC3" w:rsidRPr="00D2517E">
        <w:rPr>
          <w:rFonts w:cs="Arial"/>
          <w:iCs/>
          <w:lang w:eastAsia="en-US"/>
        </w:rPr>
        <w:t xml:space="preserve"> </w:t>
      </w:r>
      <w:r w:rsidR="00B4428E">
        <w:rPr>
          <w:rFonts w:cs="Arial"/>
          <w:iCs/>
          <w:lang w:eastAsia="en-US"/>
        </w:rPr>
        <w:t xml:space="preserve">over eight </w:t>
      </w:r>
      <w:r w:rsidR="00B4428E" w:rsidRPr="00BF0949">
        <w:rPr>
          <w:rFonts w:cs="Arial"/>
          <w:iCs/>
          <w:lang w:eastAsia="en-US"/>
        </w:rPr>
        <w:t>years</w:t>
      </w:r>
      <w:r w:rsidR="00510E9F" w:rsidRPr="00BF0949">
        <w:rPr>
          <w:rFonts w:cs="Arial"/>
          <w:iCs/>
          <w:lang w:eastAsia="en-US"/>
        </w:rPr>
        <w:t xml:space="preserve">. </w:t>
      </w:r>
      <w:r w:rsidR="003578EF" w:rsidRPr="00BF0949">
        <w:rPr>
          <w:rFonts w:cs="Arial"/>
          <w:iCs/>
          <w:lang w:eastAsia="en-US"/>
        </w:rPr>
        <w:t>Following a competitive procurement round using the AusTender process, t</w:t>
      </w:r>
      <w:r w:rsidRPr="00BF0949">
        <w:rPr>
          <w:rFonts w:cs="Arial"/>
          <w:iCs/>
          <w:lang w:eastAsia="en-US"/>
        </w:rPr>
        <w:t xml:space="preserve">he second and current contract </w:t>
      </w:r>
      <w:r w:rsidR="003578EF" w:rsidRPr="00BF0949">
        <w:rPr>
          <w:rFonts w:cs="Arial"/>
          <w:iCs/>
          <w:lang w:eastAsia="en-US"/>
        </w:rPr>
        <w:t xml:space="preserve">was awarded to </w:t>
      </w:r>
      <w:r w:rsidR="00510E9F" w:rsidRPr="00BF0949">
        <w:rPr>
          <w:snapToGrid w:val="0"/>
        </w:rPr>
        <w:t>Salmat Digital Pty Ltd</w:t>
      </w:r>
      <w:r w:rsidR="003578EF" w:rsidRPr="00BF0949">
        <w:rPr>
          <w:snapToGrid w:val="0"/>
        </w:rPr>
        <w:t xml:space="preserve"> </w:t>
      </w:r>
      <w:r w:rsidR="0005462E" w:rsidRPr="00BF0949">
        <w:rPr>
          <w:snapToGrid w:val="0"/>
        </w:rPr>
        <w:t>in</w:t>
      </w:r>
      <w:r w:rsidR="003578EF" w:rsidRPr="00BF0949">
        <w:rPr>
          <w:snapToGrid w:val="0"/>
        </w:rPr>
        <w:t xml:space="preserve"> September 2014</w:t>
      </w:r>
      <w:r w:rsidRPr="00BF0949">
        <w:rPr>
          <w:snapToGrid w:val="0"/>
        </w:rPr>
        <w:t xml:space="preserve">. </w:t>
      </w:r>
      <w:r w:rsidR="00B4428E" w:rsidRPr="00BF0949">
        <w:rPr>
          <w:snapToGrid w:val="0"/>
        </w:rPr>
        <w:t xml:space="preserve">Salmat took over </w:t>
      </w:r>
      <w:r w:rsidR="005D6854">
        <w:rPr>
          <w:snapToGrid w:val="0"/>
        </w:rPr>
        <w:t>r</w:t>
      </w:r>
      <w:r w:rsidR="00B4428E" w:rsidRPr="00BF0949">
        <w:rPr>
          <w:snapToGrid w:val="0"/>
        </w:rPr>
        <w:t>egister operations</w:t>
      </w:r>
      <w:r w:rsidR="00B4428E">
        <w:rPr>
          <w:snapToGrid w:val="0"/>
        </w:rPr>
        <w:t xml:space="preserve"> </w:t>
      </w:r>
      <w:r w:rsidR="0005462E">
        <w:rPr>
          <w:snapToGrid w:val="0"/>
        </w:rPr>
        <w:t xml:space="preserve">from </w:t>
      </w:r>
      <w:r w:rsidR="00510E9F" w:rsidRPr="00B451A9">
        <w:rPr>
          <w:snapToGrid w:val="0"/>
        </w:rPr>
        <w:t>September 2015</w:t>
      </w:r>
      <w:r w:rsidR="00B4428E">
        <w:rPr>
          <w:snapToGrid w:val="0"/>
        </w:rPr>
        <w:t>.</w:t>
      </w:r>
      <w:r w:rsidR="00C04684" w:rsidRPr="00B451A9">
        <w:rPr>
          <w:snapToGrid w:val="0"/>
        </w:rPr>
        <w:t xml:space="preserve"> </w:t>
      </w:r>
      <w:r w:rsidR="00B4428E">
        <w:rPr>
          <w:snapToGrid w:val="0"/>
        </w:rPr>
        <w:t xml:space="preserve">The value of the contract is </w:t>
      </w:r>
      <w:r w:rsidR="00510E9F" w:rsidRPr="00B451A9">
        <w:rPr>
          <w:snapToGrid w:val="0"/>
        </w:rPr>
        <w:t>$</w:t>
      </w:r>
      <w:r w:rsidR="00520F66" w:rsidRPr="00B451A9">
        <w:rPr>
          <w:snapToGrid w:val="0"/>
        </w:rPr>
        <w:t>1</w:t>
      </w:r>
      <w:r w:rsidR="006507BC">
        <w:rPr>
          <w:snapToGrid w:val="0"/>
        </w:rPr>
        <w:t>5</w:t>
      </w:r>
      <w:r w:rsidR="00510E9F" w:rsidRPr="00B451A9">
        <w:rPr>
          <w:snapToGrid w:val="0"/>
        </w:rPr>
        <w:t>.</w:t>
      </w:r>
      <w:r w:rsidR="006507BC">
        <w:rPr>
          <w:snapToGrid w:val="0"/>
        </w:rPr>
        <w:t>5</w:t>
      </w:r>
      <w:r w:rsidR="00B51080" w:rsidRPr="00B451A9">
        <w:rPr>
          <w:snapToGrid w:val="0"/>
        </w:rPr>
        <w:t> </w:t>
      </w:r>
      <w:r w:rsidR="00510E9F" w:rsidRPr="00B451A9">
        <w:rPr>
          <w:snapToGrid w:val="0"/>
        </w:rPr>
        <w:t>million</w:t>
      </w:r>
      <w:r w:rsidR="00C361FA">
        <w:rPr>
          <w:snapToGrid w:val="0"/>
        </w:rPr>
        <w:t xml:space="preserve"> </w:t>
      </w:r>
      <w:r w:rsidR="00510E9F" w:rsidRPr="00B451A9">
        <w:rPr>
          <w:snapToGrid w:val="0"/>
        </w:rPr>
        <w:t>over five years</w:t>
      </w:r>
      <w:r w:rsidR="00C04684" w:rsidRPr="00B451A9">
        <w:rPr>
          <w:snapToGrid w:val="0"/>
        </w:rPr>
        <w:t>,</w:t>
      </w:r>
      <w:r w:rsidR="00510E9F" w:rsidRPr="00B451A9">
        <w:rPr>
          <w:snapToGrid w:val="0"/>
        </w:rPr>
        <w:t xml:space="preserve"> with option</w:t>
      </w:r>
      <w:r w:rsidR="008B0B1A" w:rsidRPr="00B451A9">
        <w:rPr>
          <w:snapToGrid w:val="0"/>
        </w:rPr>
        <w:t>s</w:t>
      </w:r>
      <w:r w:rsidR="00510E9F" w:rsidRPr="00B451A9">
        <w:rPr>
          <w:snapToGrid w:val="0"/>
        </w:rPr>
        <w:t xml:space="preserve"> to extend </w:t>
      </w:r>
      <w:r w:rsidR="00154E21" w:rsidRPr="00B451A9">
        <w:rPr>
          <w:snapToGrid w:val="0"/>
        </w:rPr>
        <w:t xml:space="preserve">for </w:t>
      </w:r>
      <w:r w:rsidR="0016595C" w:rsidRPr="00B451A9">
        <w:rPr>
          <w:snapToGrid w:val="0"/>
        </w:rPr>
        <w:t xml:space="preserve">three </w:t>
      </w:r>
      <w:r w:rsidR="00F9079C" w:rsidRPr="00B451A9">
        <w:rPr>
          <w:snapToGrid w:val="0"/>
        </w:rPr>
        <w:t xml:space="preserve">further </w:t>
      </w:r>
      <w:r w:rsidR="0016595C" w:rsidRPr="00B451A9">
        <w:rPr>
          <w:snapToGrid w:val="0"/>
        </w:rPr>
        <w:t>years</w:t>
      </w:r>
      <w:r w:rsidR="00B51080" w:rsidRPr="00B451A9">
        <w:rPr>
          <w:snapToGrid w:val="0"/>
        </w:rPr>
        <w:t>,</w:t>
      </w:r>
      <w:r w:rsidR="0016595C" w:rsidRPr="00B451A9">
        <w:rPr>
          <w:snapToGrid w:val="0"/>
        </w:rPr>
        <w:t xml:space="preserve"> </w:t>
      </w:r>
      <w:r w:rsidR="00510E9F" w:rsidRPr="00B451A9">
        <w:rPr>
          <w:snapToGrid w:val="0"/>
        </w:rPr>
        <w:t>up to a total of eight years.</w:t>
      </w:r>
    </w:p>
    <w:p w14:paraId="577F6574" w14:textId="0E9679F6" w:rsidR="007F6DE3" w:rsidRPr="00B451A9" w:rsidRDefault="00B4428E" w:rsidP="00524BB2">
      <w:pPr>
        <w:rPr>
          <w:snapToGrid w:val="0"/>
        </w:rPr>
      </w:pPr>
      <w:r>
        <w:rPr>
          <w:snapToGrid w:val="0"/>
        </w:rPr>
        <w:t xml:space="preserve">In the first year of operation, </w:t>
      </w:r>
      <w:r w:rsidR="00510E9F" w:rsidRPr="00B451A9">
        <w:rPr>
          <w:snapToGrid w:val="0"/>
        </w:rPr>
        <w:t xml:space="preserve">the direct cost of operating the </w:t>
      </w:r>
      <w:r w:rsidR="005D6854">
        <w:rPr>
          <w:snapToGrid w:val="0"/>
        </w:rPr>
        <w:t>DNCR</w:t>
      </w:r>
      <w:r w:rsidR="005D6854" w:rsidRPr="00B451A9">
        <w:rPr>
          <w:snapToGrid w:val="0"/>
        </w:rPr>
        <w:t xml:space="preserve"> </w:t>
      </w:r>
      <w:r w:rsidR="0005462E">
        <w:rPr>
          <w:snapToGrid w:val="0"/>
        </w:rPr>
        <w:t xml:space="preserve">was only </w:t>
      </w:r>
      <w:r w:rsidR="0005462E" w:rsidRPr="00B451A9">
        <w:rPr>
          <w:snapToGrid w:val="0"/>
        </w:rPr>
        <w:t>partial</w:t>
      </w:r>
      <w:r w:rsidR="0005462E">
        <w:rPr>
          <w:snapToGrid w:val="0"/>
        </w:rPr>
        <w:t>ly</w:t>
      </w:r>
      <w:r w:rsidR="0005462E" w:rsidRPr="00B451A9">
        <w:rPr>
          <w:snapToGrid w:val="0"/>
        </w:rPr>
        <w:t xml:space="preserve"> recover</w:t>
      </w:r>
      <w:r w:rsidR="0005462E">
        <w:rPr>
          <w:snapToGrid w:val="0"/>
        </w:rPr>
        <w:t>ed</w:t>
      </w:r>
      <w:r w:rsidR="00953FE0">
        <w:rPr>
          <w:snapToGrid w:val="0"/>
        </w:rPr>
        <w:t xml:space="preserve"> from </w:t>
      </w:r>
      <w:r w:rsidR="005D6854">
        <w:rPr>
          <w:snapToGrid w:val="0"/>
        </w:rPr>
        <w:t>i</w:t>
      </w:r>
      <w:r w:rsidR="00953FE0">
        <w:rPr>
          <w:snapToGrid w:val="0"/>
        </w:rPr>
        <w:t>ndustry</w:t>
      </w:r>
      <w:r w:rsidR="00510E9F" w:rsidRPr="00B451A9">
        <w:rPr>
          <w:snapToGrid w:val="0"/>
        </w:rPr>
        <w:t xml:space="preserve">. </w:t>
      </w:r>
      <w:r>
        <w:rPr>
          <w:snapToGrid w:val="0"/>
        </w:rPr>
        <w:t>Since</w:t>
      </w:r>
      <w:r w:rsidRPr="00B451A9">
        <w:rPr>
          <w:snapToGrid w:val="0"/>
        </w:rPr>
        <w:t xml:space="preserve"> </w:t>
      </w:r>
      <w:r w:rsidR="00510E9F" w:rsidRPr="00B451A9">
        <w:rPr>
          <w:snapToGrid w:val="0"/>
        </w:rPr>
        <w:t>1 July 2008, the full direct cost</w:t>
      </w:r>
      <w:r w:rsidR="00520F66" w:rsidRPr="00B451A9">
        <w:rPr>
          <w:snapToGrid w:val="0"/>
        </w:rPr>
        <w:t>s</w:t>
      </w:r>
      <w:r w:rsidR="00510E9F" w:rsidRPr="00B451A9">
        <w:rPr>
          <w:snapToGrid w:val="0"/>
        </w:rPr>
        <w:t xml:space="preserve"> of operating the </w:t>
      </w:r>
      <w:r w:rsidR="005D6854">
        <w:rPr>
          <w:snapToGrid w:val="0"/>
        </w:rPr>
        <w:t>r</w:t>
      </w:r>
      <w:r w:rsidR="00524BB2">
        <w:rPr>
          <w:snapToGrid w:val="0"/>
        </w:rPr>
        <w:t>egister</w:t>
      </w:r>
      <w:r w:rsidR="00325A2A" w:rsidRPr="00B451A9">
        <w:rPr>
          <w:snapToGrid w:val="0"/>
        </w:rPr>
        <w:t xml:space="preserve"> ha</w:t>
      </w:r>
      <w:r w:rsidR="00520F66" w:rsidRPr="00B451A9">
        <w:rPr>
          <w:snapToGrid w:val="0"/>
        </w:rPr>
        <w:t>ve</w:t>
      </w:r>
      <w:r w:rsidR="00325A2A" w:rsidRPr="00B451A9">
        <w:rPr>
          <w:snapToGrid w:val="0"/>
        </w:rPr>
        <w:t xml:space="preserve"> been recovered</w:t>
      </w:r>
      <w:r w:rsidRPr="00B4428E">
        <w:rPr>
          <w:snapToGrid w:val="0"/>
        </w:rPr>
        <w:t xml:space="preserve"> </w:t>
      </w:r>
      <w:r>
        <w:rPr>
          <w:snapToGrid w:val="0"/>
        </w:rPr>
        <w:t xml:space="preserve">through charging fees to </w:t>
      </w:r>
      <w:r w:rsidRPr="00B4428E">
        <w:rPr>
          <w:snapToGrid w:val="0"/>
        </w:rPr>
        <w:t xml:space="preserve">organisations </w:t>
      </w:r>
      <w:r w:rsidR="007F6DE3">
        <w:rPr>
          <w:snapToGrid w:val="0"/>
        </w:rPr>
        <w:t>using</w:t>
      </w:r>
      <w:r w:rsidR="003C0CAA">
        <w:rPr>
          <w:snapToGrid w:val="0"/>
        </w:rPr>
        <w:t xml:space="preserve"> the</w:t>
      </w:r>
      <w:r w:rsidRPr="00B4428E">
        <w:rPr>
          <w:snapToGrid w:val="0"/>
        </w:rPr>
        <w:t xml:space="preserve"> </w:t>
      </w:r>
      <w:r w:rsidR="005D6854">
        <w:rPr>
          <w:snapToGrid w:val="0"/>
        </w:rPr>
        <w:t>r</w:t>
      </w:r>
      <w:r w:rsidRPr="00B4428E">
        <w:rPr>
          <w:snapToGrid w:val="0"/>
        </w:rPr>
        <w:t>egister to</w:t>
      </w:r>
      <w:r w:rsidR="007F6DE3">
        <w:rPr>
          <w:snapToGrid w:val="0"/>
        </w:rPr>
        <w:t xml:space="preserve"> check or wash numbers prior to</w:t>
      </w:r>
      <w:r w:rsidRPr="00B4428E">
        <w:rPr>
          <w:snapToGrid w:val="0"/>
        </w:rPr>
        <w:t xml:space="preserve"> </w:t>
      </w:r>
      <w:r w:rsidR="007F6DE3">
        <w:rPr>
          <w:snapToGrid w:val="0"/>
        </w:rPr>
        <w:t>engaging in</w:t>
      </w:r>
      <w:r w:rsidRPr="00B4428E">
        <w:rPr>
          <w:snapToGrid w:val="0"/>
        </w:rPr>
        <w:t xml:space="preserve"> telemarketing and fax marketing activities.</w:t>
      </w:r>
      <w:r w:rsidR="007F6DE3">
        <w:rPr>
          <w:snapToGrid w:val="0"/>
        </w:rPr>
        <w:t xml:space="preserve"> </w:t>
      </w:r>
    </w:p>
    <w:p w14:paraId="7EBF89E1" w14:textId="092C6CED" w:rsidR="007F6DE3" w:rsidRPr="00B451A9" w:rsidRDefault="007F6DE3" w:rsidP="00A954D2">
      <w:pPr>
        <w:pStyle w:val="Heading2"/>
        <w:spacing w:before="120" w:after="120"/>
      </w:pPr>
      <w:bookmarkStart w:id="24" w:name="_Toc16097272"/>
      <w:bookmarkStart w:id="25" w:name="_Toc424115049"/>
      <w:bookmarkStart w:id="26" w:name="_Toc482346587"/>
      <w:bookmarkStart w:id="27" w:name="_Toc518999095"/>
      <w:bookmarkStart w:id="28" w:name="_Toc26195067"/>
      <w:bookmarkStart w:id="29" w:name="_Toc355953984"/>
      <w:bookmarkStart w:id="30" w:name="_Toc385256314"/>
      <w:r>
        <w:lastRenderedPageBreak/>
        <w:t>Stakeholders</w:t>
      </w:r>
      <w:bookmarkEnd w:id="24"/>
      <w:bookmarkEnd w:id="25"/>
      <w:bookmarkEnd w:id="26"/>
      <w:bookmarkEnd w:id="27"/>
      <w:bookmarkEnd w:id="28"/>
    </w:p>
    <w:bookmarkEnd w:id="29"/>
    <w:bookmarkEnd w:id="30"/>
    <w:p w14:paraId="721E8FAD" w14:textId="58397C76" w:rsidR="00510E9F" w:rsidRPr="00B451A9" w:rsidRDefault="00510E9F" w:rsidP="00524BB2">
      <w:r w:rsidRPr="00B451A9">
        <w:t xml:space="preserve">The key stakeholders </w:t>
      </w:r>
      <w:r w:rsidR="007F6DE3">
        <w:t xml:space="preserve">with an interest in the cost recovery arrangements underpinning this activity </w:t>
      </w:r>
      <w:r w:rsidRPr="00B451A9">
        <w:t xml:space="preserve">are </w:t>
      </w:r>
      <w:r w:rsidR="007F6DE3">
        <w:t xml:space="preserve">individuals and businesses </w:t>
      </w:r>
      <w:r w:rsidRPr="00B451A9">
        <w:t>that engage in telemarketing and fax marketing activities. These range from large telemarketing organisations that engage solely in telemarketing on behalf of other organisations</w:t>
      </w:r>
      <w:r w:rsidR="00FE59D0" w:rsidRPr="00B451A9">
        <w:t>,</w:t>
      </w:r>
      <w:r w:rsidRPr="00B451A9">
        <w:t xml:space="preserve"> to telecommunications carriers, financial and banking institutions, travel agents and small businesses that seek to increase business by telemarketing and fax marketing.</w:t>
      </w:r>
      <w:r w:rsidR="007F6DE3">
        <w:t xml:space="preserve"> </w:t>
      </w:r>
    </w:p>
    <w:p w14:paraId="197AD15E" w14:textId="77777777" w:rsidR="00510E9F" w:rsidRPr="00210910" w:rsidRDefault="00510E9F" w:rsidP="00A954D2">
      <w:pPr>
        <w:pStyle w:val="Heading1"/>
      </w:pPr>
      <w:bookmarkStart w:id="31" w:name="_Toc355953985"/>
      <w:bookmarkStart w:id="32" w:name="_Toc385256315"/>
      <w:bookmarkStart w:id="33" w:name="_Toc482346588"/>
      <w:bookmarkStart w:id="34" w:name="_Toc16097273"/>
      <w:bookmarkStart w:id="35" w:name="_Toc518999096"/>
      <w:bookmarkStart w:id="36" w:name="_Toc26195068"/>
      <w:r w:rsidRPr="00210910">
        <w:lastRenderedPageBreak/>
        <w:t>Policy and statutory authority to recover cost</w:t>
      </w:r>
      <w:bookmarkEnd w:id="31"/>
      <w:bookmarkEnd w:id="32"/>
      <w:r w:rsidRPr="00210910">
        <w:t>s</w:t>
      </w:r>
      <w:bookmarkEnd w:id="33"/>
      <w:bookmarkEnd w:id="34"/>
      <w:bookmarkEnd w:id="35"/>
      <w:bookmarkEnd w:id="36"/>
    </w:p>
    <w:p w14:paraId="17BEBDD2" w14:textId="5A6E93BA" w:rsidR="00510E9F" w:rsidRPr="00210910" w:rsidRDefault="00510E9F" w:rsidP="00A954D2">
      <w:pPr>
        <w:pStyle w:val="Heading2"/>
        <w:spacing w:before="120" w:after="120"/>
      </w:pPr>
      <w:bookmarkStart w:id="37" w:name="_Toc355953986"/>
      <w:bookmarkStart w:id="38" w:name="_Toc385256316"/>
      <w:bookmarkStart w:id="39" w:name="_Toc482346589"/>
      <w:bookmarkStart w:id="40" w:name="_Toc16097274"/>
      <w:bookmarkStart w:id="41" w:name="_Toc518999097"/>
      <w:bookmarkStart w:id="42" w:name="_Toc26195069"/>
      <w:r w:rsidRPr="00210910">
        <w:t xml:space="preserve">Government policy </w:t>
      </w:r>
      <w:r w:rsidR="000541C7">
        <w:t xml:space="preserve">approval </w:t>
      </w:r>
      <w:r w:rsidRPr="00210910">
        <w:t>to cost recover</w:t>
      </w:r>
      <w:bookmarkEnd w:id="37"/>
      <w:bookmarkEnd w:id="38"/>
      <w:bookmarkEnd w:id="39"/>
      <w:bookmarkEnd w:id="40"/>
      <w:bookmarkEnd w:id="41"/>
      <w:bookmarkEnd w:id="42"/>
    </w:p>
    <w:p w14:paraId="0B84DD63" w14:textId="4C9ED225" w:rsidR="00510E9F" w:rsidRPr="00210910" w:rsidRDefault="000541C7" w:rsidP="00524BB2">
      <w:pPr>
        <w:rPr>
          <w:snapToGrid w:val="0"/>
        </w:rPr>
      </w:pPr>
      <w:r>
        <w:rPr>
          <w:snapToGrid w:val="0"/>
        </w:rPr>
        <w:t>Listed below are the key</w:t>
      </w:r>
      <w:r w:rsidR="00510E9F" w:rsidRPr="00210910">
        <w:rPr>
          <w:snapToGrid w:val="0"/>
        </w:rPr>
        <w:t xml:space="preserve"> government policy decisions </w:t>
      </w:r>
      <w:r>
        <w:rPr>
          <w:snapToGrid w:val="0"/>
        </w:rPr>
        <w:t>underpinning</w:t>
      </w:r>
      <w:r w:rsidR="00510E9F" w:rsidRPr="00210910">
        <w:rPr>
          <w:snapToGrid w:val="0"/>
        </w:rPr>
        <w:t xml:space="preserve"> cost recovery arrangements</w:t>
      </w:r>
      <w:r>
        <w:rPr>
          <w:snapToGrid w:val="0"/>
        </w:rPr>
        <w:t xml:space="preserve"> for the </w:t>
      </w:r>
      <w:r w:rsidR="00F01660">
        <w:rPr>
          <w:snapToGrid w:val="0"/>
        </w:rPr>
        <w:t>r</w:t>
      </w:r>
      <w:r>
        <w:rPr>
          <w:snapToGrid w:val="0"/>
        </w:rPr>
        <w:t>egister</w:t>
      </w:r>
      <w:r w:rsidR="00510E9F" w:rsidRPr="00210910">
        <w:rPr>
          <w:snapToGrid w:val="0"/>
        </w:rPr>
        <w:t>.</w:t>
      </w:r>
    </w:p>
    <w:p w14:paraId="5ED28ABF" w14:textId="77777777" w:rsidR="00510E9F" w:rsidRPr="00210910" w:rsidRDefault="00510E9F" w:rsidP="00524BB2">
      <w:pPr>
        <w:pStyle w:val="Heading3"/>
      </w:pPr>
      <w:bookmarkStart w:id="43" w:name="_Toc395017236"/>
      <w:r w:rsidRPr="00210910">
        <w:t>2006–07 Budget paper No. 2</w:t>
      </w:r>
      <w:bookmarkEnd w:id="43"/>
    </w:p>
    <w:p w14:paraId="4E21B526" w14:textId="4492502E" w:rsidR="00510E9F" w:rsidRPr="00210910" w:rsidRDefault="00510E9F" w:rsidP="00524BB2">
      <w:pPr>
        <w:rPr>
          <w:lang w:eastAsia="en-US"/>
        </w:rPr>
      </w:pPr>
      <w:r w:rsidRPr="00210910">
        <w:rPr>
          <w:lang w:eastAsia="en-US"/>
        </w:rPr>
        <w:t xml:space="preserve">In the </w:t>
      </w:r>
      <w:r w:rsidR="00F86484" w:rsidRPr="00F86484">
        <w:t>2006–07 Budget</w:t>
      </w:r>
      <w:r w:rsidRPr="00210910">
        <w:rPr>
          <w:lang w:eastAsia="en-US"/>
        </w:rPr>
        <w:t xml:space="preserve">, the government provided $33.1 million over four years (and ongoing for forward years) to establish and maintain a Do Not Call </w:t>
      </w:r>
      <w:r w:rsidR="00524BB2">
        <w:rPr>
          <w:lang w:eastAsia="en-US"/>
        </w:rPr>
        <w:t>Register</w:t>
      </w:r>
      <w:r w:rsidRPr="00210910">
        <w:rPr>
          <w:lang w:eastAsia="en-US"/>
        </w:rPr>
        <w:t xml:space="preserve"> containing numbers telemarketers must not contact, with certain exceptions. The </w:t>
      </w:r>
      <w:r w:rsidR="00BC54D8">
        <w:rPr>
          <w:lang w:eastAsia="en-US"/>
        </w:rPr>
        <w:t>r</w:t>
      </w:r>
      <w:r w:rsidR="00524BB2">
        <w:rPr>
          <w:lang w:eastAsia="en-US"/>
        </w:rPr>
        <w:t>egister</w:t>
      </w:r>
      <w:r w:rsidRPr="00210910">
        <w:rPr>
          <w:lang w:eastAsia="en-US"/>
        </w:rPr>
        <w:t xml:space="preserve"> operations were established through a competitive tender process to appoint a service provider</w:t>
      </w:r>
      <w:r w:rsidR="00B51080" w:rsidRPr="00210910">
        <w:rPr>
          <w:lang w:eastAsia="en-US"/>
        </w:rPr>
        <w:t xml:space="preserve">, with </w:t>
      </w:r>
      <w:r w:rsidR="00BC54D8">
        <w:rPr>
          <w:lang w:eastAsia="en-US"/>
        </w:rPr>
        <w:t xml:space="preserve">the </w:t>
      </w:r>
      <w:r w:rsidRPr="00210910">
        <w:rPr>
          <w:lang w:eastAsia="en-US"/>
        </w:rPr>
        <w:t xml:space="preserve">ACMA responsible for overseeing the operations and enforcing the </w:t>
      </w:r>
      <w:r w:rsidR="00BC54D8">
        <w:rPr>
          <w:lang w:eastAsia="en-US"/>
        </w:rPr>
        <w:t>r</w:t>
      </w:r>
      <w:r w:rsidR="00524BB2">
        <w:rPr>
          <w:lang w:eastAsia="en-US"/>
        </w:rPr>
        <w:t>egister</w:t>
      </w:r>
      <w:r w:rsidRPr="00210910">
        <w:rPr>
          <w:lang w:eastAsia="en-US"/>
        </w:rPr>
        <w:t xml:space="preserve"> legislation. </w:t>
      </w:r>
    </w:p>
    <w:p w14:paraId="7E2F64FE" w14:textId="3C1AC87B" w:rsidR="00510E9F" w:rsidRDefault="00510E9F" w:rsidP="00524BB2">
      <w:r w:rsidRPr="00210910">
        <w:rPr>
          <w:lang w:eastAsia="en-US"/>
        </w:rPr>
        <w:t xml:space="preserve">It was anticipated that approximately $15.9 million of this </w:t>
      </w:r>
      <w:r w:rsidRPr="00BF0949">
        <w:rPr>
          <w:lang w:eastAsia="en-US"/>
        </w:rPr>
        <w:t>allocation would be recovered</w:t>
      </w:r>
      <w:r w:rsidRPr="00210910">
        <w:rPr>
          <w:lang w:eastAsia="en-US"/>
        </w:rPr>
        <w:t xml:space="preserve"> over four years (and ongoing over forward years) from the</w:t>
      </w:r>
      <w:r w:rsidRPr="00210910">
        <w:t xml:space="preserve"> telemarketing industry through the payment of fees to access the </w:t>
      </w:r>
      <w:r w:rsidR="00BC54D8">
        <w:t>r</w:t>
      </w:r>
      <w:r w:rsidR="00524BB2">
        <w:t>egister</w:t>
      </w:r>
      <w:r w:rsidRPr="00210910">
        <w:t xml:space="preserve">. </w:t>
      </w:r>
    </w:p>
    <w:p w14:paraId="10D81037" w14:textId="77777777" w:rsidR="00A719A6" w:rsidRPr="00210910" w:rsidRDefault="00A719A6" w:rsidP="00A719A6">
      <w:pPr>
        <w:pStyle w:val="Heading3"/>
      </w:pPr>
      <w:bookmarkStart w:id="44" w:name="_Toc395017235"/>
      <w:r w:rsidRPr="00210910">
        <w:t xml:space="preserve">Explanatory Memorandum for the Do Not Call </w:t>
      </w:r>
      <w:r>
        <w:t>Register</w:t>
      </w:r>
      <w:r w:rsidRPr="00210910">
        <w:t xml:space="preserve"> Bill 2006</w:t>
      </w:r>
      <w:bookmarkEnd w:id="44"/>
    </w:p>
    <w:p w14:paraId="4BF2CC52" w14:textId="494A5170" w:rsidR="00A719A6" w:rsidRPr="00210910" w:rsidRDefault="00A719A6" w:rsidP="00A719A6">
      <w:r w:rsidRPr="00210910">
        <w:t xml:space="preserve">The </w:t>
      </w:r>
      <w:hyperlink r:id="rId29" w:history="1">
        <w:r w:rsidRPr="00210910">
          <w:rPr>
            <w:rStyle w:val="Hyperlink"/>
          </w:rPr>
          <w:t xml:space="preserve">Explanatory Memorandum for the Do Not Call </w:t>
        </w:r>
        <w:r>
          <w:rPr>
            <w:rStyle w:val="Hyperlink"/>
          </w:rPr>
          <w:t>Register</w:t>
        </w:r>
        <w:r w:rsidRPr="00210910">
          <w:rPr>
            <w:rStyle w:val="Hyperlink"/>
          </w:rPr>
          <w:t xml:space="preserve"> Bill 2006</w:t>
        </w:r>
      </w:hyperlink>
      <w:r w:rsidRPr="00210910">
        <w:t xml:space="preserve">, circulated by authority of the (then) Minister for Communications, Information Technology and the Arts, recommended the establishment of an ‘opt-out’ </w:t>
      </w:r>
      <w:r w:rsidR="00BC54D8">
        <w:t>r</w:t>
      </w:r>
      <w:r>
        <w:t>egister</w:t>
      </w:r>
      <w:r w:rsidRPr="00210910">
        <w:t xml:space="preserve"> and that ongoing funding for the </w:t>
      </w:r>
      <w:r w:rsidR="00BC54D8">
        <w:t>r</w:t>
      </w:r>
      <w:r>
        <w:t>egister</w:t>
      </w:r>
      <w:r w:rsidRPr="00210910">
        <w:t xml:space="preserve"> functions be partially cost-recovered from the telemarketing industry. </w:t>
      </w:r>
    </w:p>
    <w:p w14:paraId="7B425D94" w14:textId="77777777" w:rsidR="00510E9F" w:rsidRPr="00210910" w:rsidRDefault="00510E9F" w:rsidP="00524BB2">
      <w:pPr>
        <w:pStyle w:val="Heading3"/>
      </w:pPr>
      <w:bookmarkStart w:id="45" w:name="_Toc395017237"/>
      <w:r w:rsidRPr="00210910">
        <w:t>2008–09 Budget paper No. 2</w:t>
      </w:r>
      <w:bookmarkEnd w:id="45"/>
      <w:r w:rsidRPr="00210910">
        <w:t xml:space="preserve"> </w:t>
      </w:r>
    </w:p>
    <w:p w14:paraId="3C0CF9F7" w14:textId="328D85EC" w:rsidR="00510E9F" w:rsidRPr="00210910" w:rsidRDefault="00510E9F" w:rsidP="00524BB2">
      <w:r w:rsidRPr="00210910">
        <w:t xml:space="preserve">In the </w:t>
      </w:r>
      <w:hyperlink r:id="rId30" w:history="1">
        <w:r w:rsidRPr="00210910">
          <w:rPr>
            <w:rStyle w:val="Hyperlink"/>
          </w:rPr>
          <w:t>2008–09 Budget</w:t>
        </w:r>
      </w:hyperlink>
      <w:r w:rsidRPr="00210910">
        <w:t xml:space="preserve">, the government agreed that the telemarketing industry would be required to fund </w:t>
      </w:r>
      <w:r w:rsidRPr="00210910">
        <w:rPr>
          <w:iCs/>
          <w:lang w:eastAsia="en-US"/>
        </w:rPr>
        <w:t>the full operational costs of the</w:t>
      </w:r>
      <w:r w:rsidRPr="00210910">
        <w:rPr>
          <w:rFonts w:ascii="BookAntiqua" w:hAnsi="BookAntiqua" w:cs="BookAntiqua"/>
          <w:szCs w:val="20"/>
        </w:rPr>
        <w:t xml:space="preserve"> </w:t>
      </w:r>
      <w:r w:rsidR="008B29AA">
        <w:t>r</w:t>
      </w:r>
      <w:r w:rsidR="00524BB2">
        <w:t>egister</w:t>
      </w:r>
      <w:r w:rsidRPr="00210910">
        <w:t xml:space="preserve"> by increasing annual subscription fees from 1 July 2008. Previously, the telemarketing industry was only required to fund part of the direct operating costs of the </w:t>
      </w:r>
      <w:r w:rsidR="008B29AA">
        <w:t>DNCR</w:t>
      </w:r>
      <w:r w:rsidRPr="00210910">
        <w:t xml:space="preserve">. </w:t>
      </w:r>
      <w:r w:rsidRPr="00BF0949">
        <w:t>This provide</w:t>
      </w:r>
      <w:r w:rsidR="00EB30F7" w:rsidRPr="00BF0949">
        <w:t>d</w:t>
      </w:r>
      <w:r w:rsidRPr="00BF0949">
        <w:t xml:space="preserve"> sa</w:t>
      </w:r>
      <w:r w:rsidRPr="00210910">
        <w:t>vings of $4.2 million over four years.</w:t>
      </w:r>
    </w:p>
    <w:p w14:paraId="58DE54AB" w14:textId="630BA0BB" w:rsidR="00510E9F" w:rsidRPr="00210910" w:rsidRDefault="00510E9F" w:rsidP="00524BB2">
      <w:pPr>
        <w:pStyle w:val="Heading3"/>
      </w:pPr>
      <w:bookmarkStart w:id="46" w:name="_Toc395017238"/>
      <w:r w:rsidRPr="00210910">
        <w:t>2009–10 Budget paper No.</w:t>
      </w:r>
      <w:r w:rsidR="006E7049">
        <w:t xml:space="preserve"> </w:t>
      </w:r>
      <w:r w:rsidRPr="00210910">
        <w:t>2</w:t>
      </w:r>
      <w:bookmarkEnd w:id="46"/>
    </w:p>
    <w:p w14:paraId="6462F916" w14:textId="296AEB34" w:rsidR="00510E9F" w:rsidRPr="00210910" w:rsidRDefault="00510E9F" w:rsidP="00524BB2">
      <w:r w:rsidRPr="00210910">
        <w:t xml:space="preserve">In the </w:t>
      </w:r>
      <w:hyperlink r:id="rId31" w:history="1">
        <w:r w:rsidRPr="00210910">
          <w:rPr>
            <w:rStyle w:val="Hyperlink"/>
          </w:rPr>
          <w:t>2009–10 Budget</w:t>
        </w:r>
      </w:hyperlink>
      <w:r w:rsidRPr="00210910">
        <w:t xml:space="preserve">, the government provided </w:t>
      </w:r>
      <w:r w:rsidR="00EB30F7" w:rsidRPr="00BF0949">
        <w:t>a further</w:t>
      </w:r>
      <w:r w:rsidR="00EB30F7">
        <w:t xml:space="preserve"> </w:t>
      </w:r>
      <w:r w:rsidRPr="00210910">
        <w:t xml:space="preserve">$4.7 million over four years (and ongoing for forward years) to extend the </w:t>
      </w:r>
      <w:r w:rsidR="008B29AA">
        <w:t>r</w:t>
      </w:r>
      <w:r w:rsidR="00524BB2">
        <w:t>egister</w:t>
      </w:r>
      <w:r w:rsidRPr="00210910">
        <w:t xml:space="preserve"> and allow the registration of all Australian telephone (excluding business numbers) and fax numbers on the </w:t>
      </w:r>
      <w:r w:rsidR="008B29AA">
        <w:t>r</w:t>
      </w:r>
      <w:r w:rsidR="00524BB2">
        <w:t>egister</w:t>
      </w:r>
      <w:r w:rsidRPr="00210910">
        <w:t>. Of this amount, $3.5</w:t>
      </w:r>
      <w:r w:rsidR="008B29AA">
        <w:t> </w:t>
      </w:r>
      <w:r w:rsidRPr="00210910">
        <w:t xml:space="preserve">million over four years (and ongoing over forward </w:t>
      </w:r>
      <w:r w:rsidRPr="00BF0949">
        <w:t xml:space="preserve">years) </w:t>
      </w:r>
      <w:r w:rsidR="00EB30F7" w:rsidRPr="00BF0949">
        <w:t>was to be</w:t>
      </w:r>
      <w:r w:rsidRPr="00BF0949">
        <w:t xml:space="preserve"> recovered</w:t>
      </w:r>
      <w:r w:rsidRPr="00210910">
        <w:t xml:space="preserve"> from the telemarketing and fax marketing industries. </w:t>
      </w:r>
    </w:p>
    <w:p w14:paraId="43FAC072" w14:textId="77777777" w:rsidR="00510E9F" w:rsidRPr="00921ECA" w:rsidRDefault="00510E9F" w:rsidP="00A954D2">
      <w:pPr>
        <w:pStyle w:val="Heading2"/>
        <w:spacing w:before="120" w:after="120"/>
      </w:pPr>
      <w:bookmarkStart w:id="47" w:name="_Toc355953988"/>
      <w:bookmarkStart w:id="48" w:name="_Toc385256317"/>
      <w:bookmarkStart w:id="49" w:name="_Toc482346590"/>
      <w:bookmarkStart w:id="50" w:name="_Toc16097275"/>
      <w:bookmarkStart w:id="51" w:name="_Toc518999098"/>
      <w:bookmarkStart w:id="52" w:name="_Toc26195070"/>
      <w:r w:rsidRPr="00921ECA">
        <w:t xml:space="preserve">Statutory authority to impose </w:t>
      </w:r>
      <w:bookmarkEnd w:id="47"/>
      <w:r w:rsidRPr="00921ECA">
        <w:t>cost recovery charges</w:t>
      </w:r>
      <w:bookmarkEnd w:id="48"/>
      <w:bookmarkEnd w:id="49"/>
      <w:bookmarkEnd w:id="50"/>
      <w:bookmarkEnd w:id="51"/>
      <w:bookmarkEnd w:id="52"/>
    </w:p>
    <w:p w14:paraId="55544CA7" w14:textId="05CDED7B" w:rsidR="00F843EF" w:rsidRDefault="00510E9F" w:rsidP="00524BB2">
      <w:pPr>
        <w:rPr>
          <w:color w:val="0000FF"/>
          <w:u w:val="single"/>
        </w:rPr>
      </w:pPr>
      <w:r w:rsidRPr="00A954D2">
        <w:rPr>
          <w:iCs/>
        </w:rPr>
        <w:t xml:space="preserve">The </w:t>
      </w:r>
      <w:r w:rsidR="00921ECA" w:rsidRPr="00A954D2">
        <w:rPr>
          <w:iCs/>
        </w:rPr>
        <w:t xml:space="preserve">Do Not Call </w:t>
      </w:r>
      <w:r w:rsidR="00524BB2" w:rsidRPr="00A954D2">
        <w:rPr>
          <w:iCs/>
        </w:rPr>
        <w:t>Register</w:t>
      </w:r>
      <w:r w:rsidR="00921ECA" w:rsidRPr="00A954D2">
        <w:rPr>
          <w:iCs/>
        </w:rPr>
        <w:t xml:space="preserve"> (Access Fees) Determination 2017</w:t>
      </w:r>
      <w:r w:rsidRPr="00921ECA">
        <w:rPr>
          <w:snapToGrid w:val="0"/>
        </w:rPr>
        <w:t xml:space="preserve"> </w:t>
      </w:r>
      <w:r w:rsidR="00F9079C" w:rsidRPr="00921ECA">
        <w:t xml:space="preserve">is </w:t>
      </w:r>
      <w:r w:rsidRPr="00921ECA">
        <w:t>made under subsection 21(1) of the Act</w:t>
      </w:r>
      <w:r w:rsidR="00F9079C" w:rsidRPr="00921ECA">
        <w:t>. It</w:t>
      </w:r>
      <w:r w:rsidR="00BC77AA" w:rsidRPr="00921ECA">
        <w:t xml:space="preserve"> </w:t>
      </w:r>
      <w:r w:rsidRPr="00921ECA">
        <w:t xml:space="preserve">sets </w:t>
      </w:r>
      <w:r w:rsidR="00F9079C" w:rsidRPr="00921ECA">
        <w:t>the</w:t>
      </w:r>
      <w:r w:rsidRPr="00921ECA">
        <w:t xml:space="preserve"> fees payable by access</w:t>
      </w:r>
      <w:r w:rsidR="00322A66" w:rsidRPr="00921ECA">
        <w:t xml:space="preserve"> </w:t>
      </w:r>
      <w:r w:rsidRPr="00921ECA">
        <w:t xml:space="preserve">seekers to the </w:t>
      </w:r>
      <w:r w:rsidR="008B29AA">
        <w:t>r</w:t>
      </w:r>
      <w:r w:rsidR="00524BB2">
        <w:t>egister</w:t>
      </w:r>
      <w:r w:rsidRPr="00921ECA">
        <w:t xml:space="preserve"> and how those fees are to be paid. The fees payable are </w:t>
      </w:r>
      <w:r w:rsidR="001601E3" w:rsidRPr="00921ECA">
        <w:t>consistent with</w:t>
      </w:r>
      <w:r w:rsidRPr="00921ECA">
        <w:t xml:space="preserve"> the </w:t>
      </w:r>
      <w:hyperlink r:id="rId32" w:history="1">
        <w:r w:rsidRPr="00921ECA">
          <w:rPr>
            <w:color w:val="0000FF"/>
            <w:u w:val="single"/>
          </w:rPr>
          <w:t>Australian Government Cost Recovery Guidelines</w:t>
        </w:r>
      </w:hyperlink>
      <w:r w:rsidR="006E7049" w:rsidRPr="006E7049">
        <w:t>.</w:t>
      </w:r>
    </w:p>
    <w:p w14:paraId="37DC299C" w14:textId="668A96BF" w:rsidR="003C38F4" w:rsidRPr="00921ECA" w:rsidRDefault="003C38F4" w:rsidP="00524BB2"/>
    <w:p w14:paraId="25E6043A" w14:textId="313626F5" w:rsidR="00510E9F" w:rsidRPr="00B323D5" w:rsidRDefault="00510E9F" w:rsidP="00A954D2">
      <w:pPr>
        <w:pStyle w:val="Heading1"/>
      </w:pPr>
      <w:bookmarkStart w:id="53" w:name="_Toc355953989"/>
      <w:bookmarkStart w:id="54" w:name="_Toc385256318"/>
      <w:bookmarkStart w:id="55" w:name="_Toc482346591"/>
      <w:bookmarkStart w:id="56" w:name="_Toc16097276"/>
      <w:bookmarkStart w:id="57" w:name="_Toc518999099"/>
      <w:bookmarkStart w:id="58" w:name="_Toc26195071"/>
      <w:r w:rsidRPr="00B323D5">
        <w:lastRenderedPageBreak/>
        <w:t xml:space="preserve">Cost recovery </w:t>
      </w:r>
      <w:bookmarkEnd w:id="53"/>
      <w:bookmarkEnd w:id="54"/>
      <w:r w:rsidRPr="00B323D5">
        <w:t>model</w:t>
      </w:r>
      <w:bookmarkEnd w:id="55"/>
      <w:bookmarkEnd w:id="56"/>
      <w:bookmarkEnd w:id="57"/>
      <w:bookmarkEnd w:id="58"/>
    </w:p>
    <w:p w14:paraId="548F65ED" w14:textId="6C7D90CE" w:rsidR="00510E9F" w:rsidRPr="005773B8" w:rsidRDefault="00510E9F" w:rsidP="00A954D2">
      <w:pPr>
        <w:pStyle w:val="Heading2"/>
        <w:spacing w:before="120" w:after="120"/>
      </w:pPr>
      <w:bookmarkStart w:id="59" w:name="_Toc16097223"/>
      <w:bookmarkStart w:id="60" w:name="_Toc16097250"/>
      <w:bookmarkStart w:id="61" w:name="_Toc16097277"/>
      <w:bookmarkStart w:id="62" w:name="_Toc16097386"/>
      <w:bookmarkStart w:id="63" w:name="_Toc16097224"/>
      <w:bookmarkStart w:id="64" w:name="_Toc16097251"/>
      <w:bookmarkStart w:id="65" w:name="_Toc16097278"/>
      <w:bookmarkStart w:id="66" w:name="_Toc16097387"/>
      <w:bookmarkStart w:id="67" w:name="_Toc16097225"/>
      <w:bookmarkStart w:id="68" w:name="_Toc16097252"/>
      <w:bookmarkStart w:id="69" w:name="_Toc16097279"/>
      <w:bookmarkStart w:id="70" w:name="_Toc16097388"/>
      <w:bookmarkStart w:id="71" w:name="_Toc16097226"/>
      <w:bookmarkStart w:id="72" w:name="_Toc16097253"/>
      <w:bookmarkStart w:id="73" w:name="_Toc16097280"/>
      <w:bookmarkStart w:id="74" w:name="_Toc16097389"/>
      <w:bookmarkStart w:id="75" w:name="_Toc16097227"/>
      <w:bookmarkStart w:id="76" w:name="_Toc16097254"/>
      <w:bookmarkStart w:id="77" w:name="_Toc16097281"/>
      <w:bookmarkStart w:id="78" w:name="_Toc16097390"/>
      <w:bookmarkStart w:id="79" w:name="_Toc16097228"/>
      <w:bookmarkStart w:id="80" w:name="_Toc16097255"/>
      <w:bookmarkStart w:id="81" w:name="_Toc16097282"/>
      <w:bookmarkStart w:id="82" w:name="_Toc16097391"/>
      <w:bookmarkStart w:id="83" w:name="_Toc16097229"/>
      <w:bookmarkStart w:id="84" w:name="_Toc16097256"/>
      <w:bookmarkStart w:id="85" w:name="_Toc16097283"/>
      <w:bookmarkStart w:id="86" w:name="_Toc16097392"/>
      <w:bookmarkStart w:id="87" w:name="_Toc16097230"/>
      <w:bookmarkStart w:id="88" w:name="_Toc16097257"/>
      <w:bookmarkStart w:id="89" w:name="_Toc16097284"/>
      <w:bookmarkStart w:id="90" w:name="_Toc16097393"/>
      <w:bookmarkStart w:id="91" w:name="_Toc482346593"/>
      <w:bookmarkStart w:id="92" w:name="_Toc16097285"/>
      <w:bookmarkStart w:id="93" w:name="_Toc518999101"/>
      <w:bookmarkStart w:id="94" w:name="_Toc26195072"/>
      <w:bookmarkStart w:id="95" w:name="basisorcharging"/>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5773B8">
        <w:t>Methodology</w:t>
      </w:r>
      <w:bookmarkEnd w:id="91"/>
      <w:bookmarkEnd w:id="92"/>
      <w:bookmarkEnd w:id="93"/>
      <w:bookmarkEnd w:id="94"/>
      <w:r w:rsidRPr="005773B8">
        <w:t xml:space="preserve"> </w:t>
      </w:r>
    </w:p>
    <w:p w14:paraId="1C461A54" w14:textId="69B55A07" w:rsidR="00510E9F" w:rsidRPr="005773B8" w:rsidRDefault="00AD3B52" w:rsidP="00524BB2">
      <w:r>
        <w:t xml:space="preserve">ACMA uses the direct costs of operating the </w:t>
      </w:r>
      <w:r w:rsidR="00CD345D">
        <w:t>r</w:t>
      </w:r>
      <w:r>
        <w:t xml:space="preserve">egister to determine the level of subscription fees </w:t>
      </w:r>
      <w:r w:rsidR="001C0CC4">
        <w:t>required to</w:t>
      </w:r>
      <w:r>
        <w:t xml:space="preserve"> generate revenue to recover costs. </w:t>
      </w:r>
      <w:r w:rsidR="00510E9F" w:rsidRPr="005773B8">
        <w:t xml:space="preserve">In 2009, the Australian National Audit Office assessed whether the fees were appropriately set and collected to recover the costs of the </w:t>
      </w:r>
      <w:r w:rsidR="00CD345D">
        <w:t>r</w:t>
      </w:r>
      <w:r w:rsidR="00524BB2">
        <w:t>egister</w:t>
      </w:r>
      <w:r w:rsidR="00510E9F" w:rsidRPr="005773B8">
        <w:t xml:space="preserve"> in accordance with government policy. The audit confirmed that the methodology used was appropriate. </w:t>
      </w:r>
    </w:p>
    <w:p w14:paraId="486CCB34" w14:textId="6D4BBAD9" w:rsidR="00510E9F" w:rsidRDefault="001C0CC4" w:rsidP="00524BB2">
      <w:r>
        <w:t xml:space="preserve">When </w:t>
      </w:r>
      <w:r w:rsidR="00510E9F" w:rsidRPr="005773B8">
        <w:t xml:space="preserve">reviewing the modelling, ACMA </w:t>
      </w:r>
      <w:r>
        <w:t>considers</w:t>
      </w:r>
      <w:r w:rsidR="00510E9F" w:rsidRPr="005773B8">
        <w:t xml:space="preserve"> the current cost</w:t>
      </w:r>
      <w:r w:rsidR="00C04684" w:rsidRPr="005773B8">
        <w:t>-</w:t>
      </w:r>
      <w:r w:rsidR="00510E9F" w:rsidRPr="005773B8">
        <w:t xml:space="preserve">recovery policy of promoting consistent, transparent and accountable charging for government activities and the proper use of public resources. </w:t>
      </w:r>
      <w:r>
        <w:t>For 201</w:t>
      </w:r>
      <w:r w:rsidR="00A719A6">
        <w:t>8</w:t>
      </w:r>
      <w:r w:rsidR="00FA7E99">
        <w:rPr>
          <w:snapToGrid w:val="0"/>
        </w:rPr>
        <w:t>–</w:t>
      </w:r>
      <w:r w:rsidR="00A719A6">
        <w:t>19</w:t>
      </w:r>
      <w:r w:rsidR="0042398E">
        <w:t xml:space="preserve"> </w:t>
      </w:r>
      <w:r>
        <w:t>there has been</w:t>
      </w:r>
      <w:r w:rsidR="00510E9F" w:rsidRPr="005773B8">
        <w:t xml:space="preserve"> no change in the methodology used as the model </w:t>
      </w:r>
      <w:r>
        <w:t xml:space="preserve">remains </w:t>
      </w:r>
      <w:r w:rsidR="00197CEF" w:rsidRPr="005773B8">
        <w:t>consistent with</w:t>
      </w:r>
      <w:r w:rsidR="00510E9F" w:rsidRPr="005773B8">
        <w:t xml:space="preserve"> the </w:t>
      </w:r>
      <w:hyperlink r:id="rId33" w:history="1">
        <w:r w:rsidR="00510E9F" w:rsidRPr="005773B8">
          <w:rPr>
            <w:rStyle w:val="Hyperlink"/>
          </w:rPr>
          <w:t>Australian Government Cost Recovery Guidelines</w:t>
        </w:r>
      </w:hyperlink>
      <w:r w:rsidR="00510E9F" w:rsidRPr="005773B8">
        <w:t xml:space="preserve">. </w:t>
      </w:r>
    </w:p>
    <w:p w14:paraId="5CBB9195" w14:textId="259FA288" w:rsidR="00063EA3" w:rsidRDefault="00063EA3" w:rsidP="00063EA3">
      <w:bookmarkStart w:id="96" w:name="_Hlk19546448"/>
      <w:r>
        <w:t xml:space="preserve">The fees payable </w:t>
      </w:r>
      <w:proofErr w:type="gramStart"/>
      <w:r>
        <w:t>are</w:t>
      </w:r>
      <w:proofErr w:type="gramEnd"/>
      <w:r>
        <w:t xml:space="preserve"> based </w:t>
      </w:r>
      <w:bookmarkEnd w:id="96"/>
      <w:r>
        <w:t xml:space="preserve">on the </w:t>
      </w:r>
      <w:r w:rsidRPr="00212B85">
        <w:t xml:space="preserve">costs of maintaining the </w:t>
      </w:r>
      <w:r w:rsidR="00C462D2">
        <w:t>DNCR</w:t>
      </w:r>
      <w:r>
        <w:t xml:space="preserve"> and </w:t>
      </w:r>
      <w:r w:rsidR="00130F54">
        <w:t xml:space="preserve">the </w:t>
      </w:r>
      <w:r w:rsidRPr="00212B85">
        <w:t xml:space="preserve">service provided to those wanting to check numbers against the </w:t>
      </w:r>
      <w:r w:rsidR="00C462D2">
        <w:t>r</w:t>
      </w:r>
      <w:r>
        <w:t>egister</w:t>
      </w:r>
      <w:r w:rsidRPr="00212B85">
        <w:t xml:space="preserve">. For this reason, subscription fees are set to recover </w:t>
      </w:r>
      <w:r>
        <w:t>all</w:t>
      </w:r>
      <w:r w:rsidRPr="00212B85">
        <w:t xml:space="preserve"> direct costs of operating the </w:t>
      </w:r>
      <w:r w:rsidR="00C462D2">
        <w:t>r</w:t>
      </w:r>
      <w:r>
        <w:t>egister</w:t>
      </w:r>
      <w:r w:rsidRPr="00212B85">
        <w:t>.</w:t>
      </w:r>
      <w:r>
        <w:t xml:space="preserve"> </w:t>
      </w:r>
    </w:p>
    <w:p w14:paraId="22CCDDF8" w14:textId="77777777" w:rsidR="00063EA3" w:rsidRPr="00212B85" w:rsidRDefault="00063EA3" w:rsidP="00063EA3">
      <w:pPr>
        <w:spacing w:after="80"/>
        <w:rPr>
          <w:rFonts w:eastAsia="SimSun"/>
        </w:rPr>
      </w:pPr>
      <w:r>
        <w:rPr>
          <w:rFonts w:eastAsia="SimSun"/>
        </w:rPr>
        <w:t>In</w:t>
      </w:r>
      <w:r w:rsidRPr="00212B85">
        <w:rPr>
          <w:rFonts w:eastAsia="SimSun"/>
        </w:rPr>
        <w:t xml:space="preserve"> determining the subscription fees, the likely demand for subscriptions is forecast </w:t>
      </w:r>
      <w:r>
        <w:rPr>
          <w:rFonts w:eastAsia="SimSun"/>
        </w:rPr>
        <w:t>by</w:t>
      </w:r>
      <w:r w:rsidRPr="00212B85">
        <w:rPr>
          <w:rFonts w:eastAsia="SimSun"/>
        </w:rPr>
        <w:t>:</w:t>
      </w:r>
    </w:p>
    <w:p w14:paraId="286C2898" w14:textId="782AF639" w:rsidR="00063EA3" w:rsidRPr="00212B85" w:rsidRDefault="00063EA3" w:rsidP="00063EA3">
      <w:pPr>
        <w:pStyle w:val="ListBullet"/>
        <w:tabs>
          <w:tab w:val="clear" w:pos="295"/>
          <w:tab w:val="num" w:pos="579"/>
        </w:tabs>
        <w:ind w:left="284" w:firstLine="0"/>
      </w:pPr>
      <w:r>
        <w:t xml:space="preserve">performing a </w:t>
      </w:r>
      <w:r w:rsidRPr="00212B85">
        <w:t>trend analysis from the historical data to a defined period</w:t>
      </w:r>
    </w:p>
    <w:p w14:paraId="585E1D38" w14:textId="77777777" w:rsidR="00063EA3" w:rsidRPr="00212B85" w:rsidRDefault="00063EA3" w:rsidP="00063EA3">
      <w:pPr>
        <w:pStyle w:val="ListBulletLast"/>
        <w:tabs>
          <w:tab w:val="clear" w:pos="295"/>
          <w:tab w:val="num" w:pos="579"/>
        </w:tabs>
        <w:ind w:left="284" w:firstLine="0"/>
      </w:pPr>
      <w:r>
        <w:t xml:space="preserve">establishing </w:t>
      </w:r>
      <w:r w:rsidRPr="00212B85">
        <w:t xml:space="preserve">a simple growth rate </w:t>
      </w:r>
      <w:r>
        <w:t xml:space="preserve">(either positive or negative) </w:t>
      </w:r>
      <w:r w:rsidRPr="00212B85">
        <w:t>across each subscription type for each month thereafter.</w:t>
      </w:r>
    </w:p>
    <w:p w14:paraId="2D93CA8E" w14:textId="02E15A68" w:rsidR="00063EA3" w:rsidRDefault="00063EA3" w:rsidP="00063EA3">
      <w:pPr>
        <w:rPr>
          <w:rFonts w:eastAsia="SimSun"/>
        </w:rPr>
      </w:pPr>
      <w:r w:rsidRPr="00212B85">
        <w:rPr>
          <w:rFonts w:eastAsia="SimSun"/>
        </w:rPr>
        <w:t xml:space="preserve">The likely demand for subscriptions and the total cost to recover from industry are then inserted into the subscription fee model. In 2006, ACMA engaged Access Economics (an independent consultancy organisation) to assist with the development of the original subscription fee model. </w:t>
      </w:r>
    </w:p>
    <w:p w14:paraId="19CE81EE" w14:textId="2334D91A" w:rsidR="00063EA3" w:rsidRDefault="00063EA3" w:rsidP="00063EA3">
      <w:pPr>
        <w:rPr>
          <w:rFonts w:eastAsia="SimSun"/>
        </w:rPr>
      </w:pPr>
      <w:r w:rsidRPr="00212B85">
        <w:rPr>
          <w:rFonts w:eastAsia="SimSun"/>
        </w:rPr>
        <w:t xml:space="preserve">The model determines the amounts the subscription fees must be set at (by type) </w:t>
      </w:r>
      <w:proofErr w:type="gramStart"/>
      <w:r w:rsidRPr="00212B85">
        <w:rPr>
          <w:rFonts w:eastAsia="SimSun"/>
        </w:rPr>
        <w:t>in order to</w:t>
      </w:r>
      <w:proofErr w:type="gramEnd"/>
      <w:r w:rsidRPr="00212B85">
        <w:rPr>
          <w:rFonts w:eastAsia="SimSun"/>
        </w:rPr>
        <w:t xml:space="preserve"> generate sufficient subscription fee revenue to cover the direct operating costs of the </w:t>
      </w:r>
      <w:r w:rsidR="00E40968">
        <w:rPr>
          <w:rFonts w:eastAsia="SimSun"/>
        </w:rPr>
        <w:t>r</w:t>
      </w:r>
      <w:r>
        <w:rPr>
          <w:rFonts w:eastAsia="SimSun"/>
        </w:rPr>
        <w:t>egister</w:t>
      </w:r>
      <w:r w:rsidRPr="00212B85">
        <w:rPr>
          <w:rFonts w:eastAsia="SimSun"/>
        </w:rPr>
        <w:t xml:space="preserve"> from industry subscribers.</w:t>
      </w:r>
    </w:p>
    <w:p w14:paraId="225B40DC" w14:textId="0850B55F" w:rsidR="00063EA3" w:rsidRDefault="00063EA3" w:rsidP="00063EA3">
      <w:pPr>
        <w:rPr>
          <w:rFonts w:cs="Arial"/>
          <w:iCs/>
        </w:rPr>
      </w:pPr>
      <w:r w:rsidRPr="00212B85">
        <w:rPr>
          <w:rFonts w:eastAsia="SimSun"/>
        </w:rPr>
        <w:t xml:space="preserve">Under this model, there are eight annual subscription types to choose from. </w:t>
      </w:r>
      <w:r w:rsidRPr="00212B85">
        <w:rPr>
          <w:rFonts w:cs="Arial"/>
          <w:iCs/>
        </w:rPr>
        <w:t xml:space="preserve">The type of subscription purchased entitles the telemarketer or fax marketer to submit a specified maximum quantity of numbers—from 500 to 100 million numbers—for checking against the </w:t>
      </w:r>
      <w:r w:rsidR="00B144DF">
        <w:rPr>
          <w:rFonts w:cs="Arial"/>
          <w:iCs/>
        </w:rPr>
        <w:t>r</w:t>
      </w:r>
      <w:r>
        <w:rPr>
          <w:rFonts w:cs="Arial"/>
          <w:iCs/>
        </w:rPr>
        <w:t>egister</w:t>
      </w:r>
      <w:r w:rsidRPr="00212B85">
        <w:rPr>
          <w:rFonts w:cs="Arial"/>
          <w:iCs/>
        </w:rPr>
        <w:t xml:space="preserve"> during a </w:t>
      </w:r>
      <w:r w:rsidRPr="00EE10C1">
        <w:t>12</w:t>
      </w:r>
      <w:r>
        <w:t>-month</w:t>
      </w:r>
      <w:r w:rsidRPr="00212B85">
        <w:rPr>
          <w:rFonts w:cs="Arial"/>
          <w:iCs/>
        </w:rPr>
        <w:t xml:space="preserve"> period.</w:t>
      </w:r>
      <w:r>
        <w:rPr>
          <w:rFonts w:cs="Arial"/>
          <w:iCs/>
        </w:rPr>
        <w:t xml:space="preserve"> Discounts of costs per wash apply for increasing numbers of wash credits. Additional subscriptions can be purchased at any time.  </w:t>
      </w:r>
    </w:p>
    <w:p w14:paraId="21D3F0A5" w14:textId="1B4AB124" w:rsidR="00063EA3" w:rsidRPr="00212B85" w:rsidRDefault="00E40968" w:rsidP="00A954D2">
      <w:pPr>
        <w:pStyle w:val="Caption"/>
        <w:spacing w:after="80"/>
        <w:rPr>
          <w:rFonts w:eastAsia="SimSun"/>
        </w:rPr>
      </w:pPr>
      <w:r>
        <w:rPr>
          <w:iCs/>
          <w:szCs w:val="32"/>
        </w:rPr>
        <w:t>S</w:t>
      </w:r>
      <w:r w:rsidR="00063EA3">
        <w:rPr>
          <w:iCs/>
          <w:szCs w:val="32"/>
        </w:rPr>
        <w:t xml:space="preserve">ubscription types, fees past and present, and applied discounts. </w:t>
      </w:r>
    </w:p>
    <w:tbl>
      <w:tblPr>
        <w:tblStyle w:val="TableGrid"/>
        <w:tblW w:w="8359" w:type="dxa"/>
        <w:tblLook w:val="04A0" w:firstRow="1" w:lastRow="0" w:firstColumn="1" w:lastColumn="0" w:noHBand="0" w:noVBand="1"/>
      </w:tblPr>
      <w:tblGrid>
        <w:gridCol w:w="988"/>
        <w:gridCol w:w="1701"/>
        <w:gridCol w:w="1559"/>
        <w:gridCol w:w="1701"/>
        <w:gridCol w:w="2410"/>
      </w:tblGrid>
      <w:tr w:rsidR="00063EA3" w:rsidRPr="00212B85" w14:paraId="00B615E4" w14:textId="77777777" w:rsidTr="00A954D2">
        <w:tc>
          <w:tcPr>
            <w:tcW w:w="988" w:type="dxa"/>
            <w:vMerge w:val="restart"/>
            <w:shd w:val="clear" w:color="auto" w:fill="404040" w:themeFill="text1" w:themeFillTint="BF"/>
            <w:tcMar>
              <w:top w:w="57" w:type="dxa"/>
              <w:bottom w:w="57" w:type="dxa"/>
            </w:tcMar>
            <w:vAlign w:val="center"/>
          </w:tcPr>
          <w:p w14:paraId="5AC3B0AC" w14:textId="77777777" w:rsidR="00063EA3" w:rsidRPr="00212B85" w:rsidRDefault="00063EA3" w:rsidP="0097272D">
            <w:pPr>
              <w:pStyle w:val="TableHeading"/>
              <w:rPr>
                <w:rFonts w:eastAsia="SimSun"/>
                <w:color w:val="FFFFFF" w:themeColor="background1"/>
              </w:rPr>
            </w:pPr>
            <w:r w:rsidRPr="00212B85">
              <w:rPr>
                <w:color w:val="FFFFFF" w:themeColor="background1"/>
              </w:rPr>
              <w:t>Type</w:t>
            </w:r>
          </w:p>
        </w:tc>
        <w:tc>
          <w:tcPr>
            <w:tcW w:w="1701" w:type="dxa"/>
            <w:vMerge w:val="restart"/>
            <w:shd w:val="clear" w:color="auto" w:fill="404040" w:themeFill="text1" w:themeFillTint="BF"/>
            <w:tcMar>
              <w:top w:w="57" w:type="dxa"/>
              <w:bottom w:w="57" w:type="dxa"/>
            </w:tcMar>
            <w:vAlign w:val="center"/>
          </w:tcPr>
          <w:p w14:paraId="205DA24F" w14:textId="77777777" w:rsidR="00063EA3" w:rsidRPr="00212B85" w:rsidRDefault="00063EA3" w:rsidP="0097272D">
            <w:pPr>
              <w:pStyle w:val="TableHeading"/>
              <w:jc w:val="right"/>
              <w:rPr>
                <w:rFonts w:eastAsia="SimSun"/>
                <w:color w:val="FFFFFF" w:themeColor="background1"/>
              </w:rPr>
            </w:pPr>
            <w:r w:rsidRPr="00212B85">
              <w:rPr>
                <w:color w:val="FFFFFF" w:themeColor="background1"/>
              </w:rPr>
              <w:t>No. of washes</w:t>
            </w:r>
          </w:p>
        </w:tc>
        <w:tc>
          <w:tcPr>
            <w:tcW w:w="3260" w:type="dxa"/>
            <w:gridSpan w:val="2"/>
            <w:shd w:val="clear" w:color="auto" w:fill="404040" w:themeFill="text1" w:themeFillTint="BF"/>
            <w:tcMar>
              <w:top w:w="57" w:type="dxa"/>
              <w:bottom w:w="57" w:type="dxa"/>
            </w:tcMar>
          </w:tcPr>
          <w:p w14:paraId="432872C9" w14:textId="77777777" w:rsidR="00063EA3" w:rsidRPr="00212B85" w:rsidRDefault="00063EA3" w:rsidP="0097272D">
            <w:pPr>
              <w:pStyle w:val="TableHeading"/>
              <w:jc w:val="center"/>
              <w:rPr>
                <w:rFonts w:eastAsia="SimSun"/>
                <w:color w:val="FFFFFF" w:themeColor="background1"/>
              </w:rPr>
            </w:pPr>
            <w:r w:rsidRPr="00212B85">
              <w:rPr>
                <w:rFonts w:eastAsia="SimSun"/>
                <w:color w:val="FFFFFF" w:themeColor="background1"/>
              </w:rPr>
              <w:t>Fees</w:t>
            </w:r>
          </w:p>
        </w:tc>
        <w:tc>
          <w:tcPr>
            <w:tcW w:w="2410" w:type="dxa"/>
            <w:shd w:val="clear" w:color="auto" w:fill="404040" w:themeFill="text1" w:themeFillTint="BF"/>
            <w:tcMar>
              <w:top w:w="57" w:type="dxa"/>
              <w:bottom w:w="57" w:type="dxa"/>
            </w:tcMar>
          </w:tcPr>
          <w:p w14:paraId="01C86ACE" w14:textId="77777777" w:rsidR="00063EA3" w:rsidRPr="00212B85" w:rsidRDefault="00063EA3" w:rsidP="0097272D">
            <w:pPr>
              <w:pStyle w:val="TableHeading"/>
              <w:jc w:val="center"/>
              <w:rPr>
                <w:rFonts w:eastAsia="SimSun"/>
                <w:color w:val="FFFFFF" w:themeColor="background1"/>
              </w:rPr>
            </w:pPr>
            <w:r>
              <w:rPr>
                <w:rFonts w:eastAsia="SimSun"/>
                <w:color w:val="FFFFFF" w:themeColor="background1"/>
              </w:rPr>
              <w:t>Discount</w:t>
            </w:r>
          </w:p>
        </w:tc>
      </w:tr>
      <w:tr w:rsidR="00063EA3" w:rsidRPr="00212B85" w14:paraId="259DC210" w14:textId="77777777" w:rsidTr="00A954D2">
        <w:tc>
          <w:tcPr>
            <w:tcW w:w="988" w:type="dxa"/>
            <w:vMerge/>
            <w:shd w:val="clear" w:color="auto" w:fill="404040" w:themeFill="text1" w:themeFillTint="BF"/>
            <w:tcMar>
              <w:top w:w="57" w:type="dxa"/>
              <w:bottom w:w="57" w:type="dxa"/>
            </w:tcMar>
          </w:tcPr>
          <w:p w14:paraId="64727005" w14:textId="77777777" w:rsidR="00063EA3" w:rsidRPr="00212B85" w:rsidRDefault="00063EA3" w:rsidP="0097272D">
            <w:pPr>
              <w:pStyle w:val="TableHeading"/>
              <w:rPr>
                <w:rFonts w:eastAsia="SimSun"/>
                <w:color w:val="FFFFFF" w:themeColor="background1"/>
              </w:rPr>
            </w:pPr>
          </w:p>
        </w:tc>
        <w:tc>
          <w:tcPr>
            <w:tcW w:w="1701" w:type="dxa"/>
            <w:vMerge/>
            <w:shd w:val="clear" w:color="auto" w:fill="404040" w:themeFill="text1" w:themeFillTint="BF"/>
            <w:tcMar>
              <w:top w:w="57" w:type="dxa"/>
              <w:bottom w:w="57" w:type="dxa"/>
            </w:tcMar>
          </w:tcPr>
          <w:p w14:paraId="15405664" w14:textId="77777777" w:rsidR="00063EA3" w:rsidRPr="00212B85" w:rsidRDefault="00063EA3" w:rsidP="0097272D">
            <w:pPr>
              <w:pStyle w:val="TableHeading"/>
              <w:jc w:val="right"/>
              <w:rPr>
                <w:rFonts w:eastAsia="SimSun"/>
                <w:color w:val="FFFFFF" w:themeColor="background1"/>
              </w:rPr>
            </w:pPr>
          </w:p>
        </w:tc>
        <w:tc>
          <w:tcPr>
            <w:tcW w:w="1559" w:type="dxa"/>
            <w:shd w:val="clear" w:color="auto" w:fill="404040" w:themeFill="text1" w:themeFillTint="BF"/>
            <w:tcMar>
              <w:top w:w="57" w:type="dxa"/>
              <w:bottom w:w="57" w:type="dxa"/>
            </w:tcMar>
            <w:vAlign w:val="center"/>
          </w:tcPr>
          <w:p w14:paraId="603EF43F" w14:textId="77777777" w:rsidR="00063EA3" w:rsidRPr="00212B85" w:rsidRDefault="00063EA3" w:rsidP="0097272D">
            <w:pPr>
              <w:pStyle w:val="TableHeading"/>
              <w:jc w:val="center"/>
              <w:rPr>
                <w:rFonts w:eastAsia="SimSun"/>
                <w:color w:val="FFFFFF" w:themeColor="background1"/>
              </w:rPr>
            </w:pPr>
            <w:r w:rsidRPr="00212B85">
              <w:rPr>
                <w:color w:val="FFFFFF" w:themeColor="background1"/>
              </w:rPr>
              <w:t>2010–11 to 2016–17*</w:t>
            </w:r>
          </w:p>
        </w:tc>
        <w:tc>
          <w:tcPr>
            <w:tcW w:w="1701" w:type="dxa"/>
            <w:shd w:val="clear" w:color="auto" w:fill="404040" w:themeFill="text1" w:themeFillTint="BF"/>
            <w:tcMar>
              <w:top w:w="57" w:type="dxa"/>
              <w:bottom w:w="57" w:type="dxa"/>
            </w:tcMar>
            <w:vAlign w:val="center"/>
          </w:tcPr>
          <w:p w14:paraId="6A2CFE62" w14:textId="77777777" w:rsidR="00063EA3" w:rsidRPr="00212B85" w:rsidRDefault="00063EA3" w:rsidP="0097272D">
            <w:pPr>
              <w:pStyle w:val="TableHeading"/>
              <w:jc w:val="center"/>
              <w:rPr>
                <w:rFonts w:eastAsia="SimSun"/>
                <w:color w:val="FFFFFF" w:themeColor="background1"/>
              </w:rPr>
            </w:pPr>
            <w:r w:rsidRPr="00212B85">
              <w:rPr>
                <w:color w:val="FFFFFF" w:themeColor="background1"/>
              </w:rPr>
              <w:t>2017–18</w:t>
            </w:r>
            <w:r>
              <w:rPr>
                <w:color w:val="FFFFFF" w:themeColor="background1"/>
              </w:rPr>
              <w:t xml:space="preserve"> to current</w:t>
            </w:r>
          </w:p>
        </w:tc>
        <w:tc>
          <w:tcPr>
            <w:tcW w:w="2410" w:type="dxa"/>
            <w:shd w:val="clear" w:color="auto" w:fill="404040" w:themeFill="text1" w:themeFillTint="BF"/>
            <w:tcMar>
              <w:top w:w="57" w:type="dxa"/>
              <w:bottom w:w="57" w:type="dxa"/>
            </w:tcMar>
          </w:tcPr>
          <w:p w14:paraId="5B27EC36" w14:textId="77777777" w:rsidR="00063EA3" w:rsidRPr="00212B85" w:rsidRDefault="00063EA3" w:rsidP="0097272D">
            <w:pPr>
              <w:pStyle w:val="TableHeading"/>
              <w:jc w:val="center"/>
              <w:rPr>
                <w:color w:val="FFFFFF" w:themeColor="background1"/>
              </w:rPr>
            </w:pPr>
            <w:r>
              <w:rPr>
                <w:color w:val="FFFFFF" w:themeColor="background1"/>
              </w:rPr>
              <w:t>Discount of cost per wash**</w:t>
            </w:r>
          </w:p>
        </w:tc>
      </w:tr>
      <w:tr w:rsidR="00063EA3" w:rsidRPr="00212B85" w14:paraId="7481DD09" w14:textId="77777777" w:rsidTr="00E93FFC">
        <w:tc>
          <w:tcPr>
            <w:tcW w:w="988" w:type="dxa"/>
            <w:vAlign w:val="center"/>
          </w:tcPr>
          <w:p w14:paraId="302AAF9D" w14:textId="77777777" w:rsidR="00063EA3" w:rsidRPr="002A7D8F" w:rsidRDefault="00063EA3" w:rsidP="0097272D">
            <w:pPr>
              <w:spacing w:after="0" w:line="360" w:lineRule="auto"/>
              <w:rPr>
                <w:rFonts w:eastAsia="SimSun"/>
              </w:rPr>
            </w:pPr>
            <w:r w:rsidRPr="00A954D2">
              <w:rPr>
                <w:rFonts w:cs="Arial"/>
                <w:color w:val="000000"/>
                <w:sz w:val="18"/>
                <w:szCs w:val="18"/>
              </w:rPr>
              <w:t>Type A</w:t>
            </w:r>
          </w:p>
        </w:tc>
        <w:tc>
          <w:tcPr>
            <w:tcW w:w="1701" w:type="dxa"/>
            <w:vAlign w:val="center"/>
          </w:tcPr>
          <w:p w14:paraId="709FDEAB" w14:textId="77777777" w:rsidR="00063EA3" w:rsidRPr="00212B85" w:rsidRDefault="00063EA3" w:rsidP="0097272D">
            <w:pPr>
              <w:spacing w:after="0" w:line="360" w:lineRule="auto"/>
              <w:jc w:val="center"/>
              <w:rPr>
                <w:rFonts w:eastAsia="SimSun"/>
              </w:rPr>
            </w:pPr>
            <w:r w:rsidRPr="00212B85">
              <w:rPr>
                <w:rFonts w:cs="Arial"/>
                <w:color w:val="000000"/>
                <w:sz w:val="18"/>
                <w:szCs w:val="18"/>
              </w:rPr>
              <w:t>500</w:t>
            </w:r>
          </w:p>
        </w:tc>
        <w:tc>
          <w:tcPr>
            <w:tcW w:w="1559" w:type="dxa"/>
            <w:vAlign w:val="center"/>
          </w:tcPr>
          <w:p w14:paraId="402E2EA5" w14:textId="77777777" w:rsidR="00063EA3" w:rsidRPr="00212B85" w:rsidRDefault="00063EA3" w:rsidP="0097272D">
            <w:pPr>
              <w:spacing w:after="0" w:line="360" w:lineRule="auto"/>
              <w:jc w:val="center"/>
              <w:rPr>
                <w:rFonts w:eastAsia="SimSun"/>
              </w:rPr>
            </w:pPr>
            <w:r w:rsidRPr="00212B85">
              <w:rPr>
                <w:rFonts w:cs="Arial"/>
                <w:color w:val="000000"/>
                <w:sz w:val="18"/>
                <w:szCs w:val="18"/>
              </w:rPr>
              <w:t>$0</w:t>
            </w:r>
          </w:p>
        </w:tc>
        <w:tc>
          <w:tcPr>
            <w:tcW w:w="1701" w:type="dxa"/>
            <w:vAlign w:val="center"/>
          </w:tcPr>
          <w:p w14:paraId="46C058C4" w14:textId="77777777" w:rsidR="00063EA3" w:rsidRPr="00212B85" w:rsidRDefault="00063EA3" w:rsidP="0097272D">
            <w:pPr>
              <w:spacing w:after="0" w:line="360" w:lineRule="auto"/>
              <w:jc w:val="center"/>
              <w:rPr>
                <w:rFonts w:eastAsia="SimSun"/>
              </w:rPr>
            </w:pPr>
            <w:r w:rsidRPr="00212B85">
              <w:rPr>
                <w:rFonts w:cs="Arial"/>
                <w:color w:val="000000"/>
                <w:sz w:val="18"/>
                <w:szCs w:val="18"/>
              </w:rPr>
              <w:t>$0</w:t>
            </w:r>
          </w:p>
        </w:tc>
        <w:tc>
          <w:tcPr>
            <w:tcW w:w="2410" w:type="dxa"/>
          </w:tcPr>
          <w:p w14:paraId="5C1A3576" w14:textId="77777777" w:rsidR="00063EA3" w:rsidRPr="00212B85" w:rsidRDefault="00063EA3" w:rsidP="0097272D">
            <w:pPr>
              <w:spacing w:after="0" w:line="360" w:lineRule="auto"/>
              <w:jc w:val="center"/>
              <w:rPr>
                <w:rFonts w:cs="Arial"/>
                <w:color w:val="000000"/>
                <w:sz w:val="18"/>
                <w:szCs w:val="18"/>
              </w:rPr>
            </w:pPr>
            <w:r>
              <w:rPr>
                <w:rFonts w:cs="Arial"/>
                <w:color w:val="000000"/>
                <w:sz w:val="18"/>
                <w:szCs w:val="18"/>
              </w:rPr>
              <w:t>0%</w:t>
            </w:r>
          </w:p>
        </w:tc>
      </w:tr>
      <w:tr w:rsidR="00063EA3" w:rsidRPr="00212B85" w14:paraId="125572C6" w14:textId="77777777" w:rsidTr="00E93FFC">
        <w:tc>
          <w:tcPr>
            <w:tcW w:w="988" w:type="dxa"/>
            <w:vAlign w:val="center"/>
          </w:tcPr>
          <w:p w14:paraId="35099510" w14:textId="77777777" w:rsidR="00063EA3" w:rsidRPr="002A7D8F" w:rsidRDefault="00063EA3" w:rsidP="0097272D">
            <w:pPr>
              <w:spacing w:after="0" w:line="360" w:lineRule="auto"/>
              <w:rPr>
                <w:rFonts w:eastAsia="SimSun"/>
              </w:rPr>
            </w:pPr>
            <w:r w:rsidRPr="00A954D2">
              <w:rPr>
                <w:rFonts w:cs="Arial"/>
                <w:color w:val="000000"/>
                <w:sz w:val="18"/>
                <w:szCs w:val="18"/>
              </w:rPr>
              <w:t>Type B</w:t>
            </w:r>
          </w:p>
        </w:tc>
        <w:tc>
          <w:tcPr>
            <w:tcW w:w="1701" w:type="dxa"/>
            <w:vAlign w:val="center"/>
          </w:tcPr>
          <w:p w14:paraId="4BA844C7" w14:textId="77777777" w:rsidR="00063EA3" w:rsidRPr="00212B85" w:rsidRDefault="00063EA3" w:rsidP="0097272D">
            <w:pPr>
              <w:spacing w:after="0" w:line="360" w:lineRule="auto"/>
              <w:jc w:val="center"/>
              <w:rPr>
                <w:rFonts w:eastAsia="SimSun"/>
              </w:rPr>
            </w:pPr>
            <w:r w:rsidRPr="00212B85">
              <w:rPr>
                <w:rFonts w:cs="Arial"/>
                <w:color w:val="000000"/>
                <w:sz w:val="18"/>
                <w:szCs w:val="18"/>
              </w:rPr>
              <w:t>20,000</w:t>
            </w:r>
          </w:p>
        </w:tc>
        <w:tc>
          <w:tcPr>
            <w:tcW w:w="1559" w:type="dxa"/>
            <w:vAlign w:val="center"/>
          </w:tcPr>
          <w:p w14:paraId="11636874" w14:textId="77777777" w:rsidR="00063EA3" w:rsidRPr="00212B85" w:rsidRDefault="00063EA3" w:rsidP="0097272D">
            <w:pPr>
              <w:spacing w:after="0" w:line="360" w:lineRule="auto"/>
              <w:jc w:val="center"/>
              <w:rPr>
                <w:rFonts w:eastAsia="SimSun"/>
              </w:rPr>
            </w:pPr>
            <w:r w:rsidRPr="00212B85">
              <w:rPr>
                <w:rFonts w:cs="Arial"/>
                <w:color w:val="000000"/>
                <w:sz w:val="18"/>
                <w:szCs w:val="18"/>
              </w:rPr>
              <w:t>$79</w:t>
            </w:r>
          </w:p>
        </w:tc>
        <w:tc>
          <w:tcPr>
            <w:tcW w:w="1701" w:type="dxa"/>
            <w:vAlign w:val="center"/>
          </w:tcPr>
          <w:p w14:paraId="2DAADBAB" w14:textId="77777777" w:rsidR="00063EA3" w:rsidRPr="00212B85" w:rsidRDefault="00063EA3" w:rsidP="0097272D">
            <w:pPr>
              <w:spacing w:after="0" w:line="360" w:lineRule="auto"/>
              <w:jc w:val="center"/>
              <w:rPr>
                <w:rFonts w:eastAsia="SimSun"/>
              </w:rPr>
            </w:pPr>
            <w:r w:rsidRPr="00212B85">
              <w:rPr>
                <w:rFonts w:cs="Arial"/>
                <w:color w:val="000000"/>
                <w:sz w:val="18"/>
                <w:szCs w:val="18"/>
              </w:rPr>
              <w:t>$113</w:t>
            </w:r>
          </w:p>
        </w:tc>
        <w:tc>
          <w:tcPr>
            <w:tcW w:w="2410" w:type="dxa"/>
          </w:tcPr>
          <w:p w14:paraId="0EBA0B70" w14:textId="77777777" w:rsidR="00063EA3" w:rsidRPr="00212B85" w:rsidRDefault="00063EA3" w:rsidP="0097272D">
            <w:pPr>
              <w:spacing w:after="0" w:line="360" w:lineRule="auto"/>
              <w:jc w:val="center"/>
              <w:rPr>
                <w:rFonts w:cs="Arial"/>
                <w:color w:val="000000"/>
                <w:sz w:val="18"/>
                <w:szCs w:val="18"/>
              </w:rPr>
            </w:pPr>
            <w:r>
              <w:rPr>
                <w:rFonts w:cs="Arial"/>
                <w:color w:val="000000"/>
                <w:sz w:val="18"/>
                <w:szCs w:val="18"/>
              </w:rPr>
              <w:t>0%</w:t>
            </w:r>
          </w:p>
        </w:tc>
      </w:tr>
      <w:tr w:rsidR="00063EA3" w:rsidRPr="00212B85" w14:paraId="09486E41" w14:textId="77777777" w:rsidTr="00E93FFC">
        <w:tc>
          <w:tcPr>
            <w:tcW w:w="988" w:type="dxa"/>
            <w:vAlign w:val="center"/>
          </w:tcPr>
          <w:p w14:paraId="7320DA69" w14:textId="77777777" w:rsidR="00063EA3" w:rsidRPr="002A7D8F" w:rsidRDefault="00063EA3" w:rsidP="0097272D">
            <w:pPr>
              <w:spacing w:after="0" w:line="360" w:lineRule="auto"/>
              <w:rPr>
                <w:rFonts w:eastAsia="SimSun"/>
              </w:rPr>
            </w:pPr>
            <w:r w:rsidRPr="00A954D2">
              <w:rPr>
                <w:rFonts w:cs="Arial"/>
                <w:color w:val="000000"/>
                <w:sz w:val="18"/>
                <w:szCs w:val="18"/>
              </w:rPr>
              <w:t>Type C</w:t>
            </w:r>
          </w:p>
        </w:tc>
        <w:tc>
          <w:tcPr>
            <w:tcW w:w="1701" w:type="dxa"/>
            <w:vAlign w:val="center"/>
          </w:tcPr>
          <w:p w14:paraId="4E67EF18" w14:textId="77777777" w:rsidR="00063EA3" w:rsidRPr="00212B85" w:rsidRDefault="00063EA3" w:rsidP="0097272D">
            <w:pPr>
              <w:spacing w:after="0" w:line="360" w:lineRule="auto"/>
              <w:jc w:val="center"/>
              <w:rPr>
                <w:rFonts w:eastAsia="SimSun"/>
              </w:rPr>
            </w:pPr>
            <w:r w:rsidRPr="00212B85">
              <w:rPr>
                <w:rFonts w:cs="Arial"/>
                <w:color w:val="000000"/>
                <w:sz w:val="18"/>
                <w:szCs w:val="18"/>
              </w:rPr>
              <w:t>100,000</w:t>
            </w:r>
          </w:p>
        </w:tc>
        <w:tc>
          <w:tcPr>
            <w:tcW w:w="1559" w:type="dxa"/>
            <w:vAlign w:val="center"/>
          </w:tcPr>
          <w:p w14:paraId="044C5CCA" w14:textId="77777777" w:rsidR="00063EA3" w:rsidRPr="00212B85" w:rsidRDefault="00063EA3" w:rsidP="0097272D">
            <w:pPr>
              <w:spacing w:after="0" w:line="360" w:lineRule="auto"/>
              <w:jc w:val="center"/>
              <w:rPr>
                <w:rFonts w:eastAsia="SimSun"/>
              </w:rPr>
            </w:pPr>
            <w:r w:rsidRPr="00212B85">
              <w:rPr>
                <w:rFonts w:cs="Arial"/>
                <w:color w:val="000000"/>
                <w:sz w:val="18"/>
                <w:szCs w:val="18"/>
              </w:rPr>
              <w:t>$370</w:t>
            </w:r>
          </w:p>
        </w:tc>
        <w:tc>
          <w:tcPr>
            <w:tcW w:w="1701" w:type="dxa"/>
            <w:vAlign w:val="center"/>
          </w:tcPr>
          <w:p w14:paraId="00906889" w14:textId="77777777" w:rsidR="00063EA3" w:rsidRPr="00212B85" w:rsidRDefault="00063EA3" w:rsidP="0097272D">
            <w:pPr>
              <w:spacing w:after="0" w:line="360" w:lineRule="auto"/>
              <w:jc w:val="center"/>
              <w:rPr>
                <w:rFonts w:eastAsia="SimSun"/>
              </w:rPr>
            </w:pPr>
            <w:r w:rsidRPr="00212B85">
              <w:rPr>
                <w:rFonts w:cs="Arial"/>
                <w:color w:val="000000"/>
                <w:sz w:val="18"/>
                <w:szCs w:val="18"/>
              </w:rPr>
              <w:t>$525</w:t>
            </w:r>
          </w:p>
        </w:tc>
        <w:tc>
          <w:tcPr>
            <w:tcW w:w="2410" w:type="dxa"/>
          </w:tcPr>
          <w:p w14:paraId="3F06F742" w14:textId="77777777" w:rsidR="00063EA3" w:rsidRPr="00212B85" w:rsidRDefault="00063EA3" w:rsidP="0097272D">
            <w:pPr>
              <w:spacing w:after="0" w:line="360" w:lineRule="auto"/>
              <w:jc w:val="center"/>
              <w:rPr>
                <w:rFonts w:cs="Arial"/>
                <w:color w:val="000000"/>
                <w:sz w:val="18"/>
                <w:szCs w:val="18"/>
              </w:rPr>
            </w:pPr>
            <w:r>
              <w:rPr>
                <w:rFonts w:cs="Arial"/>
                <w:color w:val="000000"/>
                <w:sz w:val="18"/>
                <w:szCs w:val="18"/>
              </w:rPr>
              <w:t>7%</w:t>
            </w:r>
          </w:p>
        </w:tc>
      </w:tr>
      <w:tr w:rsidR="00063EA3" w:rsidRPr="00212B85" w14:paraId="4155CB90" w14:textId="77777777" w:rsidTr="00E93FFC">
        <w:tc>
          <w:tcPr>
            <w:tcW w:w="988" w:type="dxa"/>
            <w:vAlign w:val="center"/>
          </w:tcPr>
          <w:p w14:paraId="3ABA794C" w14:textId="77777777" w:rsidR="00063EA3" w:rsidRPr="002A7D8F" w:rsidRDefault="00063EA3" w:rsidP="0097272D">
            <w:pPr>
              <w:spacing w:after="0" w:line="360" w:lineRule="auto"/>
              <w:rPr>
                <w:rFonts w:eastAsia="SimSun"/>
              </w:rPr>
            </w:pPr>
            <w:r w:rsidRPr="00A954D2">
              <w:rPr>
                <w:rFonts w:cs="Arial"/>
                <w:color w:val="000000"/>
                <w:sz w:val="18"/>
                <w:szCs w:val="18"/>
              </w:rPr>
              <w:t>Type D</w:t>
            </w:r>
          </w:p>
        </w:tc>
        <w:tc>
          <w:tcPr>
            <w:tcW w:w="1701" w:type="dxa"/>
            <w:vAlign w:val="center"/>
          </w:tcPr>
          <w:p w14:paraId="1ECC2F9A" w14:textId="77777777" w:rsidR="00063EA3" w:rsidRPr="00212B85" w:rsidRDefault="00063EA3" w:rsidP="0097272D">
            <w:pPr>
              <w:spacing w:after="0" w:line="360" w:lineRule="auto"/>
              <w:jc w:val="center"/>
              <w:rPr>
                <w:rFonts w:eastAsia="SimSun"/>
              </w:rPr>
            </w:pPr>
            <w:r w:rsidRPr="00212B85">
              <w:rPr>
                <w:rFonts w:cs="Arial"/>
                <w:color w:val="000000"/>
                <w:sz w:val="18"/>
                <w:szCs w:val="18"/>
              </w:rPr>
              <w:t>1,000,000</w:t>
            </w:r>
          </w:p>
        </w:tc>
        <w:tc>
          <w:tcPr>
            <w:tcW w:w="1559" w:type="dxa"/>
            <w:vAlign w:val="center"/>
          </w:tcPr>
          <w:p w14:paraId="1A4AFC5E" w14:textId="77777777" w:rsidR="00063EA3" w:rsidRPr="00212B85" w:rsidRDefault="00063EA3" w:rsidP="0097272D">
            <w:pPr>
              <w:spacing w:after="0" w:line="360" w:lineRule="auto"/>
              <w:jc w:val="center"/>
              <w:rPr>
                <w:rFonts w:eastAsia="SimSun"/>
              </w:rPr>
            </w:pPr>
            <w:r w:rsidRPr="00212B85">
              <w:rPr>
                <w:rFonts w:cs="Arial"/>
                <w:color w:val="000000"/>
                <w:sz w:val="18"/>
                <w:szCs w:val="18"/>
              </w:rPr>
              <w:t>$3,200</w:t>
            </w:r>
          </w:p>
        </w:tc>
        <w:tc>
          <w:tcPr>
            <w:tcW w:w="1701" w:type="dxa"/>
            <w:vAlign w:val="center"/>
          </w:tcPr>
          <w:p w14:paraId="49C05852" w14:textId="77777777" w:rsidR="00063EA3" w:rsidRPr="00212B85" w:rsidRDefault="00063EA3" w:rsidP="0097272D">
            <w:pPr>
              <w:spacing w:after="0" w:line="360" w:lineRule="auto"/>
              <w:jc w:val="center"/>
              <w:rPr>
                <w:rFonts w:eastAsia="SimSun"/>
              </w:rPr>
            </w:pPr>
            <w:r w:rsidRPr="00212B85">
              <w:rPr>
                <w:rFonts w:cs="Arial"/>
                <w:color w:val="000000"/>
                <w:sz w:val="18"/>
                <w:szCs w:val="18"/>
              </w:rPr>
              <w:t>$4,540</w:t>
            </w:r>
          </w:p>
        </w:tc>
        <w:tc>
          <w:tcPr>
            <w:tcW w:w="2410" w:type="dxa"/>
          </w:tcPr>
          <w:p w14:paraId="73092823" w14:textId="77777777" w:rsidR="00063EA3" w:rsidRPr="00212B85" w:rsidRDefault="00063EA3" w:rsidP="0097272D">
            <w:pPr>
              <w:spacing w:after="0" w:line="360" w:lineRule="auto"/>
              <w:jc w:val="center"/>
              <w:rPr>
                <w:rFonts w:cs="Arial"/>
                <w:color w:val="000000"/>
                <w:sz w:val="18"/>
                <w:szCs w:val="18"/>
              </w:rPr>
            </w:pPr>
            <w:r>
              <w:rPr>
                <w:rFonts w:cs="Arial"/>
                <w:color w:val="000000"/>
                <w:sz w:val="18"/>
                <w:szCs w:val="18"/>
              </w:rPr>
              <w:t>20%</w:t>
            </w:r>
          </w:p>
        </w:tc>
      </w:tr>
      <w:tr w:rsidR="00063EA3" w:rsidRPr="00212B85" w14:paraId="725631C0" w14:textId="77777777" w:rsidTr="00E93FFC">
        <w:tc>
          <w:tcPr>
            <w:tcW w:w="988" w:type="dxa"/>
            <w:vAlign w:val="center"/>
          </w:tcPr>
          <w:p w14:paraId="136F2F1A" w14:textId="77777777" w:rsidR="00063EA3" w:rsidRPr="002A7D8F" w:rsidRDefault="00063EA3" w:rsidP="0097272D">
            <w:pPr>
              <w:spacing w:after="0" w:line="360" w:lineRule="auto"/>
              <w:rPr>
                <w:rFonts w:eastAsia="SimSun"/>
              </w:rPr>
            </w:pPr>
            <w:r w:rsidRPr="00A954D2">
              <w:rPr>
                <w:rFonts w:cs="Arial"/>
                <w:color w:val="000000"/>
                <w:sz w:val="18"/>
                <w:szCs w:val="18"/>
              </w:rPr>
              <w:t>Type E</w:t>
            </w:r>
          </w:p>
        </w:tc>
        <w:tc>
          <w:tcPr>
            <w:tcW w:w="1701" w:type="dxa"/>
            <w:vAlign w:val="center"/>
          </w:tcPr>
          <w:p w14:paraId="2B6EBF7B" w14:textId="77777777" w:rsidR="00063EA3" w:rsidRPr="00212B85" w:rsidRDefault="00063EA3" w:rsidP="0097272D">
            <w:pPr>
              <w:spacing w:after="0" w:line="360" w:lineRule="auto"/>
              <w:jc w:val="center"/>
              <w:rPr>
                <w:rFonts w:eastAsia="SimSun"/>
              </w:rPr>
            </w:pPr>
            <w:r w:rsidRPr="00212B85">
              <w:rPr>
                <w:rFonts w:cs="Arial"/>
                <w:color w:val="000000"/>
                <w:sz w:val="18"/>
                <w:szCs w:val="18"/>
              </w:rPr>
              <w:t>10,000,000</w:t>
            </w:r>
          </w:p>
        </w:tc>
        <w:tc>
          <w:tcPr>
            <w:tcW w:w="1559" w:type="dxa"/>
            <w:vAlign w:val="center"/>
          </w:tcPr>
          <w:p w14:paraId="52B48CA7" w14:textId="77777777" w:rsidR="00063EA3" w:rsidRPr="00212B85" w:rsidRDefault="00063EA3" w:rsidP="0097272D">
            <w:pPr>
              <w:spacing w:after="0" w:line="360" w:lineRule="auto"/>
              <w:jc w:val="center"/>
              <w:rPr>
                <w:rFonts w:eastAsia="SimSun"/>
              </w:rPr>
            </w:pPr>
            <w:r w:rsidRPr="00212B85">
              <w:rPr>
                <w:rFonts w:cs="Arial"/>
                <w:color w:val="000000"/>
                <w:sz w:val="18"/>
                <w:szCs w:val="18"/>
              </w:rPr>
              <w:t>$27,000</w:t>
            </w:r>
          </w:p>
        </w:tc>
        <w:tc>
          <w:tcPr>
            <w:tcW w:w="1701" w:type="dxa"/>
            <w:vAlign w:val="center"/>
          </w:tcPr>
          <w:p w14:paraId="7384BAA2" w14:textId="77777777" w:rsidR="00063EA3" w:rsidRPr="00212B85" w:rsidRDefault="00063EA3" w:rsidP="0097272D">
            <w:pPr>
              <w:spacing w:after="0" w:line="360" w:lineRule="auto"/>
              <w:jc w:val="center"/>
              <w:rPr>
                <w:rFonts w:eastAsia="SimSun"/>
              </w:rPr>
            </w:pPr>
            <w:r w:rsidRPr="00212B85">
              <w:rPr>
                <w:rFonts w:cs="Arial"/>
                <w:color w:val="000000"/>
                <w:sz w:val="18"/>
                <w:szCs w:val="18"/>
              </w:rPr>
              <w:t>$38,310</w:t>
            </w:r>
          </w:p>
        </w:tc>
        <w:tc>
          <w:tcPr>
            <w:tcW w:w="2410" w:type="dxa"/>
          </w:tcPr>
          <w:p w14:paraId="45F8BC22" w14:textId="77777777" w:rsidR="00063EA3" w:rsidRPr="00212B85" w:rsidRDefault="00063EA3" w:rsidP="0097272D">
            <w:pPr>
              <w:spacing w:after="0" w:line="360" w:lineRule="auto"/>
              <w:jc w:val="center"/>
              <w:rPr>
                <w:rFonts w:cs="Arial"/>
                <w:color w:val="000000"/>
                <w:sz w:val="18"/>
                <w:szCs w:val="18"/>
              </w:rPr>
            </w:pPr>
            <w:r>
              <w:rPr>
                <w:rFonts w:cs="Arial"/>
                <w:color w:val="000000"/>
                <w:sz w:val="18"/>
                <w:szCs w:val="18"/>
              </w:rPr>
              <w:t>32%</w:t>
            </w:r>
          </w:p>
        </w:tc>
      </w:tr>
      <w:tr w:rsidR="00063EA3" w:rsidRPr="00212B85" w14:paraId="7813A197" w14:textId="77777777" w:rsidTr="00E93FFC">
        <w:tc>
          <w:tcPr>
            <w:tcW w:w="988" w:type="dxa"/>
            <w:vAlign w:val="center"/>
          </w:tcPr>
          <w:p w14:paraId="6FBF84F0" w14:textId="77777777" w:rsidR="00063EA3" w:rsidRPr="002A7D8F" w:rsidRDefault="00063EA3" w:rsidP="0097272D">
            <w:pPr>
              <w:spacing w:after="0" w:line="360" w:lineRule="auto"/>
              <w:rPr>
                <w:rFonts w:eastAsia="SimSun"/>
              </w:rPr>
            </w:pPr>
            <w:r w:rsidRPr="00A954D2">
              <w:rPr>
                <w:rFonts w:cs="Arial"/>
                <w:color w:val="000000"/>
                <w:sz w:val="18"/>
                <w:szCs w:val="18"/>
              </w:rPr>
              <w:t>Type F</w:t>
            </w:r>
          </w:p>
        </w:tc>
        <w:tc>
          <w:tcPr>
            <w:tcW w:w="1701" w:type="dxa"/>
            <w:vAlign w:val="center"/>
          </w:tcPr>
          <w:p w14:paraId="215BE480" w14:textId="77777777" w:rsidR="00063EA3" w:rsidRPr="00212B85" w:rsidRDefault="00063EA3" w:rsidP="0097272D">
            <w:pPr>
              <w:spacing w:after="0" w:line="360" w:lineRule="auto"/>
              <w:jc w:val="center"/>
              <w:rPr>
                <w:rFonts w:eastAsia="SimSun"/>
              </w:rPr>
            </w:pPr>
            <w:r w:rsidRPr="00212B85">
              <w:rPr>
                <w:rFonts w:cs="Arial"/>
                <w:color w:val="000000"/>
                <w:sz w:val="18"/>
                <w:szCs w:val="18"/>
              </w:rPr>
              <w:t>20,000,000</w:t>
            </w:r>
          </w:p>
        </w:tc>
        <w:tc>
          <w:tcPr>
            <w:tcW w:w="1559" w:type="dxa"/>
            <w:vAlign w:val="center"/>
          </w:tcPr>
          <w:p w14:paraId="5D59B8F9" w14:textId="77777777" w:rsidR="00063EA3" w:rsidRPr="00212B85" w:rsidRDefault="00063EA3" w:rsidP="0097272D">
            <w:pPr>
              <w:spacing w:after="0" w:line="360" w:lineRule="auto"/>
              <w:jc w:val="center"/>
              <w:rPr>
                <w:rFonts w:eastAsia="SimSun"/>
              </w:rPr>
            </w:pPr>
            <w:r w:rsidRPr="00212B85">
              <w:rPr>
                <w:rFonts w:cs="Arial"/>
                <w:color w:val="000000"/>
                <w:sz w:val="18"/>
                <w:szCs w:val="18"/>
              </w:rPr>
              <w:t>$45,000</w:t>
            </w:r>
          </w:p>
        </w:tc>
        <w:tc>
          <w:tcPr>
            <w:tcW w:w="1701" w:type="dxa"/>
            <w:vAlign w:val="center"/>
          </w:tcPr>
          <w:p w14:paraId="561A0451" w14:textId="77777777" w:rsidR="00063EA3" w:rsidRPr="00212B85" w:rsidRDefault="00063EA3" w:rsidP="0097272D">
            <w:pPr>
              <w:spacing w:after="0" w:line="360" w:lineRule="auto"/>
              <w:jc w:val="center"/>
              <w:rPr>
                <w:rFonts w:eastAsia="SimSun"/>
              </w:rPr>
            </w:pPr>
            <w:r w:rsidRPr="00212B85">
              <w:rPr>
                <w:rFonts w:cs="Arial"/>
                <w:color w:val="000000"/>
                <w:sz w:val="18"/>
                <w:szCs w:val="18"/>
              </w:rPr>
              <w:t>$63,850</w:t>
            </w:r>
          </w:p>
        </w:tc>
        <w:tc>
          <w:tcPr>
            <w:tcW w:w="2410" w:type="dxa"/>
          </w:tcPr>
          <w:p w14:paraId="3F248BCA" w14:textId="77777777" w:rsidR="00063EA3" w:rsidRPr="00212B85" w:rsidRDefault="00063EA3" w:rsidP="0097272D">
            <w:pPr>
              <w:spacing w:after="0" w:line="360" w:lineRule="auto"/>
              <w:jc w:val="center"/>
              <w:rPr>
                <w:rFonts w:cs="Arial"/>
                <w:color w:val="000000"/>
                <w:sz w:val="18"/>
                <w:szCs w:val="18"/>
              </w:rPr>
            </w:pPr>
            <w:r>
              <w:rPr>
                <w:rFonts w:cs="Arial"/>
                <w:color w:val="000000"/>
                <w:sz w:val="18"/>
                <w:szCs w:val="18"/>
              </w:rPr>
              <w:t>43%</w:t>
            </w:r>
          </w:p>
        </w:tc>
      </w:tr>
      <w:tr w:rsidR="00063EA3" w:rsidRPr="00212B85" w14:paraId="1F2F6A22" w14:textId="77777777" w:rsidTr="00E93FFC">
        <w:tc>
          <w:tcPr>
            <w:tcW w:w="988" w:type="dxa"/>
            <w:vAlign w:val="center"/>
          </w:tcPr>
          <w:p w14:paraId="242B1C90" w14:textId="77777777" w:rsidR="00063EA3" w:rsidRPr="002A7D8F" w:rsidRDefault="00063EA3" w:rsidP="0097272D">
            <w:pPr>
              <w:spacing w:after="0" w:line="360" w:lineRule="auto"/>
              <w:rPr>
                <w:rFonts w:eastAsia="SimSun"/>
              </w:rPr>
            </w:pPr>
            <w:r w:rsidRPr="00A954D2">
              <w:rPr>
                <w:rFonts w:cs="Arial"/>
                <w:color w:val="000000"/>
                <w:sz w:val="18"/>
                <w:szCs w:val="18"/>
              </w:rPr>
              <w:t>Type G</w:t>
            </w:r>
          </w:p>
        </w:tc>
        <w:tc>
          <w:tcPr>
            <w:tcW w:w="1701" w:type="dxa"/>
            <w:vAlign w:val="center"/>
          </w:tcPr>
          <w:p w14:paraId="24F379C9" w14:textId="77777777" w:rsidR="00063EA3" w:rsidRPr="00212B85" w:rsidRDefault="00063EA3" w:rsidP="0097272D">
            <w:pPr>
              <w:spacing w:after="0" w:line="360" w:lineRule="auto"/>
              <w:jc w:val="center"/>
              <w:rPr>
                <w:rFonts w:eastAsia="SimSun"/>
              </w:rPr>
            </w:pPr>
            <w:r w:rsidRPr="00212B85">
              <w:rPr>
                <w:rFonts w:cs="Arial"/>
                <w:color w:val="000000"/>
                <w:sz w:val="18"/>
                <w:szCs w:val="18"/>
              </w:rPr>
              <w:t>50,000,000</w:t>
            </w:r>
          </w:p>
        </w:tc>
        <w:tc>
          <w:tcPr>
            <w:tcW w:w="1559" w:type="dxa"/>
            <w:vAlign w:val="center"/>
          </w:tcPr>
          <w:p w14:paraId="2B93D3B6" w14:textId="77777777" w:rsidR="00063EA3" w:rsidRPr="00212B85" w:rsidRDefault="00063EA3" w:rsidP="0097272D">
            <w:pPr>
              <w:spacing w:after="0" w:line="360" w:lineRule="auto"/>
              <w:jc w:val="center"/>
              <w:rPr>
                <w:rFonts w:eastAsia="SimSun"/>
              </w:rPr>
            </w:pPr>
            <w:r w:rsidRPr="00212B85">
              <w:rPr>
                <w:rFonts w:cs="Arial"/>
                <w:color w:val="000000"/>
                <w:sz w:val="18"/>
                <w:szCs w:val="18"/>
              </w:rPr>
              <w:t>$67,500</w:t>
            </w:r>
          </w:p>
        </w:tc>
        <w:tc>
          <w:tcPr>
            <w:tcW w:w="1701" w:type="dxa"/>
            <w:vAlign w:val="center"/>
          </w:tcPr>
          <w:p w14:paraId="612DAFBA" w14:textId="77777777" w:rsidR="00063EA3" w:rsidRPr="00212B85" w:rsidRDefault="00063EA3" w:rsidP="0097272D">
            <w:pPr>
              <w:spacing w:after="0" w:line="360" w:lineRule="auto"/>
              <w:jc w:val="center"/>
              <w:rPr>
                <w:rFonts w:eastAsia="SimSun"/>
              </w:rPr>
            </w:pPr>
            <w:r w:rsidRPr="00212B85">
              <w:rPr>
                <w:rFonts w:cs="Arial"/>
                <w:color w:val="000000"/>
                <w:sz w:val="18"/>
                <w:szCs w:val="18"/>
              </w:rPr>
              <w:t>$95,775</w:t>
            </w:r>
          </w:p>
        </w:tc>
        <w:tc>
          <w:tcPr>
            <w:tcW w:w="2410" w:type="dxa"/>
          </w:tcPr>
          <w:p w14:paraId="30BB5EC5" w14:textId="77777777" w:rsidR="00063EA3" w:rsidRPr="00212B85" w:rsidRDefault="00063EA3" w:rsidP="0097272D">
            <w:pPr>
              <w:spacing w:after="0" w:line="360" w:lineRule="auto"/>
              <w:jc w:val="center"/>
              <w:rPr>
                <w:rFonts w:cs="Arial"/>
                <w:color w:val="000000"/>
                <w:sz w:val="18"/>
                <w:szCs w:val="18"/>
              </w:rPr>
            </w:pPr>
            <w:r>
              <w:rPr>
                <w:rFonts w:cs="Arial"/>
                <w:color w:val="000000"/>
                <w:sz w:val="18"/>
                <w:szCs w:val="18"/>
              </w:rPr>
              <w:t>66%</w:t>
            </w:r>
          </w:p>
        </w:tc>
      </w:tr>
      <w:tr w:rsidR="00063EA3" w:rsidRPr="00212B85" w14:paraId="04AEA763" w14:textId="77777777" w:rsidTr="00E93FFC">
        <w:tc>
          <w:tcPr>
            <w:tcW w:w="988" w:type="dxa"/>
            <w:vAlign w:val="center"/>
          </w:tcPr>
          <w:p w14:paraId="79076786" w14:textId="77777777" w:rsidR="00063EA3" w:rsidRPr="002A7D8F" w:rsidRDefault="00063EA3" w:rsidP="0097272D">
            <w:pPr>
              <w:spacing w:after="0" w:line="360" w:lineRule="auto"/>
              <w:rPr>
                <w:rFonts w:eastAsia="SimSun"/>
              </w:rPr>
            </w:pPr>
            <w:r w:rsidRPr="00A954D2">
              <w:rPr>
                <w:rFonts w:cs="Arial"/>
                <w:color w:val="000000"/>
                <w:sz w:val="18"/>
                <w:szCs w:val="18"/>
              </w:rPr>
              <w:t>Type H</w:t>
            </w:r>
          </w:p>
        </w:tc>
        <w:tc>
          <w:tcPr>
            <w:tcW w:w="1701" w:type="dxa"/>
            <w:vAlign w:val="center"/>
          </w:tcPr>
          <w:p w14:paraId="2C1B8355" w14:textId="77777777" w:rsidR="00063EA3" w:rsidRPr="00212B85" w:rsidRDefault="00063EA3" w:rsidP="0097272D">
            <w:pPr>
              <w:spacing w:after="0" w:line="360" w:lineRule="auto"/>
              <w:jc w:val="center"/>
              <w:rPr>
                <w:rFonts w:eastAsia="SimSun"/>
              </w:rPr>
            </w:pPr>
            <w:r w:rsidRPr="00212B85">
              <w:rPr>
                <w:rFonts w:cs="Arial"/>
                <w:color w:val="000000"/>
                <w:sz w:val="18"/>
                <w:szCs w:val="18"/>
              </w:rPr>
              <w:t>100,000,000</w:t>
            </w:r>
          </w:p>
        </w:tc>
        <w:tc>
          <w:tcPr>
            <w:tcW w:w="1559" w:type="dxa"/>
            <w:vAlign w:val="center"/>
          </w:tcPr>
          <w:p w14:paraId="368A0CE6" w14:textId="77777777" w:rsidR="00063EA3" w:rsidRPr="00212B85" w:rsidRDefault="00063EA3" w:rsidP="0097272D">
            <w:pPr>
              <w:spacing w:after="0" w:line="360" w:lineRule="auto"/>
              <w:jc w:val="center"/>
              <w:rPr>
                <w:rFonts w:eastAsia="SimSun"/>
              </w:rPr>
            </w:pPr>
            <w:r w:rsidRPr="00212B85">
              <w:rPr>
                <w:rFonts w:cs="Arial"/>
                <w:color w:val="000000"/>
                <w:sz w:val="18"/>
                <w:szCs w:val="18"/>
              </w:rPr>
              <w:t>$90,000</w:t>
            </w:r>
          </w:p>
        </w:tc>
        <w:tc>
          <w:tcPr>
            <w:tcW w:w="1701" w:type="dxa"/>
            <w:vAlign w:val="center"/>
          </w:tcPr>
          <w:p w14:paraId="691DB628" w14:textId="77777777" w:rsidR="00063EA3" w:rsidRPr="00212B85" w:rsidRDefault="00063EA3" w:rsidP="0097272D">
            <w:pPr>
              <w:spacing w:after="0" w:line="360" w:lineRule="auto"/>
              <w:jc w:val="center"/>
              <w:rPr>
                <w:rFonts w:eastAsia="SimSun"/>
              </w:rPr>
            </w:pPr>
            <w:r w:rsidRPr="00212B85">
              <w:rPr>
                <w:rFonts w:cs="Arial"/>
                <w:color w:val="000000"/>
                <w:sz w:val="18"/>
                <w:szCs w:val="18"/>
              </w:rPr>
              <w:t>$127,700</w:t>
            </w:r>
          </w:p>
        </w:tc>
        <w:tc>
          <w:tcPr>
            <w:tcW w:w="2410" w:type="dxa"/>
          </w:tcPr>
          <w:p w14:paraId="33E21E3C" w14:textId="77777777" w:rsidR="00063EA3" w:rsidRPr="00212B85" w:rsidRDefault="00063EA3" w:rsidP="0097272D">
            <w:pPr>
              <w:spacing w:after="0" w:line="360" w:lineRule="auto"/>
              <w:jc w:val="center"/>
              <w:rPr>
                <w:rFonts w:cs="Arial"/>
                <w:color w:val="000000"/>
                <w:sz w:val="18"/>
                <w:szCs w:val="18"/>
              </w:rPr>
            </w:pPr>
            <w:r>
              <w:rPr>
                <w:rFonts w:cs="Arial"/>
                <w:color w:val="000000"/>
                <w:sz w:val="18"/>
                <w:szCs w:val="18"/>
              </w:rPr>
              <w:t>77%</w:t>
            </w:r>
          </w:p>
        </w:tc>
      </w:tr>
    </w:tbl>
    <w:p w14:paraId="3B582E4C" w14:textId="77777777" w:rsidR="00063EA3" w:rsidRDefault="00063EA3" w:rsidP="00063EA3">
      <w:pPr>
        <w:pStyle w:val="ACMANotes"/>
        <w:spacing w:before="0"/>
      </w:pPr>
      <w:r w:rsidRPr="00212B85">
        <w:t>*Previous fee increase</w:t>
      </w:r>
      <w:r>
        <w:t>s</w:t>
      </w:r>
      <w:r w:rsidRPr="00212B85">
        <w:t xml:space="preserve"> occurred on 1 January 2011</w:t>
      </w:r>
      <w:r>
        <w:t xml:space="preserve"> and 1 July 2017</w:t>
      </w:r>
      <w:r w:rsidRPr="00212B85">
        <w:t>.</w:t>
      </w:r>
    </w:p>
    <w:p w14:paraId="40F4EF54" w14:textId="77777777" w:rsidR="00063EA3" w:rsidRDefault="00063EA3" w:rsidP="00063EA3">
      <w:pPr>
        <w:pStyle w:val="ACMANotes"/>
        <w:spacing w:before="0"/>
      </w:pPr>
      <w:r>
        <w:t xml:space="preserve">**Discounts apply </w:t>
      </w:r>
      <w:r w:rsidRPr="00C35D42">
        <w:t xml:space="preserve">for increasing numbers of wash credits </w:t>
      </w:r>
      <w:r>
        <w:t>compared to a Type B subscription</w:t>
      </w:r>
    </w:p>
    <w:p w14:paraId="0F8E3B91" w14:textId="77777777" w:rsidR="00063EA3" w:rsidRPr="00212B85" w:rsidRDefault="00063EA3" w:rsidP="00063EA3">
      <w:pPr>
        <w:spacing w:before="240"/>
      </w:pPr>
      <w:r>
        <w:lastRenderedPageBreak/>
        <w:t>As subscription purchases require upfront payment, a</w:t>
      </w:r>
      <w:r w:rsidRPr="00212B85">
        <w:t>ccrued revenue (for a subscription type) is used in the modelling</w:t>
      </w:r>
      <w:r>
        <w:t xml:space="preserve">. </w:t>
      </w:r>
      <w:r w:rsidRPr="00212B85">
        <w:t>The annual subscription fees are spread equally over 12 months. This approach has been adopted to reflect the typical usage profile of an annual list-washing subscription (where a subscription can be, and is, accessed over a 12-month period).</w:t>
      </w:r>
    </w:p>
    <w:p w14:paraId="5E8FD92E" w14:textId="77777777" w:rsidR="00063EA3" w:rsidRPr="00212B85" w:rsidRDefault="00063EA3" w:rsidP="00063EA3">
      <w:pPr>
        <w:keepNext/>
        <w:spacing w:after="80"/>
        <w:rPr>
          <w:rFonts w:eastAsia="SimSun"/>
        </w:rPr>
      </w:pPr>
      <w:r w:rsidRPr="00212B85">
        <w:rPr>
          <w:rFonts w:eastAsia="SimSun"/>
        </w:rPr>
        <w:t>The subscription fee model adopts the following key charging structure characteristics based on the full direct operating-cost recovery regime:</w:t>
      </w:r>
    </w:p>
    <w:p w14:paraId="4F8B99B2" w14:textId="1B7A6B53" w:rsidR="00063EA3" w:rsidRPr="00212B85" w:rsidRDefault="00063EA3" w:rsidP="00063EA3">
      <w:pPr>
        <w:pStyle w:val="ListBullet"/>
        <w:ind w:left="284" w:hanging="284"/>
        <w:rPr>
          <w:rFonts w:eastAsia="SimSun"/>
        </w:rPr>
      </w:pPr>
      <w:r w:rsidRPr="00212B85">
        <w:rPr>
          <w:rFonts w:eastAsia="SimSun"/>
        </w:rPr>
        <w:t xml:space="preserve">The pricing structure assumes a fixed subscription fee, which allows the telemarketer or fax marketer to check (wash) a certain quantity of numbers against the </w:t>
      </w:r>
      <w:r>
        <w:rPr>
          <w:rFonts w:eastAsia="SimSun"/>
        </w:rPr>
        <w:t xml:space="preserve">Register during a </w:t>
      </w:r>
      <w:r w:rsidR="00B62E6B">
        <w:rPr>
          <w:rFonts w:eastAsia="SimSun"/>
        </w:rPr>
        <w:t>12-month</w:t>
      </w:r>
      <w:r>
        <w:rPr>
          <w:rFonts w:eastAsia="SimSun"/>
        </w:rPr>
        <w:t xml:space="preserve"> period</w:t>
      </w:r>
      <w:r w:rsidR="00B144DF">
        <w:rPr>
          <w:rFonts w:eastAsia="SimSun"/>
        </w:rPr>
        <w:t xml:space="preserve">. </w:t>
      </w:r>
    </w:p>
    <w:p w14:paraId="39940F4A" w14:textId="7C07F8F2" w:rsidR="00063EA3" w:rsidRDefault="00063EA3" w:rsidP="00063EA3">
      <w:pPr>
        <w:pStyle w:val="ListBullet"/>
        <w:ind w:left="284" w:hanging="284"/>
        <w:rPr>
          <w:rFonts w:eastAsia="SimSun"/>
        </w:rPr>
      </w:pPr>
      <w:r w:rsidRPr="00212B85">
        <w:rPr>
          <w:rFonts w:eastAsia="SimSun"/>
        </w:rPr>
        <w:t xml:space="preserve">Individuals or businesses that engage in telemarketing and/or fax marketing and would like to test the washing service before purchasing a subscription may take out a subscription Type A without having to pay a fee. This is a minimal cost to the </w:t>
      </w:r>
      <w:r w:rsidR="00B144DF">
        <w:rPr>
          <w:rFonts w:eastAsia="SimSun"/>
        </w:rPr>
        <w:t>r</w:t>
      </w:r>
      <w:r>
        <w:rPr>
          <w:rFonts w:eastAsia="SimSun"/>
        </w:rPr>
        <w:t>egister</w:t>
      </w:r>
      <w:r w:rsidRPr="00212B85">
        <w:rPr>
          <w:rFonts w:eastAsia="SimSun"/>
        </w:rPr>
        <w:t xml:space="preserve"> operator and allows users to ‘try before they buy’ subscriptions</w:t>
      </w:r>
      <w:r w:rsidR="00B144DF">
        <w:rPr>
          <w:rFonts w:eastAsia="SimSun"/>
        </w:rPr>
        <w:t xml:space="preserve">. </w:t>
      </w:r>
    </w:p>
    <w:p w14:paraId="001B6A9F" w14:textId="58E646FC" w:rsidR="00063EA3" w:rsidRDefault="00063EA3" w:rsidP="00063EA3">
      <w:pPr>
        <w:pStyle w:val="ListBullet"/>
        <w:ind w:left="284" w:hanging="284"/>
        <w:rPr>
          <w:rFonts w:eastAsia="SimSun"/>
        </w:rPr>
      </w:pPr>
      <w:r w:rsidRPr="00212B85">
        <w:rPr>
          <w:rFonts w:eastAsia="SimSun"/>
        </w:rPr>
        <w:t>If a telemarketer or fax marketer submits a contact list for washing and does not have sufficient remaining numbers available on its subscription,</w:t>
      </w:r>
      <w:r>
        <w:rPr>
          <w:rFonts w:eastAsia="SimSun"/>
        </w:rPr>
        <w:t xml:space="preserve"> the list will be rejected, and they</w:t>
      </w:r>
      <w:r w:rsidRPr="00212B85">
        <w:rPr>
          <w:rFonts w:eastAsia="SimSun"/>
        </w:rPr>
        <w:t xml:space="preserve"> will have to buy a new subscription (other than Type A) before </w:t>
      </w:r>
      <w:r>
        <w:rPr>
          <w:rFonts w:eastAsia="SimSun"/>
        </w:rPr>
        <w:t>re-submitting the list to be washed</w:t>
      </w:r>
      <w:r w:rsidR="00B144DF">
        <w:rPr>
          <w:rFonts w:eastAsia="SimSun"/>
        </w:rPr>
        <w:t xml:space="preserve">. </w:t>
      </w:r>
    </w:p>
    <w:p w14:paraId="36D5F5FB" w14:textId="153E211E" w:rsidR="00063EA3" w:rsidRPr="003B319A" w:rsidRDefault="00063EA3" w:rsidP="00063EA3">
      <w:pPr>
        <w:pStyle w:val="ListBullet"/>
        <w:rPr>
          <w:rFonts w:eastAsia="SimSun"/>
        </w:rPr>
      </w:pPr>
      <w:r w:rsidRPr="003B319A">
        <w:rPr>
          <w:rFonts w:eastAsia="SimSun"/>
        </w:rPr>
        <w:t>No GST is payable on the subscription fees</w:t>
      </w:r>
      <w:r w:rsidR="00B144DF">
        <w:rPr>
          <w:rFonts w:eastAsia="SimSun"/>
        </w:rPr>
        <w:t xml:space="preserve">. </w:t>
      </w:r>
    </w:p>
    <w:p w14:paraId="494A7C12" w14:textId="0B894123" w:rsidR="00063EA3" w:rsidRPr="00DE6CF5" w:rsidRDefault="00063EA3" w:rsidP="00063EA3">
      <w:pPr>
        <w:pStyle w:val="ListBullet"/>
        <w:rPr>
          <w:rFonts w:eastAsia="SimSun"/>
        </w:rPr>
      </w:pPr>
      <w:r w:rsidRPr="00DE6CF5">
        <w:rPr>
          <w:rFonts w:eastAsia="SimSun"/>
        </w:rPr>
        <w:t>Estimated subscription numbers are based on actual subscription numbers since the beginning of the Register’s operation</w:t>
      </w:r>
      <w:r w:rsidR="00B144DF">
        <w:rPr>
          <w:rFonts w:eastAsia="SimSun"/>
        </w:rPr>
        <w:t xml:space="preserve">. </w:t>
      </w:r>
    </w:p>
    <w:p w14:paraId="49869741" w14:textId="77777777" w:rsidR="00063EA3" w:rsidRPr="00212B85" w:rsidRDefault="00063EA3" w:rsidP="00063EA3">
      <w:pPr>
        <w:pStyle w:val="ListBullet"/>
        <w:ind w:left="284" w:hanging="284"/>
        <w:rPr>
          <w:rFonts w:eastAsia="SimSun"/>
        </w:rPr>
      </w:pPr>
      <w:r w:rsidRPr="00212B85">
        <w:rPr>
          <w:rFonts w:eastAsia="SimSun"/>
        </w:rPr>
        <w:t>Each of the subscription fees (apart from Type A) is determined using a combination of the following factors:</w:t>
      </w:r>
    </w:p>
    <w:p w14:paraId="4B6574DA" w14:textId="2B9488E6" w:rsidR="00063EA3" w:rsidRPr="00212B85" w:rsidRDefault="00063EA3" w:rsidP="00063EA3">
      <w:pPr>
        <w:pStyle w:val="ListBullet2"/>
        <w:ind w:left="851" w:firstLine="0"/>
      </w:pPr>
      <w:r w:rsidRPr="00212B85">
        <w:t>the total number of wash credits for each paid subscription type</w:t>
      </w:r>
    </w:p>
    <w:p w14:paraId="0E4099AD" w14:textId="77777777" w:rsidR="00063EA3" w:rsidRPr="00212B85" w:rsidRDefault="00063EA3" w:rsidP="00063EA3">
      <w:pPr>
        <w:pStyle w:val="ListBullet2"/>
        <w:tabs>
          <w:tab w:val="clear" w:pos="845"/>
        </w:tabs>
        <w:ind w:left="1134" w:hanging="283"/>
      </w:pPr>
      <w:r w:rsidRPr="00212B85">
        <w:t>a discounted per unit cost of washing for a user purchasing a higher-level subscription type</w:t>
      </w:r>
      <w:r>
        <w:t>.</w:t>
      </w:r>
    </w:p>
    <w:p w14:paraId="5F544A74" w14:textId="7C54A755" w:rsidR="00063EA3" w:rsidRPr="00212B85" w:rsidRDefault="00063EA3" w:rsidP="003F4E25">
      <w:pPr>
        <w:spacing w:before="240" w:after="80"/>
        <w:rPr>
          <w:rFonts w:eastAsia="SimSun"/>
        </w:rPr>
      </w:pPr>
      <w:r w:rsidRPr="00212B85">
        <w:rPr>
          <w:rFonts w:eastAsia="SimSun"/>
        </w:rPr>
        <w:t>The model uses a ‘goal seek</w:t>
      </w:r>
      <w:r w:rsidR="00B144DF">
        <w:rPr>
          <w:rFonts w:eastAsia="SimSun"/>
        </w:rPr>
        <w:t>’</w:t>
      </w:r>
      <w:r w:rsidRPr="00212B85">
        <w:rPr>
          <w:rStyle w:val="FootnoteReference"/>
          <w:rFonts w:eastAsia="SimSun"/>
          <w:iCs/>
        </w:rPr>
        <w:footnoteReference w:id="3"/>
      </w:r>
      <w:r w:rsidRPr="00212B85">
        <w:rPr>
          <w:rFonts w:eastAsia="SimSun"/>
        </w:rPr>
        <w:t xml:space="preserve"> function to determine the subscription fees. There are </w:t>
      </w:r>
      <w:r>
        <w:rPr>
          <w:rFonts w:eastAsia="SimSun"/>
        </w:rPr>
        <w:t>three</w:t>
      </w:r>
      <w:r w:rsidRPr="00212B85">
        <w:rPr>
          <w:rFonts w:eastAsia="SimSun"/>
        </w:rPr>
        <w:t xml:space="preserve"> main inputs required:</w:t>
      </w:r>
    </w:p>
    <w:p w14:paraId="3FB91E5B" w14:textId="56A46888" w:rsidR="00063EA3" w:rsidRPr="00212B85" w:rsidRDefault="00063EA3" w:rsidP="00063EA3">
      <w:pPr>
        <w:pStyle w:val="ListBullet"/>
        <w:ind w:left="0" w:firstLine="0"/>
      </w:pPr>
      <w:r w:rsidRPr="00212B85">
        <w:t>the estimated demand for subscriptions by type (that is, the growth rate)</w:t>
      </w:r>
    </w:p>
    <w:p w14:paraId="3BCE5736" w14:textId="7C4AFE99" w:rsidR="00063EA3" w:rsidRPr="00212B85" w:rsidRDefault="00063EA3" w:rsidP="00063EA3">
      <w:pPr>
        <w:pStyle w:val="ListBullet"/>
        <w:ind w:left="0" w:firstLine="0"/>
      </w:pPr>
      <w:r w:rsidRPr="00212B85">
        <w:t>the total direct operating costs to recover in a given financial year</w:t>
      </w:r>
    </w:p>
    <w:p w14:paraId="75F47766" w14:textId="64162193" w:rsidR="00063EA3" w:rsidRPr="00AF23FF" w:rsidRDefault="00063EA3" w:rsidP="00063EA3">
      <w:pPr>
        <w:pStyle w:val="ListBullet"/>
        <w:ind w:left="0" w:firstLine="0"/>
      </w:pPr>
      <w:r w:rsidRPr="00AF23FF">
        <w:t>an ‘economies-of-scale’ adjustment applicable to higher-level subscription types</w:t>
      </w:r>
      <w:r>
        <w:t xml:space="preserve"> </w:t>
      </w:r>
      <w:r w:rsidRPr="00E93FFC">
        <w:t>(i.e.</w:t>
      </w:r>
      <w:r w:rsidR="00E93FFC">
        <w:t> a</w:t>
      </w:r>
      <w:r>
        <w:t>pplicable discounts</w:t>
      </w:r>
      <w:r w:rsidR="00B144DF">
        <w:t>—</w:t>
      </w:r>
      <w:r>
        <w:t>see Table 1)</w:t>
      </w:r>
      <w:r w:rsidRPr="00AF23FF">
        <w:t>.</w:t>
      </w:r>
    </w:p>
    <w:p w14:paraId="3E957A84" w14:textId="77777777" w:rsidR="00063EA3" w:rsidRPr="00212B85" w:rsidRDefault="00063EA3" w:rsidP="003F4E25">
      <w:pPr>
        <w:spacing w:before="240"/>
        <w:rPr>
          <w:rFonts w:eastAsia="SimSun"/>
          <w:iCs/>
        </w:rPr>
      </w:pPr>
      <w:r w:rsidRPr="00212B85">
        <w:t xml:space="preserve">Based on these </w:t>
      </w:r>
      <w:r>
        <w:t xml:space="preserve">three </w:t>
      </w:r>
      <w:r w:rsidRPr="00212B85">
        <w:t>inputs, the model identifies a set of fees that, when applied to the estimated subscription demand, gives a total subscription fee revenue amount (on an accrual basis) as close as possible to the total direct operating costs the ACMA is seeking to recover in that financial year.</w:t>
      </w:r>
    </w:p>
    <w:p w14:paraId="79E8380F" w14:textId="4012F71E" w:rsidR="00063EA3" w:rsidRDefault="00063EA3" w:rsidP="00524BB2">
      <w:r w:rsidRPr="00212B85">
        <w:rPr>
          <w:rFonts w:eastAsia="SimSun"/>
        </w:rPr>
        <w:t xml:space="preserve">Based on the above charging structure, the subscription fees have been set at levels that </w:t>
      </w:r>
      <w:r w:rsidRPr="00212B85">
        <w:rPr>
          <w:rFonts w:cs="Arial"/>
        </w:rPr>
        <w:t xml:space="preserve">minimise the impact on those that use telemarketing and/or fax marketing on an ad hoc basis (and so do not require regular access to the </w:t>
      </w:r>
      <w:r w:rsidR="00B144DF">
        <w:rPr>
          <w:rFonts w:cs="Arial"/>
        </w:rPr>
        <w:t>DNCR</w:t>
      </w:r>
      <w:r w:rsidRPr="00212B85">
        <w:rPr>
          <w:rFonts w:cs="Arial"/>
        </w:rPr>
        <w:t xml:space="preserve">) </w:t>
      </w:r>
      <w:proofErr w:type="gramStart"/>
      <w:r w:rsidRPr="00212B85">
        <w:rPr>
          <w:rFonts w:cs="Arial"/>
        </w:rPr>
        <w:t>and also</w:t>
      </w:r>
      <w:proofErr w:type="gramEnd"/>
      <w:r w:rsidRPr="00212B85">
        <w:rPr>
          <w:rFonts w:cs="Arial"/>
        </w:rPr>
        <w:t xml:space="preserve"> cater for larger users with significant demand for list-washing services</w:t>
      </w:r>
      <w:r>
        <w:rPr>
          <w:rFonts w:cs="Arial"/>
        </w:rPr>
        <w:t>, such as specialist list re-sellers</w:t>
      </w:r>
      <w:r w:rsidRPr="00212B85">
        <w:rPr>
          <w:rFonts w:cs="Arial"/>
        </w:rPr>
        <w:t>.</w:t>
      </w:r>
    </w:p>
    <w:p w14:paraId="2AC9563B" w14:textId="77777777" w:rsidR="000541C7" w:rsidRPr="005773B8" w:rsidRDefault="000541C7" w:rsidP="00A954D2">
      <w:pPr>
        <w:pStyle w:val="Heading2"/>
        <w:spacing w:before="120" w:after="120"/>
      </w:pPr>
      <w:bookmarkStart w:id="97" w:name="_Toc16097286"/>
      <w:bookmarkStart w:id="98" w:name="_Toc26195073"/>
      <w:r w:rsidRPr="005773B8">
        <w:t>Outputs and business processes of the activity</w:t>
      </w:r>
      <w:bookmarkEnd w:id="97"/>
      <w:bookmarkEnd w:id="98"/>
    </w:p>
    <w:p w14:paraId="08FDE2B0" w14:textId="567DFFD2" w:rsidR="000541C7" w:rsidRPr="005773B8" w:rsidRDefault="000541C7" w:rsidP="000541C7">
      <w:pPr>
        <w:rPr>
          <w:snapToGrid w:val="0"/>
        </w:rPr>
      </w:pPr>
      <w:r w:rsidRPr="005773B8">
        <w:rPr>
          <w:snapToGrid w:val="0"/>
        </w:rPr>
        <w:t xml:space="preserve">As noted, the </w:t>
      </w:r>
      <w:r w:rsidR="00B144DF">
        <w:rPr>
          <w:snapToGrid w:val="0"/>
        </w:rPr>
        <w:t>r</w:t>
      </w:r>
      <w:r>
        <w:rPr>
          <w:snapToGrid w:val="0"/>
        </w:rPr>
        <w:t>egister</w:t>
      </w:r>
      <w:r w:rsidRPr="005773B8">
        <w:rPr>
          <w:snapToGrid w:val="0"/>
        </w:rPr>
        <w:t xml:space="preserve"> provides a service for those making unsolicited telemarketing calls or sending unsolicited marketing faxes to check or </w:t>
      </w:r>
      <w:r w:rsidRPr="005773B8">
        <w:rPr>
          <w:rFonts w:hint="eastAsia"/>
          <w:snapToGrid w:val="0"/>
        </w:rPr>
        <w:t>‘</w:t>
      </w:r>
      <w:r w:rsidRPr="005773B8">
        <w:rPr>
          <w:snapToGrid w:val="0"/>
        </w:rPr>
        <w:t>wash</w:t>
      </w:r>
      <w:r w:rsidRPr="005773B8">
        <w:rPr>
          <w:rFonts w:hint="eastAsia"/>
          <w:snapToGrid w:val="0"/>
        </w:rPr>
        <w:t>’</w:t>
      </w:r>
      <w:r w:rsidRPr="005773B8">
        <w:rPr>
          <w:snapToGrid w:val="0"/>
        </w:rPr>
        <w:t xml:space="preserve"> their</w:t>
      </w:r>
      <w:r w:rsidRPr="005773B8">
        <w:rPr>
          <w:rFonts w:hint="eastAsia"/>
          <w:snapToGrid w:val="0"/>
        </w:rPr>
        <w:t> </w:t>
      </w:r>
      <w:r w:rsidRPr="005773B8">
        <w:rPr>
          <w:snapToGrid w:val="0"/>
        </w:rPr>
        <w:t xml:space="preserve">number lists against the </w:t>
      </w:r>
      <w:r w:rsidR="00B144DF">
        <w:rPr>
          <w:snapToGrid w:val="0"/>
        </w:rPr>
        <w:t>r</w:t>
      </w:r>
      <w:r>
        <w:rPr>
          <w:snapToGrid w:val="0"/>
        </w:rPr>
        <w:t>egister</w:t>
      </w:r>
      <w:r w:rsidRPr="005773B8">
        <w:rPr>
          <w:snapToGrid w:val="0"/>
        </w:rPr>
        <w:t xml:space="preserve">. The washed list is returned with </w:t>
      </w:r>
      <w:r w:rsidR="00B144DF">
        <w:rPr>
          <w:snapToGrid w:val="0"/>
        </w:rPr>
        <w:t>DNCR</w:t>
      </w:r>
      <w:r w:rsidR="00B144DF" w:rsidRPr="005773B8">
        <w:rPr>
          <w:snapToGrid w:val="0"/>
        </w:rPr>
        <w:t xml:space="preserve"> </w:t>
      </w:r>
      <w:r w:rsidRPr="005773B8">
        <w:rPr>
          <w:snapToGrid w:val="0"/>
        </w:rPr>
        <w:t>numbers identified.</w:t>
      </w:r>
    </w:p>
    <w:p w14:paraId="0A3DA355" w14:textId="77777777" w:rsidR="00E93FFC" w:rsidRDefault="00E93FFC">
      <w:pPr>
        <w:spacing w:after="0" w:line="240" w:lineRule="auto"/>
      </w:pPr>
      <w:r>
        <w:br w:type="page"/>
      </w:r>
    </w:p>
    <w:p w14:paraId="0EEE37D5" w14:textId="3F5C4F95" w:rsidR="000541C7" w:rsidRPr="005773B8" w:rsidRDefault="000541C7" w:rsidP="000541C7">
      <w:pPr>
        <w:spacing w:after="80"/>
      </w:pPr>
      <w:r w:rsidRPr="005773B8">
        <w:lastRenderedPageBreak/>
        <w:t xml:space="preserve">The </w:t>
      </w:r>
      <w:r w:rsidR="00B144DF">
        <w:t>DNCR</w:t>
      </w:r>
      <w:r w:rsidRPr="005773B8">
        <w:t xml:space="preserve"> is a secure database of </w:t>
      </w:r>
      <w:r w:rsidR="00B144DF">
        <w:t>r</w:t>
      </w:r>
      <w:r>
        <w:t>egister</w:t>
      </w:r>
      <w:r w:rsidRPr="005773B8">
        <w:t>ed numbers. Services that support its operation include:</w:t>
      </w:r>
    </w:p>
    <w:p w14:paraId="63E09B34" w14:textId="77777777" w:rsidR="000541C7" w:rsidRPr="005773B8" w:rsidRDefault="000541C7" w:rsidP="00453634">
      <w:pPr>
        <w:pStyle w:val="ListBullet"/>
        <w:ind w:left="0" w:firstLine="0"/>
      </w:pPr>
      <w:r w:rsidRPr="005773B8">
        <w:t>a call centre with IT support</w:t>
      </w:r>
    </w:p>
    <w:p w14:paraId="3AAEF5E7" w14:textId="77777777" w:rsidR="000541C7" w:rsidRPr="005773B8" w:rsidRDefault="000541C7" w:rsidP="00453634">
      <w:pPr>
        <w:pStyle w:val="ListBullet"/>
        <w:ind w:left="0" w:firstLine="0"/>
      </w:pPr>
      <w:r w:rsidRPr="005773B8">
        <w:t>a customer management system</w:t>
      </w:r>
    </w:p>
    <w:p w14:paraId="651C7ADA" w14:textId="77777777" w:rsidR="000541C7" w:rsidRPr="005773B8" w:rsidRDefault="000541C7" w:rsidP="00453634">
      <w:pPr>
        <w:pStyle w:val="ListBullet"/>
        <w:ind w:left="0" w:firstLine="0"/>
      </w:pPr>
      <w:r w:rsidRPr="005773B8">
        <w:t>a dedicated website</w:t>
      </w:r>
    </w:p>
    <w:p w14:paraId="10A1F888" w14:textId="77777777" w:rsidR="000541C7" w:rsidRPr="005773B8" w:rsidRDefault="000541C7" w:rsidP="00453634">
      <w:pPr>
        <w:pStyle w:val="ListBullet"/>
        <w:ind w:left="0" w:firstLine="0"/>
      </w:pPr>
      <w:r w:rsidRPr="005773B8">
        <w:t>a financial system for account management</w:t>
      </w:r>
    </w:p>
    <w:p w14:paraId="38182EEC" w14:textId="77322446" w:rsidR="000541C7" w:rsidRPr="005773B8" w:rsidRDefault="000541C7" w:rsidP="00453634">
      <w:pPr>
        <w:pStyle w:val="ListBulletLast"/>
        <w:ind w:left="0" w:firstLine="0"/>
      </w:pPr>
      <w:r w:rsidRPr="005773B8">
        <w:t xml:space="preserve">four washing channels. </w:t>
      </w:r>
    </w:p>
    <w:p w14:paraId="10BC56B2" w14:textId="77777777" w:rsidR="00510E9F" w:rsidRPr="007959CE" w:rsidRDefault="00510E9F" w:rsidP="00A954D2">
      <w:pPr>
        <w:pStyle w:val="Heading2"/>
        <w:spacing w:before="120" w:after="120"/>
      </w:pPr>
      <w:bookmarkStart w:id="99" w:name="_Toc482346594"/>
      <w:bookmarkStart w:id="100" w:name="_Toc16097287"/>
      <w:bookmarkStart w:id="101" w:name="_Toc518999102"/>
      <w:bookmarkStart w:id="102" w:name="_Toc26195074"/>
      <w:r w:rsidRPr="007959CE">
        <w:t>Costs of the activity</w:t>
      </w:r>
      <w:bookmarkEnd w:id="99"/>
      <w:bookmarkEnd w:id="100"/>
      <w:bookmarkEnd w:id="101"/>
      <w:bookmarkEnd w:id="102"/>
    </w:p>
    <w:p w14:paraId="501927CE" w14:textId="5365CCF6" w:rsidR="001212BE" w:rsidRPr="002173DF" w:rsidRDefault="00510E9F" w:rsidP="002173DF">
      <w:r w:rsidRPr="007959CE">
        <w:rPr>
          <w:snapToGrid w:val="0"/>
        </w:rPr>
        <w:t xml:space="preserve">ACMA maintains separate financial records for the </w:t>
      </w:r>
      <w:r w:rsidR="00B144DF">
        <w:rPr>
          <w:snapToGrid w:val="0"/>
        </w:rPr>
        <w:t>r</w:t>
      </w:r>
      <w:r w:rsidR="00524BB2">
        <w:rPr>
          <w:snapToGrid w:val="0"/>
        </w:rPr>
        <w:t>egister</w:t>
      </w:r>
      <w:r w:rsidRPr="007959CE">
        <w:rPr>
          <w:snapToGrid w:val="0"/>
        </w:rPr>
        <w:t xml:space="preserve"> to identify the direct costs associated with its operation</w:t>
      </w:r>
      <w:r w:rsidR="001212BE">
        <w:rPr>
          <w:snapToGrid w:val="0"/>
        </w:rPr>
        <w:t xml:space="preserve">. </w:t>
      </w:r>
      <w:r w:rsidR="001212BE">
        <w:t xml:space="preserve">The components of these costs are reflected in Table 2 below. </w:t>
      </w:r>
      <w:r w:rsidR="001212BE" w:rsidRPr="00212B85">
        <w:t xml:space="preserve"> </w:t>
      </w:r>
    </w:p>
    <w:p w14:paraId="7018D882" w14:textId="77777777" w:rsidR="001212BE" w:rsidRPr="00212B85" w:rsidRDefault="001212BE" w:rsidP="00A954D2">
      <w:pPr>
        <w:pStyle w:val="ACMATableHeader"/>
        <w:keepNext/>
        <w:keepLines/>
        <w:spacing w:after="80"/>
        <w:ind w:left="0" w:firstLine="0"/>
      </w:pPr>
      <w:r>
        <w:t>Cost components of the DNCR</w:t>
      </w:r>
    </w:p>
    <w:tbl>
      <w:tblPr>
        <w:tblW w:w="8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6445"/>
      </w:tblGrid>
      <w:tr w:rsidR="001212BE" w:rsidRPr="00451112" w14:paraId="38D030C8" w14:textId="77777777" w:rsidTr="00A954D2">
        <w:trPr>
          <w:trHeight w:val="248"/>
        </w:trPr>
        <w:tc>
          <w:tcPr>
            <w:tcW w:w="1930" w:type="dxa"/>
            <w:shd w:val="clear" w:color="000000" w:fill="404040"/>
            <w:noWrap/>
            <w:tcMar>
              <w:top w:w="57" w:type="dxa"/>
              <w:bottom w:w="57" w:type="dxa"/>
            </w:tcMar>
            <w:hideMark/>
          </w:tcPr>
          <w:p w14:paraId="0436F442" w14:textId="0374DE4D" w:rsidR="001212BE" w:rsidRPr="00451112" w:rsidRDefault="001212BE" w:rsidP="00D40B3F">
            <w:pPr>
              <w:spacing w:after="0" w:line="240" w:lineRule="auto"/>
              <w:rPr>
                <w:rFonts w:cs="Arial"/>
                <w:b/>
                <w:bCs/>
                <w:color w:val="FFFFFF"/>
                <w:szCs w:val="20"/>
              </w:rPr>
            </w:pPr>
            <w:r w:rsidRPr="003832DF">
              <w:rPr>
                <w:rFonts w:cs="Arial"/>
                <w:b/>
                <w:bCs/>
                <w:color w:val="FFFFFF" w:themeColor="background1"/>
                <w:szCs w:val="20"/>
              </w:rPr>
              <w:t xml:space="preserve">Direct </w:t>
            </w:r>
            <w:r w:rsidR="00B144DF">
              <w:rPr>
                <w:rFonts w:cs="Arial"/>
                <w:b/>
                <w:bCs/>
                <w:color w:val="FFFFFF" w:themeColor="background1"/>
                <w:szCs w:val="20"/>
              </w:rPr>
              <w:t>c</w:t>
            </w:r>
            <w:r w:rsidRPr="003832DF">
              <w:rPr>
                <w:rFonts w:cs="Arial"/>
                <w:b/>
                <w:bCs/>
                <w:color w:val="FFFFFF" w:themeColor="background1"/>
                <w:szCs w:val="20"/>
              </w:rPr>
              <w:t>osts</w:t>
            </w:r>
            <w:r w:rsidR="00604C02" w:rsidRPr="008B1395">
              <w:rPr>
                <w:rFonts w:cs="Arial"/>
                <w:b/>
                <w:bCs/>
                <w:color w:val="FFFFFF" w:themeColor="background1"/>
                <w:szCs w:val="20"/>
                <w:vertAlign w:val="superscript"/>
              </w:rPr>
              <w:t>1</w:t>
            </w:r>
          </w:p>
        </w:tc>
        <w:tc>
          <w:tcPr>
            <w:tcW w:w="6445" w:type="dxa"/>
            <w:shd w:val="clear" w:color="000000" w:fill="404040"/>
            <w:tcMar>
              <w:top w:w="57" w:type="dxa"/>
              <w:bottom w:w="57" w:type="dxa"/>
            </w:tcMar>
            <w:hideMark/>
          </w:tcPr>
          <w:p w14:paraId="4B45335C" w14:textId="77777777" w:rsidR="001212BE" w:rsidRPr="00451112" w:rsidRDefault="001212BE" w:rsidP="00D40B3F">
            <w:pPr>
              <w:spacing w:after="0" w:line="240" w:lineRule="auto"/>
              <w:rPr>
                <w:rFonts w:cs="Arial"/>
                <w:b/>
                <w:bCs/>
                <w:color w:val="FFFFFF"/>
                <w:szCs w:val="20"/>
              </w:rPr>
            </w:pPr>
            <w:r w:rsidRPr="00451112">
              <w:rPr>
                <w:rFonts w:cs="Arial"/>
                <w:b/>
                <w:bCs/>
                <w:color w:val="FFFFFF" w:themeColor="background1"/>
                <w:szCs w:val="20"/>
              </w:rPr>
              <w:t>Description</w:t>
            </w:r>
          </w:p>
        </w:tc>
      </w:tr>
      <w:tr w:rsidR="001212BE" w:rsidRPr="00451112" w14:paraId="2B6AA88D" w14:textId="77777777" w:rsidTr="00A954D2">
        <w:trPr>
          <w:trHeight w:val="261"/>
        </w:trPr>
        <w:tc>
          <w:tcPr>
            <w:tcW w:w="1930" w:type="dxa"/>
            <w:shd w:val="clear" w:color="000000" w:fill="FFFFFF"/>
            <w:noWrap/>
            <w:tcMar>
              <w:top w:w="57" w:type="dxa"/>
              <w:bottom w:w="57" w:type="dxa"/>
            </w:tcMar>
            <w:hideMark/>
          </w:tcPr>
          <w:p w14:paraId="25EC32C3" w14:textId="77777777" w:rsidR="001212BE" w:rsidRPr="00451112" w:rsidRDefault="001212BE" w:rsidP="00D40B3F">
            <w:pPr>
              <w:spacing w:after="0" w:line="240" w:lineRule="auto"/>
              <w:rPr>
                <w:rFonts w:cs="Arial"/>
                <w:color w:val="000000"/>
                <w:szCs w:val="20"/>
              </w:rPr>
            </w:pPr>
            <w:r w:rsidRPr="00451112">
              <w:rPr>
                <w:rFonts w:cs="Arial"/>
                <w:color w:val="000000"/>
                <w:szCs w:val="20"/>
              </w:rPr>
              <w:t>Contractor</w:t>
            </w:r>
          </w:p>
        </w:tc>
        <w:tc>
          <w:tcPr>
            <w:tcW w:w="6445" w:type="dxa"/>
            <w:shd w:val="clear" w:color="auto" w:fill="auto"/>
            <w:noWrap/>
            <w:tcMar>
              <w:top w:w="57" w:type="dxa"/>
              <w:bottom w:w="57" w:type="dxa"/>
            </w:tcMar>
            <w:hideMark/>
          </w:tcPr>
          <w:p w14:paraId="71642EF7" w14:textId="2ABCBA4F" w:rsidR="001212BE" w:rsidRPr="00451112" w:rsidRDefault="001212BE" w:rsidP="00D40B3F">
            <w:pPr>
              <w:spacing w:after="0" w:line="240" w:lineRule="auto"/>
              <w:rPr>
                <w:rFonts w:cs="Arial"/>
                <w:color w:val="000000"/>
                <w:szCs w:val="20"/>
              </w:rPr>
            </w:pPr>
            <w:r w:rsidRPr="00451112">
              <w:rPr>
                <w:rFonts w:cs="Arial"/>
                <w:color w:val="000000"/>
                <w:szCs w:val="20"/>
              </w:rPr>
              <w:t xml:space="preserve">Contract fees paid to </w:t>
            </w:r>
            <w:r w:rsidR="00B144DF">
              <w:rPr>
                <w:rFonts w:cs="Arial"/>
                <w:color w:val="000000"/>
                <w:szCs w:val="20"/>
              </w:rPr>
              <w:t>s</w:t>
            </w:r>
            <w:r w:rsidRPr="00451112">
              <w:rPr>
                <w:rFonts w:cs="Arial"/>
                <w:color w:val="000000"/>
                <w:szCs w:val="20"/>
              </w:rPr>
              <w:t xml:space="preserve">ervice </w:t>
            </w:r>
            <w:r w:rsidR="00B144DF">
              <w:rPr>
                <w:rFonts w:cs="Arial"/>
                <w:color w:val="000000"/>
                <w:szCs w:val="20"/>
              </w:rPr>
              <w:t>p</w:t>
            </w:r>
            <w:r w:rsidRPr="00451112">
              <w:rPr>
                <w:rFonts w:cs="Arial"/>
                <w:color w:val="000000"/>
                <w:szCs w:val="20"/>
              </w:rPr>
              <w:t xml:space="preserve">rovider </w:t>
            </w:r>
          </w:p>
        </w:tc>
      </w:tr>
      <w:tr w:rsidR="001212BE" w:rsidRPr="00451112" w14:paraId="75A0501D" w14:textId="77777777" w:rsidTr="00A954D2">
        <w:trPr>
          <w:trHeight w:val="2077"/>
        </w:trPr>
        <w:tc>
          <w:tcPr>
            <w:tcW w:w="1930" w:type="dxa"/>
            <w:shd w:val="clear" w:color="000000" w:fill="FFFFFF"/>
            <w:noWrap/>
            <w:tcMar>
              <w:top w:w="57" w:type="dxa"/>
              <w:bottom w:w="57" w:type="dxa"/>
            </w:tcMar>
            <w:hideMark/>
          </w:tcPr>
          <w:p w14:paraId="35D0F593" w14:textId="254421A6" w:rsidR="001212BE" w:rsidRPr="00451112" w:rsidRDefault="001212BE" w:rsidP="00D40B3F">
            <w:pPr>
              <w:spacing w:after="0" w:line="240" w:lineRule="auto"/>
              <w:rPr>
                <w:rFonts w:cs="Arial"/>
                <w:color w:val="000000"/>
                <w:szCs w:val="20"/>
              </w:rPr>
            </w:pPr>
            <w:r w:rsidRPr="00451112">
              <w:rPr>
                <w:rFonts w:cs="Arial"/>
                <w:color w:val="000000"/>
                <w:szCs w:val="20"/>
              </w:rPr>
              <w:t xml:space="preserve">ACMA </w:t>
            </w:r>
            <w:r w:rsidR="00B144DF">
              <w:rPr>
                <w:rFonts w:cs="Arial"/>
                <w:color w:val="000000"/>
                <w:szCs w:val="20"/>
              </w:rPr>
              <w:t>s</w:t>
            </w:r>
            <w:r w:rsidRPr="00451112">
              <w:rPr>
                <w:rFonts w:cs="Arial"/>
                <w:color w:val="000000"/>
                <w:szCs w:val="20"/>
              </w:rPr>
              <w:t>taff</w:t>
            </w:r>
          </w:p>
        </w:tc>
        <w:tc>
          <w:tcPr>
            <w:tcW w:w="6445" w:type="dxa"/>
            <w:shd w:val="clear" w:color="auto" w:fill="auto"/>
            <w:tcMar>
              <w:top w:w="57" w:type="dxa"/>
              <w:bottom w:w="57" w:type="dxa"/>
            </w:tcMar>
            <w:hideMark/>
          </w:tcPr>
          <w:p w14:paraId="0C8C4C2E" w14:textId="77777777" w:rsidR="00E32AA9" w:rsidRDefault="001212BE" w:rsidP="00E32AA9">
            <w:pPr>
              <w:pStyle w:val="ListBullet"/>
            </w:pPr>
            <w:r w:rsidRPr="00451112">
              <w:t>Direct costs of ACMA ASL responsible for the contract management of the services provider</w:t>
            </w:r>
          </w:p>
          <w:p w14:paraId="14D0982C" w14:textId="0C5ECF49" w:rsidR="00E32AA9" w:rsidRDefault="001212BE" w:rsidP="00E32AA9">
            <w:pPr>
              <w:pStyle w:val="ListBullet"/>
            </w:pPr>
            <w:r w:rsidRPr="00451112">
              <w:t xml:space="preserve">Project management of any changes to IT and/or </w:t>
            </w:r>
            <w:r w:rsidR="00E32AA9">
              <w:t>r</w:t>
            </w:r>
            <w:r w:rsidRPr="00451112">
              <w:t xml:space="preserve">egister services, development and implementation of communications, development and review of </w:t>
            </w:r>
            <w:r w:rsidR="00E32AA9">
              <w:t>r</w:t>
            </w:r>
            <w:r w:rsidRPr="00451112">
              <w:t>egister website content, management of budgets and cost recovery</w:t>
            </w:r>
          </w:p>
          <w:p w14:paraId="4B120932" w14:textId="2C42D460" w:rsidR="00E32AA9" w:rsidRDefault="00E32AA9" w:rsidP="00E32AA9">
            <w:pPr>
              <w:pStyle w:val="ListBullet"/>
            </w:pPr>
            <w:r>
              <w:t>A</w:t>
            </w:r>
            <w:r w:rsidR="001212BE" w:rsidRPr="00451112">
              <w:t>dministration of access seeker accounts, invoices, payments, refunds, enquiries, data analysis and washing</w:t>
            </w:r>
          </w:p>
          <w:p w14:paraId="2C69E5C4" w14:textId="3EAA23EA" w:rsidR="001212BE" w:rsidRPr="00451112" w:rsidRDefault="00E32AA9" w:rsidP="00A954D2">
            <w:pPr>
              <w:pStyle w:val="ListBullet"/>
            </w:pPr>
            <w:r>
              <w:t>O</w:t>
            </w:r>
            <w:r w:rsidR="001212BE" w:rsidRPr="00451112">
              <w:t xml:space="preserve">versight of financial delegations and other </w:t>
            </w:r>
            <w:r>
              <w:t>r</w:t>
            </w:r>
            <w:r w:rsidR="001212BE" w:rsidRPr="00451112">
              <w:t xml:space="preserve">egister-related finance activities. </w:t>
            </w:r>
          </w:p>
        </w:tc>
      </w:tr>
      <w:tr w:rsidR="001212BE" w:rsidRPr="00451112" w14:paraId="6B147FA8" w14:textId="77777777" w:rsidTr="00A954D2">
        <w:trPr>
          <w:trHeight w:val="713"/>
        </w:trPr>
        <w:tc>
          <w:tcPr>
            <w:tcW w:w="1930" w:type="dxa"/>
            <w:shd w:val="clear" w:color="000000" w:fill="FFFFFF"/>
            <w:noWrap/>
            <w:tcMar>
              <w:top w:w="57" w:type="dxa"/>
              <w:bottom w:w="57" w:type="dxa"/>
            </w:tcMar>
            <w:hideMark/>
          </w:tcPr>
          <w:p w14:paraId="222E666B" w14:textId="77777777" w:rsidR="001212BE" w:rsidRPr="00451112" w:rsidRDefault="001212BE" w:rsidP="00D40B3F">
            <w:pPr>
              <w:spacing w:after="0" w:line="240" w:lineRule="auto"/>
              <w:rPr>
                <w:rFonts w:cs="Arial"/>
                <w:color w:val="000000"/>
                <w:szCs w:val="20"/>
              </w:rPr>
            </w:pPr>
            <w:r w:rsidRPr="00451112">
              <w:rPr>
                <w:rFonts w:cs="Arial"/>
                <w:color w:val="000000"/>
                <w:szCs w:val="20"/>
              </w:rPr>
              <w:t>Consultant</w:t>
            </w:r>
          </w:p>
        </w:tc>
        <w:tc>
          <w:tcPr>
            <w:tcW w:w="6445" w:type="dxa"/>
            <w:shd w:val="clear" w:color="auto" w:fill="auto"/>
            <w:tcMar>
              <w:top w:w="57" w:type="dxa"/>
              <w:bottom w:w="57" w:type="dxa"/>
            </w:tcMar>
            <w:hideMark/>
          </w:tcPr>
          <w:p w14:paraId="691BD057" w14:textId="77777777" w:rsidR="001212BE" w:rsidRPr="00451112" w:rsidRDefault="001212BE" w:rsidP="00D40B3F">
            <w:pPr>
              <w:spacing w:after="0" w:line="240" w:lineRule="auto"/>
              <w:rPr>
                <w:rFonts w:cs="Arial"/>
                <w:color w:val="000000"/>
                <w:szCs w:val="20"/>
              </w:rPr>
            </w:pPr>
            <w:r w:rsidRPr="00451112">
              <w:rPr>
                <w:rFonts w:cs="Arial"/>
                <w:color w:val="000000"/>
                <w:szCs w:val="20"/>
              </w:rPr>
              <w:t>The consultant costs represent subscription fee modelling services provided by ACIL Allen Consulting for the 2018–19 financial year.</w:t>
            </w:r>
          </w:p>
        </w:tc>
      </w:tr>
      <w:tr w:rsidR="001212BE" w:rsidRPr="00451112" w14:paraId="00547DC1" w14:textId="77777777" w:rsidTr="00A954D2">
        <w:trPr>
          <w:trHeight w:val="719"/>
        </w:trPr>
        <w:tc>
          <w:tcPr>
            <w:tcW w:w="1930" w:type="dxa"/>
            <w:shd w:val="clear" w:color="000000" w:fill="FFFFFF"/>
            <w:noWrap/>
            <w:tcMar>
              <w:top w:w="57" w:type="dxa"/>
              <w:bottom w:w="57" w:type="dxa"/>
            </w:tcMar>
            <w:hideMark/>
          </w:tcPr>
          <w:p w14:paraId="0C723902" w14:textId="77777777" w:rsidR="001212BE" w:rsidRPr="00451112" w:rsidRDefault="001212BE" w:rsidP="00D40B3F">
            <w:pPr>
              <w:spacing w:after="0" w:line="240" w:lineRule="auto"/>
              <w:rPr>
                <w:rFonts w:cs="Arial"/>
                <w:color w:val="000000"/>
                <w:szCs w:val="20"/>
              </w:rPr>
            </w:pPr>
            <w:r w:rsidRPr="00451112">
              <w:rPr>
                <w:rFonts w:cs="Arial"/>
                <w:color w:val="000000"/>
                <w:szCs w:val="20"/>
              </w:rPr>
              <w:t>Other</w:t>
            </w:r>
          </w:p>
        </w:tc>
        <w:tc>
          <w:tcPr>
            <w:tcW w:w="6445" w:type="dxa"/>
            <w:shd w:val="clear" w:color="auto" w:fill="auto"/>
            <w:tcMar>
              <w:top w:w="57" w:type="dxa"/>
              <w:bottom w:w="57" w:type="dxa"/>
            </w:tcMar>
            <w:hideMark/>
          </w:tcPr>
          <w:p w14:paraId="1501C7A3" w14:textId="77777777" w:rsidR="001212BE" w:rsidRPr="00451112" w:rsidRDefault="001212BE" w:rsidP="00D40B3F">
            <w:pPr>
              <w:spacing w:after="0" w:line="240" w:lineRule="auto"/>
              <w:rPr>
                <w:rFonts w:cs="Arial"/>
                <w:color w:val="000000"/>
                <w:szCs w:val="20"/>
              </w:rPr>
            </w:pPr>
            <w:r w:rsidRPr="00451112">
              <w:rPr>
                <w:rFonts w:cs="Arial"/>
                <w:color w:val="000000"/>
                <w:szCs w:val="20"/>
              </w:rPr>
              <w:t>Other costs relate primarily to the payment system, banking gateway, domain names and certificates, post office box and phone line rental.</w:t>
            </w:r>
          </w:p>
        </w:tc>
      </w:tr>
    </w:tbl>
    <w:p w14:paraId="6B10132E" w14:textId="5A7F0C3F" w:rsidR="00591A0C" w:rsidRDefault="001212BE" w:rsidP="00524BB2">
      <w:r w:rsidRPr="002173DF">
        <w:rPr>
          <w:vertAlign w:val="superscript"/>
        </w:rPr>
        <w:t xml:space="preserve">1 </w:t>
      </w:r>
      <w:r w:rsidR="009A20E2" w:rsidRPr="002173DF">
        <w:rPr>
          <w:sz w:val="16"/>
          <w:szCs w:val="16"/>
        </w:rPr>
        <w:t>More detail of these cost</w:t>
      </w:r>
      <w:r w:rsidR="006D1EC6">
        <w:rPr>
          <w:sz w:val="16"/>
          <w:szCs w:val="16"/>
        </w:rPr>
        <w:t>s</w:t>
      </w:r>
      <w:r w:rsidR="009A20E2" w:rsidRPr="002173DF">
        <w:rPr>
          <w:sz w:val="16"/>
          <w:szCs w:val="16"/>
        </w:rPr>
        <w:t xml:space="preserve"> can be found under 7A. Financial Performance.</w:t>
      </w:r>
    </w:p>
    <w:p w14:paraId="42F80C3D" w14:textId="06C8FBF8" w:rsidR="00E32AA9" w:rsidRDefault="003C38F4" w:rsidP="00524BB2">
      <w:r w:rsidRPr="00212B85">
        <w:t xml:space="preserve">The contractor costs are </w:t>
      </w:r>
      <w:r>
        <w:t>based on</w:t>
      </w:r>
      <w:r w:rsidRPr="00212B85">
        <w:t xml:space="preserve"> services provided by Salmat Digital Pty Ltd</w:t>
      </w:r>
      <w:r w:rsidRPr="003C38F4">
        <w:t xml:space="preserve"> </w:t>
      </w:r>
      <w:r w:rsidRPr="00212B85">
        <w:t xml:space="preserve">under </w:t>
      </w:r>
      <w:r>
        <w:t xml:space="preserve">the current </w:t>
      </w:r>
      <w:r w:rsidRPr="00212B85">
        <w:t>contract.</w:t>
      </w:r>
      <w:r>
        <w:t xml:space="preserve"> In 2018</w:t>
      </w:r>
      <w:r w:rsidR="00FA7E99">
        <w:t>–</w:t>
      </w:r>
      <w:r>
        <w:t xml:space="preserve">19, the staff costs were based on 1.30 average staffing level (ASL). </w:t>
      </w:r>
      <w:r w:rsidRPr="00212B85">
        <w:t xml:space="preserve">Time is used as the primary means for allocating costs to activities performed by ACMA staff. </w:t>
      </w:r>
    </w:p>
    <w:p w14:paraId="10594E84" w14:textId="67FF29EB" w:rsidR="006F7E19" w:rsidRPr="002173DF" w:rsidRDefault="003C38F4" w:rsidP="00524BB2">
      <w:r w:rsidRPr="00212B85">
        <w:t xml:space="preserve">The relevant hourly rate for the calculation of staff costs is published in the Telecommunications (Charges) Determination 2017. The hourly rate from 1 July 2012 to 31 March 2017 was $197. </w:t>
      </w:r>
      <w:r w:rsidRPr="00BF0949">
        <w:t>The current hou</w:t>
      </w:r>
      <w:r w:rsidRPr="00212B85">
        <w:t xml:space="preserve">rly rate </w:t>
      </w:r>
      <w:r>
        <w:t>since</w:t>
      </w:r>
      <w:r w:rsidRPr="00212B85">
        <w:t xml:space="preserve"> 1 April 2017 is $202.</w:t>
      </w:r>
    </w:p>
    <w:p w14:paraId="2B08F0B9" w14:textId="6F09916B" w:rsidR="00510E9F" w:rsidRPr="00BF0949" w:rsidRDefault="00510E9F" w:rsidP="00524BB2">
      <w:pPr>
        <w:spacing w:after="80"/>
        <w:rPr>
          <w:rFonts w:cs="Arial"/>
          <w:iCs/>
        </w:rPr>
      </w:pPr>
      <w:r w:rsidRPr="007959CE">
        <w:t>In calculating the total estimated direct cost</w:t>
      </w:r>
      <w:r w:rsidR="00C04684" w:rsidRPr="007959CE">
        <w:t>-</w:t>
      </w:r>
      <w:r w:rsidRPr="007959CE">
        <w:t xml:space="preserve">recoverable </w:t>
      </w:r>
      <w:r w:rsidRPr="00BF0949">
        <w:t>figure</w:t>
      </w:r>
      <w:r w:rsidR="003578EF" w:rsidRPr="00BF0949">
        <w:t>s over the years</w:t>
      </w:r>
      <w:r w:rsidRPr="00BF0949">
        <w:t xml:space="preserve">, the following </w:t>
      </w:r>
      <w:r w:rsidR="0025069C" w:rsidRPr="00BF0949">
        <w:t xml:space="preserve">were </w:t>
      </w:r>
      <w:r w:rsidRPr="00BF0949">
        <w:t>excluded:</w:t>
      </w:r>
    </w:p>
    <w:p w14:paraId="1107C2F9" w14:textId="2F1FDD04" w:rsidR="00510E9F" w:rsidRPr="00BF0949" w:rsidRDefault="00510E9F" w:rsidP="003F4E25">
      <w:pPr>
        <w:pStyle w:val="ListBullet"/>
        <w:ind w:left="284" w:hanging="284"/>
      </w:pPr>
      <w:r w:rsidRPr="00BF0949">
        <w:t xml:space="preserve">procurement of a new </w:t>
      </w:r>
      <w:r w:rsidR="00E32AA9">
        <w:t>r</w:t>
      </w:r>
      <w:r w:rsidR="00524BB2" w:rsidRPr="00BF0949">
        <w:t>egister</w:t>
      </w:r>
      <w:r w:rsidRPr="00BF0949">
        <w:t xml:space="preserve"> operator and transition from the former operator (totalling $1.0 million</w:t>
      </w:r>
      <w:r w:rsidR="003973C3" w:rsidRPr="00BF0949">
        <w:t xml:space="preserve"> incurred </w:t>
      </w:r>
      <w:r w:rsidR="00DB05D3" w:rsidRPr="00BF0949">
        <w:t>across</w:t>
      </w:r>
      <w:r w:rsidR="003973C3" w:rsidRPr="00BF0949">
        <w:t xml:space="preserve"> </w:t>
      </w:r>
      <w:r w:rsidR="00DB05D3" w:rsidRPr="00BF0949">
        <w:t>2014</w:t>
      </w:r>
      <w:r w:rsidR="005804DA" w:rsidRPr="00BF0949">
        <w:t>–</w:t>
      </w:r>
      <w:r w:rsidR="00DB05D3" w:rsidRPr="00BF0949">
        <w:t xml:space="preserve">15 and </w:t>
      </w:r>
      <w:r w:rsidR="003973C3" w:rsidRPr="00BF0949">
        <w:t>201</w:t>
      </w:r>
      <w:r w:rsidR="00DB05D3" w:rsidRPr="00BF0949">
        <w:t>5</w:t>
      </w:r>
      <w:r w:rsidR="005804DA" w:rsidRPr="00BF0949">
        <w:t>–</w:t>
      </w:r>
      <w:r w:rsidR="003973C3" w:rsidRPr="00BF0949">
        <w:t>1</w:t>
      </w:r>
      <w:r w:rsidR="00DB05D3" w:rsidRPr="00BF0949">
        <w:t>6</w:t>
      </w:r>
    </w:p>
    <w:p w14:paraId="71CF9528" w14:textId="5A92FC0C" w:rsidR="00510E9F" w:rsidRPr="00BF0949" w:rsidRDefault="00510E9F" w:rsidP="003F4E25">
      <w:pPr>
        <w:pStyle w:val="ListBullet"/>
        <w:ind w:left="284" w:hanging="284"/>
      </w:pPr>
      <w:r w:rsidRPr="00BF0949">
        <w:t xml:space="preserve">establishment costs for the new </w:t>
      </w:r>
      <w:r w:rsidR="00E32AA9">
        <w:t>DNCR</w:t>
      </w:r>
      <w:r w:rsidR="00E32AA9" w:rsidRPr="00BF0949">
        <w:t xml:space="preserve"> </w:t>
      </w:r>
      <w:r w:rsidRPr="00BF0949">
        <w:t xml:space="preserve">operator to build its </w:t>
      </w:r>
      <w:r w:rsidR="00E32AA9">
        <w:t>re</w:t>
      </w:r>
      <w:r w:rsidR="00524BB2" w:rsidRPr="00BF0949">
        <w:t>gister</w:t>
      </w:r>
      <w:r w:rsidRPr="00BF0949">
        <w:t xml:space="preserve"> systems</w:t>
      </w:r>
      <w:r w:rsidR="00C04684" w:rsidRPr="00BF0949">
        <w:t xml:space="preserve"> (totalling $3.6</w:t>
      </w:r>
      <w:r w:rsidR="00E32AA9">
        <w:t> </w:t>
      </w:r>
      <w:r w:rsidR="00C04684" w:rsidRPr="00BF0949">
        <w:t>million incurred across 2014–15 and 2015–16)</w:t>
      </w:r>
    </w:p>
    <w:p w14:paraId="439A2368" w14:textId="376A2D01" w:rsidR="00510E9F" w:rsidRPr="00BF0949" w:rsidRDefault="00510E9F" w:rsidP="003F4E25">
      <w:pPr>
        <w:pStyle w:val="ListBullet"/>
        <w:ind w:left="284" w:hanging="284"/>
      </w:pPr>
      <w:r w:rsidRPr="00BF0949">
        <w:t xml:space="preserve">ACMA’s staff costs </w:t>
      </w:r>
      <w:r w:rsidR="00DB05D3" w:rsidRPr="00BF0949">
        <w:t>incurred across 2014</w:t>
      </w:r>
      <w:r w:rsidR="005804DA" w:rsidRPr="00BF0949">
        <w:t>–</w:t>
      </w:r>
      <w:r w:rsidR="00DB05D3" w:rsidRPr="00BF0949">
        <w:t>15 and 2015</w:t>
      </w:r>
      <w:r w:rsidR="005804DA" w:rsidRPr="00BF0949">
        <w:t>–</w:t>
      </w:r>
      <w:r w:rsidR="00DB05D3" w:rsidRPr="00BF0949">
        <w:t>16</w:t>
      </w:r>
      <w:r w:rsidR="003973C3" w:rsidRPr="00BF0949">
        <w:t xml:space="preserve"> </w:t>
      </w:r>
      <w:r w:rsidRPr="00BF0949">
        <w:t xml:space="preserve">for procurement and transition to a new </w:t>
      </w:r>
      <w:r w:rsidR="00E32AA9">
        <w:t>r</w:t>
      </w:r>
      <w:r w:rsidR="00524BB2" w:rsidRPr="00BF0949">
        <w:t>egister</w:t>
      </w:r>
      <w:r w:rsidRPr="00BF0949">
        <w:t xml:space="preserve"> operator and the establishment of a new </w:t>
      </w:r>
      <w:r w:rsidR="00E32AA9">
        <w:t>r</w:t>
      </w:r>
      <w:r w:rsidR="00524BB2" w:rsidRPr="00BF0949">
        <w:t>egister</w:t>
      </w:r>
    </w:p>
    <w:p w14:paraId="0B4D1AA3" w14:textId="33D91909" w:rsidR="00510E9F" w:rsidRPr="00BF0949" w:rsidRDefault="00510E9F" w:rsidP="003F4E25">
      <w:pPr>
        <w:pStyle w:val="ListBullet"/>
        <w:ind w:left="284" w:hanging="284"/>
      </w:pPr>
      <w:r w:rsidRPr="00BF0949">
        <w:lastRenderedPageBreak/>
        <w:t>ACMA’s regulatory functions in monitoring and enforcing compliance with the Act</w:t>
      </w:r>
      <w:r w:rsidR="00E32AA9">
        <w:t>—</w:t>
      </w:r>
      <w:r w:rsidRPr="00BF0949">
        <w:t>for example, the costs involved in investigating complaints or taking enforcement action</w:t>
      </w:r>
    </w:p>
    <w:p w14:paraId="28038821" w14:textId="10B7B90D" w:rsidR="00510E9F" w:rsidRPr="00BF0949" w:rsidRDefault="00510E9F" w:rsidP="003F4E25">
      <w:pPr>
        <w:pStyle w:val="ListBullet"/>
        <w:ind w:left="284" w:hanging="284"/>
      </w:pPr>
      <w:r w:rsidRPr="00BF0949">
        <w:t xml:space="preserve">the </w:t>
      </w:r>
      <w:r w:rsidR="00602485" w:rsidRPr="00BF0949">
        <w:t>cost of consumer education activities related to</w:t>
      </w:r>
      <w:r w:rsidRPr="00BF0949">
        <w:t xml:space="preserve"> the </w:t>
      </w:r>
      <w:r w:rsidR="00524BB2" w:rsidRPr="00BF0949">
        <w:t>Register</w:t>
      </w:r>
      <w:r w:rsidRPr="00BF0949">
        <w:t>.</w:t>
      </w:r>
    </w:p>
    <w:p w14:paraId="2A8A1436" w14:textId="24F8A086" w:rsidR="00510E9F" w:rsidRDefault="00510E9F" w:rsidP="00524BB2">
      <w:pPr>
        <w:spacing w:before="240"/>
        <w:rPr>
          <w:rFonts w:cs="Arial"/>
          <w:iCs/>
        </w:rPr>
      </w:pPr>
      <w:r w:rsidRPr="00BF0949">
        <w:rPr>
          <w:rFonts w:cs="Arial"/>
          <w:iCs/>
        </w:rPr>
        <w:t xml:space="preserve">The cost </w:t>
      </w:r>
      <w:r w:rsidR="00DE240E">
        <w:rPr>
          <w:rFonts w:cs="Arial"/>
          <w:iCs/>
        </w:rPr>
        <w:t>of</w:t>
      </w:r>
      <w:r w:rsidR="00DE240E" w:rsidRPr="00BF0949">
        <w:rPr>
          <w:rFonts w:cs="Arial"/>
          <w:iCs/>
        </w:rPr>
        <w:t xml:space="preserve"> </w:t>
      </w:r>
      <w:r w:rsidRPr="00BF0949">
        <w:rPr>
          <w:rFonts w:cs="Arial"/>
          <w:iCs/>
        </w:rPr>
        <w:t xml:space="preserve">these activities </w:t>
      </w:r>
      <w:r w:rsidR="00DE240E">
        <w:rPr>
          <w:rFonts w:cs="Arial"/>
          <w:iCs/>
        </w:rPr>
        <w:t>was</w:t>
      </w:r>
      <w:r w:rsidR="00DE240E" w:rsidRPr="00BF0949">
        <w:rPr>
          <w:rFonts w:cs="Arial"/>
          <w:iCs/>
        </w:rPr>
        <w:t xml:space="preserve"> </w:t>
      </w:r>
      <w:r w:rsidRPr="00BF0949">
        <w:rPr>
          <w:rFonts w:cs="Arial"/>
          <w:iCs/>
        </w:rPr>
        <w:t>met through budget funding.</w:t>
      </w:r>
    </w:p>
    <w:p w14:paraId="5D3D88C0" w14:textId="77777777" w:rsidR="00510E9F" w:rsidRPr="00212B85" w:rsidRDefault="00510E9F" w:rsidP="00A954D2">
      <w:pPr>
        <w:pStyle w:val="Heading1"/>
      </w:pPr>
      <w:bookmarkStart w:id="103" w:name="_Structure_of_the"/>
      <w:bookmarkStart w:id="104" w:name="_Toc482346596"/>
      <w:bookmarkStart w:id="105" w:name="_Toc16097289"/>
      <w:bookmarkStart w:id="106" w:name="_Toc16097398"/>
      <w:bookmarkStart w:id="107" w:name="_Toc518999104"/>
      <w:bookmarkStart w:id="108" w:name="_Toc26195075"/>
      <w:bookmarkStart w:id="109" w:name="calculationofcosts"/>
      <w:bookmarkEnd w:id="95"/>
      <w:bookmarkEnd w:id="103"/>
      <w:r w:rsidRPr="00212B85">
        <w:lastRenderedPageBreak/>
        <w:t>Risk assessment</w:t>
      </w:r>
      <w:bookmarkEnd w:id="104"/>
      <w:bookmarkEnd w:id="105"/>
      <w:bookmarkEnd w:id="106"/>
      <w:bookmarkEnd w:id="107"/>
      <w:bookmarkEnd w:id="108"/>
    </w:p>
    <w:p w14:paraId="1CB4051E" w14:textId="2AA239F3" w:rsidR="00510E9F" w:rsidRPr="00212B85" w:rsidRDefault="00510E9F" w:rsidP="00524BB2">
      <w:pPr>
        <w:spacing w:after="80"/>
      </w:pPr>
      <w:r w:rsidRPr="00212B85">
        <w:t>ACMA mitigates the risks associated with the management of the cost</w:t>
      </w:r>
      <w:r w:rsidR="0053291F" w:rsidRPr="00212B85">
        <w:t>-</w:t>
      </w:r>
      <w:r w:rsidRPr="00212B85">
        <w:t xml:space="preserve">recovery activities applicable to the </w:t>
      </w:r>
      <w:r w:rsidR="00E32AA9">
        <w:t>r</w:t>
      </w:r>
      <w:r w:rsidR="00524BB2">
        <w:t>egister</w:t>
      </w:r>
      <w:r w:rsidRPr="00212B85">
        <w:t xml:space="preserve"> </w:t>
      </w:r>
      <w:r w:rsidR="00C6541D" w:rsidRPr="00212B85">
        <w:t>by</w:t>
      </w:r>
      <w:r w:rsidRPr="00212B85">
        <w:t>:</w:t>
      </w:r>
    </w:p>
    <w:p w14:paraId="413521CC" w14:textId="2C95E44A" w:rsidR="00510E9F" w:rsidRPr="00212B85" w:rsidRDefault="00C6541D" w:rsidP="00453634">
      <w:pPr>
        <w:pStyle w:val="ListBullet"/>
        <w:ind w:left="0" w:firstLine="0"/>
      </w:pPr>
      <w:r w:rsidRPr="00212B85">
        <w:t xml:space="preserve">analysing </w:t>
      </w:r>
      <w:r w:rsidR="00510E9F" w:rsidRPr="00212B85">
        <w:t>risks</w:t>
      </w:r>
    </w:p>
    <w:p w14:paraId="2E5E570B" w14:textId="436B4DD3" w:rsidR="00510E9F" w:rsidRPr="00212B85" w:rsidRDefault="00C6541D" w:rsidP="00453634">
      <w:pPr>
        <w:pStyle w:val="ListBullet"/>
        <w:ind w:left="0" w:firstLine="0"/>
      </w:pPr>
      <w:r w:rsidRPr="00212B85">
        <w:t xml:space="preserve">using </w:t>
      </w:r>
      <w:r w:rsidR="00510E9F" w:rsidRPr="00212B85">
        <w:t>risk</w:t>
      </w:r>
      <w:r w:rsidR="00E32AA9">
        <w:t>-</w:t>
      </w:r>
      <w:r w:rsidR="00510E9F" w:rsidRPr="00212B85">
        <w:t>control strategies</w:t>
      </w:r>
    </w:p>
    <w:p w14:paraId="743E02DB" w14:textId="2E15E19C" w:rsidR="00510E9F" w:rsidRPr="00212B85" w:rsidRDefault="00C6541D" w:rsidP="00453634">
      <w:pPr>
        <w:pStyle w:val="ListBullet"/>
        <w:ind w:left="0" w:firstLine="0"/>
      </w:pPr>
      <w:r w:rsidRPr="00212B85">
        <w:t xml:space="preserve">reviewing </w:t>
      </w:r>
      <w:r w:rsidR="00510E9F" w:rsidRPr="00212B85">
        <w:t>processes</w:t>
      </w:r>
      <w:r w:rsidRPr="00212B85">
        <w:t xml:space="preserve"> regularl</w:t>
      </w:r>
      <w:r w:rsidR="00E32AA9">
        <w:t>y</w:t>
      </w:r>
    </w:p>
    <w:p w14:paraId="0A007ECD" w14:textId="0CFC1238" w:rsidR="00510E9F" w:rsidRPr="00212B85" w:rsidRDefault="00C6541D" w:rsidP="00453634">
      <w:pPr>
        <w:pStyle w:val="ListBulletLast"/>
        <w:ind w:left="0" w:firstLine="0"/>
      </w:pPr>
      <w:proofErr w:type="gramStart"/>
      <w:r w:rsidRPr="00212B85">
        <w:t xml:space="preserve">taking </w:t>
      </w:r>
      <w:r w:rsidR="00510E9F" w:rsidRPr="00212B85">
        <w:t>action</w:t>
      </w:r>
      <w:proofErr w:type="gramEnd"/>
      <w:r w:rsidR="00510E9F" w:rsidRPr="00212B85">
        <w:t xml:space="preserve"> as a result of those reviews.</w:t>
      </w:r>
    </w:p>
    <w:p w14:paraId="500D4009" w14:textId="4BF51631" w:rsidR="00510E9F" w:rsidRDefault="00510E9F" w:rsidP="00524BB2">
      <w:pPr>
        <w:rPr>
          <w:rFonts w:cs="Arial"/>
          <w:szCs w:val="20"/>
        </w:rPr>
      </w:pPr>
      <w:r w:rsidRPr="00212B85">
        <w:rPr>
          <w:rFonts w:cs="Arial"/>
          <w:szCs w:val="20"/>
        </w:rPr>
        <w:t xml:space="preserve">In accordance with the charging framework, ACMA has undertaken a </w:t>
      </w:r>
      <w:hyperlink r:id="rId34" w:history="1">
        <w:r w:rsidRPr="00212B85">
          <w:rPr>
            <w:rStyle w:val="Hyperlink"/>
          </w:rPr>
          <w:t>Charging Risk Assessment</w:t>
        </w:r>
      </w:hyperlink>
      <w:r w:rsidR="00C6541D" w:rsidRPr="00212B85">
        <w:rPr>
          <w:rStyle w:val="Hyperlink"/>
        </w:rPr>
        <w:t>,</w:t>
      </w:r>
      <w:r w:rsidRPr="00212B85">
        <w:t xml:space="preserve"> </w:t>
      </w:r>
      <w:r w:rsidRPr="00212B85">
        <w:rPr>
          <w:rFonts w:cs="Arial"/>
          <w:szCs w:val="20"/>
        </w:rPr>
        <w:t>resulting i</w:t>
      </w:r>
      <w:r w:rsidR="00C6541D" w:rsidRPr="00212B85">
        <w:rPr>
          <w:rFonts w:cs="Arial"/>
          <w:szCs w:val="20"/>
        </w:rPr>
        <w:t>n</w:t>
      </w:r>
      <w:r w:rsidRPr="00212B85">
        <w:rPr>
          <w:rFonts w:cs="Arial"/>
          <w:szCs w:val="20"/>
        </w:rPr>
        <w:t xml:space="preserve"> a risk rating of </w:t>
      </w:r>
      <w:r w:rsidRPr="00A954D2">
        <w:rPr>
          <w:rFonts w:cs="Arial"/>
          <w:bCs/>
          <w:szCs w:val="20"/>
        </w:rPr>
        <w:t>‘</w:t>
      </w:r>
      <w:r w:rsidR="00AC3B88" w:rsidRPr="00A954D2">
        <w:rPr>
          <w:rFonts w:cs="Arial"/>
          <w:bCs/>
          <w:szCs w:val="20"/>
        </w:rPr>
        <w:t>medium</w:t>
      </w:r>
      <w:r w:rsidR="00091AC6" w:rsidRPr="002A7D8F">
        <w:rPr>
          <w:rFonts w:cs="Arial"/>
          <w:bCs/>
          <w:szCs w:val="20"/>
        </w:rPr>
        <w:t>’</w:t>
      </w:r>
      <w:r w:rsidR="00091AC6" w:rsidRPr="00212B85">
        <w:rPr>
          <w:rFonts w:cs="Arial"/>
          <w:b/>
          <w:szCs w:val="20"/>
        </w:rPr>
        <w:t xml:space="preserve"> </w:t>
      </w:r>
      <w:r w:rsidRPr="00212B85">
        <w:rPr>
          <w:rFonts w:cs="Arial"/>
          <w:szCs w:val="20"/>
        </w:rPr>
        <w:t>for 201</w:t>
      </w:r>
      <w:r w:rsidR="002164E2">
        <w:rPr>
          <w:rFonts w:cs="Arial"/>
          <w:szCs w:val="20"/>
        </w:rPr>
        <w:t>9</w:t>
      </w:r>
      <w:r w:rsidR="00C6541D" w:rsidRPr="00212B85">
        <w:rPr>
          <w:rFonts w:cs="Arial"/>
          <w:szCs w:val="20"/>
        </w:rPr>
        <w:t>–</w:t>
      </w:r>
      <w:r w:rsidR="002164E2">
        <w:rPr>
          <w:rFonts w:cs="Arial"/>
          <w:szCs w:val="20"/>
        </w:rPr>
        <w:t>20</w:t>
      </w:r>
      <w:r w:rsidRPr="00212B85">
        <w:rPr>
          <w:rFonts w:cs="Arial"/>
          <w:szCs w:val="20"/>
        </w:rPr>
        <w:t>.</w:t>
      </w:r>
    </w:p>
    <w:p w14:paraId="5F153277" w14:textId="017BF300" w:rsidR="00973718" w:rsidRPr="00673D1F" w:rsidRDefault="00973718" w:rsidP="00F10B22">
      <w:pPr>
        <w:pStyle w:val="ACMATableHeader"/>
        <w:rPr>
          <w:rFonts w:eastAsia="Calibri"/>
        </w:rPr>
      </w:pPr>
      <w:r w:rsidRPr="00673D1F">
        <w:t xml:space="preserve">Risk ratings </w:t>
      </w:r>
    </w:p>
    <w:tbl>
      <w:tblPr>
        <w:tblStyle w:val="TableGrid"/>
        <w:tblW w:w="0" w:type="auto"/>
        <w:tblCellMar>
          <w:top w:w="57" w:type="dxa"/>
          <w:bottom w:w="57" w:type="dxa"/>
        </w:tblCellMar>
        <w:tblLook w:val="04A0" w:firstRow="1" w:lastRow="0" w:firstColumn="1" w:lastColumn="0" w:noHBand="0" w:noVBand="1"/>
        <w:tblCaption w:val="Risk rating for ACLC components"/>
        <w:tblDescription w:val="Includes the reference in the Act, cost component and risk rating."/>
      </w:tblPr>
      <w:tblGrid>
        <w:gridCol w:w="4248"/>
        <w:gridCol w:w="2693"/>
        <w:gridCol w:w="1412"/>
      </w:tblGrid>
      <w:tr w:rsidR="00951CE8" w:rsidRPr="00951CE8" w14:paraId="44BFEF09" w14:textId="77777777" w:rsidTr="00C15D93">
        <w:trPr>
          <w:cantSplit/>
          <w:tblHeader/>
        </w:trPr>
        <w:tc>
          <w:tcPr>
            <w:tcW w:w="4248" w:type="dxa"/>
            <w:shd w:val="clear" w:color="auto" w:fill="404040" w:themeFill="text1" w:themeFillTint="BF"/>
          </w:tcPr>
          <w:p w14:paraId="17893130" w14:textId="3208C9C6" w:rsidR="00C15D93" w:rsidRPr="00951CE8" w:rsidRDefault="00C15D93" w:rsidP="00767B49">
            <w:pPr>
              <w:pStyle w:val="TableHeading"/>
              <w:rPr>
                <w:color w:val="FFFFFF" w:themeColor="background1"/>
              </w:rPr>
            </w:pPr>
            <w:r w:rsidRPr="00951CE8">
              <w:rPr>
                <w:color w:val="FFFFFF" w:themeColor="background1"/>
              </w:rPr>
              <w:t>Assessment component</w:t>
            </w:r>
          </w:p>
        </w:tc>
        <w:tc>
          <w:tcPr>
            <w:tcW w:w="2693" w:type="dxa"/>
            <w:shd w:val="clear" w:color="auto" w:fill="404040" w:themeFill="text1" w:themeFillTint="BF"/>
          </w:tcPr>
          <w:p w14:paraId="1F139555" w14:textId="42A7E3CB" w:rsidR="00C15D93" w:rsidRPr="00951CE8" w:rsidRDefault="00C15D93" w:rsidP="00767B49">
            <w:pPr>
              <w:pStyle w:val="TableHeading"/>
              <w:rPr>
                <w:rFonts w:eastAsia="Calibri"/>
                <w:color w:val="FFFFFF" w:themeColor="background1"/>
                <w:lang w:eastAsia="en-US"/>
              </w:rPr>
            </w:pPr>
            <w:r w:rsidRPr="00951CE8">
              <w:rPr>
                <w:rFonts w:eastAsia="Calibri"/>
                <w:color w:val="FFFFFF" w:themeColor="background1"/>
                <w:lang w:eastAsia="en-US"/>
              </w:rPr>
              <w:t>Implementation risk</w:t>
            </w:r>
          </w:p>
        </w:tc>
        <w:tc>
          <w:tcPr>
            <w:tcW w:w="1412" w:type="dxa"/>
            <w:shd w:val="clear" w:color="auto" w:fill="404040" w:themeFill="text1" w:themeFillTint="BF"/>
          </w:tcPr>
          <w:p w14:paraId="4D54AEBA" w14:textId="77777777" w:rsidR="00C15D93" w:rsidRPr="00951CE8" w:rsidRDefault="00C15D93" w:rsidP="00767B49">
            <w:pPr>
              <w:pStyle w:val="TableHeading"/>
              <w:rPr>
                <w:rFonts w:eastAsia="Calibri"/>
                <w:color w:val="FFFFFF" w:themeColor="background1"/>
                <w:lang w:eastAsia="en-US"/>
              </w:rPr>
            </w:pPr>
            <w:r w:rsidRPr="00951CE8">
              <w:rPr>
                <w:color w:val="FFFFFF" w:themeColor="background1"/>
              </w:rPr>
              <w:t>Risk rating</w:t>
            </w:r>
          </w:p>
        </w:tc>
      </w:tr>
      <w:tr w:rsidR="00C15D93" w14:paraId="52D5CD93" w14:textId="77777777" w:rsidTr="00C15D93">
        <w:trPr>
          <w:cantSplit/>
          <w:tblHeader/>
        </w:trPr>
        <w:tc>
          <w:tcPr>
            <w:tcW w:w="4248" w:type="dxa"/>
          </w:tcPr>
          <w:p w14:paraId="3A25D8A9" w14:textId="56DAD80B" w:rsidR="00C15D93" w:rsidRDefault="00C15D93" w:rsidP="00767B49">
            <w:pPr>
              <w:autoSpaceDE w:val="0"/>
              <w:autoSpaceDN w:val="0"/>
              <w:adjustRightInd w:val="0"/>
              <w:spacing w:after="0"/>
              <w:rPr>
                <w:rFonts w:cs="Arial"/>
                <w:szCs w:val="20"/>
              </w:rPr>
            </w:pPr>
            <w:r w:rsidRPr="00266878">
              <w:t>What is the proposed change in annual cost recovery revenue for the activity?</w:t>
            </w:r>
          </w:p>
        </w:tc>
        <w:tc>
          <w:tcPr>
            <w:tcW w:w="2693" w:type="dxa"/>
          </w:tcPr>
          <w:p w14:paraId="093EF9DE" w14:textId="3B8F42F5" w:rsidR="00C15D93" w:rsidRDefault="00C15D93" w:rsidP="00767B49">
            <w:pPr>
              <w:autoSpaceDE w:val="0"/>
              <w:autoSpaceDN w:val="0"/>
              <w:adjustRightInd w:val="0"/>
              <w:spacing w:after="0"/>
              <w:rPr>
                <w:rFonts w:eastAsia="Calibri" w:cs="Arial"/>
                <w:color w:val="000000"/>
                <w:szCs w:val="20"/>
                <w:lang w:eastAsia="en-US"/>
              </w:rPr>
            </w:pPr>
            <w:r>
              <w:rPr>
                <w:rFonts w:cs="Arial"/>
                <w:szCs w:val="20"/>
              </w:rPr>
              <w:t xml:space="preserve">Decrease by </w:t>
            </w:r>
            <w:r w:rsidR="00A954D2">
              <w:rPr>
                <w:rFonts w:cs="Arial"/>
                <w:szCs w:val="20"/>
              </w:rPr>
              <w:t>9</w:t>
            </w:r>
            <w:r>
              <w:rPr>
                <w:rFonts w:cs="Arial"/>
                <w:szCs w:val="20"/>
              </w:rPr>
              <w:t>%</w:t>
            </w:r>
          </w:p>
        </w:tc>
        <w:tc>
          <w:tcPr>
            <w:tcW w:w="1412" w:type="dxa"/>
          </w:tcPr>
          <w:p w14:paraId="50045FA3" w14:textId="0EA849A8" w:rsidR="00C15D93" w:rsidRDefault="00C15D93" w:rsidP="00767B49">
            <w:pPr>
              <w:autoSpaceDE w:val="0"/>
              <w:autoSpaceDN w:val="0"/>
              <w:adjustRightInd w:val="0"/>
              <w:spacing w:after="0"/>
              <w:rPr>
                <w:rFonts w:eastAsia="Calibri" w:cs="Arial"/>
                <w:color w:val="000000"/>
                <w:szCs w:val="20"/>
                <w:lang w:eastAsia="en-US"/>
              </w:rPr>
            </w:pPr>
            <w:r>
              <w:rPr>
                <w:rFonts w:eastAsia="Calibri" w:cs="Arial"/>
                <w:color w:val="000000"/>
                <w:szCs w:val="20"/>
                <w:lang w:eastAsia="en-US"/>
              </w:rPr>
              <w:t>Medium</w:t>
            </w:r>
          </w:p>
        </w:tc>
      </w:tr>
      <w:tr w:rsidR="00C15D93" w14:paraId="1571708C" w14:textId="77777777" w:rsidTr="00C15D93">
        <w:trPr>
          <w:cantSplit/>
          <w:tblHeader/>
        </w:trPr>
        <w:tc>
          <w:tcPr>
            <w:tcW w:w="4248" w:type="dxa"/>
          </w:tcPr>
          <w:p w14:paraId="620D4943" w14:textId="02501D45" w:rsidR="00C15D93" w:rsidRDefault="00C15D93" w:rsidP="00767B49">
            <w:pPr>
              <w:autoSpaceDE w:val="0"/>
              <w:autoSpaceDN w:val="0"/>
              <w:adjustRightInd w:val="0"/>
              <w:spacing w:after="0"/>
              <w:rPr>
                <w:rFonts w:cs="Arial"/>
                <w:szCs w:val="20"/>
              </w:rPr>
            </w:pPr>
            <w:r w:rsidRPr="00266878">
              <w:t>What is the total proposed annual cost recovery revenue for the activity?</w:t>
            </w:r>
          </w:p>
        </w:tc>
        <w:tc>
          <w:tcPr>
            <w:tcW w:w="2693" w:type="dxa"/>
          </w:tcPr>
          <w:p w14:paraId="7B3BF8B9" w14:textId="7C4D0647" w:rsidR="00C15D93" w:rsidRDefault="00C15D93" w:rsidP="00767B49">
            <w:pPr>
              <w:autoSpaceDE w:val="0"/>
              <w:autoSpaceDN w:val="0"/>
              <w:adjustRightInd w:val="0"/>
              <w:spacing w:after="0"/>
              <w:rPr>
                <w:rFonts w:eastAsia="Calibri" w:cs="Arial"/>
                <w:color w:val="000000"/>
                <w:szCs w:val="20"/>
                <w:lang w:eastAsia="en-US"/>
              </w:rPr>
            </w:pPr>
            <w:r>
              <w:rPr>
                <w:rFonts w:eastAsia="Calibri" w:cs="Arial"/>
                <w:color w:val="000000"/>
                <w:szCs w:val="20"/>
                <w:lang w:eastAsia="en-US"/>
              </w:rPr>
              <w:t>Less than $10m</w:t>
            </w:r>
          </w:p>
        </w:tc>
        <w:tc>
          <w:tcPr>
            <w:tcW w:w="1412" w:type="dxa"/>
          </w:tcPr>
          <w:p w14:paraId="46C1D767" w14:textId="1E1BF171" w:rsidR="00C15D93" w:rsidRDefault="00C15D93" w:rsidP="00767B49">
            <w:pPr>
              <w:autoSpaceDE w:val="0"/>
              <w:autoSpaceDN w:val="0"/>
              <w:adjustRightInd w:val="0"/>
              <w:spacing w:after="0"/>
              <w:rPr>
                <w:rFonts w:eastAsia="Calibri" w:cs="Arial"/>
                <w:color w:val="000000"/>
                <w:szCs w:val="20"/>
                <w:lang w:eastAsia="en-US"/>
              </w:rPr>
            </w:pPr>
            <w:r>
              <w:rPr>
                <w:rFonts w:eastAsia="Calibri" w:cs="Arial"/>
                <w:color w:val="000000"/>
                <w:szCs w:val="20"/>
                <w:lang w:eastAsia="en-US"/>
              </w:rPr>
              <w:t>Low</w:t>
            </w:r>
          </w:p>
        </w:tc>
      </w:tr>
      <w:tr w:rsidR="00C15D93" w14:paraId="5987AF18" w14:textId="77777777" w:rsidTr="00C15D93">
        <w:trPr>
          <w:cantSplit/>
          <w:tblHeader/>
        </w:trPr>
        <w:tc>
          <w:tcPr>
            <w:tcW w:w="4248" w:type="dxa"/>
          </w:tcPr>
          <w:p w14:paraId="1C3F07FD" w14:textId="50255124" w:rsidR="00C15D93" w:rsidRDefault="00C15D93" w:rsidP="00767B49">
            <w:pPr>
              <w:autoSpaceDE w:val="0"/>
              <w:autoSpaceDN w:val="0"/>
              <w:adjustRightInd w:val="0"/>
              <w:spacing w:after="0"/>
              <w:rPr>
                <w:rFonts w:cs="Arial"/>
                <w:szCs w:val="20"/>
              </w:rPr>
            </w:pPr>
            <w:r w:rsidRPr="00266878">
              <w:t>What does the policy proposal or change in the cost recovered activity involve?</w:t>
            </w:r>
          </w:p>
        </w:tc>
        <w:tc>
          <w:tcPr>
            <w:tcW w:w="2693" w:type="dxa"/>
          </w:tcPr>
          <w:p w14:paraId="1F3AD4C4" w14:textId="32CEA429" w:rsidR="00C15D93" w:rsidRDefault="00C15D93" w:rsidP="00767B49">
            <w:pPr>
              <w:autoSpaceDE w:val="0"/>
              <w:autoSpaceDN w:val="0"/>
              <w:adjustRightInd w:val="0"/>
              <w:spacing w:after="0"/>
              <w:rPr>
                <w:rFonts w:eastAsia="Calibri" w:cs="Arial"/>
                <w:color w:val="000000"/>
                <w:szCs w:val="20"/>
                <w:lang w:eastAsia="en-US"/>
              </w:rPr>
            </w:pPr>
            <w:r>
              <w:rPr>
                <w:rFonts w:cs="Arial"/>
                <w:szCs w:val="20"/>
              </w:rPr>
              <w:t>No change</w:t>
            </w:r>
          </w:p>
        </w:tc>
        <w:tc>
          <w:tcPr>
            <w:tcW w:w="1412" w:type="dxa"/>
          </w:tcPr>
          <w:p w14:paraId="2F012225" w14:textId="1511E1BC" w:rsidR="00C15D93" w:rsidRDefault="00C15D93" w:rsidP="00767B49">
            <w:pPr>
              <w:autoSpaceDE w:val="0"/>
              <w:autoSpaceDN w:val="0"/>
              <w:adjustRightInd w:val="0"/>
              <w:spacing w:after="0"/>
              <w:rPr>
                <w:rFonts w:eastAsia="Calibri" w:cs="Arial"/>
                <w:color w:val="000000"/>
                <w:szCs w:val="20"/>
                <w:lang w:eastAsia="en-US"/>
              </w:rPr>
            </w:pPr>
            <w:r>
              <w:rPr>
                <w:rFonts w:cs="Arial"/>
                <w:szCs w:val="20"/>
              </w:rPr>
              <w:t>Low</w:t>
            </w:r>
          </w:p>
        </w:tc>
      </w:tr>
      <w:tr w:rsidR="00C15D93" w14:paraId="0B67B8C8" w14:textId="77777777" w:rsidTr="00C15D93">
        <w:trPr>
          <w:cantSplit/>
          <w:tblHeader/>
        </w:trPr>
        <w:tc>
          <w:tcPr>
            <w:tcW w:w="4248" w:type="dxa"/>
          </w:tcPr>
          <w:p w14:paraId="6DBC37E9" w14:textId="045A2861" w:rsidR="00C15D93" w:rsidRDefault="00C15D93" w:rsidP="00767B49">
            <w:pPr>
              <w:autoSpaceDE w:val="0"/>
              <w:autoSpaceDN w:val="0"/>
              <w:adjustRightInd w:val="0"/>
              <w:spacing w:after="0"/>
              <w:rPr>
                <w:rFonts w:cs="Arial"/>
                <w:szCs w:val="20"/>
              </w:rPr>
            </w:pPr>
            <w:r w:rsidRPr="00266878">
              <w:t>What type of cost recovery charges will be used?</w:t>
            </w:r>
          </w:p>
        </w:tc>
        <w:tc>
          <w:tcPr>
            <w:tcW w:w="2693" w:type="dxa"/>
          </w:tcPr>
          <w:p w14:paraId="6CF08C05" w14:textId="541C4B9E" w:rsidR="00C15D93" w:rsidRDefault="00C15D93" w:rsidP="00767B49">
            <w:pPr>
              <w:autoSpaceDE w:val="0"/>
              <w:autoSpaceDN w:val="0"/>
              <w:adjustRightInd w:val="0"/>
              <w:spacing w:after="0"/>
              <w:rPr>
                <w:rFonts w:eastAsia="Calibri" w:cs="Arial"/>
                <w:color w:val="000000"/>
                <w:szCs w:val="20"/>
                <w:lang w:eastAsia="en-US"/>
              </w:rPr>
            </w:pPr>
            <w:r>
              <w:rPr>
                <w:rFonts w:cs="Arial"/>
                <w:szCs w:val="20"/>
              </w:rPr>
              <w:t>Fees</w:t>
            </w:r>
          </w:p>
        </w:tc>
        <w:tc>
          <w:tcPr>
            <w:tcW w:w="1412" w:type="dxa"/>
          </w:tcPr>
          <w:p w14:paraId="63388C35" w14:textId="71BB9D2C" w:rsidR="00C15D93" w:rsidRDefault="00C15D93" w:rsidP="00767B49">
            <w:pPr>
              <w:autoSpaceDE w:val="0"/>
              <w:autoSpaceDN w:val="0"/>
              <w:adjustRightInd w:val="0"/>
              <w:spacing w:after="0"/>
              <w:rPr>
                <w:rFonts w:eastAsia="Calibri" w:cs="Arial"/>
                <w:color w:val="000000"/>
                <w:szCs w:val="20"/>
                <w:lang w:eastAsia="en-US"/>
              </w:rPr>
            </w:pPr>
            <w:r>
              <w:rPr>
                <w:rFonts w:eastAsia="Calibri" w:cs="Arial"/>
                <w:color w:val="000000"/>
                <w:szCs w:val="20"/>
                <w:lang w:eastAsia="en-US"/>
              </w:rPr>
              <w:t>Medium</w:t>
            </w:r>
          </w:p>
        </w:tc>
      </w:tr>
      <w:tr w:rsidR="00C15D93" w14:paraId="6F74EC5F" w14:textId="77777777" w:rsidTr="00C15D93">
        <w:trPr>
          <w:cantSplit/>
          <w:tblHeader/>
        </w:trPr>
        <w:tc>
          <w:tcPr>
            <w:tcW w:w="4248" w:type="dxa"/>
          </w:tcPr>
          <w:p w14:paraId="3DEA50A2" w14:textId="04BFC0DA" w:rsidR="00C15D93" w:rsidRDefault="00C15D93" w:rsidP="00767B49">
            <w:pPr>
              <w:autoSpaceDE w:val="0"/>
              <w:autoSpaceDN w:val="0"/>
              <w:adjustRightInd w:val="0"/>
              <w:spacing w:after="0"/>
              <w:rPr>
                <w:rFonts w:cs="Arial"/>
                <w:szCs w:val="20"/>
              </w:rPr>
            </w:pPr>
            <w:r w:rsidRPr="00266878">
              <w:t>What legislative requirements are necessary for imposition of cost recovery charges?</w:t>
            </w:r>
          </w:p>
        </w:tc>
        <w:tc>
          <w:tcPr>
            <w:tcW w:w="2693" w:type="dxa"/>
          </w:tcPr>
          <w:p w14:paraId="1C6514EB" w14:textId="23A633F5" w:rsidR="00C15D93" w:rsidRDefault="00AF07C2" w:rsidP="00767B49">
            <w:pPr>
              <w:autoSpaceDE w:val="0"/>
              <w:autoSpaceDN w:val="0"/>
              <w:adjustRightInd w:val="0"/>
              <w:spacing w:after="0"/>
              <w:rPr>
                <w:rFonts w:eastAsia="Calibri" w:cs="Arial"/>
                <w:color w:val="000000"/>
                <w:szCs w:val="20"/>
                <w:lang w:eastAsia="en-US"/>
              </w:rPr>
            </w:pPr>
            <w:r>
              <w:t>No change</w:t>
            </w:r>
          </w:p>
        </w:tc>
        <w:tc>
          <w:tcPr>
            <w:tcW w:w="1412" w:type="dxa"/>
          </w:tcPr>
          <w:p w14:paraId="6CE02EEB" w14:textId="2C847EF6" w:rsidR="00C15D93" w:rsidRDefault="00C15D93" w:rsidP="00767B49">
            <w:pPr>
              <w:autoSpaceDE w:val="0"/>
              <w:autoSpaceDN w:val="0"/>
              <w:adjustRightInd w:val="0"/>
              <w:spacing w:after="0"/>
              <w:rPr>
                <w:rFonts w:eastAsia="Calibri" w:cs="Arial"/>
                <w:color w:val="000000"/>
                <w:szCs w:val="20"/>
                <w:lang w:eastAsia="en-US"/>
              </w:rPr>
            </w:pPr>
            <w:r>
              <w:rPr>
                <w:rFonts w:eastAsia="Calibri" w:cs="Arial"/>
                <w:color w:val="000000"/>
                <w:szCs w:val="20"/>
                <w:lang w:eastAsia="en-US"/>
              </w:rPr>
              <w:t>Low</w:t>
            </w:r>
          </w:p>
        </w:tc>
      </w:tr>
      <w:tr w:rsidR="00C15D93" w14:paraId="36DFDA25" w14:textId="77777777" w:rsidTr="00C15D93">
        <w:trPr>
          <w:cantSplit/>
          <w:tblHeader/>
        </w:trPr>
        <w:tc>
          <w:tcPr>
            <w:tcW w:w="4248" w:type="dxa"/>
          </w:tcPr>
          <w:p w14:paraId="3DBABFC6" w14:textId="2418163F" w:rsidR="00C15D93" w:rsidRPr="00266878" w:rsidRDefault="00C15D93" w:rsidP="00767B49">
            <w:pPr>
              <w:autoSpaceDE w:val="0"/>
              <w:autoSpaceDN w:val="0"/>
              <w:adjustRightInd w:val="0"/>
              <w:spacing w:after="0"/>
            </w:pPr>
            <w:r w:rsidRPr="00266878">
              <w:t xml:space="preserve">Does the proposal involve working with other Commonwealth, </w:t>
            </w:r>
            <w:r w:rsidR="006F174E">
              <w:t>s</w:t>
            </w:r>
            <w:r w:rsidRPr="00266878">
              <w:t>tate/</w:t>
            </w:r>
            <w:r w:rsidR="006F174E">
              <w:t>t</w:t>
            </w:r>
            <w:r w:rsidRPr="00266878">
              <w:t>erritory or local government entities?</w:t>
            </w:r>
          </w:p>
        </w:tc>
        <w:tc>
          <w:tcPr>
            <w:tcW w:w="2693" w:type="dxa"/>
          </w:tcPr>
          <w:p w14:paraId="405BEA6B" w14:textId="4D7510DF" w:rsidR="00C15D93" w:rsidRDefault="00951CE8" w:rsidP="00767B49">
            <w:pPr>
              <w:autoSpaceDE w:val="0"/>
              <w:autoSpaceDN w:val="0"/>
              <w:adjustRightInd w:val="0"/>
              <w:spacing w:after="0"/>
            </w:pPr>
            <w:r>
              <w:t>No</w:t>
            </w:r>
          </w:p>
        </w:tc>
        <w:tc>
          <w:tcPr>
            <w:tcW w:w="1412" w:type="dxa"/>
          </w:tcPr>
          <w:p w14:paraId="213CDC65" w14:textId="709D71C0" w:rsidR="00C15D93" w:rsidRDefault="00951CE8" w:rsidP="00767B49">
            <w:pPr>
              <w:autoSpaceDE w:val="0"/>
              <w:autoSpaceDN w:val="0"/>
              <w:adjustRightInd w:val="0"/>
              <w:spacing w:after="0"/>
              <w:rPr>
                <w:rFonts w:eastAsia="Calibri" w:cs="Arial"/>
                <w:color w:val="000000"/>
                <w:szCs w:val="20"/>
                <w:lang w:eastAsia="en-US"/>
              </w:rPr>
            </w:pPr>
            <w:r>
              <w:rPr>
                <w:rFonts w:eastAsia="Calibri" w:cs="Arial"/>
                <w:color w:val="000000"/>
                <w:szCs w:val="20"/>
                <w:lang w:eastAsia="en-US"/>
              </w:rPr>
              <w:t>Low</w:t>
            </w:r>
          </w:p>
        </w:tc>
      </w:tr>
      <w:tr w:rsidR="00C15D93" w14:paraId="4ABDFE10" w14:textId="77777777" w:rsidTr="00C15D93">
        <w:trPr>
          <w:cantSplit/>
          <w:tblHeader/>
        </w:trPr>
        <w:tc>
          <w:tcPr>
            <w:tcW w:w="4248" w:type="dxa"/>
            <w:shd w:val="clear" w:color="auto" w:fill="D9D9D9" w:themeFill="background1" w:themeFillShade="D9"/>
          </w:tcPr>
          <w:p w14:paraId="42A3BC89" w14:textId="7C059FC7" w:rsidR="00C15D93" w:rsidRPr="008B1395" w:rsidRDefault="00951CE8" w:rsidP="00767B49">
            <w:pPr>
              <w:autoSpaceDE w:val="0"/>
              <w:autoSpaceDN w:val="0"/>
              <w:adjustRightInd w:val="0"/>
              <w:spacing w:after="0"/>
              <w:rPr>
                <w:rFonts w:eastAsia="Calibri" w:cs="Arial"/>
                <w:b/>
                <w:bCs/>
                <w:color w:val="000000"/>
                <w:szCs w:val="20"/>
                <w:lang w:eastAsia="en-US"/>
              </w:rPr>
            </w:pPr>
            <w:r w:rsidRPr="008B1395">
              <w:rPr>
                <w:rFonts w:eastAsia="Calibri" w:cs="Arial"/>
                <w:b/>
                <w:bCs/>
                <w:color w:val="000000"/>
                <w:szCs w:val="20"/>
                <w:lang w:eastAsia="en-US"/>
              </w:rPr>
              <w:t>Overall rating</w:t>
            </w:r>
          </w:p>
        </w:tc>
        <w:tc>
          <w:tcPr>
            <w:tcW w:w="2693" w:type="dxa"/>
            <w:shd w:val="clear" w:color="auto" w:fill="D9D9D9" w:themeFill="background1" w:themeFillShade="D9"/>
          </w:tcPr>
          <w:p w14:paraId="739CF437" w14:textId="7ECF8635" w:rsidR="00C15D93" w:rsidRDefault="00C15D93" w:rsidP="00767B49">
            <w:pPr>
              <w:autoSpaceDE w:val="0"/>
              <w:autoSpaceDN w:val="0"/>
              <w:adjustRightInd w:val="0"/>
              <w:spacing w:after="0"/>
              <w:rPr>
                <w:rFonts w:eastAsia="Calibri" w:cs="Arial"/>
                <w:color w:val="000000"/>
                <w:szCs w:val="20"/>
                <w:lang w:eastAsia="en-US"/>
              </w:rPr>
            </w:pPr>
          </w:p>
        </w:tc>
        <w:tc>
          <w:tcPr>
            <w:tcW w:w="1412" w:type="dxa"/>
            <w:shd w:val="clear" w:color="auto" w:fill="D9D9D9" w:themeFill="background1" w:themeFillShade="D9"/>
          </w:tcPr>
          <w:p w14:paraId="6751DDFC" w14:textId="77777777" w:rsidR="00C15D93" w:rsidRPr="00593B36" w:rsidRDefault="00C15D93" w:rsidP="00767B49">
            <w:pPr>
              <w:autoSpaceDE w:val="0"/>
              <w:autoSpaceDN w:val="0"/>
              <w:adjustRightInd w:val="0"/>
              <w:spacing w:after="0"/>
              <w:rPr>
                <w:rFonts w:eastAsia="Calibri" w:cs="Arial"/>
                <w:b/>
                <w:color w:val="000000"/>
                <w:szCs w:val="20"/>
                <w:lang w:eastAsia="en-US"/>
              </w:rPr>
            </w:pPr>
            <w:r w:rsidRPr="00593B36">
              <w:rPr>
                <w:rFonts w:cs="Arial"/>
                <w:b/>
                <w:szCs w:val="20"/>
              </w:rPr>
              <w:t>Medium</w:t>
            </w:r>
          </w:p>
        </w:tc>
      </w:tr>
    </w:tbl>
    <w:p w14:paraId="00FFAFA4" w14:textId="77777777" w:rsidR="00510E9F" w:rsidRPr="00212B85" w:rsidRDefault="00510E9F" w:rsidP="004B630E">
      <w:pPr>
        <w:pStyle w:val="Heading3"/>
        <w:spacing w:before="240"/>
      </w:pPr>
      <w:r w:rsidRPr="00212B85">
        <w:t>Forecasting</w:t>
      </w:r>
    </w:p>
    <w:p w14:paraId="1C98CDF6" w14:textId="475CBC29" w:rsidR="00510E9F" w:rsidRPr="00212B85" w:rsidRDefault="001977FD" w:rsidP="001977FD">
      <w:pPr>
        <w:rPr>
          <w:rFonts w:cs="Arial"/>
          <w:color w:val="000000"/>
          <w:szCs w:val="20"/>
        </w:rPr>
      </w:pPr>
      <w:r>
        <w:t>E</w:t>
      </w:r>
      <w:r w:rsidRPr="001977FD">
        <w:t xml:space="preserve">stimating future revenue </w:t>
      </w:r>
      <w:r>
        <w:t xml:space="preserve">and demand </w:t>
      </w:r>
      <w:r w:rsidRPr="001977FD">
        <w:t xml:space="preserve">over the longer term is considered a </w:t>
      </w:r>
      <w:r>
        <w:t xml:space="preserve">key </w:t>
      </w:r>
      <w:r w:rsidRPr="001977FD">
        <w:t>risk.</w:t>
      </w:r>
      <w:r>
        <w:t xml:space="preserve"> </w:t>
      </w:r>
      <w:r w:rsidR="000B3755">
        <w:t xml:space="preserve">The </w:t>
      </w:r>
      <w:r w:rsidRPr="001977FD">
        <w:t xml:space="preserve">ACMA uses its data to forecast expected demand for </w:t>
      </w:r>
      <w:r>
        <w:t xml:space="preserve">the </w:t>
      </w:r>
      <w:r w:rsidR="000B3755">
        <w:t>r</w:t>
      </w:r>
      <w:r>
        <w:t>egister from telemarketers and fax marketers</w:t>
      </w:r>
      <w:r w:rsidRPr="001977FD">
        <w:t>. To date</w:t>
      </w:r>
      <w:r w:rsidR="000B3755">
        <w:t>,</w:t>
      </w:r>
      <w:r w:rsidRPr="001977FD">
        <w:t xml:space="preserve"> this has been done by independent consultants</w:t>
      </w:r>
      <w:r>
        <w:t xml:space="preserve"> </w:t>
      </w:r>
      <w:r w:rsidRPr="001977FD">
        <w:t xml:space="preserve">engaged by </w:t>
      </w:r>
      <w:r w:rsidR="000B3755">
        <w:t xml:space="preserve">the </w:t>
      </w:r>
      <w:r w:rsidRPr="001977FD">
        <w:t xml:space="preserve">ACMA who </w:t>
      </w:r>
      <w:r>
        <w:t xml:space="preserve">have </w:t>
      </w:r>
      <w:r w:rsidRPr="001977FD">
        <w:t>also assist</w:t>
      </w:r>
      <w:r>
        <w:t>ed</w:t>
      </w:r>
      <w:r w:rsidRPr="001977FD">
        <w:t xml:space="preserve"> with the review and periodic updating of the subscription fee model.</w:t>
      </w:r>
      <w:r>
        <w:t xml:space="preserve"> </w:t>
      </w:r>
      <w:r w:rsidR="000B3755">
        <w:t xml:space="preserve">The </w:t>
      </w:r>
      <w:r>
        <w:t xml:space="preserve">ACMA </w:t>
      </w:r>
      <w:r w:rsidR="00510E9F" w:rsidRPr="00212B85">
        <w:t>will continue to monitor demand.</w:t>
      </w:r>
    </w:p>
    <w:p w14:paraId="53A0D715" w14:textId="2BAEEDA8" w:rsidR="005872DE" w:rsidRPr="00212B85" w:rsidRDefault="00510E9F" w:rsidP="00A954D2">
      <w:pPr>
        <w:pStyle w:val="Heading1"/>
      </w:pPr>
      <w:bookmarkStart w:id="110" w:name="_Toc417990963"/>
      <w:bookmarkStart w:id="111" w:name="_Toc424115071"/>
      <w:bookmarkStart w:id="112" w:name="_Toc482346597"/>
      <w:bookmarkStart w:id="113" w:name="_Toc16097290"/>
      <w:bookmarkStart w:id="114" w:name="_Toc16097399"/>
      <w:bookmarkStart w:id="115" w:name="_Toc518999105"/>
      <w:bookmarkStart w:id="116" w:name="_Toc26195076"/>
      <w:r w:rsidRPr="00212B85">
        <w:lastRenderedPageBreak/>
        <w:t>Stakeholder engagement</w:t>
      </w:r>
      <w:bookmarkEnd w:id="110"/>
      <w:bookmarkEnd w:id="111"/>
      <w:bookmarkEnd w:id="112"/>
      <w:bookmarkEnd w:id="113"/>
      <w:bookmarkEnd w:id="114"/>
      <w:bookmarkEnd w:id="115"/>
      <w:bookmarkEnd w:id="116"/>
      <w:r w:rsidR="002504A5" w:rsidRPr="00212B85">
        <w:t xml:space="preserve"> </w:t>
      </w:r>
      <w:bookmarkStart w:id="117" w:name="_Toc417990964"/>
      <w:bookmarkStart w:id="118" w:name="_Toc424115072"/>
      <w:bookmarkStart w:id="119" w:name="_Toc482346598"/>
    </w:p>
    <w:p w14:paraId="644816B0" w14:textId="579AA15C" w:rsidR="005872DE" w:rsidRDefault="001977FD" w:rsidP="00524BB2">
      <w:pPr>
        <w:rPr>
          <w:rFonts w:eastAsia="SimSun"/>
          <w:szCs w:val="20"/>
        </w:rPr>
      </w:pPr>
      <w:r>
        <w:rPr>
          <w:rFonts w:eastAsia="SimSun"/>
          <w:szCs w:val="20"/>
        </w:rPr>
        <w:t>While no</w:t>
      </w:r>
      <w:r w:rsidR="005872DE" w:rsidRPr="00212B85">
        <w:rPr>
          <w:rFonts w:eastAsia="SimSun"/>
          <w:szCs w:val="20"/>
        </w:rPr>
        <w:t xml:space="preserve"> change</w:t>
      </w:r>
      <w:r w:rsidR="00C823CF" w:rsidRPr="00212B85">
        <w:rPr>
          <w:rFonts w:eastAsia="SimSun"/>
          <w:szCs w:val="20"/>
        </w:rPr>
        <w:t xml:space="preserve"> is</w:t>
      </w:r>
      <w:r w:rsidR="005872DE" w:rsidRPr="00212B85">
        <w:rPr>
          <w:rFonts w:eastAsia="SimSun"/>
          <w:szCs w:val="20"/>
        </w:rPr>
        <w:t xml:space="preserve"> being </w:t>
      </w:r>
      <w:r w:rsidR="00456EE0">
        <w:rPr>
          <w:rFonts w:eastAsia="SimSun"/>
          <w:szCs w:val="20"/>
        </w:rPr>
        <w:t>proposed</w:t>
      </w:r>
      <w:r w:rsidR="00456EE0" w:rsidRPr="00212B85">
        <w:rPr>
          <w:rFonts w:eastAsia="SimSun"/>
          <w:szCs w:val="20"/>
        </w:rPr>
        <w:t xml:space="preserve"> </w:t>
      </w:r>
      <w:r w:rsidR="005872DE" w:rsidRPr="00212B85">
        <w:rPr>
          <w:rFonts w:eastAsia="SimSun"/>
          <w:szCs w:val="20"/>
        </w:rPr>
        <w:t>to the subscription model or fees</w:t>
      </w:r>
      <w:r>
        <w:rPr>
          <w:rFonts w:eastAsia="SimSun"/>
          <w:szCs w:val="20"/>
        </w:rPr>
        <w:t xml:space="preserve"> in 2019</w:t>
      </w:r>
      <w:r w:rsidR="00FA7E99">
        <w:rPr>
          <w:rFonts w:eastAsia="SimSun"/>
          <w:szCs w:val="20"/>
        </w:rPr>
        <w:t>–</w:t>
      </w:r>
      <w:r>
        <w:rPr>
          <w:rFonts w:eastAsia="SimSun"/>
          <w:szCs w:val="20"/>
        </w:rPr>
        <w:t xml:space="preserve">20, </w:t>
      </w:r>
      <w:r w:rsidR="00B62E6B">
        <w:rPr>
          <w:rFonts w:eastAsia="SimSun"/>
          <w:szCs w:val="20"/>
        </w:rPr>
        <w:t xml:space="preserve">the </w:t>
      </w:r>
      <w:r>
        <w:rPr>
          <w:rFonts w:eastAsia="SimSun"/>
          <w:szCs w:val="20"/>
        </w:rPr>
        <w:t xml:space="preserve">ACMA </w:t>
      </w:r>
      <w:r w:rsidR="00BC68D8">
        <w:rPr>
          <w:rFonts w:eastAsia="SimSun"/>
          <w:szCs w:val="20"/>
        </w:rPr>
        <w:t>sought</w:t>
      </w:r>
      <w:r>
        <w:rPr>
          <w:rFonts w:eastAsia="SimSun"/>
          <w:szCs w:val="20"/>
        </w:rPr>
        <w:t xml:space="preserve"> the views of</w:t>
      </w:r>
      <w:r w:rsidR="001F4120">
        <w:rPr>
          <w:rFonts w:eastAsia="SimSun"/>
          <w:szCs w:val="20"/>
        </w:rPr>
        <w:t xml:space="preserve"> industry users of the Do Not Call Register</w:t>
      </w:r>
      <w:r>
        <w:rPr>
          <w:rFonts w:eastAsia="SimSun"/>
          <w:szCs w:val="20"/>
        </w:rPr>
        <w:t xml:space="preserve"> on this CRIS via a </w:t>
      </w:r>
      <w:r w:rsidRPr="001977FD">
        <w:rPr>
          <w:rFonts w:eastAsia="SimSun"/>
          <w:szCs w:val="20"/>
        </w:rPr>
        <w:t xml:space="preserve">targeted consultation </w:t>
      </w:r>
      <w:r>
        <w:rPr>
          <w:rFonts w:eastAsia="SimSun"/>
          <w:szCs w:val="20"/>
        </w:rPr>
        <w:t xml:space="preserve">process. </w:t>
      </w:r>
    </w:p>
    <w:p w14:paraId="395D338C" w14:textId="0D3A98B6" w:rsidR="00D875BD" w:rsidRPr="003B613A" w:rsidRDefault="00A22BDB" w:rsidP="00524BB2">
      <w:bookmarkStart w:id="120" w:name="_Hlk16774546"/>
      <w:r>
        <w:t>In addition to targeted stakeholder consultation on this CRIS</w:t>
      </w:r>
      <w:r w:rsidR="00B26532">
        <w:t>,</w:t>
      </w:r>
      <w:r>
        <w:t xml:space="preserve"> </w:t>
      </w:r>
      <w:r w:rsidR="000B3755">
        <w:t xml:space="preserve">the </w:t>
      </w:r>
      <w:r>
        <w:t xml:space="preserve">ACMA </w:t>
      </w:r>
      <w:r w:rsidR="00D875BD">
        <w:t>is currently also undertaking work as part of the</w:t>
      </w:r>
      <w:r>
        <w:t xml:space="preserve"> </w:t>
      </w:r>
      <w:r w:rsidR="00D875BD">
        <w:t>Communications and the Arts 2019 Portfolio Charging Review</w:t>
      </w:r>
      <w:r w:rsidR="00A76CF5">
        <w:t xml:space="preserve"> (PCR)</w:t>
      </w:r>
      <w:r w:rsidR="00D875BD">
        <w:t xml:space="preserve">. Under the </w:t>
      </w:r>
      <w:r w:rsidR="00D875BD" w:rsidRPr="00D875BD">
        <w:t xml:space="preserve">Australian Government Charging Framework, </w:t>
      </w:r>
      <w:r w:rsidR="000B3755">
        <w:t>p</w:t>
      </w:r>
      <w:r w:rsidR="004028DA">
        <w:t>ortfolios</w:t>
      </w:r>
      <w:r w:rsidR="004028DA" w:rsidRPr="00D875BD">
        <w:t xml:space="preserve"> </w:t>
      </w:r>
      <w:r w:rsidR="00D875BD" w:rsidRPr="00D875BD">
        <w:t xml:space="preserve">are required to undertake a </w:t>
      </w:r>
      <w:r w:rsidR="00A76CF5">
        <w:t>PCR</w:t>
      </w:r>
      <w:r w:rsidR="00D875BD" w:rsidRPr="00D875BD">
        <w:t xml:space="preserve"> at least every five years. The PCR </w:t>
      </w:r>
      <w:r w:rsidR="004028DA">
        <w:t>provides</w:t>
      </w:r>
      <w:r w:rsidR="004028DA" w:rsidRPr="00D875BD">
        <w:t xml:space="preserve"> </w:t>
      </w:r>
      <w:r w:rsidR="00D875BD" w:rsidRPr="00D875BD">
        <w:t>the opportunity to review existing cost recovery activities and bring forward potential cost recovery opportunities that have been identified.</w:t>
      </w:r>
      <w:r w:rsidR="00FF00DE">
        <w:t xml:space="preserve"> </w:t>
      </w:r>
      <w:r w:rsidR="00FE5F42" w:rsidRPr="00FE5F42">
        <w:t xml:space="preserve">If any proposed changes are recommended to the </w:t>
      </w:r>
      <w:r w:rsidR="000B3755">
        <w:t>DNCR</w:t>
      </w:r>
      <w:r w:rsidR="00FE5F42" w:rsidRPr="00FE5F42">
        <w:t>, as part of the PCR a separate consultation process would be undertaken</w:t>
      </w:r>
      <w:r w:rsidR="00FF00DE">
        <w:t>.</w:t>
      </w:r>
      <w:bookmarkEnd w:id="120"/>
      <w:r w:rsidR="00343D56">
        <w:t xml:space="preserve"> Any proposed changes will</w:t>
      </w:r>
      <w:r w:rsidR="001212BE">
        <w:t xml:space="preserve"> not impact the 2019</w:t>
      </w:r>
      <w:r w:rsidR="00FA7E99">
        <w:t>–</w:t>
      </w:r>
      <w:r w:rsidR="001212BE">
        <w:t xml:space="preserve">20 fees currently set by the </w:t>
      </w:r>
      <w:r w:rsidR="00D875BD" w:rsidRPr="00A954D2">
        <w:t>Do</w:t>
      </w:r>
      <w:r w:rsidR="00343D56" w:rsidRPr="00A954D2">
        <w:t> </w:t>
      </w:r>
      <w:r w:rsidR="00D875BD" w:rsidRPr="00A954D2">
        <w:t>Not Call Register (Access Fees) Determination 2017</w:t>
      </w:r>
      <w:r w:rsidR="003B613A" w:rsidRPr="00A954D2">
        <w:t>.</w:t>
      </w:r>
      <w:r w:rsidR="003B613A" w:rsidRPr="00DE6CF5">
        <w:rPr>
          <w:i/>
          <w:iCs/>
        </w:rPr>
        <w:t xml:space="preserve"> </w:t>
      </w:r>
      <w:r w:rsidR="003B613A">
        <w:t xml:space="preserve"> </w:t>
      </w:r>
    </w:p>
    <w:p w14:paraId="7EB09E09" w14:textId="02CB9F49" w:rsidR="00510E9F" w:rsidRPr="002164E2" w:rsidRDefault="00510E9F" w:rsidP="00A954D2">
      <w:pPr>
        <w:pStyle w:val="Heading1"/>
        <w:spacing w:after="120" w:line="240" w:lineRule="auto"/>
      </w:pPr>
      <w:bookmarkStart w:id="121" w:name="_Toc16097291"/>
      <w:bookmarkStart w:id="122" w:name="_Toc16097400"/>
      <w:bookmarkStart w:id="123" w:name="_Toc518999106"/>
      <w:bookmarkStart w:id="124" w:name="_Toc26195077"/>
      <w:r w:rsidRPr="002164E2">
        <w:lastRenderedPageBreak/>
        <w:t>Financial estimates</w:t>
      </w:r>
      <w:bookmarkEnd w:id="117"/>
      <w:bookmarkEnd w:id="118"/>
      <w:bookmarkEnd w:id="119"/>
      <w:bookmarkEnd w:id="121"/>
      <w:bookmarkEnd w:id="122"/>
      <w:bookmarkEnd w:id="123"/>
      <w:bookmarkEnd w:id="124"/>
    </w:p>
    <w:p w14:paraId="17266D1D" w14:textId="1C012981" w:rsidR="00251AE2" w:rsidRDefault="0011306A" w:rsidP="00251AE2">
      <w:pPr>
        <w:rPr>
          <w:rFonts w:eastAsia="SimSun"/>
        </w:rPr>
      </w:pPr>
      <w:r>
        <w:rPr>
          <w:rFonts w:eastAsia="SimSun"/>
        </w:rPr>
        <w:t>Financial estimates for the financial year 2018</w:t>
      </w:r>
      <w:r w:rsidR="00FA7E99">
        <w:rPr>
          <w:rFonts w:eastAsia="SimSun"/>
        </w:rPr>
        <w:t>–</w:t>
      </w:r>
      <w:r>
        <w:rPr>
          <w:rFonts w:eastAsia="SimSun"/>
        </w:rPr>
        <w:t xml:space="preserve">19 and forecasts over the next three years are reflected below. </w:t>
      </w:r>
    </w:p>
    <w:p w14:paraId="3834B93C" w14:textId="5ABF9FAF" w:rsidR="00251AE2" w:rsidRPr="00212B85" w:rsidRDefault="00251AE2" w:rsidP="00251AE2">
      <w:pPr>
        <w:rPr>
          <w:rFonts w:eastAsia="SimSun"/>
        </w:rPr>
      </w:pPr>
      <w:r>
        <w:rPr>
          <w:rFonts w:eastAsia="SimSun"/>
        </w:rPr>
        <w:t xml:space="preserve">The forecast annual growth rate in </w:t>
      </w:r>
      <w:r w:rsidR="0026413A">
        <w:rPr>
          <w:rFonts w:eastAsia="SimSun"/>
        </w:rPr>
        <w:t>T</w:t>
      </w:r>
      <w:r>
        <w:rPr>
          <w:rFonts w:eastAsia="SimSun"/>
        </w:rPr>
        <w:t xml:space="preserve">able </w:t>
      </w:r>
      <w:r w:rsidR="00E53311">
        <w:rPr>
          <w:rFonts w:eastAsia="SimSun"/>
        </w:rPr>
        <w:t xml:space="preserve">4 </w:t>
      </w:r>
      <w:r>
        <w:rPr>
          <w:rFonts w:eastAsia="SimSun"/>
        </w:rPr>
        <w:t>below</w:t>
      </w:r>
      <w:r w:rsidR="0026413A">
        <w:rPr>
          <w:rFonts w:eastAsia="SimSun"/>
        </w:rPr>
        <w:t>—</w:t>
      </w:r>
      <w:r>
        <w:rPr>
          <w:rFonts w:eastAsia="SimSun"/>
        </w:rPr>
        <w:t>updated</w:t>
      </w:r>
      <w:r w:rsidR="00F10B22">
        <w:rPr>
          <w:rFonts w:eastAsia="SimSun"/>
        </w:rPr>
        <w:t xml:space="preserve"> </w:t>
      </w:r>
      <w:r>
        <w:rPr>
          <w:rFonts w:eastAsia="SimSun"/>
        </w:rPr>
        <w:t>in</w:t>
      </w:r>
      <w:r w:rsidR="00F10B22">
        <w:rPr>
          <w:rFonts w:eastAsia="SimSun"/>
        </w:rPr>
        <w:t xml:space="preserve"> and applied from</w:t>
      </w:r>
      <w:r>
        <w:rPr>
          <w:rFonts w:eastAsia="SimSun"/>
        </w:rPr>
        <w:t xml:space="preserve"> November 201</w:t>
      </w:r>
      <w:r w:rsidR="00F10B22">
        <w:rPr>
          <w:rFonts w:eastAsia="SimSun"/>
        </w:rPr>
        <w:t>8</w:t>
      </w:r>
      <w:r>
        <w:rPr>
          <w:rFonts w:eastAsia="SimSun"/>
        </w:rPr>
        <w:t xml:space="preserve"> to 2020</w:t>
      </w:r>
      <w:r w:rsidR="00FA7E99">
        <w:rPr>
          <w:rFonts w:eastAsia="SimSun"/>
        </w:rPr>
        <w:t>–</w:t>
      </w:r>
      <w:r>
        <w:rPr>
          <w:rFonts w:eastAsia="SimSun"/>
        </w:rPr>
        <w:t>2</w:t>
      </w:r>
      <w:r w:rsidR="00B72024">
        <w:rPr>
          <w:rFonts w:eastAsia="SimSun"/>
        </w:rPr>
        <w:t>2</w:t>
      </w:r>
      <w:r w:rsidR="0026413A">
        <w:rPr>
          <w:rFonts w:eastAsia="SimSun"/>
        </w:rPr>
        <w:t>—</w:t>
      </w:r>
      <w:r>
        <w:rPr>
          <w:rFonts w:eastAsia="SimSun"/>
        </w:rPr>
        <w:t>us</w:t>
      </w:r>
      <w:r w:rsidR="00F02EA6">
        <w:rPr>
          <w:rFonts w:eastAsia="SimSun"/>
        </w:rPr>
        <w:t>es</w:t>
      </w:r>
      <w:r>
        <w:rPr>
          <w:rFonts w:eastAsia="SimSun"/>
        </w:rPr>
        <w:t xml:space="preserve"> </w:t>
      </w:r>
      <w:r w:rsidR="00F02EA6">
        <w:rPr>
          <w:rFonts w:eastAsia="SimSun"/>
        </w:rPr>
        <w:t xml:space="preserve">the </w:t>
      </w:r>
      <w:r>
        <w:rPr>
          <w:rFonts w:eastAsia="SimSun"/>
        </w:rPr>
        <w:t>2017</w:t>
      </w:r>
      <w:r w:rsidR="00FA7E99">
        <w:rPr>
          <w:rFonts w:eastAsia="SimSun"/>
        </w:rPr>
        <w:t>–</w:t>
      </w:r>
      <w:r>
        <w:rPr>
          <w:rFonts w:eastAsia="SimSun"/>
        </w:rPr>
        <w:t>18 actuals as the bas</w:t>
      </w:r>
      <w:r w:rsidR="00F02EA6">
        <w:rPr>
          <w:rFonts w:eastAsia="SimSun"/>
        </w:rPr>
        <w:t>e</w:t>
      </w:r>
      <w:r>
        <w:rPr>
          <w:rFonts w:eastAsia="SimSun"/>
        </w:rPr>
        <w:t xml:space="preserve"> demand</w:t>
      </w:r>
      <w:r w:rsidR="00F02EA6">
        <w:rPr>
          <w:rFonts w:eastAsia="SimSun"/>
        </w:rPr>
        <w:t xml:space="preserve"> value</w:t>
      </w:r>
      <w:r>
        <w:rPr>
          <w:rFonts w:eastAsia="SimSun"/>
        </w:rPr>
        <w:t xml:space="preserve">. </w:t>
      </w:r>
    </w:p>
    <w:p w14:paraId="59B2F6DE" w14:textId="6A71AAFB" w:rsidR="00251AE2" w:rsidRPr="00212B85" w:rsidRDefault="00251AE2" w:rsidP="00494EA1">
      <w:pPr>
        <w:rPr>
          <w:rFonts w:eastAsia="SimSun"/>
        </w:rPr>
      </w:pPr>
      <w:r>
        <w:rPr>
          <w:rFonts w:eastAsia="SimSun"/>
        </w:rPr>
        <w:t xml:space="preserve">Any </w:t>
      </w:r>
      <w:r w:rsidRPr="00212B85">
        <w:rPr>
          <w:rFonts w:eastAsia="SimSun"/>
        </w:rPr>
        <w:t>over or under-recovery of costs from previous periods are also considered when determining the subscription fees.</w:t>
      </w:r>
      <w:r w:rsidR="00494EA1" w:rsidRPr="00494EA1">
        <w:t xml:space="preserve"> </w:t>
      </w:r>
      <w:r w:rsidR="00494EA1" w:rsidRPr="00494EA1">
        <w:rPr>
          <w:rFonts w:eastAsia="SimSun"/>
        </w:rPr>
        <w:t>Revenue is accounted for on a 12-month accrual basis. For example, if 20 subscriptions were purchased in July for a total revenue of $120,000, each month in the following 12 months would be credited with $10,000. This allows for revenue to be spread over 12 months and moderates the immediate impact of actual revenue on any cumulative under or over recovery.</w:t>
      </w:r>
    </w:p>
    <w:p w14:paraId="41B5907E" w14:textId="77777777" w:rsidR="00251AE2" w:rsidRPr="00212B85" w:rsidRDefault="00251AE2" w:rsidP="00251AE2">
      <w:pPr>
        <w:pStyle w:val="ACMATableHeader"/>
        <w:keepNext/>
        <w:keepLines/>
        <w:ind w:left="0" w:firstLine="0"/>
      </w:pPr>
      <w:r w:rsidRPr="00212B85">
        <w:t>Historical growth and forecast growth rate</w:t>
      </w:r>
    </w:p>
    <w:tbl>
      <w:tblPr>
        <w:tblStyle w:val="TableGrid"/>
        <w:tblW w:w="8642" w:type="dxa"/>
        <w:tblCellMar>
          <w:top w:w="57" w:type="dxa"/>
          <w:left w:w="57" w:type="dxa"/>
          <w:bottom w:w="57" w:type="dxa"/>
          <w:right w:w="57" w:type="dxa"/>
        </w:tblCellMar>
        <w:tblLook w:val="04A0" w:firstRow="1" w:lastRow="0" w:firstColumn="1" w:lastColumn="0" w:noHBand="0" w:noVBand="1"/>
      </w:tblPr>
      <w:tblGrid>
        <w:gridCol w:w="3114"/>
        <w:gridCol w:w="2835"/>
        <w:gridCol w:w="2693"/>
      </w:tblGrid>
      <w:tr w:rsidR="00251AE2" w:rsidRPr="00420345" w14:paraId="3A75DB45" w14:textId="77777777" w:rsidTr="00861405">
        <w:tc>
          <w:tcPr>
            <w:tcW w:w="3114" w:type="dxa"/>
            <w:shd w:val="clear" w:color="auto" w:fill="404040" w:themeFill="text1" w:themeFillTint="BF"/>
          </w:tcPr>
          <w:p w14:paraId="6D75168D" w14:textId="77777777" w:rsidR="00251AE2" w:rsidRPr="00212B85" w:rsidRDefault="00251AE2" w:rsidP="002173DF">
            <w:pPr>
              <w:pStyle w:val="TableHeading"/>
              <w:keepNext/>
              <w:keepLines/>
              <w:jc w:val="center"/>
              <w:rPr>
                <w:color w:val="FFFFFF" w:themeColor="background1"/>
              </w:rPr>
            </w:pPr>
            <w:r w:rsidRPr="00212B85">
              <w:rPr>
                <w:color w:val="FFFFFF" w:themeColor="background1"/>
              </w:rPr>
              <w:t>Subscription type</w:t>
            </w:r>
          </w:p>
        </w:tc>
        <w:tc>
          <w:tcPr>
            <w:tcW w:w="2835" w:type="dxa"/>
            <w:shd w:val="clear" w:color="auto" w:fill="404040" w:themeFill="text1" w:themeFillTint="BF"/>
          </w:tcPr>
          <w:p w14:paraId="3FEF04D3" w14:textId="77777777" w:rsidR="00251AE2" w:rsidRPr="00212B85" w:rsidRDefault="00251AE2" w:rsidP="002173DF">
            <w:pPr>
              <w:pStyle w:val="TableHeading"/>
              <w:keepNext/>
              <w:keepLines/>
              <w:jc w:val="center"/>
              <w:rPr>
                <w:color w:val="FFFFFF" w:themeColor="background1"/>
              </w:rPr>
            </w:pPr>
            <w:r w:rsidRPr="00212B85">
              <w:rPr>
                <w:color w:val="FFFFFF" w:themeColor="background1"/>
              </w:rPr>
              <w:t>Historical growth</w:t>
            </w:r>
            <w:r w:rsidRPr="00212B85">
              <w:rPr>
                <w:color w:val="FFFFFF" w:themeColor="background1"/>
              </w:rPr>
              <w:br/>
              <w:t>(</w:t>
            </w:r>
            <w:r>
              <w:rPr>
                <w:color w:val="FFFFFF" w:themeColor="background1"/>
              </w:rPr>
              <w:t>May 2007 to Sep 2018</w:t>
            </w:r>
            <w:r w:rsidRPr="00212B85">
              <w:rPr>
                <w:color w:val="FFFFFF" w:themeColor="background1"/>
              </w:rPr>
              <w:t>)</w:t>
            </w:r>
          </w:p>
        </w:tc>
        <w:tc>
          <w:tcPr>
            <w:tcW w:w="2693" w:type="dxa"/>
            <w:shd w:val="clear" w:color="auto" w:fill="404040" w:themeFill="text1" w:themeFillTint="BF"/>
          </w:tcPr>
          <w:p w14:paraId="4F98F82E" w14:textId="21F6EFA7" w:rsidR="00251AE2" w:rsidRPr="00420345" w:rsidRDefault="00251AE2" w:rsidP="002173DF">
            <w:pPr>
              <w:pStyle w:val="TableHeading"/>
              <w:keepNext/>
              <w:keepLines/>
              <w:jc w:val="center"/>
              <w:rPr>
                <w:color w:val="FFFFFF" w:themeColor="background1"/>
              </w:rPr>
            </w:pPr>
            <w:r w:rsidRPr="00420345">
              <w:rPr>
                <w:color w:val="FFFFFF" w:themeColor="background1"/>
              </w:rPr>
              <w:t xml:space="preserve">Forecast </w:t>
            </w:r>
            <w:r w:rsidR="00F10B22" w:rsidRPr="00420345">
              <w:rPr>
                <w:color w:val="FFFFFF" w:themeColor="background1"/>
              </w:rPr>
              <w:t>annual growth</w:t>
            </w:r>
            <w:r w:rsidRPr="00420345">
              <w:rPr>
                <w:color w:val="FFFFFF" w:themeColor="background1"/>
              </w:rPr>
              <w:t xml:space="preserve"> rate to be applied from 2018</w:t>
            </w:r>
            <w:r w:rsidR="00FA7E99">
              <w:rPr>
                <w:color w:val="FFFFFF" w:themeColor="background1"/>
              </w:rPr>
              <w:t>–</w:t>
            </w:r>
            <w:r w:rsidRPr="00420345">
              <w:rPr>
                <w:color w:val="FFFFFF" w:themeColor="background1"/>
              </w:rPr>
              <w:t>19</w:t>
            </w:r>
          </w:p>
        </w:tc>
      </w:tr>
      <w:tr w:rsidR="00251AE2" w:rsidRPr="00212B85" w14:paraId="3590330F" w14:textId="77777777" w:rsidTr="00861405">
        <w:tc>
          <w:tcPr>
            <w:tcW w:w="3114" w:type="dxa"/>
          </w:tcPr>
          <w:p w14:paraId="5669C8BF" w14:textId="77777777" w:rsidR="00251AE2" w:rsidRPr="002A7D8F" w:rsidRDefault="00251AE2" w:rsidP="00861405">
            <w:pPr>
              <w:keepNext/>
              <w:keepLines/>
              <w:spacing w:after="0"/>
            </w:pPr>
            <w:r w:rsidRPr="00A954D2">
              <w:rPr>
                <w:rFonts w:cs="Arial"/>
                <w:color w:val="000000"/>
                <w:sz w:val="18"/>
                <w:szCs w:val="18"/>
              </w:rPr>
              <w:t>Type A (500 washes)</w:t>
            </w:r>
          </w:p>
        </w:tc>
        <w:tc>
          <w:tcPr>
            <w:tcW w:w="2835" w:type="dxa"/>
          </w:tcPr>
          <w:p w14:paraId="334729B2" w14:textId="77777777" w:rsidR="00251AE2" w:rsidRPr="00212B85" w:rsidRDefault="00251AE2" w:rsidP="00861405">
            <w:pPr>
              <w:keepNext/>
              <w:keepLines/>
              <w:spacing w:after="0"/>
              <w:jc w:val="center"/>
            </w:pPr>
            <w:r>
              <w:rPr>
                <w:rFonts w:cs="Arial"/>
                <w:color w:val="000100"/>
                <w:szCs w:val="20"/>
              </w:rPr>
              <w:t>-28</w:t>
            </w:r>
            <w:r w:rsidRPr="00212B85">
              <w:rPr>
                <w:rFonts w:cs="Arial"/>
                <w:color w:val="000100"/>
                <w:szCs w:val="20"/>
              </w:rPr>
              <w:t>%</w:t>
            </w:r>
          </w:p>
        </w:tc>
        <w:tc>
          <w:tcPr>
            <w:tcW w:w="2693" w:type="dxa"/>
          </w:tcPr>
          <w:p w14:paraId="4C175121" w14:textId="77777777" w:rsidR="00251AE2" w:rsidRPr="00212B85" w:rsidRDefault="00251AE2" w:rsidP="00861405">
            <w:pPr>
              <w:keepNext/>
              <w:keepLines/>
              <w:spacing w:after="0"/>
              <w:jc w:val="center"/>
            </w:pPr>
            <w:r w:rsidRPr="00212B85">
              <w:rPr>
                <w:rFonts w:cs="Arial"/>
                <w:color w:val="000100"/>
                <w:szCs w:val="20"/>
              </w:rPr>
              <w:t>0%*</w:t>
            </w:r>
          </w:p>
        </w:tc>
      </w:tr>
      <w:tr w:rsidR="00251AE2" w:rsidRPr="00212B85" w14:paraId="480F385D" w14:textId="77777777" w:rsidTr="00861405">
        <w:tc>
          <w:tcPr>
            <w:tcW w:w="3114" w:type="dxa"/>
          </w:tcPr>
          <w:p w14:paraId="780398A4" w14:textId="77777777" w:rsidR="00251AE2" w:rsidRPr="002A7D8F" w:rsidRDefault="00251AE2" w:rsidP="00861405">
            <w:pPr>
              <w:keepNext/>
              <w:keepLines/>
              <w:spacing w:after="0"/>
            </w:pPr>
            <w:r w:rsidRPr="00A954D2">
              <w:rPr>
                <w:rFonts w:cs="Arial"/>
                <w:color w:val="000000"/>
                <w:sz w:val="18"/>
                <w:szCs w:val="18"/>
              </w:rPr>
              <w:t>Type B (20,000 washes)</w:t>
            </w:r>
          </w:p>
        </w:tc>
        <w:tc>
          <w:tcPr>
            <w:tcW w:w="2835" w:type="dxa"/>
          </w:tcPr>
          <w:p w14:paraId="3D03D5BF" w14:textId="195498E9" w:rsidR="00251AE2" w:rsidRPr="00212B85" w:rsidRDefault="007D74FA" w:rsidP="00861405">
            <w:pPr>
              <w:keepNext/>
              <w:keepLines/>
              <w:spacing w:after="0"/>
              <w:jc w:val="center"/>
            </w:pPr>
            <w:r>
              <w:rPr>
                <w:rFonts w:cs="Arial"/>
                <w:color w:val="000100"/>
                <w:szCs w:val="20"/>
              </w:rPr>
              <w:t>-</w:t>
            </w:r>
            <w:r w:rsidR="00251AE2">
              <w:rPr>
                <w:rFonts w:cs="Arial"/>
                <w:color w:val="000100"/>
                <w:szCs w:val="20"/>
              </w:rPr>
              <w:t>26</w:t>
            </w:r>
            <w:r w:rsidR="00251AE2" w:rsidRPr="00212B85">
              <w:rPr>
                <w:rFonts w:cs="Arial"/>
                <w:color w:val="000100"/>
                <w:szCs w:val="20"/>
              </w:rPr>
              <w:t>%</w:t>
            </w:r>
          </w:p>
        </w:tc>
        <w:tc>
          <w:tcPr>
            <w:tcW w:w="2693" w:type="dxa"/>
          </w:tcPr>
          <w:p w14:paraId="572BD820" w14:textId="5D7AE1CF" w:rsidR="00251AE2" w:rsidRPr="00212B85" w:rsidRDefault="007D74FA" w:rsidP="00861405">
            <w:pPr>
              <w:keepNext/>
              <w:keepLines/>
              <w:spacing w:after="0"/>
              <w:jc w:val="center"/>
            </w:pPr>
            <w:r>
              <w:rPr>
                <w:rFonts w:cs="Arial"/>
                <w:color w:val="000100"/>
                <w:szCs w:val="20"/>
              </w:rPr>
              <w:t>-</w:t>
            </w:r>
            <w:r w:rsidR="00251AE2" w:rsidRPr="00212B85">
              <w:rPr>
                <w:rFonts w:cs="Arial"/>
                <w:color w:val="000100"/>
                <w:szCs w:val="20"/>
              </w:rPr>
              <w:t>20%</w:t>
            </w:r>
          </w:p>
        </w:tc>
      </w:tr>
      <w:tr w:rsidR="00251AE2" w:rsidRPr="00212B85" w14:paraId="67744351" w14:textId="77777777" w:rsidTr="00861405">
        <w:tc>
          <w:tcPr>
            <w:tcW w:w="3114" w:type="dxa"/>
          </w:tcPr>
          <w:p w14:paraId="0AF2217A" w14:textId="77777777" w:rsidR="00251AE2" w:rsidRPr="002A7D8F" w:rsidRDefault="00251AE2" w:rsidP="00861405">
            <w:pPr>
              <w:keepNext/>
              <w:keepLines/>
              <w:spacing w:after="0"/>
            </w:pPr>
            <w:r w:rsidRPr="00A954D2">
              <w:rPr>
                <w:rFonts w:cs="Arial"/>
                <w:color w:val="000000"/>
                <w:sz w:val="18"/>
                <w:szCs w:val="18"/>
              </w:rPr>
              <w:t>Type C (100,000 washes)</w:t>
            </w:r>
          </w:p>
        </w:tc>
        <w:tc>
          <w:tcPr>
            <w:tcW w:w="2835" w:type="dxa"/>
          </w:tcPr>
          <w:p w14:paraId="05FB090F" w14:textId="4E35A0C2" w:rsidR="00251AE2" w:rsidRPr="00212B85" w:rsidRDefault="007D74FA" w:rsidP="00861405">
            <w:pPr>
              <w:keepNext/>
              <w:keepLines/>
              <w:spacing w:after="0"/>
              <w:jc w:val="center"/>
            </w:pPr>
            <w:r>
              <w:rPr>
                <w:rFonts w:cs="Arial"/>
                <w:color w:val="000100"/>
                <w:szCs w:val="20"/>
              </w:rPr>
              <w:t>-</w:t>
            </w:r>
            <w:r w:rsidR="00251AE2">
              <w:rPr>
                <w:rFonts w:cs="Arial"/>
                <w:color w:val="000100"/>
                <w:szCs w:val="20"/>
              </w:rPr>
              <w:t>15</w:t>
            </w:r>
            <w:r w:rsidR="00251AE2" w:rsidRPr="00212B85">
              <w:rPr>
                <w:rFonts w:cs="Arial"/>
                <w:color w:val="000100"/>
                <w:szCs w:val="20"/>
              </w:rPr>
              <w:t>%</w:t>
            </w:r>
          </w:p>
        </w:tc>
        <w:tc>
          <w:tcPr>
            <w:tcW w:w="2693" w:type="dxa"/>
          </w:tcPr>
          <w:p w14:paraId="0A973FB9" w14:textId="7A651527" w:rsidR="00251AE2" w:rsidRPr="00212B85" w:rsidRDefault="007D74FA" w:rsidP="00861405">
            <w:pPr>
              <w:keepNext/>
              <w:keepLines/>
              <w:spacing w:after="0"/>
              <w:jc w:val="center"/>
            </w:pPr>
            <w:r>
              <w:rPr>
                <w:rFonts w:cs="Arial"/>
                <w:color w:val="000100"/>
                <w:szCs w:val="20"/>
              </w:rPr>
              <w:t>-</w:t>
            </w:r>
            <w:r w:rsidR="00251AE2" w:rsidRPr="00212B85">
              <w:rPr>
                <w:rFonts w:cs="Arial"/>
                <w:color w:val="000100"/>
                <w:szCs w:val="20"/>
              </w:rPr>
              <w:t>20%</w:t>
            </w:r>
          </w:p>
        </w:tc>
      </w:tr>
      <w:tr w:rsidR="00251AE2" w:rsidRPr="00212B85" w14:paraId="520DF5AF" w14:textId="77777777" w:rsidTr="00861405">
        <w:tc>
          <w:tcPr>
            <w:tcW w:w="3114" w:type="dxa"/>
          </w:tcPr>
          <w:p w14:paraId="72477395" w14:textId="77777777" w:rsidR="00251AE2" w:rsidRPr="002A7D8F" w:rsidRDefault="00251AE2" w:rsidP="00861405">
            <w:pPr>
              <w:keepNext/>
              <w:keepLines/>
              <w:spacing w:after="0"/>
            </w:pPr>
            <w:r w:rsidRPr="00A954D2">
              <w:rPr>
                <w:rFonts w:cs="Arial"/>
                <w:color w:val="000000"/>
                <w:sz w:val="18"/>
                <w:szCs w:val="18"/>
              </w:rPr>
              <w:t>Type D (1,000,000 washes)</w:t>
            </w:r>
          </w:p>
        </w:tc>
        <w:tc>
          <w:tcPr>
            <w:tcW w:w="2835" w:type="dxa"/>
          </w:tcPr>
          <w:p w14:paraId="3A2A1051" w14:textId="77777777" w:rsidR="00251AE2" w:rsidRPr="00212B85" w:rsidRDefault="00251AE2" w:rsidP="00861405">
            <w:pPr>
              <w:keepNext/>
              <w:keepLines/>
              <w:spacing w:after="0"/>
              <w:jc w:val="center"/>
            </w:pPr>
            <w:r w:rsidRPr="00212B85">
              <w:rPr>
                <w:rFonts w:cs="Arial"/>
                <w:color w:val="000100"/>
                <w:szCs w:val="20"/>
              </w:rPr>
              <w:t>0%</w:t>
            </w:r>
          </w:p>
        </w:tc>
        <w:tc>
          <w:tcPr>
            <w:tcW w:w="2693" w:type="dxa"/>
          </w:tcPr>
          <w:p w14:paraId="7AC0D08F" w14:textId="77777777" w:rsidR="00251AE2" w:rsidRPr="00212B85" w:rsidRDefault="00251AE2" w:rsidP="00861405">
            <w:pPr>
              <w:keepNext/>
              <w:keepLines/>
              <w:spacing w:after="0"/>
              <w:jc w:val="center"/>
            </w:pPr>
            <w:r w:rsidRPr="00212B85">
              <w:rPr>
                <w:rFonts w:cs="Arial"/>
                <w:color w:val="000100"/>
                <w:szCs w:val="20"/>
              </w:rPr>
              <w:t>0%</w:t>
            </w:r>
          </w:p>
        </w:tc>
      </w:tr>
      <w:tr w:rsidR="00251AE2" w:rsidRPr="00212B85" w14:paraId="5901CCFD" w14:textId="77777777" w:rsidTr="00861405">
        <w:tc>
          <w:tcPr>
            <w:tcW w:w="3114" w:type="dxa"/>
          </w:tcPr>
          <w:p w14:paraId="7C971E9A" w14:textId="77777777" w:rsidR="00251AE2" w:rsidRPr="002A7D8F" w:rsidRDefault="00251AE2" w:rsidP="00861405">
            <w:pPr>
              <w:keepNext/>
              <w:keepLines/>
              <w:spacing w:after="0"/>
            </w:pPr>
            <w:r w:rsidRPr="00A954D2">
              <w:rPr>
                <w:rFonts w:cs="Arial"/>
                <w:color w:val="000000"/>
                <w:sz w:val="18"/>
                <w:szCs w:val="18"/>
              </w:rPr>
              <w:t>Type E (10,000,000 washes)</w:t>
            </w:r>
          </w:p>
        </w:tc>
        <w:tc>
          <w:tcPr>
            <w:tcW w:w="2835" w:type="dxa"/>
          </w:tcPr>
          <w:p w14:paraId="4C7DE697" w14:textId="12E981D7" w:rsidR="00251AE2" w:rsidRPr="00212B85" w:rsidRDefault="007D74FA" w:rsidP="00861405">
            <w:pPr>
              <w:keepNext/>
              <w:keepLines/>
              <w:spacing w:after="0"/>
              <w:jc w:val="center"/>
            </w:pPr>
            <w:r>
              <w:rPr>
                <w:rFonts w:cs="Arial"/>
                <w:color w:val="000100"/>
                <w:szCs w:val="20"/>
              </w:rPr>
              <w:t>-</w:t>
            </w:r>
            <w:r w:rsidR="00251AE2">
              <w:rPr>
                <w:rFonts w:cs="Arial"/>
                <w:color w:val="000100"/>
                <w:szCs w:val="20"/>
              </w:rPr>
              <w:t>56</w:t>
            </w:r>
            <w:r w:rsidR="00251AE2" w:rsidRPr="00212B85">
              <w:rPr>
                <w:rFonts w:cs="Arial"/>
                <w:color w:val="000100"/>
                <w:szCs w:val="20"/>
              </w:rPr>
              <w:t>%</w:t>
            </w:r>
          </w:p>
        </w:tc>
        <w:tc>
          <w:tcPr>
            <w:tcW w:w="2693" w:type="dxa"/>
          </w:tcPr>
          <w:p w14:paraId="15041762" w14:textId="2326D492" w:rsidR="00251AE2" w:rsidRPr="00212B85" w:rsidRDefault="007D74FA" w:rsidP="00861405">
            <w:pPr>
              <w:keepNext/>
              <w:keepLines/>
              <w:spacing w:after="0"/>
              <w:jc w:val="center"/>
            </w:pPr>
            <w:r>
              <w:rPr>
                <w:rFonts w:cs="Arial"/>
                <w:color w:val="000100"/>
                <w:szCs w:val="20"/>
              </w:rPr>
              <w:t>-</w:t>
            </w:r>
            <w:r w:rsidR="00251AE2" w:rsidRPr="00212B85">
              <w:rPr>
                <w:rFonts w:cs="Arial"/>
                <w:color w:val="000100"/>
                <w:szCs w:val="20"/>
              </w:rPr>
              <w:t>2</w:t>
            </w:r>
            <w:r w:rsidR="00251AE2">
              <w:rPr>
                <w:rFonts w:cs="Arial"/>
                <w:color w:val="000100"/>
                <w:szCs w:val="20"/>
              </w:rPr>
              <w:t>5</w:t>
            </w:r>
            <w:r w:rsidR="00251AE2" w:rsidRPr="00212B85">
              <w:rPr>
                <w:rFonts w:cs="Arial"/>
                <w:color w:val="000100"/>
                <w:szCs w:val="20"/>
              </w:rPr>
              <w:t>%</w:t>
            </w:r>
          </w:p>
        </w:tc>
      </w:tr>
      <w:tr w:rsidR="00251AE2" w:rsidRPr="00212B85" w14:paraId="51C1F388" w14:textId="77777777" w:rsidTr="00861405">
        <w:tc>
          <w:tcPr>
            <w:tcW w:w="3114" w:type="dxa"/>
          </w:tcPr>
          <w:p w14:paraId="3521DD34" w14:textId="77777777" w:rsidR="00251AE2" w:rsidRPr="002A7D8F" w:rsidRDefault="00251AE2" w:rsidP="00861405">
            <w:pPr>
              <w:keepNext/>
              <w:keepLines/>
              <w:spacing w:after="0"/>
            </w:pPr>
            <w:r w:rsidRPr="00A954D2">
              <w:rPr>
                <w:rFonts w:cs="Arial"/>
                <w:color w:val="000000"/>
                <w:sz w:val="18"/>
                <w:szCs w:val="18"/>
              </w:rPr>
              <w:t>Type F (20,000,000 washes)</w:t>
            </w:r>
          </w:p>
        </w:tc>
        <w:tc>
          <w:tcPr>
            <w:tcW w:w="2835" w:type="dxa"/>
          </w:tcPr>
          <w:p w14:paraId="6F2FDED1" w14:textId="23B5B91C" w:rsidR="00251AE2" w:rsidRPr="00212B85" w:rsidRDefault="007D74FA" w:rsidP="00861405">
            <w:pPr>
              <w:keepNext/>
              <w:keepLines/>
              <w:spacing w:after="0"/>
              <w:jc w:val="center"/>
            </w:pPr>
            <w:r>
              <w:rPr>
                <w:rFonts w:cs="Arial"/>
                <w:color w:val="000100"/>
                <w:szCs w:val="20"/>
              </w:rPr>
              <w:t>-</w:t>
            </w:r>
            <w:r w:rsidR="00251AE2" w:rsidRPr="00212B85">
              <w:rPr>
                <w:rFonts w:cs="Arial"/>
                <w:color w:val="000100"/>
                <w:szCs w:val="20"/>
              </w:rPr>
              <w:t>100%</w:t>
            </w:r>
          </w:p>
        </w:tc>
        <w:tc>
          <w:tcPr>
            <w:tcW w:w="2693" w:type="dxa"/>
          </w:tcPr>
          <w:p w14:paraId="1A83EA58" w14:textId="77777777" w:rsidR="00251AE2" w:rsidRPr="00212B85" w:rsidRDefault="00251AE2" w:rsidP="00861405">
            <w:pPr>
              <w:keepNext/>
              <w:keepLines/>
              <w:spacing w:after="0"/>
              <w:jc w:val="center"/>
            </w:pPr>
            <w:r w:rsidRPr="00212B85">
              <w:rPr>
                <w:rFonts w:cs="Arial"/>
                <w:color w:val="000100"/>
                <w:szCs w:val="20"/>
              </w:rPr>
              <w:t>0%</w:t>
            </w:r>
            <w:r>
              <w:rPr>
                <w:rFonts w:cs="Arial"/>
                <w:color w:val="000100"/>
                <w:szCs w:val="20"/>
              </w:rPr>
              <w:t>**</w:t>
            </w:r>
          </w:p>
        </w:tc>
      </w:tr>
      <w:tr w:rsidR="00251AE2" w:rsidRPr="00212B85" w14:paraId="584FA823" w14:textId="77777777" w:rsidTr="00861405">
        <w:tc>
          <w:tcPr>
            <w:tcW w:w="3114" w:type="dxa"/>
          </w:tcPr>
          <w:p w14:paraId="18A87FC6" w14:textId="77777777" w:rsidR="00251AE2" w:rsidRPr="002A7D8F" w:rsidRDefault="00251AE2" w:rsidP="00861405">
            <w:pPr>
              <w:keepNext/>
              <w:keepLines/>
              <w:spacing w:after="0"/>
            </w:pPr>
            <w:r w:rsidRPr="00A954D2">
              <w:rPr>
                <w:rFonts w:cs="Arial"/>
                <w:color w:val="000000"/>
                <w:sz w:val="18"/>
                <w:szCs w:val="18"/>
              </w:rPr>
              <w:t>Type G (50,000,000 washes)</w:t>
            </w:r>
          </w:p>
        </w:tc>
        <w:tc>
          <w:tcPr>
            <w:tcW w:w="2835" w:type="dxa"/>
          </w:tcPr>
          <w:p w14:paraId="133AA0D4" w14:textId="0D8B395F" w:rsidR="00251AE2" w:rsidRPr="00212B85" w:rsidRDefault="007D74FA" w:rsidP="00861405">
            <w:pPr>
              <w:keepNext/>
              <w:keepLines/>
              <w:spacing w:after="0"/>
              <w:jc w:val="center"/>
            </w:pPr>
            <w:r>
              <w:rPr>
                <w:rFonts w:cs="Arial"/>
                <w:color w:val="000100"/>
                <w:szCs w:val="20"/>
              </w:rPr>
              <w:t>-</w:t>
            </w:r>
            <w:r w:rsidR="00251AE2" w:rsidRPr="00212B85">
              <w:rPr>
                <w:rFonts w:cs="Arial"/>
                <w:color w:val="000100"/>
                <w:szCs w:val="20"/>
              </w:rPr>
              <w:t>100%</w:t>
            </w:r>
          </w:p>
        </w:tc>
        <w:tc>
          <w:tcPr>
            <w:tcW w:w="2693" w:type="dxa"/>
          </w:tcPr>
          <w:p w14:paraId="4B38ACF2" w14:textId="77777777" w:rsidR="00251AE2" w:rsidRPr="00212B85" w:rsidRDefault="00251AE2" w:rsidP="00861405">
            <w:pPr>
              <w:keepNext/>
              <w:keepLines/>
              <w:spacing w:after="0"/>
              <w:jc w:val="center"/>
            </w:pPr>
            <w:r w:rsidRPr="00212B85">
              <w:rPr>
                <w:rFonts w:cs="Arial"/>
                <w:color w:val="000100"/>
                <w:szCs w:val="20"/>
              </w:rPr>
              <w:t>0%</w:t>
            </w:r>
            <w:r>
              <w:rPr>
                <w:rFonts w:cs="Arial"/>
                <w:color w:val="000100"/>
                <w:szCs w:val="20"/>
              </w:rPr>
              <w:t>**</w:t>
            </w:r>
          </w:p>
        </w:tc>
      </w:tr>
      <w:tr w:rsidR="00251AE2" w:rsidRPr="00212B85" w14:paraId="696F1A1D" w14:textId="77777777" w:rsidTr="00861405">
        <w:tc>
          <w:tcPr>
            <w:tcW w:w="3114" w:type="dxa"/>
          </w:tcPr>
          <w:p w14:paraId="02F239F5" w14:textId="77777777" w:rsidR="00251AE2" w:rsidRPr="002A7D8F" w:rsidRDefault="00251AE2" w:rsidP="00861405">
            <w:pPr>
              <w:keepNext/>
              <w:keepLines/>
              <w:spacing w:after="0"/>
            </w:pPr>
            <w:r w:rsidRPr="00A954D2">
              <w:rPr>
                <w:rFonts w:cs="Arial"/>
                <w:color w:val="000000"/>
                <w:sz w:val="18"/>
                <w:szCs w:val="18"/>
              </w:rPr>
              <w:t>Type H (100,000,000 washes)</w:t>
            </w:r>
          </w:p>
        </w:tc>
        <w:tc>
          <w:tcPr>
            <w:tcW w:w="2835" w:type="dxa"/>
          </w:tcPr>
          <w:p w14:paraId="21A62D6B" w14:textId="77777777" w:rsidR="00251AE2" w:rsidRPr="00212B85" w:rsidRDefault="00251AE2" w:rsidP="00861405">
            <w:pPr>
              <w:keepNext/>
              <w:keepLines/>
              <w:spacing w:after="0"/>
              <w:jc w:val="center"/>
            </w:pPr>
            <w:r>
              <w:rPr>
                <w:rFonts w:cs="Arial"/>
                <w:color w:val="000100"/>
                <w:szCs w:val="20"/>
              </w:rPr>
              <w:t>33</w:t>
            </w:r>
            <w:r w:rsidRPr="00212B85">
              <w:rPr>
                <w:rFonts w:cs="Arial"/>
                <w:color w:val="000100"/>
                <w:szCs w:val="20"/>
              </w:rPr>
              <w:t>%</w:t>
            </w:r>
          </w:p>
        </w:tc>
        <w:tc>
          <w:tcPr>
            <w:tcW w:w="2693" w:type="dxa"/>
          </w:tcPr>
          <w:p w14:paraId="7F292B4D" w14:textId="77777777" w:rsidR="00251AE2" w:rsidRPr="00212B85" w:rsidRDefault="00251AE2" w:rsidP="002A7D8F">
            <w:pPr>
              <w:keepNext/>
              <w:keepLines/>
              <w:spacing w:after="0"/>
              <w:jc w:val="center"/>
            </w:pPr>
            <w:r w:rsidRPr="00212B85">
              <w:rPr>
                <w:rFonts w:cs="Arial"/>
                <w:color w:val="000100"/>
                <w:szCs w:val="20"/>
              </w:rPr>
              <w:t>0%</w:t>
            </w:r>
          </w:p>
        </w:tc>
      </w:tr>
    </w:tbl>
    <w:p w14:paraId="6649AF29" w14:textId="38128A1D" w:rsidR="00251AE2" w:rsidRDefault="00251AE2" w:rsidP="00251AE2">
      <w:pPr>
        <w:pStyle w:val="ACMANotes"/>
        <w:keepNext/>
        <w:keepLines/>
        <w:spacing w:before="0"/>
      </w:pPr>
      <w:r w:rsidRPr="00212B85">
        <w:t>*0 per</w:t>
      </w:r>
      <w:r w:rsidR="00734DDF">
        <w:t xml:space="preserve"> </w:t>
      </w:r>
      <w:r w:rsidRPr="00212B85">
        <w:t>cent growth rate applied as no charges are currently applied for Type A subscriptions.</w:t>
      </w:r>
    </w:p>
    <w:p w14:paraId="2A527EB5" w14:textId="3124AEF4" w:rsidR="00A04CE9" w:rsidRDefault="00251AE2" w:rsidP="002173DF">
      <w:pPr>
        <w:pStyle w:val="ACMANotes"/>
        <w:keepNext/>
        <w:keepLines/>
        <w:spacing w:before="0"/>
      </w:pPr>
      <w:r>
        <w:t>** Implicit assumption was that there will be no further Type F or Type G subscriptions</w:t>
      </w:r>
      <w:r w:rsidRPr="00212B85">
        <w:br/>
        <w:t>Source: ACIL Allen Consulting</w:t>
      </w:r>
      <w:r w:rsidR="009414C9">
        <w:t xml:space="preserve"> </w:t>
      </w:r>
      <w:r>
        <w:t xml:space="preserve">(forecast </w:t>
      </w:r>
      <w:r w:rsidR="003A64CF">
        <w:t>updated</w:t>
      </w:r>
      <w:r>
        <w:t xml:space="preserve"> in October 2018)</w:t>
      </w:r>
    </w:p>
    <w:p w14:paraId="06E28B2B" w14:textId="3BFEEF80" w:rsidR="00A04CE9" w:rsidRDefault="00A04CE9" w:rsidP="002173DF">
      <w:pPr>
        <w:spacing w:before="240"/>
        <w:rPr>
          <w:rFonts w:eastAsia="SimSun"/>
        </w:rPr>
      </w:pPr>
      <w:r w:rsidRPr="00480A42">
        <w:rPr>
          <w:rFonts w:eastAsia="SimSun"/>
        </w:rPr>
        <w:t xml:space="preserve">Table </w:t>
      </w:r>
      <w:r w:rsidR="00E35C7E">
        <w:rPr>
          <w:rFonts w:eastAsia="SimSun"/>
        </w:rPr>
        <w:t>5 below</w:t>
      </w:r>
      <w:r w:rsidRPr="00480A42">
        <w:rPr>
          <w:rFonts w:eastAsia="SimSun"/>
        </w:rPr>
        <w:t xml:space="preserve"> shows that the demand for subscriptions in 2018 fell for </w:t>
      </w:r>
      <w:r>
        <w:rPr>
          <w:rFonts w:eastAsia="SimSun"/>
        </w:rPr>
        <w:t>most</w:t>
      </w:r>
      <w:r w:rsidRPr="00480A42">
        <w:rPr>
          <w:rFonts w:eastAsia="SimSun"/>
        </w:rPr>
        <w:t xml:space="preserve"> paid subscription types when compared with previous periods. The estimates for 2019–20 onwards have been forecast by applying simple growth rates based on subscription purchases from </w:t>
      </w:r>
      <w:r>
        <w:rPr>
          <w:rFonts w:eastAsia="SimSun"/>
        </w:rPr>
        <w:t>May 2007</w:t>
      </w:r>
      <w:r w:rsidRPr="00480A42">
        <w:rPr>
          <w:rFonts w:eastAsia="SimSun"/>
        </w:rPr>
        <w:t xml:space="preserve"> to end </w:t>
      </w:r>
      <w:r>
        <w:rPr>
          <w:rFonts w:eastAsia="SimSun"/>
        </w:rPr>
        <w:t>of September</w:t>
      </w:r>
      <w:r w:rsidRPr="00480A42">
        <w:rPr>
          <w:rFonts w:eastAsia="SimSun"/>
        </w:rPr>
        <w:t xml:space="preserve"> 2018</w:t>
      </w:r>
      <w:r w:rsidR="00ED7C2A">
        <w:rPr>
          <w:rFonts w:eastAsia="SimSun"/>
        </w:rPr>
        <w:t>,</w:t>
      </w:r>
      <w:r>
        <w:rPr>
          <w:rFonts w:eastAsia="SimSun"/>
        </w:rPr>
        <w:t xml:space="preserve"> as disclosed in Table </w:t>
      </w:r>
      <w:r w:rsidR="006C4902">
        <w:rPr>
          <w:rFonts w:eastAsia="SimSun"/>
        </w:rPr>
        <w:t>4</w:t>
      </w:r>
      <w:r>
        <w:rPr>
          <w:rFonts w:eastAsia="SimSun"/>
        </w:rPr>
        <w:t xml:space="preserve"> above</w:t>
      </w:r>
      <w:r w:rsidRPr="00480A42">
        <w:rPr>
          <w:rFonts w:eastAsia="SimSun"/>
        </w:rPr>
        <w:t>.</w:t>
      </w:r>
    </w:p>
    <w:p w14:paraId="4C4E2BB3" w14:textId="193D0565" w:rsidR="00910484" w:rsidRDefault="00A04CE9" w:rsidP="00A04CE9">
      <w:pPr>
        <w:rPr>
          <w:rFonts w:eastAsia="SimSun"/>
        </w:rPr>
      </w:pPr>
      <w:r w:rsidRPr="00DE6CF5">
        <w:rPr>
          <w:rFonts w:eastAsia="SimSun"/>
        </w:rPr>
        <w:t xml:space="preserve">The growth rates for future periods have been </w:t>
      </w:r>
      <w:r w:rsidR="00687034">
        <w:rPr>
          <w:rFonts w:eastAsia="SimSun"/>
        </w:rPr>
        <w:t>forecast</w:t>
      </w:r>
      <w:r w:rsidRPr="00DE6CF5">
        <w:rPr>
          <w:rFonts w:eastAsia="SimSun"/>
        </w:rPr>
        <w:t xml:space="preserve"> by ACIL Allen based on the long-term decline in the number of type B, C and E subscriptions purchased between 2015 and 30</w:t>
      </w:r>
      <w:r w:rsidR="00F10B22">
        <w:rPr>
          <w:rFonts w:eastAsia="SimSun"/>
        </w:rPr>
        <w:t> </w:t>
      </w:r>
      <w:r w:rsidRPr="00DE6CF5">
        <w:rPr>
          <w:rFonts w:eastAsia="SimSun"/>
        </w:rPr>
        <w:t>June</w:t>
      </w:r>
      <w:r w:rsidR="00F10B22">
        <w:rPr>
          <w:rFonts w:eastAsia="SimSun"/>
        </w:rPr>
        <w:t> </w:t>
      </w:r>
      <w:r w:rsidRPr="00DE6CF5">
        <w:rPr>
          <w:rFonts w:eastAsia="SimSun"/>
        </w:rPr>
        <w:t>2019</w:t>
      </w:r>
      <w:r w:rsidRPr="00212B85">
        <w:rPr>
          <w:rFonts w:eastAsia="SimSun"/>
        </w:rPr>
        <w:t xml:space="preserve"> (see Table </w:t>
      </w:r>
      <w:r w:rsidR="006C4902">
        <w:rPr>
          <w:rFonts w:eastAsia="SimSun"/>
        </w:rPr>
        <w:t>5</w:t>
      </w:r>
      <w:r w:rsidRPr="00212B85">
        <w:rPr>
          <w:rFonts w:eastAsia="SimSun"/>
        </w:rPr>
        <w:t xml:space="preserve"> below).</w:t>
      </w:r>
      <w:r>
        <w:rPr>
          <w:rFonts w:eastAsia="SimSun"/>
        </w:rPr>
        <w:t xml:space="preserve"> Only one G subscription and no F subscriptions have been purchased since April 2017, leading to the assumption that growth rates for these subscription types are unlikely to increase again in the future. The higher discount for type H subscriptions, and the ability of businesses to ‘roll over’ any unused wash credits to the following year is the likely reason for fewer purchases of F and G type subscriptions.  </w:t>
      </w:r>
    </w:p>
    <w:p w14:paraId="45731918" w14:textId="6B969052" w:rsidR="00D559DC" w:rsidRDefault="00D559DC">
      <w:pPr>
        <w:spacing w:after="0" w:line="240" w:lineRule="auto"/>
        <w:rPr>
          <w:rFonts w:eastAsia="SimSun"/>
        </w:rPr>
      </w:pPr>
      <w:r>
        <w:rPr>
          <w:rFonts w:eastAsia="SimSun"/>
        </w:rPr>
        <w:br w:type="page"/>
      </w:r>
    </w:p>
    <w:p w14:paraId="28E103A6" w14:textId="7FBA5C7A" w:rsidR="00A04CE9" w:rsidRPr="00212B85" w:rsidRDefault="00E10D2A" w:rsidP="00A04CE9">
      <w:pPr>
        <w:pStyle w:val="ACMATableHeader"/>
        <w:keepNext/>
        <w:keepLines/>
        <w:ind w:left="0" w:firstLine="0"/>
        <w:rPr>
          <w:rFonts w:eastAsia="SimSun"/>
        </w:rPr>
      </w:pPr>
      <w:bookmarkStart w:id="125" w:name="_Hlk19534308"/>
      <w:r>
        <w:lastRenderedPageBreak/>
        <w:t>E</w:t>
      </w:r>
      <w:r w:rsidR="00A04CE9" w:rsidRPr="00212B85">
        <w:t>stimated subscription demand for the periods 201</w:t>
      </w:r>
      <w:r>
        <w:t>8</w:t>
      </w:r>
      <w:r w:rsidR="00A04CE9" w:rsidRPr="00212B85">
        <w:t>–1</w:t>
      </w:r>
      <w:r>
        <w:t>9</w:t>
      </w:r>
      <w:r w:rsidR="00A04CE9" w:rsidRPr="00212B85">
        <w:t xml:space="preserve"> to 20</w:t>
      </w:r>
      <w:r w:rsidR="00A04CE9">
        <w:t>2</w:t>
      </w:r>
      <w:r>
        <w:t>1</w:t>
      </w:r>
      <w:r w:rsidR="00A04CE9" w:rsidRPr="00212B85">
        <w:t>–2</w:t>
      </w:r>
      <w:r>
        <w:t>2</w:t>
      </w:r>
    </w:p>
    <w:tbl>
      <w:tblPr>
        <w:tblStyle w:val="TableGrid"/>
        <w:tblW w:w="8091" w:type="dxa"/>
        <w:tblBorders>
          <w:insideH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11"/>
        <w:gridCol w:w="1223"/>
        <w:gridCol w:w="1222"/>
        <w:gridCol w:w="1069"/>
        <w:gridCol w:w="1222"/>
        <w:gridCol w:w="1222"/>
        <w:gridCol w:w="1222"/>
      </w:tblGrid>
      <w:tr w:rsidR="00540C0C" w:rsidRPr="00212B85" w14:paraId="67A42433" w14:textId="2460E248" w:rsidTr="00A954D2">
        <w:trPr>
          <w:trHeight w:val="844"/>
        </w:trPr>
        <w:tc>
          <w:tcPr>
            <w:tcW w:w="911" w:type="dxa"/>
            <w:shd w:val="clear" w:color="auto" w:fill="404040" w:themeFill="text1" w:themeFillTint="BF"/>
            <w:vAlign w:val="center"/>
          </w:tcPr>
          <w:bookmarkEnd w:id="125"/>
          <w:p w14:paraId="5B55BD83" w14:textId="77777777" w:rsidR="00540C0C" w:rsidRPr="00212B85" w:rsidRDefault="00540C0C" w:rsidP="002173DF">
            <w:pPr>
              <w:pStyle w:val="TableHeading"/>
              <w:jc w:val="center"/>
              <w:rPr>
                <w:rFonts w:eastAsia="SimSun"/>
                <w:color w:val="FFFFFF" w:themeColor="background1"/>
              </w:rPr>
            </w:pPr>
            <w:r w:rsidRPr="00212B85">
              <w:rPr>
                <w:color w:val="FFFFFF" w:themeColor="background1"/>
              </w:rPr>
              <w:t>Type</w:t>
            </w:r>
          </w:p>
        </w:tc>
        <w:tc>
          <w:tcPr>
            <w:tcW w:w="1223" w:type="dxa"/>
            <w:shd w:val="clear" w:color="auto" w:fill="404040" w:themeFill="text1" w:themeFillTint="BF"/>
            <w:vAlign w:val="center"/>
          </w:tcPr>
          <w:p w14:paraId="03542C00" w14:textId="77777777" w:rsidR="00540C0C" w:rsidRPr="00212B85" w:rsidRDefault="00540C0C" w:rsidP="002173DF">
            <w:pPr>
              <w:pStyle w:val="TableHeading"/>
              <w:jc w:val="center"/>
              <w:rPr>
                <w:rFonts w:eastAsia="SimSun"/>
                <w:color w:val="FFFFFF" w:themeColor="background1"/>
              </w:rPr>
            </w:pPr>
            <w:r w:rsidRPr="00212B85">
              <w:rPr>
                <w:color w:val="FFFFFF" w:themeColor="background1"/>
              </w:rPr>
              <w:t>No. of washes</w:t>
            </w:r>
          </w:p>
        </w:tc>
        <w:tc>
          <w:tcPr>
            <w:tcW w:w="1222" w:type="dxa"/>
            <w:shd w:val="clear" w:color="auto" w:fill="404040" w:themeFill="text1" w:themeFillTint="BF"/>
            <w:vAlign w:val="center"/>
          </w:tcPr>
          <w:p w14:paraId="677203F0" w14:textId="226E1427" w:rsidR="00540C0C" w:rsidRPr="00212B85" w:rsidRDefault="00540C0C" w:rsidP="00397BEB">
            <w:pPr>
              <w:pStyle w:val="TableHeading"/>
              <w:jc w:val="center"/>
              <w:rPr>
                <w:color w:val="FFFFFF" w:themeColor="background1"/>
              </w:rPr>
            </w:pPr>
            <w:r w:rsidRPr="000E2510">
              <w:rPr>
                <w:color w:val="FFFFFF" w:themeColor="background1"/>
              </w:rPr>
              <w:t>201</w:t>
            </w:r>
            <w:r>
              <w:rPr>
                <w:color w:val="FFFFFF" w:themeColor="background1"/>
              </w:rPr>
              <w:t>8</w:t>
            </w:r>
            <w:r w:rsidRPr="000E2510">
              <w:rPr>
                <w:color w:val="FFFFFF" w:themeColor="background1"/>
              </w:rPr>
              <w:t>–</w:t>
            </w:r>
            <w:r>
              <w:rPr>
                <w:color w:val="FFFFFF" w:themeColor="background1"/>
              </w:rPr>
              <w:t>19</w:t>
            </w:r>
            <w:r w:rsidRPr="000E2510">
              <w:rPr>
                <w:color w:val="FFFFFF" w:themeColor="background1"/>
              </w:rPr>
              <w:t xml:space="preserve"> (estimate)</w:t>
            </w:r>
          </w:p>
        </w:tc>
        <w:tc>
          <w:tcPr>
            <w:tcW w:w="1069" w:type="dxa"/>
            <w:shd w:val="clear" w:color="auto" w:fill="404040" w:themeFill="text1" w:themeFillTint="BF"/>
            <w:vAlign w:val="center"/>
          </w:tcPr>
          <w:p w14:paraId="7250259F" w14:textId="11544475" w:rsidR="00540C0C" w:rsidRPr="00212B85" w:rsidRDefault="00540C0C" w:rsidP="002173DF">
            <w:pPr>
              <w:pStyle w:val="TableHeading"/>
              <w:jc w:val="center"/>
              <w:rPr>
                <w:color w:val="FFFFFF" w:themeColor="background1"/>
              </w:rPr>
            </w:pPr>
            <w:r w:rsidRPr="000E2510">
              <w:rPr>
                <w:color w:val="FFFFFF" w:themeColor="background1"/>
              </w:rPr>
              <w:t>2018–19 (actual)</w:t>
            </w:r>
          </w:p>
        </w:tc>
        <w:tc>
          <w:tcPr>
            <w:tcW w:w="1222" w:type="dxa"/>
            <w:shd w:val="clear" w:color="auto" w:fill="404040" w:themeFill="text1" w:themeFillTint="BF"/>
            <w:vAlign w:val="center"/>
          </w:tcPr>
          <w:p w14:paraId="610FDB54" w14:textId="7DB389A2" w:rsidR="00540C0C" w:rsidRPr="00212B85" w:rsidRDefault="00540C0C" w:rsidP="002173DF">
            <w:pPr>
              <w:pStyle w:val="TableHeading"/>
              <w:jc w:val="center"/>
              <w:rPr>
                <w:color w:val="FFFFFF" w:themeColor="background1"/>
              </w:rPr>
            </w:pPr>
            <w:r w:rsidRPr="000E2510">
              <w:rPr>
                <w:color w:val="FFFFFF" w:themeColor="background1"/>
              </w:rPr>
              <w:t>2019–20 (estimate)</w:t>
            </w:r>
          </w:p>
        </w:tc>
        <w:tc>
          <w:tcPr>
            <w:tcW w:w="1222" w:type="dxa"/>
            <w:shd w:val="clear" w:color="auto" w:fill="404040" w:themeFill="text1" w:themeFillTint="BF"/>
            <w:vAlign w:val="center"/>
          </w:tcPr>
          <w:p w14:paraId="655C421A" w14:textId="67589E61" w:rsidR="00540C0C" w:rsidRDefault="00540C0C" w:rsidP="002173DF">
            <w:pPr>
              <w:pStyle w:val="TableHeading"/>
              <w:jc w:val="center"/>
              <w:rPr>
                <w:color w:val="FFFFFF" w:themeColor="background1"/>
              </w:rPr>
            </w:pPr>
            <w:r>
              <w:rPr>
                <w:color w:val="FFFFFF" w:themeColor="background1"/>
              </w:rPr>
              <w:t>2020–21</w:t>
            </w:r>
          </w:p>
          <w:p w14:paraId="07C035D5" w14:textId="1F60CD5E" w:rsidR="00540C0C" w:rsidRPr="00212B85" w:rsidRDefault="00540C0C" w:rsidP="002173DF">
            <w:pPr>
              <w:pStyle w:val="TableHeading"/>
              <w:jc w:val="center"/>
              <w:rPr>
                <w:color w:val="FFFFFF" w:themeColor="background1"/>
              </w:rPr>
            </w:pPr>
            <w:r>
              <w:rPr>
                <w:color w:val="FFFFFF" w:themeColor="background1"/>
              </w:rPr>
              <w:t>(estimate)</w:t>
            </w:r>
          </w:p>
        </w:tc>
        <w:tc>
          <w:tcPr>
            <w:tcW w:w="1222" w:type="dxa"/>
            <w:shd w:val="clear" w:color="auto" w:fill="404040" w:themeFill="text1" w:themeFillTint="BF"/>
            <w:vAlign w:val="center"/>
          </w:tcPr>
          <w:p w14:paraId="33D5A8CB" w14:textId="4DC0E3FA" w:rsidR="00540C0C" w:rsidRPr="00212B85" w:rsidRDefault="00540C0C" w:rsidP="002173DF">
            <w:pPr>
              <w:pStyle w:val="TableHeading"/>
              <w:jc w:val="center"/>
              <w:rPr>
                <w:color w:val="FFFFFF" w:themeColor="background1"/>
              </w:rPr>
            </w:pPr>
            <w:r>
              <w:rPr>
                <w:color w:val="FFFFFF" w:themeColor="background1"/>
              </w:rPr>
              <w:t>2021–22 (estimate)</w:t>
            </w:r>
          </w:p>
        </w:tc>
      </w:tr>
      <w:tr w:rsidR="0057284A" w:rsidRPr="00343D56" w14:paraId="70A07FD3" w14:textId="5ACE5D04" w:rsidTr="00A954D2">
        <w:trPr>
          <w:trHeight w:val="35"/>
        </w:trPr>
        <w:tc>
          <w:tcPr>
            <w:tcW w:w="911" w:type="dxa"/>
            <w:tcBorders>
              <w:top w:val="nil"/>
              <w:bottom w:val="single" w:sz="4" w:space="0" w:color="auto"/>
            </w:tcBorders>
            <w:vAlign w:val="center"/>
          </w:tcPr>
          <w:p w14:paraId="52F61EDA" w14:textId="77777777" w:rsidR="0057284A" w:rsidRPr="00343D56" w:rsidRDefault="0057284A" w:rsidP="00397BEB">
            <w:pPr>
              <w:spacing w:after="0"/>
              <w:rPr>
                <w:rFonts w:eastAsia="SimSun"/>
              </w:rPr>
            </w:pPr>
            <w:r w:rsidRPr="002173DF">
              <w:rPr>
                <w:rFonts w:cs="Arial"/>
                <w:color w:val="000000"/>
                <w:sz w:val="18"/>
                <w:szCs w:val="18"/>
              </w:rPr>
              <w:t>Type A</w:t>
            </w:r>
          </w:p>
        </w:tc>
        <w:tc>
          <w:tcPr>
            <w:tcW w:w="1223" w:type="dxa"/>
            <w:tcBorders>
              <w:top w:val="nil"/>
              <w:bottom w:val="single" w:sz="4" w:space="0" w:color="auto"/>
            </w:tcBorders>
            <w:vAlign w:val="center"/>
          </w:tcPr>
          <w:p w14:paraId="470A7E37" w14:textId="77777777" w:rsidR="0057284A" w:rsidRPr="00343D56" w:rsidRDefault="0057284A" w:rsidP="00397BEB">
            <w:pPr>
              <w:spacing w:after="0"/>
              <w:jc w:val="center"/>
              <w:rPr>
                <w:rFonts w:eastAsia="SimSun"/>
              </w:rPr>
            </w:pPr>
            <w:r w:rsidRPr="00343D56">
              <w:rPr>
                <w:rFonts w:cs="Arial"/>
                <w:color w:val="000000"/>
                <w:sz w:val="18"/>
                <w:szCs w:val="18"/>
              </w:rPr>
              <w:t>500</w:t>
            </w:r>
          </w:p>
        </w:tc>
        <w:tc>
          <w:tcPr>
            <w:tcW w:w="1222" w:type="dxa"/>
            <w:tcBorders>
              <w:top w:val="nil"/>
              <w:bottom w:val="single" w:sz="4" w:space="0" w:color="auto"/>
            </w:tcBorders>
          </w:tcPr>
          <w:p w14:paraId="6FCC4578" w14:textId="61D2B557" w:rsidR="0057284A" w:rsidRPr="00343D56" w:rsidRDefault="0057284A" w:rsidP="00397BEB">
            <w:pPr>
              <w:spacing w:after="0"/>
              <w:jc w:val="center"/>
              <w:rPr>
                <w:rFonts w:cs="Arial"/>
                <w:color w:val="000000"/>
                <w:sz w:val="18"/>
                <w:szCs w:val="18"/>
              </w:rPr>
            </w:pPr>
            <w:r w:rsidRPr="00F34A23">
              <w:rPr>
                <w:rFonts w:cs="Arial"/>
                <w:color w:val="000000"/>
                <w:sz w:val="18"/>
                <w:szCs w:val="18"/>
              </w:rPr>
              <w:t>459</w:t>
            </w:r>
          </w:p>
        </w:tc>
        <w:tc>
          <w:tcPr>
            <w:tcW w:w="1069" w:type="dxa"/>
            <w:tcBorders>
              <w:top w:val="nil"/>
              <w:bottom w:val="single" w:sz="4" w:space="0" w:color="auto"/>
            </w:tcBorders>
            <w:vAlign w:val="center"/>
          </w:tcPr>
          <w:p w14:paraId="2F608E61" w14:textId="0E79C020" w:rsidR="0057284A" w:rsidRPr="00343D56" w:rsidRDefault="0057284A" w:rsidP="00397BEB">
            <w:pPr>
              <w:spacing w:after="0"/>
              <w:jc w:val="center"/>
              <w:rPr>
                <w:rFonts w:eastAsia="SimSun"/>
              </w:rPr>
            </w:pPr>
            <w:r w:rsidRPr="00343D56">
              <w:rPr>
                <w:rFonts w:cs="Arial"/>
                <w:color w:val="000000"/>
                <w:sz w:val="18"/>
                <w:szCs w:val="18"/>
              </w:rPr>
              <w:t>507</w:t>
            </w:r>
          </w:p>
        </w:tc>
        <w:tc>
          <w:tcPr>
            <w:tcW w:w="1222" w:type="dxa"/>
            <w:tcBorders>
              <w:top w:val="nil"/>
              <w:bottom w:val="single" w:sz="4" w:space="0" w:color="auto"/>
            </w:tcBorders>
            <w:vAlign w:val="center"/>
          </w:tcPr>
          <w:p w14:paraId="2642FA47" w14:textId="3D998033" w:rsidR="0057284A" w:rsidRPr="00343D56" w:rsidRDefault="0057284A" w:rsidP="00397BEB">
            <w:pPr>
              <w:spacing w:after="0"/>
              <w:jc w:val="center"/>
              <w:rPr>
                <w:rFonts w:eastAsia="SimSun"/>
              </w:rPr>
            </w:pPr>
            <w:r w:rsidRPr="00343D56">
              <w:rPr>
                <w:rFonts w:cs="Arial"/>
                <w:color w:val="000000"/>
                <w:sz w:val="18"/>
                <w:szCs w:val="18"/>
              </w:rPr>
              <w:t>459</w:t>
            </w:r>
          </w:p>
        </w:tc>
        <w:tc>
          <w:tcPr>
            <w:tcW w:w="1222" w:type="dxa"/>
            <w:tcBorders>
              <w:top w:val="nil"/>
              <w:bottom w:val="single" w:sz="4" w:space="0" w:color="auto"/>
            </w:tcBorders>
          </w:tcPr>
          <w:p w14:paraId="728843DE" w14:textId="77777777" w:rsidR="0057284A" w:rsidRPr="00343D56" w:rsidRDefault="0057284A" w:rsidP="00397BEB">
            <w:pPr>
              <w:spacing w:after="0"/>
              <w:jc w:val="center"/>
              <w:rPr>
                <w:rFonts w:cs="Arial"/>
                <w:color w:val="000000"/>
                <w:sz w:val="18"/>
                <w:szCs w:val="18"/>
              </w:rPr>
            </w:pPr>
            <w:r w:rsidRPr="00343D56">
              <w:rPr>
                <w:rFonts w:cs="Arial"/>
                <w:color w:val="000000"/>
                <w:sz w:val="18"/>
                <w:szCs w:val="18"/>
              </w:rPr>
              <w:t>459</w:t>
            </w:r>
          </w:p>
        </w:tc>
        <w:tc>
          <w:tcPr>
            <w:tcW w:w="1222" w:type="dxa"/>
            <w:tcBorders>
              <w:top w:val="nil"/>
              <w:bottom w:val="single" w:sz="4" w:space="0" w:color="auto"/>
            </w:tcBorders>
          </w:tcPr>
          <w:p w14:paraId="39D33E17" w14:textId="610FE0F8" w:rsidR="0057284A" w:rsidRPr="00343D56" w:rsidRDefault="0057284A" w:rsidP="00397BEB">
            <w:pPr>
              <w:spacing w:after="0"/>
              <w:jc w:val="center"/>
              <w:rPr>
                <w:rFonts w:cs="Arial"/>
                <w:color w:val="000000"/>
                <w:sz w:val="18"/>
                <w:szCs w:val="18"/>
              </w:rPr>
            </w:pPr>
            <w:r w:rsidRPr="00343D56">
              <w:rPr>
                <w:rFonts w:cs="Arial"/>
                <w:color w:val="000000"/>
                <w:sz w:val="18"/>
                <w:szCs w:val="18"/>
              </w:rPr>
              <w:t>459</w:t>
            </w:r>
          </w:p>
        </w:tc>
      </w:tr>
      <w:tr w:rsidR="0057284A" w:rsidRPr="00343D56" w14:paraId="2941B70A" w14:textId="79C13022" w:rsidTr="00A954D2">
        <w:trPr>
          <w:trHeight w:val="35"/>
        </w:trPr>
        <w:tc>
          <w:tcPr>
            <w:tcW w:w="911" w:type="dxa"/>
            <w:tcBorders>
              <w:top w:val="single" w:sz="4" w:space="0" w:color="auto"/>
              <w:bottom w:val="single" w:sz="4" w:space="0" w:color="auto"/>
            </w:tcBorders>
            <w:vAlign w:val="center"/>
          </w:tcPr>
          <w:p w14:paraId="5854BC4F" w14:textId="77777777" w:rsidR="0057284A" w:rsidRPr="00343D56" w:rsidRDefault="0057284A" w:rsidP="00397BEB">
            <w:pPr>
              <w:spacing w:after="0"/>
              <w:rPr>
                <w:rFonts w:eastAsia="SimSun"/>
              </w:rPr>
            </w:pPr>
            <w:r w:rsidRPr="002173DF">
              <w:rPr>
                <w:rFonts w:cs="Arial"/>
                <w:color w:val="000000"/>
                <w:sz w:val="18"/>
                <w:szCs w:val="18"/>
              </w:rPr>
              <w:t>Type B</w:t>
            </w:r>
          </w:p>
        </w:tc>
        <w:tc>
          <w:tcPr>
            <w:tcW w:w="1223" w:type="dxa"/>
            <w:tcBorders>
              <w:top w:val="single" w:sz="4" w:space="0" w:color="auto"/>
              <w:bottom w:val="single" w:sz="4" w:space="0" w:color="auto"/>
            </w:tcBorders>
            <w:vAlign w:val="center"/>
          </w:tcPr>
          <w:p w14:paraId="45C909E0" w14:textId="77777777" w:rsidR="0057284A" w:rsidRPr="00343D56" w:rsidRDefault="0057284A" w:rsidP="00397BEB">
            <w:pPr>
              <w:spacing w:after="0"/>
              <w:jc w:val="center"/>
              <w:rPr>
                <w:rFonts w:eastAsia="SimSun"/>
              </w:rPr>
            </w:pPr>
            <w:r w:rsidRPr="00343D56">
              <w:rPr>
                <w:rFonts w:cs="Arial"/>
                <w:color w:val="000000"/>
                <w:sz w:val="18"/>
                <w:szCs w:val="18"/>
              </w:rPr>
              <w:t>20,000</w:t>
            </w:r>
          </w:p>
        </w:tc>
        <w:tc>
          <w:tcPr>
            <w:tcW w:w="1222" w:type="dxa"/>
            <w:tcBorders>
              <w:top w:val="single" w:sz="4" w:space="0" w:color="auto"/>
              <w:bottom w:val="single" w:sz="4" w:space="0" w:color="auto"/>
            </w:tcBorders>
          </w:tcPr>
          <w:p w14:paraId="1B8F7312" w14:textId="37D1F259" w:rsidR="0057284A" w:rsidRPr="00343D56" w:rsidRDefault="0057284A" w:rsidP="00397BEB">
            <w:pPr>
              <w:spacing w:after="0"/>
              <w:jc w:val="center"/>
              <w:rPr>
                <w:rFonts w:cs="Arial"/>
                <w:color w:val="000000"/>
                <w:sz w:val="18"/>
                <w:szCs w:val="18"/>
              </w:rPr>
            </w:pPr>
            <w:r w:rsidRPr="00F34A23">
              <w:rPr>
                <w:rFonts w:cs="Arial"/>
                <w:color w:val="000000"/>
                <w:sz w:val="18"/>
                <w:szCs w:val="18"/>
              </w:rPr>
              <w:t>633</w:t>
            </w:r>
          </w:p>
        </w:tc>
        <w:tc>
          <w:tcPr>
            <w:tcW w:w="1069" w:type="dxa"/>
            <w:tcBorders>
              <w:top w:val="single" w:sz="4" w:space="0" w:color="auto"/>
              <w:bottom w:val="single" w:sz="4" w:space="0" w:color="auto"/>
            </w:tcBorders>
            <w:vAlign w:val="center"/>
          </w:tcPr>
          <w:p w14:paraId="591BC10B" w14:textId="0A91EF21" w:rsidR="0057284A" w:rsidRPr="00343D56" w:rsidRDefault="0057284A" w:rsidP="00397BEB">
            <w:pPr>
              <w:spacing w:after="0"/>
              <w:jc w:val="center"/>
              <w:rPr>
                <w:rFonts w:eastAsia="SimSun"/>
              </w:rPr>
            </w:pPr>
            <w:r w:rsidRPr="00343D56">
              <w:rPr>
                <w:rFonts w:cs="Arial"/>
                <w:color w:val="000000"/>
                <w:sz w:val="18"/>
                <w:szCs w:val="18"/>
              </w:rPr>
              <w:t>667</w:t>
            </w:r>
          </w:p>
        </w:tc>
        <w:tc>
          <w:tcPr>
            <w:tcW w:w="1222" w:type="dxa"/>
            <w:tcBorders>
              <w:top w:val="single" w:sz="4" w:space="0" w:color="auto"/>
              <w:bottom w:val="single" w:sz="4" w:space="0" w:color="auto"/>
            </w:tcBorders>
            <w:vAlign w:val="center"/>
          </w:tcPr>
          <w:p w14:paraId="18C99E1D" w14:textId="2B0A278F" w:rsidR="0057284A" w:rsidRPr="00343D56" w:rsidRDefault="0057284A" w:rsidP="00397BEB">
            <w:pPr>
              <w:spacing w:after="0"/>
              <w:jc w:val="center"/>
              <w:rPr>
                <w:rFonts w:eastAsia="SimSun"/>
              </w:rPr>
            </w:pPr>
            <w:r w:rsidRPr="00343D56">
              <w:rPr>
                <w:rFonts w:cs="Arial"/>
                <w:color w:val="000000"/>
                <w:sz w:val="18"/>
                <w:szCs w:val="18"/>
              </w:rPr>
              <w:t>507</w:t>
            </w:r>
          </w:p>
        </w:tc>
        <w:tc>
          <w:tcPr>
            <w:tcW w:w="1222" w:type="dxa"/>
            <w:tcBorders>
              <w:top w:val="single" w:sz="4" w:space="0" w:color="auto"/>
              <w:bottom w:val="single" w:sz="4" w:space="0" w:color="auto"/>
            </w:tcBorders>
          </w:tcPr>
          <w:p w14:paraId="09C36D38" w14:textId="77777777" w:rsidR="0057284A" w:rsidRPr="00343D56" w:rsidRDefault="0057284A" w:rsidP="00397BEB">
            <w:pPr>
              <w:spacing w:after="0"/>
              <w:jc w:val="center"/>
              <w:rPr>
                <w:rFonts w:cs="Arial"/>
                <w:color w:val="000000"/>
                <w:sz w:val="18"/>
                <w:szCs w:val="18"/>
              </w:rPr>
            </w:pPr>
            <w:r w:rsidRPr="00343D56">
              <w:rPr>
                <w:rFonts w:cs="Arial"/>
                <w:color w:val="000000"/>
                <w:sz w:val="18"/>
                <w:szCs w:val="18"/>
              </w:rPr>
              <w:t>406</w:t>
            </w:r>
          </w:p>
        </w:tc>
        <w:tc>
          <w:tcPr>
            <w:tcW w:w="1222" w:type="dxa"/>
            <w:tcBorders>
              <w:top w:val="single" w:sz="4" w:space="0" w:color="auto"/>
              <w:bottom w:val="single" w:sz="4" w:space="0" w:color="auto"/>
            </w:tcBorders>
          </w:tcPr>
          <w:p w14:paraId="03608603" w14:textId="2B7ABEF0" w:rsidR="0057284A" w:rsidRPr="00343D56" w:rsidRDefault="000E4EAE" w:rsidP="00397BEB">
            <w:pPr>
              <w:spacing w:after="0"/>
              <w:jc w:val="center"/>
              <w:rPr>
                <w:rFonts w:cs="Arial"/>
                <w:color w:val="000000"/>
                <w:sz w:val="18"/>
                <w:szCs w:val="18"/>
              </w:rPr>
            </w:pPr>
            <w:r>
              <w:rPr>
                <w:rFonts w:cs="Arial"/>
                <w:color w:val="000000"/>
                <w:sz w:val="18"/>
                <w:szCs w:val="18"/>
              </w:rPr>
              <w:t>326</w:t>
            </w:r>
          </w:p>
        </w:tc>
      </w:tr>
      <w:tr w:rsidR="0057284A" w:rsidRPr="00343D56" w14:paraId="2F4594E0" w14:textId="440B69F4" w:rsidTr="00A954D2">
        <w:trPr>
          <w:trHeight w:val="35"/>
        </w:trPr>
        <w:tc>
          <w:tcPr>
            <w:tcW w:w="911" w:type="dxa"/>
            <w:tcBorders>
              <w:top w:val="single" w:sz="4" w:space="0" w:color="auto"/>
              <w:bottom w:val="single" w:sz="4" w:space="0" w:color="auto"/>
            </w:tcBorders>
            <w:vAlign w:val="center"/>
          </w:tcPr>
          <w:p w14:paraId="5917CF3A" w14:textId="77777777" w:rsidR="0057284A" w:rsidRPr="00343D56" w:rsidRDefault="0057284A" w:rsidP="00397BEB">
            <w:pPr>
              <w:spacing w:after="0"/>
              <w:rPr>
                <w:rFonts w:eastAsia="SimSun"/>
              </w:rPr>
            </w:pPr>
            <w:r w:rsidRPr="002173DF">
              <w:rPr>
                <w:rFonts w:cs="Arial"/>
                <w:color w:val="000000"/>
                <w:sz w:val="18"/>
                <w:szCs w:val="18"/>
              </w:rPr>
              <w:t>Type C</w:t>
            </w:r>
          </w:p>
        </w:tc>
        <w:tc>
          <w:tcPr>
            <w:tcW w:w="1223" w:type="dxa"/>
            <w:tcBorders>
              <w:top w:val="single" w:sz="4" w:space="0" w:color="auto"/>
              <w:bottom w:val="single" w:sz="4" w:space="0" w:color="auto"/>
            </w:tcBorders>
            <w:vAlign w:val="center"/>
          </w:tcPr>
          <w:p w14:paraId="0175C0B0" w14:textId="77777777" w:rsidR="0057284A" w:rsidRPr="00343D56" w:rsidRDefault="0057284A" w:rsidP="00397BEB">
            <w:pPr>
              <w:spacing w:after="0"/>
              <w:jc w:val="center"/>
              <w:rPr>
                <w:rFonts w:eastAsia="SimSun"/>
              </w:rPr>
            </w:pPr>
            <w:r w:rsidRPr="00343D56">
              <w:rPr>
                <w:rFonts w:cs="Arial"/>
                <w:color w:val="000000"/>
                <w:sz w:val="18"/>
                <w:szCs w:val="18"/>
              </w:rPr>
              <w:t>100,000</w:t>
            </w:r>
          </w:p>
        </w:tc>
        <w:tc>
          <w:tcPr>
            <w:tcW w:w="1222" w:type="dxa"/>
            <w:tcBorders>
              <w:top w:val="single" w:sz="4" w:space="0" w:color="auto"/>
              <w:bottom w:val="single" w:sz="4" w:space="0" w:color="auto"/>
            </w:tcBorders>
          </w:tcPr>
          <w:p w14:paraId="1565352F" w14:textId="39181192" w:rsidR="0057284A" w:rsidRPr="00343D56" w:rsidRDefault="0057284A" w:rsidP="00397BEB">
            <w:pPr>
              <w:spacing w:after="0"/>
              <w:jc w:val="center"/>
              <w:rPr>
                <w:rFonts w:cs="Arial"/>
                <w:color w:val="000000"/>
                <w:sz w:val="18"/>
                <w:szCs w:val="18"/>
              </w:rPr>
            </w:pPr>
            <w:r w:rsidRPr="00F34A23">
              <w:rPr>
                <w:rFonts w:cs="Arial"/>
                <w:color w:val="000000"/>
                <w:sz w:val="18"/>
                <w:szCs w:val="18"/>
              </w:rPr>
              <w:t>706</w:t>
            </w:r>
          </w:p>
        </w:tc>
        <w:tc>
          <w:tcPr>
            <w:tcW w:w="1069" w:type="dxa"/>
            <w:tcBorders>
              <w:top w:val="single" w:sz="4" w:space="0" w:color="auto"/>
              <w:bottom w:val="single" w:sz="4" w:space="0" w:color="auto"/>
            </w:tcBorders>
            <w:vAlign w:val="center"/>
          </w:tcPr>
          <w:p w14:paraId="317575B9" w14:textId="693E4836" w:rsidR="0057284A" w:rsidRPr="00343D56" w:rsidRDefault="0057284A" w:rsidP="00397BEB">
            <w:pPr>
              <w:spacing w:after="0"/>
              <w:jc w:val="center"/>
              <w:rPr>
                <w:rFonts w:eastAsia="SimSun"/>
              </w:rPr>
            </w:pPr>
            <w:r w:rsidRPr="00343D56">
              <w:rPr>
                <w:rFonts w:cs="Arial"/>
                <w:color w:val="000000"/>
                <w:sz w:val="18"/>
                <w:szCs w:val="18"/>
              </w:rPr>
              <w:t>630</w:t>
            </w:r>
          </w:p>
        </w:tc>
        <w:tc>
          <w:tcPr>
            <w:tcW w:w="1222" w:type="dxa"/>
            <w:tcBorders>
              <w:top w:val="single" w:sz="4" w:space="0" w:color="auto"/>
              <w:bottom w:val="single" w:sz="4" w:space="0" w:color="auto"/>
            </w:tcBorders>
            <w:vAlign w:val="center"/>
          </w:tcPr>
          <w:p w14:paraId="02320B6F" w14:textId="6C464B15" w:rsidR="0057284A" w:rsidRPr="00343D56" w:rsidRDefault="0057284A" w:rsidP="00397BEB">
            <w:pPr>
              <w:spacing w:after="0"/>
              <w:jc w:val="center"/>
              <w:rPr>
                <w:rFonts w:eastAsia="SimSun"/>
              </w:rPr>
            </w:pPr>
            <w:r w:rsidRPr="00343D56">
              <w:rPr>
                <w:rFonts w:cs="Arial"/>
                <w:color w:val="000000"/>
                <w:sz w:val="18"/>
                <w:szCs w:val="18"/>
              </w:rPr>
              <w:t>565</w:t>
            </w:r>
          </w:p>
        </w:tc>
        <w:tc>
          <w:tcPr>
            <w:tcW w:w="1222" w:type="dxa"/>
            <w:tcBorders>
              <w:top w:val="single" w:sz="4" w:space="0" w:color="auto"/>
              <w:bottom w:val="single" w:sz="4" w:space="0" w:color="auto"/>
            </w:tcBorders>
          </w:tcPr>
          <w:p w14:paraId="54ED50E7" w14:textId="77777777" w:rsidR="0057284A" w:rsidRPr="00343D56" w:rsidRDefault="0057284A" w:rsidP="00397BEB">
            <w:pPr>
              <w:spacing w:after="0"/>
              <w:jc w:val="center"/>
              <w:rPr>
                <w:rFonts w:cs="Arial"/>
                <w:color w:val="000000"/>
                <w:sz w:val="18"/>
                <w:szCs w:val="18"/>
              </w:rPr>
            </w:pPr>
            <w:r w:rsidRPr="00343D56">
              <w:rPr>
                <w:rFonts w:cs="Arial"/>
                <w:color w:val="000000"/>
                <w:sz w:val="18"/>
                <w:szCs w:val="18"/>
              </w:rPr>
              <w:t>543</w:t>
            </w:r>
          </w:p>
        </w:tc>
        <w:tc>
          <w:tcPr>
            <w:tcW w:w="1222" w:type="dxa"/>
            <w:tcBorders>
              <w:top w:val="single" w:sz="4" w:space="0" w:color="auto"/>
              <w:bottom w:val="single" w:sz="4" w:space="0" w:color="auto"/>
            </w:tcBorders>
          </w:tcPr>
          <w:p w14:paraId="04EC9960" w14:textId="1EFBD887" w:rsidR="0057284A" w:rsidRPr="00343D56" w:rsidRDefault="00627304" w:rsidP="00397BEB">
            <w:pPr>
              <w:spacing w:after="0"/>
              <w:jc w:val="center"/>
              <w:rPr>
                <w:rFonts w:cs="Arial"/>
                <w:color w:val="000000"/>
                <w:sz w:val="18"/>
                <w:szCs w:val="18"/>
              </w:rPr>
            </w:pPr>
            <w:r>
              <w:rPr>
                <w:rFonts w:cs="Arial"/>
                <w:color w:val="000000"/>
                <w:sz w:val="18"/>
                <w:szCs w:val="18"/>
              </w:rPr>
              <w:t>363</w:t>
            </w:r>
          </w:p>
        </w:tc>
      </w:tr>
      <w:tr w:rsidR="0057284A" w:rsidRPr="00343D56" w14:paraId="1F2B2989" w14:textId="29929D04" w:rsidTr="00A954D2">
        <w:trPr>
          <w:trHeight w:val="35"/>
        </w:trPr>
        <w:tc>
          <w:tcPr>
            <w:tcW w:w="911" w:type="dxa"/>
            <w:tcBorders>
              <w:top w:val="single" w:sz="4" w:space="0" w:color="auto"/>
              <w:bottom w:val="single" w:sz="4" w:space="0" w:color="auto"/>
            </w:tcBorders>
            <w:vAlign w:val="center"/>
          </w:tcPr>
          <w:p w14:paraId="1B6D0F86" w14:textId="77777777" w:rsidR="0057284A" w:rsidRPr="00343D56" w:rsidRDefault="0057284A" w:rsidP="00397BEB">
            <w:pPr>
              <w:spacing w:after="0"/>
              <w:rPr>
                <w:rFonts w:eastAsia="SimSun"/>
              </w:rPr>
            </w:pPr>
            <w:r w:rsidRPr="002173DF">
              <w:rPr>
                <w:rFonts w:cs="Arial"/>
                <w:color w:val="000000"/>
                <w:sz w:val="18"/>
                <w:szCs w:val="18"/>
              </w:rPr>
              <w:t>Type D</w:t>
            </w:r>
          </w:p>
        </w:tc>
        <w:tc>
          <w:tcPr>
            <w:tcW w:w="1223" w:type="dxa"/>
            <w:tcBorders>
              <w:top w:val="single" w:sz="4" w:space="0" w:color="auto"/>
              <w:bottom w:val="single" w:sz="4" w:space="0" w:color="auto"/>
            </w:tcBorders>
            <w:vAlign w:val="center"/>
          </w:tcPr>
          <w:p w14:paraId="41F9395B" w14:textId="77777777" w:rsidR="0057284A" w:rsidRPr="00343D56" w:rsidRDefault="0057284A" w:rsidP="00397BEB">
            <w:pPr>
              <w:spacing w:after="0"/>
              <w:jc w:val="center"/>
              <w:rPr>
                <w:rFonts w:eastAsia="SimSun"/>
              </w:rPr>
            </w:pPr>
            <w:r w:rsidRPr="00343D56">
              <w:rPr>
                <w:rFonts w:cs="Arial"/>
                <w:color w:val="000000"/>
                <w:sz w:val="18"/>
                <w:szCs w:val="18"/>
              </w:rPr>
              <w:t>1,000,000</w:t>
            </w:r>
          </w:p>
        </w:tc>
        <w:tc>
          <w:tcPr>
            <w:tcW w:w="1222" w:type="dxa"/>
            <w:tcBorders>
              <w:top w:val="single" w:sz="4" w:space="0" w:color="auto"/>
              <w:bottom w:val="single" w:sz="4" w:space="0" w:color="auto"/>
            </w:tcBorders>
          </w:tcPr>
          <w:p w14:paraId="6F10F648" w14:textId="639B8E46" w:rsidR="0057284A" w:rsidRPr="00343D56" w:rsidRDefault="0057284A" w:rsidP="00397BEB">
            <w:pPr>
              <w:spacing w:after="0"/>
              <w:jc w:val="center"/>
              <w:rPr>
                <w:rFonts w:cs="Arial"/>
                <w:color w:val="000000"/>
                <w:sz w:val="18"/>
                <w:szCs w:val="18"/>
              </w:rPr>
            </w:pPr>
            <w:r w:rsidRPr="00F34A23">
              <w:rPr>
                <w:rFonts w:cs="Arial"/>
                <w:color w:val="000000"/>
                <w:sz w:val="18"/>
                <w:szCs w:val="18"/>
              </w:rPr>
              <w:t>248</w:t>
            </w:r>
          </w:p>
        </w:tc>
        <w:tc>
          <w:tcPr>
            <w:tcW w:w="1069" w:type="dxa"/>
            <w:tcBorders>
              <w:top w:val="single" w:sz="4" w:space="0" w:color="auto"/>
              <w:bottom w:val="single" w:sz="4" w:space="0" w:color="auto"/>
            </w:tcBorders>
            <w:vAlign w:val="center"/>
          </w:tcPr>
          <w:p w14:paraId="5D86817F" w14:textId="66B5FF53" w:rsidR="0057284A" w:rsidRPr="00343D56" w:rsidRDefault="0057284A" w:rsidP="00397BEB">
            <w:pPr>
              <w:spacing w:after="0"/>
              <w:jc w:val="center"/>
              <w:rPr>
                <w:rFonts w:eastAsia="SimSun"/>
              </w:rPr>
            </w:pPr>
            <w:r w:rsidRPr="00343D56">
              <w:rPr>
                <w:rFonts w:cs="Arial"/>
                <w:color w:val="000000"/>
                <w:sz w:val="18"/>
                <w:szCs w:val="18"/>
              </w:rPr>
              <w:t>246</w:t>
            </w:r>
          </w:p>
        </w:tc>
        <w:tc>
          <w:tcPr>
            <w:tcW w:w="1222" w:type="dxa"/>
            <w:tcBorders>
              <w:top w:val="single" w:sz="4" w:space="0" w:color="auto"/>
              <w:bottom w:val="single" w:sz="4" w:space="0" w:color="auto"/>
            </w:tcBorders>
            <w:vAlign w:val="center"/>
          </w:tcPr>
          <w:p w14:paraId="0C22D349" w14:textId="328577A6" w:rsidR="0057284A" w:rsidRPr="00343D56" w:rsidRDefault="0057284A" w:rsidP="00397BEB">
            <w:pPr>
              <w:spacing w:after="0"/>
              <w:jc w:val="center"/>
              <w:rPr>
                <w:rFonts w:eastAsia="SimSun"/>
              </w:rPr>
            </w:pPr>
            <w:r w:rsidRPr="00343D56">
              <w:rPr>
                <w:rFonts w:cs="Arial"/>
                <w:color w:val="000000"/>
                <w:sz w:val="18"/>
                <w:szCs w:val="18"/>
              </w:rPr>
              <w:t>248</w:t>
            </w:r>
          </w:p>
        </w:tc>
        <w:tc>
          <w:tcPr>
            <w:tcW w:w="1222" w:type="dxa"/>
            <w:tcBorders>
              <w:top w:val="single" w:sz="4" w:space="0" w:color="auto"/>
              <w:bottom w:val="single" w:sz="4" w:space="0" w:color="auto"/>
            </w:tcBorders>
          </w:tcPr>
          <w:p w14:paraId="2F104B72" w14:textId="77777777" w:rsidR="0057284A" w:rsidRPr="00343D56" w:rsidRDefault="0057284A" w:rsidP="00397BEB">
            <w:pPr>
              <w:spacing w:after="0"/>
              <w:jc w:val="center"/>
              <w:rPr>
                <w:rFonts w:cs="Arial"/>
                <w:color w:val="000000"/>
                <w:sz w:val="18"/>
                <w:szCs w:val="18"/>
              </w:rPr>
            </w:pPr>
            <w:r w:rsidRPr="00343D56">
              <w:rPr>
                <w:rFonts w:cs="Arial"/>
                <w:color w:val="000000"/>
                <w:sz w:val="18"/>
                <w:szCs w:val="18"/>
              </w:rPr>
              <w:t>248</w:t>
            </w:r>
          </w:p>
        </w:tc>
        <w:tc>
          <w:tcPr>
            <w:tcW w:w="1222" w:type="dxa"/>
            <w:tcBorders>
              <w:top w:val="single" w:sz="4" w:space="0" w:color="auto"/>
              <w:bottom w:val="single" w:sz="4" w:space="0" w:color="auto"/>
            </w:tcBorders>
          </w:tcPr>
          <w:p w14:paraId="789E7BC4" w14:textId="7B96B112" w:rsidR="0057284A" w:rsidRPr="00343D56" w:rsidRDefault="0057284A" w:rsidP="00397BEB">
            <w:pPr>
              <w:spacing w:after="0"/>
              <w:jc w:val="center"/>
              <w:rPr>
                <w:rFonts w:cs="Arial"/>
                <w:color w:val="000000"/>
                <w:sz w:val="18"/>
                <w:szCs w:val="18"/>
              </w:rPr>
            </w:pPr>
            <w:r w:rsidRPr="00343D56">
              <w:rPr>
                <w:rFonts w:cs="Arial"/>
                <w:color w:val="000000"/>
                <w:sz w:val="18"/>
                <w:szCs w:val="18"/>
              </w:rPr>
              <w:t>248</w:t>
            </w:r>
          </w:p>
        </w:tc>
      </w:tr>
      <w:tr w:rsidR="0057284A" w:rsidRPr="00343D56" w14:paraId="5D1E3076" w14:textId="3B0F9D9A" w:rsidTr="00A954D2">
        <w:trPr>
          <w:trHeight w:val="35"/>
        </w:trPr>
        <w:tc>
          <w:tcPr>
            <w:tcW w:w="911" w:type="dxa"/>
            <w:tcBorders>
              <w:top w:val="single" w:sz="4" w:space="0" w:color="auto"/>
              <w:bottom w:val="single" w:sz="4" w:space="0" w:color="auto"/>
            </w:tcBorders>
            <w:vAlign w:val="center"/>
          </w:tcPr>
          <w:p w14:paraId="55E52D6E" w14:textId="77777777" w:rsidR="0057284A" w:rsidRPr="00343D56" w:rsidRDefault="0057284A" w:rsidP="00397BEB">
            <w:pPr>
              <w:spacing w:after="0"/>
              <w:rPr>
                <w:rFonts w:eastAsia="SimSun"/>
              </w:rPr>
            </w:pPr>
            <w:r w:rsidRPr="002173DF">
              <w:rPr>
                <w:rFonts w:cs="Arial"/>
                <w:color w:val="000000"/>
                <w:sz w:val="18"/>
                <w:szCs w:val="18"/>
              </w:rPr>
              <w:t>Type E</w:t>
            </w:r>
          </w:p>
        </w:tc>
        <w:tc>
          <w:tcPr>
            <w:tcW w:w="1223" w:type="dxa"/>
            <w:tcBorders>
              <w:top w:val="single" w:sz="4" w:space="0" w:color="auto"/>
              <w:bottom w:val="single" w:sz="4" w:space="0" w:color="auto"/>
            </w:tcBorders>
            <w:vAlign w:val="center"/>
          </w:tcPr>
          <w:p w14:paraId="540CCBCC" w14:textId="77777777" w:rsidR="0057284A" w:rsidRPr="00343D56" w:rsidRDefault="0057284A" w:rsidP="00397BEB">
            <w:pPr>
              <w:spacing w:after="0"/>
              <w:jc w:val="center"/>
              <w:rPr>
                <w:rFonts w:eastAsia="SimSun"/>
              </w:rPr>
            </w:pPr>
            <w:r w:rsidRPr="00343D56">
              <w:rPr>
                <w:rFonts w:cs="Arial"/>
                <w:color w:val="000000"/>
                <w:sz w:val="18"/>
                <w:szCs w:val="18"/>
              </w:rPr>
              <w:t>10,000,000</w:t>
            </w:r>
          </w:p>
        </w:tc>
        <w:tc>
          <w:tcPr>
            <w:tcW w:w="1222" w:type="dxa"/>
            <w:tcBorders>
              <w:top w:val="single" w:sz="4" w:space="0" w:color="auto"/>
              <w:bottom w:val="single" w:sz="4" w:space="0" w:color="auto"/>
            </w:tcBorders>
          </w:tcPr>
          <w:p w14:paraId="3AB370E5" w14:textId="6B31A22E" w:rsidR="0057284A" w:rsidRPr="00343D56" w:rsidRDefault="0057284A" w:rsidP="00397BEB">
            <w:pPr>
              <w:spacing w:after="0"/>
              <w:jc w:val="center"/>
              <w:rPr>
                <w:rFonts w:cs="Arial"/>
                <w:color w:val="000000"/>
                <w:sz w:val="18"/>
                <w:szCs w:val="18"/>
              </w:rPr>
            </w:pPr>
            <w:r w:rsidRPr="00F34A23">
              <w:rPr>
                <w:rFonts w:cs="Arial"/>
                <w:color w:val="000000"/>
                <w:sz w:val="18"/>
                <w:szCs w:val="18"/>
              </w:rPr>
              <w:t>3</w:t>
            </w:r>
          </w:p>
        </w:tc>
        <w:tc>
          <w:tcPr>
            <w:tcW w:w="1069" w:type="dxa"/>
            <w:tcBorders>
              <w:top w:val="single" w:sz="4" w:space="0" w:color="auto"/>
              <w:bottom w:val="single" w:sz="4" w:space="0" w:color="auto"/>
            </w:tcBorders>
            <w:vAlign w:val="center"/>
          </w:tcPr>
          <w:p w14:paraId="564912DD" w14:textId="78C50DE8" w:rsidR="0057284A" w:rsidRPr="00343D56" w:rsidRDefault="0057284A" w:rsidP="00397BEB">
            <w:pPr>
              <w:spacing w:after="0"/>
              <w:jc w:val="center"/>
              <w:rPr>
                <w:rFonts w:eastAsia="SimSun"/>
              </w:rPr>
            </w:pPr>
            <w:r w:rsidRPr="00343D56">
              <w:rPr>
                <w:rFonts w:cs="Arial"/>
                <w:color w:val="000000"/>
                <w:sz w:val="18"/>
                <w:szCs w:val="18"/>
              </w:rPr>
              <w:t>5</w:t>
            </w:r>
          </w:p>
        </w:tc>
        <w:tc>
          <w:tcPr>
            <w:tcW w:w="1222" w:type="dxa"/>
            <w:tcBorders>
              <w:top w:val="single" w:sz="4" w:space="0" w:color="auto"/>
              <w:bottom w:val="single" w:sz="4" w:space="0" w:color="auto"/>
            </w:tcBorders>
            <w:vAlign w:val="center"/>
          </w:tcPr>
          <w:p w14:paraId="4C657995" w14:textId="0AF7A16C" w:rsidR="0057284A" w:rsidRPr="00343D56" w:rsidRDefault="0057284A" w:rsidP="00397BEB">
            <w:pPr>
              <w:spacing w:after="0"/>
              <w:jc w:val="center"/>
              <w:rPr>
                <w:rFonts w:eastAsia="SimSun"/>
              </w:rPr>
            </w:pPr>
            <w:r w:rsidRPr="00343D56">
              <w:rPr>
                <w:rFonts w:cs="Arial"/>
                <w:color w:val="000000"/>
                <w:sz w:val="18"/>
                <w:szCs w:val="18"/>
              </w:rPr>
              <w:t>2</w:t>
            </w:r>
          </w:p>
        </w:tc>
        <w:tc>
          <w:tcPr>
            <w:tcW w:w="1222" w:type="dxa"/>
            <w:tcBorders>
              <w:top w:val="single" w:sz="4" w:space="0" w:color="auto"/>
              <w:bottom w:val="single" w:sz="4" w:space="0" w:color="auto"/>
            </w:tcBorders>
          </w:tcPr>
          <w:p w14:paraId="6BF6260A" w14:textId="77777777" w:rsidR="0057284A" w:rsidRPr="00343D56" w:rsidRDefault="0057284A" w:rsidP="00397BEB">
            <w:pPr>
              <w:spacing w:after="0"/>
              <w:jc w:val="center"/>
              <w:rPr>
                <w:rFonts w:cs="Arial"/>
                <w:color w:val="000000"/>
                <w:sz w:val="18"/>
                <w:szCs w:val="18"/>
              </w:rPr>
            </w:pPr>
            <w:r w:rsidRPr="00343D56">
              <w:rPr>
                <w:rFonts w:cs="Arial"/>
                <w:color w:val="000000"/>
                <w:sz w:val="18"/>
                <w:szCs w:val="18"/>
              </w:rPr>
              <w:t>2</w:t>
            </w:r>
          </w:p>
        </w:tc>
        <w:tc>
          <w:tcPr>
            <w:tcW w:w="1222" w:type="dxa"/>
            <w:tcBorders>
              <w:top w:val="single" w:sz="4" w:space="0" w:color="auto"/>
              <w:bottom w:val="single" w:sz="4" w:space="0" w:color="auto"/>
            </w:tcBorders>
          </w:tcPr>
          <w:p w14:paraId="611DEF97" w14:textId="5F1408F5" w:rsidR="0057284A" w:rsidRPr="00343D56" w:rsidRDefault="0057284A" w:rsidP="00397BEB">
            <w:pPr>
              <w:spacing w:after="0"/>
              <w:jc w:val="center"/>
              <w:rPr>
                <w:rFonts w:cs="Arial"/>
                <w:color w:val="000000"/>
                <w:sz w:val="18"/>
                <w:szCs w:val="18"/>
              </w:rPr>
            </w:pPr>
            <w:r w:rsidRPr="00343D56">
              <w:rPr>
                <w:rFonts w:cs="Arial"/>
                <w:color w:val="000000"/>
                <w:sz w:val="18"/>
                <w:szCs w:val="18"/>
              </w:rPr>
              <w:t>1</w:t>
            </w:r>
          </w:p>
        </w:tc>
      </w:tr>
      <w:tr w:rsidR="0057284A" w:rsidRPr="00343D56" w14:paraId="329F319B" w14:textId="681D002F" w:rsidTr="00A954D2">
        <w:trPr>
          <w:trHeight w:val="35"/>
        </w:trPr>
        <w:tc>
          <w:tcPr>
            <w:tcW w:w="911" w:type="dxa"/>
            <w:tcBorders>
              <w:top w:val="single" w:sz="4" w:space="0" w:color="auto"/>
              <w:bottom w:val="single" w:sz="4" w:space="0" w:color="auto"/>
            </w:tcBorders>
            <w:vAlign w:val="center"/>
          </w:tcPr>
          <w:p w14:paraId="6A360F2F" w14:textId="77777777" w:rsidR="0057284A" w:rsidRPr="00343D56" w:rsidRDefault="0057284A" w:rsidP="00397BEB">
            <w:pPr>
              <w:spacing w:after="0"/>
              <w:rPr>
                <w:rFonts w:eastAsia="SimSun"/>
              </w:rPr>
            </w:pPr>
            <w:r w:rsidRPr="002173DF">
              <w:rPr>
                <w:rFonts w:cs="Arial"/>
                <w:color w:val="000000"/>
                <w:sz w:val="18"/>
                <w:szCs w:val="18"/>
              </w:rPr>
              <w:t>Type F</w:t>
            </w:r>
          </w:p>
        </w:tc>
        <w:tc>
          <w:tcPr>
            <w:tcW w:w="1223" w:type="dxa"/>
            <w:tcBorders>
              <w:top w:val="single" w:sz="4" w:space="0" w:color="auto"/>
              <w:bottom w:val="single" w:sz="4" w:space="0" w:color="auto"/>
            </w:tcBorders>
            <w:vAlign w:val="center"/>
          </w:tcPr>
          <w:p w14:paraId="36F162A1" w14:textId="77777777" w:rsidR="0057284A" w:rsidRPr="00343D56" w:rsidRDefault="0057284A" w:rsidP="00397BEB">
            <w:pPr>
              <w:spacing w:after="0"/>
              <w:jc w:val="center"/>
              <w:rPr>
                <w:rFonts w:eastAsia="SimSun"/>
              </w:rPr>
            </w:pPr>
            <w:r w:rsidRPr="00343D56">
              <w:rPr>
                <w:rFonts w:cs="Arial"/>
                <w:color w:val="000000"/>
                <w:sz w:val="18"/>
                <w:szCs w:val="18"/>
              </w:rPr>
              <w:t>20,000,000</w:t>
            </w:r>
          </w:p>
        </w:tc>
        <w:tc>
          <w:tcPr>
            <w:tcW w:w="1222" w:type="dxa"/>
            <w:tcBorders>
              <w:top w:val="single" w:sz="4" w:space="0" w:color="auto"/>
              <w:bottom w:val="single" w:sz="4" w:space="0" w:color="auto"/>
            </w:tcBorders>
          </w:tcPr>
          <w:p w14:paraId="1DB8017A" w14:textId="108C3780" w:rsidR="0057284A" w:rsidRPr="00343D56" w:rsidRDefault="0057284A" w:rsidP="00397BEB">
            <w:pPr>
              <w:spacing w:after="0"/>
              <w:jc w:val="center"/>
              <w:rPr>
                <w:rFonts w:cs="Arial"/>
                <w:color w:val="000000"/>
                <w:sz w:val="18"/>
                <w:szCs w:val="18"/>
              </w:rPr>
            </w:pPr>
            <w:r w:rsidRPr="00F34A23">
              <w:rPr>
                <w:rFonts w:cs="Arial"/>
                <w:color w:val="000000"/>
                <w:sz w:val="18"/>
                <w:szCs w:val="18"/>
              </w:rPr>
              <w:t>-</w:t>
            </w:r>
          </w:p>
        </w:tc>
        <w:tc>
          <w:tcPr>
            <w:tcW w:w="1069" w:type="dxa"/>
            <w:tcBorders>
              <w:top w:val="single" w:sz="4" w:space="0" w:color="auto"/>
              <w:bottom w:val="single" w:sz="4" w:space="0" w:color="auto"/>
            </w:tcBorders>
            <w:vAlign w:val="center"/>
          </w:tcPr>
          <w:p w14:paraId="2BD48881" w14:textId="10FEE586" w:rsidR="0057284A" w:rsidRPr="00343D56" w:rsidRDefault="0057284A" w:rsidP="00397BEB">
            <w:pPr>
              <w:spacing w:after="0"/>
              <w:jc w:val="center"/>
              <w:rPr>
                <w:rFonts w:eastAsia="SimSun"/>
              </w:rPr>
            </w:pPr>
            <w:r w:rsidRPr="00343D56">
              <w:rPr>
                <w:rFonts w:cs="Arial"/>
                <w:color w:val="000000"/>
                <w:sz w:val="18"/>
                <w:szCs w:val="18"/>
              </w:rPr>
              <w:t>–</w:t>
            </w:r>
          </w:p>
        </w:tc>
        <w:tc>
          <w:tcPr>
            <w:tcW w:w="1222" w:type="dxa"/>
            <w:tcBorders>
              <w:top w:val="single" w:sz="4" w:space="0" w:color="auto"/>
              <w:bottom w:val="single" w:sz="4" w:space="0" w:color="auto"/>
            </w:tcBorders>
            <w:vAlign w:val="center"/>
          </w:tcPr>
          <w:p w14:paraId="13859043" w14:textId="4D4B65F8" w:rsidR="0057284A" w:rsidRPr="00343D56" w:rsidRDefault="0057284A" w:rsidP="00397BEB">
            <w:pPr>
              <w:spacing w:after="0"/>
              <w:jc w:val="center"/>
              <w:rPr>
                <w:rFonts w:eastAsia="SimSun"/>
              </w:rPr>
            </w:pPr>
            <w:r w:rsidRPr="00343D56">
              <w:rPr>
                <w:rFonts w:cs="Arial"/>
                <w:color w:val="000000"/>
                <w:sz w:val="18"/>
                <w:szCs w:val="18"/>
              </w:rPr>
              <w:t>–</w:t>
            </w:r>
          </w:p>
        </w:tc>
        <w:tc>
          <w:tcPr>
            <w:tcW w:w="1222" w:type="dxa"/>
            <w:tcBorders>
              <w:top w:val="single" w:sz="4" w:space="0" w:color="auto"/>
              <w:bottom w:val="single" w:sz="4" w:space="0" w:color="auto"/>
            </w:tcBorders>
          </w:tcPr>
          <w:p w14:paraId="05FC1430" w14:textId="77777777" w:rsidR="0057284A" w:rsidRPr="00343D56" w:rsidRDefault="0057284A" w:rsidP="00397BEB">
            <w:pPr>
              <w:spacing w:after="0"/>
              <w:jc w:val="center"/>
              <w:rPr>
                <w:rFonts w:cs="Arial"/>
                <w:color w:val="000000"/>
                <w:sz w:val="18"/>
                <w:szCs w:val="18"/>
              </w:rPr>
            </w:pPr>
            <w:r w:rsidRPr="00343D56">
              <w:rPr>
                <w:rFonts w:cs="Arial"/>
                <w:color w:val="000000"/>
                <w:sz w:val="18"/>
                <w:szCs w:val="18"/>
              </w:rPr>
              <w:t>–</w:t>
            </w:r>
          </w:p>
        </w:tc>
        <w:tc>
          <w:tcPr>
            <w:tcW w:w="1222" w:type="dxa"/>
            <w:tcBorders>
              <w:top w:val="single" w:sz="4" w:space="0" w:color="auto"/>
              <w:bottom w:val="single" w:sz="4" w:space="0" w:color="auto"/>
            </w:tcBorders>
          </w:tcPr>
          <w:p w14:paraId="3B9D0210" w14:textId="44D93A9F" w:rsidR="0057284A" w:rsidRPr="00343D56" w:rsidRDefault="0057284A" w:rsidP="00397BEB">
            <w:pPr>
              <w:spacing w:after="0"/>
              <w:jc w:val="center"/>
              <w:rPr>
                <w:rFonts w:cs="Arial"/>
                <w:color w:val="000000"/>
                <w:sz w:val="18"/>
                <w:szCs w:val="18"/>
              </w:rPr>
            </w:pPr>
            <w:r w:rsidRPr="00343D56">
              <w:rPr>
                <w:rFonts w:cs="Arial"/>
                <w:color w:val="000000"/>
                <w:sz w:val="18"/>
                <w:szCs w:val="18"/>
              </w:rPr>
              <w:t>-</w:t>
            </w:r>
          </w:p>
        </w:tc>
      </w:tr>
      <w:tr w:rsidR="0057284A" w:rsidRPr="00343D56" w14:paraId="5080D43C" w14:textId="6699F211" w:rsidTr="00A954D2">
        <w:trPr>
          <w:trHeight w:val="35"/>
        </w:trPr>
        <w:tc>
          <w:tcPr>
            <w:tcW w:w="911" w:type="dxa"/>
            <w:tcBorders>
              <w:top w:val="single" w:sz="4" w:space="0" w:color="auto"/>
              <w:bottom w:val="single" w:sz="4" w:space="0" w:color="auto"/>
            </w:tcBorders>
            <w:vAlign w:val="center"/>
          </w:tcPr>
          <w:p w14:paraId="203EDBAE" w14:textId="77777777" w:rsidR="0057284A" w:rsidRPr="00343D56" w:rsidRDefault="0057284A" w:rsidP="00397BEB">
            <w:pPr>
              <w:spacing w:after="0"/>
              <w:rPr>
                <w:rFonts w:eastAsia="SimSun"/>
              </w:rPr>
            </w:pPr>
            <w:r w:rsidRPr="002173DF">
              <w:rPr>
                <w:rFonts w:cs="Arial"/>
                <w:color w:val="000000"/>
                <w:sz w:val="18"/>
                <w:szCs w:val="18"/>
              </w:rPr>
              <w:t>Type G</w:t>
            </w:r>
          </w:p>
        </w:tc>
        <w:tc>
          <w:tcPr>
            <w:tcW w:w="1223" w:type="dxa"/>
            <w:tcBorders>
              <w:top w:val="single" w:sz="4" w:space="0" w:color="auto"/>
              <w:bottom w:val="single" w:sz="4" w:space="0" w:color="auto"/>
            </w:tcBorders>
            <w:vAlign w:val="center"/>
          </w:tcPr>
          <w:p w14:paraId="267E69EB" w14:textId="77777777" w:rsidR="0057284A" w:rsidRPr="00343D56" w:rsidRDefault="0057284A" w:rsidP="00397BEB">
            <w:pPr>
              <w:spacing w:after="0"/>
              <w:jc w:val="center"/>
              <w:rPr>
                <w:rFonts w:eastAsia="SimSun"/>
              </w:rPr>
            </w:pPr>
            <w:r w:rsidRPr="00343D56">
              <w:rPr>
                <w:rFonts w:cs="Arial"/>
                <w:color w:val="000000"/>
                <w:sz w:val="18"/>
                <w:szCs w:val="18"/>
              </w:rPr>
              <w:t>50,000,000</w:t>
            </w:r>
          </w:p>
        </w:tc>
        <w:tc>
          <w:tcPr>
            <w:tcW w:w="1222" w:type="dxa"/>
            <w:tcBorders>
              <w:top w:val="single" w:sz="4" w:space="0" w:color="auto"/>
              <w:bottom w:val="single" w:sz="4" w:space="0" w:color="auto"/>
            </w:tcBorders>
          </w:tcPr>
          <w:p w14:paraId="7B999F24" w14:textId="3F4378F2" w:rsidR="0057284A" w:rsidRPr="00343D56" w:rsidRDefault="0057284A" w:rsidP="00397BEB">
            <w:pPr>
              <w:spacing w:after="0"/>
              <w:jc w:val="center"/>
              <w:rPr>
                <w:rFonts w:cs="Arial"/>
                <w:color w:val="000000"/>
                <w:sz w:val="18"/>
                <w:szCs w:val="18"/>
              </w:rPr>
            </w:pPr>
            <w:r w:rsidRPr="00F34A23">
              <w:rPr>
                <w:rFonts w:cs="Arial"/>
                <w:color w:val="000000"/>
                <w:sz w:val="18"/>
                <w:szCs w:val="18"/>
              </w:rPr>
              <w:t>-</w:t>
            </w:r>
          </w:p>
        </w:tc>
        <w:tc>
          <w:tcPr>
            <w:tcW w:w="1069" w:type="dxa"/>
            <w:tcBorders>
              <w:top w:val="single" w:sz="4" w:space="0" w:color="auto"/>
              <w:bottom w:val="single" w:sz="4" w:space="0" w:color="auto"/>
            </w:tcBorders>
            <w:vAlign w:val="center"/>
          </w:tcPr>
          <w:p w14:paraId="6D953903" w14:textId="371D56D9" w:rsidR="0057284A" w:rsidRPr="00343D56" w:rsidRDefault="0057284A" w:rsidP="00397BEB">
            <w:pPr>
              <w:spacing w:after="0"/>
              <w:jc w:val="center"/>
              <w:rPr>
                <w:rFonts w:eastAsia="SimSun"/>
              </w:rPr>
            </w:pPr>
            <w:r w:rsidRPr="00343D56">
              <w:rPr>
                <w:rFonts w:cs="Arial"/>
                <w:color w:val="000000"/>
                <w:sz w:val="18"/>
                <w:szCs w:val="18"/>
              </w:rPr>
              <w:t>1</w:t>
            </w:r>
          </w:p>
        </w:tc>
        <w:tc>
          <w:tcPr>
            <w:tcW w:w="1222" w:type="dxa"/>
            <w:tcBorders>
              <w:top w:val="single" w:sz="4" w:space="0" w:color="auto"/>
              <w:bottom w:val="single" w:sz="4" w:space="0" w:color="auto"/>
            </w:tcBorders>
            <w:vAlign w:val="center"/>
          </w:tcPr>
          <w:p w14:paraId="10B92530" w14:textId="1BCDBACE" w:rsidR="0057284A" w:rsidRPr="00343D56" w:rsidRDefault="0057284A" w:rsidP="00397BEB">
            <w:pPr>
              <w:spacing w:after="0"/>
              <w:jc w:val="center"/>
              <w:rPr>
                <w:rFonts w:eastAsia="SimSun"/>
              </w:rPr>
            </w:pPr>
            <w:r w:rsidRPr="00343D56">
              <w:rPr>
                <w:rFonts w:cs="Arial"/>
                <w:color w:val="000000"/>
                <w:sz w:val="18"/>
                <w:szCs w:val="18"/>
              </w:rPr>
              <w:t>–</w:t>
            </w:r>
          </w:p>
        </w:tc>
        <w:tc>
          <w:tcPr>
            <w:tcW w:w="1222" w:type="dxa"/>
            <w:tcBorders>
              <w:top w:val="single" w:sz="4" w:space="0" w:color="auto"/>
              <w:bottom w:val="single" w:sz="4" w:space="0" w:color="auto"/>
            </w:tcBorders>
          </w:tcPr>
          <w:p w14:paraId="29D44C53" w14:textId="77777777" w:rsidR="0057284A" w:rsidRPr="00343D56" w:rsidRDefault="0057284A" w:rsidP="00397BEB">
            <w:pPr>
              <w:spacing w:after="0"/>
              <w:jc w:val="center"/>
              <w:rPr>
                <w:rFonts w:cs="Arial"/>
                <w:color w:val="000000"/>
                <w:sz w:val="18"/>
                <w:szCs w:val="18"/>
              </w:rPr>
            </w:pPr>
            <w:r w:rsidRPr="00343D56">
              <w:rPr>
                <w:rFonts w:cs="Arial"/>
                <w:color w:val="000000"/>
                <w:sz w:val="18"/>
                <w:szCs w:val="18"/>
              </w:rPr>
              <w:t>–</w:t>
            </w:r>
          </w:p>
        </w:tc>
        <w:tc>
          <w:tcPr>
            <w:tcW w:w="1222" w:type="dxa"/>
            <w:tcBorders>
              <w:top w:val="single" w:sz="4" w:space="0" w:color="auto"/>
              <w:bottom w:val="single" w:sz="4" w:space="0" w:color="auto"/>
            </w:tcBorders>
          </w:tcPr>
          <w:p w14:paraId="3AE8630C" w14:textId="5CAAC272" w:rsidR="0057284A" w:rsidRPr="00343D56" w:rsidRDefault="0057284A" w:rsidP="00397BEB">
            <w:pPr>
              <w:spacing w:after="0"/>
              <w:jc w:val="center"/>
              <w:rPr>
                <w:rFonts w:cs="Arial"/>
                <w:color w:val="000000"/>
                <w:sz w:val="18"/>
                <w:szCs w:val="18"/>
              </w:rPr>
            </w:pPr>
            <w:r w:rsidRPr="00343D56">
              <w:rPr>
                <w:rFonts w:cs="Arial"/>
                <w:color w:val="000000"/>
                <w:sz w:val="18"/>
                <w:szCs w:val="18"/>
              </w:rPr>
              <w:t>-</w:t>
            </w:r>
          </w:p>
        </w:tc>
      </w:tr>
      <w:tr w:rsidR="0057284A" w:rsidRPr="00343D56" w14:paraId="418B252D" w14:textId="4A27643E" w:rsidTr="00A954D2">
        <w:trPr>
          <w:trHeight w:val="35"/>
        </w:trPr>
        <w:tc>
          <w:tcPr>
            <w:tcW w:w="911" w:type="dxa"/>
            <w:tcBorders>
              <w:top w:val="single" w:sz="4" w:space="0" w:color="auto"/>
              <w:bottom w:val="single" w:sz="4" w:space="0" w:color="auto"/>
            </w:tcBorders>
            <w:shd w:val="clear" w:color="auto" w:fill="auto"/>
            <w:vAlign w:val="center"/>
          </w:tcPr>
          <w:p w14:paraId="795AD198" w14:textId="77777777" w:rsidR="0057284A" w:rsidRPr="00343D56" w:rsidRDefault="0057284A" w:rsidP="00397BEB">
            <w:pPr>
              <w:spacing w:after="0"/>
              <w:rPr>
                <w:rFonts w:eastAsia="SimSun"/>
              </w:rPr>
            </w:pPr>
            <w:r w:rsidRPr="002173DF">
              <w:rPr>
                <w:rFonts w:cs="Arial"/>
                <w:color w:val="000000"/>
                <w:sz w:val="18"/>
                <w:szCs w:val="18"/>
              </w:rPr>
              <w:t>Type H</w:t>
            </w:r>
          </w:p>
        </w:tc>
        <w:tc>
          <w:tcPr>
            <w:tcW w:w="1223" w:type="dxa"/>
            <w:tcBorders>
              <w:top w:val="single" w:sz="4" w:space="0" w:color="auto"/>
              <w:bottom w:val="single" w:sz="4" w:space="0" w:color="auto"/>
            </w:tcBorders>
            <w:shd w:val="clear" w:color="auto" w:fill="auto"/>
            <w:vAlign w:val="center"/>
          </w:tcPr>
          <w:p w14:paraId="2C279F38" w14:textId="77777777" w:rsidR="0057284A" w:rsidRPr="00343D56" w:rsidRDefault="0057284A" w:rsidP="00397BEB">
            <w:pPr>
              <w:spacing w:after="0"/>
              <w:jc w:val="center"/>
              <w:rPr>
                <w:rFonts w:eastAsia="SimSun"/>
              </w:rPr>
            </w:pPr>
            <w:r w:rsidRPr="00343D56">
              <w:rPr>
                <w:rFonts w:cs="Arial"/>
                <w:color w:val="000000"/>
                <w:sz w:val="18"/>
                <w:szCs w:val="18"/>
              </w:rPr>
              <w:t>100,000,000</w:t>
            </w:r>
          </w:p>
        </w:tc>
        <w:tc>
          <w:tcPr>
            <w:tcW w:w="1222" w:type="dxa"/>
            <w:tcBorders>
              <w:top w:val="single" w:sz="4" w:space="0" w:color="auto"/>
              <w:bottom w:val="single" w:sz="4" w:space="0" w:color="auto"/>
            </w:tcBorders>
          </w:tcPr>
          <w:p w14:paraId="41833263" w14:textId="4A81778B" w:rsidR="0057284A" w:rsidRPr="00343D56" w:rsidRDefault="0057284A" w:rsidP="00397BEB">
            <w:pPr>
              <w:spacing w:after="0"/>
              <w:jc w:val="center"/>
              <w:rPr>
                <w:rFonts w:cs="Arial"/>
                <w:color w:val="000000"/>
                <w:sz w:val="18"/>
                <w:szCs w:val="18"/>
              </w:rPr>
            </w:pPr>
            <w:r w:rsidRPr="00F34A23">
              <w:rPr>
                <w:rFonts w:cs="Arial"/>
                <w:color w:val="000000"/>
                <w:sz w:val="18"/>
                <w:szCs w:val="18"/>
              </w:rPr>
              <w:t>4</w:t>
            </w:r>
          </w:p>
        </w:tc>
        <w:tc>
          <w:tcPr>
            <w:tcW w:w="1069" w:type="dxa"/>
            <w:tcBorders>
              <w:top w:val="single" w:sz="4" w:space="0" w:color="auto"/>
              <w:bottom w:val="single" w:sz="4" w:space="0" w:color="auto"/>
            </w:tcBorders>
            <w:shd w:val="clear" w:color="auto" w:fill="auto"/>
            <w:vAlign w:val="center"/>
          </w:tcPr>
          <w:p w14:paraId="3607F972" w14:textId="4F7B1FE3" w:rsidR="0057284A" w:rsidRPr="00343D56" w:rsidRDefault="0057284A" w:rsidP="00397BEB">
            <w:pPr>
              <w:spacing w:after="0"/>
              <w:jc w:val="center"/>
              <w:rPr>
                <w:rFonts w:eastAsia="SimSun"/>
              </w:rPr>
            </w:pPr>
            <w:r w:rsidRPr="00343D56">
              <w:rPr>
                <w:rFonts w:cs="Arial"/>
                <w:color w:val="000000"/>
                <w:sz w:val="18"/>
                <w:szCs w:val="18"/>
              </w:rPr>
              <w:t>2</w:t>
            </w:r>
          </w:p>
        </w:tc>
        <w:tc>
          <w:tcPr>
            <w:tcW w:w="1222" w:type="dxa"/>
            <w:tcBorders>
              <w:top w:val="single" w:sz="4" w:space="0" w:color="auto"/>
              <w:bottom w:val="single" w:sz="4" w:space="0" w:color="auto"/>
            </w:tcBorders>
            <w:shd w:val="clear" w:color="auto" w:fill="auto"/>
            <w:vAlign w:val="center"/>
          </w:tcPr>
          <w:p w14:paraId="6AF95677" w14:textId="6D9A4C6E" w:rsidR="0057284A" w:rsidRPr="00343D56" w:rsidRDefault="0057284A" w:rsidP="00397BEB">
            <w:pPr>
              <w:spacing w:after="0"/>
              <w:jc w:val="center"/>
              <w:rPr>
                <w:rFonts w:eastAsia="SimSun"/>
              </w:rPr>
            </w:pPr>
            <w:r w:rsidRPr="00343D56">
              <w:rPr>
                <w:rFonts w:cs="Arial"/>
                <w:color w:val="000000"/>
                <w:sz w:val="18"/>
                <w:szCs w:val="18"/>
              </w:rPr>
              <w:t>4</w:t>
            </w:r>
          </w:p>
        </w:tc>
        <w:tc>
          <w:tcPr>
            <w:tcW w:w="1222" w:type="dxa"/>
            <w:tcBorders>
              <w:top w:val="single" w:sz="4" w:space="0" w:color="auto"/>
              <w:bottom w:val="single" w:sz="4" w:space="0" w:color="auto"/>
            </w:tcBorders>
            <w:shd w:val="clear" w:color="auto" w:fill="auto"/>
          </w:tcPr>
          <w:p w14:paraId="7A76FB14" w14:textId="77777777" w:rsidR="0057284A" w:rsidRPr="00343D56" w:rsidRDefault="0057284A" w:rsidP="00397BEB">
            <w:pPr>
              <w:spacing w:after="0"/>
              <w:jc w:val="center"/>
              <w:rPr>
                <w:rFonts w:cs="Arial"/>
                <w:color w:val="000000"/>
                <w:sz w:val="18"/>
                <w:szCs w:val="18"/>
              </w:rPr>
            </w:pPr>
            <w:r w:rsidRPr="00343D56">
              <w:rPr>
                <w:rFonts w:cs="Arial"/>
                <w:color w:val="000000"/>
                <w:sz w:val="18"/>
                <w:szCs w:val="18"/>
              </w:rPr>
              <w:t>4</w:t>
            </w:r>
          </w:p>
        </w:tc>
        <w:tc>
          <w:tcPr>
            <w:tcW w:w="1222" w:type="dxa"/>
            <w:tcBorders>
              <w:top w:val="single" w:sz="4" w:space="0" w:color="auto"/>
              <w:bottom w:val="single" w:sz="4" w:space="0" w:color="auto"/>
            </w:tcBorders>
          </w:tcPr>
          <w:p w14:paraId="643D7F2E" w14:textId="1DF283B5" w:rsidR="0057284A" w:rsidRPr="00343D56" w:rsidRDefault="0057284A" w:rsidP="00397BEB">
            <w:pPr>
              <w:spacing w:after="0"/>
              <w:jc w:val="center"/>
              <w:rPr>
                <w:rFonts w:cs="Arial"/>
                <w:color w:val="000000"/>
                <w:sz w:val="18"/>
                <w:szCs w:val="18"/>
              </w:rPr>
            </w:pPr>
            <w:r w:rsidRPr="00343D56">
              <w:rPr>
                <w:rFonts w:cs="Arial"/>
                <w:color w:val="000000"/>
                <w:sz w:val="18"/>
                <w:szCs w:val="18"/>
              </w:rPr>
              <w:t>4</w:t>
            </w:r>
          </w:p>
        </w:tc>
      </w:tr>
      <w:tr w:rsidR="0057284A" w:rsidRPr="00343D56" w14:paraId="43909BE3" w14:textId="3F87421D" w:rsidTr="00A954D2">
        <w:trPr>
          <w:trHeight w:val="35"/>
        </w:trPr>
        <w:tc>
          <w:tcPr>
            <w:tcW w:w="2134" w:type="dxa"/>
            <w:gridSpan w:val="2"/>
            <w:tcBorders>
              <w:top w:val="single" w:sz="4" w:space="0" w:color="auto"/>
              <w:bottom w:val="single" w:sz="4" w:space="0" w:color="auto"/>
            </w:tcBorders>
            <w:shd w:val="clear" w:color="auto" w:fill="F2F2F2" w:themeFill="background1" w:themeFillShade="F2"/>
          </w:tcPr>
          <w:p w14:paraId="121E1361" w14:textId="77777777" w:rsidR="0057284A" w:rsidRPr="00A954D2" w:rsidRDefault="0057284A" w:rsidP="00397BEB">
            <w:pPr>
              <w:spacing w:after="0"/>
              <w:rPr>
                <w:rFonts w:eastAsia="SimSun"/>
                <w:b/>
                <w:bCs/>
              </w:rPr>
            </w:pPr>
            <w:r w:rsidRPr="00A954D2">
              <w:rPr>
                <w:rFonts w:eastAsia="SimSun"/>
                <w:b/>
                <w:bCs/>
              </w:rPr>
              <w:t>Total</w:t>
            </w:r>
          </w:p>
        </w:tc>
        <w:tc>
          <w:tcPr>
            <w:tcW w:w="1222" w:type="dxa"/>
            <w:tcBorders>
              <w:top w:val="single" w:sz="4" w:space="0" w:color="auto"/>
              <w:bottom w:val="single" w:sz="4" w:space="0" w:color="auto"/>
            </w:tcBorders>
            <w:shd w:val="clear" w:color="auto" w:fill="F2F2F2" w:themeFill="background1" w:themeFillShade="F2"/>
            <w:vAlign w:val="center"/>
          </w:tcPr>
          <w:p w14:paraId="2B489830" w14:textId="3EAE76A1" w:rsidR="0057284A" w:rsidRPr="00343D56" w:rsidRDefault="0057284A" w:rsidP="00397BEB">
            <w:pPr>
              <w:spacing w:after="0"/>
              <w:jc w:val="center"/>
              <w:rPr>
                <w:rFonts w:cs="Arial"/>
                <w:color w:val="000000"/>
                <w:sz w:val="18"/>
                <w:szCs w:val="18"/>
              </w:rPr>
            </w:pPr>
            <w:r>
              <w:rPr>
                <w:rFonts w:cs="Arial"/>
                <w:color w:val="000000"/>
                <w:sz w:val="18"/>
                <w:szCs w:val="18"/>
              </w:rPr>
              <w:t>2,053</w:t>
            </w:r>
          </w:p>
        </w:tc>
        <w:tc>
          <w:tcPr>
            <w:tcW w:w="1069" w:type="dxa"/>
            <w:tcBorders>
              <w:top w:val="single" w:sz="4" w:space="0" w:color="auto"/>
              <w:bottom w:val="single" w:sz="4" w:space="0" w:color="auto"/>
            </w:tcBorders>
            <w:shd w:val="clear" w:color="auto" w:fill="F2F2F2" w:themeFill="background1" w:themeFillShade="F2"/>
          </w:tcPr>
          <w:p w14:paraId="43FE8912" w14:textId="01D12ACC" w:rsidR="0057284A" w:rsidRPr="00343D56" w:rsidRDefault="0057284A" w:rsidP="00397BEB">
            <w:pPr>
              <w:spacing w:after="0"/>
              <w:jc w:val="center"/>
              <w:rPr>
                <w:rFonts w:eastAsia="SimSun"/>
              </w:rPr>
            </w:pPr>
            <w:r w:rsidRPr="00F34A23">
              <w:rPr>
                <w:rFonts w:cs="Arial"/>
                <w:color w:val="000000"/>
                <w:sz w:val="18"/>
                <w:szCs w:val="18"/>
              </w:rPr>
              <w:t>2</w:t>
            </w:r>
            <w:r>
              <w:rPr>
                <w:rFonts w:cs="Arial"/>
                <w:color w:val="000000"/>
                <w:sz w:val="18"/>
                <w:szCs w:val="18"/>
              </w:rPr>
              <w:t>,</w:t>
            </w:r>
            <w:r w:rsidRPr="00F34A23">
              <w:rPr>
                <w:rFonts w:cs="Arial"/>
                <w:color w:val="000000"/>
                <w:sz w:val="18"/>
                <w:szCs w:val="18"/>
              </w:rPr>
              <w:t>05</w:t>
            </w:r>
            <w:r>
              <w:rPr>
                <w:rFonts w:cs="Arial"/>
                <w:color w:val="000000"/>
                <w:sz w:val="18"/>
                <w:szCs w:val="18"/>
              </w:rPr>
              <w:t>8</w:t>
            </w:r>
          </w:p>
        </w:tc>
        <w:tc>
          <w:tcPr>
            <w:tcW w:w="1222" w:type="dxa"/>
            <w:tcBorders>
              <w:top w:val="single" w:sz="4" w:space="0" w:color="auto"/>
              <w:bottom w:val="single" w:sz="4" w:space="0" w:color="auto"/>
            </w:tcBorders>
            <w:shd w:val="clear" w:color="auto" w:fill="F2F2F2" w:themeFill="background1" w:themeFillShade="F2"/>
            <w:vAlign w:val="center"/>
          </w:tcPr>
          <w:p w14:paraId="16DD41B9" w14:textId="01B4F21C" w:rsidR="0057284A" w:rsidRPr="00343D56" w:rsidRDefault="0057284A" w:rsidP="00397BEB">
            <w:pPr>
              <w:spacing w:after="0"/>
              <w:jc w:val="center"/>
              <w:rPr>
                <w:rFonts w:eastAsia="SimSun"/>
              </w:rPr>
            </w:pPr>
            <w:r w:rsidRPr="00343D56">
              <w:rPr>
                <w:rFonts w:cs="Arial"/>
                <w:color w:val="000000"/>
                <w:sz w:val="18"/>
                <w:szCs w:val="18"/>
              </w:rPr>
              <w:t>1,784</w:t>
            </w:r>
          </w:p>
        </w:tc>
        <w:tc>
          <w:tcPr>
            <w:tcW w:w="1222" w:type="dxa"/>
            <w:tcBorders>
              <w:top w:val="single" w:sz="4" w:space="0" w:color="auto"/>
              <w:bottom w:val="single" w:sz="4" w:space="0" w:color="auto"/>
            </w:tcBorders>
            <w:shd w:val="clear" w:color="auto" w:fill="F2F2F2" w:themeFill="background1" w:themeFillShade="F2"/>
          </w:tcPr>
          <w:p w14:paraId="412F02F1" w14:textId="77777777" w:rsidR="0057284A" w:rsidRPr="00343D56" w:rsidRDefault="0057284A" w:rsidP="00397BEB">
            <w:pPr>
              <w:spacing w:after="0"/>
              <w:jc w:val="center"/>
              <w:rPr>
                <w:rFonts w:cs="Arial"/>
                <w:color w:val="000000"/>
                <w:sz w:val="18"/>
                <w:szCs w:val="18"/>
              </w:rPr>
            </w:pPr>
            <w:r w:rsidRPr="00343D56">
              <w:rPr>
                <w:rFonts w:cs="Arial"/>
                <w:color w:val="000000"/>
                <w:sz w:val="18"/>
                <w:szCs w:val="18"/>
              </w:rPr>
              <w:t>1,571</w:t>
            </w:r>
          </w:p>
        </w:tc>
        <w:tc>
          <w:tcPr>
            <w:tcW w:w="1222" w:type="dxa"/>
            <w:tcBorders>
              <w:top w:val="single" w:sz="4" w:space="0" w:color="auto"/>
              <w:bottom w:val="single" w:sz="4" w:space="0" w:color="auto"/>
            </w:tcBorders>
            <w:shd w:val="clear" w:color="auto" w:fill="F2F2F2" w:themeFill="background1" w:themeFillShade="F2"/>
          </w:tcPr>
          <w:p w14:paraId="43002AE0" w14:textId="50637FCB" w:rsidR="0057284A" w:rsidRPr="00343D56" w:rsidRDefault="0057284A" w:rsidP="00397BEB">
            <w:pPr>
              <w:spacing w:after="0"/>
              <w:jc w:val="center"/>
              <w:rPr>
                <w:rFonts w:cs="Arial"/>
                <w:color w:val="000000"/>
                <w:sz w:val="18"/>
                <w:szCs w:val="18"/>
              </w:rPr>
            </w:pPr>
            <w:r w:rsidRPr="00343D56">
              <w:rPr>
                <w:rFonts w:cs="Arial"/>
                <w:color w:val="000000"/>
                <w:sz w:val="18"/>
                <w:szCs w:val="18"/>
              </w:rPr>
              <w:t>1</w:t>
            </w:r>
            <w:r>
              <w:rPr>
                <w:rFonts w:cs="Arial"/>
                <w:color w:val="000000"/>
                <w:sz w:val="18"/>
                <w:szCs w:val="18"/>
              </w:rPr>
              <w:t>,</w:t>
            </w:r>
            <w:r w:rsidR="00627304">
              <w:rPr>
                <w:rFonts w:cs="Arial"/>
                <w:color w:val="000000"/>
                <w:sz w:val="18"/>
                <w:szCs w:val="18"/>
              </w:rPr>
              <w:t>401</w:t>
            </w:r>
          </w:p>
        </w:tc>
      </w:tr>
      <w:tr w:rsidR="0057284A" w:rsidRPr="00343D56" w14:paraId="795AD414" w14:textId="6FD9FE6F" w:rsidTr="00A954D2">
        <w:trPr>
          <w:trHeight w:val="35"/>
        </w:trPr>
        <w:tc>
          <w:tcPr>
            <w:tcW w:w="2134" w:type="dxa"/>
            <w:gridSpan w:val="2"/>
            <w:tcBorders>
              <w:top w:val="single" w:sz="4" w:space="0" w:color="auto"/>
              <w:bottom w:val="single" w:sz="4" w:space="0" w:color="auto"/>
            </w:tcBorders>
            <w:shd w:val="clear" w:color="auto" w:fill="F2F2F2" w:themeFill="background1" w:themeFillShade="F2"/>
          </w:tcPr>
          <w:p w14:paraId="1DB9201E" w14:textId="77777777" w:rsidR="0057284A" w:rsidRPr="00A954D2" w:rsidRDefault="0057284A" w:rsidP="00397BEB">
            <w:pPr>
              <w:spacing w:after="0"/>
              <w:rPr>
                <w:rFonts w:eastAsia="SimSun"/>
                <w:b/>
                <w:bCs/>
              </w:rPr>
            </w:pPr>
            <w:r w:rsidRPr="00A954D2">
              <w:rPr>
                <w:rFonts w:eastAsia="SimSun"/>
                <w:b/>
                <w:bCs/>
              </w:rPr>
              <w:t>Total less Type A</w:t>
            </w:r>
          </w:p>
        </w:tc>
        <w:tc>
          <w:tcPr>
            <w:tcW w:w="1222" w:type="dxa"/>
            <w:tcBorders>
              <w:top w:val="single" w:sz="4" w:space="0" w:color="auto"/>
              <w:bottom w:val="single" w:sz="4" w:space="0" w:color="auto"/>
            </w:tcBorders>
            <w:shd w:val="clear" w:color="auto" w:fill="F2F2F2" w:themeFill="background1" w:themeFillShade="F2"/>
            <w:vAlign w:val="center"/>
          </w:tcPr>
          <w:p w14:paraId="66C8B182" w14:textId="142A649F" w:rsidR="0057284A" w:rsidRPr="00343D56" w:rsidRDefault="0057284A" w:rsidP="00397BEB">
            <w:pPr>
              <w:spacing w:after="0"/>
              <w:jc w:val="center"/>
              <w:rPr>
                <w:rFonts w:cs="Arial"/>
                <w:color w:val="000000"/>
                <w:sz w:val="18"/>
                <w:szCs w:val="18"/>
              </w:rPr>
            </w:pPr>
            <w:r>
              <w:rPr>
                <w:rFonts w:cs="Arial"/>
                <w:color w:val="000000"/>
                <w:sz w:val="18"/>
                <w:szCs w:val="18"/>
              </w:rPr>
              <w:t>1,594</w:t>
            </w:r>
          </w:p>
        </w:tc>
        <w:tc>
          <w:tcPr>
            <w:tcW w:w="1069" w:type="dxa"/>
            <w:tcBorders>
              <w:top w:val="single" w:sz="4" w:space="0" w:color="auto"/>
              <w:bottom w:val="single" w:sz="4" w:space="0" w:color="auto"/>
            </w:tcBorders>
            <w:shd w:val="clear" w:color="auto" w:fill="F2F2F2" w:themeFill="background1" w:themeFillShade="F2"/>
          </w:tcPr>
          <w:p w14:paraId="77E89C6E" w14:textId="1F1FF4BE" w:rsidR="0057284A" w:rsidRPr="00343D56" w:rsidRDefault="0057284A" w:rsidP="00397BEB">
            <w:pPr>
              <w:spacing w:after="0"/>
              <w:jc w:val="center"/>
              <w:rPr>
                <w:rFonts w:eastAsia="SimSun"/>
              </w:rPr>
            </w:pPr>
            <w:r w:rsidRPr="00F34A23">
              <w:rPr>
                <w:rFonts w:cs="Arial"/>
                <w:color w:val="000000"/>
                <w:sz w:val="18"/>
                <w:szCs w:val="18"/>
              </w:rPr>
              <w:t>1</w:t>
            </w:r>
            <w:r>
              <w:rPr>
                <w:rFonts w:cs="Arial"/>
                <w:color w:val="000000"/>
                <w:sz w:val="18"/>
                <w:szCs w:val="18"/>
              </w:rPr>
              <w:t>,</w:t>
            </w:r>
            <w:r w:rsidRPr="00F34A23">
              <w:rPr>
                <w:rFonts w:cs="Arial"/>
                <w:color w:val="000000"/>
                <w:sz w:val="18"/>
                <w:szCs w:val="18"/>
              </w:rPr>
              <w:t>5</w:t>
            </w:r>
            <w:r>
              <w:rPr>
                <w:rFonts w:cs="Arial"/>
                <w:color w:val="000000"/>
                <w:sz w:val="18"/>
                <w:szCs w:val="18"/>
              </w:rPr>
              <w:t>51</w:t>
            </w:r>
          </w:p>
        </w:tc>
        <w:tc>
          <w:tcPr>
            <w:tcW w:w="1222" w:type="dxa"/>
            <w:tcBorders>
              <w:top w:val="single" w:sz="4" w:space="0" w:color="auto"/>
              <w:bottom w:val="single" w:sz="4" w:space="0" w:color="auto"/>
            </w:tcBorders>
            <w:shd w:val="clear" w:color="auto" w:fill="F2F2F2" w:themeFill="background1" w:themeFillShade="F2"/>
            <w:vAlign w:val="center"/>
          </w:tcPr>
          <w:p w14:paraId="31C62EAF" w14:textId="6D538CDE" w:rsidR="0057284A" w:rsidRPr="00343D56" w:rsidRDefault="0057284A" w:rsidP="00397BEB">
            <w:pPr>
              <w:spacing w:after="0"/>
              <w:jc w:val="center"/>
              <w:rPr>
                <w:rFonts w:eastAsia="SimSun"/>
              </w:rPr>
            </w:pPr>
            <w:r w:rsidRPr="00343D56">
              <w:rPr>
                <w:rFonts w:cs="Arial"/>
                <w:color w:val="000000"/>
                <w:sz w:val="18"/>
                <w:szCs w:val="18"/>
              </w:rPr>
              <w:t>1,325</w:t>
            </w:r>
          </w:p>
        </w:tc>
        <w:tc>
          <w:tcPr>
            <w:tcW w:w="1222" w:type="dxa"/>
            <w:tcBorders>
              <w:top w:val="single" w:sz="4" w:space="0" w:color="auto"/>
              <w:bottom w:val="single" w:sz="4" w:space="0" w:color="auto"/>
            </w:tcBorders>
            <w:shd w:val="clear" w:color="auto" w:fill="F2F2F2" w:themeFill="background1" w:themeFillShade="F2"/>
          </w:tcPr>
          <w:p w14:paraId="1AF9B9D5" w14:textId="77777777" w:rsidR="0057284A" w:rsidRPr="00343D56" w:rsidRDefault="0057284A" w:rsidP="00397BEB">
            <w:pPr>
              <w:spacing w:after="0"/>
              <w:jc w:val="center"/>
              <w:rPr>
                <w:rFonts w:cs="Arial"/>
                <w:color w:val="000000"/>
                <w:sz w:val="18"/>
                <w:szCs w:val="18"/>
              </w:rPr>
            </w:pPr>
            <w:r w:rsidRPr="00343D56">
              <w:rPr>
                <w:rFonts w:cs="Arial"/>
                <w:color w:val="000000"/>
                <w:sz w:val="18"/>
                <w:szCs w:val="18"/>
              </w:rPr>
              <w:t>1,112</w:t>
            </w:r>
          </w:p>
        </w:tc>
        <w:tc>
          <w:tcPr>
            <w:tcW w:w="1222" w:type="dxa"/>
            <w:tcBorders>
              <w:top w:val="single" w:sz="4" w:space="0" w:color="auto"/>
              <w:bottom w:val="single" w:sz="4" w:space="0" w:color="auto"/>
            </w:tcBorders>
            <w:shd w:val="clear" w:color="auto" w:fill="F2F2F2" w:themeFill="background1" w:themeFillShade="F2"/>
          </w:tcPr>
          <w:p w14:paraId="1902D57F" w14:textId="4F175C1D" w:rsidR="0057284A" w:rsidRPr="00343D56" w:rsidRDefault="00627304" w:rsidP="00397BEB">
            <w:pPr>
              <w:spacing w:after="0"/>
              <w:jc w:val="center"/>
              <w:rPr>
                <w:rFonts w:cs="Arial"/>
                <w:color w:val="000000"/>
                <w:sz w:val="18"/>
                <w:szCs w:val="18"/>
              </w:rPr>
            </w:pPr>
            <w:r>
              <w:rPr>
                <w:rFonts w:cs="Arial"/>
                <w:color w:val="000000"/>
                <w:sz w:val="18"/>
                <w:szCs w:val="18"/>
              </w:rPr>
              <w:t>942</w:t>
            </w:r>
          </w:p>
        </w:tc>
      </w:tr>
    </w:tbl>
    <w:p w14:paraId="20F0F846" w14:textId="7BF6C782" w:rsidR="0057284A" w:rsidRDefault="00B72024" w:rsidP="00A04CE9">
      <w:pPr>
        <w:spacing w:before="240"/>
        <w:rPr>
          <w:rFonts w:eastAsia="SimSun"/>
        </w:rPr>
      </w:pPr>
      <w:r w:rsidRPr="00343D56">
        <w:t>The level of subscription demand and wash volumes has</w:t>
      </w:r>
      <w:r w:rsidRPr="00DC150D">
        <w:t xml:space="preserve"> fluctuated but overall </w:t>
      </w:r>
      <w:r>
        <w:t xml:space="preserve">has </w:t>
      </w:r>
      <w:r w:rsidRPr="00DC150D">
        <w:t>been declining over time. This trend is expected to continue over the forward estimates</w:t>
      </w:r>
      <w:r>
        <w:t xml:space="preserve"> with </w:t>
      </w:r>
      <w:r w:rsidRPr="00212B85">
        <w:rPr>
          <w:rFonts w:eastAsia="SimSun"/>
        </w:rPr>
        <w:t>implications for the sustainability of cost-recovery mechanisms.</w:t>
      </w:r>
      <w:r>
        <w:rPr>
          <w:rFonts w:eastAsia="SimSun"/>
        </w:rPr>
        <w:t xml:space="preserve"> I</w:t>
      </w:r>
      <w:r w:rsidRPr="00DC150D">
        <w:rPr>
          <w:rFonts w:eastAsia="SimSun"/>
        </w:rPr>
        <w:t>n 2018–19</w:t>
      </w:r>
      <w:r w:rsidR="00540C0C">
        <w:rPr>
          <w:rFonts w:eastAsia="SimSun"/>
        </w:rPr>
        <w:t>,</w:t>
      </w:r>
      <w:r>
        <w:rPr>
          <w:rFonts w:eastAsia="SimSun"/>
        </w:rPr>
        <w:t xml:space="preserve"> however, the </w:t>
      </w:r>
      <w:r w:rsidRPr="00212B85">
        <w:rPr>
          <w:rFonts w:eastAsia="SimSun"/>
        </w:rPr>
        <w:t xml:space="preserve">cost recovery for the </w:t>
      </w:r>
      <w:r w:rsidR="00540C0C">
        <w:rPr>
          <w:rFonts w:eastAsia="SimSun"/>
        </w:rPr>
        <w:t>r</w:t>
      </w:r>
      <w:r>
        <w:rPr>
          <w:rFonts w:eastAsia="SimSun"/>
        </w:rPr>
        <w:t>egister</w:t>
      </w:r>
      <w:r w:rsidRPr="00212B85">
        <w:rPr>
          <w:rFonts w:eastAsia="SimSun"/>
        </w:rPr>
        <w:t xml:space="preserve"> </w:t>
      </w:r>
      <w:r>
        <w:rPr>
          <w:rFonts w:eastAsia="SimSun"/>
        </w:rPr>
        <w:t xml:space="preserve">has </w:t>
      </w:r>
      <w:r w:rsidRPr="00212B85">
        <w:rPr>
          <w:rFonts w:eastAsia="SimSun"/>
        </w:rPr>
        <w:t>remain</w:t>
      </w:r>
      <w:r>
        <w:rPr>
          <w:rFonts w:eastAsia="SimSun"/>
        </w:rPr>
        <w:t>ed</w:t>
      </w:r>
      <w:r w:rsidRPr="00212B85">
        <w:rPr>
          <w:rFonts w:eastAsia="SimSun"/>
        </w:rPr>
        <w:t xml:space="preserve"> in cumulative over-recovery</w:t>
      </w:r>
      <w:r>
        <w:rPr>
          <w:rFonts w:eastAsia="SimSun"/>
        </w:rPr>
        <w:t xml:space="preserve"> (currently $0.34m).  Consequently, </w:t>
      </w:r>
      <w:r w:rsidRPr="00212B85">
        <w:rPr>
          <w:rFonts w:eastAsia="SimSun"/>
        </w:rPr>
        <w:t>no change to subscription fees is proposed at this time.</w:t>
      </w:r>
    </w:p>
    <w:p w14:paraId="58ABC803" w14:textId="33809FEF" w:rsidR="00510E9F" w:rsidRPr="002164E2" w:rsidRDefault="00FA609D" w:rsidP="002173DF">
      <w:pPr>
        <w:spacing w:before="240"/>
      </w:pPr>
      <w:r>
        <w:t xml:space="preserve">Expense and revenue </w:t>
      </w:r>
      <w:r w:rsidR="00510E9F" w:rsidRPr="002164E2">
        <w:t xml:space="preserve">estimates for </w:t>
      </w:r>
      <w:r w:rsidR="00540C0C">
        <w:t xml:space="preserve">DNCR </w:t>
      </w:r>
      <w:r w:rsidR="00510E9F" w:rsidRPr="002164E2">
        <w:t xml:space="preserve">operations for the financial year </w:t>
      </w:r>
      <w:r w:rsidR="000072D9">
        <w:t>2019</w:t>
      </w:r>
      <w:r w:rsidR="00FA7E99">
        <w:t>–</w:t>
      </w:r>
      <w:r w:rsidR="000072D9">
        <w:t>20</w:t>
      </w:r>
      <w:r w:rsidR="00510E9F" w:rsidRPr="002164E2">
        <w:t xml:space="preserve"> and </w:t>
      </w:r>
      <w:r w:rsidR="000072D9">
        <w:t xml:space="preserve">two </w:t>
      </w:r>
      <w:r w:rsidR="00510E9F" w:rsidRPr="002164E2">
        <w:t xml:space="preserve">forward years are provided in Table </w:t>
      </w:r>
      <w:r w:rsidR="006C4902">
        <w:t>6</w:t>
      </w:r>
      <w:r w:rsidR="00510E9F" w:rsidRPr="002164E2">
        <w:t xml:space="preserve">. </w:t>
      </w:r>
    </w:p>
    <w:p w14:paraId="512507F6" w14:textId="688462A6" w:rsidR="00510E9F" w:rsidRPr="002164E2" w:rsidRDefault="00FA609D" w:rsidP="002173DF">
      <w:pPr>
        <w:pStyle w:val="ACMATableHeader"/>
      </w:pPr>
      <w:r>
        <w:t xml:space="preserve">Expenses and </w:t>
      </w:r>
      <w:r w:rsidR="00540C0C">
        <w:t>R</w:t>
      </w:r>
      <w:r>
        <w:t xml:space="preserve">evenue </w:t>
      </w:r>
      <w:r w:rsidR="00D70F0E" w:rsidRPr="002164E2">
        <w:t>estimates</w:t>
      </w:r>
    </w:p>
    <w:tbl>
      <w:tblPr>
        <w:tblStyle w:val="TableGrid"/>
        <w:tblW w:w="7366" w:type="dxa"/>
        <w:tblCellMar>
          <w:top w:w="57" w:type="dxa"/>
          <w:left w:w="57" w:type="dxa"/>
          <w:bottom w:w="57" w:type="dxa"/>
          <w:right w:w="57" w:type="dxa"/>
        </w:tblCellMar>
        <w:tblLook w:val="04A0" w:firstRow="1" w:lastRow="0" w:firstColumn="1" w:lastColumn="0" w:noHBand="0" w:noVBand="1"/>
      </w:tblPr>
      <w:tblGrid>
        <w:gridCol w:w="2821"/>
        <w:gridCol w:w="1427"/>
        <w:gridCol w:w="1559"/>
        <w:gridCol w:w="1559"/>
      </w:tblGrid>
      <w:tr w:rsidR="00453634" w:rsidRPr="002164E2" w14:paraId="0B176BEC" w14:textId="77777777" w:rsidTr="002173DF">
        <w:tc>
          <w:tcPr>
            <w:tcW w:w="2821" w:type="dxa"/>
            <w:shd w:val="clear" w:color="auto" w:fill="404040" w:themeFill="text1" w:themeFillTint="BF"/>
            <w:vAlign w:val="center"/>
          </w:tcPr>
          <w:p w14:paraId="6C0936FA" w14:textId="77777777" w:rsidR="00453634" w:rsidRPr="002164E2" w:rsidRDefault="00453634" w:rsidP="00524BB2">
            <w:pPr>
              <w:rPr>
                <w:color w:val="FFFFFF" w:themeColor="background1"/>
              </w:rPr>
            </w:pPr>
            <w:r>
              <w:rPr>
                <w:rFonts w:cs="Arial"/>
                <w:color w:val="FFFFFF" w:themeColor="background1"/>
                <w:szCs w:val="20"/>
              </w:rPr>
              <w:t> </w:t>
            </w:r>
          </w:p>
        </w:tc>
        <w:tc>
          <w:tcPr>
            <w:tcW w:w="1427" w:type="dxa"/>
            <w:shd w:val="clear" w:color="auto" w:fill="404040" w:themeFill="text1" w:themeFillTint="BF"/>
            <w:vAlign w:val="center"/>
          </w:tcPr>
          <w:p w14:paraId="388F024B" w14:textId="77777777" w:rsidR="00453634" w:rsidRPr="002A7D8F" w:rsidRDefault="00453634" w:rsidP="00DE6CF5">
            <w:pPr>
              <w:pStyle w:val="TableHeading"/>
              <w:jc w:val="center"/>
              <w:rPr>
                <w:color w:val="FFFFFF" w:themeColor="background1"/>
              </w:rPr>
            </w:pPr>
            <w:r w:rsidRPr="00A954D2">
              <w:rPr>
                <w:rFonts w:cs="Arial"/>
                <w:color w:val="FFFFFF" w:themeColor="background1"/>
                <w:szCs w:val="20"/>
              </w:rPr>
              <w:t>2019–20 estimate ($m)</w:t>
            </w:r>
          </w:p>
        </w:tc>
        <w:tc>
          <w:tcPr>
            <w:tcW w:w="1559" w:type="dxa"/>
            <w:shd w:val="clear" w:color="auto" w:fill="404040" w:themeFill="text1" w:themeFillTint="BF"/>
            <w:vAlign w:val="center"/>
          </w:tcPr>
          <w:p w14:paraId="6157B942" w14:textId="77777777" w:rsidR="00453634" w:rsidRPr="002A7D8F" w:rsidRDefault="00453634" w:rsidP="00DE6CF5">
            <w:pPr>
              <w:pStyle w:val="TableHeading"/>
              <w:jc w:val="center"/>
              <w:rPr>
                <w:color w:val="FFFFFF" w:themeColor="background1"/>
              </w:rPr>
            </w:pPr>
            <w:r w:rsidRPr="00A954D2">
              <w:rPr>
                <w:rFonts w:cs="Arial"/>
                <w:color w:val="FFFFFF" w:themeColor="background1"/>
                <w:szCs w:val="20"/>
              </w:rPr>
              <w:t>2020–21 estimate ($m)</w:t>
            </w:r>
          </w:p>
        </w:tc>
        <w:tc>
          <w:tcPr>
            <w:tcW w:w="1559" w:type="dxa"/>
            <w:shd w:val="clear" w:color="auto" w:fill="404040" w:themeFill="text1" w:themeFillTint="BF"/>
            <w:vAlign w:val="center"/>
          </w:tcPr>
          <w:p w14:paraId="7D6AF3C9" w14:textId="39C95771" w:rsidR="00453634" w:rsidRPr="002A7D8F" w:rsidRDefault="00453634" w:rsidP="00DE6CF5">
            <w:pPr>
              <w:pStyle w:val="TableHeading"/>
              <w:jc w:val="center"/>
              <w:rPr>
                <w:color w:val="FFFFFF" w:themeColor="background1"/>
              </w:rPr>
            </w:pPr>
            <w:r w:rsidRPr="00A954D2">
              <w:rPr>
                <w:rFonts w:cs="Arial"/>
                <w:color w:val="FFFFFF" w:themeColor="background1"/>
                <w:szCs w:val="20"/>
              </w:rPr>
              <w:t>2021</w:t>
            </w:r>
            <w:r w:rsidR="00FA7E99" w:rsidRPr="00A954D2">
              <w:rPr>
                <w:rFonts w:cs="Arial"/>
                <w:color w:val="FFFFFF" w:themeColor="background1"/>
                <w:szCs w:val="20"/>
              </w:rPr>
              <w:t>–</w:t>
            </w:r>
            <w:r w:rsidRPr="00A954D2">
              <w:rPr>
                <w:rFonts w:cs="Arial"/>
                <w:color w:val="FFFFFF" w:themeColor="background1"/>
                <w:szCs w:val="20"/>
              </w:rPr>
              <w:t>22 estimate ($m)</w:t>
            </w:r>
          </w:p>
        </w:tc>
      </w:tr>
      <w:tr w:rsidR="00FA1EE1" w:rsidRPr="002164E2" w14:paraId="5EF25E73" w14:textId="77777777" w:rsidTr="002173DF">
        <w:tc>
          <w:tcPr>
            <w:tcW w:w="2821" w:type="dxa"/>
            <w:vAlign w:val="center"/>
          </w:tcPr>
          <w:p w14:paraId="5C52CE9A" w14:textId="63AA85CD" w:rsidR="00FA1EE1" w:rsidRDefault="00FA1EE1" w:rsidP="00524BB2">
            <w:pPr>
              <w:spacing w:after="0"/>
              <w:rPr>
                <w:rFonts w:cs="Arial"/>
                <w:color w:val="000000"/>
                <w:szCs w:val="20"/>
              </w:rPr>
            </w:pPr>
            <w:r>
              <w:rPr>
                <w:rFonts w:cs="Arial"/>
                <w:color w:val="000000"/>
                <w:szCs w:val="20"/>
              </w:rPr>
              <w:t>Opening cumulative balance</w:t>
            </w:r>
          </w:p>
        </w:tc>
        <w:tc>
          <w:tcPr>
            <w:tcW w:w="1427" w:type="dxa"/>
            <w:vAlign w:val="center"/>
          </w:tcPr>
          <w:p w14:paraId="6FCCDE75" w14:textId="14EF6D70" w:rsidR="00FA1EE1" w:rsidRDefault="00FA1EE1" w:rsidP="00524BB2">
            <w:pPr>
              <w:spacing w:after="0"/>
              <w:jc w:val="right"/>
              <w:rPr>
                <w:rFonts w:cs="Arial"/>
                <w:color w:val="000000"/>
                <w:szCs w:val="20"/>
              </w:rPr>
            </w:pPr>
            <w:r>
              <w:rPr>
                <w:rFonts w:cs="Arial"/>
                <w:color w:val="000000"/>
                <w:szCs w:val="20"/>
              </w:rPr>
              <w:t>0.34</w:t>
            </w:r>
          </w:p>
        </w:tc>
        <w:tc>
          <w:tcPr>
            <w:tcW w:w="1559" w:type="dxa"/>
            <w:vAlign w:val="center"/>
          </w:tcPr>
          <w:p w14:paraId="217F19A7" w14:textId="14E258DC" w:rsidR="00FA1EE1" w:rsidRDefault="00FA1EE1" w:rsidP="00524BB2">
            <w:pPr>
              <w:spacing w:after="0"/>
              <w:jc w:val="right"/>
              <w:rPr>
                <w:rFonts w:cs="Arial"/>
                <w:color w:val="000000"/>
                <w:szCs w:val="20"/>
              </w:rPr>
            </w:pPr>
            <w:r>
              <w:rPr>
                <w:rFonts w:cs="Arial"/>
                <w:color w:val="000000"/>
                <w:szCs w:val="20"/>
              </w:rPr>
              <w:t>0.17</w:t>
            </w:r>
          </w:p>
        </w:tc>
        <w:tc>
          <w:tcPr>
            <w:tcW w:w="1559" w:type="dxa"/>
            <w:vAlign w:val="center"/>
          </w:tcPr>
          <w:p w14:paraId="2407EBEB" w14:textId="326F21E9" w:rsidR="00FA1EE1" w:rsidRDefault="003F4E25" w:rsidP="00524BB2">
            <w:pPr>
              <w:spacing w:after="0"/>
              <w:jc w:val="right"/>
              <w:rPr>
                <w:rFonts w:cs="Arial"/>
                <w:color w:val="000000"/>
                <w:szCs w:val="20"/>
              </w:rPr>
            </w:pPr>
            <w:r>
              <w:rPr>
                <w:rFonts w:cs="Arial"/>
                <w:color w:val="000000"/>
                <w:szCs w:val="20"/>
              </w:rPr>
              <w:t>-0.03</w:t>
            </w:r>
          </w:p>
        </w:tc>
      </w:tr>
      <w:tr w:rsidR="00453634" w:rsidRPr="002164E2" w14:paraId="5B3CDA68" w14:textId="77777777" w:rsidTr="002173DF">
        <w:tc>
          <w:tcPr>
            <w:tcW w:w="2821" w:type="dxa"/>
            <w:vAlign w:val="center"/>
          </w:tcPr>
          <w:p w14:paraId="1C01D886" w14:textId="77777777" w:rsidR="00453634" w:rsidRPr="002164E2" w:rsidRDefault="00453634" w:rsidP="00524BB2">
            <w:pPr>
              <w:spacing w:after="0"/>
            </w:pPr>
            <w:r>
              <w:rPr>
                <w:rFonts w:cs="Arial"/>
                <w:color w:val="000000"/>
                <w:szCs w:val="20"/>
              </w:rPr>
              <w:t>Expenses = X</w:t>
            </w:r>
          </w:p>
        </w:tc>
        <w:tc>
          <w:tcPr>
            <w:tcW w:w="1427" w:type="dxa"/>
            <w:vAlign w:val="center"/>
          </w:tcPr>
          <w:p w14:paraId="0DDC512B" w14:textId="77777777" w:rsidR="00453634" w:rsidRPr="002164E2" w:rsidRDefault="00453634" w:rsidP="00524BB2">
            <w:pPr>
              <w:spacing w:after="0"/>
              <w:jc w:val="right"/>
            </w:pPr>
            <w:r>
              <w:rPr>
                <w:rFonts w:cs="Arial"/>
                <w:color w:val="000000"/>
                <w:szCs w:val="20"/>
              </w:rPr>
              <w:t>2.18</w:t>
            </w:r>
          </w:p>
        </w:tc>
        <w:tc>
          <w:tcPr>
            <w:tcW w:w="1559" w:type="dxa"/>
            <w:vAlign w:val="center"/>
          </w:tcPr>
          <w:p w14:paraId="582292D8" w14:textId="77777777" w:rsidR="00453634" w:rsidRPr="002164E2" w:rsidRDefault="00453634" w:rsidP="00524BB2">
            <w:pPr>
              <w:spacing w:after="0"/>
              <w:jc w:val="right"/>
            </w:pPr>
            <w:r>
              <w:rPr>
                <w:rFonts w:cs="Arial"/>
                <w:color w:val="000000"/>
                <w:szCs w:val="20"/>
              </w:rPr>
              <w:t>2.22</w:t>
            </w:r>
          </w:p>
        </w:tc>
        <w:tc>
          <w:tcPr>
            <w:tcW w:w="1559" w:type="dxa"/>
            <w:vAlign w:val="center"/>
          </w:tcPr>
          <w:p w14:paraId="41685976" w14:textId="77777777" w:rsidR="00453634" w:rsidRPr="002164E2" w:rsidRDefault="00453634" w:rsidP="00524BB2">
            <w:pPr>
              <w:spacing w:after="0"/>
              <w:jc w:val="right"/>
              <w:rPr>
                <w:rFonts w:cs="Arial"/>
                <w:color w:val="000000"/>
                <w:szCs w:val="20"/>
              </w:rPr>
            </w:pPr>
            <w:r>
              <w:rPr>
                <w:rFonts w:cs="Arial"/>
                <w:color w:val="000000"/>
                <w:szCs w:val="20"/>
              </w:rPr>
              <w:t>2.27</w:t>
            </w:r>
          </w:p>
        </w:tc>
      </w:tr>
      <w:tr w:rsidR="00453634" w:rsidRPr="002164E2" w14:paraId="5959B55A" w14:textId="77777777" w:rsidTr="002173DF">
        <w:tc>
          <w:tcPr>
            <w:tcW w:w="2821" w:type="dxa"/>
            <w:vAlign w:val="center"/>
          </w:tcPr>
          <w:p w14:paraId="4671895D" w14:textId="77777777" w:rsidR="00453634" w:rsidRPr="002164E2" w:rsidRDefault="00453634" w:rsidP="00524BB2">
            <w:pPr>
              <w:spacing w:after="0"/>
            </w:pPr>
            <w:r>
              <w:rPr>
                <w:rFonts w:cs="Arial"/>
                <w:color w:val="000000"/>
                <w:szCs w:val="20"/>
              </w:rPr>
              <w:t>Revenue = Y</w:t>
            </w:r>
          </w:p>
        </w:tc>
        <w:tc>
          <w:tcPr>
            <w:tcW w:w="1427" w:type="dxa"/>
            <w:vAlign w:val="center"/>
          </w:tcPr>
          <w:p w14:paraId="0CAF94C6" w14:textId="298225AE" w:rsidR="00453634" w:rsidRPr="002164E2" w:rsidRDefault="00BC088E" w:rsidP="00524BB2">
            <w:pPr>
              <w:spacing w:after="0"/>
              <w:jc w:val="right"/>
            </w:pPr>
            <w:r>
              <w:rPr>
                <w:rFonts w:cs="Arial"/>
                <w:color w:val="000000"/>
                <w:szCs w:val="20"/>
              </w:rPr>
              <w:t>2.</w:t>
            </w:r>
            <w:r w:rsidR="00DE6CF5">
              <w:rPr>
                <w:rFonts w:cs="Arial"/>
                <w:color w:val="000000"/>
                <w:szCs w:val="20"/>
              </w:rPr>
              <w:t>01</w:t>
            </w:r>
          </w:p>
        </w:tc>
        <w:tc>
          <w:tcPr>
            <w:tcW w:w="1559" w:type="dxa"/>
            <w:vAlign w:val="center"/>
          </w:tcPr>
          <w:p w14:paraId="46EB1731" w14:textId="6C74AB9A" w:rsidR="00453634" w:rsidRPr="002164E2" w:rsidRDefault="003F4E25" w:rsidP="00524BB2">
            <w:pPr>
              <w:spacing w:after="0"/>
              <w:jc w:val="right"/>
            </w:pPr>
            <w:r>
              <w:rPr>
                <w:rFonts w:cs="Arial"/>
                <w:color w:val="000000"/>
                <w:szCs w:val="20"/>
              </w:rPr>
              <w:t>2.03</w:t>
            </w:r>
          </w:p>
        </w:tc>
        <w:tc>
          <w:tcPr>
            <w:tcW w:w="1559" w:type="dxa"/>
            <w:vAlign w:val="center"/>
          </w:tcPr>
          <w:p w14:paraId="43E59389" w14:textId="52E8297B" w:rsidR="00453634" w:rsidRPr="002164E2" w:rsidRDefault="003F4E25" w:rsidP="00524BB2">
            <w:pPr>
              <w:spacing w:after="0"/>
              <w:jc w:val="right"/>
              <w:rPr>
                <w:rFonts w:cs="Arial"/>
                <w:color w:val="000000"/>
                <w:szCs w:val="20"/>
              </w:rPr>
            </w:pPr>
            <w:r>
              <w:rPr>
                <w:rFonts w:cs="Arial"/>
                <w:color w:val="000000"/>
                <w:szCs w:val="20"/>
              </w:rPr>
              <w:t>1.95</w:t>
            </w:r>
          </w:p>
        </w:tc>
      </w:tr>
      <w:tr w:rsidR="00453634" w:rsidRPr="002164E2" w14:paraId="389068D1" w14:textId="77777777" w:rsidTr="002173DF">
        <w:tc>
          <w:tcPr>
            <w:tcW w:w="2821" w:type="dxa"/>
            <w:vAlign w:val="center"/>
          </w:tcPr>
          <w:p w14:paraId="60D7C35C" w14:textId="7C2C5B6B" w:rsidR="00453634" w:rsidRPr="002164E2" w:rsidRDefault="00453634" w:rsidP="00524BB2">
            <w:pPr>
              <w:spacing w:after="0"/>
            </w:pPr>
            <w:r>
              <w:rPr>
                <w:rFonts w:cs="Arial"/>
                <w:color w:val="000000"/>
                <w:szCs w:val="20"/>
              </w:rPr>
              <w:t xml:space="preserve">Balance = Y </w:t>
            </w:r>
            <w:r w:rsidR="00F724BF">
              <w:rPr>
                <w:rFonts w:cs="Arial"/>
                <w:color w:val="000000"/>
                <w:szCs w:val="20"/>
              </w:rPr>
              <w:t>-</w:t>
            </w:r>
            <w:r>
              <w:rPr>
                <w:rFonts w:cs="Arial"/>
                <w:color w:val="000000"/>
                <w:szCs w:val="20"/>
              </w:rPr>
              <w:t xml:space="preserve"> X</w:t>
            </w:r>
          </w:p>
        </w:tc>
        <w:tc>
          <w:tcPr>
            <w:tcW w:w="1427" w:type="dxa"/>
            <w:vAlign w:val="center"/>
          </w:tcPr>
          <w:p w14:paraId="506E7C49" w14:textId="4B7AFAD1" w:rsidR="00453634" w:rsidRPr="002164E2" w:rsidRDefault="00FA1EE1" w:rsidP="00524BB2">
            <w:pPr>
              <w:spacing w:after="0"/>
              <w:jc w:val="right"/>
            </w:pPr>
            <w:r w:rsidRPr="00A954D2">
              <w:rPr>
                <w:rFonts w:cs="Arial"/>
                <w:szCs w:val="20"/>
              </w:rPr>
              <w:t>-</w:t>
            </w:r>
            <w:r w:rsidR="00BC088E" w:rsidRPr="00A954D2">
              <w:rPr>
                <w:rFonts w:cs="Arial"/>
                <w:szCs w:val="20"/>
              </w:rPr>
              <w:t>0.</w:t>
            </w:r>
            <w:r w:rsidR="00DE6CF5" w:rsidRPr="00A954D2">
              <w:rPr>
                <w:rFonts w:cs="Arial"/>
                <w:szCs w:val="20"/>
              </w:rPr>
              <w:t>17</w:t>
            </w:r>
          </w:p>
        </w:tc>
        <w:tc>
          <w:tcPr>
            <w:tcW w:w="1559" w:type="dxa"/>
            <w:vAlign w:val="center"/>
          </w:tcPr>
          <w:p w14:paraId="39A2E186" w14:textId="2F8C3B50" w:rsidR="00453634" w:rsidRPr="002164E2" w:rsidRDefault="003F4E25" w:rsidP="00524BB2">
            <w:pPr>
              <w:spacing w:after="0"/>
              <w:jc w:val="right"/>
            </w:pPr>
            <w:r w:rsidRPr="00A954D2">
              <w:rPr>
                <w:rFonts w:cs="Arial"/>
                <w:szCs w:val="20"/>
              </w:rPr>
              <w:t>-0.19</w:t>
            </w:r>
          </w:p>
        </w:tc>
        <w:tc>
          <w:tcPr>
            <w:tcW w:w="1559" w:type="dxa"/>
            <w:vAlign w:val="center"/>
          </w:tcPr>
          <w:p w14:paraId="38B2A5D3" w14:textId="31CC278F" w:rsidR="00453634" w:rsidRPr="00854876" w:rsidRDefault="003F4E25" w:rsidP="00524BB2">
            <w:pPr>
              <w:spacing w:after="0" w:line="276" w:lineRule="auto"/>
              <w:jc w:val="right"/>
              <w:rPr>
                <w:rFonts w:cs="Arial"/>
                <w:color w:val="FF0000"/>
                <w:szCs w:val="20"/>
              </w:rPr>
            </w:pPr>
            <w:r w:rsidRPr="00A954D2">
              <w:rPr>
                <w:rFonts w:cs="Arial"/>
                <w:szCs w:val="20"/>
              </w:rPr>
              <w:t>-0.33</w:t>
            </w:r>
          </w:p>
        </w:tc>
      </w:tr>
      <w:tr w:rsidR="00453634" w:rsidRPr="00854876" w14:paraId="42A91BE7" w14:textId="77777777" w:rsidTr="002173DF">
        <w:tc>
          <w:tcPr>
            <w:tcW w:w="2821" w:type="dxa"/>
            <w:shd w:val="clear" w:color="auto" w:fill="F2F2F2" w:themeFill="background1" w:themeFillShade="F2"/>
            <w:vAlign w:val="center"/>
          </w:tcPr>
          <w:p w14:paraId="6FAAFF17" w14:textId="75153820" w:rsidR="00453634" w:rsidRPr="00A954D2" w:rsidRDefault="00FA1EE1" w:rsidP="00524BB2">
            <w:pPr>
              <w:spacing w:after="0"/>
              <w:rPr>
                <w:b/>
                <w:bCs/>
              </w:rPr>
            </w:pPr>
            <w:r w:rsidRPr="00A954D2">
              <w:rPr>
                <w:rFonts w:cs="Arial"/>
                <w:b/>
                <w:bCs/>
                <w:color w:val="000000"/>
                <w:szCs w:val="20"/>
              </w:rPr>
              <w:t>Closing c</w:t>
            </w:r>
            <w:r w:rsidR="00453634" w:rsidRPr="00A954D2">
              <w:rPr>
                <w:rFonts w:cs="Arial"/>
                <w:b/>
                <w:bCs/>
                <w:color w:val="000000"/>
                <w:szCs w:val="20"/>
              </w:rPr>
              <w:t>umulative balance</w:t>
            </w:r>
          </w:p>
        </w:tc>
        <w:tc>
          <w:tcPr>
            <w:tcW w:w="1427" w:type="dxa"/>
            <w:shd w:val="clear" w:color="auto" w:fill="F2F2F2" w:themeFill="background1" w:themeFillShade="F2"/>
            <w:vAlign w:val="center"/>
          </w:tcPr>
          <w:p w14:paraId="0E09109E" w14:textId="6BD04C23" w:rsidR="00453634" w:rsidRPr="002164E2" w:rsidRDefault="00BC088E" w:rsidP="00524BB2">
            <w:pPr>
              <w:spacing w:after="0"/>
              <w:jc w:val="right"/>
            </w:pPr>
            <w:r>
              <w:rPr>
                <w:rFonts w:cs="Arial"/>
                <w:color w:val="000000"/>
                <w:szCs w:val="20"/>
              </w:rPr>
              <w:t>0.</w:t>
            </w:r>
            <w:r w:rsidR="00DE6CF5">
              <w:rPr>
                <w:rFonts w:cs="Arial"/>
                <w:color w:val="000000"/>
                <w:szCs w:val="20"/>
              </w:rPr>
              <w:t>17</w:t>
            </w:r>
          </w:p>
        </w:tc>
        <w:tc>
          <w:tcPr>
            <w:tcW w:w="1559" w:type="dxa"/>
            <w:shd w:val="clear" w:color="auto" w:fill="F2F2F2" w:themeFill="background1" w:themeFillShade="F2"/>
            <w:vAlign w:val="center"/>
          </w:tcPr>
          <w:p w14:paraId="0CCF293C" w14:textId="73C67486" w:rsidR="00453634" w:rsidRPr="002164E2" w:rsidRDefault="003F4E25" w:rsidP="00524BB2">
            <w:pPr>
              <w:spacing w:after="0"/>
              <w:jc w:val="right"/>
            </w:pPr>
            <w:r>
              <w:rPr>
                <w:rFonts w:cs="Arial"/>
                <w:color w:val="000000"/>
                <w:szCs w:val="20"/>
              </w:rPr>
              <w:t>-0.03</w:t>
            </w:r>
          </w:p>
        </w:tc>
        <w:tc>
          <w:tcPr>
            <w:tcW w:w="1559" w:type="dxa"/>
            <w:shd w:val="clear" w:color="auto" w:fill="F2F2F2" w:themeFill="background1" w:themeFillShade="F2"/>
            <w:vAlign w:val="center"/>
          </w:tcPr>
          <w:p w14:paraId="026DA03E" w14:textId="5424A68E" w:rsidR="00453634" w:rsidRPr="00150E5E" w:rsidRDefault="003F4E25" w:rsidP="00524BB2">
            <w:pPr>
              <w:spacing w:after="0"/>
              <w:jc w:val="right"/>
            </w:pPr>
            <w:r>
              <w:rPr>
                <w:rFonts w:cs="Arial"/>
                <w:color w:val="000000"/>
                <w:szCs w:val="20"/>
              </w:rPr>
              <w:t>-0.35</w:t>
            </w:r>
          </w:p>
        </w:tc>
      </w:tr>
    </w:tbl>
    <w:p w14:paraId="4D824B01" w14:textId="77777777" w:rsidR="00AA00EF" w:rsidRDefault="00AA00EF" w:rsidP="00524BB2"/>
    <w:p w14:paraId="1482A318" w14:textId="0154C804" w:rsidR="00510E9F" w:rsidRPr="002164E2" w:rsidRDefault="00C823CF" w:rsidP="00524BB2">
      <w:r w:rsidRPr="002164E2">
        <w:t xml:space="preserve">Over the forward years, although the average </w:t>
      </w:r>
      <w:r w:rsidR="00C220D0">
        <w:t xml:space="preserve">annual </w:t>
      </w:r>
      <w:r w:rsidR="00FE5F42">
        <w:t xml:space="preserve">future </w:t>
      </w:r>
      <w:r w:rsidRPr="002164E2">
        <w:t xml:space="preserve">increase in total expenses is expected to be around </w:t>
      </w:r>
      <w:r w:rsidR="00473872">
        <w:t>2</w:t>
      </w:r>
      <w:r w:rsidR="00473872" w:rsidRPr="007D043B">
        <w:t xml:space="preserve"> </w:t>
      </w:r>
      <w:r w:rsidRPr="007D043B">
        <w:t>per</w:t>
      </w:r>
      <w:r w:rsidR="00473872">
        <w:t xml:space="preserve"> </w:t>
      </w:r>
      <w:r w:rsidRPr="007D043B">
        <w:t>cent</w:t>
      </w:r>
      <w:r w:rsidR="00021149">
        <w:t>, in</w:t>
      </w:r>
      <w:r w:rsidR="00473872">
        <w:t xml:space="preserve"> </w:t>
      </w:r>
      <w:r w:rsidR="00021149">
        <w:t>line with CPI increase</w:t>
      </w:r>
      <w:r w:rsidRPr="007D043B">
        <w:t xml:space="preserve">, the revenue is expected to continue declining at </w:t>
      </w:r>
      <w:r w:rsidR="00DD5418" w:rsidRPr="007D043B">
        <w:t xml:space="preserve">an average of </w:t>
      </w:r>
      <w:r w:rsidR="00E815DE">
        <w:t>4</w:t>
      </w:r>
      <w:r w:rsidR="00DD5418" w:rsidRPr="00E64A02">
        <w:t xml:space="preserve"> </w:t>
      </w:r>
      <w:r w:rsidRPr="007D043B">
        <w:t>per</w:t>
      </w:r>
      <w:r w:rsidR="00473872">
        <w:t xml:space="preserve"> </w:t>
      </w:r>
      <w:r w:rsidRPr="007D043B">
        <w:t>cent</w:t>
      </w:r>
      <w:r w:rsidRPr="002164E2">
        <w:t xml:space="preserve"> </w:t>
      </w:r>
      <w:r w:rsidR="00473872">
        <w:t>a</w:t>
      </w:r>
      <w:r w:rsidR="00473872" w:rsidRPr="002164E2">
        <w:t xml:space="preserve"> </w:t>
      </w:r>
      <w:r w:rsidRPr="002164E2">
        <w:t>year</w:t>
      </w:r>
      <w:r w:rsidR="00F3258C" w:rsidRPr="002164E2">
        <w:t>,</w:t>
      </w:r>
      <w:r w:rsidRPr="002164E2">
        <w:t xml:space="preserve"> due to </w:t>
      </w:r>
      <w:r w:rsidR="006E40C6">
        <w:t>significant</w:t>
      </w:r>
      <w:r w:rsidRPr="002164E2">
        <w:t xml:space="preserve"> drop in demand</w:t>
      </w:r>
      <w:r w:rsidR="007F7647">
        <w:t xml:space="preserve"> as disclosed in Table </w:t>
      </w:r>
      <w:r w:rsidR="006C4902">
        <w:t>5</w:t>
      </w:r>
      <w:r w:rsidRPr="002164E2">
        <w:t xml:space="preserve">. </w:t>
      </w:r>
      <w:r w:rsidR="00510E9F" w:rsidRPr="002164E2">
        <w:t>In 201</w:t>
      </w:r>
      <w:r w:rsidR="0093089C">
        <w:t>9</w:t>
      </w:r>
      <w:r w:rsidR="00C05FAD" w:rsidRPr="002164E2">
        <w:t>–</w:t>
      </w:r>
      <w:r w:rsidR="0093089C">
        <w:t>20</w:t>
      </w:r>
      <w:r w:rsidR="00510E9F" w:rsidRPr="002164E2">
        <w:t>, demand for subscriptions is expected to continue declining</w:t>
      </w:r>
      <w:r w:rsidR="00EE48CA" w:rsidRPr="002164E2">
        <w:t xml:space="preserve"> for </w:t>
      </w:r>
      <w:r w:rsidR="007F7647">
        <w:t>most</w:t>
      </w:r>
      <w:r w:rsidR="00EE48CA" w:rsidRPr="002164E2">
        <w:t xml:space="preserve"> paid subscription types</w:t>
      </w:r>
      <w:r w:rsidR="00510E9F" w:rsidRPr="002164E2">
        <w:t>.</w:t>
      </w:r>
    </w:p>
    <w:p w14:paraId="72B7995F" w14:textId="046B645E" w:rsidR="00510E9F" w:rsidRPr="002164E2" w:rsidRDefault="00510E9F" w:rsidP="00524BB2">
      <w:pPr>
        <w:pStyle w:val="Heading3"/>
      </w:pPr>
      <w:r w:rsidRPr="002164E2">
        <w:t xml:space="preserve">Impact on </w:t>
      </w:r>
      <w:r w:rsidR="00FA609D">
        <w:t xml:space="preserve">cumulative </w:t>
      </w:r>
      <w:r w:rsidRPr="002164E2">
        <w:t>balance</w:t>
      </w:r>
    </w:p>
    <w:p w14:paraId="00729A56" w14:textId="5A9BE5E4" w:rsidR="00C823CF" w:rsidRPr="002164E2" w:rsidRDefault="00E96C15" w:rsidP="00DE6CF5">
      <w:pPr>
        <w:spacing w:before="120" w:line="240" w:lineRule="auto"/>
        <w:rPr>
          <w:rFonts w:cs="Arial"/>
          <w:iCs/>
        </w:rPr>
      </w:pPr>
      <w:r>
        <w:rPr>
          <w:rFonts w:cs="Arial"/>
          <w:szCs w:val="20"/>
        </w:rPr>
        <w:t xml:space="preserve">The cumulative over-recovery of the </w:t>
      </w:r>
      <w:r w:rsidR="00F724BF">
        <w:rPr>
          <w:rFonts w:cs="Arial"/>
          <w:szCs w:val="20"/>
        </w:rPr>
        <w:t>r</w:t>
      </w:r>
      <w:r>
        <w:rPr>
          <w:rFonts w:cs="Arial"/>
          <w:szCs w:val="20"/>
        </w:rPr>
        <w:t>egister increase</w:t>
      </w:r>
      <w:r w:rsidR="00FA1EE1">
        <w:rPr>
          <w:rFonts w:cs="Arial"/>
          <w:szCs w:val="20"/>
        </w:rPr>
        <w:t>d</w:t>
      </w:r>
      <w:r>
        <w:rPr>
          <w:rFonts w:cs="Arial"/>
          <w:szCs w:val="20"/>
        </w:rPr>
        <w:t xml:space="preserve"> by $0.08</w:t>
      </w:r>
      <w:r w:rsidR="00795605">
        <w:rPr>
          <w:rFonts w:cs="Arial"/>
          <w:szCs w:val="20"/>
        </w:rPr>
        <w:t xml:space="preserve"> </w:t>
      </w:r>
      <w:r>
        <w:rPr>
          <w:rFonts w:cs="Arial"/>
          <w:szCs w:val="20"/>
        </w:rPr>
        <w:t>m</w:t>
      </w:r>
      <w:r w:rsidR="00C31E12">
        <w:rPr>
          <w:rFonts w:cs="Arial"/>
          <w:szCs w:val="20"/>
        </w:rPr>
        <w:t>illion</w:t>
      </w:r>
      <w:r>
        <w:rPr>
          <w:rFonts w:cs="Arial"/>
          <w:szCs w:val="20"/>
        </w:rPr>
        <w:t xml:space="preserve"> in 2017</w:t>
      </w:r>
      <w:r w:rsidR="00FA7E99">
        <w:rPr>
          <w:rFonts w:cs="Arial"/>
          <w:szCs w:val="20"/>
        </w:rPr>
        <w:t>–</w:t>
      </w:r>
      <w:r>
        <w:rPr>
          <w:rFonts w:cs="Arial"/>
          <w:szCs w:val="20"/>
        </w:rPr>
        <w:t xml:space="preserve">18 and </w:t>
      </w:r>
      <w:r w:rsidR="00FA1EE1">
        <w:rPr>
          <w:rFonts w:cs="Arial"/>
          <w:szCs w:val="20"/>
        </w:rPr>
        <w:t xml:space="preserve">currently </w:t>
      </w:r>
      <w:r>
        <w:rPr>
          <w:rFonts w:cs="Arial"/>
          <w:szCs w:val="20"/>
        </w:rPr>
        <w:t>totals $0.34m</w:t>
      </w:r>
      <w:r w:rsidR="00CF630C" w:rsidRPr="002164E2">
        <w:rPr>
          <w:rFonts w:cs="Arial"/>
          <w:iCs/>
        </w:rPr>
        <w:t xml:space="preserve">. Current modelling suggests that if demand for subscriptions continues </w:t>
      </w:r>
      <w:r w:rsidR="00CF630C" w:rsidRPr="002164E2">
        <w:rPr>
          <w:rFonts w:cs="Arial"/>
          <w:iCs/>
        </w:rPr>
        <w:lastRenderedPageBreak/>
        <w:t xml:space="preserve">to decline in forward years, the </w:t>
      </w:r>
      <w:r w:rsidR="00F724BF">
        <w:rPr>
          <w:rFonts w:cs="Arial"/>
          <w:iCs/>
        </w:rPr>
        <w:t>DNCR</w:t>
      </w:r>
      <w:r w:rsidR="00F724BF" w:rsidRPr="002164E2">
        <w:rPr>
          <w:rFonts w:cs="Arial"/>
          <w:iCs/>
        </w:rPr>
        <w:t xml:space="preserve"> </w:t>
      </w:r>
      <w:r w:rsidR="00CF630C" w:rsidRPr="002164E2">
        <w:rPr>
          <w:rFonts w:cs="Arial"/>
          <w:iCs/>
        </w:rPr>
        <w:t>may be under</w:t>
      </w:r>
      <w:r w:rsidR="00A95507" w:rsidRPr="002164E2">
        <w:rPr>
          <w:rFonts w:cs="Arial"/>
          <w:iCs/>
        </w:rPr>
        <w:t>-</w:t>
      </w:r>
      <w:r w:rsidR="00CF630C" w:rsidRPr="002164E2">
        <w:rPr>
          <w:rFonts w:cs="Arial"/>
          <w:iCs/>
        </w:rPr>
        <w:t>recovered by</w:t>
      </w:r>
      <w:r w:rsidR="00FE588B">
        <w:rPr>
          <w:rFonts w:cs="Arial"/>
          <w:iCs/>
        </w:rPr>
        <w:t xml:space="preserve"> $</w:t>
      </w:r>
      <w:r w:rsidR="003F4E25">
        <w:rPr>
          <w:rFonts w:cs="Arial"/>
          <w:iCs/>
        </w:rPr>
        <w:t>0.35</w:t>
      </w:r>
      <w:r w:rsidR="00D402F9" w:rsidRPr="002164E2">
        <w:rPr>
          <w:rFonts w:cs="Arial"/>
          <w:iCs/>
        </w:rPr>
        <w:t xml:space="preserve"> </w:t>
      </w:r>
      <w:r w:rsidR="00510E9F" w:rsidRPr="002164E2">
        <w:rPr>
          <w:rFonts w:cs="Arial"/>
          <w:iCs/>
        </w:rPr>
        <w:t xml:space="preserve">million </w:t>
      </w:r>
      <w:r w:rsidR="000D7CBD" w:rsidRPr="002164E2">
        <w:rPr>
          <w:rFonts w:cs="Arial"/>
          <w:iCs/>
        </w:rPr>
        <w:t xml:space="preserve">at the end of </w:t>
      </w:r>
      <w:r w:rsidR="00510E9F" w:rsidRPr="002164E2">
        <w:rPr>
          <w:rFonts w:cs="Arial"/>
          <w:iCs/>
        </w:rPr>
        <w:t>202</w:t>
      </w:r>
      <w:r w:rsidR="009A20E2">
        <w:rPr>
          <w:rFonts w:cs="Arial"/>
          <w:iCs/>
        </w:rPr>
        <w:t>1</w:t>
      </w:r>
      <w:r w:rsidR="00C05FAD" w:rsidRPr="002164E2">
        <w:rPr>
          <w:rFonts w:cs="Arial"/>
          <w:iCs/>
        </w:rPr>
        <w:t>–</w:t>
      </w:r>
      <w:r w:rsidR="00CF630C" w:rsidRPr="002164E2">
        <w:rPr>
          <w:rFonts w:cs="Arial"/>
          <w:iCs/>
        </w:rPr>
        <w:t>2</w:t>
      </w:r>
      <w:r w:rsidR="009A20E2">
        <w:rPr>
          <w:rFonts w:cs="Arial"/>
          <w:iCs/>
        </w:rPr>
        <w:t>2</w:t>
      </w:r>
      <w:r w:rsidR="00F3258C" w:rsidRPr="002164E2">
        <w:rPr>
          <w:rFonts w:cs="Arial"/>
          <w:iCs/>
        </w:rPr>
        <w:t>.</w:t>
      </w:r>
      <w:r w:rsidR="00CF630C" w:rsidRPr="002164E2">
        <w:rPr>
          <w:rStyle w:val="FootnoteReference"/>
          <w:rFonts w:cs="Arial"/>
          <w:iCs/>
        </w:rPr>
        <w:footnoteReference w:id="4"/>
      </w:r>
      <w:r w:rsidR="006C4902">
        <w:rPr>
          <w:rFonts w:cs="Arial"/>
          <w:iCs/>
        </w:rPr>
        <w:t xml:space="preserve"> </w:t>
      </w:r>
    </w:p>
    <w:p w14:paraId="417EE8EB" w14:textId="29CF35F8" w:rsidR="00510E9F" w:rsidRPr="002164E2" w:rsidRDefault="00C823CF" w:rsidP="00524BB2">
      <w:pPr>
        <w:spacing w:before="120"/>
        <w:rPr>
          <w:rFonts w:cs="Arial"/>
          <w:iCs/>
        </w:rPr>
      </w:pPr>
      <w:r w:rsidRPr="002164E2">
        <w:t xml:space="preserve">ACMA </w:t>
      </w:r>
      <w:r w:rsidR="005B4C87">
        <w:t xml:space="preserve">continues to </w:t>
      </w:r>
      <w:r w:rsidRPr="002164E2">
        <w:t xml:space="preserve">closely monitor revenue trends </w:t>
      </w:r>
      <w:r w:rsidR="005B4C87">
        <w:t>each</w:t>
      </w:r>
      <w:r w:rsidRPr="002164E2">
        <w:t xml:space="preserve"> </w:t>
      </w:r>
      <w:r w:rsidR="005B4C87" w:rsidRPr="002164E2">
        <w:t xml:space="preserve">month </w:t>
      </w:r>
      <w:r w:rsidRPr="002164E2">
        <w:t>to manage potential under or over</w:t>
      </w:r>
      <w:r w:rsidR="00F724BF">
        <w:t>-</w:t>
      </w:r>
      <w:r w:rsidRPr="002164E2">
        <w:t>recoveries</w:t>
      </w:r>
      <w:r w:rsidR="005B4C87">
        <w:t>.</w:t>
      </w:r>
    </w:p>
    <w:p w14:paraId="53B56185" w14:textId="0D563247" w:rsidR="00510E9F" w:rsidRPr="002164E2" w:rsidRDefault="00510E9F" w:rsidP="00524BB2">
      <w:pPr>
        <w:pStyle w:val="Heading1"/>
      </w:pPr>
      <w:bookmarkStart w:id="126" w:name="_Toc355953992"/>
      <w:bookmarkStart w:id="127" w:name="_Toc385256322"/>
      <w:bookmarkStart w:id="128" w:name="_Toc482346599"/>
      <w:bookmarkStart w:id="129" w:name="_Toc16097292"/>
      <w:bookmarkStart w:id="130" w:name="_Toc16097401"/>
      <w:bookmarkStart w:id="131" w:name="_Toc518999107"/>
      <w:bookmarkStart w:id="132" w:name="_Toc26195078"/>
      <w:r w:rsidRPr="002164E2">
        <w:lastRenderedPageBreak/>
        <w:t>F</w:t>
      </w:r>
      <w:bookmarkEnd w:id="126"/>
      <w:r w:rsidRPr="002164E2">
        <w:t xml:space="preserve">inancial </w:t>
      </w:r>
      <w:bookmarkEnd w:id="127"/>
      <w:r w:rsidRPr="002164E2">
        <w:t>performance</w:t>
      </w:r>
      <w:bookmarkEnd w:id="128"/>
      <w:bookmarkEnd w:id="129"/>
      <w:bookmarkEnd w:id="130"/>
      <w:bookmarkEnd w:id="131"/>
      <w:bookmarkEnd w:id="132"/>
    </w:p>
    <w:p w14:paraId="3CAB9554" w14:textId="305AA19A" w:rsidR="00E449DA" w:rsidRPr="00130F54" w:rsidRDefault="00E449DA" w:rsidP="002173DF">
      <w:r>
        <w:rPr>
          <w:rFonts w:cs="Arial"/>
          <w:iCs/>
        </w:rPr>
        <w:t>Historical actual financial results for DNCR are discussed below.</w:t>
      </w:r>
    </w:p>
    <w:p w14:paraId="7ED3DE91" w14:textId="564920C0" w:rsidR="0057284A" w:rsidRPr="00E812FA" w:rsidRDefault="0057284A" w:rsidP="00A954D2">
      <w:pPr>
        <w:pStyle w:val="Caption"/>
        <w:numPr>
          <w:ilvl w:val="0"/>
          <w:numId w:val="29"/>
        </w:numPr>
        <w:spacing w:after="80"/>
      </w:pPr>
      <w:r w:rsidRPr="00E812FA">
        <w:t>Historical demand from 2015</w:t>
      </w:r>
      <w:r w:rsidR="00FA7E99">
        <w:t>–</w:t>
      </w:r>
      <w:r w:rsidRPr="00E812FA">
        <w:t>16 to 2017</w:t>
      </w:r>
      <w:r w:rsidR="00FA7E99">
        <w:t>–</w:t>
      </w:r>
      <w:r w:rsidRPr="00E812FA">
        <w:t>18</w:t>
      </w:r>
    </w:p>
    <w:tbl>
      <w:tblPr>
        <w:tblStyle w:val="TableGrid"/>
        <w:tblW w:w="8926" w:type="dxa"/>
        <w:tblLayout w:type="fixed"/>
        <w:tblCellMar>
          <w:top w:w="57" w:type="dxa"/>
          <w:left w:w="57" w:type="dxa"/>
          <w:bottom w:w="57" w:type="dxa"/>
          <w:right w:w="57" w:type="dxa"/>
        </w:tblCellMar>
        <w:tblLook w:val="04A0" w:firstRow="1" w:lastRow="0" w:firstColumn="1" w:lastColumn="0" w:noHBand="0" w:noVBand="1"/>
      </w:tblPr>
      <w:tblGrid>
        <w:gridCol w:w="1411"/>
        <w:gridCol w:w="1891"/>
        <w:gridCol w:w="1938"/>
        <w:gridCol w:w="1843"/>
        <w:gridCol w:w="1843"/>
      </w:tblGrid>
      <w:tr w:rsidR="00F724BF" w:rsidRPr="00212B85" w14:paraId="7D23BF4D" w14:textId="77777777" w:rsidTr="00A954D2">
        <w:trPr>
          <w:trHeight w:val="488"/>
        </w:trPr>
        <w:tc>
          <w:tcPr>
            <w:tcW w:w="1411" w:type="dxa"/>
            <w:shd w:val="clear" w:color="auto" w:fill="404040" w:themeFill="text1" w:themeFillTint="BF"/>
            <w:vAlign w:val="center"/>
          </w:tcPr>
          <w:p w14:paraId="210E49F4" w14:textId="77777777" w:rsidR="00F724BF" w:rsidRPr="00212B85" w:rsidRDefault="00F724BF" w:rsidP="00130F54">
            <w:pPr>
              <w:pStyle w:val="TableHeading"/>
              <w:jc w:val="center"/>
              <w:rPr>
                <w:rFonts w:eastAsia="SimSun"/>
                <w:color w:val="FFFFFF" w:themeColor="background1"/>
              </w:rPr>
            </w:pPr>
            <w:r w:rsidRPr="00212B85">
              <w:rPr>
                <w:color w:val="FFFFFF" w:themeColor="background1"/>
              </w:rPr>
              <w:t>Type</w:t>
            </w:r>
          </w:p>
        </w:tc>
        <w:tc>
          <w:tcPr>
            <w:tcW w:w="1891" w:type="dxa"/>
            <w:shd w:val="clear" w:color="auto" w:fill="404040" w:themeFill="text1" w:themeFillTint="BF"/>
            <w:vAlign w:val="center"/>
          </w:tcPr>
          <w:p w14:paraId="3C37D10F" w14:textId="77777777" w:rsidR="00F724BF" w:rsidRPr="00212B85" w:rsidRDefault="00F724BF" w:rsidP="00130F54">
            <w:pPr>
              <w:pStyle w:val="TableHeading"/>
              <w:jc w:val="center"/>
              <w:rPr>
                <w:rFonts w:eastAsia="SimSun"/>
                <w:color w:val="FFFFFF" w:themeColor="background1"/>
              </w:rPr>
            </w:pPr>
            <w:r w:rsidRPr="00212B85">
              <w:rPr>
                <w:color w:val="FFFFFF" w:themeColor="background1"/>
              </w:rPr>
              <w:t>No. of washes</w:t>
            </w:r>
          </w:p>
        </w:tc>
        <w:tc>
          <w:tcPr>
            <w:tcW w:w="1938" w:type="dxa"/>
            <w:shd w:val="clear" w:color="auto" w:fill="404040" w:themeFill="text1" w:themeFillTint="BF"/>
            <w:vAlign w:val="center"/>
          </w:tcPr>
          <w:p w14:paraId="445C07DD" w14:textId="4F2EA3DF" w:rsidR="00F724BF" w:rsidRPr="00212B85" w:rsidRDefault="00F724BF" w:rsidP="00130F54">
            <w:pPr>
              <w:pStyle w:val="TableHeading"/>
              <w:jc w:val="center"/>
              <w:rPr>
                <w:color w:val="FFFFFF" w:themeColor="background1"/>
              </w:rPr>
            </w:pPr>
            <w:r w:rsidRPr="00212B85">
              <w:rPr>
                <w:color w:val="FFFFFF" w:themeColor="background1"/>
              </w:rPr>
              <w:t>2015–16 (actual)</w:t>
            </w:r>
          </w:p>
        </w:tc>
        <w:tc>
          <w:tcPr>
            <w:tcW w:w="1843" w:type="dxa"/>
            <w:shd w:val="clear" w:color="auto" w:fill="404040" w:themeFill="text1" w:themeFillTint="BF"/>
            <w:vAlign w:val="center"/>
          </w:tcPr>
          <w:p w14:paraId="19A673D7" w14:textId="03D79C5E" w:rsidR="00F724BF" w:rsidRPr="00212B85" w:rsidRDefault="00F724BF" w:rsidP="00130F54">
            <w:pPr>
              <w:pStyle w:val="TableHeading"/>
              <w:jc w:val="center"/>
              <w:rPr>
                <w:color w:val="FFFFFF" w:themeColor="background1"/>
              </w:rPr>
            </w:pPr>
            <w:r w:rsidRPr="00212B85">
              <w:rPr>
                <w:color w:val="FFFFFF" w:themeColor="background1"/>
              </w:rPr>
              <w:t>2016–17 (actual)</w:t>
            </w:r>
          </w:p>
        </w:tc>
        <w:tc>
          <w:tcPr>
            <w:tcW w:w="1843" w:type="dxa"/>
            <w:shd w:val="clear" w:color="auto" w:fill="404040" w:themeFill="text1" w:themeFillTint="BF"/>
            <w:vAlign w:val="center"/>
          </w:tcPr>
          <w:p w14:paraId="21B6CEAE" w14:textId="08393074" w:rsidR="00F724BF" w:rsidRPr="00212B85" w:rsidRDefault="00F724BF" w:rsidP="00130F54">
            <w:pPr>
              <w:pStyle w:val="TableHeading"/>
              <w:jc w:val="center"/>
              <w:rPr>
                <w:color w:val="FFFFFF" w:themeColor="background1"/>
              </w:rPr>
            </w:pPr>
            <w:r w:rsidRPr="00212B85">
              <w:rPr>
                <w:color w:val="FFFFFF" w:themeColor="background1"/>
              </w:rPr>
              <w:t>2017–18 (actual)</w:t>
            </w:r>
          </w:p>
        </w:tc>
      </w:tr>
      <w:tr w:rsidR="0057284A" w:rsidRPr="00F34A23" w14:paraId="4595D426" w14:textId="77777777" w:rsidTr="00E93FFC">
        <w:trPr>
          <w:trHeight w:val="27"/>
        </w:trPr>
        <w:tc>
          <w:tcPr>
            <w:tcW w:w="1411" w:type="dxa"/>
            <w:vAlign w:val="center"/>
          </w:tcPr>
          <w:p w14:paraId="07C6EB37" w14:textId="77777777" w:rsidR="0057284A" w:rsidRPr="00343D56" w:rsidRDefault="0057284A" w:rsidP="00130F54">
            <w:pPr>
              <w:spacing w:after="0"/>
              <w:rPr>
                <w:rFonts w:eastAsia="SimSun"/>
              </w:rPr>
            </w:pPr>
            <w:r w:rsidRPr="00E812FA">
              <w:rPr>
                <w:rFonts w:cs="Arial"/>
                <w:color w:val="000000"/>
                <w:sz w:val="18"/>
                <w:szCs w:val="18"/>
              </w:rPr>
              <w:t>Type A</w:t>
            </w:r>
          </w:p>
        </w:tc>
        <w:tc>
          <w:tcPr>
            <w:tcW w:w="1891" w:type="dxa"/>
            <w:vAlign w:val="center"/>
          </w:tcPr>
          <w:p w14:paraId="753A4E35" w14:textId="77777777" w:rsidR="0057284A" w:rsidRPr="00343D56" w:rsidRDefault="0057284A" w:rsidP="00130F54">
            <w:pPr>
              <w:spacing w:after="0"/>
              <w:jc w:val="center"/>
              <w:rPr>
                <w:rFonts w:eastAsia="SimSun"/>
              </w:rPr>
            </w:pPr>
            <w:r w:rsidRPr="00343D56">
              <w:rPr>
                <w:rFonts w:cs="Arial"/>
                <w:color w:val="000000"/>
                <w:sz w:val="18"/>
                <w:szCs w:val="18"/>
              </w:rPr>
              <w:t>500</w:t>
            </w:r>
          </w:p>
        </w:tc>
        <w:tc>
          <w:tcPr>
            <w:tcW w:w="1938" w:type="dxa"/>
            <w:vAlign w:val="center"/>
          </w:tcPr>
          <w:p w14:paraId="58D72E0E"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413</w:t>
            </w:r>
          </w:p>
        </w:tc>
        <w:tc>
          <w:tcPr>
            <w:tcW w:w="1843" w:type="dxa"/>
            <w:vAlign w:val="center"/>
          </w:tcPr>
          <w:p w14:paraId="520EB104"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2,409*</w:t>
            </w:r>
          </w:p>
        </w:tc>
        <w:tc>
          <w:tcPr>
            <w:tcW w:w="1843" w:type="dxa"/>
            <w:vAlign w:val="center"/>
          </w:tcPr>
          <w:p w14:paraId="18A9CFCE" w14:textId="77777777" w:rsidR="0057284A" w:rsidRPr="00F34A23" w:rsidRDefault="0057284A" w:rsidP="00130F54">
            <w:pPr>
              <w:spacing w:after="0"/>
              <w:jc w:val="center"/>
              <w:rPr>
                <w:rFonts w:cs="Arial"/>
                <w:color w:val="000000"/>
                <w:sz w:val="18"/>
                <w:szCs w:val="18"/>
              </w:rPr>
            </w:pPr>
            <w:r>
              <w:rPr>
                <w:rFonts w:cs="Arial"/>
                <w:color w:val="000000"/>
                <w:sz w:val="18"/>
                <w:szCs w:val="18"/>
              </w:rPr>
              <w:t>1,168</w:t>
            </w:r>
            <w:r w:rsidRPr="00212B85">
              <w:rPr>
                <w:rFonts w:cs="Arial"/>
                <w:color w:val="000000"/>
                <w:sz w:val="18"/>
                <w:szCs w:val="18"/>
              </w:rPr>
              <w:t>*</w:t>
            </w:r>
          </w:p>
        </w:tc>
      </w:tr>
      <w:tr w:rsidR="0057284A" w:rsidRPr="00F34A23" w14:paraId="1C60EBA5" w14:textId="77777777" w:rsidTr="00E93FFC">
        <w:trPr>
          <w:trHeight w:val="27"/>
        </w:trPr>
        <w:tc>
          <w:tcPr>
            <w:tcW w:w="1411" w:type="dxa"/>
            <w:vAlign w:val="center"/>
          </w:tcPr>
          <w:p w14:paraId="1FF88621" w14:textId="77777777" w:rsidR="0057284A" w:rsidRPr="00343D56" w:rsidRDefault="0057284A" w:rsidP="00130F54">
            <w:pPr>
              <w:spacing w:after="0"/>
              <w:rPr>
                <w:rFonts w:eastAsia="SimSun"/>
              </w:rPr>
            </w:pPr>
            <w:r w:rsidRPr="00E812FA">
              <w:rPr>
                <w:rFonts w:cs="Arial"/>
                <w:color w:val="000000"/>
                <w:sz w:val="18"/>
                <w:szCs w:val="18"/>
              </w:rPr>
              <w:t>Type B</w:t>
            </w:r>
          </w:p>
        </w:tc>
        <w:tc>
          <w:tcPr>
            <w:tcW w:w="1891" w:type="dxa"/>
            <w:vAlign w:val="center"/>
          </w:tcPr>
          <w:p w14:paraId="1C3E6F0A" w14:textId="77777777" w:rsidR="0057284A" w:rsidRPr="00343D56" w:rsidRDefault="0057284A" w:rsidP="00130F54">
            <w:pPr>
              <w:spacing w:after="0"/>
              <w:jc w:val="center"/>
              <w:rPr>
                <w:rFonts w:eastAsia="SimSun"/>
              </w:rPr>
            </w:pPr>
            <w:r w:rsidRPr="00343D56">
              <w:rPr>
                <w:rFonts w:cs="Arial"/>
                <w:color w:val="000000"/>
                <w:sz w:val="18"/>
                <w:szCs w:val="18"/>
              </w:rPr>
              <w:t>20,000</w:t>
            </w:r>
          </w:p>
        </w:tc>
        <w:tc>
          <w:tcPr>
            <w:tcW w:w="1938" w:type="dxa"/>
            <w:vAlign w:val="center"/>
          </w:tcPr>
          <w:p w14:paraId="22369E50"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997</w:t>
            </w:r>
          </w:p>
        </w:tc>
        <w:tc>
          <w:tcPr>
            <w:tcW w:w="1843" w:type="dxa"/>
            <w:vAlign w:val="center"/>
          </w:tcPr>
          <w:p w14:paraId="24642813"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1,029</w:t>
            </w:r>
          </w:p>
        </w:tc>
        <w:tc>
          <w:tcPr>
            <w:tcW w:w="1843" w:type="dxa"/>
            <w:vAlign w:val="center"/>
          </w:tcPr>
          <w:p w14:paraId="31621F8B" w14:textId="77777777" w:rsidR="0057284A" w:rsidRPr="00F34A23" w:rsidRDefault="0057284A" w:rsidP="00130F54">
            <w:pPr>
              <w:spacing w:after="0"/>
              <w:jc w:val="center"/>
              <w:rPr>
                <w:rFonts w:cs="Arial"/>
                <w:color w:val="000000"/>
                <w:sz w:val="18"/>
                <w:szCs w:val="18"/>
              </w:rPr>
            </w:pPr>
            <w:r>
              <w:rPr>
                <w:rFonts w:cs="Arial"/>
                <w:color w:val="000000"/>
                <w:sz w:val="18"/>
                <w:szCs w:val="18"/>
              </w:rPr>
              <w:t>850</w:t>
            </w:r>
          </w:p>
        </w:tc>
      </w:tr>
      <w:tr w:rsidR="0057284A" w:rsidRPr="00F34A23" w14:paraId="14E56DE9" w14:textId="77777777" w:rsidTr="00E93FFC">
        <w:trPr>
          <w:trHeight w:val="27"/>
        </w:trPr>
        <w:tc>
          <w:tcPr>
            <w:tcW w:w="1411" w:type="dxa"/>
            <w:vAlign w:val="center"/>
          </w:tcPr>
          <w:p w14:paraId="4D3CCBBE" w14:textId="77777777" w:rsidR="0057284A" w:rsidRPr="00343D56" w:rsidRDefault="0057284A" w:rsidP="00130F54">
            <w:pPr>
              <w:spacing w:after="0"/>
              <w:rPr>
                <w:rFonts w:eastAsia="SimSun"/>
              </w:rPr>
            </w:pPr>
            <w:r w:rsidRPr="00E812FA">
              <w:rPr>
                <w:rFonts w:cs="Arial"/>
                <w:color w:val="000000"/>
                <w:sz w:val="18"/>
                <w:szCs w:val="18"/>
              </w:rPr>
              <w:t>Type C</w:t>
            </w:r>
          </w:p>
        </w:tc>
        <w:tc>
          <w:tcPr>
            <w:tcW w:w="1891" w:type="dxa"/>
            <w:vAlign w:val="center"/>
          </w:tcPr>
          <w:p w14:paraId="306117B5" w14:textId="77777777" w:rsidR="0057284A" w:rsidRPr="00343D56" w:rsidRDefault="0057284A" w:rsidP="00130F54">
            <w:pPr>
              <w:spacing w:after="0"/>
              <w:jc w:val="center"/>
              <w:rPr>
                <w:rFonts w:eastAsia="SimSun"/>
              </w:rPr>
            </w:pPr>
            <w:r w:rsidRPr="00343D56">
              <w:rPr>
                <w:rFonts w:cs="Arial"/>
                <w:color w:val="000000"/>
                <w:sz w:val="18"/>
                <w:szCs w:val="18"/>
              </w:rPr>
              <w:t>100,000</w:t>
            </w:r>
          </w:p>
        </w:tc>
        <w:tc>
          <w:tcPr>
            <w:tcW w:w="1938" w:type="dxa"/>
            <w:vAlign w:val="center"/>
          </w:tcPr>
          <w:p w14:paraId="17D752DF"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1,203</w:t>
            </w:r>
          </w:p>
        </w:tc>
        <w:tc>
          <w:tcPr>
            <w:tcW w:w="1843" w:type="dxa"/>
            <w:vAlign w:val="center"/>
          </w:tcPr>
          <w:p w14:paraId="3A92FFDE"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1,117</w:t>
            </w:r>
          </w:p>
        </w:tc>
        <w:tc>
          <w:tcPr>
            <w:tcW w:w="1843" w:type="dxa"/>
            <w:vAlign w:val="center"/>
          </w:tcPr>
          <w:p w14:paraId="346EACBC" w14:textId="77777777" w:rsidR="0057284A" w:rsidRPr="00F34A23" w:rsidRDefault="0057284A" w:rsidP="00130F54">
            <w:pPr>
              <w:spacing w:after="0"/>
              <w:jc w:val="center"/>
              <w:rPr>
                <w:rFonts w:cs="Arial"/>
                <w:color w:val="000000"/>
                <w:sz w:val="18"/>
                <w:szCs w:val="18"/>
              </w:rPr>
            </w:pPr>
            <w:r>
              <w:rPr>
                <w:rFonts w:cs="Arial"/>
                <w:color w:val="000000"/>
                <w:sz w:val="18"/>
                <w:szCs w:val="18"/>
              </w:rPr>
              <w:t>779</w:t>
            </w:r>
          </w:p>
        </w:tc>
      </w:tr>
      <w:tr w:rsidR="0057284A" w:rsidRPr="00F34A23" w14:paraId="604863D4" w14:textId="77777777" w:rsidTr="00E93FFC">
        <w:trPr>
          <w:trHeight w:val="27"/>
        </w:trPr>
        <w:tc>
          <w:tcPr>
            <w:tcW w:w="1411" w:type="dxa"/>
            <w:vAlign w:val="center"/>
          </w:tcPr>
          <w:p w14:paraId="40B62D4E" w14:textId="77777777" w:rsidR="0057284A" w:rsidRPr="00343D56" w:rsidRDefault="0057284A" w:rsidP="00130F54">
            <w:pPr>
              <w:spacing w:after="0"/>
              <w:rPr>
                <w:rFonts w:eastAsia="SimSun"/>
              </w:rPr>
            </w:pPr>
            <w:r w:rsidRPr="00E812FA">
              <w:rPr>
                <w:rFonts w:cs="Arial"/>
                <w:color w:val="000000"/>
                <w:sz w:val="18"/>
                <w:szCs w:val="18"/>
              </w:rPr>
              <w:t>Type D</w:t>
            </w:r>
          </w:p>
        </w:tc>
        <w:tc>
          <w:tcPr>
            <w:tcW w:w="1891" w:type="dxa"/>
            <w:vAlign w:val="center"/>
          </w:tcPr>
          <w:p w14:paraId="27F4E2E1" w14:textId="77777777" w:rsidR="0057284A" w:rsidRPr="00343D56" w:rsidRDefault="0057284A" w:rsidP="00130F54">
            <w:pPr>
              <w:spacing w:after="0"/>
              <w:jc w:val="center"/>
              <w:rPr>
                <w:rFonts w:eastAsia="SimSun"/>
              </w:rPr>
            </w:pPr>
            <w:r w:rsidRPr="00343D56">
              <w:rPr>
                <w:rFonts w:cs="Arial"/>
                <w:color w:val="000000"/>
                <w:sz w:val="18"/>
                <w:szCs w:val="18"/>
              </w:rPr>
              <w:t>1,000,000</w:t>
            </w:r>
          </w:p>
        </w:tc>
        <w:tc>
          <w:tcPr>
            <w:tcW w:w="1938" w:type="dxa"/>
            <w:vAlign w:val="center"/>
          </w:tcPr>
          <w:p w14:paraId="78B08789"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286</w:t>
            </w:r>
          </w:p>
        </w:tc>
        <w:tc>
          <w:tcPr>
            <w:tcW w:w="1843" w:type="dxa"/>
            <w:vAlign w:val="center"/>
          </w:tcPr>
          <w:p w14:paraId="274C7CA5"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261</w:t>
            </w:r>
          </w:p>
        </w:tc>
        <w:tc>
          <w:tcPr>
            <w:tcW w:w="1843" w:type="dxa"/>
            <w:vAlign w:val="center"/>
          </w:tcPr>
          <w:p w14:paraId="3C5692BE" w14:textId="77777777" w:rsidR="0057284A" w:rsidRPr="00F34A23" w:rsidRDefault="0057284A" w:rsidP="00130F54">
            <w:pPr>
              <w:spacing w:after="0"/>
              <w:jc w:val="center"/>
              <w:rPr>
                <w:rFonts w:cs="Arial"/>
                <w:color w:val="000000"/>
                <w:sz w:val="18"/>
                <w:szCs w:val="18"/>
              </w:rPr>
            </w:pPr>
            <w:r>
              <w:rPr>
                <w:rFonts w:cs="Arial"/>
                <w:color w:val="000000"/>
                <w:sz w:val="18"/>
                <w:szCs w:val="18"/>
              </w:rPr>
              <w:t>231</w:t>
            </w:r>
          </w:p>
        </w:tc>
      </w:tr>
      <w:tr w:rsidR="0057284A" w:rsidRPr="00F34A23" w14:paraId="6FB27831" w14:textId="77777777" w:rsidTr="00E93FFC">
        <w:trPr>
          <w:trHeight w:val="27"/>
        </w:trPr>
        <w:tc>
          <w:tcPr>
            <w:tcW w:w="1411" w:type="dxa"/>
            <w:vAlign w:val="center"/>
          </w:tcPr>
          <w:p w14:paraId="542AAFEE" w14:textId="77777777" w:rsidR="0057284A" w:rsidRPr="00343D56" w:rsidRDefault="0057284A" w:rsidP="00130F54">
            <w:pPr>
              <w:spacing w:after="0"/>
              <w:rPr>
                <w:rFonts w:eastAsia="SimSun"/>
              </w:rPr>
            </w:pPr>
            <w:r w:rsidRPr="00E812FA">
              <w:rPr>
                <w:rFonts w:cs="Arial"/>
                <w:color w:val="000000"/>
                <w:sz w:val="18"/>
                <w:szCs w:val="18"/>
              </w:rPr>
              <w:t>Type E</w:t>
            </w:r>
          </w:p>
        </w:tc>
        <w:tc>
          <w:tcPr>
            <w:tcW w:w="1891" w:type="dxa"/>
            <w:vAlign w:val="center"/>
          </w:tcPr>
          <w:p w14:paraId="04AC173B" w14:textId="77777777" w:rsidR="0057284A" w:rsidRPr="00343D56" w:rsidRDefault="0057284A" w:rsidP="00130F54">
            <w:pPr>
              <w:spacing w:after="0"/>
              <w:jc w:val="center"/>
              <w:rPr>
                <w:rFonts w:eastAsia="SimSun"/>
              </w:rPr>
            </w:pPr>
            <w:r w:rsidRPr="00343D56">
              <w:rPr>
                <w:rFonts w:cs="Arial"/>
                <w:color w:val="000000"/>
                <w:sz w:val="18"/>
                <w:szCs w:val="18"/>
              </w:rPr>
              <w:t>10,000,000</w:t>
            </w:r>
          </w:p>
        </w:tc>
        <w:tc>
          <w:tcPr>
            <w:tcW w:w="1938" w:type="dxa"/>
            <w:vAlign w:val="center"/>
          </w:tcPr>
          <w:p w14:paraId="5903D6C6"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8</w:t>
            </w:r>
          </w:p>
        </w:tc>
        <w:tc>
          <w:tcPr>
            <w:tcW w:w="1843" w:type="dxa"/>
            <w:vAlign w:val="center"/>
          </w:tcPr>
          <w:p w14:paraId="03534772"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9</w:t>
            </w:r>
          </w:p>
        </w:tc>
        <w:tc>
          <w:tcPr>
            <w:tcW w:w="1843" w:type="dxa"/>
            <w:vAlign w:val="center"/>
          </w:tcPr>
          <w:p w14:paraId="2CE887E7" w14:textId="77777777" w:rsidR="0057284A" w:rsidRPr="00F34A23" w:rsidRDefault="0057284A" w:rsidP="00130F54">
            <w:pPr>
              <w:spacing w:after="0"/>
              <w:jc w:val="center"/>
              <w:rPr>
                <w:rFonts w:cs="Arial"/>
                <w:color w:val="000000"/>
                <w:sz w:val="18"/>
                <w:szCs w:val="18"/>
              </w:rPr>
            </w:pPr>
            <w:r>
              <w:rPr>
                <w:rFonts w:cs="Arial"/>
                <w:color w:val="000000"/>
                <w:sz w:val="18"/>
                <w:szCs w:val="18"/>
              </w:rPr>
              <w:t>4</w:t>
            </w:r>
          </w:p>
        </w:tc>
      </w:tr>
      <w:tr w:rsidR="0057284A" w:rsidRPr="00F34A23" w14:paraId="0A0AA77A" w14:textId="77777777" w:rsidTr="00E93FFC">
        <w:trPr>
          <w:trHeight w:val="27"/>
        </w:trPr>
        <w:tc>
          <w:tcPr>
            <w:tcW w:w="1411" w:type="dxa"/>
            <w:vAlign w:val="center"/>
          </w:tcPr>
          <w:p w14:paraId="2CB9E763" w14:textId="77777777" w:rsidR="0057284A" w:rsidRPr="00343D56" w:rsidRDefault="0057284A" w:rsidP="00130F54">
            <w:pPr>
              <w:spacing w:after="0"/>
              <w:rPr>
                <w:rFonts w:eastAsia="SimSun"/>
              </w:rPr>
            </w:pPr>
            <w:r w:rsidRPr="00E812FA">
              <w:rPr>
                <w:rFonts w:cs="Arial"/>
                <w:color w:val="000000"/>
                <w:sz w:val="18"/>
                <w:szCs w:val="18"/>
              </w:rPr>
              <w:t>Type F</w:t>
            </w:r>
          </w:p>
        </w:tc>
        <w:tc>
          <w:tcPr>
            <w:tcW w:w="1891" w:type="dxa"/>
            <w:vAlign w:val="center"/>
          </w:tcPr>
          <w:p w14:paraId="72EE96E8" w14:textId="77777777" w:rsidR="0057284A" w:rsidRPr="00343D56" w:rsidRDefault="0057284A" w:rsidP="00130F54">
            <w:pPr>
              <w:spacing w:after="0"/>
              <w:jc w:val="center"/>
              <w:rPr>
                <w:rFonts w:eastAsia="SimSun"/>
              </w:rPr>
            </w:pPr>
            <w:r w:rsidRPr="00343D56">
              <w:rPr>
                <w:rFonts w:cs="Arial"/>
                <w:color w:val="000000"/>
                <w:sz w:val="18"/>
                <w:szCs w:val="18"/>
              </w:rPr>
              <w:t>20,000,000</w:t>
            </w:r>
          </w:p>
        </w:tc>
        <w:tc>
          <w:tcPr>
            <w:tcW w:w="1938" w:type="dxa"/>
            <w:vAlign w:val="center"/>
          </w:tcPr>
          <w:p w14:paraId="4620293C"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1</w:t>
            </w:r>
          </w:p>
        </w:tc>
        <w:tc>
          <w:tcPr>
            <w:tcW w:w="1843" w:type="dxa"/>
            <w:vAlign w:val="center"/>
          </w:tcPr>
          <w:p w14:paraId="5ADAAC73"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1</w:t>
            </w:r>
          </w:p>
        </w:tc>
        <w:tc>
          <w:tcPr>
            <w:tcW w:w="1843" w:type="dxa"/>
            <w:vAlign w:val="center"/>
          </w:tcPr>
          <w:p w14:paraId="1216A6D3"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w:t>
            </w:r>
          </w:p>
        </w:tc>
      </w:tr>
      <w:tr w:rsidR="0057284A" w:rsidRPr="00F34A23" w14:paraId="640E0A9A" w14:textId="77777777" w:rsidTr="00E93FFC">
        <w:trPr>
          <w:trHeight w:val="27"/>
        </w:trPr>
        <w:tc>
          <w:tcPr>
            <w:tcW w:w="1411" w:type="dxa"/>
            <w:vAlign w:val="center"/>
          </w:tcPr>
          <w:p w14:paraId="55C796FC" w14:textId="77777777" w:rsidR="0057284A" w:rsidRPr="00343D56" w:rsidRDefault="0057284A" w:rsidP="00130F54">
            <w:pPr>
              <w:spacing w:after="0"/>
              <w:rPr>
                <w:rFonts w:eastAsia="SimSun"/>
              </w:rPr>
            </w:pPr>
            <w:r w:rsidRPr="00E812FA">
              <w:rPr>
                <w:rFonts w:cs="Arial"/>
                <w:color w:val="000000"/>
                <w:sz w:val="18"/>
                <w:szCs w:val="18"/>
              </w:rPr>
              <w:t>Type G</w:t>
            </w:r>
          </w:p>
        </w:tc>
        <w:tc>
          <w:tcPr>
            <w:tcW w:w="1891" w:type="dxa"/>
            <w:vAlign w:val="center"/>
          </w:tcPr>
          <w:p w14:paraId="64F82D11" w14:textId="77777777" w:rsidR="0057284A" w:rsidRPr="00343D56" w:rsidRDefault="0057284A" w:rsidP="00130F54">
            <w:pPr>
              <w:spacing w:after="0"/>
              <w:jc w:val="center"/>
              <w:rPr>
                <w:rFonts w:eastAsia="SimSun"/>
              </w:rPr>
            </w:pPr>
            <w:r w:rsidRPr="00343D56">
              <w:rPr>
                <w:rFonts w:cs="Arial"/>
                <w:color w:val="000000"/>
                <w:sz w:val="18"/>
                <w:szCs w:val="18"/>
              </w:rPr>
              <w:t>50,000,000</w:t>
            </w:r>
          </w:p>
        </w:tc>
        <w:tc>
          <w:tcPr>
            <w:tcW w:w="1938" w:type="dxa"/>
            <w:vAlign w:val="center"/>
          </w:tcPr>
          <w:p w14:paraId="1FE5D81E"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2</w:t>
            </w:r>
          </w:p>
        </w:tc>
        <w:tc>
          <w:tcPr>
            <w:tcW w:w="1843" w:type="dxa"/>
            <w:vAlign w:val="center"/>
          </w:tcPr>
          <w:p w14:paraId="4FA0C2CD"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2</w:t>
            </w:r>
          </w:p>
        </w:tc>
        <w:tc>
          <w:tcPr>
            <w:tcW w:w="1843" w:type="dxa"/>
            <w:vAlign w:val="center"/>
          </w:tcPr>
          <w:p w14:paraId="655E0C62"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w:t>
            </w:r>
          </w:p>
        </w:tc>
      </w:tr>
      <w:tr w:rsidR="0057284A" w:rsidRPr="00F34A23" w14:paraId="73866CC2" w14:textId="77777777" w:rsidTr="00E93FFC">
        <w:trPr>
          <w:trHeight w:val="27"/>
        </w:trPr>
        <w:tc>
          <w:tcPr>
            <w:tcW w:w="1411" w:type="dxa"/>
            <w:shd w:val="clear" w:color="auto" w:fill="auto"/>
            <w:vAlign w:val="center"/>
          </w:tcPr>
          <w:p w14:paraId="09B9B195" w14:textId="77777777" w:rsidR="0057284A" w:rsidRPr="00343D56" w:rsidRDefault="0057284A" w:rsidP="00130F54">
            <w:pPr>
              <w:spacing w:after="0"/>
              <w:rPr>
                <w:rFonts w:eastAsia="SimSun"/>
              </w:rPr>
            </w:pPr>
            <w:r w:rsidRPr="00E812FA">
              <w:rPr>
                <w:rFonts w:cs="Arial"/>
                <w:color w:val="000000"/>
                <w:sz w:val="18"/>
                <w:szCs w:val="18"/>
              </w:rPr>
              <w:t>Type H</w:t>
            </w:r>
          </w:p>
        </w:tc>
        <w:tc>
          <w:tcPr>
            <w:tcW w:w="1891" w:type="dxa"/>
            <w:shd w:val="clear" w:color="auto" w:fill="auto"/>
            <w:vAlign w:val="center"/>
          </w:tcPr>
          <w:p w14:paraId="33DE495E" w14:textId="77777777" w:rsidR="0057284A" w:rsidRPr="00343D56" w:rsidRDefault="0057284A" w:rsidP="00130F54">
            <w:pPr>
              <w:spacing w:after="0"/>
              <w:jc w:val="center"/>
              <w:rPr>
                <w:rFonts w:eastAsia="SimSun"/>
              </w:rPr>
            </w:pPr>
            <w:r w:rsidRPr="00343D56">
              <w:rPr>
                <w:rFonts w:cs="Arial"/>
                <w:color w:val="000000"/>
                <w:sz w:val="18"/>
                <w:szCs w:val="18"/>
              </w:rPr>
              <w:t>100,000,000</w:t>
            </w:r>
          </w:p>
        </w:tc>
        <w:tc>
          <w:tcPr>
            <w:tcW w:w="1938" w:type="dxa"/>
            <w:vAlign w:val="center"/>
          </w:tcPr>
          <w:p w14:paraId="71B16360"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3</w:t>
            </w:r>
          </w:p>
        </w:tc>
        <w:tc>
          <w:tcPr>
            <w:tcW w:w="1843" w:type="dxa"/>
            <w:vAlign w:val="center"/>
          </w:tcPr>
          <w:p w14:paraId="3D3E5DF9" w14:textId="77777777" w:rsidR="0057284A" w:rsidRPr="00F34A23" w:rsidRDefault="0057284A" w:rsidP="00130F54">
            <w:pPr>
              <w:spacing w:after="0"/>
              <w:jc w:val="center"/>
              <w:rPr>
                <w:rFonts w:cs="Arial"/>
                <w:color w:val="000000"/>
                <w:sz w:val="18"/>
                <w:szCs w:val="18"/>
              </w:rPr>
            </w:pPr>
            <w:r w:rsidRPr="00212B85">
              <w:rPr>
                <w:rFonts w:cs="Arial"/>
                <w:color w:val="000000"/>
                <w:sz w:val="18"/>
                <w:szCs w:val="18"/>
              </w:rPr>
              <w:t>2</w:t>
            </w:r>
          </w:p>
        </w:tc>
        <w:tc>
          <w:tcPr>
            <w:tcW w:w="1843" w:type="dxa"/>
            <w:vAlign w:val="center"/>
          </w:tcPr>
          <w:p w14:paraId="1CA7FC4A" w14:textId="77777777" w:rsidR="0057284A" w:rsidRPr="00F34A23" w:rsidRDefault="0057284A" w:rsidP="00130F54">
            <w:pPr>
              <w:spacing w:after="0"/>
              <w:jc w:val="center"/>
              <w:rPr>
                <w:rFonts w:cs="Arial"/>
                <w:color w:val="000000"/>
                <w:sz w:val="18"/>
                <w:szCs w:val="18"/>
              </w:rPr>
            </w:pPr>
            <w:r>
              <w:rPr>
                <w:rFonts w:cs="Arial"/>
                <w:color w:val="000000"/>
                <w:sz w:val="18"/>
                <w:szCs w:val="18"/>
              </w:rPr>
              <w:t>4</w:t>
            </w:r>
          </w:p>
        </w:tc>
      </w:tr>
      <w:tr w:rsidR="0057284A" w:rsidRPr="00F34A23" w14:paraId="1969ED68" w14:textId="77777777" w:rsidTr="00E93FFC">
        <w:trPr>
          <w:trHeight w:val="27"/>
        </w:trPr>
        <w:tc>
          <w:tcPr>
            <w:tcW w:w="3302" w:type="dxa"/>
            <w:gridSpan w:val="2"/>
            <w:shd w:val="clear" w:color="auto" w:fill="F2F2F2" w:themeFill="background1" w:themeFillShade="F2"/>
          </w:tcPr>
          <w:p w14:paraId="0707526E" w14:textId="77777777" w:rsidR="0057284A" w:rsidRPr="00A954D2" w:rsidRDefault="0057284A" w:rsidP="00130F54">
            <w:pPr>
              <w:spacing w:after="0"/>
              <w:rPr>
                <w:rFonts w:eastAsia="SimSun"/>
                <w:b/>
                <w:bCs/>
              </w:rPr>
            </w:pPr>
            <w:r w:rsidRPr="00A954D2">
              <w:rPr>
                <w:rFonts w:eastAsia="SimSun"/>
                <w:b/>
                <w:bCs/>
              </w:rPr>
              <w:t>Total</w:t>
            </w:r>
          </w:p>
        </w:tc>
        <w:tc>
          <w:tcPr>
            <w:tcW w:w="1938" w:type="dxa"/>
            <w:shd w:val="clear" w:color="auto" w:fill="F2F2F2" w:themeFill="background1" w:themeFillShade="F2"/>
          </w:tcPr>
          <w:p w14:paraId="3EF1F47E" w14:textId="77777777" w:rsidR="0057284A" w:rsidRPr="00F34A23" w:rsidRDefault="0057284A" w:rsidP="00130F54">
            <w:pPr>
              <w:spacing w:after="0"/>
              <w:jc w:val="center"/>
              <w:rPr>
                <w:rFonts w:cs="Arial"/>
                <w:color w:val="000000"/>
                <w:sz w:val="18"/>
                <w:szCs w:val="18"/>
              </w:rPr>
            </w:pPr>
            <w:r>
              <w:rPr>
                <w:rFonts w:cs="Arial"/>
                <w:color w:val="000000"/>
                <w:sz w:val="18"/>
                <w:szCs w:val="18"/>
              </w:rPr>
              <w:t>2,913</w:t>
            </w:r>
          </w:p>
        </w:tc>
        <w:tc>
          <w:tcPr>
            <w:tcW w:w="1843" w:type="dxa"/>
            <w:shd w:val="clear" w:color="auto" w:fill="F2F2F2" w:themeFill="background1" w:themeFillShade="F2"/>
            <w:vAlign w:val="center"/>
          </w:tcPr>
          <w:p w14:paraId="633D57E5" w14:textId="77777777" w:rsidR="0057284A" w:rsidRPr="002A7D8F" w:rsidRDefault="0057284A" w:rsidP="00130F54">
            <w:pPr>
              <w:spacing w:after="0"/>
              <w:jc w:val="center"/>
              <w:rPr>
                <w:rFonts w:cs="Arial"/>
                <w:color w:val="000000"/>
                <w:sz w:val="18"/>
                <w:szCs w:val="18"/>
              </w:rPr>
            </w:pPr>
            <w:r w:rsidRPr="00A954D2">
              <w:rPr>
                <w:rFonts w:cs="Arial"/>
                <w:color w:val="000000"/>
                <w:sz w:val="18"/>
                <w:szCs w:val="18"/>
              </w:rPr>
              <w:t>4,830</w:t>
            </w:r>
          </w:p>
        </w:tc>
        <w:tc>
          <w:tcPr>
            <w:tcW w:w="1843" w:type="dxa"/>
            <w:shd w:val="clear" w:color="auto" w:fill="F2F2F2" w:themeFill="background1" w:themeFillShade="F2"/>
            <w:vAlign w:val="center"/>
          </w:tcPr>
          <w:p w14:paraId="4361C907" w14:textId="77777777" w:rsidR="0057284A" w:rsidRPr="002A7D8F" w:rsidRDefault="0057284A" w:rsidP="00130F54">
            <w:pPr>
              <w:spacing w:after="0"/>
              <w:jc w:val="center"/>
              <w:rPr>
                <w:rFonts w:cs="Arial"/>
                <w:color w:val="000000"/>
                <w:sz w:val="18"/>
                <w:szCs w:val="18"/>
              </w:rPr>
            </w:pPr>
            <w:r w:rsidRPr="00A954D2">
              <w:rPr>
                <w:rFonts w:cs="Arial"/>
                <w:color w:val="000000"/>
                <w:sz w:val="18"/>
                <w:szCs w:val="18"/>
              </w:rPr>
              <w:t>3,036</w:t>
            </w:r>
          </w:p>
        </w:tc>
      </w:tr>
      <w:tr w:rsidR="0057284A" w:rsidRPr="00F34A23" w14:paraId="2EABE535" w14:textId="77777777" w:rsidTr="00E93FFC">
        <w:trPr>
          <w:trHeight w:val="27"/>
        </w:trPr>
        <w:tc>
          <w:tcPr>
            <w:tcW w:w="3302" w:type="dxa"/>
            <w:gridSpan w:val="2"/>
            <w:shd w:val="clear" w:color="auto" w:fill="F2F2F2" w:themeFill="background1" w:themeFillShade="F2"/>
          </w:tcPr>
          <w:p w14:paraId="0FC57CC9" w14:textId="77777777" w:rsidR="0057284A" w:rsidRPr="00A954D2" w:rsidRDefault="0057284A" w:rsidP="00130F54">
            <w:pPr>
              <w:spacing w:after="0"/>
              <w:rPr>
                <w:rFonts w:eastAsia="SimSun"/>
                <w:b/>
                <w:bCs/>
              </w:rPr>
            </w:pPr>
            <w:r w:rsidRPr="00A954D2">
              <w:rPr>
                <w:rFonts w:eastAsia="SimSun"/>
                <w:b/>
                <w:bCs/>
              </w:rPr>
              <w:t>Total less Type A</w:t>
            </w:r>
          </w:p>
        </w:tc>
        <w:tc>
          <w:tcPr>
            <w:tcW w:w="1938" w:type="dxa"/>
            <w:shd w:val="clear" w:color="auto" w:fill="F2F2F2" w:themeFill="background1" w:themeFillShade="F2"/>
          </w:tcPr>
          <w:p w14:paraId="2650E1DE" w14:textId="77777777" w:rsidR="0057284A" w:rsidRPr="00F34A23" w:rsidRDefault="0057284A" w:rsidP="00130F54">
            <w:pPr>
              <w:spacing w:after="0"/>
              <w:jc w:val="center"/>
              <w:rPr>
                <w:rFonts w:cs="Arial"/>
                <w:color w:val="000000"/>
                <w:sz w:val="18"/>
                <w:szCs w:val="18"/>
              </w:rPr>
            </w:pPr>
            <w:r>
              <w:rPr>
                <w:rFonts w:cs="Arial"/>
                <w:color w:val="000000"/>
                <w:sz w:val="18"/>
                <w:szCs w:val="18"/>
              </w:rPr>
              <w:t>2,500</w:t>
            </w:r>
          </w:p>
        </w:tc>
        <w:tc>
          <w:tcPr>
            <w:tcW w:w="1843" w:type="dxa"/>
            <w:shd w:val="clear" w:color="auto" w:fill="F2F2F2" w:themeFill="background1" w:themeFillShade="F2"/>
            <w:vAlign w:val="center"/>
          </w:tcPr>
          <w:p w14:paraId="07F5D9FE" w14:textId="77777777" w:rsidR="0057284A" w:rsidRPr="002A7D8F" w:rsidRDefault="0057284A" w:rsidP="00130F54">
            <w:pPr>
              <w:spacing w:after="0"/>
              <w:jc w:val="center"/>
              <w:rPr>
                <w:rFonts w:cs="Arial"/>
                <w:color w:val="000000"/>
                <w:sz w:val="18"/>
                <w:szCs w:val="18"/>
              </w:rPr>
            </w:pPr>
            <w:r w:rsidRPr="00A954D2">
              <w:rPr>
                <w:rFonts w:cs="Arial"/>
                <w:color w:val="000000"/>
                <w:sz w:val="18"/>
                <w:szCs w:val="18"/>
              </w:rPr>
              <w:t>2,421</w:t>
            </w:r>
          </w:p>
        </w:tc>
        <w:tc>
          <w:tcPr>
            <w:tcW w:w="1843" w:type="dxa"/>
            <w:shd w:val="clear" w:color="auto" w:fill="F2F2F2" w:themeFill="background1" w:themeFillShade="F2"/>
            <w:vAlign w:val="center"/>
          </w:tcPr>
          <w:p w14:paraId="7DB89EAA" w14:textId="77777777" w:rsidR="0057284A" w:rsidRPr="002A7D8F" w:rsidRDefault="0057284A" w:rsidP="00130F54">
            <w:pPr>
              <w:spacing w:after="0"/>
              <w:jc w:val="center"/>
              <w:rPr>
                <w:rFonts w:cs="Arial"/>
                <w:color w:val="000000"/>
                <w:sz w:val="18"/>
                <w:szCs w:val="18"/>
              </w:rPr>
            </w:pPr>
            <w:r w:rsidRPr="00A954D2">
              <w:rPr>
                <w:rFonts w:cs="Arial"/>
                <w:color w:val="000000"/>
                <w:sz w:val="18"/>
                <w:szCs w:val="18"/>
              </w:rPr>
              <w:t>1,868</w:t>
            </w:r>
          </w:p>
        </w:tc>
      </w:tr>
    </w:tbl>
    <w:p w14:paraId="1384E910" w14:textId="4E7A49C7" w:rsidR="0057284A" w:rsidRPr="002164E2" w:rsidRDefault="0057284A" w:rsidP="0057284A">
      <w:pPr>
        <w:spacing w:before="240" w:after="80"/>
      </w:pPr>
      <w:r w:rsidRPr="002164E2">
        <w:t xml:space="preserve">An ACMA-conducted industry survey and consultations in 2016–17 identified several aspects of the </w:t>
      </w:r>
      <w:r w:rsidR="002A7D8F">
        <w:t>r</w:t>
      </w:r>
      <w:r>
        <w:t>egister</w:t>
      </w:r>
      <w:r w:rsidRPr="002164E2">
        <w:t xml:space="preserve"> that have an impact on demand, including:</w:t>
      </w:r>
    </w:p>
    <w:p w14:paraId="6CEDD73D" w14:textId="2ED43690" w:rsidR="0057284A" w:rsidRPr="002164E2" w:rsidRDefault="0057284A" w:rsidP="0057284A">
      <w:pPr>
        <w:pStyle w:val="ListBullet"/>
        <w:ind w:left="0" w:firstLine="0"/>
      </w:pPr>
      <w:r w:rsidRPr="002164E2">
        <w:t xml:space="preserve">the quantity of numbers on the </w:t>
      </w:r>
      <w:r>
        <w:t>Register</w:t>
      </w:r>
      <w:r w:rsidR="002A7D8F">
        <w:t>—</w:t>
      </w:r>
      <w:r>
        <w:t>11.84 million numbers as at 30 June 2019</w:t>
      </w:r>
    </w:p>
    <w:p w14:paraId="7B67237C" w14:textId="1E3E0D21" w:rsidR="0057284A" w:rsidRPr="002164E2" w:rsidRDefault="0057284A" w:rsidP="0057284A">
      <w:pPr>
        <w:pStyle w:val="ListBullet"/>
        <w:ind w:left="0" w:firstLine="0"/>
      </w:pPr>
      <w:r w:rsidRPr="002164E2">
        <w:t>permanent registration</w:t>
      </w:r>
    </w:p>
    <w:p w14:paraId="3EC954A4" w14:textId="77777777" w:rsidR="0057284A" w:rsidRDefault="0057284A" w:rsidP="00A954D2">
      <w:pPr>
        <w:pStyle w:val="ListBulletLast"/>
      </w:pPr>
      <w:r w:rsidRPr="002164E2">
        <w:t xml:space="preserve">reduced number churn—that is, numbers on the </w:t>
      </w:r>
      <w:r>
        <w:t>Register</w:t>
      </w:r>
      <w:r w:rsidRPr="002164E2">
        <w:t xml:space="preserve"> were unlikely to have been removed after the enactment of permanent registration in 2015.</w:t>
      </w:r>
    </w:p>
    <w:p w14:paraId="5F23467C" w14:textId="51314313" w:rsidR="00E449DA" w:rsidRPr="002164E2" w:rsidRDefault="00E449DA" w:rsidP="00524BB2">
      <w:r w:rsidRPr="002164E2">
        <w:t xml:space="preserve">Table </w:t>
      </w:r>
      <w:r w:rsidR="00980361">
        <w:t>8</w:t>
      </w:r>
      <w:r w:rsidRPr="002164E2">
        <w:t xml:space="preserve"> shows the actual direct costs of operating the </w:t>
      </w:r>
      <w:r w:rsidR="002A7D8F">
        <w:t>DNCR</w:t>
      </w:r>
      <w:r w:rsidRPr="002164E2">
        <w:t xml:space="preserve">, compared to the associated accrued subscription fee revenue since the commencement of the </w:t>
      </w:r>
      <w:r w:rsidR="002A7D8F">
        <w:t>r</w:t>
      </w:r>
      <w:r>
        <w:t>egister</w:t>
      </w:r>
      <w:r w:rsidRPr="002164E2">
        <w:t>.</w:t>
      </w:r>
    </w:p>
    <w:p w14:paraId="58915496" w14:textId="77777777" w:rsidR="00510E9F" w:rsidRPr="002164E2" w:rsidRDefault="00D70F0E" w:rsidP="002173DF">
      <w:pPr>
        <w:pStyle w:val="ACMATableHeader"/>
        <w:numPr>
          <w:ilvl w:val="0"/>
          <w:numId w:val="30"/>
        </w:numPr>
      </w:pPr>
      <w:r w:rsidRPr="002164E2">
        <w:t>Historical expenses and revenue</w:t>
      </w:r>
    </w:p>
    <w:tbl>
      <w:tblPr>
        <w:tblStyle w:val="TableGrid"/>
        <w:tblW w:w="8881" w:type="dxa"/>
        <w:tblCellMar>
          <w:top w:w="57" w:type="dxa"/>
          <w:left w:w="57" w:type="dxa"/>
          <w:bottom w:w="57" w:type="dxa"/>
          <w:right w:w="57" w:type="dxa"/>
        </w:tblCellMar>
        <w:tblLook w:val="04A0" w:firstRow="1" w:lastRow="0" w:firstColumn="1" w:lastColumn="0" w:noHBand="0" w:noVBand="1"/>
      </w:tblPr>
      <w:tblGrid>
        <w:gridCol w:w="1570"/>
        <w:gridCol w:w="1227"/>
        <w:gridCol w:w="1217"/>
        <w:gridCol w:w="1217"/>
        <w:gridCol w:w="1217"/>
        <w:gridCol w:w="1217"/>
        <w:gridCol w:w="1216"/>
      </w:tblGrid>
      <w:tr w:rsidR="00453634" w:rsidRPr="002164E2" w14:paraId="2904683C" w14:textId="77777777" w:rsidTr="00756B78">
        <w:tc>
          <w:tcPr>
            <w:tcW w:w="1570" w:type="dxa"/>
            <w:shd w:val="clear" w:color="auto" w:fill="404040" w:themeFill="text1" w:themeFillTint="BF"/>
          </w:tcPr>
          <w:p w14:paraId="487C1258" w14:textId="77777777" w:rsidR="00453634" w:rsidRPr="002164E2" w:rsidRDefault="00453634" w:rsidP="00524BB2">
            <w:pPr>
              <w:rPr>
                <w:color w:val="FFFFFF" w:themeColor="background1"/>
              </w:rPr>
            </w:pPr>
          </w:p>
        </w:tc>
        <w:tc>
          <w:tcPr>
            <w:tcW w:w="1227" w:type="dxa"/>
            <w:shd w:val="clear" w:color="auto" w:fill="404040" w:themeFill="text1" w:themeFillTint="BF"/>
            <w:vAlign w:val="center"/>
          </w:tcPr>
          <w:p w14:paraId="5AD8942E" w14:textId="77777777" w:rsidR="00453634" w:rsidRPr="002164E2" w:rsidRDefault="00453634" w:rsidP="002173DF">
            <w:pPr>
              <w:pStyle w:val="TableHeading"/>
              <w:jc w:val="center"/>
              <w:rPr>
                <w:color w:val="FFFFFF" w:themeColor="background1"/>
              </w:rPr>
            </w:pPr>
            <w:r w:rsidRPr="002164E2">
              <w:rPr>
                <w:color w:val="FFFFFF" w:themeColor="background1"/>
              </w:rPr>
              <w:t>2007–1</w:t>
            </w:r>
            <w:r>
              <w:rPr>
                <w:color w:val="FFFFFF" w:themeColor="background1"/>
              </w:rPr>
              <w:t>4</w:t>
            </w:r>
            <w:r w:rsidRPr="002164E2">
              <w:rPr>
                <w:color w:val="FFFFFF" w:themeColor="background1"/>
              </w:rPr>
              <w:t xml:space="preserve"> ($m)</w:t>
            </w:r>
          </w:p>
        </w:tc>
        <w:tc>
          <w:tcPr>
            <w:tcW w:w="1217" w:type="dxa"/>
            <w:shd w:val="clear" w:color="auto" w:fill="404040" w:themeFill="text1" w:themeFillTint="BF"/>
            <w:vAlign w:val="center"/>
          </w:tcPr>
          <w:p w14:paraId="41B99D3A" w14:textId="77777777" w:rsidR="00453634" w:rsidRPr="002164E2" w:rsidRDefault="00453634" w:rsidP="002173DF">
            <w:pPr>
              <w:pStyle w:val="TableHeading"/>
              <w:jc w:val="center"/>
              <w:rPr>
                <w:color w:val="FFFFFF" w:themeColor="background1"/>
              </w:rPr>
            </w:pPr>
            <w:r w:rsidRPr="002164E2">
              <w:rPr>
                <w:color w:val="FFFFFF" w:themeColor="background1"/>
              </w:rPr>
              <w:t>2014–15 ($m)</w:t>
            </w:r>
          </w:p>
        </w:tc>
        <w:tc>
          <w:tcPr>
            <w:tcW w:w="1217" w:type="dxa"/>
            <w:shd w:val="clear" w:color="auto" w:fill="404040" w:themeFill="text1" w:themeFillTint="BF"/>
            <w:vAlign w:val="center"/>
          </w:tcPr>
          <w:p w14:paraId="08D17EDC" w14:textId="77777777" w:rsidR="00453634" w:rsidRPr="002164E2" w:rsidRDefault="00453634" w:rsidP="002173DF">
            <w:pPr>
              <w:pStyle w:val="TableHeading"/>
              <w:jc w:val="center"/>
              <w:rPr>
                <w:color w:val="FFFFFF" w:themeColor="background1"/>
              </w:rPr>
            </w:pPr>
            <w:r w:rsidRPr="002164E2">
              <w:rPr>
                <w:color w:val="FFFFFF" w:themeColor="background1"/>
              </w:rPr>
              <w:t>2015–16 ($m)</w:t>
            </w:r>
          </w:p>
        </w:tc>
        <w:tc>
          <w:tcPr>
            <w:tcW w:w="1217" w:type="dxa"/>
            <w:shd w:val="clear" w:color="auto" w:fill="404040" w:themeFill="text1" w:themeFillTint="BF"/>
            <w:vAlign w:val="center"/>
          </w:tcPr>
          <w:p w14:paraId="67FC67A8" w14:textId="77777777" w:rsidR="00453634" w:rsidRPr="002164E2" w:rsidRDefault="00453634" w:rsidP="002173DF">
            <w:pPr>
              <w:pStyle w:val="TableHeading"/>
              <w:jc w:val="center"/>
              <w:rPr>
                <w:color w:val="FFFFFF" w:themeColor="background1"/>
              </w:rPr>
            </w:pPr>
            <w:r w:rsidRPr="002164E2">
              <w:rPr>
                <w:color w:val="FFFFFF" w:themeColor="background1"/>
              </w:rPr>
              <w:t>2016–17 ($m)</w:t>
            </w:r>
          </w:p>
        </w:tc>
        <w:tc>
          <w:tcPr>
            <w:tcW w:w="1217" w:type="dxa"/>
            <w:shd w:val="clear" w:color="auto" w:fill="404040" w:themeFill="text1" w:themeFillTint="BF"/>
            <w:vAlign w:val="center"/>
          </w:tcPr>
          <w:p w14:paraId="5921788A" w14:textId="77777777" w:rsidR="00453634" w:rsidRPr="002164E2" w:rsidRDefault="00453634" w:rsidP="002173DF">
            <w:pPr>
              <w:pStyle w:val="TableHeading"/>
              <w:jc w:val="center"/>
              <w:rPr>
                <w:color w:val="FFFFFF" w:themeColor="background1"/>
              </w:rPr>
            </w:pPr>
            <w:r w:rsidRPr="002164E2">
              <w:rPr>
                <w:color w:val="FFFFFF" w:themeColor="background1"/>
              </w:rPr>
              <w:t>201</w:t>
            </w:r>
            <w:r>
              <w:rPr>
                <w:color w:val="FFFFFF" w:themeColor="background1"/>
              </w:rPr>
              <w:t>7</w:t>
            </w:r>
            <w:r w:rsidRPr="002164E2">
              <w:rPr>
                <w:color w:val="FFFFFF" w:themeColor="background1"/>
              </w:rPr>
              <w:t>–1</w:t>
            </w:r>
            <w:r>
              <w:rPr>
                <w:color w:val="FFFFFF" w:themeColor="background1"/>
              </w:rPr>
              <w:t>8</w:t>
            </w:r>
            <w:r w:rsidRPr="002164E2">
              <w:rPr>
                <w:color w:val="FFFFFF" w:themeColor="background1"/>
              </w:rPr>
              <w:t xml:space="preserve"> ($m)</w:t>
            </w:r>
          </w:p>
        </w:tc>
        <w:tc>
          <w:tcPr>
            <w:tcW w:w="1216" w:type="dxa"/>
            <w:shd w:val="clear" w:color="auto" w:fill="404040" w:themeFill="text1" w:themeFillTint="BF"/>
          </w:tcPr>
          <w:p w14:paraId="741A1E2C" w14:textId="69E702FF" w:rsidR="00453634" w:rsidRPr="002164E2" w:rsidRDefault="00453634" w:rsidP="002173DF">
            <w:pPr>
              <w:pStyle w:val="TableHeading"/>
              <w:jc w:val="center"/>
              <w:rPr>
                <w:color w:val="FFFFFF" w:themeColor="background1"/>
              </w:rPr>
            </w:pPr>
            <w:r>
              <w:rPr>
                <w:color w:val="FFFFFF" w:themeColor="background1"/>
              </w:rPr>
              <w:t>2018</w:t>
            </w:r>
            <w:r w:rsidR="00FA7E99">
              <w:rPr>
                <w:color w:val="FFFFFF" w:themeColor="background1"/>
              </w:rPr>
              <w:t>–</w:t>
            </w:r>
            <w:r>
              <w:rPr>
                <w:color w:val="FFFFFF" w:themeColor="background1"/>
              </w:rPr>
              <w:t>19 ($m)</w:t>
            </w:r>
          </w:p>
        </w:tc>
      </w:tr>
      <w:tr w:rsidR="00453634" w:rsidRPr="002164E2" w14:paraId="29E9A0F6" w14:textId="77777777" w:rsidTr="00756B78">
        <w:tc>
          <w:tcPr>
            <w:tcW w:w="1570" w:type="dxa"/>
            <w:vAlign w:val="center"/>
          </w:tcPr>
          <w:p w14:paraId="1F93A75B" w14:textId="77777777" w:rsidR="00453634" w:rsidRPr="002164E2" w:rsidRDefault="00453634" w:rsidP="00524BB2">
            <w:pPr>
              <w:spacing w:after="0"/>
            </w:pPr>
            <w:r w:rsidRPr="002164E2">
              <w:rPr>
                <w:rFonts w:cs="Arial"/>
                <w:color w:val="000000"/>
                <w:szCs w:val="20"/>
              </w:rPr>
              <w:t>Expenses = X</w:t>
            </w:r>
          </w:p>
        </w:tc>
        <w:tc>
          <w:tcPr>
            <w:tcW w:w="1227" w:type="dxa"/>
            <w:vAlign w:val="center"/>
          </w:tcPr>
          <w:p w14:paraId="7E8806DA" w14:textId="77777777" w:rsidR="00453634" w:rsidRPr="002164E2" w:rsidRDefault="00453634" w:rsidP="00524BB2">
            <w:pPr>
              <w:spacing w:after="0"/>
              <w:jc w:val="right"/>
            </w:pPr>
            <w:r>
              <w:rPr>
                <w:rFonts w:cs="Arial"/>
                <w:color w:val="000000"/>
                <w:szCs w:val="20"/>
              </w:rPr>
              <w:t>18.21</w:t>
            </w:r>
          </w:p>
        </w:tc>
        <w:tc>
          <w:tcPr>
            <w:tcW w:w="1217" w:type="dxa"/>
            <w:vAlign w:val="center"/>
          </w:tcPr>
          <w:p w14:paraId="437BCD42" w14:textId="77777777" w:rsidR="00453634" w:rsidRPr="002164E2" w:rsidRDefault="00453634" w:rsidP="00524BB2">
            <w:pPr>
              <w:spacing w:after="0"/>
              <w:jc w:val="right"/>
            </w:pPr>
            <w:r w:rsidRPr="002164E2">
              <w:rPr>
                <w:rFonts w:cs="Arial"/>
                <w:color w:val="000000"/>
                <w:szCs w:val="20"/>
              </w:rPr>
              <w:t>2.54</w:t>
            </w:r>
          </w:p>
        </w:tc>
        <w:tc>
          <w:tcPr>
            <w:tcW w:w="1217" w:type="dxa"/>
            <w:vAlign w:val="center"/>
          </w:tcPr>
          <w:p w14:paraId="7F7E44C0" w14:textId="77777777" w:rsidR="00453634" w:rsidRPr="002164E2" w:rsidRDefault="00453634" w:rsidP="00524BB2">
            <w:pPr>
              <w:spacing w:after="0"/>
              <w:jc w:val="right"/>
            </w:pPr>
            <w:r w:rsidRPr="002164E2">
              <w:rPr>
                <w:rFonts w:cs="Arial"/>
                <w:color w:val="000000"/>
                <w:szCs w:val="20"/>
              </w:rPr>
              <w:t>2.34</w:t>
            </w:r>
          </w:p>
        </w:tc>
        <w:tc>
          <w:tcPr>
            <w:tcW w:w="1217" w:type="dxa"/>
            <w:vAlign w:val="center"/>
          </w:tcPr>
          <w:p w14:paraId="2A20698B" w14:textId="77777777" w:rsidR="00453634" w:rsidRPr="002164E2" w:rsidRDefault="00453634" w:rsidP="00524BB2">
            <w:pPr>
              <w:spacing w:after="0"/>
              <w:jc w:val="right"/>
            </w:pPr>
            <w:r w:rsidRPr="002164E2">
              <w:rPr>
                <w:rFonts w:cs="Arial"/>
                <w:color w:val="000000"/>
                <w:szCs w:val="20"/>
              </w:rPr>
              <w:t>2.32</w:t>
            </w:r>
          </w:p>
        </w:tc>
        <w:tc>
          <w:tcPr>
            <w:tcW w:w="1217" w:type="dxa"/>
          </w:tcPr>
          <w:p w14:paraId="387DD3A3" w14:textId="77777777" w:rsidR="00453634" w:rsidRPr="002164E2" w:rsidRDefault="00453634" w:rsidP="00524BB2">
            <w:pPr>
              <w:spacing w:after="0"/>
              <w:jc w:val="right"/>
              <w:rPr>
                <w:rFonts w:cs="Arial"/>
                <w:color w:val="000000"/>
                <w:szCs w:val="20"/>
              </w:rPr>
            </w:pPr>
            <w:r>
              <w:rPr>
                <w:rFonts w:cs="Arial"/>
                <w:color w:val="000000"/>
                <w:szCs w:val="20"/>
              </w:rPr>
              <w:t>2.10</w:t>
            </w:r>
          </w:p>
        </w:tc>
        <w:tc>
          <w:tcPr>
            <w:tcW w:w="1216" w:type="dxa"/>
          </w:tcPr>
          <w:p w14:paraId="4E2CDB65" w14:textId="77777777" w:rsidR="00453634" w:rsidRDefault="00453634" w:rsidP="00524BB2">
            <w:pPr>
              <w:spacing w:after="0"/>
              <w:jc w:val="right"/>
              <w:rPr>
                <w:rFonts w:cs="Arial"/>
                <w:color w:val="000000"/>
                <w:szCs w:val="20"/>
              </w:rPr>
            </w:pPr>
            <w:r>
              <w:rPr>
                <w:rFonts w:cs="Arial"/>
                <w:color w:val="000000"/>
                <w:szCs w:val="20"/>
              </w:rPr>
              <w:t>2.14</w:t>
            </w:r>
          </w:p>
        </w:tc>
      </w:tr>
      <w:tr w:rsidR="00453634" w:rsidRPr="002164E2" w14:paraId="1A7DC7DB" w14:textId="77777777" w:rsidTr="00756B78">
        <w:tc>
          <w:tcPr>
            <w:tcW w:w="1570" w:type="dxa"/>
            <w:vAlign w:val="center"/>
          </w:tcPr>
          <w:p w14:paraId="0AB31BA0" w14:textId="77777777" w:rsidR="00453634" w:rsidRPr="002164E2" w:rsidRDefault="00453634" w:rsidP="00524BB2">
            <w:pPr>
              <w:spacing w:after="0"/>
            </w:pPr>
            <w:r w:rsidRPr="002164E2">
              <w:rPr>
                <w:rFonts w:cs="Arial"/>
                <w:color w:val="000000"/>
                <w:szCs w:val="20"/>
              </w:rPr>
              <w:t>Revenue = Y</w:t>
            </w:r>
          </w:p>
        </w:tc>
        <w:tc>
          <w:tcPr>
            <w:tcW w:w="1227" w:type="dxa"/>
            <w:vAlign w:val="center"/>
          </w:tcPr>
          <w:p w14:paraId="1437770F" w14:textId="77777777" w:rsidR="00453634" w:rsidRPr="002164E2" w:rsidRDefault="00453634" w:rsidP="00524BB2">
            <w:pPr>
              <w:spacing w:after="0"/>
              <w:jc w:val="right"/>
            </w:pPr>
            <w:r>
              <w:rPr>
                <w:rFonts w:cs="Arial"/>
                <w:color w:val="000000"/>
                <w:szCs w:val="20"/>
              </w:rPr>
              <w:t>18.85</w:t>
            </w:r>
          </w:p>
        </w:tc>
        <w:tc>
          <w:tcPr>
            <w:tcW w:w="1217" w:type="dxa"/>
            <w:vAlign w:val="center"/>
          </w:tcPr>
          <w:p w14:paraId="2EDF3B30" w14:textId="77777777" w:rsidR="00453634" w:rsidRPr="002164E2" w:rsidRDefault="00453634" w:rsidP="00524BB2">
            <w:pPr>
              <w:spacing w:after="0"/>
              <w:jc w:val="right"/>
            </w:pPr>
            <w:r w:rsidRPr="002164E2">
              <w:rPr>
                <w:rFonts w:cs="Arial"/>
                <w:color w:val="000000"/>
                <w:szCs w:val="20"/>
              </w:rPr>
              <w:t>2.73</w:t>
            </w:r>
          </w:p>
        </w:tc>
        <w:tc>
          <w:tcPr>
            <w:tcW w:w="1217" w:type="dxa"/>
            <w:vAlign w:val="center"/>
          </w:tcPr>
          <w:p w14:paraId="44EE77E1" w14:textId="77777777" w:rsidR="00453634" w:rsidRPr="002164E2" w:rsidRDefault="00453634" w:rsidP="00524BB2">
            <w:pPr>
              <w:spacing w:after="0"/>
              <w:jc w:val="right"/>
            </w:pPr>
            <w:r w:rsidRPr="002164E2">
              <w:rPr>
                <w:rFonts w:cs="Arial"/>
                <w:color w:val="000000"/>
                <w:szCs w:val="20"/>
              </w:rPr>
              <w:t>2.23</w:t>
            </w:r>
          </w:p>
        </w:tc>
        <w:tc>
          <w:tcPr>
            <w:tcW w:w="1217" w:type="dxa"/>
            <w:vAlign w:val="center"/>
          </w:tcPr>
          <w:p w14:paraId="0B79CB9B" w14:textId="77777777" w:rsidR="00453634" w:rsidRPr="002164E2" w:rsidRDefault="00453634" w:rsidP="00524BB2">
            <w:pPr>
              <w:spacing w:after="0"/>
              <w:jc w:val="right"/>
            </w:pPr>
            <w:r w:rsidRPr="002164E2">
              <w:rPr>
                <w:rFonts w:cs="Arial"/>
                <w:color w:val="000000"/>
                <w:szCs w:val="20"/>
              </w:rPr>
              <w:t>2.01</w:t>
            </w:r>
          </w:p>
        </w:tc>
        <w:tc>
          <w:tcPr>
            <w:tcW w:w="1217" w:type="dxa"/>
            <w:vAlign w:val="center"/>
          </w:tcPr>
          <w:p w14:paraId="5A84BD1E" w14:textId="77777777" w:rsidR="00453634" w:rsidRPr="002164E2" w:rsidRDefault="00453634" w:rsidP="00524BB2">
            <w:pPr>
              <w:spacing w:after="0"/>
              <w:jc w:val="right"/>
              <w:rPr>
                <w:rFonts w:cs="Arial"/>
                <w:color w:val="000000"/>
                <w:szCs w:val="20"/>
              </w:rPr>
            </w:pPr>
            <w:r>
              <w:rPr>
                <w:rFonts w:cs="Arial"/>
                <w:color w:val="000000"/>
                <w:szCs w:val="20"/>
              </w:rPr>
              <w:t>1.95</w:t>
            </w:r>
          </w:p>
        </w:tc>
        <w:tc>
          <w:tcPr>
            <w:tcW w:w="1216" w:type="dxa"/>
          </w:tcPr>
          <w:p w14:paraId="31581080" w14:textId="77777777" w:rsidR="00453634" w:rsidRDefault="00453634" w:rsidP="00524BB2">
            <w:pPr>
              <w:spacing w:after="0"/>
              <w:jc w:val="right"/>
              <w:rPr>
                <w:rFonts w:cs="Arial"/>
                <w:color w:val="000000"/>
                <w:szCs w:val="20"/>
              </w:rPr>
            </w:pPr>
            <w:r>
              <w:rPr>
                <w:rFonts w:cs="Arial"/>
                <w:color w:val="000000"/>
                <w:szCs w:val="20"/>
              </w:rPr>
              <w:t>2.22</w:t>
            </w:r>
          </w:p>
        </w:tc>
      </w:tr>
      <w:tr w:rsidR="00453634" w:rsidRPr="002164E2" w14:paraId="7901FAEE" w14:textId="77777777" w:rsidTr="00756B78">
        <w:tc>
          <w:tcPr>
            <w:tcW w:w="1570" w:type="dxa"/>
            <w:vAlign w:val="center"/>
          </w:tcPr>
          <w:p w14:paraId="33F4B060" w14:textId="5E6ADB55" w:rsidR="00453634" w:rsidRPr="002164E2" w:rsidRDefault="00453634" w:rsidP="00524BB2">
            <w:pPr>
              <w:spacing w:after="0"/>
            </w:pPr>
            <w:r w:rsidRPr="002164E2">
              <w:rPr>
                <w:rFonts w:cs="Arial"/>
                <w:color w:val="000000"/>
                <w:szCs w:val="20"/>
              </w:rPr>
              <w:t xml:space="preserve">Balance = Y </w:t>
            </w:r>
            <w:r w:rsidR="002A7D8F">
              <w:rPr>
                <w:rFonts w:cs="Arial"/>
                <w:color w:val="000000"/>
                <w:szCs w:val="20"/>
              </w:rPr>
              <w:t>-</w:t>
            </w:r>
            <w:r w:rsidRPr="002164E2">
              <w:rPr>
                <w:rFonts w:cs="Arial"/>
                <w:color w:val="000000"/>
                <w:szCs w:val="20"/>
              </w:rPr>
              <w:t xml:space="preserve"> X</w:t>
            </w:r>
          </w:p>
        </w:tc>
        <w:tc>
          <w:tcPr>
            <w:tcW w:w="1227" w:type="dxa"/>
            <w:vAlign w:val="center"/>
          </w:tcPr>
          <w:p w14:paraId="4D1F1F87" w14:textId="77777777" w:rsidR="00453634" w:rsidRPr="002164E2" w:rsidRDefault="00453634" w:rsidP="00524BB2">
            <w:pPr>
              <w:spacing w:after="0"/>
              <w:jc w:val="right"/>
            </w:pPr>
            <w:r>
              <w:rPr>
                <w:rFonts w:cs="Arial"/>
                <w:szCs w:val="20"/>
              </w:rPr>
              <w:t>0.64</w:t>
            </w:r>
          </w:p>
        </w:tc>
        <w:tc>
          <w:tcPr>
            <w:tcW w:w="1217" w:type="dxa"/>
            <w:vAlign w:val="center"/>
          </w:tcPr>
          <w:p w14:paraId="3E0950EA" w14:textId="55837101" w:rsidR="00453634" w:rsidRPr="002164E2" w:rsidRDefault="00453634" w:rsidP="00524BB2">
            <w:pPr>
              <w:spacing w:after="0"/>
              <w:jc w:val="right"/>
            </w:pPr>
            <w:r w:rsidRPr="002164E2">
              <w:rPr>
                <w:rFonts w:cs="Arial"/>
                <w:szCs w:val="20"/>
              </w:rPr>
              <w:t>0.1</w:t>
            </w:r>
            <w:r w:rsidR="0060795C">
              <w:rPr>
                <w:rFonts w:cs="Arial"/>
                <w:szCs w:val="20"/>
              </w:rPr>
              <w:t>8</w:t>
            </w:r>
          </w:p>
        </w:tc>
        <w:tc>
          <w:tcPr>
            <w:tcW w:w="1217" w:type="dxa"/>
            <w:vAlign w:val="center"/>
          </w:tcPr>
          <w:p w14:paraId="0671F6CE" w14:textId="77777777" w:rsidR="00453634" w:rsidRPr="002A7D8F" w:rsidRDefault="00453634" w:rsidP="00524BB2">
            <w:pPr>
              <w:spacing w:after="0"/>
              <w:jc w:val="right"/>
            </w:pPr>
            <w:r w:rsidRPr="00A954D2">
              <w:rPr>
                <w:rFonts w:cs="Arial"/>
                <w:szCs w:val="20"/>
              </w:rPr>
              <w:t>–0.11</w:t>
            </w:r>
          </w:p>
        </w:tc>
        <w:tc>
          <w:tcPr>
            <w:tcW w:w="1217" w:type="dxa"/>
            <w:vAlign w:val="center"/>
          </w:tcPr>
          <w:p w14:paraId="5D15EF7C" w14:textId="77777777" w:rsidR="00453634" w:rsidRPr="002A7D8F" w:rsidRDefault="00453634" w:rsidP="00524BB2">
            <w:pPr>
              <w:spacing w:after="0"/>
              <w:jc w:val="right"/>
            </w:pPr>
            <w:r w:rsidRPr="00A954D2">
              <w:rPr>
                <w:rFonts w:cs="Arial"/>
                <w:szCs w:val="20"/>
              </w:rPr>
              <w:t>–0.31</w:t>
            </w:r>
          </w:p>
        </w:tc>
        <w:tc>
          <w:tcPr>
            <w:tcW w:w="1217" w:type="dxa"/>
            <w:vAlign w:val="center"/>
          </w:tcPr>
          <w:p w14:paraId="2D916029" w14:textId="77777777" w:rsidR="00453634" w:rsidRPr="00A954D2" w:rsidRDefault="00453634" w:rsidP="00524BB2">
            <w:pPr>
              <w:spacing w:after="0"/>
              <w:jc w:val="right"/>
              <w:rPr>
                <w:rFonts w:cs="Arial"/>
                <w:szCs w:val="20"/>
              </w:rPr>
            </w:pPr>
            <w:r w:rsidRPr="00A954D2">
              <w:rPr>
                <w:rFonts w:cs="Arial"/>
                <w:szCs w:val="20"/>
              </w:rPr>
              <w:t>–0.15</w:t>
            </w:r>
          </w:p>
        </w:tc>
        <w:tc>
          <w:tcPr>
            <w:tcW w:w="1216" w:type="dxa"/>
          </w:tcPr>
          <w:p w14:paraId="3D22BEE4" w14:textId="77777777" w:rsidR="00453634" w:rsidRPr="002164E2" w:rsidRDefault="00453634" w:rsidP="00524BB2">
            <w:pPr>
              <w:spacing w:after="0"/>
              <w:jc w:val="right"/>
              <w:rPr>
                <w:rFonts w:cs="Arial"/>
                <w:color w:val="FF0000"/>
                <w:szCs w:val="20"/>
              </w:rPr>
            </w:pPr>
            <w:r w:rsidRPr="00453634">
              <w:t>0.08</w:t>
            </w:r>
          </w:p>
        </w:tc>
      </w:tr>
      <w:tr w:rsidR="00453634" w:rsidRPr="00CF43AB" w14:paraId="42CECBDB" w14:textId="77777777" w:rsidTr="00756B78">
        <w:tc>
          <w:tcPr>
            <w:tcW w:w="1570" w:type="dxa"/>
            <w:shd w:val="clear" w:color="auto" w:fill="F2F2F2" w:themeFill="background1" w:themeFillShade="F2"/>
            <w:vAlign w:val="center"/>
          </w:tcPr>
          <w:p w14:paraId="51B90394" w14:textId="77777777" w:rsidR="00453634" w:rsidRPr="002164E2" w:rsidRDefault="00453634" w:rsidP="00524BB2">
            <w:pPr>
              <w:spacing w:after="0"/>
            </w:pPr>
            <w:r w:rsidRPr="002164E2">
              <w:rPr>
                <w:rFonts w:cs="Arial"/>
                <w:b/>
                <w:bCs/>
                <w:color w:val="000000"/>
                <w:szCs w:val="20"/>
              </w:rPr>
              <w:t>Cumulative balance</w:t>
            </w:r>
          </w:p>
        </w:tc>
        <w:tc>
          <w:tcPr>
            <w:tcW w:w="1227" w:type="dxa"/>
            <w:shd w:val="clear" w:color="auto" w:fill="F2F2F2" w:themeFill="background1" w:themeFillShade="F2"/>
            <w:vAlign w:val="center"/>
          </w:tcPr>
          <w:p w14:paraId="41CB2978" w14:textId="2E930D21" w:rsidR="00453634" w:rsidRPr="002164E2" w:rsidRDefault="00D24E24" w:rsidP="00524BB2">
            <w:pPr>
              <w:spacing w:after="0"/>
              <w:jc w:val="right"/>
            </w:pPr>
            <w:r>
              <w:rPr>
                <w:rFonts w:cs="Arial"/>
                <w:b/>
                <w:bCs/>
                <w:color w:val="000000"/>
                <w:szCs w:val="20"/>
              </w:rPr>
              <w:t>0.64</w:t>
            </w:r>
          </w:p>
        </w:tc>
        <w:tc>
          <w:tcPr>
            <w:tcW w:w="1217" w:type="dxa"/>
            <w:shd w:val="clear" w:color="auto" w:fill="F2F2F2" w:themeFill="background1" w:themeFillShade="F2"/>
            <w:vAlign w:val="center"/>
          </w:tcPr>
          <w:p w14:paraId="2A02BF3B" w14:textId="0B2B1EF7" w:rsidR="00453634" w:rsidRPr="002164E2" w:rsidRDefault="00453634" w:rsidP="00524BB2">
            <w:pPr>
              <w:spacing w:after="0"/>
              <w:jc w:val="right"/>
            </w:pPr>
            <w:r w:rsidRPr="002164E2">
              <w:rPr>
                <w:rFonts w:cs="Arial"/>
                <w:b/>
                <w:bCs/>
                <w:color w:val="000000"/>
                <w:szCs w:val="20"/>
              </w:rPr>
              <w:t>0.82</w:t>
            </w:r>
          </w:p>
        </w:tc>
        <w:tc>
          <w:tcPr>
            <w:tcW w:w="1217" w:type="dxa"/>
            <w:shd w:val="clear" w:color="auto" w:fill="F2F2F2" w:themeFill="background1" w:themeFillShade="F2"/>
            <w:vAlign w:val="center"/>
          </w:tcPr>
          <w:p w14:paraId="466EFDB8" w14:textId="104F96FE" w:rsidR="00453634" w:rsidRPr="002164E2" w:rsidRDefault="00453634" w:rsidP="00524BB2">
            <w:pPr>
              <w:spacing w:after="0"/>
              <w:jc w:val="right"/>
            </w:pPr>
            <w:r w:rsidRPr="002164E2">
              <w:rPr>
                <w:rFonts w:cs="Arial"/>
                <w:b/>
                <w:bCs/>
                <w:color w:val="000000"/>
                <w:szCs w:val="20"/>
              </w:rPr>
              <w:t>0.71</w:t>
            </w:r>
          </w:p>
        </w:tc>
        <w:tc>
          <w:tcPr>
            <w:tcW w:w="1217" w:type="dxa"/>
            <w:shd w:val="clear" w:color="auto" w:fill="F2F2F2" w:themeFill="background1" w:themeFillShade="F2"/>
            <w:vAlign w:val="center"/>
          </w:tcPr>
          <w:p w14:paraId="2B085A08" w14:textId="586036A9" w:rsidR="00453634" w:rsidRPr="002164E2" w:rsidRDefault="00453634" w:rsidP="00524BB2">
            <w:pPr>
              <w:spacing w:after="0"/>
              <w:jc w:val="right"/>
            </w:pPr>
            <w:r w:rsidRPr="002164E2">
              <w:rPr>
                <w:rFonts w:cs="Arial"/>
                <w:b/>
                <w:bCs/>
                <w:color w:val="000000"/>
                <w:szCs w:val="20"/>
              </w:rPr>
              <w:t>0.40</w:t>
            </w:r>
          </w:p>
        </w:tc>
        <w:tc>
          <w:tcPr>
            <w:tcW w:w="1217" w:type="dxa"/>
            <w:shd w:val="clear" w:color="auto" w:fill="F2F2F2" w:themeFill="background1" w:themeFillShade="F2"/>
            <w:vAlign w:val="center"/>
          </w:tcPr>
          <w:p w14:paraId="7A72A4BE" w14:textId="7E1DC78F" w:rsidR="00453634" w:rsidRPr="002164E2" w:rsidRDefault="00453634" w:rsidP="00524BB2">
            <w:pPr>
              <w:spacing w:after="0"/>
              <w:jc w:val="right"/>
              <w:rPr>
                <w:rFonts w:cs="Arial"/>
                <w:b/>
                <w:bCs/>
                <w:color w:val="000000"/>
                <w:szCs w:val="20"/>
              </w:rPr>
            </w:pPr>
            <w:r w:rsidRPr="002164E2">
              <w:rPr>
                <w:rFonts w:cs="Arial"/>
                <w:b/>
                <w:bCs/>
                <w:color w:val="000000"/>
                <w:szCs w:val="20"/>
              </w:rPr>
              <w:t>0.</w:t>
            </w:r>
            <w:r>
              <w:rPr>
                <w:rFonts w:cs="Arial"/>
                <w:b/>
                <w:bCs/>
                <w:color w:val="000000"/>
                <w:szCs w:val="20"/>
              </w:rPr>
              <w:t>25</w:t>
            </w:r>
          </w:p>
        </w:tc>
        <w:tc>
          <w:tcPr>
            <w:tcW w:w="1216" w:type="dxa"/>
            <w:shd w:val="clear" w:color="auto" w:fill="F2F2F2" w:themeFill="background1" w:themeFillShade="F2"/>
          </w:tcPr>
          <w:p w14:paraId="1B2703F0" w14:textId="577DB4CE" w:rsidR="00E96C15" w:rsidRPr="002164E2" w:rsidRDefault="00453634" w:rsidP="008A1E81">
            <w:pPr>
              <w:spacing w:before="120" w:after="0"/>
              <w:jc w:val="right"/>
              <w:rPr>
                <w:rFonts w:cs="Arial"/>
                <w:b/>
                <w:bCs/>
                <w:color w:val="000000"/>
                <w:szCs w:val="20"/>
              </w:rPr>
            </w:pPr>
            <w:r>
              <w:rPr>
                <w:rFonts w:cs="Arial"/>
                <w:b/>
                <w:bCs/>
                <w:color w:val="000000"/>
                <w:szCs w:val="20"/>
              </w:rPr>
              <w:t>0.34</w:t>
            </w:r>
          </w:p>
        </w:tc>
      </w:tr>
    </w:tbl>
    <w:p w14:paraId="3E0476B2" w14:textId="73188131" w:rsidR="00494EA1" w:rsidRDefault="00494EA1" w:rsidP="00494EA1">
      <w:pPr>
        <w:spacing w:after="80"/>
      </w:pPr>
    </w:p>
    <w:p w14:paraId="0E212EB6" w14:textId="4574D81A" w:rsidR="00494EA1" w:rsidRPr="002173DF" w:rsidRDefault="00494EA1" w:rsidP="002173DF">
      <w:pPr>
        <w:spacing w:before="240" w:after="80"/>
        <w:rPr>
          <w:b/>
          <w:bCs/>
        </w:rPr>
      </w:pPr>
      <w:r w:rsidRPr="002173DF">
        <w:rPr>
          <w:b/>
          <w:bCs/>
        </w:rPr>
        <w:t>Revenue</w:t>
      </w:r>
    </w:p>
    <w:p w14:paraId="168A1740" w14:textId="2E12AA10" w:rsidR="00494EA1" w:rsidRPr="002164E2" w:rsidRDefault="00494EA1" w:rsidP="00494EA1">
      <w:pPr>
        <w:spacing w:after="80"/>
      </w:pPr>
      <w:r w:rsidRPr="002164E2">
        <w:t xml:space="preserve">The </w:t>
      </w:r>
      <w:r>
        <w:t>reduction in revenue trends prior to 2018</w:t>
      </w:r>
      <w:r w:rsidR="00FA7E99">
        <w:t>–</w:t>
      </w:r>
      <w:r>
        <w:t xml:space="preserve">19 </w:t>
      </w:r>
      <w:r w:rsidRPr="002164E2">
        <w:t xml:space="preserve">reflect several influences, such as: </w:t>
      </w:r>
    </w:p>
    <w:p w14:paraId="4AAAAAD2" w14:textId="1D12FD9C" w:rsidR="00494EA1" w:rsidRPr="002164E2" w:rsidRDefault="00494EA1" w:rsidP="00494EA1">
      <w:pPr>
        <w:pStyle w:val="ListBullet"/>
        <w:ind w:left="0" w:firstLine="0"/>
      </w:pPr>
      <w:r w:rsidRPr="002164E2">
        <w:t>movement from telemarketing to other forms of marketing</w:t>
      </w:r>
    </w:p>
    <w:p w14:paraId="10681974" w14:textId="7C97FC52" w:rsidR="00494EA1" w:rsidRPr="002164E2" w:rsidRDefault="00494EA1" w:rsidP="00494EA1">
      <w:pPr>
        <w:pStyle w:val="ListBullet"/>
        <w:ind w:left="0" w:firstLine="0"/>
      </w:pPr>
      <w:r w:rsidRPr="002164E2">
        <w:t>increased use of consent-based calls that are not required to be washed</w:t>
      </w:r>
    </w:p>
    <w:p w14:paraId="04A51E7B" w14:textId="6DB7CDE6" w:rsidR="00494EA1" w:rsidRDefault="00494EA1" w:rsidP="00494EA1">
      <w:pPr>
        <w:pStyle w:val="ListBulletLast"/>
        <w:spacing w:after="80"/>
        <w:ind w:left="0" w:firstLine="0"/>
      </w:pPr>
      <w:r w:rsidRPr="002164E2">
        <w:t>high labour costs in call centres</w:t>
      </w:r>
      <w:r w:rsidR="00084EDA">
        <w:t xml:space="preserve"> </w:t>
      </w:r>
    </w:p>
    <w:p w14:paraId="4D8F1605" w14:textId="6C644D6C" w:rsidR="00494EA1" w:rsidRDefault="00494EA1" w:rsidP="00494EA1">
      <w:pPr>
        <w:pStyle w:val="ListBulletLast"/>
        <w:spacing w:after="80"/>
        <w:ind w:left="0" w:firstLine="0"/>
      </w:pPr>
      <w:r>
        <w:t>mobile phones replacing fixed</w:t>
      </w:r>
      <w:r w:rsidR="002A7D8F">
        <w:t>-</w:t>
      </w:r>
      <w:r>
        <w:t>line phones. There is no public directory of mobile phones, which makes it difficult for telemarketers to generate calling lists</w:t>
      </w:r>
    </w:p>
    <w:p w14:paraId="054CA6A5" w14:textId="77777777" w:rsidR="00494EA1" w:rsidRPr="002164E2" w:rsidRDefault="00494EA1" w:rsidP="00494EA1">
      <w:pPr>
        <w:pStyle w:val="ListBulletLast"/>
        <w:ind w:left="0" w:firstLine="0"/>
      </w:pPr>
      <w:r>
        <w:lastRenderedPageBreak/>
        <w:t>increased costs of washing numbers against the DNCR from July 2017.</w:t>
      </w:r>
    </w:p>
    <w:p w14:paraId="6D3FA32D" w14:textId="5EFB134E" w:rsidR="00494EA1" w:rsidRPr="002173DF" w:rsidRDefault="00494EA1" w:rsidP="002173DF">
      <w:pPr>
        <w:rPr>
          <w:b/>
          <w:bCs/>
        </w:rPr>
      </w:pPr>
      <w:r>
        <w:t>However, in 2018</w:t>
      </w:r>
      <w:r w:rsidR="00FA7E99">
        <w:t>–</w:t>
      </w:r>
      <w:r>
        <w:t xml:space="preserve">19 revenue increased from the previous year due to demand for subscription types B, D and G. The numbers vary at times due to campaigns that are run by the telemarketing industry. </w:t>
      </w:r>
    </w:p>
    <w:p w14:paraId="38DFDDAC" w14:textId="1FC9A15B" w:rsidR="004C28EF" w:rsidRPr="002173DF" w:rsidRDefault="004C28EF" w:rsidP="002173DF">
      <w:pPr>
        <w:spacing w:before="240" w:after="80"/>
        <w:rPr>
          <w:b/>
          <w:bCs/>
        </w:rPr>
      </w:pPr>
      <w:r w:rsidRPr="002173DF">
        <w:rPr>
          <w:b/>
          <w:bCs/>
        </w:rPr>
        <w:t>Expenses</w:t>
      </w:r>
    </w:p>
    <w:p w14:paraId="4CC2FFA3" w14:textId="37E43784" w:rsidR="004C28EF" w:rsidRPr="007959CE" w:rsidRDefault="004C28EF" w:rsidP="004C28EF">
      <w:r w:rsidRPr="007959CE">
        <w:rPr>
          <w:snapToGrid w:val="0"/>
        </w:rPr>
        <w:t xml:space="preserve">Table </w:t>
      </w:r>
      <w:r w:rsidR="000B5335">
        <w:rPr>
          <w:snapToGrid w:val="0"/>
        </w:rPr>
        <w:t>9</w:t>
      </w:r>
      <w:r w:rsidR="00494EA1">
        <w:rPr>
          <w:snapToGrid w:val="0"/>
        </w:rPr>
        <w:t xml:space="preserve"> below</w:t>
      </w:r>
      <w:r>
        <w:rPr>
          <w:snapToGrid w:val="0"/>
        </w:rPr>
        <w:t xml:space="preserve"> </w:t>
      </w:r>
      <w:r w:rsidRPr="007959CE">
        <w:rPr>
          <w:snapToGrid w:val="0"/>
        </w:rPr>
        <w:t xml:space="preserve">summarises the actual direct costs associated with operating the </w:t>
      </w:r>
      <w:r w:rsidR="002A7D8F">
        <w:rPr>
          <w:snapToGrid w:val="0"/>
        </w:rPr>
        <w:t>r</w:t>
      </w:r>
      <w:r>
        <w:rPr>
          <w:snapToGrid w:val="0"/>
        </w:rPr>
        <w:t>egister</w:t>
      </w:r>
      <w:r w:rsidRPr="007959CE">
        <w:rPr>
          <w:snapToGrid w:val="0"/>
        </w:rPr>
        <w:t xml:space="preserve"> between 201</w:t>
      </w:r>
      <w:r>
        <w:rPr>
          <w:snapToGrid w:val="0"/>
        </w:rPr>
        <w:t>5</w:t>
      </w:r>
      <w:r w:rsidRPr="007959CE">
        <w:rPr>
          <w:snapToGrid w:val="0"/>
        </w:rPr>
        <w:t>–1</w:t>
      </w:r>
      <w:r>
        <w:rPr>
          <w:snapToGrid w:val="0"/>
        </w:rPr>
        <w:t>6</w:t>
      </w:r>
      <w:r w:rsidRPr="007959CE">
        <w:rPr>
          <w:snapToGrid w:val="0"/>
        </w:rPr>
        <w:t xml:space="preserve"> and 2018–19</w:t>
      </w:r>
      <w:r>
        <w:rPr>
          <w:snapToGrid w:val="0"/>
        </w:rPr>
        <w:t>, as well as estimated costs for 2019</w:t>
      </w:r>
      <w:r w:rsidR="00FA7E99">
        <w:rPr>
          <w:snapToGrid w:val="0"/>
        </w:rPr>
        <w:t>–</w:t>
      </w:r>
      <w:r>
        <w:rPr>
          <w:snapToGrid w:val="0"/>
        </w:rPr>
        <w:t>20.</w:t>
      </w:r>
    </w:p>
    <w:p w14:paraId="6FD5EA5A" w14:textId="4932967F" w:rsidR="004C28EF" w:rsidRPr="007959CE" w:rsidRDefault="004C28EF" w:rsidP="004C28EF">
      <w:pPr>
        <w:pStyle w:val="ACMATableHeader"/>
        <w:ind w:left="0" w:firstLine="0"/>
      </w:pPr>
      <w:r w:rsidRPr="007959CE">
        <w:t xml:space="preserve">Direct operating costs of the </w:t>
      </w:r>
      <w:r w:rsidR="002A7D8F">
        <w:t>r</w:t>
      </w:r>
      <w:r>
        <w:t>egister</w:t>
      </w:r>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1271"/>
        <w:gridCol w:w="1278"/>
        <w:gridCol w:w="1278"/>
        <w:gridCol w:w="1278"/>
        <w:gridCol w:w="1278"/>
        <w:gridCol w:w="1278"/>
      </w:tblGrid>
      <w:tr w:rsidR="004C28EF" w:rsidRPr="007959CE" w14:paraId="2447396B" w14:textId="77777777" w:rsidTr="00591A0C">
        <w:tc>
          <w:tcPr>
            <w:tcW w:w="1271" w:type="dxa"/>
            <w:shd w:val="clear" w:color="auto" w:fill="404040" w:themeFill="text1" w:themeFillTint="BF"/>
          </w:tcPr>
          <w:p w14:paraId="7C8C6C3D" w14:textId="77777777" w:rsidR="004C28EF" w:rsidRPr="007959CE" w:rsidRDefault="004C28EF" w:rsidP="002173DF">
            <w:pPr>
              <w:pStyle w:val="TableHeading"/>
              <w:jc w:val="center"/>
              <w:rPr>
                <w:color w:val="FFFFFF" w:themeColor="background1"/>
              </w:rPr>
            </w:pPr>
            <w:r w:rsidRPr="007959CE">
              <w:rPr>
                <w:color w:val="FFFFFF" w:themeColor="background1"/>
              </w:rPr>
              <w:t>Direct costs</w:t>
            </w:r>
          </w:p>
        </w:tc>
        <w:tc>
          <w:tcPr>
            <w:tcW w:w="1278" w:type="dxa"/>
            <w:shd w:val="clear" w:color="auto" w:fill="404040" w:themeFill="text1" w:themeFillTint="BF"/>
          </w:tcPr>
          <w:p w14:paraId="32214F94" w14:textId="77777777" w:rsidR="004C28EF" w:rsidRPr="007959CE" w:rsidRDefault="004C28EF" w:rsidP="002173DF">
            <w:pPr>
              <w:pStyle w:val="TableHeading"/>
              <w:jc w:val="center"/>
              <w:rPr>
                <w:color w:val="FFFFFF" w:themeColor="background1"/>
              </w:rPr>
            </w:pPr>
            <w:r w:rsidRPr="007959CE">
              <w:rPr>
                <w:color w:val="FFFFFF" w:themeColor="background1"/>
              </w:rPr>
              <w:t>Actual 2015–16</w:t>
            </w:r>
            <w:r w:rsidRPr="007959CE">
              <w:rPr>
                <w:color w:val="FFFFFF" w:themeColor="background1"/>
              </w:rPr>
              <w:br/>
              <w:t>($m)</w:t>
            </w:r>
          </w:p>
        </w:tc>
        <w:tc>
          <w:tcPr>
            <w:tcW w:w="1278" w:type="dxa"/>
            <w:shd w:val="clear" w:color="auto" w:fill="404040" w:themeFill="text1" w:themeFillTint="BF"/>
          </w:tcPr>
          <w:p w14:paraId="42F6BE80" w14:textId="77777777" w:rsidR="004C28EF" w:rsidRPr="007959CE" w:rsidRDefault="004C28EF" w:rsidP="002173DF">
            <w:pPr>
              <w:pStyle w:val="TableHeading"/>
              <w:jc w:val="center"/>
              <w:rPr>
                <w:color w:val="FFFFFF" w:themeColor="background1"/>
              </w:rPr>
            </w:pPr>
            <w:r w:rsidRPr="007959CE">
              <w:rPr>
                <w:color w:val="FFFFFF" w:themeColor="background1"/>
              </w:rPr>
              <w:t>Actual 2016–17 ($m)</w:t>
            </w:r>
          </w:p>
        </w:tc>
        <w:tc>
          <w:tcPr>
            <w:tcW w:w="1278" w:type="dxa"/>
            <w:shd w:val="clear" w:color="auto" w:fill="404040" w:themeFill="text1" w:themeFillTint="BF"/>
          </w:tcPr>
          <w:p w14:paraId="0EF71742" w14:textId="77777777" w:rsidR="004C28EF" w:rsidRPr="007959CE" w:rsidRDefault="004C28EF" w:rsidP="002173DF">
            <w:pPr>
              <w:pStyle w:val="TableHeading"/>
              <w:jc w:val="center"/>
              <w:rPr>
                <w:color w:val="FFFFFF" w:themeColor="background1"/>
              </w:rPr>
            </w:pPr>
            <w:r w:rsidRPr="007959CE">
              <w:rPr>
                <w:color w:val="FFFFFF" w:themeColor="background1"/>
              </w:rPr>
              <w:t>Actual 2017–18 ($m)</w:t>
            </w:r>
          </w:p>
        </w:tc>
        <w:tc>
          <w:tcPr>
            <w:tcW w:w="1278" w:type="dxa"/>
            <w:shd w:val="clear" w:color="auto" w:fill="404040" w:themeFill="text1" w:themeFillTint="BF"/>
          </w:tcPr>
          <w:p w14:paraId="384401E3" w14:textId="77777777" w:rsidR="004C28EF" w:rsidRPr="007959CE" w:rsidRDefault="004C28EF" w:rsidP="002173DF">
            <w:pPr>
              <w:pStyle w:val="TableHeading"/>
              <w:jc w:val="center"/>
              <w:rPr>
                <w:color w:val="FFFFFF" w:themeColor="background1"/>
              </w:rPr>
            </w:pPr>
            <w:r w:rsidRPr="007959CE">
              <w:rPr>
                <w:color w:val="FFFFFF" w:themeColor="background1"/>
              </w:rPr>
              <w:t>Actual</w:t>
            </w:r>
            <w:r w:rsidRPr="007959CE" w:rsidDel="009A66CD">
              <w:rPr>
                <w:color w:val="FFFFFF" w:themeColor="background1"/>
              </w:rPr>
              <w:t xml:space="preserve"> </w:t>
            </w:r>
            <w:r w:rsidRPr="007959CE">
              <w:rPr>
                <w:color w:val="FFFFFF" w:themeColor="background1"/>
              </w:rPr>
              <w:t>2018–19 ($m)</w:t>
            </w:r>
          </w:p>
        </w:tc>
        <w:tc>
          <w:tcPr>
            <w:tcW w:w="1278" w:type="dxa"/>
            <w:shd w:val="clear" w:color="auto" w:fill="404040" w:themeFill="text1" w:themeFillTint="BF"/>
          </w:tcPr>
          <w:p w14:paraId="2409432C" w14:textId="77777777" w:rsidR="004C28EF" w:rsidRDefault="004C28EF" w:rsidP="002173DF">
            <w:pPr>
              <w:pStyle w:val="TableHeading"/>
              <w:jc w:val="center"/>
              <w:rPr>
                <w:color w:val="FFFFFF" w:themeColor="background1"/>
              </w:rPr>
            </w:pPr>
            <w:r>
              <w:rPr>
                <w:color w:val="FFFFFF" w:themeColor="background1"/>
              </w:rPr>
              <w:t>Estimate</w:t>
            </w:r>
          </w:p>
          <w:p w14:paraId="1262C36F" w14:textId="34C47448" w:rsidR="004C28EF" w:rsidRDefault="004C28EF" w:rsidP="002173DF">
            <w:pPr>
              <w:pStyle w:val="TableHeading"/>
              <w:jc w:val="center"/>
              <w:rPr>
                <w:color w:val="FFFFFF" w:themeColor="background1"/>
              </w:rPr>
            </w:pPr>
            <w:r>
              <w:rPr>
                <w:color w:val="FFFFFF" w:themeColor="background1"/>
              </w:rPr>
              <w:t>2019</w:t>
            </w:r>
            <w:r w:rsidR="00FA7E99">
              <w:rPr>
                <w:color w:val="FFFFFF" w:themeColor="background1"/>
              </w:rPr>
              <w:t>–</w:t>
            </w:r>
            <w:r>
              <w:rPr>
                <w:color w:val="FFFFFF" w:themeColor="background1"/>
              </w:rPr>
              <w:t>20</w:t>
            </w:r>
          </w:p>
          <w:p w14:paraId="71F021A2" w14:textId="77777777" w:rsidR="004C28EF" w:rsidRPr="007959CE" w:rsidRDefault="004C28EF" w:rsidP="002173DF">
            <w:pPr>
              <w:pStyle w:val="TableHeading"/>
              <w:jc w:val="center"/>
              <w:rPr>
                <w:color w:val="FFFFFF" w:themeColor="background1"/>
              </w:rPr>
            </w:pPr>
            <w:r>
              <w:rPr>
                <w:color w:val="FFFFFF" w:themeColor="background1"/>
              </w:rPr>
              <w:t>($m)</w:t>
            </w:r>
          </w:p>
        </w:tc>
      </w:tr>
      <w:tr w:rsidR="004C28EF" w:rsidRPr="007959CE" w14:paraId="6F2BE9A0" w14:textId="77777777" w:rsidTr="00591A0C">
        <w:tc>
          <w:tcPr>
            <w:tcW w:w="1271" w:type="dxa"/>
            <w:vAlign w:val="center"/>
          </w:tcPr>
          <w:p w14:paraId="5B727132" w14:textId="77777777" w:rsidR="004C28EF" w:rsidRPr="00212B85" w:rsidRDefault="004C28EF" w:rsidP="00591A0C">
            <w:pPr>
              <w:spacing w:after="0"/>
            </w:pPr>
            <w:r w:rsidRPr="00212B85">
              <w:rPr>
                <w:rFonts w:cs="Arial"/>
                <w:color w:val="000000"/>
                <w:szCs w:val="20"/>
              </w:rPr>
              <w:t>Contractors</w:t>
            </w:r>
          </w:p>
        </w:tc>
        <w:tc>
          <w:tcPr>
            <w:tcW w:w="1278" w:type="dxa"/>
            <w:vAlign w:val="center"/>
          </w:tcPr>
          <w:p w14:paraId="506D7543" w14:textId="77777777" w:rsidR="004C28EF" w:rsidRPr="00212B85" w:rsidRDefault="004C28EF" w:rsidP="00591A0C">
            <w:pPr>
              <w:spacing w:after="0"/>
              <w:jc w:val="center"/>
            </w:pPr>
            <w:r w:rsidRPr="00212B85">
              <w:rPr>
                <w:rFonts w:cs="Arial"/>
                <w:color w:val="000000"/>
                <w:szCs w:val="20"/>
              </w:rPr>
              <w:t>1.75</w:t>
            </w:r>
          </w:p>
        </w:tc>
        <w:tc>
          <w:tcPr>
            <w:tcW w:w="1278" w:type="dxa"/>
            <w:vAlign w:val="center"/>
          </w:tcPr>
          <w:p w14:paraId="12386CF9" w14:textId="77777777" w:rsidR="004C28EF" w:rsidRPr="00212B85" w:rsidRDefault="004C28EF" w:rsidP="00591A0C">
            <w:pPr>
              <w:spacing w:after="0"/>
              <w:jc w:val="center"/>
            </w:pPr>
            <w:r w:rsidRPr="00212B85">
              <w:rPr>
                <w:rFonts w:cs="Arial"/>
                <w:color w:val="000000"/>
                <w:szCs w:val="20"/>
              </w:rPr>
              <w:t>1.70</w:t>
            </w:r>
          </w:p>
        </w:tc>
        <w:tc>
          <w:tcPr>
            <w:tcW w:w="1278" w:type="dxa"/>
            <w:vAlign w:val="center"/>
          </w:tcPr>
          <w:p w14:paraId="19B959F0" w14:textId="77777777" w:rsidR="004C28EF" w:rsidRPr="00212B85" w:rsidRDefault="004C28EF" w:rsidP="00591A0C">
            <w:pPr>
              <w:spacing w:after="0"/>
              <w:jc w:val="center"/>
            </w:pPr>
            <w:r>
              <w:rPr>
                <w:rFonts w:cs="Arial"/>
                <w:color w:val="000000"/>
                <w:szCs w:val="20"/>
              </w:rPr>
              <w:t>1.69</w:t>
            </w:r>
          </w:p>
        </w:tc>
        <w:tc>
          <w:tcPr>
            <w:tcW w:w="1278" w:type="dxa"/>
            <w:vAlign w:val="center"/>
          </w:tcPr>
          <w:p w14:paraId="76BBF89E" w14:textId="77777777" w:rsidR="004C28EF" w:rsidRPr="00212B85" w:rsidRDefault="004C28EF" w:rsidP="00591A0C">
            <w:pPr>
              <w:spacing w:after="0"/>
              <w:jc w:val="center"/>
            </w:pPr>
            <w:r w:rsidRPr="00C5181F">
              <w:rPr>
                <w:rFonts w:cs="Arial"/>
                <w:color w:val="000000"/>
                <w:szCs w:val="20"/>
              </w:rPr>
              <w:t>1.7</w:t>
            </w:r>
            <w:r>
              <w:rPr>
                <w:rFonts w:cs="Arial"/>
                <w:color w:val="000000"/>
                <w:szCs w:val="20"/>
              </w:rPr>
              <w:t>3</w:t>
            </w:r>
          </w:p>
        </w:tc>
        <w:tc>
          <w:tcPr>
            <w:tcW w:w="1278" w:type="dxa"/>
          </w:tcPr>
          <w:p w14:paraId="243DBA97" w14:textId="77777777" w:rsidR="004C28EF" w:rsidRPr="00C5181F" w:rsidRDefault="004C28EF" w:rsidP="00591A0C">
            <w:pPr>
              <w:spacing w:after="0"/>
              <w:jc w:val="center"/>
              <w:rPr>
                <w:rFonts w:cs="Arial"/>
                <w:color w:val="000000"/>
                <w:szCs w:val="20"/>
              </w:rPr>
            </w:pPr>
            <w:r>
              <w:rPr>
                <w:rFonts w:cs="Arial"/>
                <w:color w:val="000000"/>
                <w:szCs w:val="20"/>
              </w:rPr>
              <w:t>1.77</w:t>
            </w:r>
            <w:r w:rsidRPr="007959CE">
              <w:rPr>
                <w:vertAlign w:val="superscript"/>
              </w:rPr>
              <w:t>†</w:t>
            </w:r>
          </w:p>
        </w:tc>
      </w:tr>
      <w:tr w:rsidR="004C28EF" w:rsidRPr="007959CE" w14:paraId="3B6D0A43" w14:textId="77777777" w:rsidTr="00591A0C">
        <w:tc>
          <w:tcPr>
            <w:tcW w:w="1271" w:type="dxa"/>
            <w:vAlign w:val="center"/>
          </w:tcPr>
          <w:p w14:paraId="02AE96DD" w14:textId="77777777" w:rsidR="004C28EF" w:rsidRPr="00212B85" w:rsidRDefault="004C28EF" w:rsidP="00591A0C">
            <w:pPr>
              <w:spacing w:after="0"/>
            </w:pPr>
            <w:r w:rsidRPr="00212B85">
              <w:rPr>
                <w:rFonts w:cs="Arial"/>
                <w:color w:val="000000"/>
                <w:szCs w:val="20"/>
              </w:rPr>
              <w:t>Staff</w:t>
            </w:r>
          </w:p>
        </w:tc>
        <w:tc>
          <w:tcPr>
            <w:tcW w:w="1278" w:type="dxa"/>
            <w:vAlign w:val="center"/>
          </w:tcPr>
          <w:p w14:paraId="7EDE59F3" w14:textId="77777777" w:rsidR="004C28EF" w:rsidRPr="00212B85" w:rsidRDefault="004C28EF" w:rsidP="00591A0C">
            <w:pPr>
              <w:spacing w:after="0"/>
              <w:jc w:val="center"/>
            </w:pPr>
            <w:r w:rsidRPr="00212B85">
              <w:rPr>
                <w:rFonts w:cs="Arial"/>
                <w:color w:val="000000"/>
                <w:szCs w:val="20"/>
              </w:rPr>
              <w:t>0.55</w:t>
            </w:r>
          </w:p>
        </w:tc>
        <w:tc>
          <w:tcPr>
            <w:tcW w:w="1278" w:type="dxa"/>
            <w:vAlign w:val="center"/>
          </w:tcPr>
          <w:p w14:paraId="332DABED" w14:textId="77777777" w:rsidR="004C28EF" w:rsidRPr="00212B85" w:rsidRDefault="004C28EF" w:rsidP="00591A0C">
            <w:pPr>
              <w:spacing w:after="0"/>
              <w:jc w:val="center"/>
            </w:pPr>
            <w:r w:rsidRPr="00212B85">
              <w:rPr>
                <w:rFonts w:cs="Arial"/>
                <w:color w:val="000000"/>
                <w:szCs w:val="20"/>
              </w:rPr>
              <w:t>0.58</w:t>
            </w:r>
          </w:p>
        </w:tc>
        <w:tc>
          <w:tcPr>
            <w:tcW w:w="1278" w:type="dxa"/>
            <w:vAlign w:val="center"/>
          </w:tcPr>
          <w:p w14:paraId="7A297C2F" w14:textId="77777777" w:rsidR="004C28EF" w:rsidRPr="00212B85" w:rsidRDefault="004C28EF" w:rsidP="00591A0C">
            <w:pPr>
              <w:spacing w:after="0"/>
              <w:jc w:val="center"/>
            </w:pPr>
            <w:r>
              <w:rPr>
                <w:rFonts w:cs="Arial"/>
                <w:color w:val="000000"/>
                <w:szCs w:val="20"/>
              </w:rPr>
              <w:t>0.37</w:t>
            </w:r>
          </w:p>
        </w:tc>
        <w:tc>
          <w:tcPr>
            <w:tcW w:w="1278" w:type="dxa"/>
            <w:vAlign w:val="center"/>
          </w:tcPr>
          <w:p w14:paraId="248E1628" w14:textId="77777777" w:rsidR="004C28EF" w:rsidRPr="00212B85" w:rsidRDefault="004C28EF" w:rsidP="00591A0C">
            <w:pPr>
              <w:spacing w:after="0"/>
              <w:jc w:val="center"/>
            </w:pPr>
            <w:r>
              <w:rPr>
                <w:rFonts w:cs="Arial"/>
                <w:color w:val="000000"/>
                <w:szCs w:val="20"/>
              </w:rPr>
              <w:t>0.38</w:t>
            </w:r>
          </w:p>
        </w:tc>
        <w:tc>
          <w:tcPr>
            <w:tcW w:w="1278" w:type="dxa"/>
          </w:tcPr>
          <w:p w14:paraId="79F4B267" w14:textId="77777777" w:rsidR="004C28EF" w:rsidRDefault="004C28EF" w:rsidP="00591A0C">
            <w:pPr>
              <w:spacing w:after="0"/>
              <w:jc w:val="center"/>
              <w:rPr>
                <w:rFonts w:cs="Arial"/>
                <w:color w:val="000000"/>
                <w:szCs w:val="20"/>
              </w:rPr>
            </w:pPr>
            <w:r>
              <w:rPr>
                <w:rFonts w:cs="Arial"/>
                <w:color w:val="000000"/>
                <w:szCs w:val="20"/>
              </w:rPr>
              <w:t>0.38</w:t>
            </w:r>
          </w:p>
        </w:tc>
      </w:tr>
      <w:tr w:rsidR="004C28EF" w:rsidRPr="007959CE" w14:paraId="0933AFBA" w14:textId="77777777" w:rsidTr="00591A0C">
        <w:tc>
          <w:tcPr>
            <w:tcW w:w="1271" w:type="dxa"/>
            <w:vAlign w:val="center"/>
          </w:tcPr>
          <w:p w14:paraId="612F7518" w14:textId="77777777" w:rsidR="004C28EF" w:rsidRPr="00212B85" w:rsidRDefault="004C28EF" w:rsidP="00591A0C">
            <w:pPr>
              <w:spacing w:after="0"/>
            </w:pPr>
            <w:r w:rsidRPr="00212B85">
              <w:rPr>
                <w:rFonts w:cs="Arial"/>
                <w:color w:val="000000"/>
                <w:szCs w:val="20"/>
              </w:rPr>
              <w:t>Consultants</w:t>
            </w:r>
          </w:p>
        </w:tc>
        <w:tc>
          <w:tcPr>
            <w:tcW w:w="1278" w:type="dxa"/>
            <w:vAlign w:val="center"/>
          </w:tcPr>
          <w:p w14:paraId="74AC01DE" w14:textId="77777777" w:rsidR="004C28EF" w:rsidRPr="00212B85" w:rsidRDefault="004C28EF" w:rsidP="00591A0C">
            <w:pPr>
              <w:spacing w:after="0"/>
              <w:jc w:val="center"/>
            </w:pPr>
            <w:r w:rsidRPr="00212B85">
              <w:rPr>
                <w:rFonts w:cs="Arial"/>
                <w:color w:val="000000"/>
                <w:szCs w:val="20"/>
              </w:rPr>
              <w:t>0.01</w:t>
            </w:r>
          </w:p>
        </w:tc>
        <w:tc>
          <w:tcPr>
            <w:tcW w:w="1278" w:type="dxa"/>
            <w:vAlign w:val="center"/>
          </w:tcPr>
          <w:p w14:paraId="05D08DEC" w14:textId="77777777" w:rsidR="004C28EF" w:rsidRPr="00212B85" w:rsidRDefault="004C28EF" w:rsidP="00591A0C">
            <w:pPr>
              <w:spacing w:after="0"/>
              <w:jc w:val="center"/>
            </w:pPr>
            <w:r w:rsidRPr="00212B85">
              <w:rPr>
                <w:rFonts w:cs="Arial"/>
                <w:color w:val="000000"/>
                <w:szCs w:val="20"/>
              </w:rPr>
              <w:t>0.02</w:t>
            </w:r>
          </w:p>
        </w:tc>
        <w:tc>
          <w:tcPr>
            <w:tcW w:w="1278" w:type="dxa"/>
            <w:vAlign w:val="center"/>
          </w:tcPr>
          <w:p w14:paraId="2CE15C58" w14:textId="77777777" w:rsidR="004C28EF" w:rsidRPr="00212B85" w:rsidRDefault="004C28EF" w:rsidP="00591A0C">
            <w:pPr>
              <w:spacing w:after="0"/>
              <w:jc w:val="center"/>
            </w:pPr>
            <w:r>
              <w:rPr>
                <w:rFonts w:cs="Arial"/>
                <w:color w:val="000000"/>
                <w:szCs w:val="20"/>
              </w:rPr>
              <w:t>0.01</w:t>
            </w:r>
          </w:p>
        </w:tc>
        <w:tc>
          <w:tcPr>
            <w:tcW w:w="1278" w:type="dxa"/>
            <w:vAlign w:val="center"/>
          </w:tcPr>
          <w:p w14:paraId="5CA06BFE" w14:textId="77777777" w:rsidR="004C28EF" w:rsidRPr="00212B85" w:rsidRDefault="004C28EF" w:rsidP="00591A0C">
            <w:pPr>
              <w:spacing w:after="0"/>
              <w:jc w:val="center"/>
            </w:pPr>
            <w:r>
              <w:rPr>
                <w:rFonts w:cs="Arial"/>
                <w:color w:val="000000"/>
                <w:szCs w:val="20"/>
              </w:rPr>
              <w:t>0.01</w:t>
            </w:r>
          </w:p>
        </w:tc>
        <w:tc>
          <w:tcPr>
            <w:tcW w:w="1278" w:type="dxa"/>
          </w:tcPr>
          <w:p w14:paraId="115BC8D1" w14:textId="77777777" w:rsidR="004C28EF" w:rsidRDefault="004C28EF" w:rsidP="00591A0C">
            <w:pPr>
              <w:spacing w:after="0"/>
              <w:jc w:val="center"/>
              <w:rPr>
                <w:rFonts w:cs="Arial"/>
                <w:color w:val="000000"/>
                <w:szCs w:val="20"/>
              </w:rPr>
            </w:pPr>
            <w:r>
              <w:rPr>
                <w:rFonts w:cs="Arial"/>
                <w:color w:val="000000"/>
                <w:szCs w:val="20"/>
              </w:rPr>
              <w:t>0.01</w:t>
            </w:r>
          </w:p>
        </w:tc>
      </w:tr>
      <w:tr w:rsidR="004C28EF" w:rsidRPr="007959CE" w14:paraId="5A6270AC" w14:textId="77777777" w:rsidTr="00591A0C">
        <w:tc>
          <w:tcPr>
            <w:tcW w:w="1271" w:type="dxa"/>
            <w:vAlign w:val="center"/>
          </w:tcPr>
          <w:p w14:paraId="1EE93615" w14:textId="77777777" w:rsidR="004C28EF" w:rsidRPr="00212B85" w:rsidRDefault="004C28EF" w:rsidP="00591A0C">
            <w:pPr>
              <w:spacing w:after="0"/>
            </w:pPr>
            <w:r w:rsidRPr="00212B85">
              <w:rPr>
                <w:rFonts w:cs="Arial"/>
                <w:color w:val="000000"/>
                <w:szCs w:val="20"/>
              </w:rPr>
              <w:t>Other</w:t>
            </w:r>
          </w:p>
        </w:tc>
        <w:tc>
          <w:tcPr>
            <w:tcW w:w="1278" w:type="dxa"/>
            <w:vAlign w:val="center"/>
          </w:tcPr>
          <w:p w14:paraId="73CC905A" w14:textId="77777777" w:rsidR="004C28EF" w:rsidRPr="00212B85" w:rsidRDefault="004C28EF" w:rsidP="00591A0C">
            <w:pPr>
              <w:spacing w:after="0"/>
              <w:jc w:val="center"/>
            </w:pPr>
            <w:r w:rsidRPr="00212B85">
              <w:rPr>
                <w:rFonts w:cs="Arial"/>
                <w:color w:val="000000"/>
                <w:szCs w:val="20"/>
              </w:rPr>
              <w:t>0.03</w:t>
            </w:r>
          </w:p>
        </w:tc>
        <w:tc>
          <w:tcPr>
            <w:tcW w:w="1278" w:type="dxa"/>
            <w:vAlign w:val="center"/>
          </w:tcPr>
          <w:p w14:paraId="09CACCE7" w14:textId="77777777" w:rsidR="004C28EF" w:rsidRPr="00212B85" w:rsidRDefault="004C28EF" w:rsidP="00591A0C">
            <w:pPr>
              <w:spacing w:after="0"/>
              <w:jc w:val="center"/>
            </w:pPr>
            <w:r w:rsidRPr="00212B85">
              <w:rPr>
                <w:rFonts w:cs="Arial"/>
                <w:color w:val="000000"/>
                <w:szCs w:val="20"/>
              </w:rPr>
              <w:t>0.0</w:t>
            </w:r>
            <w:r>
              <w:rPr>
                <w:rFonts w:cs="Arial"/>
                <w:color w:val="000000"/>
                <w:szCs w:val="20"/>
              </w:rPr>
              <w:t>2</w:t>
            </w:r>
          </w:p>
        </w:tc>
        <w:tc>
          <w:tcPr>
            <w:tcW w:w="1278" w:type="dxa"/>
            <w:vAlign w:val="center"/>
          </w:tcPr>
          <w:p w14:paraId="4423654D" w14:textId="77777777" w:rsidR="004C28EF" w:rsidRPr="00212B85" w:rsidRDefault="004C28EF" w:rsidP="00591A0C">
            <w:pPr>
              <w:spacing w:after="0"/>
              <w:jc w:val="center"/>
            </w:pPr>
            <w:r>
              <w:rPr>
                <w:rFonts w:cs="Arial"/>
                <w:color w:val="000000"/>
                <w:szCs w:val="20"/>
              </w:rPr>
              <w:t>0.03</w:t>
            </w:r>
          </w:p>
        </w:tc>
        <w:tc>
          <w:tcPr>
            <w:tcW w:w="1278" w:type="dxa"/>
            <w:vAlign w:val="center"/>
          </w:tcPr>
          <w:p w14:paraId="1CF21B55" w14:textId="77777777" w:rsidR="004C28EF" w:rsidRPr="00212B85" w:rsidRDefault="004C28EF" w:rsidP="00591A0C">
            <w:pPr>
              <w:spacing w:after="0"/>
              <w:jc w:val="center"/>
            </w:pPr>
            <w:r>
              <w:rPr>
                <w:rFonts w:cs="Arial"/>
                <w:color w:val="000000"/>
                <w:szCs w:val="20"/>
              </w:rPr>
              <w:t>0.02</w:t>
            </w:r>
          </w:p>
        </w:tc>
        <w:tc>
          <w:tcPr>
            <w:tcW w:w="1278" w:type="dxa"/>
          </w:tcPr>
          <w:p w14:paraId="0F0F55FC" w14:textId="77777777" w:rsidR="004C28EF" w:rsidRDefault="004C28EF" w:rsidP="00591A0C">
            <w:pPr>
              <w:spacing w:after="0"/>
              <w:jc w:val="center"/>
              <w:rPr>
                <w:rFonts w:cs="Arial"/>
                <w:color w:val="000000"/>
                <w:szCs w:val="20"/>
              </w:rPr>
            </w:pPr>
            <w:r>
              <w:rPr>
                <w:rFonts w:cs="Arial"/>
                <w:color w:val="000000"/>
                <w:szCs w:val="20"/>
              </w:rPr>
              <w:t>0.02</w:t>
            </w:r>
          </w:p>
        </w:tc>
      </w:tr>
      <w:tr w:rsidR="004C28EF" w:rsidRPr="007959CE" w14:paraId="125607F4" w14:textId="77777777" w:rsidTr="00591A0C">
        <w:tc>
          <w:tcPr>
            <w:tcW w:w="1271" w:type="dxa"/>
            <w:shd w:val="clear" w:color="auto" w:fill="F2F2F2" w:themeFill="background1" w:themeFillShade="F2"/>
            <w:vAlign w:val="center"/>
          </w:tcPr>
          <w:p w14:paraId="0D89654F" w14:textId="77777777" w:rsidR="004C28EF" w:rsidRPr="00212B85" w:rsidRDefault="004C28EF" w:rsidP="00591A0C">
            <w:pPr>
              <w:spacing w:after="0"/>
            </w:pPr>
            <w:r w:rsidRPr="00212B85">
              <w:rPr>
                <w:rFonts w:cs="Arial"/>
                <w:b/>
                <w:bCs/>
                <w:color w:val="000000"/>
                <w:szCs w:val="20"/>
              </w:rPr>
              <w:t>Total</w:t>
            </w:r>
          </w:p>
        </w:tc>
        <w:tc>
          <w:tcPr>
            <w:tcW w:w="1278" w:type="dxa"/>
            <w:shd w:val="clear" w:color="auto" w:fill="F2F2F2" w:themeFill="background1" w:themeFillShade="F2"/>
            <w:vAlign w:val="center"/>
          </w:tcPr>
          <w:p w14:paraId="6B002D9C" w14:textId="77777777" w:rsidR="004C28EF" w:rsidRPr="00212B85" w:rsidRDefault="004C28EF" w:rsidP="00591A0C">
            <w:pPr>
              <w:spacing w:after="0"/>
              <w:jc w:val="center"/>
            </w:pPr>
            <w:r w:rsidRPr="00212B85">
              <w:rPr>
                <w:rFonts w:cs="Arial"/>
                <w:color w:val="000000"/>
                <w:szCs w:val="20"/>
              </w:rPr>
              <w:t>2.34</w:t>
            </w:r>
          </w:p>
        </w:tc>
        <w:tc>
          <w:tcPr>
            <w:tcW w:w="1278" w:type="dxa"/>
            <w:shd w:val="clear" w:color="auto" w:fill="F2F2F2" w:themeFill="background1" w:themeFillShade="F2"/>
            <w:vAlign w:val="center"/>
          </w:tcPr>
          <w:p w14:paraId="00E2B66F" w14:textId="77777777" w:rsidR="004C28EF" w:rsidRPr="00212B85" w:rsidRDefault="004C28EF" w:rsidP="00591A0C">
            <w:pPr>
              <w:spacing w:after="0"/>
              <w:jc w:val="center"/>
            </w:pPr>
            <w:r w:rsidRPr="00212B85">
              <w:rPr>
                <w:rFonts w:cs="Arial"/>
                <w:color w:val="000000"/>
                <w:szCs w:val="20"/>
              </w:rPr>
              <w:t>2.32</w:t>
            </w:r>
          </w:p>
        </w:tc>
        <w:tc>
          <w:tcPr>
            <w:tcW w:w="1278" w:type="dxa"/>
            <w:shd w:val="clear" w:color="auto" w:fill="F2F2F2" w:themeFill="background1" w:themeFillShade="F2"/>
            <w:vAlign w:val="center"/>
          </w:tcPr>
          <w:p w14:paraId="147D5E13" w14:textId="77777777" w:rsidR="004C28EF" w:rsidRPr="00212B85" w:rsidRDefault="004C28EF" w:rsidP="00591A0C">
            <w:pPr>
              <w:spacing w:after="0"/>
              <w:jc w:val="center"/>
            </w:pPr>
            <w:r>
              <w:rPr>
                <w:rFonts w:cs="Arial"/>
                <w:color w:val="000000"/>
                <w:szCs w:val="20"/>
              </w:rPr>
              <w:t>2.10</w:t>
            </w:r>
          </w:p>
        </w:tc>
        <w:tc>
          <w:tcPr>
            <w:tcW w:w="1278" w:type="dxa"/>
            <w:shd w:val="clear" w:color="auto" w:fill="F2F2F2" w:themeFill="background1" w:themeFillShade="F2"/>
            <w:vAlign w:val="center"/>
          </w:tcPr>
          <w:p w14:paraId="288EB6A7" w14:textId="77777777" w:rsidR="004C28EF" w:rsidRPr="00212B85" w:rsidRDefault="004C28EF" w:rsidP="00591A0C">
            <w:pPr>
              <w:spacing w:after="0"/>
              <w:jc w:val="center"/>
            </w:pPr>
            <w:r>
              <w:rPr>
                <w:rFonts w:cs="Arial"/>
                <w:color w:val="000000"/>
                <w:szCs w:val="20"/>
              </w:rPr>
              <w:t>2.14</w:t>
            </w:r>
          </w:p>
        </w:tc>
        <w:tc>
          <w:tcPr>
            <w:tcW w:w="1278" w:type="dxa"/>
            <w:shd w:val="clear" w:color="auto" w:fill="F2F2F2" w:themeFill="background1" w:themeFillShade="F2"/>
          </w:tcPr>
          <w:p w14:paraId="0601E90B" w14:textId="77777777" w:rsidR="004C28EF" w:rsidRDefault="004C28EF" w:rsidP="00591A0C">
            <w:pPr>
              <w:spacing w:after="0"/>
              <w:jc w:val="center"/>
              <w:rPr>
                <w:rFonts w:cs="Arial"/>
                <w:color w:val="000000"/>
                <w:szCs w:val="20"/>
              </w:rPr>
            </w:pPr>
            <w:r>
              <w:rPr>
                <w:rFonts w:cs="Arial"/>
                <w:color w:val="000000"/>
                <w:szCs w:val="20"/>
              </w:rPr>
              <w:t>2.18</w:t>
            </w:r>
          </w:p>
        </w:tc>
      </w:tr>
    </w:tbl>
    <w:p w14:paraId="097BD946" w14:textId="77777777" w:rsidR="004C28EF" w:rsidRPr="007959CE" w:rsidRDefault="004C28EF" w:rsidP="00A954D2">
      <w:pPr>
        <w:pStyle w:val="ACMANotes"/>
        <w:contextualSpacing/>
      </w:pPr>
      <w:r w:rsidRPr="007959CE">
        <w:t xml:space="preserve">* </w:t>
      </w:r>
      <w:r>
        <w:t>Figures</w:t>
      </w:r>
      <w:r w:rsidRPr="007959CE">
        <w:t xml:space="preserve"> for 201</w:t>
      </w:r>
      <w:r>
        <w:t>8</w:t>
      </w:r>
      <w:r w:rsidRPr="007959CE">
        <w:t>–1</w:t>
      </w:r>
      <w:r>
        <w:t>9</w:t>
      </w:r>
      <w:r w:rsidRPr="007959CE">
        <w:t xml:space="preserve"> are based on actuals </w:t>
      </w:r>
      <w:r w:rsidRPr="004832AC">
        <w:t xml:space="preserve">to </w:t>
      </w:r>
      <w:r>
        <w:t>30 June</w:t>
      </w:r>
      <w:r w:rsidRPr="004832AC">
        <w:t xml:space="preserve"> 2019</w:t>
      </w:r>
      <w:r>
        <w:t xml:space="preserve">. </w:t>
      </w:r>
    </w:p>
    <w:p w14:paraId="6F4B020B" w14:textId="77777777" w:rsidR="004C28EF" w:rsidRPr="007959CE" w:rsidRDefault="004C28EF" w:rsidP="00A954D2">
      <w:pPr>
        <w:pStyle w:val="ACMANotes"/>
        <w:spacing w:after="240"/>
        <w:contextualSpacing/>
      </w:pPr>
      <w:r w:rsidRPr="007959CE">
        <w:rPr>
          <w:vertAlign w:val="superscript"/>
        </w:rPr>
        <w:t>†</w:t>
      </w:r>
      <w:r w:rsidRPr="007959CE">
        <w:t xml:space="preserve"> Contract costs increase in line with any increase in the annual consumer price index (CPI) figure.</w:t>
      </w:r>
    </w:p>
    <w:p w14:paraId="2B9A5D9D" w14:textId="77777777" w:rsidR="004C28EF" w:rsidRPr="00212B85" w:rsidRDefault="004C28EF" w:rsidP="004C28EF">
      <w:pPr>
        <w:pStyle w:val="Heading3"/>
      </w:pPr>
      <w:r w:rsidRPr="00212B85">
        <w:t>Calculation of costs</w:t>
      </w:r>
    </w:p>
    <w:p w14:paraId="5C062AC6" w14:textId="6AAB0C39" w:rsidR="004C28EF" w:rsidRPr="00212B85" w:rsidRDefault="004C28EF" w:rsidP="004C28EF">
      <w:r w:rsidRPr="00212B85">
        <w:t xml:space="preserve">The contractor costs for 2018–19 of </w:t>
      </w:r>
      <w:r>
        <w:t xml:space="preserve">$1.73 </w:t>
      </w:r>
      <w:r w:rsidRPr="00212B85">
        <w:t xml:space="preserve">million </w:t>
      </w:r>
      <w:r w:rsidR="0011306A">
        <w:t xml:space="preserve">have increased in line with CPI. </w:t>
      </w:r>
    </w:p>
    <w:p w14:paraId="73A3C67E" w14:textId="19D5526F" w:rsidR="004C28EF" w:rsidRPr="00212B85" w:rsidRDefault="004C28EF" w:rsidP="004C28EF">
      <w:r>
        <w:t>In 2018</w:t>
      </w:r>
      <w:r w:rsidR="00FA7E99">
        <w:t>–</w:t>
      </w:r>
      <w:r>
        <w:t>19, staff costs were based on 1.30 average staffing level (ASL)</w:t>
      </w:r>
      <w:r w:rsidR="0011306A">
        <w:t xml:space="preserve"> and were consistent with 2017</w:t>
      </w:r>
      <w:r w:rsidR="00FA7E99">
        <w:t>–</w:t>
      </w:r>
      <w:r w:rsidR="0011306A">
        <w:t xml:space="preserve">18 costs which were based on </w:t>
      </w:r>
      <w:r>
        <w:rPr>
          <w:snapToGrid w:val="0"/>
        </w:rPr>
        <w:t>1.29</w:t>
      </w:r>
      <w:r w:rsidR="0011306A">
        <w:rPr>
          <w:snapToGrid w:val="0"/>
        </w:rPr>
        <w:t xml:space="preserve"> ASL</w:t>
      </w:r>
      <w:r w:rsidRPr="00212B85">
        <w:rPr>
          <w:snapToGrid w:val="0"/>
        </w:rPr>
        <w:t xml:space="preserve">. </w:t>
      </w:r>
      <w:r w:rsidRPr="00BF0949">
        <w:t>The hou</w:t>
      </w:r>
      <w:r w:rsidRPr="00212B85">
        <w:t xml:space="preserve">rly rate </w:t>
      </w:r>
      <w:r w:rsidR="0011306A">
        <w:t>applied in 2018</w:t>
      </w:r>
      <w:r w:rsidR="00FA7E99">
        <w:t>–</w:t>
      </w:r>
      <w:r w:rsidR="0011306A">
        <w:t xml:space="preserve">19 was </w:t>
      </w:r>
      <w:r w:rsidRPr="00212B85">
        <w:t>$202.</w:t>
      </w:r>
    </w:p>
    <w:p w14:paraId="78CEADE9" w14:textId="478E9147" w:rsidR="004C28EF" w:rsidRPr="00212B85" w:rsidRDefault="004C28EF" w:rsidP="004C28EF">
      <w:pPr>
        <w:spacing w:before="240"/>
      </w:pPr>
      <w:r>
        <w:t xml:space="preserve">The </w:t>
      </w:r>
      <w:r w:rsidRPr="00212B85">
        <w:t xml:space="preserve">ASL associated with contract </w:t>
      </w:r>
      <w:r w:rsidRPr="00D35D0D">
        <w:t>management, administrative, financial and</w:t>
      </w:r>
      <w:r w:rsidRPr="00212B85">
        <w:t xml:space="preserve"> communication functions is required year-on-year as these are ongoing </w:t>
      </w:r>
      <w:r w:rsidR="00072E35">
        <w:t>DNCR</w:t>
      </w:r>
      <w:r w:rsidR="00072E35" w:rsidRPr="00212B85">
        <w:t xml:space="preserve"> </w:t>
      </w:r>
      <w:r w:rsidRPr="00212B85">
        <w:t xml:space="preserve">tasks. </w:t>
      </w:r>
      <w:r>
        <w:t>Staff</w:t>
      </w:r>
      <w:r w:rsidRPr="00212B85">
        <w:t xml:space="preserve"> costs have decreased by approximately 3</w:t>
      </w:r>
      <w:r>
        <w:t>4</w:t>
      </w:r>
      <w:r w:rsidRPr="00212B85">
        <w:t xml:space="preserve"> per</w:t>
      </w:r>
      <w:r w:rsidR="00072E35">
        <w:t xml:space="preserve"> </w:t>
      </w:r>
      <w:r w:rsidRPr="00212B85">
        <w:t xml:space="preserve">cent </w:t>
      </w:r>
      <w:r>
        <w:t>since 2016</w:t>
      </w:r>
      <w:r w:rsidR="00FA7E99">
        <w:t>–</w:t>
      </w:r>
      <w:r>
        <w:t xml:space="preserve">17 </w:t>
      </w:r>
      <w:r w:rsidRPr="00212B85">
        <w:t xml:space="preserve">as </w:t>
      </w:r>
      <w:r w:rsidR="00072E35">
        <w:t>r</w:t>
      </w:r>
      <w:r>
        <w:t>egister</w:t>
      </w:r>
      <w:r w:rsidRPr="00212B85">
        <w:t xml:space="preserve"> operations have matured and have required less staff oversight. For example, in 2016–17, </w:t>
      </w:r>
      <w:r>
        <w:t xml:space="preserve">more </w:t>
      </w:r>
      <w:r w:rsidRPr="00212B85">
        <w:t>time was required for post-transition activities</w:t>
      </w:r>
      <w:r w:rsidR="00072E35">
        <w:t>,</w:t>
      </w:r>
      <w:r w:rsidRPr="00212B85">
        <w:t xml:space="preserve"> </w:t>
      </w:r>
      <w:r>
        <w:t xml:space="preserve">including </w:t>
      </w:r>
      <w:r w:rsidRPr="00D218AF">
        <w:t>post-deployment system changes and process development</w:t>
      </w:r>
      <w:r>
        <w:t xml:space="preserve">. </w:t>
      </w:r>
    </w:p>
    <w:p w14:paraId="1AD77303" w14:textId="43682B3B" w:rsidR="004C28EF" w:rsidRPr="00212B85" w:rsidRDefault="004C28EF" w:rsidP="004C28EF">
      <w:r w:rsidRPr="00212B85">
        <w:t>The consultant costs represent subscription fee modelling services provided by ACIL Allen Consulting for the 201</w:t>
      </w:r>
      <w:r>
        <w:t>8</w:t>
      </w:r>
      <w:r w:rsidRPr="00212B85">
        <w:t>–1</w:t>
      </w:r>
      <w:r>
        <w:t>9</w:t>
      </w:r>
      <w:r w:rsidRPr="00212B85">
        <w:t xml:space="preserve"> financial year</w:t>
      </w:r>
      <w:r w:rsidR="00E53311">
        <w:t xml:space="preserve"> and </w:t>
      </w:r>
      <w:r w:rsidR="00072E35">
        <w:t xml:space="preserve">have </w:t>
      </w:r>
      <w:r w:rsidR="00E53311">
        <w:t>remained constant</w:t>
      </w:r>
      <w:r w:rsidRPr="00212B85">
        <w:t xml:space="preserve">. </w:t>
      </w:r>
      <w:r w:rsidR="00E53311">
        <w:t>There have been no fluctuations to o</w:t>
      </w:r>
      <w:r w:rsidRPr="00212B85">
        <w:t xml:space="preserve">ther costs </w:t>
      </w:r>
      <w:r w:rsidR="00E53311">
        <w:t xml:space="preserve">which </w:t>
      </w:r>
      <w:r w:rsidRPr="00212B85">
        <w:t xml:space="preserve">relate primarily to the payment system, banking gateway, domain names and certificates, post office box and phone line rental. </w:t>
      </w:r>
    </w:p>
    <w:p w14:paraId="7A64D441" w14:textId="77777777" w:rsidR="002E76D0" w:rsidRDefault="002E76D0" w:rsidP="002E76D0">
      <w:pPr>
        <w:spacing w:after="80"/>
      </w:pPr>
    </w:p>
    <w:p w14:paraId="00F32B32" w14:textId="53CAA101" w:rsidR="00155E49" w:rsidRDefault="00155E49" w:rsidP="00524BB2">
      <w:pPr>
        <w:spacing w:after="80"/>
      </w:pPr>
    </w:p>
    <w:p w14:paraId="3D7F1420" w14:textId="0E4F597E" w:rsidR="00510E9F" w:rsidRPr="002164E2" w:rsidRDefault="00510E9F" w:rsidP="00524BB2">
      <w:pPr>
        <w:pStyle w:val="Heading1"/>
      </w:pPr>
      <w:bookmarkStart w:id="133" w:name="_Toc417990966"/>
      <w:bookmarkStart w:id="134" w:name="_Toc424115074"/>
      <w:bookmarkStart w:id="135" w:name="_Toc482346600"/>
      <w:bookmarkStart w:id="136" w:name="_Toc16097293"/>
      <w:bookmarkStart w:id="137" w:name="_Toc16097402"/>
      <w:bookmarkStart w:id="138" w:name="_Toc518999108"/>
      <w:bookmarkStart w:id="139" w:name="_Toc26195079"/>
      <w:r w:rsidRPr="002164E2">
        <w:lastRenderedPageBreak/>
        <w:t>Non-financial performance</w:t>
      </w:r>
      <w:bookmarkEnd w:id="133"/>
      <w:bookmarkEnd w:id="134"/>
      <w:bookmarkEnd w:id="135"/>
      <w:bookmarkEnd w:id="136"/>
      <w:bookmarkEnd w:id="137"/>
      <w:bookmarkEnd w:id="138"/>
      <w:bookmarkEnd w:id="139"/>
    </w:p>
    <w:p w14:paraId="4F33E45E" w14:textId="5E6D2263" w:rsidR="00510E9F" w:rsidRPr="002164E2" w:rsidRDefault="00510E9F" w:rsidP="00524BB2">
      <w:pPr>
        <w:rPr>
          <w:iCs/>
        </w:rPr>
      </w:pPr>
      <w:r w:rsidRPr="002164E2">
        <w:rPr>
          <w:iCs/>
        </w:rPr>
        <w:t xml:space="preserve">ACMA’s non-financial performance is available through published </w:t>
      </w:r>
      <w:r w:rsidR="007849D7" w:rsidRPr="002164E2">
        <w:rPr>
          <w:iCs/>
        </w:rPr>
        <w:t>a</w:t>
      </w:r>
      <w:r w:rsidRPr="002164E2">
        <w:rPr>
          <w:iCs/>
        </w:rPr>
        <w:t xml:space="preserve">nnual </w:t>
      </w:r>
      <w:r w:rsidR="007849D7" w:rsidRPr="002164E2">
        <w:rPr>
          <w:iCs/>
        </w:rPr>
        <w:t>r</w:t>
      </w:r>
      <w:r w:rsidRPr="002164E2">
        <w:rPr>
          <w:iCs/>
        </w:rPr>
        <w:t xml:space="preserve">eports, Portfolio Budget Statements, the Regulatory Performance Framework and the </w:t>
      </w:r>
      <w:hyperlink r:id="rId35" w:history="1">
        <w:r w:rsidR="001D5D06" w:rsidRPr="00A954D2">
          <w:rPr>
            <w:rStyle w:val="Hyperlink"/>
            <w:i/>
          </w:rPr>
          <w:t xml:space="preserve">Corporate </w:t>
        </w:r>
        <w:r w:rsidR="00072E35" w:rsidRPr="00A954D2">
          <w:rPr>
            <w:rStyle w:val="Hyperlink"/>
            <w:i/>
          </w:rPr>
          <w:t>p</w:t>
        </w:r>
        <w:r w:rsidR="001D5D06" w:rsidRPr="00A954D2">
          <w:rPr>
            <w:rStyle w:val="Hyperlink"/>
            <w:i/>
          </w:rPr>
          <w:t>lan 2019</w:t>
        </w:r>
        <w:r w:rsidR="00FA7E99" w:rsidRPr="00A954D2">
          <w:rPr>
            <w:rStyle w:val="Hyperlink"/>
            <w:i/>
          </w:rPr>
          <w:t>–</w:t>
        </w:r>
        <w:r w:rsidR="001D5D06" w:rsidRPr="00A954D2">
          <w:rPr>
            <w:rStyle w:val="Hyperlink"/>
            <w:i/>
          </w:rPr>
          <w:t>20</w:t>
        </w:r>
        <w:r w:rsidR="001D5D06">
          <w:rPr>
            <w:rStyle w:val="Hyperlink"/>
            <w:iCs/>
          </w:rPr>
          <w:t>.</w:t>
        </w:r>
      </w:hyperlink>
      <w:r w:rsidRPr="002164E2">
        <w:rPr>
          <w:iCs/>
        </w:rPr>
        <w:t xml:space="preserve"> </w:t>
      </w:r>
    </w:p>
    <w:p w14:paraId="14CCD4B3" w14:textId="206F0918" w:rsidR="00510E9F" w:rsidRPr="002164E2" w:rsidRDefault="00510E9F" w:rsidP="00524BB2">
      <w:pPr>
        <w:spacing w:after="80"/>
        <w:rPr>
          <w:rStyle w:val="BodyTextChar"/>
          <w:i w:val="0"/>
          <w:color w:val="auto"/>
          <w:lang w:eastAsia="en-AU"/>
        </w:rPr>
      </w:pPr>
      <w:r w:rsidRPr="002164E2">
        <w:rPr>
          <w:iCs/>
        </w:rPr>
        <w:t xml:space="preserve">A range of performance indicators </w:t>
      </w:r>
      <w:r w:rsidR="005B4C87">
        <w:rPr>
          <w:iCs/>
        </w:rPr>
        <w:t>were</w:t>
      </w:r>
      <w:r w:rsidR="005B4C87" w:rsidRPr="002164E2">
        <w:rPr>
          <w:iCs/>
        </w:rPr>
        <w:t xml:space="preserve"> used</w:t>
      </w:r>
      <w:r w:rsidRPr="002164E2">
        <w:rPr>
          <w:iCs/>
        </w:rPr>
        <w:t xml:space="preserve"> in 201</w:t>
      </w:r>
      <w:r w:rsidR="007E671E" w:rsidRPr="002164E2">
        <w:rPr>
          <w:iCs/>
        </w:rPr>
        <w:t>8</w:t>
      </w:r>
      <w:r w:rsidR="007849D7" w:rsidRPr="002164E2">
        <w:rPr>
          <w:iCs/>
        </w:rPr>
        <w:t>–</w:t>
      </w:r>
      <w:r w:rsidRPr="002164E2">
        <w:rPr>
          <w:iCs/>
        </w:rPr>
        <w:t>1</w:t>
      </w:r>
      <w:r w:rsidR="007E671E" w:rsidRPr="002164E2">
        <w:rPr>
          <w:iCs/>
        </w:rPr>
        <w:t>9</w:t>
      </w:r>
      <w:r w:rsidRPr="002164E2">
        <w:rPr>
          <w:iCs/>
        </w:rPr>
        <w:t xml:space="preserve"> to measure ACMA’s performance </w:t>
      </w:r>
      <w:r w:rsidR="003A25E6" w:rsidRPr="002164E2">
        <w:rPr>
          <w:iCs/>
        </w:rPr>
        <w:t>in regulating unsolicited communications</w:t>
      </w:r>
      <w:r w:rsidRPr="002164E2">
        <w:rPr>
          <w:iCs/>
        </w:rPr>
        <w:t>. These include:</w:t>
      </w:r>
    </w:p>
    <w:p w14:paraId="11657524" w14:textId="23687C3C" w:rsidR="00510E9F" w:rsidRPr="002164E2" w:rsidRDefault="00524BB2" w:rsidP="00453634">
      <w:pPr>
        <w:pStyle w:val="ListBullet"/>
        <w:ind w:left="0" w:firstLine="0"/>
      </w:pPr>
      <w:r>
        <w:t>Register</w:t>
      </w:r>
      <w:r w:rsidR="00510E9F" w:rsidRPr="002164E2">
        <w:t xml:space="preserve"> services </w:t>
      </w:r>
      <w:r w:rsidR="00072E35">
        <w:t>being</w:t>
      </w:r>
      <w:r w:rsidR="00072E35" w:rsidRPr="002164E2">
        <w:t xml:space="preserve"> </w:t>
      </w:r>
      <w:r w:rsidR="00510E9F" w:rsidRPr="002164E2">
        <w:t xml:space="preserve">available for at least 99 </w:t>
      </w:r>
      <w:r w:rsidR="003A25E6" w:rsidRPr="002164E2">
        <w:t>per cent of the scheduled hours</w:t>
      </w:r>
    </w:p>
    <w:p w14:paraId="7C4B94C1" w14:textId="69BF72B0" w:rsidR="00510E9F" w:rsidRPr="002164E2" w:rsidRDefault="00510E9F" w:rsidP="00453634">
      <w:pPr>
        <w:pStyle w:val="ListBullet"/>
        <w:ind w:left="0" w:firstLine="0"/>
      </w:pPr>
      <w:r w:rsidRPr="002164E2">
        <w:t xml:space="preserve">unsolicited communications investigations </w:t>
      </w:r>
      <w:r w:rsidR="00072E35">
        <w:t>being</w:t>
      </w:r>
      <w:r w:rsidR="00072E35" w:rsidRPr="002164E2">
        <w:t xml:space="preserve"> </w:t>
      </w:r>
      <w:r w:rsidR="007849D7" w:rsidRPr="002164E2">
        <w:t xml:space="preserve">completed </w:t>
      </w:r>
      <w:r w:rsidR="00072E35">
        <w:t>with</w:t>
      </w:r>
      <w:r w:rsidR="003A25E6" w:rsidRPr="002164E2">
        <w:t>in</w:t>
      </w:r>
      <w:r w:rsidRPr="002164E2">
        <w:t xml:space="preserve"> eight months</w:t>
      </w:r>
      <w:r w:rsidR="003A25E6" w:rsidRPr="002164E2">
        <w:t xml:space="preserve"> or sooner</w:t>
      </w:r>
    </w:p>
    <w:p w14:paraId="24FB96DD" w14:textId="3A9F5555" w:rsidR="003A25E6" w:rsidRPr="002164E2" w:rsidRDefault="003A25E6" w:rsidP="00453634">
      <w:pPr>
        <w:pStyle w:val="ListBullet"/>
        <w:ind w:left="0" w:firstLine="0"/>
      </w:pPr>
      <w:r w:rsidRPr="002164E2">
        <w:t xml:space="preserve">relevant investigation outcomes </w:t>
      </w:r>
      <w:r w:rsidR="00072E35">
        <w:t>being</w:t>
      </w:r>
      <w:r w:rsidR="00072E35" w:rsidRPr="002164E2">
        <w:t xml:space="preserve"> </w:t>
      </w:r>
      <w:r w:rsidRPr="002164E2">
        <w:t>published on</w:t>
      </w:r>
      <w:r w:rsidR="001E15D2" w:rsidRPr="002164E2">
        <w:t xml:space="preserve"> </w:t>
      </w:r>
      <w:r w:rsidR="00072E35">
        <w:t xml:space="preserve">the </w:t>
      </w:r>
      <w:r w:rsidRPr="002164E2">
        <w:t>ACMA’s website.</w:t>
      </w:r>
    </w:p>
    <w:p w14:paraId="152102C0" w14:textId="5205F15D" w:rsidR="00510E9F" w:rsidRPr="002164E2" w:rsidRDefault="00510E9F" w:rsidP="00453634">
      <w:pPr>
        <w:pStyle w:val="Heading1"/>
      </w:pPr>
      <w:bookmarkStart w:id="140" w:name="_Toc482346601"/>
      <w:bookmarkStart w:id="141" w:name="_Toc518999109"/>
      <w:bookmarkStart w:id="142" w:name="_Toc385256323"/>
      <w:bookmarkStart w:id="143" w:name="_Toc385256324"/>
      <w:bookmarkStart w:id="144" w:name="_Toc482346602"/>
      <w:bookmarkStart w:id="145" w:name="_Toc16097294"/>
      <w:bookmarkStart w:id="146" w:name="_Toc16097403"/>
      <w:bookmarkStart w:id="147" w:name="_Toc26195080"/>
      <w:bookmarkEnd w:id="109"/>
      <w:r w:rsidRPr="002164E2">
        <w:lastRenderedPageBreak/>
        <w:t>CRIS approval and</w:t>
      </w:r>
      <w:bookmarkEnd w:id="140"/>
      <w:bookmarkEnd w:id="141"/>
      <w:bookmarkEnd w:id="142"/>
      <w:r w:rsidR="0075527F">
        <w:t xml:space="preserve"> </w:t>
      </w:r>
      <w:r w:rsidRPr="002164E2">
        <w:t>change </w:t>
      </w:r>
      <w:bookmarkEnd w:id="143"/>
      <w:bookmarkEnd w:id="144"/>
      <w:r w:rsidR="0075527F">
        <w:t>r</w:t>
      </w:r>
      <w:r w:rsidR="00524BB2">
        <w:t>egister</w:t>
      </w:r>
      <w:bookmarkEnd w:id="145"/>
      <w:bookmarkEnd w:id="146"/>
      <w:bookmarkEnd w:id="147"/>
    </w:p>
    <w:p w14:paraId="2E733A1F" w14:textId="77777777" w:rsidR="00510E9F" w:rsidRPr="002164E2" w:rsidRDefault="00510E9F" w:rsidP="00524BB2">
      <w:pPr>
        <w:pStyle w:val="Bodysubheader0"/>
        <w:spacing w:after="120"/>
      </w:pPr>
      <w:r w:rsidRPr="002164E2">
        <w:t>Certification</w:t>
      </w:r>
    </w:p>
    <w:p w14:paraId="5D027B37" w14:textId="433DD0B6" w:rsidR="00A709EF" w:rsidRPr="002164E2" w:rsidRDefault="00510E9F" w:rsidP="00524BB2">
      <w:pPr>
        <w:spacing w:after="3400"/>
        <w:rPr>
          <w:noProof/>
        </w:rPr>
      </w:pPr>
      <w:r w:rsidRPr="002164E2">
        <w:t>I certify that this CRIS complies with the Australian Gov</w:t>
      </w:r>
      <w:bookmarkStart w:id="148" w:name="_GoBack"/>
      <w:bookmarkEnd w:id="148"/>
      <w:r w:rsidRPr="002164E2">
        <w:t>ernment Cost Recovery Guidelines.</w:t>
      </w:r>
      <w:r w:rsidR="00BF751B" w:rsidRPr="002164E2">
        <w:rPr>
          <w:noProof/>
        </w:rPr>
        <w:t xml:space="preserve"> </w:t>
      </w:r>
    </w:p>
    <w:p w14:paraId="357CA6E4" w14:textId="132AE2E5" w:rsidR="00A709EF" w:rsidRPr="002164E2" w:rsidRDefault="0089033B" w:rsidP="00524BB2">
      <w:pPr>
        <w:spacing w:after="120" w:line="240" w:lineRule="auto"/>
        <w:rPr>
          <w:noProof/>
        </w:rPr>
      </w:pPr>
      <w:r>
        <w:rPr>
          <w:noProof/>
        </w:rPr>
        <w:t>Nerida O’Loughlin</w:t>
      </w:r>
      <w:r w:rsidR="0095146D">
        <w:rPr>
          <w:noProof/>
        </w:rPr>
        <w:t xml:space="preserve"> PSM</w:t>
      </w:r>
    </w:p>
    <w:p w14:paraId="4505BD12" w14:textId="1194001B" w:rsidR="00A709EF" w:rsidRPr="002164E2" w:rsidRDefault="00A709EF" w:rsidP="00524BB2">
      <w:pPr>
        <w:spacing w:after="120" w:line="240" w:lineRule="auto"/>
        <w:rPr>
          <w:noProof/>
        </w:rPr>
      </w:pPr>
      <w:r w:rsidRPr="002164E2">
        <w:rPr>
          <w:noProof/>
        </w:rPr>
        <w:t>Chair and Agency Head</w:t>
      </w:r>
    </w:p>
    <w:p w14:paraId="6C2752AA" w14:textId="3391DE7B" w:rsidR="00BF751B" w:rsidRPr="002164E2" w:rsidRDefault="00BF751B" w:rsidP="00453634">
      <w:pPr>
        <w:spacing w:after="720"/>
      </w:pPr>
    </w:p>
    <w:p w14:paraId="3ADA95A8" w14:textId="59BF687A" w:rsidR="00510E9F" w:rsidRPr="002164E2" w:rsidRDefault="00BF751B" w:rsidP="00453634">
      <w:pPr>
        <w:pStyle w:val="ACMATableHeader"/>
        <w:ind w:left="0" w:firstLine="0"/>
        <w:rPr>
          <w:rFonts w:cs="Arial"/>
          <w:i/>
          <w:color w:val="auto"/>
        </w:rPr>
      </w:pPr>
      <w:r w:rsidRPr="002164E2">
        <w:t>C</w:t>
      </w:r>
      <w:r w:rsidR="00D70F0E" w:rsidRPr="002164E2">
        <w:t xml:space="preserve">hange </w:t>
      </w:r>
      <w:r w:rsidR="00072E35">
        <w:t>r</w:t>
      </w:r>
      <w:r w:rsidR="00524BB2">
        <w:t>egister</w:t>
      </w:r>
    </w:p>
    <w:tbl>
      <w:tblPr>
        <w:tblStyle w:val="TableGrid"/>
        <w:tblW w:w="8597" w:type="dxa"/>
        <w:tblLayout w:type="fixed"/>
        <w:tblCellMar>
          <w:top w:w="57" w:type="dxa"/>
          <w:left w:w="57" w:type="dxa"/>
          <w:bottom w:w="57" w:type="dxa"/>
          <w:right w:w="57" w:type="dxa"/>
        </w:tblCellMar>
        <w:tblLook w:val="04A0" w:firstRow="1" w:lastRow="0" w:firstColumn="1" w:lastColumn="0" w:noHBand="0" w:noVBand="1"/>
        <w:tblCaption w:val="Change register"/>
        <w:tblDescription w:val="Includes date and description of CRIS change, approver and basis for change."/>
      </w:tblPr>
      <w:tblGrid>
        <w:gridCol w:w="2149"/>
        <w:gridCol w:w="2400"/>
        <w:gridCol w:w="1898"/>
        <w:gridCol w:w="2150"/>
      </w:tblGrid>
      <w:tr w:rsidR="006329A9" w:rsidRPr="002164E2" w14:paraId="2EF7E23B" w14:textId="77777777" w:rsidTr="001A4BF2">
        <w:trPr>
          <w:trHeight w:val="469"/>
          <w:tblHeader/>
        </w:trPr>
        <w:tc>
          <w:tcPr>
            <w:tcW w:w="2149" w:type="dxa"/>
            <w:shd w:val="clear" w:color="auto" w:fill="404040" w:themeFill="text1" w:themeFillTint="BF"/>
          </w:tcPr>
          <w:p w14:paraId="6EAC2864" w14:textId="77777777" w:rsidR="006329A9" w:rsidRPr="002164E2" w:rsidRDefault="006329A9" w:rsidP="00524BB2">
            <w:pPr>
              <w:pStyle w:val="TableHeading"/>
              <w:rPr>
                <w:b w:val="0"/>
                <w:i/>
                <w:color w:val="FFFFFF" w:themeColor="background1"/>
              </w:rPr>
            </w:pPr>
            <w:r w:rsidRPr="002164E2">
              <w:rPr>
                <w:color w:val="FFFFFF" w:themeColor="background1"/>
              </w:rPr>
              <w:t>Date of CRIS change</w:t>
            </w:r>
          </w:p>
        </w:tc>
        <w:tc>
          <w:tcPr>
            <w:tcW w:w="2400" w:type="dxa"/>
            <w:shd w:val="clear" w:color="auto" w:fill="404040" w:themeFill="text1" w:themeFillTint="BF"/>
          </w:tcPr>
          <w:p w14:paraId="5D9686C7" w14:textId="77777777" w:rsidR="006329A9" w:rsidRPr="002164E2" w:rsidRDefault="006329A9" w:rsidP="00524BB2">
            <w:pPr>
              <w:pStyle w:val="TableHeading"/>
              <w:rPr>
                <w:b w:val="0"/>
                <w:i/>
                <w:color w:val="FFFFFF" w:themeColor="background1"/>
              </w:rPr>
            </w:pPr>
            <w:r w:rsidRPr="002164E2">
              <w:rPr>
                <w:color w:val="FFFFFF" w:themeColor="background1"/>
              </w:rPr>
              <w:t>Description of CRIS change</w:t>
            </w:r>
          </w:p>
        </w:tc>
        <w:tc>
          <w:tcPr>
            <w:tcW w:w="1898" w:type="dxa"/>
            <w:shd w:val="clear" w:color="auto" w:fill="404040" w:themeFill="text1" w:themeFillTint="BF"/>
          </w:tcPr>
          <w:p w14:paraId="72BD6345" w14:textId="77777777" w:rsidR="006329A9" w:rsidRPr="002164E2" w:rsidRDefault="006329A9" w:rsidP="00524BB2">
            <w:pPr>
              <w:pStyle w:val="TableHeading"/>
              <w:rPr>
                <w:b w:val="0"/>
                <w:i/>
                <w:color w:val="FFFFFF" w:themeColor="background1"/>
              </w:rPr>
            </w:pPr>
            <w:r w:rsidRPr="002164E2">
              <w:rPr>
                <w:color w:val="FFFFFF" w:themeColor="background1"/>
              </w:rPr>
              <w:t>Approver</w:t>
            </w:r>
          </w:p>
        </w:tc>
        <w:tc>
          <w:tcPr>
            <w:tcW w:w="2150" w:type="dxa"/>
            <w:shd w:val="clear" w:color="auto" w:fill="404040" w:themeFill="text1" w:themeFillTint="BF"/>
          </w:tcPr>
          <w:p w14:paraId="66964C3E" w14:textId="77777777" w:rsidR="006329A9" w:rsidRPr="002164E2" w:rsidRDefault="006329A9" w:rsidP="00524BB2">
            <w:pPr>
              <w:pStyle w:val="TableHeading"/>
              <w:rPr>
                <w:b w:val="0"/>
                <w:i/>
                <w:color w:val="FFFFFF" w:themeColor="background1"/>
              </w:rPr>
            </w:pPr>
            <w:r w:rsidRPr="002164E2">
              <w:rPr>
                <w:color w:val="FFFFFF" w:themeColor="background1"/>
              </w:rPr>
              <w:t>Basis for change</w:t>
            </w:r>
          </w:p>
        </w:tc>
      </w:tr>
      <w:tr w:rsidR="00591789" w:rsidRPr="002164E2" w14:paraId="7799A914" w14:textId="77777777" w:rsidTr="001A4BF2">
        <w:trPr>
          <w:trHeight w:val="485"/>
        </w:trPr>
        <w:tc>
          <w:tcPr>
            <w:tcW w:w="2149" w:type="dxa"/>
          </w:tcPr>
          <w:p w14:paraId="4F7EDCD1" w14:textId="7E22872D" w:rsidR="00591789" w:rsidRPr="002164E2" w:rsidRDefault="00DF7A85" w:rsidP="00524BB2">
            <w:pPr>
              <w:spacing w:after="0"/>
            </w:pPr>
            <w:r>
              <w:t xml:space="preserve">13 </w:t>
            </w:r>
            <w:r w:rsidR="00A954D2">
              <w:t>December</w:t>
            </w:r>
            <w:r w:rsidR="00591789">
              <w:t xml:space="preserve"> 2019</w:t>
            </w:r>
          </w:p>
        </w:tc>
        <w:tc>
          <w:tcPr>
            <w:tcW w:w="2400" w:type="dxa"/>
          </w:tcPr>
          <w:p w14:paraId="7340BD89" w14:textId="77777777" w:rsidR="00591789" w:rsidRPr="002164E2" w:rsidRDefault="00591789" w:rsidP="00524BB2">
            <w:pPr>
              <w:spacing w:after="80"/>
            </w:pPr>
            <w:r w:rsidRPr="002164E2">
              <w:t>Certification of the CRIS</w:t>
            </w:r>
          </w:p>
          <w:p w14:paraId="50EA0E66" w14:textId="408D1FBF" w:rsidR="00591789" w:rsidRPr="002164E2" w:rsidRDefault="00591789" w:rsidP="00524BB2">
            <w:pPr>
              <w:spacing w:after="80"/>
            </w:pPr>
            <w:r w:rsidRPr="002164E2">
              <w:t xml:space="preserve">Version </w:t>
            </w:r>
            <w:r>
              <w:t>5</w:t>
            </w:r>
            <w:r w:rsidRPr="002164E2">
              <w:t>.0</w:t>
            </w:r>
          </w:p>
        </w:tc>
        <w:tc>
          <w:tcPr>
            <w:tcW w:w="1898" w:type="dxa"/>
          </w:tcPr>
          <w:p w14:paraId="3E373C0B" w14:textId="1AB1BA77" w:rsidR="00591789" w:rsidRPr="002164E2" w:rsidRDefault="00591789" w:rsidP="00524BB2">
            <w:pPr>
              <w:spacing w:after="0"/>
            </w:pPr>
            <w:r w:rsidRPr="002164E2">
              <w:t>ACMA Chair and Agency Head</w:t>
            </w:r>
          </w:p>
        </w:tc>
        <w:tc>
          <w:tcPr>
            <w:tcW w:w="2150" w:type="dxa"/>
          </w:tcPr>
          <w:p w14:paraId="6807356E" w14:textId="70CCFD67" w:rsidR="00591789" w:rsidRPr="002164E2" w:rsidRDefault="00591789" w:rsidP="00524BB2">
            <w:pPr>
              <w:spacing w:after="0"/>
            </w:pPr>
            <w:r w:rsidRPr="002164E2">
              <w:t>Annual CRIS update</w:t>
            </w:r>
          </w:p>
        </w:tc>
      </w:tr>
      <w:tr w:rsidR="00591789" w:rsidRPr="002164E2" w14:paraId="33627324" w14:textId="77777777" w:rsidTr="001A4BF2">
        <w:trPr>
          <w:trHeight w:val="485"/>
        </w:trPr>
        <w:tc>
          <w:tcPr>
            <w:tcW w:w="2149" w:type="dxa"/>
          </w:tcPr>
          <w:p w14:paraId="4C5015B1" w14:textId="700A0A3C" w:rsidR="00591789" w:rsidRPr="002164E2" w:rsidRDefault="00591789" w:rsidP="00524BB2">
            <w:pPr>
              <w:spacing w:after="0"/>
            </w:pPr>
            <w:r w:rsidRPr="002164E2">
              <w:t>9 July 2018</w:t>
            </w:r>
          </w:p>
        </w:tc>
        <w:tc>
          <w:tcPr>
            <w:tcW w:w="2400" w:type="dxa"/>
          </w:tcPr>
          <w:p w14:paraId="2DF655FB" w14:textId="77777777" w:rsidR="00591789" w:rsidRPr="002164E2" w:rsidRDefault="00591789" w:rsidP="00524BB2">
            <w:pPr>
              <w:spacing w:after="80"/>
            </w:pPr>
            <w:r w:rsidRPr="002164E2">
              <w:t>Certification of the CRIS</w:t>
            </w:r>
          </w:p>
          <w:p w14:paraId="375CF279" w14:textId="72F18065" w:rsidR="00591789" w:rsidRPr="002164E2" w:rsidRDefault="00591789" w:rsidP="00524BB2">
            <w:pPr>
              <w:spacing w:after="0"/>
            </w:pPr>
            <w:r w:rsidRPr="002164E2">
              <w:t>Version 4.0</w:t>
            </w:r>
          </w:p>
        </w:tc>
        <w:tc>
          <w:tcPr>
            <w:tcW w:w="1898" w:type="dxa"/>
          </w:tcPr>
          <w:p w14:paraId="03CEE50D" w14:textId="30E152AC" w:rsidR="00591789" w:rsidRPr="002164E2" w:rsidRDefault="00591789" w:rsidP="00524BB2">
            <w:pPr>
              <w:spacing w:after="0"/>
            </w:pPr>
            <w:r w:rsidRPr="002164E2">
              <w:t>Acting ACMA Chair and Agency Head</w:t>
            </w:r>
          </w:p>
        </w:tc>
        <w:tc>
          <w:tcPr>
            <w:tcW w:w="2150" w:type="dxa"/>
          </w:tcPr>
          <w:p w14:paraId="3335D613" w14:textId="5EA1D8BF" w:rsidR="00591789" w:rsidRPr="002164E2" w:rsidRDefault="00591789" w:rsidP="00524BB2">
            <w:pPr>
              <w:spacing w:after="0"/>
            </w:pPr>
            <w:r w:rsidRPr="002164E2">
              <w:t>Annual CRIS update</w:t>
            </w:r>
          </w:p>
        </w:tc>
      </w:tr>
      <w:tr w:rsidR="00591789" w:rsidRPr="002164E2" w14:paraId="6E90F758" w14:textId="77777777" w:rsidTr="001A4BF2">
        <w:trPr>
          <w:trHeight w:val="485"/>
        </w:trPr>
        <w:tc>
          <w:tcPr>
            <w:tcW w:w="2149" w:type="dxa"/>
          </w:tcPr>
          <w:p w14:paraId="76AEC700" w14:textId="14F719B6" w:rsidR="00591789" w:rsidRPr="002164E2" w:rsidRDefault="00591789" w:rsidP="00524BB2">
            <w:pPr>
              <w:spacing w:after="0"/>
            </w:pPr>
            <w:r w:rsidRPr="002164E2">
              <w:t>26 June 2017</w:t>
            </w:r>
          </w:p>
        </w:tc>
        <w:tc>
          <w:tcPr>
            <w:tcW w:w="2400" w:type="dxa"/>
          </w:tcPr>
          <w:p w14:paraId="2A15357A" w14:textId="77777777" w:rsidR="00591789" w:rsidRPr="002164E2" w:rsidRDefault="00591789" w:rsidP="00524BB2">
            <w:pPr>
              <w:spacing w:after="80"/>
            </w:pPr>
            <w:r w:rsidRPr="002164E2">
              <w:t>Approval to the CRIS</w:t>
            </w:r>
          </w:p>
          <w:p w14:paraId="0AB14125" w14:textId="77777777" w:rsidR="00591789" w:rsidRPr="002164E2" w:rsidRDefault="00591789" w:rsidP="00524BB2">
            <w:pPr>
              <w:spacing w:after="0"/>
            </w:pPr>
            <w:r w:rsidRPr="002164E2">
              <w:t>Version 3.0</w:t>
            </w:r>
          </w:p>
        </w:tc>
        <w:tc>
          <w:tcPr>
            <w:tcW w:w="1898" w:type="dxa"/>
          </w:tcPr>
          <w:p w14:paraId="4D1CE848" w14:textId="77777777" w:rsidR="00591789" w:rsidRPr="002164E2" w:rsidRDefault="00591789" w:rsidP="00524BB2">
            <w:pPr>
              <w:spacing w:after="0"/>
            </w:pPr>
            <w:r w:rsidRPr="002164E2">
              <w:t>The Minister for Communications</w:t>
            </w:r>
          </w:p>
        </w:tc>
        <w:tc>
          <w:tcPr>
            <w:tcW w:w="2150" w:type="dxa"/>
          </w:tcPr>
          <w:p w14:paraId="6907E2B4" w14:textId="77777777" w:rsidR="00591789" w:rsidRPr="002164E2" w:rsidRDefault="00591789" w:rsidP="00524BB2">
            <w:pPr>
              <w:spacing w:after="0"/>
            </w:pPr>
            <w:r w:rsidRPr="002164E2">
              <w:t>Annual CRIS update</w:t>
            </w:r>
          </w:p>
        </w:tc>
      </w:tr>
      <w:tr w:rsidR="00591789" w:rsidRPr="002164E2" w14:paraId="6AF34F60" w14:textId="77777777" w:rsidTr="001A4BF2">
        <w:trPr>
          <w:trHeight w:val="485"/>
        </w:trPr>
        <w:tc>
          <w:tcPr>
            <w:tcW w:w="2149" w:type="dxa"/>
            <w:shd w:val="clear" w:color="auto" w:fill="auto"/>
          </w:tcPr>
          <w:p w14:paraId="4A6DD0A5" w14:textId="3E975860" w:rsidR="00591789" w:rsidRPr="002164E2" w:rsidRDefault="00591789" w:rsidP="00524BB2">
            <w:pPr>
              <w:spacing w:after="0"/>
            </w:pPr>
            <w:r w:rsidRPr="002164E2">
              <w:t>15 May 2017</w:t>
            </w:r>
          </w:p>
        </w:tc>
        <w:tc>
          <w:tcPr>
            <w:tcW w:w="2400" w:type="dxa"/>
          </w:tcPr>
          <w:p w14:paraId="71EA3683" w14:textId="77777777" w:rsidR="00591789" w:rsidRPr="002164E2" w:rsidRDefault="00591789" w:rsidP="00524BB2">
            <w:pPr>
              <w:spacing w:after="80"/>
            </w:pPr>
            <w:r w:rsidRPr="002164E2">
              <w:t>Certification of the CRIS</w:t>
            </w:r>
          </w:p>
          <w:p w14:paraId="413A20FF" w14:textId="77777777" w:rsidR="00591789" w:rsidRPr="002164E2" w:rsidRDefault="00591789" w:rsidP="00524BB2">
            <w:pPr>
              <w:spacing w:after="0"/>
            </w:pPr>
            <w:r w:rsidRPr="002164E2">
              <w:t>Version 3.0</w:t>
            </w:r>
          </w:p>
        </w:tc>
        <w:tc>
          <w:tcPr>
            <w:tcW w:w="1898" w:type="dxa"/>
          </w:tcPr>
          <w:p w14:paraId="6E10B592" w14:textId="77777777" w:rsidR="00591789" w:rsidRPr="002164E2" w:rsidRDefault="00591789" w:rsidP="00524BB2">
            <w:pPr>
              <w:spacing w:after="0"/>
            </w:pPr>
            <w:r w:rsidRPr="002164E2">
              <w:t>ACMA Chairman</w:t>
            </w:r>
          </w:p>
        </w:tc>
        <w:tc>
          <w:tcPr>
            <w:tcW w:w="2150" w:type="dxa"/>
          </w:tcPr>
          <w:p w14:paraId="12128133" w14:textId="77777777" w:rsidR="00591789" w:rsidRPr="002164E2" w:rsidRDefault="00591789" w:rsidP="00524BB2">
            <w:pPr>
              <w:spacing w:after="0"/>
            </w:pPr>
            <w:r w:rsidRPr="002164E2">
              <w:t>Annual CRIS update</w:t>
            </w:r>
          </w:p>
        </w:tc>
      </w:tr>
      <w:tr w:rsidR="00591789" w:rsidRPr="002164E2" w14:paraId="57F2EA73" w14:textId="77777777" w:rsidTr="001A4BF2">
        <w:trPr>
          <w:trHeight w:val="485"/>
        </w:trPr>
        <w:tc>
          <w:tcPr>
            <w:tcW w:w="2149" w:type="dxa"/>
            <w:shd w:val="clear" w:color="auto" w:fill="auto"/>
          </w:tcPr>
          <w:p w14:paraId="13390B84" w14:textId="77777777" w:rsidR="00591789" w:rsidRPr="002164E2" w:rsidRDefault="00591789" w:rsidP="00524BB2">
            <w:pPr>
              <w:spacing w:after="0"/>
            </w:pPr>
            <w:r w:rsidRPr="002164E2">
              <w:t>18 August 2016</w:t>
            </w:r>
          </w:p>
        </w:tc>
        <w:tc>
          <w:tcPr>
            <w:tcW w:w="2400" w:type="dxa"/>
          </w:tcPr>
          <w:p w14:paraId="0E7B8153" w14:textId="77777777" w:rsidR="00591789" w:rsidRPr="002164E2" w:rsidRDefault="00591789" w:rsidP="00524BB2">
            <w:pPr>
              <w:spacing w:after="80"/>
            </w:pPr>
            <w:r w:rsidRPr="002164E2">
              <w:t>Certification of the CRIS</w:t>
            </w:r>
          </w:p>
          <w:p w14:paraId="331D13BC" w14:textId="77777777" w:rsidR="00591789" w:rsidRPr="002164E2" w:rsidRDefault="00591789" w:rsidP="00524BB2">
            <w:pPr>
              <w:spacing w:after="0"/>
            </w:pPr>
            <w:r w:rsidRPr="002164E2">
              <w:t>Version 2.0</w:t>
            </w:r>
          </w:p>
        </w:tc>
        <w:tc>
          <w:tcPr>
            <w:tcW w:w="1898" w:type="dxa"/>
          </w:tcPr>
          <w:p w14:paraId="7D8AF12E" w14:textId="77777777" w:rsidR="00591789" w:rsidRPr="002164E2" w:rsidRDefault="00591789" w:rsidP="00524BB2">
            <w:pPr>
              <w:spacing w:after="0"/>
            </w:pPr>
            <w:r w:rsidRPr="002164E2">
              <w:t>ACMA Chairman</w:t>
            </w:r>
          </w:p>
        </w:tc>
        <w:tc>
          <w:tcPr>
            <w:tcW w:w="2150" w:type="dxa"/>
          </w:tcPr>
          <w:p w14:paraId="56536267" w14:textId="77777777" w:rsidR="00591789" w:rsidRPr="002164E2" w:rsidRDefault="00591789" w:rsidP="00524BB2">
            <w:pPr>
              <w:spacing w:after="0"/>
            </w:pPr>
            <w:r w:rsidRPr="002164E2">
              <w:t>Annual CRIS update</w:t>
            </w:r>
          </w:p>
        </w:tc>
      </w:tr>
      <w:tr w:rsidR="00591789" w:rsidRPr="002164E2" w14:paraId="6C45C863" w14:textId="77777777" w:rsidTr="001A4BF2">
        <w:trPr>
          <w:trHeight w:val="485"/>
        </w:trPr>
        <w:tc>
          <w:tcPr>
            <w:tcW w:w="2149" w:type="dxa"/>
          </w:tcPr>
          <w:p w14:paraId="1D19203C" w14:textId="77777777" w:rsidR="00591789" w:rsidRPr="002164E2" w:rsidRDefault="00591789" w:rsidP="00524BB2">
            <w:pPr>
              <w:spacing w:after="0"/>
            </w:pPr>
            <w:r w:rsidRPr="002164E2">
              <w:t>30 July 2014</w:t>
            </w:r>
          </w:p>
        </w:tc>
        <w:tc>
          <w:tcPr>
            <w:tcW w:w="2400" w:type="dxa"/>
          </w:tcPr>
          <w:p w14:paraId="67F66B32" w14:textId="77777777" w:rsidR="00591789" w:rsidRPr="002164E2" w:rsidRDefault="00591789" w:rsidP="00524BB2">
            <w:pPr>
              <w:spacing w:after="80"/>
            </w:pPr>
            <w:r w:rsidRPr="002164E2">
              <w:t>Agreement to the CRIS</w:t>
            </w:r>
          </w:p>
          <w:p w14:paraId="737B4F5A" w14:textId="77777777" w:rsidR="00591789" w:rsidRPr="002164E2" w:rsidRDefault="00591789" w:rsidP="00524BB2">
            <w:pPr>
              <w:spacing w:after="0"/>
            </w:pPr>
            <w:r w:rsidRPr="002164E2">
              <w:t>Version 1.0</w:t>
            </w:r>
          </w:p>
        </w:tc>
        <w:tc>
          <w:tcPr>
            <w:tcW w:w="1898" w:type="dxa"/>
          </w:tcPr>
          <w:p w14:paraId="5CA02901" w14:textId="77777777" w:rsidR="00591789" w:rsidRPr="002164E2" w:rsidRDefault="00591789" w:rsidP="00524BB2">
            <w:pPr>
              <w:spacing w:after="0"/>
            </w:pPr>
            <w:r w:rsidRPr="002164E2">
              <w:t>The Minister for Communications</w:t>
            </w:r>
          </w:p>
        </w:tc>
        <w:tc>
          <w:tcPr>
            <w:tcW w:w="2150" w:type="dxa"/>
          </w:tcPr>
          <w:p w14:paraId="0751E834" w14:textId="77777777" w:rsidR="00591789" w:rsidRPr="002164E2" w:rsidRDefault="00591789" w:rsidP="00524BB2">
            <w:pPr>
              <w:spacing w:after="0"/>
            </w:pPr>
            <w:r w:rsidRPr="002164E2">
              <w:t>Annual CRIS update</w:t>
            </w:r>
          </w:p>
        </w:tc>
      </w:tr>
      <w:tr w:rsidR="00591789" w14:paraId="6876E2F6" w14:textId="77777777" w:rsidTr="001A4BF2">
        <w:trPr>
          <w:trHeight w:val="485"/>
        </w:trPr>
        <w:tc>
          <w:tcPr>
            <w:tcW w:w="2149" w:type="dxa"/>
          </w:tcPr>
          <w:p w14:paraId="4C257254" w14:textId="77777777" w:rsidR="00591789" w:rsidRPr="002164E2" w:rsidRDefault="00591789" w:rsidP="00524BB2">
            <w:pPr>
              <w:spacing w:after="0"/>
              <w:rPr>
                <w:b/>
                <w:i/>
              </w:rPr>
            </w:pPr>
            <w:r w:rsidRPr="002164E2">
              <w:t>27 June 2014</w:t>
            </w:r>
          </w:p>
        </w:tc>
        <w:tc>
          <w:tcPr>
            <w:tcW w:w="2400" w:type="dxa"/>
          </w:tcPr>
          <w:p w14:paraId="539FDDCD" w14:textId="77777777" w:rsidR="00591789" w:rsidRPr="002164E2" w:rsidRDefault="00591789" w:rsidP="00524BB2">
            <w:pPr>
              <w:spacing w:after="80"/>
            </w:pPr>
            <w:r w:rsidRPr="002164E2">
              <w:t>Certification of the CRIS</w:t>
            </w:r>
          </w:p>
          <w:p w14:paraId="370CE0C8" w14:textId="77777777" w:rsidR="00591789" w:rsidRPr="002164E2" w:rsidRDefault="00591789" w:rsidP="00524BB2">
            <w:pPr>
              <w:spacing w:after="0"/>
              <w:rPr>
                <w:b/>
                <w:i/>
              </w:rPr>
            </w:pPr>
            <w:r w:rsidRPr="002164E2">
              <w:t>Version 1.0</w:t>
            </w:r>
          </w:p>
        </w:tc>
        <w:tc>
          <w:tcPr>
            <w:tcW w:w="1898" w:type="dxa"/>
          </w:tcPr>
          <w:p w14:paraId="0418344C" w14:textId="77777777" w:rsidR="00591789" w:rsidRPr="002164E2" w:rsidRDefault="00591789" w:rsidP="00524BB2">
            <w:pPr>
              <w:spacing w:after="0"/>
              <w:rPr>
                <w:b/>
                <w:i/>
              </w:rPr>
            </w:pPr>
            <w:r w:rsidRPr="002164E2">
              <w:t>ACMA CEO</w:t>
            </w:r>
          </w:p>
        </w:tc>
        <w:tc>
          <w:tcPr>
            <w:tcW w:w="2150" w:type="dxa"/>
          </w:tcPr>
          <w:p w14:paraId="2F9B00B5" w14:textId="77777777" w:rsidR="00591789" w:rsidRPr="00C44F8A" w:rsidRDefault="00591789" w:rsidP="00524BB2">
            <w:pPr>
              <w:spacing w:after="0"/>
              <w:rPr>
                <w:b/>
              </w:rPr>
            </w:pPr>
            <w:r w:rsidRPr="002164E2">
              <w:t>Annual CRIS update</w:t>
            </w:r>
          </w:p>
        </w:tc>
      </w:tr>
    </w:tbl>
    <w:p w14:paraId="33EDF4F3" w14:textId="77777777" w:rsidR="006329A9" w:rsidRDefault="006329A9">
      <w:pPr>
        <w:pStyle w:val="ACMATableHeader"/>
        <w:numPr>
          <w:ilvl w:val="0"/>
          <w:numId w:val="0"/>
        </w:numPr>
        <w:rPr>
          <w:rFonts w:cs="Arial"/>
          <w:i/>
          <w:color w:val="auto"/>
        </w:rPr>
      </w:pPr>
    </w:p>
    <w:sectPr w:rsidR="006329A9" w:rsidSect="00B62E6B">
      <w:headerReference w:type="even" r:id="rId36"/>
      <w:headerReference w:type="default" r:id="rId37"/>
      <w:footerReference w:type="even" r:id="rId38"/>
      <w:footerReference w:type="default" r:id="rId39"/>
      <w:pgSz w:w="11906" w:h="16838" w:code="9"/>
      <w:pgMar w:top="1560" w:right="1983" w:bottom="1134" w:left="1418"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1AC0B" w14:textId="77777777" w:rsidR="00B0445F" w:rsidRDefault="00B0445F">
      <w:r>
        <w:separator/>
      </w:r>
    </w:p>
  </w:endnote>
  <w:endnote w:type="continuationSeparator" w:id="0">
    <w:p w14:paraId="295158D3" w14:textId="77777777" w:rsidR="00B0445F" w:rsidRDefault="00B0445F">
      <w:r>
        <w:continuationSeparator/>
      </w:r>
    </w:p>
  </w:endnote>
  <w:endnote w:type="continuationNotice" w:id="1">
    <w:p w14:paraId="3A4F4A8F" w14:textId="77777777" w:rsidR="00B0445F" w:rsidRDefault="00B04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Antiqu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DAB59" w14:textId="77777777" w:rsidR="00072E35" w:rsidRDefault="00072E35" w:rsidP="004D0266">
    <w:pPr>
      <w:pStyle w:val="Footer"/>
      <w:jc w:val="right"/>
    </w:pPr>
    <w:r w:rsidRPr="005E250B">
      <w:rPr>
        <w:noProof/>
        <w:vertAlign w:val="subscript"/>
      </w:rPr>
      <w:drawing>
        <wp:inline distT="0" distB="0" distL="0" distR="0" wp14:anchorId="473329EE" wp14:editId="10DC7CEF">
          <wp:extent cx="1066800" cy="277368"/>
          <wp:effectExtent l="0" t="0" r="0" b="0"/>
          <wp:docPr id="28" name="Picture 28"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p w14:paraId="20BE4748" w14:textId="76C5E8CA" w:rsidR="00072E35" w:rsidRPr="00A5474E" w:rsidRDefault="00072E35"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3970" w14:textId="77777777" w:rsidR="00072E35" w:rsidRDefault="00072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8DAE" w14:textId="77777777" w:rsidR="00072E35" w:rsidRDefault="00072E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E2C0" w14:textId="77777777" w:rsidR="00072E35" w:rsidRPr="00622A3B" w:rsidRDefault="00072E35"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54E5DD1B" w14:textId="77777777" w:rsidR="00072E35" w:rsidRPr="00A5474E" w:rsidRDefault="00072E35"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3AF7B" w14:textId="77777777" w:rsidR="00072E35" w:rsidRPr="00622A3B" w:rsidRDefault="00072E35"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0CAFBD8E" w14:textId="77777777" w:rsidR="00072E35" w:rsidRPr="00A5474E" w:rsidRDefault="00072E35"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E62D2" w14:textId="77777777" w:rsidR="00072E35" w:rsidRPr="00622A3B" w:rsidRDefault="00072E35"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0951E41D" w14:textId="77777777" w:rsidR="00072E35" w:rsidRPr="00A5474E" w:rsidRDefault="00072E35"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96F1" w14:textId="77777777" w:rsidR="00072E35" w:rsidRPr="00622A3B" w:rsidRDefault="00072E35"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14</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F797457" w14:textId="77777777" w:rsidR="00072E35" w:rsidRPr="00A5474E" w:rsidRDefault="00072E35"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C1EB" w14:textId="77777777" w:rsidR="00072E35" w:rsidRPr="00622A3B" w:rsidRDefault="00072E35"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15</w:t>
    </w:r>
    <w:r w:rsidRPr="00575AC5">
      <w:rPr>
        <w:color w:val="505050"/>
      </w:rPr>
      <w:fldChar w:fldCharType="end"/>
    </w:r>
  </w:p>
  <w:p w14:paraId="5A8243B7" w14:textId="77777777" w:rsidR="00072E35" w:rsidRPr="00A5474E" w:rsidRDefault="00072E35"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081D6" w14:textId="77777777" w:rsidR="00B0445F" w:rsidRDefault="00B0445F">
      <w:r>
        <w:separator/>
      </w:r>
    </w:p>
  </w:footnote>
  <w:footnote w:type="continuationSeparator" w:id="0">
    <w:p w14:paraId="789B5CCD" w14:textId="77777777" w:rsidR="00B0445F" w:rsidRDefault="00B0445F">
      <w:r>
        <w:continuationSeparator/>
      </w:r>
    </w:p>
  </w:footnote>
  <w:footnote w:type="continuationNotice" w:id="1">
    <w:p w14:paraId="7D1AF6CD" w14:textId="77777777" w:rsidR="00B0445F" w:rsidRDefault="00B0445F">
      <w:pPr>
        <w:spacing w:after="0" w:line="240" w:lineRule="auto"/>
      </w:pPr>
    </w:p>
  </w:footnote>
  <w:footnote w:id="2">
    <w:p w14:paraId="509CFF13" w14:textId="23477929" w:rsidR="00072E35" w:rsidRDefault="00072E35" w:rsidP="008112CD">
      <w:pPr>
        <w:pStyle w:val="FootnoteText"/>
        <w:spacing w:after="0"/>
      </w:pPr>
      <w:r w:rsidRPr="00711A6F">
        <w:rPr>
          <w:rStyle w:val="FootnoteReference"/>
        </w:rPr>
        <w:footnoteRef/>
      </w:r>
      <w:r w:rsidRPr="00711A6F">
        <w:t xml:space="preserve"> ‘Washing’ is a term used to describe the process </w:t>
      </w:r>
      <w:r>
        <w:t>where</w:t>
      </w:r>
      <w:r w:rsidRPr="00711A6F">
        <w:t xml:space="preserve"> access seekers </w:t>
      </w:r>
      <w:r>
        <w:t xml:space="preserve">upload and </w:t>
      </w:r>
      <w:r w:rsidRPr="00A709EF">
        <w:t xml:space="preserve">check numbers against the </w:t>
      </w:r>
      <w:r>
        <w:t>register within the secure environment of the DNCR</w:t>
      </w:r>
      <w:r w:rsidRPr="00A709EF">
        <w:t xml:space="preserve">. Access seekers submit a list of numbers to the </w:t>
      </w:r>
      <w:r>
        <w:t>register</w:t>
      </w:r>
      <w:r w:rsidRPr="00A709EF">
        <w:t xml:space="preserve"> and the </w:t>
      </w:r>
      <w:r>
        <w:t xml:space="preserve">washed list is </w:t>
      </w:r>
      <w:r w:rsidRPr="00A709EF">
        <w:t>return</w:t>
      </w:r>
      <w:r>
        <w:t>ed with</w:t>
      </w:r>
      <w:r w:rsidRPr="00A709EF">
        <w:t xml:space="preserve"> </w:t>
      </w:r>
      <w:r>
        <w:t>registered</w:t>
      </w:r>
      <w:r w:rsidRPr="00A709EF">
        <w:t xml:space="preserve"> numbers </w:t>
      </w:r>
      <w:r>
        <w:t>identified for privacy reasons.</w:t>
      </w:r>
    </w:p>
  </w:footnote>
  <w:footnote w:id="3">
    <w:p w14:paraId="3A58106C" w14:textId="07FFEDE5" w:rsidR="00072E35" w:rsidRDefault="00072E35" w:rsidP="00063EA3">
      <w:pPr>
        <w:pStyle w:val="FootnoteText"/>
        <w:spacing w:after="0"/>
      </w:pPr>
      <w:r>
        <w:rPr>
          <w:rStyle w:val="FootnoteReference"/>
        </w:rPr>
        <w:footnoteRef/>
      </w:r>
      <w:r>
        <w:t xml:space="preserve"> Goal seek is a Microsoft Excel feature that allows a user to find the result by adjusting the input value—that is, the direct costs to be recovered.</w:t>
      </w:r>
    </w:p>
  </w:footnote>
  <w:footnote w:id="4">
    <w:p w14:paraId="06DCFC95" w14:textId="00560F0F" w:rsidR="00072E35" w:rsidRDefault="00072E35" w:rsidP="00A954D2">
      <w:pPr>
        <w:pStyle w:val="FootnoteText"/>
        <w:spacing w:after="0" w:line="240" w:lineRule="auto"/>
      </w:pPr>
      <w:r>
        <w:rPr>
          <w:rStyle w:val="FootnoteReference"/>
        </w:rPr>
        <w:footnoteRef/>
      </w:r>
      <w:r>
        <w:t xml:space="preserve"> The contract with the register operator concludes in September 2020. The contract provides options for extension until September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25FE" w14:textId="48A3C0FC" w:rsidR="00072E35" w:rsidRPr="00A5474E" w:rsidRDefault="00072E35" w:rsidP="004D0266">
    <w:pPr>
      <w:pStyle w:val="Header"/>
    </w:pPr>
    <w:r>
      <w:rPr>
        <w:noProof/>
      </w:rPr>
      <w:drawing>
        <wp:inline distT="0" distB="0" distL="0" distR="0" wp14:anchorId="63C62EFA" wp14:editId="45052561">
          <wp:extent cx="6210300" cy="571134"/>
          <wp:effectExtent l="0" t="0" r="0" b="0"/>
          <wp:docPr id="27" name="Picture 27"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p w14:paraId="6BE87698" w14:textId="14FF7DCA" w:rsidR="00072E35" w:rsidRPr="00A5474E" w:rsidRDefault="00072E35" w:rsidP="00A54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E77E" w14:textId="77777777" w:rsidR="00072E35" w:rsidRPr="00A5474E" w:rsidRDefault="00072E35"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6CB9" w14:textId="77777777" w:rsidR="00072E35" w:rsidRDefault="00072E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03C9" w14:textId="77777777" w:rsidR="00072E35" w:rsidRDefault="00072E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072E35" w14:paraId="3DCBF249" w14:textId="77777777" w:rsidTr="008112CD">
      <w:trPr>
        <w:trHeight w:hRule="exact" w:val="988"/>
      </w:trPr>
      <w:tc>
        <w:tcPr>
          <w:tcW w:w="7678" w:type="dxa"/>
          <w:shd w:val="clear" w:color="auto" w:fill="auto"/>
        </w:tcPr>
        <w:p w14:paraId="400FEB8A" w14:textId="77777777" w:rsidR="00072E35" w:rsidRDefault="00072E35" w:rsidP="00971914">
          <w:pPr>
            <w:pStyle w:val="Header"/>
          </w:pPr>
        </w:p>
      </w:tc>
    </w:tr>
    <w:tr w:rsidR="00072E35" w14:paraId="20C230DF" w14:textId="77777777" w:rsidTr="008112CD">
      <w:tc>
        <w:tcPr>
          <w:tcW w:w="7678" w:type="dxa"/>
          <w:shd w:val="clear" w:color="auto" w:fill="auto"/>
        </w:tcPr>
        <w:p w14:paraId="541ABC9A" w14:textId="77777777" w:rsidR="00072E35" w:rsidRDefault="00072E35" w:rsidP="00971914">
          <w:pPr>
            <w:pStyle w:val="GridTable31"/>
          </w:pPr>
          <w:r>
            <w:t xml:space="preserve">Contents </w:t>
          </w:r>
          <w:r w:rsidRPr="00915B1C">
            <w:rPr>
              <w:b w:val="0"/>
              <w:spacing w:val="0"/>
              <w:sz w:val="28"/>
              <w:szCs w:val="28"/>
            </w:rPr>
            <w:t>(Continued)</w:t>
          </w:r>
        </w:p>
      </w:tc>
    </w:tr>
    <w:tr w:rsidR="00072E35" w14:paraId="3A3917B4" w14:textId="77777777" w:rsidTr="008112CD">
      <w:trPr>
        <w:trHeight w:val="1220"/>
      </w:trPr>
      <w:tc>
        <w:tcPr>
          <w:tcW w:w="7678" w:type="dxa"/>
          <w:shd w:val="clear" w:color="auto" w:fill="auto"/>
        </w:tcPr>
        <w:p w14:paraId="54D99515" w14:textId="77777777" w:rsidR="00072E35" w:rsidRDefault="00072E35" w:rsidP="00971914"/>
      </w:tc>
    </w:tr>
  </w:tbl>
  <w:p w14:paraId="3B4F1C66" w14:textId="77777777" w:rsidR="00072E35" w:rsidRDefault="00072E35"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072E35" w14:paraId="2885AA7F" w14:textId="77777777" w:rsidTr="008112CD">
      <w:trPr>
        <w:trHeight w:hRule="exact" w:val="988"/>
      </w:trPr>
      <w:tc>
        <w:tcPr>
          <w:tcW w:w="7678" w:type="dxa"/>
          <w:shd w:val="clear" w:color="auto" w:fill="auto"/>
        </w:tcPr>
        <w:p w14:paraId="7BAFF638" w14:textId="77777777" w:rsidR="00072E35" w:rsidRDefault="00072E35" w:rsidP="00971914">
          <w:pPr>
            <w:pStyle w:val="Header"/>
          </w:pPr>
        </w:p>
      </w:tc>
    </w:tr>
    <w:tr w:rsidR="00072E35" w14:paraId="03AAA1A3" w14:textId="77777777" w:rsidTr="008112CD">
      <w:tc>
        <w:tcPr>
          <w:tcW w:w="7678" w:type="dxa"/>
          <w:shd w:val="clear" w:color="auto" w:fill="auto"/>
        </w:tcPr>
        <w:p w14:paraId="2AEA9032" w14:textId="77777777" w:rsidR="00072E35" w:rsidRDefault="00072E35" w:rsidP="00971914">
          <w:pPr>
            <w:pStyle w:val="GridTable31"/>
          </w:pPr>
          <w:r>
            <w:t xml:space="preserve">Contents </w:t>
          </w:r>
          <w:r w:rsidRPr="00915B1C">
            <w:rPr>
              <w:b w:val="0"/>
              <w:spacing w:val="0"/>
              <w:sz w:val="28"/>
              <w:szCs w:val="28"/>
            </w:rPr>
            <w:t>(Continued)</w:t>
          </w:r>
        </w:p>
      </w:tc>
    </w:tr>
    <w:tr w:rsidR="00072E35" w14:paraId="753909F3" w14:textId="77777777" w:rsidTr="008112CD">
      <w:trPr>
        <w:trHeight w:val="1220"/>
      </w:trPr>
      <w:tc>
        <w:tcPr>
          <w:tcW w:w="7678" w:type="dxa"/>
          <w:shd w:val="clear" w:color="auto" w:fill="auto"/>
        </w:tcPr>
        <w:p w14:paraId="4407AB07" w14:textId="77777777" w:rsidR="00072E35" w:rsidRDefault="00072E35" w:rsidP="00971914"/>
      </w:tc>
    </w:tr>
  </w:tbl>
  <w:p w14:paraId="283FAA63" w14:textId="77777777" w:rsidR="00072E35" w:rsidRPr="00A5474E" w:rsidRDefault="00072E35"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0D7B" w14:textId="77777777" w:rsidR="00072E35" w:rsidRDefault="00072E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5829" w14:textId="711921FD" w:rsidR="00072E35" w:rsidRDefault="00072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8077D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15:restartNumberingAfterBreak="0">
    <w:nsid w:val="FFFFFF89"/>
    <w:multiLevelType w:val="singleLevel"/>
    <w:tmpl w:val="093A4836"/>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EB55F81"/>
    <w:multiLevelType w:val="hybridMultilevel"/>
    <w:tmpl w:val="884A1BC8"/>
    <w:lvl w:ilvl="0" w:tplc="32204036">
      <w:start w:val="1"/>
      <w:numFmt w:val="decimal"/>
      <w:pStyle w:val="LegislationLvl1"/>
      <w:lvlText w:val="%1"/>
      <w:lvlJc w:val="left"/>
      <w:pPr>
        <w:tabs>
          <w:tab w:val="num" w:pos="1176"/>
        </w:tabs>
        <w:ind w:left="1176" w:hanging="720"/>
      </w:pPr>
      <w:rPr>
        <w:rFonts w:hint="default"/>
      </w:rPr>
    </w:lvl>
    <w:lvl w:ilvl="1" w:tplc="93C69154">
      <w:start w:val="1"/>
      <w:numFmt w:val="decimal"/>
      <w:pStyle w:val="LegislationLvl2"/>
      <w:lvlText w:val="(%2)"/>
      <w:lvlJc w:val="left"/>
      <w:pPr>
        <w:tabs>
          <w:tab w:val="num" w:pos="1536"/>
        </w:tabs>
        <w:ind w:left="1536" w:hanging="360"/>
      </w:pPr>
      <w:rPr>
        <w:rFonts w:hint="default"/>
      </w:rPr>
    </w:lvl>
    <w:lvl w:ilvl="2" w:tplc="BD8A0056">
      <w:start w:val="1"/>
      <w:numFmt w:val="lowerLetter"/>
      <w:pStyle w:val="LegislationLvl1"/>
      <w:lvlText w:val="(%3)"/>
      <w:lvlJc w:val="left"/>
      <w:pPr>
        <w:tabs>
          <w:tab w:val="num" w:pos="2436"/>
        </w:tabs>
        <w:ind w:left="2436" w:hanging="360"/>
      </w:pPr>
      <w:rPr>
        <w:rFonts w:hint="default"/>
      </w:rPr>
    </w:lvl>
    <w:lvl w:ilvl="3" w:tplc="BF665EE0">
      <w:start w:val="1"/>
      <w:numFmt w:val="lowerRoman"/>
      <w:pStyle w:val="LegislationLvl2"/>
      <w:lvlText w:val="(%4)"/>
      <w:lvlJc w:val="right"/>
      <w:pPr>
        <w:tabs>
          <w:tab w:val="num" w:pos="2796"/>
        </w:tabs>
        <w:ind w:left="2796" w:hanging="180"/>
      </w:pPr>
      <w:rPr>
        <w:rFonts w:hint="default"/>
      </w:rPr>
    </w:lvl>
    <w:lvl w:ilvl="4" w:tplc="04090019">
      <w:start w:val="1"/>
      <w:numFmt w:val="lowerLetter"/>
      <w:lvlText w:val="%5."/>
      <w:lvlJc w:val="left"/>
      <w:pPr>
        <w:tabs>
          <w:tab w:val="num" w:pos="3696"/>
        </w:tabs>
        <w:ind w:left="3696" w:hanging="360"/>
      </w:pPr>
    </w:lvl>
    <w:lvl w:ilvl="5" w:tplc="0409001B">
      <w:start w:val="1"/>
      <w:numFmt w:val="lowerRoman"/>
      <w:lvlText w:val="%6."/>
      <w:lvlJc w:val="right"/>
      <w:pPr>
        <w:tabs>
          <w:tab w:val="num" w:pos="4416"/>
        </w:tabs>
        <w:ind w:left="4416" w:hanging="180"/>
      </w:pPr>
    </w:lvl>
    <w:lvl w:ilvl="6" w:tplc="0409000F">
      <w:start w:val="1"/>
      <w:numFmt w:val="decimal"/>
      <w:lvlText w:val="%7."/>
      <w:lvlJc w:val="left"/>
      <w:pPr>
        <w:tabs>
          <w:tab w:val="num" w:pos="5136"/>
        </w:tabs>
        <w:ind w:left="5136" w:hanging="360"/>
      </w:pPr>
    </w:lvl>
    <w:lvl w:ilvl="7" w:tplc="04090019">
      <w:start w:val="1"/>
      <w:numFmt w:val="lowerLetter"/>
      <w:lvlText w:val="%8."/>
      <w:lvlJc w:val="left"/>
      <w:pPr>
        <w:tabs>
          <w:tab w:val="num" w:pos="5856"/>
        </w:tabs>
        <w:ind w:left="5856" w:hanging="360"/>
      </w:pPr>
    </w:lvl>
    <w:lvl w:ilvl="8" w:tplc="0409001B">
      <w:start w:val="1"/>
      <w:numFmt w:val="lowerRoman"/>
      <w:lvlText w:val="%9."/>
      <w:lvlJc w:val="right"/>
      <w:pPr>
        <w:tabs>
          <w:tab w:val="num" w:pos="6576"/>
        </w:tabs>
        <w:ind w:left="6576" w:hanging="180"/>
      </w:pPr>
    </w:lvl>
  </w:abstractNum>
  <w:abstractNum w:abstractNumId="6" w15:restartNumberingAfterBreak="0">
    <w:nsid w:val="12672403"/>
    <w:multiLevelType w:val="hybridMultilevel"/>
    <w:tmpl w:val="CECAA0AC"/>
    <w:lvl w:ilvl="0" w:tplc="C032EFBE">
      <w:start w:val="20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10" w15:restartNumberingAfterBreak="0">
    <w:nsid w:val="3B2E19AC"/>
    <w:multiLevelType w:val="singleLevel"/>
    <w:tmpl w:val="1E08918C"/>
    <w:lvl w:ilvl="0">
      <w:start w:val="1"/>
      <w:numFmt w:val="lowerLetter"/>
      <w:lvlRestart w:val="0"/>
      <w:pStyle w:val="ChartandTableFootnoteAlpha"/>
      <w:lvlText w:val="(%1)"/>
      <w:lvlJc w:val="left"/>
      <w:pPr>
        <w:tabs>
          <w:tab w:val="num" w:pos="284"/>
        </w:tabs>
        <w:ind w:left="284" w:hanging="284"/>
      </w:pPr>
      <w:rPr>
        <w:rFonts w:ascii="Arial" w:eastAsia="Times New Roman" w:hAnsi="Arial" w:cs="Times New Roman" w:hint="default"/>
        <w:b w:val="0"/>
        <w:i w:val="0"/>
        <w:color w:val="000000"/>
        <w:sz w:val="16"/>
      </w:rPr>
    </w:lvl>
  </w:abstractNum>
  <w:abstractNum w:abstractNumId="11" w15:restartNumberingAfterBreak="0">
    <w:nsid w:val="434E449C"/>
    <w:multiLevelType w:val="hybridMultilevel"/>
    <w:tmpl w:val="CB3069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CE4083F"/>
    <w:multiLevelType w:val="hybridMultilevel"/>
    <w:tmpl w:val="580C3B18"/>
    <w:lvl w:ilvl="0" w:tplc="667052F8">
      <w:start w:val="1"/>
      <w:numFmt w:val="bullet"/>
      <w:pStyle w:val="Bullets1stindent"/>
      <w:lvlText w:val=""/>
      <w:lvlJc w:val="left"/>
      <w:pPr>
        <w:ind w:left="720" w:hanging="360"/>
      </w:pPr>
      <w:rPr>
        <w:rFonts w:ascii="Symbol" w:hAnsi="Symbol" w:hint="default"/>
        <w:color w:val="4F81BD" w:themeColor="accent1"/>
      </w:rPr>
    </w:lvl>
    <w:lvl w:ilvl="1" w:tplc="9104E580">
      <w:start w:val="1"/>
      <w:numFmt w:val="bullet"/>
      <w:pStyle w:val="Bullets2ndinden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A21F0"/>
    <w:multiLevelType w:val="hybridMultilevel"/>
    <w:tmpl w:val="9E64DB5E"/>
    <w:lvl w:ilvl="0" w:tplc="B9C8E54E">
      <w:start w:val="2"/>
      <w:numFmt w:val="decimal"/>
      <w:pStyle w:val="ACMATableHeader"/>
      <w:lvlText w:val="Table %1:"/>
      <w:lvlJc w:val="left"/>
      <w:pPr>
        <w:tabs>
          <w:tab w:val="num" w:pos="964"/>
        </w:tabs>
        <w:ind w:left="964" w:hanging="964"/>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843E6"/>
    <w:multiLevelType w:val="hybridMultilevel"/>
    <w:tmpl w:val="30A225AC"/>
    <w:lvl w:ilvl="0" w:tplc="86481462">
      <w:start w:val="1"/>
      <w:numFmt w:val="bullet"/>
      <w:pStyle w:val="bullettableArial8"/>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757AE6"/>
    <w:multiLevelType w:val="hybridMultilevel"/>
    <w:tmpl w:val="CC800954"/>
    <w:lvl w:ilvl="0" w:tplc="BB6E1408">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25FE8"/>
    <w:multiLevelType w:val="multilevel"/>
    <w:tmpl w:val="59E042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DB969BB"/>
    <w:multiLevelType w:val="hybridMultilevel"/>
    <w:tmpl w:val="15EED256"/>
    <w:lvl w:ilvl="0" w:tplc="0088BC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8"/>
  </w:num>
  <w:num w:numId="6">
    <w:abstractNumId w:val="15"/>
  </w:num>
  <w:num w:numId="7">
    <w:abstractNumId w:val="13"/>
  </w:num>
  <w:num w:numId="8">
    <w:abstractNumId w:val="14"/>
  </w:num>
  <w:num w:numId="9">
    <w:abstractNumId w:val="17"/>
  </w:num>
  <w:num w:numId="10">
    <w:abstractNumId w:val="9"/>
  </w:num>
  <w:num w:numId="11">
    <w:abstractNumId w:val="5"/>
    <w:lvlOverride w:ilvl="0">
      <w:startOverride w:val="1"/>
    </w:lvlOverride>
  </w:num>
  <w:num w:numId="12">
    <w:abstractNumId w:val="7"/>
  </w:num>
  <w:num w:numId="13">
    <w:abstractNumId w:val="12"/>
  </w:num>
  <w:num w:numId="14">
    <w:abstractNumId w:val="16"/>
  </w:num>
  <w:num w:numId="15">
    <w:abstractNumId w:val="10"/>
  </w:num>
  <w:num w:numId="16">
    <w:abstractNumId w:val="18"/>
  </w:num>
  <w:num w:numId="17">
    <w:abstractNumId w:val="19"/>
  </w:num>
  <w:num w:numId="18">
    <w:abstractNumId w:val="0"/>
  </w:num>
  <w:num w:numId="19">
    <w:abstractNumId w:val="6"/>
  </w:num>
  <w:num w:numId="20">
    <w:abstractNumId w:val="4"/>
  </w:num>
  <w:num w:numId="21">
    <w:abstractNumId w:val="4"/>
  </w:num>
  <w:num w:numId="22">
    <w:abstractNumId w:val="11"/>
  </w:num>
  <w:num w:numId="23">
    <w:abstractNumId w:val="4"/>
  </w:num>
  <w:num w:numId="24">
    <w:abstractNumId w:val="4"/>
  </w:num>
  <w:num w:numId="25">
    <w:abstractNumId w:val="4"/>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6"/>
    </w:lvlOverride>
  </w:num>
  <w:num w:numId="29">
    <w:abstractNumId w:val="17"/>
    <w:lvlOverride w:ilvl="0">
      <w:startOverride w:val="7"/>
    </w:lvlOverride>
  </w:num>
  <w:num w:numId="30">
    <w:abstractNumId w:val="13"/>
    <w:lvlOverride w:ilvl="0">
      <w:startOverride w:val="8"/>
    </w:lvlOverride>
  </w:num>
  <w:num w:numId="31">
    <w:abstractNumId w:val="4"/>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8193">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9F"/>
    <w:rsid w:val="00005DC0"/>
    <w:rsid w:val="000072D9"/>
    <w:rsid w:val="00010667"/>
    <w:rsid w:val="000129D5"/>
    <w:rsid w:val="0001391B"/>
    <w:rsid w:val="00015AE7"/>
    <w:rsid w:val="00016E21"/>
    <w:rsid w:val="0001719C"/>
    <w:rsid w:val="00020348"/>
    <w:rsid w:val="00021149"/>
    <w:rsid w:val="0002224E"/>
    <w:rsid w:val="0002537A"/>
    <w:rsid w:val="00026F91"/>
    <w:rsid w:val="00027AA6"/>
    <w:rsid w:val="0004476F"/>
    <w:rsid w:val="00046942"/>
    <w:rsid w:val="0004764C"/>
    <w:rsid w:val="0005011A"/>
    <w:rsid w:val="0005045A"/>
    <w:rsid w:val="00051C1E"/>
    <w:rsid w:val="000525EA"/>
    <w:rsid w:val="000539F9"/>
    <w:rsid w:val="000541C7"/>
    <w:rsid w:val="0005462E"/>
    <w:rsid w:val="00054C27"/>
    <w:rsid w:val="00055EC3"/>
    <w:rsid w:val="000563CE"/>
    <w:rsid w:val="0005750A"/>
    <w:rsid w:val="00060A8E"/>
    <w:rsid w:val="000619B9"/>
    <w:rsid w:val="00063DDD"/>
    <w:rsid w:val="00063EA3"/>
    <w:rsid w:val="000659B6"/>
    <w:rsid w:val="0006686F"/>
    <w:rsid w:val="0006722A"/>
    <w:rsid w:val="00072E35"/>
    <w:rsid w:val="000732CF"/>
    <w:rsid w:val="00075B96"/>
    <w:rsid w:val="0008196A"/>
    <w:rsid w:val="00084EDA"/>
    <w:rsid w:val="00085FD6"/>
    <w:rsid w:val="00086723"/>
    <w:rsid w:val="000915ED"/>
    <w:rsid w:val="00091AC6"/>
    <w:rsid w:val="0009209D"/>
    <w:rsid w:val="000969BD"/>
    <w:rsid w:val="000969BF"/>
    <w:rsid w:val="000A0C22"/>
    <w:rsid w:val="000A0DE3"/>
    <w:rsid w:val="000A1400"/>
    <w:rsid w:val="000A3C43"/>
    <w:rsid w:val="000A4A2F"/>
    <w:rsid w:val="000A4A51"/>
    <w:rsid w:val="000A54B7"/>
    <w:rsid w:val="000A5D2B"/>
    <w:rsid w:val="000A7E2D"/>
    <w:rsid w:val="000B2C9C"/>
    <w:rsid w:val="000B3755"/>
    <w:rsid w:val="000B5335"/>
    <w:rsid w:val="000B5DE3"/>
    <w:rsid w:val="000B7B08"/>
    <w:rsid w:val="000C0A57"/>
    <w:rsid w:val="000C1B21"/>
    <w:rsid w:val="000C230C"/>
    <w:rsid w:val="000C3A96"/>
    <w:rsid w:val="000C6AB4"/>
    <w:rsid w:val="000D1E8C"/>
    <w:rsid w:val="000D71D9"/>
    <w:rsid w:val="000D76E0"/>
    <w:rsid w:val="000D7CBD"/>
    <w:rsid w:val="000D7E8B"/>
    <w:rsid w:val="000E2510"/>
    <w:rsid w:val="000E3848"/>
    <w:rsid w:val="000E4449"/>
    <w:rsid w:val="000E4EAE"/>
    <w:rsid w:val="000E6097"/>
    <w:rsid w:val="000E7E30"/>
    <w:rsid w:val="000F0707"/>
    <w:rsid w:val="000F3E46"/>
    <w:rsid w:val="000F5B97"/>
    <w:rsid w:val="00103829"/>
    <w:rsid w:val="00111FCE"/>
    <w:rsid w:val="0011306A"/>
    <w:rsid w:val="0011388B"/>
    <w:rsid w:val="001212BE"/>
    <w:rsid w:val="00121E0B"/>
    <w:rsid w:val="001229A5"/>
    <w:rsid w:val="0012489B"/>
    <w:rsid w:val="00130017"/>
    <w:rsid w:val="00130F54"/>
    <w:rsid w:val="00130F91"/>
    <w:rsid w:val="001349ED"/>
    <w:rsid w:val="00137214"/>
    <w:rsid w:val="00137424"/>
    <w:rsid w:val="00140318"/>
    <w:rsid w:val="00141AD9"/>
    <w:rsid w:val="001462E3"/>
    <w:rsid w:val="00146CE6"/>
    <w:rsid w:val="00150539"/>
    <w:rsid w:val="00150E5E"/>
    <w:rsid w:val="00152461"/>
    <w:rsid w:val="00152903"/>
    <w:rsid w:val="00153FD5"/>
    <w:rsid w:val="00154E21"/>
    <w:rsid w:val="00155E49"/>
    <w:rsid w:val="0015614F"/>
    <w:rsid w:val="00156CCC"/>
    <w:rsid w:val="001577C2"/>
    <w:rsid w:val="001601E3"/>
    <w:rsid w:val="001633C4"/>
    <w:rsid w:val="0016595C"/>
    <w:rsid w:val="00171591"/>
    <w:rsid w:val="00171E45"/>
    <w:rsid w:val="00173981"/>
    <w:rsid w:val="0017719D"/>
    <w:rsid w:val="00177E73"/>
    <w:rsid w:val="00180820"/>
    <w:rsid w:val="00181F89"/>
    <w:rsid w:val="00183FD7"/>
    <w:rsid w:val="00185CAB"/>
    <w:rsid w:val="001875B7"/>
    <w:rsid w:val="00187CB3"/>
    <w:rsid w:val="0019050A"/>
    <w:rsid w:val="001910D4"/>
    <w:rsid w:val="00192C0C"/>
    <w:rsid w:val="001976E3"/>
    <w:rsid w:val="001977FD"/>
    <w:rsid w:val="00197CEF"/>
    <w:rsid w:val="001A04DB"/>
    <w:rsid w:val="001A44EC"/>
    <w:rsid w:val="001A4BF2"/>
    <w:rsid w:val="001A6E17"/>
    <w:rsid w:val="001A7C3D"/>
    <w:rsid w:val="001B58AA"/>
    <w:rsid w:val="001B7E48"/>
    <w:rsid w:val="001C0CC4"/>
    <w:rsid w:val="001C17CE"/>
    <w:rsid w:val="001C2BE6"/>
    <w:rsid w:val="001C36CA"/>
    <w:rsid w:val="001C44D1"/>
    <w:rsid w:val="001C5407"/>
    <w:rsid w:val="001C6AEE"/>
    <w:rsid w:val="001C7630"/>
    <w:rsid w:val="001D0223"/>
    <w:rsid w:val="001D329D"/>
    <w:rsid w:val="001D5D06"/>
    <w:rsid w:val="001D6D15"/>
    <w:rsid w:val="001D746C"/>
    <w:rsid w:val="001D76D1"/>
    <w:rsid w:val="001E15D2"/>
    <w:rsid w:val="001E1DB4"/>
    <w:rsid w:val="001E2B4F"/>
    <w:rsid w:val="001F4120"/>
    <w:rsid w:val="001F7213"/>
    <w:rsid w:val="001F7558"/>
    <w:rsid w:val="00202E72"/>
    <w:rsid w:val="002040C3"/>
    <w:rsid w:val="00205B57"/>
    <w:rsid w:val="00210910"/>
    <w:rsid w:val="002117AD"/>
    <w:rsid w:val="00212B85"/>
    <w:rsid w:val="002157E0"/>
    <w:rsid w:val="002164E2"/>
    <w:rsid w:val="00216A57"/>
    <w:rsid w:val="002173DF"/>
    <w:rsid w:val="00222474"/>
    <w:rsid w:val="0022334F"/>
    <w:rsid w:val="002244AA"/>
    <w:rsid w:val="002252DD"/>
    <w:rsid w:val="00226819"/>
    <w:rsid w:val="00233101"/>
    <w:rsid w:val="002334A1"/>
    <w:rsid w:val="00233817"/>
    <w:rsid w:val="002340F5"/>
    <w:rsid w:val="002367FF"/>
    <w:rsid w:val="00236D6B"/>
    <w:rsid w:val="00240CE9"/>
    <w:rsid w:val="002434BA"/>
    <w:rsid w:val="00246089"/>
    <w:rsid w:val="00246093"/>
    <w:rsid w:val="00246702"/>
    <w:rsid w:val="00247169"/>
    <w:rsid w:val="00247C59"/>
    <w:rsid w:val="00247F2E"/>
    <w:rsid w:val="002504A5"/>
    <w:rsid w:val="0025069C"/>
    <w:rsid w:val="00250ADC"/>
    <w:rsid w:val="00250B07"/>
    <w:rsid w:val="00251AE2"/>
    <w:rsid w:val="00251DD7"/>
    <w:rsid w:val="00257553"/>
    <w:rsid w:val="002608BC"/>
    <w:rsid w:val="00260FB2"/>
    <w:rsid w:val="0026192E"/>
    <w:rsid w:val="00262128"/>
    <w:rsid w:val="00262656"/>
    <w:rsid w:val="0026413A"/>
    <w:rsid w:val="00266B5B"/>
    <w:rsid w:val="0027165D"/>
    <w:rsid w:val="00273CEB"/>
    <w:rsid w:val="00273F36"/>
    <w:rsid w:val="0027477C"/>
    <w:rsid w:val="00281C89"/>
    <w:rsid w:val="00281D13"/>
    <w:rsid w:val="0028282F"/>
    <w:rsid w:val="0029593B"/>
    <w:rsid w:val="00297FC5"/>
    <w:rsid w:val="002A0417"/>
    <w:rsid w:val="002A16D8"/>
    <w:rsid w:val="002A17F0"/>
    <w:rsid w:val="002A1BC8"/>
    <w:rsid w:val="002A3EF2"/>
    <w:rsid w:val="002A4A03"/>
    <w:rsid w:val="002A4FE4"/>
    <w:rsid w:val="002A5CBC"/>
    <w:rsid w:val="002A7D8F"/>
    <w:rsid w:val="002B0DED"/>
    <w:rsid w:val="002B19A2"/>
    <w:rsid w:val="002B298D"/>
    <w:rsid w:val="002B381A"/>
    <w:rsid w:val="002B4FCC"/>
    <w:rsid w:val="002B7408"/>
    <w:rsid w:val="002B7CFD"/>
    <w:rsid w:val="002C0294"/>
    <w:rsid w:val="002C0979"/>
    <w:rsid w:val="002C210F"/>
    <w:rsid w:val="002C372C"/>
    <w:rsid w:val="002C75BA"/>
    <w:rsid w:val="002D20D9"/>
    <w:rsid w:val="002D3600"/>
    <w:rsid w:val="002E4DDC"/>
    <w:rsid w:val="002E614A"/>
    <w:rsid w:val="002E76D0"/>
    <w:rsid w:val="002F0551"/>
    <w:rsid w:val="00302480"/>
    <w:rsid w:val="003117EA"/>
    <w:rsid w:val="00311CE4"/>
    <w:rsid w:val="003165E6"/>
    <w:rsid w:val="00320D5B"/>
    <w:rsid w:val="00321018"/>
    <w:rsid w:val="003215B5"/>
    <w:rsid w:val="003221CF"/>
    <w:rsid w:val="00322A66"/>
    <w:rsid w:val="003233ED"/>
    <w:rsid w:val="00324D9F"/>
    <w:rsid w:val="00325A2A"/>
    <w:rsid w:val="00325E95"/>
    <w:rsid w:val="00327948"/>
    <w:rsid w:val="0033000F"/>
    <w:rsid w:val="00332011"/>
    <w:rsid w:val="00332518"/>
    <w:rsid w:val="00332925"/>
    <w:rsid w:val="003332ED"/>
    <w:rsid w:val="00334940"/>
    <w:rsid w:val="00334C11"/>
    <w:rsid w:val="00334F07"/>
    <w:rsid w:val="003368DC"/>
    <w:rsid w:val="00340EC6"/>
    <w:rsid w:val="00340F88"/>
    <w:rsid w:val="00342D61"/>
    <w:rsid w:val="00343D56"/>
    <w:rsid w:val="00345927"/>
    <w:rsid w:val="00346D3D"/>
    <w:rsid w:val="00350584"/>
    <w:rsid w:val="0035155E"/>
    <w:rsid w:val="0035174B"/>
    <w:rsid w:val="00351857"/>
    <w:rsid w:val="003529B1"/>
    <w:rsid w:val="003545E8"/>
    <w:rsid w:val="00354BF5"/>
    <w:rsid w:val="003578EF"/>
    <w:rsid w:val="003610E1"/>
    <w:rsid w:val="00362200"/>
    <w:rsid w:val="003671BE"/>
    <w:rsid w:val="00372485"/>
    <w:rsid w:val="00373200"/>
    <w:rsid w:val="00373689"/>
    <w:rsid w:val="00374AB2"/>
    <w:rsid w:val="00375EF5"/>
    <w:rsid w:val="003767A5"/>
    <w:rsid w:val="0037690F"/>
    <w:rsid w:val="00381D15"/>
    <w:rsid w:val="003832DF"/>
    <w:rsid w:val="00385254"/>
    <w:rsid w:val="0038541E"/>
    <w:rsid w:val="003973C3"/>
    <w:rsid w:val="00397BEB"/>
    <w:rsid w:val="003A04DB"/>
    <w:rsid w:val="003A25E6"/>
    <w:rsid w:val="003A5262"/>
    <w:rsid w:val="003A5A3E"/>
    <w:rsid w:val="003A5F5B"/>
    <w:rsid w:val="003A64CF"/>
    <w:rsid w:val="003A789A"/>
    <w:rsid w:val="003A7D9F"/>
    <w:rsid w:val="003B12EC"/>
    <w:rsid w:val="003B319A"/>
    <w:rsid w:val="003B44AB"/>
    <w:rsid w:val="003B583F"/>
    <w:rsid w:val="003B613A"/>
    <w:rsid w:val="003B6948"/>
    <w:rsid w:val="003C0CAA"/>
    <w:rsid w:val="003C133B"/>
    <w:rsid w:val="003C38F4"/>
    <w:rsid w:val="003C77E0"/>
    <w:rsid w:val="003D17D7"/>
    <w:rsid w:val="003D2678"/>
    <w:rsid w:val="003D4128"/>
    <w:rsid w:val="003D5375"/>
    <w:rsid w:val="003D71A3"/>
    <w:rsid w:val="003D78C0"/>
    <w:rsid w:val="003E2B8A"/>
    <w:rsid w:val="003F10EE"/>
    <w:rsid w:val="003F16F6"/>
    <w:rsid w:val="003F396A"/>
    <w:rsid w:val="003F4DC7"/>
    <w:rsid w:val="003F4E25"/>
    <w:rsid w:val="003F5235"/>
    <w:rsid w:val="004027E4"/>
    <w:rsid w:val="004028DA"/>
    <w:rsid w:val="00407BEE"/>
    <w:rsid w:val="0041071D"/>
    <w:rsid w:val="0041092C"/>
    <w:rsid w:val="00414AFC"/>
    <w:rsid w:val="004151A7"/>
    <w:rsid w:val="00415310"/>
    <w:rsid w:val="00417715"/>
    <w:rsid w:val="00420345"/>
    <w:rsid w:val="00421709"/>
    <w:rsid w:val="00423763"/>
    <w:rsid w:val="0042398E"/>
    <w:rsid w:val="0042762F"/>
    <w:rsid w:val="00427B3B"/>
    <w:rsid w:val="00427CCE"/>
    <w:rsid w:val="00427DC7"/>
    <w:rsid w:val="00431613"/>
    <w:rsid w:val="00431792"/>
    <w:rsid w:val="0043297A"/>
    <w:rsid w:val="00432EB2"/>
    <w:rsid w:val="00434DC8"/>
    <w:rsid w:val="00436396"/>
    <w:rsid w:val="004364AC"/>
    <w:rsid w:val="0043714F"/>
    <w:rsid w:val="0043799B"/>
    <w:rsid w:val="004438B5"/>
    <w:rsid w:val="00444411"/>
    <w:rsid w:val="00447037"/>
    <w:rsid w:val="00451112"/>
    <w:rsid w:val="0045124D"/>
    <w:rsid w:val="00453634"/>
    <w:rsid w:val="00454596"/>
    <w:rsid w:val="00454A1E"/>
    <w:rsid w:val="0045605D"/>
    <w:rsid w:val="00456EE0"/>
    <w:rsid w:val="0046135B"/>
    <w:rsid w:val="00461D47"/>
    <w:rsid w:val="00467168"/>
    <w:rsid w:val="004718CC"/>
    <w:rsid w:val="00473872"/>
    <w:rsid w:val="00480A42"/>
    <w:rsid w:val="00481695"/>
    <w:rsid w:val="00481E7A"/>
    <w:rsid w:val="004832AC"/>
    <w:rsid w:val="00484A60"/>
    <w:rsid w:val="00485B04"/>
    <w:rsid w:val="004900DC"/>
    <w:rsid w:val="00494EA1"/>
    <w:rsid w:val="00495A96"/>
    <w:rsid w:val="00495BB3"/>
    <w:rsid w:val="004A2AE4"/>
    <w:rsid w:val="004A56BB"/>
    <w:rsid w:val="004B1751"/>
    <w:rsid w:val="004B5BAF"/>
    <w:rsid w:val="004B630E"/>
    <w:rsid w:val="004B6B48"/>
    <w:rsid w:val="004C0253"/>
    <w:rsid w:val="004C042B"/>
    <w:rsid w:val="004C11A8"/>
    <w:rsid w:val="004C28EF"/>
    <w:rsid w:val="004D0187"/>
    <w:rsid w:val="004D0266"/>
    <w:rsid w:val="004D1799"/>
    <w:rsid w:val="004D2DD9"/>
    <w:rsid w:val="004D43E6"/>
    <w:rsid w:val="004D56FF"/>
    <w:rsid w:val="004D70D9"/>
    <w:rsid w:val="004D737D"/>
    <w:rsid w:val="004E39D3"/>
    <w:rsid w:val="004E508A"/>
    <w:rsid w:val="004E616D"/>
    <w:rsid w:val="004F1BDE"/>
    <w:rsid w:val="004F2CEE"/>
    <w:rsid w:val="004F3C43"/>
    <w:rsid w:val="004F556E"/>
    <w:rsid w:val="004F591C"/>
    <w:rsid w:val="004F6CF8"/>
    <w:rsid w:val="004F7F44"/>
    <w:rsid w:val="005037B4"/>
    <w:rsid w:val="005079BF"/>
    <w:rsid w:val="00510E9F"/>
    <w:rsid w:val="0051269A"/>
    <w:rsid w:val="00517EA7"/>
    <w:rsid w:val="00520F66"/>
    <w:rsid w:val="005219E7"/>
    <w:rsid w:val="00524BB2"/>
    <w:rsid w:val="00526EA6"/>
    <w:rsid w:val="00531B9A"/>
    <w:rsid w:val="00531D15"/>
    <w:rsid w:val="0053291F"/>
    <w:rsid w:val="00536F38"/>
    <w:rsid w:val="00537604"/>
    <w:rsid w:val="0053786E"/>
    <w:rsid w:val="00540C0C"/>
    <w:rsid w:val="00542377"/>
    <w:rsid w:val="00543B7D"/>
    <w:rsid w:val="005476EB"/>
    <w:rsid w:val="00551782"/>
    <w:rsid w:val="005606B6"/>
    <w:rsid w:val="00563EF1"/>
    <w:rsid w:val="00565048"/>
    <w:rsid w:val="00566AB4"/>
    <w:rsid w:val="0057284A"/>
    <w:rsid w:val="00574613"/>
    <w:rsid w:val="00575AC5"/>
    <w:rsid w:val="0057605D"/>
    <w:rsid w:val="005773B8"/>
    <w:rsid w:val="005804DA"/>
    <w:rsid w:val="00581347"/>
    <w:rsid w:val="00581AC9"/>
    <w:rsid w:val="005849F8"/>
    <w:rsid w:val="00586929"/>
    <w:rsid w:val="005872DE"/>
    <w:rsid w:val="00591789"/>
    <w:rsid w:val="00591A0C"/>
    <w:rsid w:val="00592858"/>
    <w:rsid w:val="005938DF"/>
    <w:rsid w:val="00594E9C"/>
    <w:rsid w:val="0059704C"/>
    <w:rsid w:val="00597774"/>
    <w:rsid w:val="00597B11"/>
    <w:rsid w:val="005A087F"/>
    <w:rsid w:val="005A099B"/>
    <w:rsid w:val="005A2293"/>
    <w:rsid w:val="005A2D9C"/>
    <w:rsid w:val="005A55FE"/>
    <w:rsid w:val="005A6A11"/>
    <w:rsid w:val="005B2DDE"/>
    <w:rsid w:val="005B2F5A"/>
    <w:rsid w:val="005B3356"/>
    <w:rsid w:val="005B4C87"/>
    <w:rsid w:val="005B6009"/>
    <w:rsid w:val="005B6B4B"/>
    <w:rsid w:val="005C1A89"/>
    <w:rsid w:val="005C2461"/>
    <w:rsid w:val="005C6431"/>
    <w:rsid w:val="005D1D0F"/>
    <w:rsid w:val="005D2502"/>
    <w:rsid w:val="005D40BB"/>
    <w:rsid w:val="005D47F3"/>
    <w:rsid w:val="005D49BF"/>
    <w:rsid w:val="005D4AA5"/>
    <w:rsid w:val="005D6854"/>
    <w:rsid w:val="005D6F4E"/>
    <w:rsid w:val="005D7C73"/>
    <w:rsid w:val="005E31B1"/>
    <w:rsid w:val="005E3ACD"/>
    <w:rsid w:val="005E40D6"/>
    <w:rsid w:val="005E4EA4"/>
    <w:rsid w:val="005E7226"/>
    <w:rsid w:val="005E7A57"/>
    <w:rsid w:val="005F14C7"/>
    <w:rsid w:val="005F24B0"/>
    <w:rsid w:val="005F7932"/>
    <w:rsid w:val="00600693"/>
    <w:rsid w:val="00602485"/>
    <w:rsid w:val="00604315"/>
    <w:rsid w:val="00604C02"/>
    <w:rsid w:val="00604E26"/>
    <w:rsid w:val="006052CF"/>
    <w:rsid w:val="006077BE"/>
    <w:rsid w:val="0060795C"/>
    <w:rsid w:val="00607B8D"/>
    <w:rsid w:val="006108C7"/>
    <w:rsid w:val="00610EDF"/>
    <w:rsid w:val="00611F5C"/>
    <w:rsid w:val="00613AE0"/>
    <w:rsid w:val="00616E09"/>
    <w:rsid w:val="00622A3B"/>
    <w:rsid w:val="00622EEA"/>
    <w:rsid w:val="0062396C"/>
    <w:rsid w:val="00623FF9"/>
    <w:rsid w:val="00625587"/>
    <w:rsid w:val="006255C5"/>
    <w:rsid w:val="00627304"/>
    <w:rsid w:val="00627D4E"/>
    <w:rsid w:val="00631CD7"/>
    <w:rsid w:val="006329A9"/>
    <w:rsid w:val="00632A00"/>
    <w:rsid w:val="00632B89"/>
    <w:rsid w:val="00633F5D"/>
    <w:rsid w:val="00634478"/>
    <w:rsid w:val="0064378E"/>
    <w:rsid w:val="00644373"/>
    <w:rsid w:val="00645915"/>
    <w:rsid w:val="006466E2"/>
    <w:rsid w:val="006507BC"/>
    <w:rsid w:val="006519C3"/>
    <w:rsid w:val="00652B30"/>
    <w:rsid w:val="00656345"/>
    <w:rsid w:val="00656DC6"/>
    <w:rsid w:val="00660EC6"/>
    <w:rsid w:val="00662ABD"/>
    <w:rsid w:val="00662AEE"/>
    <w:rsid w:val="00664110"/>
    <w:rsid w:val="00664336"/>
    <w:rsid w:val="00664428"/>
    <w:rsid w:val="00664D17"/>
    <w:rsid w:val="00666520"/>
    <w:rsid w:val="00667C5B"/>
    <w:rsid w:val="006719AB"/>
    <w:rsid w:val="006729DA"/>
    <w:rsid w:val="006853E5"/>
    <w:rsid w:val="00687034"/>
    <w:rsid w:val="00690EB7"/>
    <w:rsid w:val="00691EB8"/>
    <w:rsid w:val="00692CDE"/>
    <w:rsid w:val="00693073"/>
    <w:rsid w:val="00693DC6"/>
    <w:rsid w:val="006954D4"/>
    <w:rsid w:val="006955D8"/>
    <w:rsid w:val="006977FF"/>
    <w:rsid w:val="006A01FA"/>
    <w:rsid w:val="006A0E9E"/>
    <w:rsid w:val="006A25C7"/>
    <w:rsid w:val="006A4AAD"/>
    <w:rsid w:val="006A6DA2"/>
    <w:rsid w:val="006A7AB2"/>
    <w:rsid w:val="006B5717"/>
    <w:rsid w:val="006B582F"/>
    <w:rsid w:val="006C0CEB"/>
    <w:rsid w:val="006C3B1E"/>
    <w:rsid w:val="006C47FD"/>
    <w:rsid w:val="006C4902"/>
    <w:rsid w:val="006C5AE6"/>
    <w:rsid w:val="006C5C19"/>
    <w:rsid w:val="006C70A0"/>
    <w:rsid w:val="006D1EC6"/>
    <w:rsid w:val="006D27CB"/>
    <w:rsid w:val="006D2F08"/>
    <w:rsid w:val="006D4C3D"/>
    <w:rsid w:val="006D576C"/>
    <w:rsid w:val="006D5865"/>
    <w:rsid w:val="006D78EC"/>
    <w:rsid w:val="006D7E34"/>
    <w:rsid w:val="006E3140"/>
    <w:rsid w:val="006E40C6"/>
    <w:rsid w:val="006E4B1B"/>
    <w:rsid w:val="006E5445"/>
    <w:rsid w:val="006E7049"/>
    <w:rsid w:val="006E7727"/>
    <w:rsid w:val="006E7D93"/>
    <w:rsid w:val="006E7F67"/>
    <w:rsid w:val="006F1004"/>
    <w:rsid w:val="006F174E"/>
    <w:rsid w:val="006F36BB"/>
    <w:rsid w:val="006F4DC5"/>
    <w:rsid w:val="006F7E19"/>
    <w:rsid w:val="00700261"/>
    <w:rsid w:val="007029A3"/>
    <w:rsid w:val="00706E4E"/>
    <w:rsid w:val="0070791C"/>
    <w:rsid w:val="00711A6F"/>
    <w:rsid w:val="0071383C"/>
    <w:rsid w:val="0071389A"/>
    <w:rsid w:val="007141A7"/>
    <w:rsid w:val="00715722"/>
    <w:rsid w:val="00717EDF"/>
    <w:rsid w:val="0072094F"/>
    <w:rsid w:val="00721032"/>
    <w:rsid w:val="00721B55"/>
    <w:rsid w:val="00726CE4"/>
    <w:rsid w:val="00727894"/>
    <w:rsid w:val="00734143"/>
    <w:rsid w:val="00734DDF"/>
    <w:rsid w:val="00737E47"/>
    <w:rsid w:val="00740EAC"/>
    <w:rsid w:val="0074336A"/>
    <w:rsid w:val="007441BA"/>
    <w:rsid w:val="007444DB"/>
    <w:rsid w:val="00744956"/>
    <w:rsid w:val="00745A5C"/>
    <w:rsid w:val="0074605F"/>
    <w:rsid w:val="00747E94"/>
    <w:rsid w:val="00754099"/>
    <w:rsid w:val="00754C83"/>
    <w:rsid w:val="0075527F"/>
    <w:rsid w:val="0075613B"/>
    <w:rsid w:val="00756B78"/>
    <w:rsid w:val="00757C55"/>
    <w:rsid w:val="00760AB3"/>
    <w:rsid w:val="00761C12"/>
    <w:rsid w:val="00763410"/>
    <w:rsid w:val="00765DF8"/>
    <w:rsid w:val="00766749"/>
    <w:rsid w:val="00767B49"/>
    <w:rsid w:val="00767C1B"/>
    <w:rsid w:val="007714A9"/>
    <w:rsid w:val="0077228A"/>
    <w:rsid w:val="00772D4D"/>
    <w:rsid w:val="00774F88"/>
    <w:rsid w:val="00774FDB"/>
    <w:rsid w:val="00775A7C"/>
    <w:rsid w:val="00777BA2"/>
    <w:rsid w:val="00781408"/>
    <w:rsid w:val="007849D7"/>
    <w:rsid w:val="00784F7F"/>
    <w:rsid w:val="007878BD"/>
    <w:rsid w:val="0079068B"/>
    <w:rsid w:val="007920C3"/>
    <w:rsid w:val="00795605"/>
    <w:rsid w:val="00795907"/>
    <w:rsid w:val="007959CE"/>
    <w:rsid w:val="00795FAA"/>
    <w:rsid w:val="00796F25"/>
    <w:rsid w:val="007A07C7"/>
    <w:rsid w:val="007A2E98"/>
    <w:rsid w:val="007A3BA3"/>
    <w:rsid w:val="007A446D"/>
    <w:rsid w:val="007A6CC0"/>
    <w:rsid w:val="007A7056"/>
    <w:rsid w:val="007A7FEC"/>
    <w:rsid w:val="007B0F43"/>
    <w:rsid w:val="007B1499"/>
    <w:rsid w:val="007B1BBF"/>
    <w:rsid w:val="007B208F"/>
    <w:rsid w:val="007B2960"/>
    <w:rsid w:val="007B355D"/>
    <w:rsid w:val="007B38C7"/>
    <w:rsid w:val="007B7980"/>
    <w:rsid w:val="007B7A34"/>
    <w:rsid w:val="007C0DEF"/>
    <w:rsid w:val="007C0FA2"/>
    <w:rsid w:val="007C1E41"/>
    <w:rsid w:val="007C5D5A"/>
    <w:rsid w:val="007C607F"/>
    <w:rsid w:val="007C79DD"/>
    <w:rsid w:val="007D043B"/>
    <w:rsid w:val="007D088B"/>
    <w:rsid w:val="007D13DA"/>
    <w:rsid w:val="007D1685"/>
    <w:rsid w:val="007D1A97"/>
    <w:rsid w:val="007D2CD6"/>
    <w:rsid w:val="007D2ECD"/>
    <w:rsid w:val="007D3063"/>
    <w:rsid w:val="007D3CEB"/>
    <w:rsid w:val="007D585A"/>
    <w:rsid w:val="007D6854"/>
    <w:rsid w:val="007D74FA"/>
    <w:rsid w:val="007E4786"/>
    <w:rsid w:val="007E4D81"/>
    <w:rsid w:val="007E4FD2"/>
    <w:rsid w:val="007E671E"/>
    <w:rsid w:val="007E7683"/>
    <w:rsid w:val="007F2547"/>
    <w:rsid w:val="007F49FA"/>
    <w:rsid w:val="007F54C4"/>
    <w:rsid w:val="007F6DE3"/>
    <w:rsid w:val="007F6E9A"/>
    <w:rsid w:val="007F7647"/>
    <w:rsid w:val="00800A34"/>
    <w:rsid w:val="00801CA9"/>
    <w:rsid w:val="00803F6E"/>
    <w:rsid w:val="008044D4"/>
    <w:rsid w:val="00804919"/>
    <w:rsid w:val="00806000"/>
    <w:rsid w:val="008066E7"/>
    <w:rsid w:val="008106BB"/>
    <w:rsid w:val="00810AB4"/>
    <w:rsid w:val="008112CD"/>
    <w:rsid w:val="00817B56"/>
    <w:rsid w:val="00820853"/>
    <w:rsid w:val="008211A0"/>
    <w:rsid w:val="00821A88"/>
    <w:rsid w:val="0082495D"/>
    <w:rsid w:val="00827FA4"/>
    <w:rsid w:val="00831AC3"/>
    <w:rsid w:val="00831AEC"/>
    <w:rsid w:val="00834D2C"/>
    <w:rsid w:val="008408FF"/>
    <w:rsid w:val="008417F1"/>
    <w:rsid w:val="00842CAB"/>
    <w:rsid w:val="008433EB"/>
    <w:rsid w:val="008451DB"/>
    <w:rsid w:val="008459A6"/>
    <w:rsid w:val="00845EB0"/>
    <w:rsid w:val="00851F3F"/>
    <w:rsid w:val="00854876"/>
    <w:rsid w:val="00856EDC"/>
    <w:rsid w:val="00861405"/>
    <w:rsid w:val="008615A0"/>
    <w:rsid w:val="008623B5"/>
    <w:rsid w:val="008649C0"/>
    <w:rsid w:val="00867B78"/>
    <w:rsid w:val="00870ABA"/>
    <w:rsid w:val="008710E1"/>
    <w:rsid w:val="008716E5"/>
    <w:rsid w:val="00872641"/>
    <w:rsid w:val="00874212"/>
    <w:rsid w:val="00880873"/>
    <w:rsid w:val="00881CA9"/>
    <w:rsid w:val="00883628"/>
    <w:rsid w:val="00885544"/>
    <w:rsid w:val="0088634E"/>
    <w:rsid w:val="0089033B"/>
    <w:rsid w:val="008923A5"/>
    <w:rsid w:val="00893AB8"/>
    <w:rsid w:val="00894442"/>
    <w:rsid w:val="008A04C8"/>
    <w:rsid w:val="008A1E81"/>
    <w:rsid w:val="008A395C"/>
    <w:rsid w:val="008A3ADE"/>
    <w:rsid w:val="008A6913"/>
    <w:rsid w:val="008B0B1A"/>
    <w:rsid w:val="008B0CF9"/>
    <w:rsid w:val="008B1395"/>
    <w:rsid w:val="008B29AA"/>
    <w:rsid w:val="008B3CD5"/>
    <w:rsid w:val="008B6E8F"/>
    <w:rsid w:val="008B70F3"/>
    <w:rsid w:val="008B71C4"/>
    <w:rsid w:val="008B76DF"/>
    <w:rsid w:val="008B7CF2"/>
    <w:rsid w:val="008C10F4"/>
    <w:rsid w:val="008C5E34"/>
    <w:rsid w:val="008C65F7"/>
    <w:rsid w:val="008D01BC"/>
    <w:rsid w:val="008E4767"/>
    <w:rsid w:val="008E669D"/>
    <w:rsid w:val="008E7A8C"/>
    <w:rsid w:val="008F1FDF"/>
    <w:rsid w:val="008F2789"/>
    <w:rsid w:val="008F5FF2"/>
    <w:rsid w:val="00901DAC"/>
    <w:rsid w:val="00903285"/>
    <w:rsid w:val="00906F40"/>
    <w:rsid w:val="0090731E"/>
    <w:rsid w:val="00910484"/>
    <w:rsid w:val="00911632"/>
    <w:rsid w:val="00915B1C"/>
    <w:rsid w:val="009174F3"/>
    <w:rsid w:val="0091797D"/>
    <w:rsid w:val="00917BA0"/>
    <w:rsid w:val="00921ECA"/>
    <w:rsid w:val="00923A4B"/>
    <w:rsid w:val="00923CBA"/>
    <w:rsid w:val="00925683"/>
    <w:rsid w:val="00926703"/>
    <w:rsid w:val="00927691"/>
    <w:rsid w:val="00927A5F"/>
    <w:rsid w:val="0093089C"/>
    <w:rsid w:val="00930990"/>
    <w:rsid w:val="00935B63"/>
    <w:rsid w:val="0094078F"/>
    <w:rsid w:val="00940FA3"/>
    <w:rsid w:val="009414C9"/>
    <w:rsid w:val="00941FB0"/>
    <w:rsid w:val="009426D4"/>
    <w:rsid w:val="00947F25"/>
    <w:rsid w:val="00950159"/>
    <w:rsid w:val="0095146D"/>
    <w:rsid w:val="00951CE8"/>
    <w:rsid w:val="00953FE0"/>
    <w:rsid w:val="0095490B"/>
    <w:rsid w:val="00955B54"/>
    <w:rsid w:val="00960A33"/>
    <w:rsid w:val="00965328"/>
    <w:rsid w:val="00965D5A"/>
    <w:rsid w:val="00971914"/>
    <w:rsid w:val="0097272D"/>
    <w:rsid w:val="00973718"/>
    <w:rsid w:val="00974363"/>
    <w:rsid w:val="00980361"/>
    <w:rsid w:val="00981898"/>
    <w:rsid w:val="0099577C"/>
    <w:rsid w:val="00996500"/>
    <w:rsid w:val="009A20E2"/>
    <w:rsid w:val="009A4075"/>
    <w:rsid w:val="009A4D66"/>
    <w:rsid w:val="009A66CD"/>
    <w:rsid w:val="009A6CB1"/>
    <w:rsid w:val="009A79B5"/>
    <w:rsid w:val="009B2274"/>
    <w:rsid w:val="009B2601"/>
    <w:rsid w:val="009B4D27"/>
    <w:rsid w:val="009B4E9E"/>
    <w:rsid w:val="009B724A"/>
    <w:rsid w:val="009C1690"/>
    <w:rsid w:val="009C2FC3"/>
    <w:rsid w:val="009C4E06"/>
    <w:rsid w:val="009C6881"/>
    <w:rsid w:val="009C7759"/>
    <w:rsid w:val="009C7B0F"/>
    <w:rsid w:val="009D043D"/>
    <w:rsid w:val="009D07C8"/>
    <w:rsid w:val="009D26CA"/>
    <w:rsid w:val="009D6C71"/>
    <w:rsid w:val="009E0631"/>
    <w:rsid w:val="009E16D0"/>
    <w:rsid w:val="009E184A"/>
    <w:rsid w:val="009E1A87"/>
    <w:rsid w:val="009E38FD"/>
    <w:rsid w:val="009E39C5"/>
    <w:rsid w:val="009E4BB6"/>
    <w:rsid w:val="009F13D6"/>
    <w:rsid w:val="009F26EA"/>
    <w:rsid w:val="009F38D7"/>
    <w:rsid w:val="009F4C6B"/>
    <w:rsid w:val="009F78A8"/>
    <w:rsid w:val="00A02AD6"/>
    <w:rsid w:val="00A04CE9"/>
    <w:rsid w:val="00A07096"/>
    <w:rsid w:val="00A070F3"/>
    <w:rsid w:val="00A07318"/>
    <w:rsid w:val="00A104D4"/>
    <w:rsid w:val="00A108C5"/>
    <w:rsid w:val="00A11370"/>
    <w:rsid w:val="00A11F0D"/>
    <w:rsid w:val="00A222BE"/>
    <w:rsid w:val="00A224CE"/>
    <w:rsid w:val="00A22522"/>
    <w:rsid w:val="00A22BDB"/>
    <w:rsid w:val="00A24AFD"/>
    <w:rsid w:val="00A24F5C"/>
    <w:rsid w:val="00A32F96"/>
    <w:rsid w:val="00A335E8"/>
    <w:rsid w:val="00A40871"/>
    <w:rsid w:val="00A412AB"/>
    <w:rsid w:val="00A4193E"/>
    <w:rsid w:val="00A42635"/>
    <w:rsid w:val="00A440E0"/>
    <w:rsid w:val="00A442EF"/>
    <w:rsid w:val="00A46CE6"/>
    <w:rsid w:val="00A5011A"/>
    <w:rsid w:val="00A51227"/>
    <w:rsid w:val="00A51D1A"/>
    <w:rsid w:val="00A5418D"/>
    <w:rsid w:val="00A5462C"/>
    <w:rsid w:val="00A5474E"/>
    <w:rsid w:val="00A54D82"/>
    <w:rsid w:val="00A61623"/>
    <w:rsid w:val="00A64234"/>
    <w:rsid w:val="00A709EF"/>
    <w:rsid w:val="00A70ADF"/>
    <w:rsid w:val="00A71466"/>
    <w:rsid w:val="00A719A6"/>
    <w:rsid w:val="00A74B5E"/>
    <w:rsid w:val="00A76CF5"/>
    <w:rsid w:val="00A80F45"/>
    <w:rsid w:val="00A8106E"/>
    <w:rsid w:val="00A81BED"/>
    <w:rsid w:val="00A81EC4"/>
    <w:rsid w:val="00A954D2"/>
    <w:rsid w:val="00A95507"/>
    <w:rsid w:val="00A967FD"/>
    <w:rsid w:val="00AA00EF"/>
    <w:rsid w:val="00AA0C1E"/>
    <w:rsid w:val="00AA0FA4"/>
    <w:rsid w:val="00AA3D0B"/>
    <w:rsid w:val="00AA6723"/>
    <w:rsid w:val="00AA7138"/>
    <w:rsid w:val="00AA7609"/>
    <w:rsid w:val="00AB156C"/>
    <w:rsid w:val="00AB1EA9"/>
    <w:rsid w:val="00AB6814"/>
    <w:rsid w:val="00AC04BA"/>
    <w:rsid w:val="00AC0E39"/>
    <w:rsid w:val="00AC3838"/>
    <w:rsid w:val="00AC3B88"/>
    <w:rsid w:val="00AD3082"/>
    <w:rsid w:val="00AD32B4"/>
    <w:rsid w:val="00AD3B52"/>
    <w:rsid w:val="00AD3D05"/>
    <w:rsid w:val="00AD4AD0"/>
    <w:rsid w:val="00AD5436"/>
    <w:rsid w:val="00AD60CD"/>
    <w:rsid w:val="00AD650A"/>
    <w:rsid w:val="00AD6C8C"/>
    <w:rsid w:val="00AE091D"/>
    <w:rsid w:val="00AE3B60"/>
    <w:rsid w:val="00AE53A1"/>
    <w:rsid w:val="00AE6DFA"/>
    <w:rsid w:val="00AF07C2"/>
    <w:rsid w:val="00AF1407"/>
    <w:rsid w:val="00AF23FF"/>
    <w:rsid w:val="00AF2484"/>
    <w:rsid w:val="00AF2824"/>
    <w:rsid w:val="00AF63E7"/>
    <w:rsid w:val="00AF6E17"/>
    <w:rsid w:val="00B0165D"/>
    <w:rsid w:val="00B01B60"/>
    <w:rsid w:val="00B031F3"/>
    <w:rsid w:val="00B0445F"/>
    <w:rsid w:val="00B052A4"/>
    <w:rsid w:val="00B125DE"/>
    <w:rsid w:val="00B12843"/>
    <w:rsid w:val="00B13FDD"/>
    <w:rsid w:val="00B144DF"/>
    <w:rsid w:val="00B22EB2"/>
    <w:rsid w:val="00B23979"/>
    <w:rsid w:val="00B23C14"/>
    <w:rsid w:val="00B24B82"/>
    <w:rsid w:val="00B262DE"/>
    <w:rsid w:val="00B26532"/>
    <w:rsid w:val="00B27442"/>
    <w:rsid w:val="00B30EB6"/>
    <w:rsid w:val="00B31167"/>
    <w:rsid w:val="00B323D5"/>
    <w:rsid w:val="00B329D8"/>
    <w:rsid w:val="00B32BB9"/>
    <w:rsid w:val="00B33AE1"/>
    <w:rsid w:val="00B37C38"/>
    <w:rsid w:val="00B4288C"/>
    <w:rsid w:val="00B43262"/>
    <w:rsid w:val="00B44100"/>
    <w:rsid w:val="00B4428E"/>
    <w:rsid w:val="00B448D3"/>
    <w:rsid w:val="00B44EBB"/>
    <w:rsid w:val="00B451A9"/>
    <w:rsid w:val="00B46CBA"/>
    <w:rsid w:val="00B46F94"/>
    <w:rsid w:val="00B51080"/>
    <w:rsid w:val="00B6003C"/>
    <w:rsid w:val="00B60EB8"/>
    <w:rsid w:val="00B61F03"/>
    <w:rsid w:val="00B626E4"/>
    <w:rsid w:val="00B62E6B"/>
    <w:rsid w:val="00B72024"/>
    <w:rsid w:val="00B72F4A"/>
    <w:rsid w:val="00B779D2"/>
    <w:rsid w:val="00B829C1"/>
    <w:rsid w:val="00B83C27"/>
    <w:rsid w:val="00B84BC3"/>
    <w:rsid w:val="00B84BDD"/>
    <w:rsid w:val="00B85E0E"/>
    <w:rsid w:val="00B863FC"/>
    <w:rsid w:val="00B9186B"/>
    <w:rsid w:val="00B92812"/>
    <w:rsid w:val="00B9335C"/>
    <w:rsid w:val="00BA275D"/>
    <w:rsid w:val="00BA38A7"/>
    <w:rsid w:val="00BA3BE2"/>
    <w:rsid w:val="00BB10A9"/>
    <w:rsid w:val="00BB36A4"/>
    <w:rsid w:val="00BB45A1"/>
    <w:rsid w:val="00BB63B5"/>
    <w:rsid w:val="00BB7686"/>
    <w:rsid w:val="00BC088E"/>
    <w:rsid w:val="00BC23F9"/>
    <w:rsid w:val="00BC3421"/>
    <w:rsid w:val="00BC54D8"/>
    <w:rsid w:val="00BC6158"/>
    <w:rsid w:val="00BC68D8"/>
    <w:rsid w:val="00BC732C"/>
    <w:rsid w:val="00BC77AA"/>
    <w:rsid w:val="00BD621B"/>
    <w:rsid w:val="00BD7650"/>
    <w:rsid w:val="00BE2580"/>
    <w:rsid w:val="00BE266D"/>
    <w:rsid w:val="00BE3938"/>
    <w:rsid w:val="00BE4C11"/>
    <w:rsid w:val="00BE4EC0"/>
    <w:rsid w:val="00BE71C0"/>
    <w:rsid w:val="00BE7293"/>
    <w:rsid w:val="00BF0949"/>
    <w:rsid w:val="00BF2891"/>
    <w:rsid w:val="00BF610C"/>
    <w:rsid w:val="00BF751B"/>
    <w:rsid w:val="00C0060B"/>
    <w:rsid w:val="00C00685"/>
    <w:rsid w:val="00C0277D"/>
    <w:rsid w:val="00C02DBA"/>
    <w:rsid w:val="00C04684"/>
    <w:rsid w:val="00C053A1"/>
    <w:rsid w:val="00C05FAD"/>
    <w:rsid w:val="00C15456"/>
    <w:rsid w:val="00C15D93"/>
    <w:rsid w:val="00C16198"/>
    <w:rsid w:val="00C16E8D"/>
    <w:rsid w:val="00C2083D"/>
    <w:rsid w:val="00C220D0"/>
    <w:rsid w:val="00C23647"/>
    <w:rsid w:val="00C24411"/>
    <w:rsid w:val="00C24A53"/>
    <w:rsid w:val="00C31E12"/>
    <w:rsid w:val="00C34A05"/>
    <w:rsid w:val="00C35D42"/>
    <w:rsid w:val="00C361FA"/>
    <w:rsid w:val="00C4032F"/>
    <w:rsid w:val="00C41245"/>
    <w:rsid w:val="00C4327D"/>
    <w:rsid w:val="00C44047"/>
    <w:rsid w:val="00C45155"/>
    <w:rsid w:val="00C462D2"/>
    <w:rsid w:val="00C5181F"/>
    <w:rsid w:val="00C5498F"/>
    <w:rsid w:val="00C55235"/>
    <w:rsid w:val="00C56BBB"/>
    <w:rsid w:val="00C625D5"/>
    <w:rsid w:val="00C64A45"/>
    <w:rsid w:val="00C64CD0"/>
    <w:rsid w:val="00C64E58"/>
    <w:rsid w:val="00C6541D"/>
    <w:rsid w:val="00C6684F"/>
    <w:rsid w:val="00C67135"/>
    <w:rsid w:val="00C67ED8"/>
    <w:rsid w:val="00C70E70"/>
    <w:rsid w:val="00C73F1F"/>
    <w:rsid w:val="00C75461"/>
    <w:rsid w:val="00C75905"/>
    <w:rsid w:val="00C75F8D"/>
    <w:rsid w:val="00C77380"/>
    <w:rsid w:val="00C823CF"/>
    <w:rsid w:val="00C86F94"/>
    <w:rsid w:val="00C9420A"/>
    <w:rsid w:val="00C97736"/>
    <w:rsid w:val="00CA114A"/>
    <w:rsid w:val="00CA345A"/>
    <w:rsid w:val="00CA3FF9"/>
    <w:rsid w:val="00CA5CD2"/>
    <w:rsid w:val="00CA78E5"/>
    <w:rsid w:val="00CB1E82"/>
    <w:rsid w:val="00CB4723"/>
    <w:rsid w:val="00CB4BA8"/>
    <w:rsid w:val="00CB4C84"/>
    <w:rsid w:val="00CB52D7"/>
    <w:rsid w:val="00CC0E9C"/>
    <w:rsid w:val="00CC33E1"/>
    <w:rsid w:val="00CC52E4"/>
    <w:rsid w:val="00CC6732"/>
    <w:rsid w:val="00CC7336"/>
    <w:rsid w:val="00CD2ABB"/>
    <w:rsid w:val="00CD2DE7"/>
    <w:rsid w:val="00CD345D"/>
    <w:rsid w:val="00CD5781"/>
    <w:rsid w:val="00CE0E35"/>
    <w:rsid w:val="00CE23DE"/>
    <w:rsid w:val="00CE25F0"/>
    <w:rsid w:val="00CE328B"/>
    <w:rsid w:val="00CE3C96"/>
    <w:rsid w:val="00CE51A8"/>
    <w:rsid w:val="00CF154B"/>
    <w:rsid w:val="00CF23C3"/>
    <w:rsid w:val="00CF369B"/>
    <w:rsid w:val="00CF43AB"/>
    <w:rsid w:val="00CF630C"/>
    <w:rsid w:val="00D00297"/>
    <w:rsid w:val="00D00848"/>
    <w:rsid w:val="00D00A23"/>
    <w:rsid w:val="00D00E28"/>
    <w:rsid w:val="00D0269E"/>
    <w:rsid w:val="00D03D76"/>
    <w:rsid w:val="00D05C14"/>
    <w:rsid w:val="00D05D6C"/>
    <w:rsid w:val="00D07D9E"/>
    <w:rsid w:val="00D12C6A"/>
    <w:rsid w:val="00D15810"/>
    <w:rsid w:val="00D16D4E"/>
    <w:rsid w:val="00D16FE3"/>
    <w:rsid w:val="00D218AF"/>
    <w:rsid w:val="00D24E24"/>
    <w:rsid w:val="00D2517E"/>
    <w:rsid w:val="00D269E5"/>
    <w:rsid w:val="00D27F41"/>
    <w:rsid w:val="00D30646"/>
    <w:rsid w:val="00D319E4"/>
    <w:rsid w:val="00D32B79"/>
    <w:rsid w:val="00D35D0D"/>
    <w:rsid w:val="00D36441"/>
    <w:rsid w:val="00D402F9"/>
    <w:rsid w:val="00D4064E"/>
    <w:rsid w:val="00D408AA"/>
    <w:rsid w:val="00D40B3F"/>
    <w:rsid w:val="00D4332A"/>
    <w:rsid w:val="00D44E9B"/>
    <w:rsid w:val="00D47AEB"/>
    <w:rsid w:val="00D47CF1"/>
    <w:rsid w:val="00D47EF0"/>
    <w:rsid w:val="00D50DB9"/>
    <w:rsid w:val="00D51302"/>
    <w:rsid w:val="00D52C43"/>
    <w:rsid w:val="00D53F58"/>
    <w:rsid w:val="00D559DC"/>
    <w:rsid w:val="00D64920"/>
    <w:rsid w:val="00D6507F"/>
    <w:rsid w:val="00D661BB"/>
    <w:rsid w:val="00D702EA"/>
    <w:rsid w:val="00D70F0E"/>
    <w:rsid w:val="00D730BC"/>
    <w:rsid w:val="00D73912"/>
    <w:rsid w:val="00D80EB4"/>
    <w:rsid w:val="00D85226"/>
    <w:rsid w:val="00D86177"/>
    <w:rsid w:val="00D86213"/>
    <w:rsid w:val="00D86BD2"/>
    <w:rsid w:val="00D875BD"/>
    <w:rsid w:val="00D87B94"/>
    <w:rsid w:val="00D909F8"/>
    <w:rsid w:val="00D92D49"/>
    <w:rsid w:val="00D92EA8"/>
    <w:rsid w:val="00D92EC1"/>
    <w:rsid w:val="00D96DEA"/>
    <w:rsid w:val="00DA1858"/>
    <w:rsid w:val="00DA4E41"/>
    <w:rsid w:val="00DB05D3"/>
    <w:rsid w:val="00DB117A"/>
    <w:rsid w:val="00DB3287"/>
    <w:rsid w:val="00DB5173"/>
    <w:rsid w:val="00DB6B36"/>
    <w:rsid w:val="00DB7873"/>
    <w:rsid w:val="00DC150D"/>
    <w:rsid w:val="00DC1817"/>
    <w:rsid w:val="00DC187B"/>
    <w:rsid w:val="00DD02B0"/>
    <w:rsid w:val="00DD3CA5"/>
    <w:rsid w:val="00DD5418"/>
    <w:rsid w:val="00DD61B4"/>
    <w:rsid w:val="00DD73C2"/>
    <w:rsid w:val="00DE240E"/>
    <w:rsid w:val="00DE319B"/>
    <w:rsid w:val="00DE6CF5"/>
    <w:rsid w:val="00DE756E"/>
    <w:rsid w:val="00DF34FE"/>
    <w:rsid w:val="00DF3738"/>
    <w:rsid w:val="00DF56AA"/>
    <w:rsid w:val="00DF56AF"/>
    <w:rsid w:val="00DF72FD"/>
    <w:rsid w:val="00DF78E7"/>
    <w:rsid w:val="00DF7A85"/>
    <w:rsid w:val="00E00266"/>
    <w:rsid w:val="00E05A19"/>
    <w:rsid w:val="00E0600F"/>
    <w:rsid w:val="00E10D2A"/>
    <w:rsid w:val="00E110E0"/>
    <w:rsid w:val="00E15371"/>
    <w:rsid w:val="00E21598"/>
    <w:rsid w:val="00E21655"/>
    <w:rsid w:val="00E21CC3"/>
    <w:rsid w:val="00E23B4D"/>
    <w:rsid w:val="00E24104"/>
    <w:rsid w:val="00E26A3F"/>
    <w:rsid w:val="00E302D0"/>
    <w:rsid w:val="00E32102"/>
    <w:rsid w:val="00E326DF"/>
    <w:rsid w:val="00E32AA9"/>
    <w:rsid w:val="00E35707"/>
    <w:rsid w:val="00E35C7E"/>
    <w:rsid w:val="00E35C95"/>
    <w:rsid w:val="00E36AA1"/>
    <w:rsid w:val="00E40968"/>
    <w:rsid w:val="00E41ECB"/>
    <w:rsid w:val="00E449DA"/>
    <w:rsid w:val="00E45896"/>
    <w:rsid w:val="00E47512"/>
    <w:rsid w:val="00E50CC7"/>
    <w:rsid w:val="00E514DF"/>
    <w:rsid w:val="00E53311"/>
    <w:rsid w:val="00E53E6E"/>
    <w:rsid w:val="00E54FDB"/>
    <w:rsid w:val="00E5527E"/>
    <w:rsid w:val="00E5617D"/>
    <w:rsid w:val="00E563D7"/>
    <w:rsid w:val="00E63FC8"/>
    <w:rsid w:val="00E64A02"/>
    <w:rsid w:val="00E663F4"/>
    <w:rsid w:val="00E666F2"/>
    <w:rsid w:val="00E66DD4"/>
    <w:rsid w:val="00E7093C"/>
    <w:rsid w:val="00E748CC"/>
    <w:rsid w:val="00E749B0"/>
    <w:rsid w:val="00E75415"/>
    <w:rsid w:val="00E775B1"/>
    <w:rsid w:val="00E80066"/>
    <w:rsid w:val="00E8152A"/>
    <w:rsid w:val="00E815DE"/>
    <w:rsid w:val="00E908D8"/>
    <w:rsid w:val="00E93629"/>
    <w:rsid w:val="00E937F1"/>
    <w:rsid w:val="00E93B5C"/>
    <w:rsid w:val="00E93FFC"/>
    <w:rsid w:val="00E94487"/>
    <w:rsid w:val="00E94CEC"/>
    <w:rsid w:val="00E95DE8"/>
    <w:rsid w:val="00E96C15"/>
    <w:rsid w:val="00EA04EF"/>
    <w:rsid w:val="00EA2FD1"/>
    <w:rsid w:val="00EA600C"/>
    <w:rsid w:val="00EA6837"/>
    <w:rsid w:val="00EA6F19"/>
    <w:rsid w:val="00EA73F0"/>
    <w:rsid w:val="00EB30F7"/>
    <w:rsid w:val="00EB5411"/>
    <w:rsid w:val="00EB708B"/>
    <w:rsid w:val="00EB7090"/>
    <w:rsid w:val="00EC1BBE"/>
    <w:rsid w:val="00EC5CD7"/>
    <w:rsid w:val="00ED2314"/>
    <w:rsid w:val="00ED4240"/>
    <w:rsid w:val="00ED68FF"/>
    <w:rsid w:val="00ED7C2A"/>
    <w:rsid w:val="00EE0C54"/>
    <w:rsid w:val="00EE10C1"/>
    <w:rsid w:val="00EE21C8"/>
    <w:rsid w:val="00EE3190"/>
    <w:rsid w:val="00EE48CA"/>
    <w:rsid w:val="00EE5FB3"/>
    <w:rsid w:val="00EE704B"/>
    <w:rsid w:val="00EE7F79"/>
    <w:rsid w:val="00EF0C4F"/>
    <w:rsid w:val="00EF715A"/>
    <w:rsid w:val="00F01660"/>
    <w:rsid w:val="00F02EA6"/>
    <w:rsid w:val="00F041B5"/>
    <w:rsid w:val="00F04672"/>
    <w:rsid w:val="00F06E14"/>
    <w:rsid w:val="00F10B22"/>
    <w:rsid w:val="00F179D4"/>
    <w:rsid w:val="00F224D5"/>
    <w:rsid w:val="00F27D6E"/>
    <w:rsid w:val="00F3258C"/>
    <w:rsid w:val="00F33C56"/>
    <w:rsid w:val="00F347C7"/>
    <w:rsid w:val="00F34848"/>
    <w:rsid w:val="00F40838"/>
    <w:rsid w:val="00F41775"/>
    <w:rsid w:val="00F42D46"/>
    <w:rsid w:val="00F4322C"/>
    <w:rsid w:val="00F4496C"/>
    <w:rsid w:val="00F44F3A"/>
    <w:rsid w:val="00F45620"/>
    <w:rsid w:val="00F465A6"/>
    <w:rsid w:val="00F51F10"/>
    <w:rsid w:val="00F529A5"/>
    <w:rsid w:val="00F55B20"/>
    <w:rsid w:val="00F60F00"/>
    <w:rsid w:val="00F614C0"/>
    <w:rsid w:val="00F65DE8"/>
    <w:rsid w:val="00F70492"/>
    <w:rsid w:val="00F724BF"/>
    <w:rsid w:val="00F77386"/>
    <w:rsid w:val="00F8065C"/>
    <w:rsid w:val="00F83848"/>
    <w:rsid w:val="00F843EF"/>
    <w:rsid w:val="00F86484"/>
    <w:rsid w:val="00F9079C"/>
    <w:rsid w:val="00F908D6"/>
    <w:rsid w:val="00F975E9"/>
    <w:rsid w:val="00FA0609"/>
    <w:rsid w:val="00FA1B7D"/>
    <w:rsid w:val="00FA1EE1"/>
    <w:rsid w:val="00FA445B"/>
    <w:rsid w:val="00FA609D"/>
    <w:rsid w:val="00FA7E99"/>
    <w:rsid w:val="00FC07B9"/>
    <w:rsid w:val="00FC165C"/>
    <w:rsid w:val="00FC4E21"/>
    <w:rsid w:val="00FC5F6D"/>
    <w:rsid w:val="00FD0107"/>
    <w:rsid w:val="00FD2C2F"/>
    <w:rsid w:val="00FD3B31"/>
    <w:rsid w:val="00FD67DF"/>
    <w:rsid w:val="00FE1823"/>
    <w:rsid w:val="00FE42EF"/>
    <w:rsid w:val="00FE487A"/>
    <w:rsid w:val="00FE588B"/>
    <w:rsid w:val="00FE59D0"/>
    <w:rsid w:val="00FE5F42"/>
    <w:rsid w:val="00FF00DE"/>
    <w:rsid w:val="00FF0569"/>
    <w:rsid w:val="00FF206E"/>
    <w:rsid w:val="00FF3C69"/>
    <w:rsid w:val="00FF456B"/>
    <w:rsid w:val="00FF5A77"/>
    <w:rsid w:val="00FF64B0"/>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red,#4d4d4f"/>
    </o:shapedefaults>
    <o:shapelayout v:ext="edit">
      <o:idmap v:ext="edit" data="1"/>
    </o:shapelayout>
  </w:shapeDefaults>
  <w:decimalSymbol w:val="."/>
  <w:listSeparator w:val=","/>
  <w14:docId w14:val="3CDE740D"/>
  <w15:docId w15:val="{92DB7B7A-414B-4A88-8C2E-DA9D59DD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uiPriority w:val="9"/>
    <w:qFormat/>
    <w:rsid w:val="00AD5436"/>
    <w:pPr>
      <w:numPr>
        <w:ilvl w:val="4"/>
        <w:numId w:val="5"/>
      </w:numPr>
      <w:spacing w:before="240" w:after="60"/>
      <w:outlineLvl w:val="4"/>
    </w:pPr>
    <w:rPr>
      <w:b/>
      <w:bCs/>
      <w:i/>
      <w:iCs/>
      <w:sz w:val="26"/>
      <w:szCs w:val="26"/>
    </w:rPr>
  </w:style>
  <w:style w:type="paragraph" w:styleId="Heading6">
    <w:name w:val="heading 6"/>
    <w:basedOn w:val="Normal"/>
    <w:next w:val="Normal"/>
    <w:uiPriority w:val="9"/>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uiPriority w:val="9"/>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uiPriority w:val="9"/>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27"/>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ACMA Footnote Text,ABA Footnote Text"/>
    <w:basedOn w:val="Normal"/>
    <w:link w:val="FootnoteTextChar"/>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121E0B"/>
    <w:pPr>
      <w:spacing w:after="120"/>
    </w:pPr>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paragraph" w:customStyle="1" w:styleId="ReportTitle">
    <w:name w:val="Report Title"/>
    <w:basedOn w:val="Normal"/>
    <w:rsid w:val="00510E9F"/>
    <w:pPr>
      <w:spacing w:after="0" w:line="560" w:lineRule="exact"/>
    </w:pPr>
    <w:rPr>
      <w:b/>
      <w:color w:val="4D4D4F"/>
      <w:spacing w:val="-28"/>
      <w:sz w:val="53"/>
    </w:rPr>
  </w:style>
  <w:style w:type="paragraph" w:customStyle="1" w:styleId="ReportSubtitle">
    <w:name w:val="Report Sub title"/>
    <w:basedOn w:val="Normal"/>
    <w:rsid w:val="00510E9F"/>
    <w:pPr>
      <w:spacing w:after="0" w:line="560" w:lineRule="exact"/>
    </w:pPr>
    <w:rPr>
      <w:color w:val="808285"/>
      <w:spacing w:val="-28"/>
      <w:sz w:val="53"/>
    </w:rPr>
  </w:style>
  <w:style w:type="paragraph" w:customStyle="1" w:styleId="ReportDate">
    <w:name w:val="Report Date"/>
    <w:basedOn w:val="ReportSubtitle"/>
    <w:rsid w:val="00510E9F"/>
    <w:pPr>
      <w:spacing w:line="240" w:lineRule="auto"/>
    </w:pPr>
    <w:rPr>
      <w:caps/>
      <w:spacing w:val="-10"/>
      <w:sz w:val="20"/>
    </w:rPr>
  </w:style>
  <w:style w:type="paragraph" w:customStyle="1" w:styleId="Bodysubheader0">
    <w:name w:val="Body sub header"/>
    <w:basedOn w:val="Normal"/>
    <w:next w:val="Normal"/>
    <w:rsid w:val="00510E9F"/>
    <w:pPr>
      <w:spacing w:after="0"/>
    </w:pPr>
    <w:rPr>
      <w:b/>
      <w:i/>
    </w:rPr>
  </w:style>
  <w:style w:type="paragraph" w:customStyle="1" w:styleId="ExecSummaryHeading">
    <w:name w:val="Exec Summary Heading"/>
    <w:basedOn w:val="Normal"/>
    <w:rsid w:val="00510E9F"/>
    <w:pPr>
      <w:spacing w:after="1440" w:line="550" w:lineRule="exact"/>
    </w:pPr>
    <w:rPr>
      <w:b/>
      <w:color w:val="4D4D4F"/>
      <w:spacing w:val="-18"/>
      <w:sz w:val="53"/>
    </w:rPr>
  </w:style>
  <w:style w:type="character" w:customStyle="1" w:styleId="FootnoteTextChar">
    <w:name w:val="Footnote Text Char"/>
    <w:aliases w:val="ACMA Footnote Text Char,ABA Footnote Text Char"/>
    <w:basedOn w:val="DefaultParagraphFont"/>
    <w:link w:val="FootnoteText"/>
    <w:rsid w:val="00510E9F"/>
    <w:rPr>
      <w:rFonts w:ascii="Arial" w:hAnsi="Arial"/>
      <w:sz w:val="16"/>
      <w:szCs w:val="16"/>
    </w:rPr>
  </w:style>
  <w:style w:type="paragraph" w:styleId="TOC9">
    <w:name w:val="toc 9"/>
    <w:aliases w:val="TOC ExecSumm"/>
    <w:basedOn w:val="Normal"/>
    <w:next w:val="Normal"/>
    <w:rsid w:val="00510E9F"/>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510E9F"/>
    <w:pPr>
      <w:spacing w:after="0" w:line="560" w:lineRule="exact"/>
    </w:pPr>
    <w:rPr>
      <w:color w:val="808285"/>
      <w:spacing w:val="-28"/>
      <w:sz w:val="53"/>
    </w:rPr>
  </w:style>
  <w:style w:type="character" w:customStyle="1" w:styleId="apple-style-span">
    <w:name w:val="apple-style-span"/>
    <w:basedOn w:val="DefaultParagraphFont"/>
    <w:rsid w:val="00510E9F"/>
  </w:style>
  <w:style w:type="paragraph" w:customStyle="1" w:styleId="ACMABodyText">
    <w:name w:val="ACMA Body Text"/>
    <w:link w:val="ACMABodyTextChar"/>
    <w:rsid w:val="00510E9F"/>
    <w:pPr>
      <w:suppressAutoHyphens/>
      <w:spacing w:before="80" w:after="120" w:line="280" w:lineRule="atLeast"/>
    </w:pPr>
    <w:rPr>
      <w:rFonts w:ascii="Arial" w:hAnsi="Arial"/>
      <w:lang w:eastAsia="en-US"/>
    </w:rPr>
  </w:style>
  <w:style w:type="character" w:customStyle="1" w:styleId="ACMABodyTextChar">
    <w:name w:val="ACMA Body Text Char"/>
    <w:basedOn w:val="DefaultParagraphFont"/>
    <w:link w:val="ACMABodyText"/>
    <w:locked/>
    <w:rsid w:val="00510E9F"/>
    <w:rPr>
      <w:rFonts w:ascii="Arial" w:hAnsi="Arial"/>
      <w:lang w:eastAsia="en-US"/>
    </w:rPr>
  </w:style>
  <w:style w:type="paragraph" w:customStyle="1" w:styleId="ACMABulletLevel1">
    <w:name w:val="ACMA Bullet Level 1"/>
    <w:uiPriority w:val="99"/>
    <w:rsid w:val="00510E9F"/>
    <w:pPr>
      <w:numPr>
        <w:numId w:val="10"/>
      </w:numPr>
      <w:spacing w:after="120"/>
    </w:pPr>
    <w:rPr>
      <w:rFonts w:ascii="Arial" w:hAnsi="Arial"/>
      <w:lang w:eastAsia="en-US"/>
    </w:rPr>
  </w:style>
  <w:style w:type="paragraph" w:customStyle="1" w:styleId="ACMAHeading2">
    <w:name w:val="ACMA Heading 2"/>
    <w:next w:val="ACMABodyText"/>
    <w:uiPriority w:val="99"/>
    <w:rsid w:val="00510E9F"/>
    <w:pPr>
      <w:keepNext/>
      <w:suppressAutoHyphens/>
      <w:spacing w:before="240"/>
      <w:outlineLvl w:val="2"/>
    </w:pPr>
    <w:rPr>
      <w:rFonts w:ascii="Arial" w:hAnsi="Arial" w:cs="Arial"/>
      <w:b/>
      <w:bCs/>
      <w:caps/>
      <w:sz w:val="26"/>
      <w:szCs w:val="26"/>
      <w:lang w:val="en-US" w:eastAsia="en-US"/>
    </w:rPr>
  </w:style>
  <w:style w:type="paragraph" w:customStyle="1" w:styleId="Pa11">
    <w:name w:val="Pa11"/>
    <w:basedOn w:val="Normal"/>
    <w:next w:val="Normal"/>
    <w:uiPriority w:val="99"/>
    <w:rsid w:val="00510E9F"/>
    <w:pPr>
      <w:widowControl w:val="0"/>
      <w:autoSpaceDE w:val="0"/>
      <w:autoSpaceDN w:val="0"/>
      <w:adjustRightInd w:val="0"/>
      <w:spacing w:after="160" w:line="201" w:lineRule="atLeast"/>
    </w:pPr>
    <w:rPr>
      <w:rFonts w:ascii="Univers" w:eastAsia="SimSun" w:hAnsi="Univers" w:cs="Univers"/>
      <w:sz w:val="24"/>
      <w:lang w:val="en-US" w:eastAsia="en-US"/>
    </w:rPr>
  </w:style>
  <w:style w:type="paragraph" w:customStyle="1" w:styleId="Pa12">
    <w:name w:val="Pa12"/>
    <w:basedOn w:val="Normal"/>
    <w:next w:val="Normal"/>
    <w:uiPriority w:val="99"/>
    <w:rsid w:val="00510E9F"/>
    <w:pPr>
      <w:widowControl w:val="0"/>
      <w:autoSpaceDE w:val="0"/>
      <w:autoSpaceDN w:val="0"/>
      <w:adjustRightInd w:val="0"/>
      <w:spacing w:after="160" w:line="241" w:lineRule="atLeast"/>
    </w:pPr>
    <w:rPr>
      <w:rFonts w:ascii="Univers" w:eastAsia="SimSun" w:hAnsi="Univers" w:cs="Univers"/>
      <w:sz w:val="24"/>
      <w:lang w:val="en-US" w:eastAsia="en-US"/>
    </w:rPr>
  </w:style>
  <w:style w:type="paragraph" w:styleId="BodyText">
    <w:name w:val="Body Text"/>
    <w:basedOn w:val="Normal"/>
    <w:link w:val="BodyTextChar"/>
    <w:uiPriority w:val="99"/>
    <w:rsid w:val="00510E9F"/>
    <w:pPr>
      <w:spacing w:after="0" w:line="240" w:lineRule="auto"/>
    </w:pPr>
    <w:rPr>
      <w:i/>
      <w:iCs/>
      <w:color w:val="999999"/>
      <w:lang w:eastAsia="en-US"/>
    </w:rPr>
  </w:style>
  <w:style w:type="character" w:customStyle="1" w:styleId="BodyTextChar">
    <w:name w:val="Body Text Char"/>
    <w:basedOn w:val="DefaultParagraphFont"/>
    <w:link w:val="BodyText"/>
    <w:uiPriority w:val="99"/>
    <w:rsid w:val="00510E9F"/>
    <w:rPr>
      <w:rFonts w:ascii="Arial" w:hAnsi="Arial"/>
      <w:i/>
      <w:iCs/>
      <w:color w:val="999999"/>
      <w:sz w:val="20"/>
      <w:lang w:eastAsia="en-US"/>
    </w:rPr>
  </w:style>
  <w:style w:type="paragraph" w:customStyle="1" w:styleId="LegislationLvl1">
    <w:name w:val="Legislation Lvl 1"/>
    <w:uiPriority w:val="99"/>
    <w:rsid w:val="00510E9F"/>
    <w:pPr>
      <w:numPr>
        <w:ilvl w:val="2"/>
        <w:numId w:val="11"/>
      </w:numPr>
      <w:tabs>
        <w:tab w:val="clear" w:pos="2436"/>
        <w:tab w:val="num" w:pos="851"/>
        <w:tab w:val="num" w:pos="1176"/>
      </w:tabs>
      <w:ind w:left="850" w:hanging="493"/>
    </w:pPr>
    <w:rPr>
      <w:rFonts w:ascii="Arial" w:hAnsi="Arial"/>
      <w:sz w:val="22"/>
      <w:szCs w:val="22"/>
      <w:lang w:eastAsia="en-US"/>
    </w:rPr>
  </w:style>
  <w:style w:type="paragraph" w:customStyle="1" w:styleId="LegislationLvl2">
    <w:name w:val="Legislation Lvl 2"/>
    <w:uiPriority w:val="99"/>
    <w:rsid w:val="00510E9F"/>
    <w:pPr>
      <w:numPr>
        <w:ilvl w:val="3"/>
        <w:numId w:val="11"/>
      </w:numPr>
      <w:tabs>
        <w:tab w:val="clear" w:pos="2796"/>
        <w:tab w:val="num" w:pos="1418"/>
        <w:tab w:val="num" w:pos="1536"/>
      </w:tabs>
      <w:ind w:left="1418" w:hanging="567"/>
    </w:pPr>
    <w:rPr>
      <w:rFonts w:ascii="Arial" w:hAnsi="Arial"/>
      <w:sz w:val="22"/>
      <w:szCs w:val="22"/>
      <w:lang w:eastAsia="en-US"/>
    </w:rPr>
  </w:style>
  <w:style w:type="paragraph" w:customStyle="1" w:styleId="LegislationLvl3">
    <w:name w:val="Legislation Lvl 3"/>
    <w:uiPriority w:val="99"/>
    <w:rsid w:val="00510E9F"/>
    <w:pPr>
      <w:tabs>
        <w:tab w:val="num" w:pos="1985"/>
        <w:tab w:val="num" w:pos="2436"/>
      </w:tabs>
      <w:ind w:left="1985" w:hanging="567"/>
    </w:pPr>
    <w:rPr>
      <w:rFonts w:ascii="Arial" w:hAnsi="Arial"/>
      <w:sz w:val="22"/>
      <w:szCs w:val="22"/>
      <w:lang w:eastAsia="en-US"/>
    </w:rPr>
  </w:style>
  <w:style w:type="paragraph" w:customStyle="1" w:styleId="LegislationLvl4">
    <w:name w:val="Legislation Lvl 4"/>
    <w:uiPriority w:val="99"/>
    <w:rsid w:val="00510E9F"/>
    <w:pPr>
      <w:tabs>
        <w:tab w:val="num" w:pos="2694"/>
        <w:tab w:val="num" w:pos="2796"/>
      </w:tabs>
      <w:ind w:left="2694" w:hanging="426"/>
    </w:pPr>
    <w:rPr>
      <w:rFonts w:ascii="Arial" w:hAnsi="Arial"/>
      <w:sz w:val="22"/>
      <w:szCs w:val="22"/>
      <w:lang w:eastAsia="en-US"/>
    </w:rPr>
  </w:style>
  <w:style w:type="paragraph" w:styleId="ListParagraph">
    <w:name w:val="List Paragraph"/>
    <w:basedOn w:val="Normal"/>
    <w:uiPriority w:val="34"/>
    <w:qFormat/>
    <w:rsid w:val="00510E9F"/>
    <w:pPr>
      <w:spacing w:after="0"/>
      <w:ind w:left="720"/>
      <w:contextualSpacing/>
    </w:pPr>
    <w:rPr>
      <w:rFonts w:ascii="HelveticaNeueLT Std Lt" w:hAnsi="HelveticaNeueLT Std Lt"/>
    </w:rPr>
  </w:style>
  <w:style w:type="paragraph" w:customStyle="1" w:styleId="ExampleText">
    <w:name w:val="Example Text"/>
    <w:basedOn w:val="Normal"/>
    <w:rsid w:val="00510E9F"/>
    <w:pPr>
      <w:spacing w:line="260" w:lineRule="exact"/>
    </w:pPr>
    <w:rPr>
      <w:rFonts w:ascii="Book Antiqua" w:hAnsi="Book Antiqua"/>
      <w:i/>
      <w:color w:val="FF0000"/>
      <w:lang w:eastAsia="en-US"/>
    </w:rPr>
  </w:style>
  <w:style w:type="paragraph" w:customStyle="1" w:styleId="Default">
    <w:name w:val="Default"/>
    <w:rsid w:val="00510E9F"/>
    <w:pPr>
      <w:autoSpaceDE w:val="0"/>
      <w:autoSpaceDN w:val="0"/>
      <w:adjustRightInd w:val="0"/>
    </w:pPr>
    <w:rPr>
      <w:rFonts w:ascii="Symbol" w:hAnsi="Symbol" w:cs="Symbol"/>
      <w:color w:val="000000"/>
    </w:rPr>
  </w:style>
  <w:style w:type="character" w:customStyle="1" w:styleId="EndnoteTextChar">
    <w:name w:val="Endnote Text Char"/>
    <w:basedOn w:val="DefaultParagraphFont"/>
    <w:link w:val="EndnoteText"/>
    <w:semiHidden/>
    <w:rsid w:val="00510E9F"/>
    <w:rPr>
      <w:rFonts w:ascii="HelveticaNeueLT Std Lt" w:hAnsi="HelveticaNeueLT Std Lt"/>
    </w:rPr>
  </w:style>
  <w:style w:type="paragraph" w:styleId="EndnoteText">
    <w:name w:val="endnote text"/>
    <w:basedOn w:val="Normal"/>
    <w:link w:val="EndnoteTextChar"/>
    <w:semiHidden/>
    <w:rsid w:val="00510E9F"/>
    <w:pPr>
      <w:spacing w:after="0" w:line="240" w:lineRule="auto"/>
    </w:pPr>
    <w:rPr>
      <w:rFonts w:ascii="HelveticaNeueLT Std Lt" w:hAnsi="HelveticaNeueLT Std Lt"/>
      <w:sz w:val="24"/>
    </w:rPr>
  </w:style>
  <w:style w:type="character" w:customStyle="1" w:styleId="EndnoteTextChar1">
    <w:name w:val="Endnote Text Char1"/>
    <w:basedOn w:val="DefaultParagraphFont"/>
    <w:semiHidden/>
    <w:rsid w:val="00510E9F"/>
    <w:rPr>
      <w:rFonts w:ascii="Arial" w:hAnsi="Arial"/>
      <w:sz w:val="20"/>
      <w:szCs w:val="20"/>
    </w:rPr>
  </w:style>
  <w:style w:type="paragraph" w:customStyle="1" w:styleId="R1">
    <w:name w:val="R1"/>
    <w:aliases w:val="1. or 1.(1)"/>
    <w:basedOn w:val="Normal"/>
    <w:next w:val="P1"/>
    <w:rsid w:val="00510E9F"/>
    <w:pPr>
      <w:tabs>
        <w:tab w:val="right" w:pos="1080"/>
        <w:tab w:val="left" w:pos="1260"/>
        <w:tab w:val="left" w:pos="1800"/>
      </w:tabs>
      <w:autoSpaceDE w:val="0"/>
      <w:autoSpaceDN w:val="0"/>
      <w:spacing w:before="120" w:after="0" w:line="240" w:lineRule="auto"/>
      <w:jc w:val="both"/>
    </w:pPr>
    <w:rPr>
      <w:rFonts w:ascii="Times" w:hAnsi="Times" w:cs="Times"/>
      <w:sz w:val="26"/>
      <w:szCs w:val="26"/>
    </w:rPr>
  </w:style>
  <w:style w:type="paragraph" w:customStyle="1" w:styleId="P1">
    <w:name w:val="P1"/>
    <w:aliases w:val="(a)"/>
    <w:basedOn w:val="Normal"/>
    <w:rsid w:val="00510E9F"/>
    <w:pPr>
      <w:tabs>
        <w:tab w:val="right" w:pos="1080"/>
      </w:tabs>
      <w:autoSpaceDE w:val="0"/>
      <w:autoSpaceDN w:val="0"/>
      <w:spacing w:before="40" w:after="0" w:line="260" w:lineRule="atLeast"/>
      <w:ind w:left="1276" w:hanging="1280"/>
      <w:jc w:val="both"/>
    </w:pPr>
    <w:rPr>
      <w:rFonts w:ascii="Times" w:hAnsi="Times" w:cs="Times"/>
      <w:sz w:val="26"/>
      <w:szCs w:val="26"/>
    </w:rPr>
  </w:style>
  <w:style w:type="paragraph" w:styleId="Revision">
    <w:name w:val="Revision"/>
    <w:hidden/>
    <w:uiPriority w:val="99"/>
    <w:semiHidden/>
    <w:rsid w:val="00510E9F"/>
    <w:rPr>
      <w:rFonts w:ascii="Arial" w:hAnsi="Arial"/>
      <w:sz w:val="20"/>
    </w:rPr>
  </w:style>
  <w:style w:type="paragraph" w:customStyle="1" w:styleId="NumberLevel1">
    <w:name w:val="Number Level 1"/>
    <w:basedOn w:val="Normal"/>
    <w:rsid w:val="00510E9F"/>
    <w:pPr>
      <w:numPr>
        <w:numId w:val="12"/>
      </w:numPr>
      <w:spacing w:before="140" w:after="140" w:line="280" w:lineRule="atLeast"/>
    </w:pPr>
    <w:rPr>
      <w:rFonts w:cs="Arial"/>
      <w:sz w:val="22"/>
      <w:szCs w:val="22"/>
    </w:rPr>
  </w:style>
  <w:style w:type="paragraph" w:customStyle="1" w:styleId="NumberLevel2">
    <w:name w:val="Number Level 2"/>
    <w:basedOn w:val="Normal"/>
    <w:rsid w:val="00510E9F"/>
    <w:pPr>
      <w:numPr>
        <w:ilvl w:val="1"/>
        <w:numId w:val="12"/>
      </w:numPr>
      <w:spacing w:before="140" w:after="140" w:line="280" w:lineRule="atLeast"/>
    </w:pPr>
    <w:rPr>
      <w:rFonts w:cs="Arial"/>
      <w:sz w:val="22"/>
      <w:szCs w:val="22"/>
    </w:rPr>
  </w:style>
  <w:style w:type="paragraph" w:customStyle="1" w:styleId="NumberLevel3">
    <w:name w:val="Number Level 3"/>
    <w:basedOn w:val="Normal"/>
    <w:rsid w:val="00510E9F"/>
    <w:pPr>
      <w:numPr>
        <w:ilvl w:val="2"/>
        <w:numId w:val="12"/>
      </w:numPr>
      <w:spacing w:before="140" w:after="140" w:line="280" w:lineRule="atLeast"/>
    </w:pPr>
    <w:rPr>
      <w:rFonts w:cs="Arial"/>
      <w:sz w:val="22"/>
      <w:szCs w:val="22"/>
    </w:rPr>
  </w:style>
  <w:style w:type="paragraph" w:customStyle="1" w:styleId="NumberLevel4">
    <w:name w:val="Number Level 4"/>
    <w:basedOn w:val="Normal"/>
    <w:rsid w:val="00510E9F"/>
    <w:pPr>
      <w:numPr>
        <w:ilvl w:val="3"/>
        <w:numId w:val="12"/>
      </w:numPr>
      <w:spacing w:after="140" w:line="280" w:lineRule="atLeast"/>
    </w:pPr>
    <w:rPr>
      <w:rFonts w:cs="Arial"/>
      <w:sz w:val="22"/>
      <w:szCs w:val="22"/>
    </w:rPr>
  </w:style>
  <w:style w:type="paragraph" w:customStyle="1" w:styleId="NumberLevel5">
    <w:name w:val="Number Level 5"/>
    <w:basedOn w:val="Normal"/>
    <w:semiHidden/>
    <w:rsid w:val="00510E9F"/>
    <w:pPr>
      <w:numPr>
        <w:ilvl w:val="4"/>
        <w:numId w:val="12"/>
      </w:numPr>
      <w:spacing w:after="140" w:line="280" w:lineRule="atLeast"/>
    </w:pPr>
    <w:rPr>
      <w:rFonts w:cs="Arial"/>
      <w:sz w:val="22"/>
      <w:szCs w:val="22"/>
    </w:rPr>
  </w:style>
  <w:style w:type="paragraph" w:customStyle="1" w:styleId="NumberLevel6">
    <w:name w:val="Number Level 6"/>
    <w:basedOn w:val="NumberLevel5"/>
    <w:semiHidden/>
    <w:rsid w:val="00510E9F"/>
    <w:pPr>
      <w:numPr>
        <w:ilvl w:val="5"/>
      </w:numPr>
    </w:pPr>
  </w:style>
  <w:style w:type="paragraph" w:customStyle="1" w:styleId="NumberLevel7">
    <w:name w:val="Number Level 7"/>
    <w:basedOn w:val="NumberLevel6"/>
    <w:semiHidden/>
    <w:rsid w:val="00510E9F"/>
    <w:pPr>
      <w:numPr>
        <w:ilvl w:val="6"/>
      </w:numPr>
    </w:pPr>
  </w:style>
  <w:style w:type="paragraph" w:customStyle="1" w:styleId="NumberLevel8">
    <w:name w:val="Number Level 8"/>
    <w:basedOn w:val="NumberLevel7"/>
    <w:semiHidden/>
    <w:rsid w:val="00510E9F"/>
    <w:pPr>
      <w:numPr>
        <w:ilvl w:val="7"/>
      </w:numPr>
    </w:pPr>
  </w:style>
  <w:style w:type="paragraph" w:customStyle="1" w:styleId="NumberLevel9">
    <w:name w:val="Number Level 9"/>
    <w:basedOn w:val="NumberLevel8"/>
    <w:semiHidden/>
    <w:rsid w:val="00510E9F"/>
    <w:pPr>
      <w:numPr>
        <w:ilvl w:val="8"/>
      </w:numPr>
    </w:pPr>
  </w:style>
  <w:style w:type="paragraph" w:customStyle="1" w:styleId="Bullets1stindent">
    <w:name w:val="Bullets (1st indent)"/>
    <w:basedOn w:val="ListParagraph"/>
    <w:link w:val="Bullets1stindentChar"/>
    <w:qFormat/>
    <w:rsid w:val="00510E9F"/>
    <w:pPr>
      <w:widowControl w:val="0"/>
      <w:numPr>
        <w:numId w:val="13"/>
      </w:numPr>
      <w:autoSpaceDE w:val="0"/>
      <w:autoSpaceDN w:val="0"/>
      <w:adjustRightInd w:val="0"/>
      <w:spacing w:after="120" w:line="240" w:lineRule="auto"/>
      <w:contextualSpacing w:val="0"/>
    </w:pPr>
    <w:rPr>
      <w:rFonts w:ascii="Times New Roman" w:eastAsiaTheme="minorEastAsia" w:hAnsi="Times New Roman"/>
      <w:bCs/>
      <w:sz w:val="24"/>
    </w:rPr>
  </w:style>
  <w:style w:type="paragraph" w:customStyle="1" w:styleId="Bullets2ndindent">
    <w:name w:val="Bullets (2nd indent)"/>
    <w:basedOn w:val="Bullets1stindent"/>
    <w:qFormat/>
    <w:rsid w:val="00510E9F"/>
    <w:pPr>
      <w:numPr>
        <w:ilvl w:val="1"/>
      </w:numPr>
      <w:tabs>
        <w:tab w:val="num" w:pos="567"/>
        <w:tab w:val="num" w:pos="840"/>
        <w:tab w:val="num" w:pos="1209"/>
      </w:tabs>
      <w:ind w:left="1418" w:hanging="425"/>
    </w:pPr>
  </w:style>
  <w:style w:type="character" w:customStyle="1" w:styleId="Bullets1stindentChar">
    <w:name w:val="Bullets (1st indent) Char"/>
    <w:basedOn w:val="DefaultParagraphFont"/>
    <w:link w:val="Bullets1stindent"/>
    <w:rsid w:val="00510E9F"/>
    <w:rPr>
      <w:rFonts w:eastAsiaTheme="minorEastAsia"/>
      <w:bCs/>
    </w:rPr>
  </w:style>
  <w:style w:type="table" w:customStyle="1" w:styleId="TableGrid1">
    <w:name w:val="Table Grid1"/>
    <w:basedOn w:val="TableNormal"/>
    <w:next w:val="TableGrid"/>
    <w:uiPriority w:val="59"/>
    <w:rsid w:val="00510E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ableArial8">
    <w:name w:val="_bullet table Arial 8"/>
    <w:basedOn w:val="ListParagraph"/>
    <w:autoRedefine/>
    <w:qFormat/>
    <w:rsid w:val="00510E9F"/>
    <w:pPr>
      <w:numPr>
        <w:numId w:val="14"/>
      </w:numPr>
      <w:tabs>
        <w:tab w:val="left" w:pos="176"/>
      </w:tabs>
      <w:spacing w:after="60" w:line="240" w:lineRule="auto"/>
      <w:ind w:left="142" w:hanging="142"/>
    </w:pPr>
    <w:rPr>
      <w:rFonts w:ascii="Arial" w:eastAsia="Calibri" w:hAnsi="Arial" w:cs="Arial"/>
      <w:sz w:val="16"/>
      <w:szCs w:val="16"/>
      <w:lang w:val="en-US" w:eastAsia="en-US"/>
    </w:rPr>
  </w:style>
  <w:style w:type="paragraph" w:customStyle="1" w:styleId="Tabletextcell8left">
    <w:name w:val="_Table text cell 8 left"/>
    <w:basedOn w:val="Normal"/>
    <w:qFormat/>
    <w:rsid w:val="00510E9F"/>
    <w:pPr>
      <w:tabs>
        <w:tab w:val="left" w:pos="204"/>
        <w:tab w:val="left" w:pos="396"/>
      </w:tabs>
      <w:spacing w:after="0" w:line="240" w:lineRule="auto"/>
    </w:pPr>
    <w:rPr>
      <w:rFonts w:eastAsia="Calibri"/>
      <w:sz w:val="16"/>
      <w:szCs w:val="16"/>
      <w:lang w:eastAsia="en-US"/>
    </w:rPr>
  </w:style>
  <w:style w:type="paragraph" w:customStyle="1" w:styleId="TableCELL8leftboldSBS">
    <w:name w:val="Table CELL 8 left bold SBS"/>
    <w:basedOn w:val="Normal"/>
    <w:qFormat/>
    <w:rsid w:val="00510E9F"/>
    <w:pPr>
      <w:tabs>
        <w:tab w:val="left" w:pos="176"/>
      </w:tabs>
      <w:spacing w:after="0" w:line="240" w:lineRule="auto"/>
      <w:ind w:left="176" w:hanging="176"/>
    </w:pPr>
    <w:rPr>
      <w:b/>
      <w:sz w:val="16"/>
      <w:szCs w:val="20"/>
      <w:lang w:eastAsia="en-US"/>
    </w:rPr>
  </w:style>
  <w:style w:type="paragraph" w:customStyle="1" w:styleId="ChartandTableFootnoteAlpha">
    <w:name w:val="Chart and Table Footnote Alpha"/>
    <w:basedOn w:val="Normal"/>
    <w:next w:val="Normal"/>
    <w:rsid w:val="00510E9F"/>
    <w:pPr>
      <w:numPr>
        <w:numId w:val="15"/>
      </w:numPr>
      <w:spacing w:after="0" w:line="240" w:lineRule="auto"/>
      <w:jc w:val="both"/>
    </w:pPr>
    <w:rPr>
      <w:sz w:val="16"/>
      <w:szCs w:val="20"/>
    </w:rPr>
  </w:style>
  <w:style w:type="paragraph" w:customStyle="1" w:styleId="Source">
    <w:name w:val="Source"/>
    <w:basedOn w:val="Normal"/>
    <w:link w:val="SourceChar"/>
    <w:qFormat/>
    <w:rsid w:val="00510E9F"/>
    <w:pPr>
      <w:keepNext/>
      <w:spacing w:before="52" w:after="0" w:line="240" w:lineRule="auto"/>
    </w:pPr>
    <w:rPr>
      <w:rFonts w:ascii="Arial Narrow" w:eastAsiaTheme="minorHAnsi" w:hAnsi="Arial Narrow" w:cstheme="minorBidi"/>
      <w:i/>
      <w:caps/>
      <w:spacing w:val="-3"/>
      <w:sz w:val="14"/>
      <w:szCs w:val="22"/>
      <w:lang w:eastAsia="en-US"/>
    </w:rPr>
  </w:style>
  <w:style w:type="paragraph" w:customStyle="1" w:styleId="Tablecolumnheadings">
    <w:name w:val="Table column headings"/>
    <w:basedOn w:val="Normal"/>
    <w:uiPriority w:val="3"/>
    <w:qFormat/>
    <w:rsid w:val="00510E9F"/>
    <w:pPr>
      <w:keepNext/>
      <w:spacing w:before="40" w:after="40"/>
      <w:ind w:right="120"/>
    </w:pPr>
    <w:rPr>
      <w:rFonts w:ascii="Arial Narrow" w:eastAsiaTheme="minorHAnsi" w:hAnsi="Arial Narrow" w:cstheme="minorBidi"/>
      <w:b/>
      <w:color w:val="FFFEFF"/>
      <w:szCs w:val="22"/>
      <w:lang w:eastAsia="en-US"/>
    </w:rPr>
  </w:style>
  <w:style w:type="paragraph" w:customStyle="1" w:styleId="Tabletext">
    <w:name w:val="Table text"/>
    <w:basedOn w:val="Normal"/>
    <w:qFormat/>
    <w:rsid w:val="00510E9F"/>
    <w:pPr>
      <w:spacing w:before="60" w:after="0"/>
      <w:ind w:right="120"/>
    </w:pPr>
    <w:rPr>
      <w:rFonts w:ascii="Arial Narrow" w:eastAsiaTheme="minorHAnsi" w:hAnsi="Arial Narrow" w:cstheme="minorBidi"/>
      <w:color w:val="000100"/>
      <w:szCs w:val="22"/>
      <w:lang w:eastAsia="en-US"/>
    </w:rPr>
  </w:style>
  <w:style w:type="character" w:customStyle="1" w:styleId="SourceChar">
    <w:name w:val="Source Char"/>
    <w:basedOn w:val="DefaultParagraphFont"/>
    <w:link w:val="Source"/>
    <w:locked/>
    <w:rsid w:val="00510E9F"/>
    <w:rPr>
      <w:rFonts w:ascii="Arial Narrow" w:eastAsiaTheme="minorHAnsi" w:hAnsi="Arial Narrow" w:cstheme="minorBidi"/>
      <w:i/>
      <w:caps/>
      <w:spacing w:val="-3"/>
      <w:sz w:val="14"/>
      <w:szCs w:val="22"/>
      <w:lang w:eastAsia="en-US"/>
    </w:rPr>
  </w:style>
  <w:style w:type="paragraph" w:styleId="Index2">
    <w:name w:val="index 2"/>
    <w:basedOn w:val="Normal"/>
    <w:next w:val="Normal"/>
    <w:autoRedefine/>
    <w:rsid w:val="008112CD"/>
    <w:pPr>
      <w:spacing w:after="0" w:line="240" w:lineRule="auto"/>
      <w:ind w:left="400" w:hanging="200"/>
    </w:pPr>
  </w:style>
  <w:style w:type="character" w:styleId="UnresolvedMention">
    <w:name w:val="Unresolved Mention"/>
    <w:basedOn w:val="DefaultParagraphFont"/>
    <w:uiPriority w:val="99"/>
    <w:semiHidden/>
    <w:unhideWhenUsed/>
    <w:rsid w:val="00921ECA"/>
    <w:rPr>
      <w:color w:val="605E5C"/>
      <w:shd w:val="clear" w:color="auto" w:fill="E1DFDD"/>
    </w:rPr>
  </w:style>
  <w:style w:type="character" w:customStyle="1" w:styleId="Heading2Char">
    <w:name w:val="Heading 2 Char"/>
    <w:basedOn w:val="DefaultParagraphFont"/>
    <w:link w:val="Heading2"/>
    <w:rsid w:val="000541C7"/>
    <w:rPr>
      <w:rFonts w:ascii="Arial" w:hAnsi="Arial" w:cs="Arial"/>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8828">
      <w:bodyDiv w:val="1"/>
      <w:marLeft w:val="0"/>
      <w:marRight w:val="0"/>
      <w:marTop w:val="0"/>
      <w:marBottom w:val="0"/>
      <w:divBdr>
        <w:top w:val="none" w:sz="0" w:space="0" w:color="auto"/>
        <w:left w:val="none" w:sz="0" w:space="0" w:color="auto"/>
        <w:bottom w:val="none" w:sz="0" w:space="0" w:color="auto"/>
        <w:right w:val="none" w:sz="0" w:space="0" w:color="auto"/>
      </w:divBdr>
    </w:div>
    <w:div w:id="233709860">
      <w:bodyDiv w:val="1"/>
      <w:marLeft w:val="0"/>
      <w:marRight w:val="0"/>
      <w:marTop w:val="0"/>
      <w:marBottom w:val="0"/>
      <w:divBdr>
        <w:top w:val="none" w:sz="0" w:space="0" w:color="auto"/>
        <w:left w:val="none" w:sz="0" w:space="0" w:color="auto"/>
        <w:bottom w:val="none" w:sz="0" w:space="0" w:color="auto"/>
        <w:right w:val="none" w:sz="0" w:space="0" w:color="auto"/>
      </w:divBdr>
    </w:div>
    <w:div w:id="306517080">
      <w:bodyDiv w:val="1"/>
      <w:marLeft w:val="0"/>
      <w:marRight w:val="0"/>
      <w:marTop w:val="0"/>
      <w:marBottom w:val="0"/>
      <w:divBdr>
        <w:top w:val="none" w:sz="0" w:space="0" w:color="auto"/>
        <w:left w:val="none" w:sz="0" w:space="0" w:color="auto"/>
        <w:bottom w:val="none" w:sz="0" w:space="0" w:color="auto"/>
        <w:right w:val="none" w:sz="0" w:space="0" w:color="auto"/>
      </w:divBdr>
    </w:div>
    <w:div w:id="402214715">
      <w:bodyDiv w:val="1"/>
      <w:marLeft w:val="0"/>
      <w:marRight w:val="0"/>
      <w:marTop w:val="0"/>
      <w:marBottom w:val="0"/>
      <w:divBdr>
        <w:top w:val="none" w:sz="0" w:space="0" w:color="auto"/>
        <w:left w:val="none" w:sz="0" w:space="0" w:color="auto"/>
        <w:bottom w:val="none" w:sz="0" w:space="0" w:color="auto"/>
        <w:right w:val="none" w:sz="0" w:space="0" w:color="auto"/>
      </w:divBdr>
    </w:div>
    <w:div w:id="462892845">
      <w:bodyDiv w:val="1"/>
      <w:marLeft w:val="0"/>
      <w:marRight w:val="0"/>
      <w:marTop w:val="0"/>
      <w:marBottom w:val="0"/>
      <w:divBdr>
        <w:top w:val="none" w:sz="0" w:space="0" w:color="auto"/>
        <w:left w:val="none" w:sz="0" w:space="0" w:color="auto"/>
        <w:bottom w:val="none" w:sz="0" w:space="0" w:color="auto"/>
        <w:right w:val="none" w:sz="0" w:space="0" w:color="auto"/>
      </w:divBdr>
    </w:div>
    <w:div w:id="551892288">
      <w:bodyDiv w:val="1"/>
      <w:marLeft w:val="0"/>
      <w:marRight w:val="0"/>
      <w:marTop w:val="0"/>
      <w:marBottom w:val="0"/>
      <w:divBdr>
        <w:top w:val="none" w:sz="0" w:space="0" w:color="auto"/>
        <w:left w:val="none" w:sz="0" w:space="0" w:color="auto"/>
        <w:bottom w:val="none" w:sz="0" w:space="0" w:color="auto"/>
        <w:right w:val="none" w:sz="0" w:space="0" w:color="auto"/>
      </w:divBdr>
    </w:div>
    <w:div w:id="734546751">
      <w:bodyDiv w:val="1"/>
      <w:marLeft w:val="0"/>
      <w:marRight w:val="0"/>
      <w:marTop w:val="0"/>
      <w:marBottom w:val="0"/>
      <w:divBdr>
        <w:top w:val="none" w:sz="0" w:space="0" w:color="auto"/>
        <w:left w:val="none" w:sz="0" w:space="0" w:color="auto"/>
        <w:bottom w:val="none" w:sz="0" w:space="0" w:color="auto"/>
        <w:right w:val="none" w:sz="0" w:space="0" w:color="auto"/>
      </w:divBdr>
    </w:div>
    <w:div w:id="747197062">
      <w:bodyDiv w:val="1"/>
      <w:marLeft w:val="0"/>
      <w:marRight w:val="0"/>
      <w:marTop w:val="0"/>
      <w:marBottom w:val="0"/>
      <w:divBdr>
        <w:top w:val="none" w:sz="0" w:space="0" w:color="auto"/>
        <w:left w:val="none" w:sz="0" w:space="0" w:color="auto"/>
        <w:bottom w:val="none" w:sz="0" w:space="0" w:color="auto"/>
        <w:right w:val="none" w:sz="0" w:space="0" w:color="auto"/>
      </w:divBdr>
    </w:div>
    <w:div w:id="766198496">
      <w:bodyDiv w:val="1"/>
      <w:marLeft w:val="0"/>
      <w:marRight w:val="0"/>
      <w:marTop w:val="0"/>
      <w:marBottom w:val="0"/>
      <w:divBdr>
        <w:top w:val="none" w:sz="0" w:space="0" w:color="auto"/>
        <w:left w:val="none" w:sz="0" w:space="0" w:color="auto"/>
        <w:bottom w:val="none" w:sz="0" w:space="0" w:color="auto"/>
        <w:right w:val="none" w:sz="0" w:space="0" w:color="auto"/>
      </w:divBdr>
    </w:div>
    <w:div w:id="787309377">
      <w:bodyDiv w:val="1"/>
      <w:marLeft w:val="0"/>
      <w:marRight w:val="0"/>
      <w:marTop w:val="0"/>
      <w:marBottom w:val="0"/>
      <w:divBdr>
        <w:top w:val="none" w:sz="0" w:space="0" w:color="auto"/>
        <w:left w:val="none" w:sz="0" w:space="0" w:color="auto"/>
        <w:bottom w:val="none" w:sz="0" w:space="0" w:color="auto"/>
        <w:right w:val="none" w:sz="0" w:space="0" w:color="auto"/>
      </w:divBdr>
    </w:div>
    <w:div w:id="950549550">
      <w:bodyDiv w:val="1"/>
      <w:marLeft w:val="0"/>
      <w:marRight w:val="0"/>
      <w:marTop w:val="0"/>
      <w:marBottom w:val="0"/>
      <w:divBdr>
        <w:top w:val="none" w:sz="0" w:space="0" w:color="auto"/>
        <w:left w:val="none" w:sz="0" w:space="0" w:color="auto"/>
        <w:bottom w:val="none" w:sz="0" w:space="0" w:color="auto"/>
        <w:right w:val="none" w:sz="0" w:space="0" w:color="auto"/>
      </w:divBdr>
    </w:div>
    <w:div w:id="951404617">
      <w:bodyDiv w:val="1"/>
      <w:marLeft w:val="0"/>
      <w:marRight w:val="0"/>
      <w:marTop w:val="0"/>
      <w:marBottom w:val="0"/>
      <w:divBdr>
        <w:top w:val="none" w:sz="0" w:space="0" w:color="auto"/>
        <w:left w:val="none" w:sz="0" w:space="0" w:color="auto"/>
        <w:bottom w:val="none" w:sz="0" w:space="0" w:color="auto"/>
        <w:right w:val="none" w:sz="0" w:space="0" w:color="auto"/>
      </w:divBdr>
    </w:div>
    <w:div w:id="1379165755">
      <w:bodyDiv w:val="1"/>
      <w:marLeft w:val="0"/>
      <w:marRight w:val="0"/>
      <w:marTop w:val="0"/>
      <w:marBottom w:val="0"/>
      <w:divBdr>
        <w:top w:val="none" w:sz="0" w:space="0" w:color="auto"/>
        <w:left w:val="none" w:sz="0" w:space="0" w:color="auto"/>
        <w:bottom w:val="none" w:sz="0" w:space="0" w:color="auto"/>
        <w:right w:val="none" w:sz="0" w:space="0" w:color="auto"/>
      </w:divBdr>
    </w:div>
    <w:div w:id="1437749317">
      <w:bodyDiv w:val="1"/>
      <w:marLeft w:val="0"/>
      <w:marRight w:val="0"/>
      <w:marTop w:val="0"/>
      <w:marBottom w:val="0"/>
      <w:divBdr>
        <w:top w:val="none" w:sz="0" w:space="0" w:color="auto"/>
        <w:left w:val="none" w:sz="0" w:space="0" w:color="auto"/>
        <w:bottom w:val="none" w:sz="0" w:space="0" w:color="auto"/>
        <w:right w:val="none" w:sz="0" w:space="0" w:color="auto"/>
      </w:divBdr>
    </w:div>
    <w:div w:id="1909613476">
      <w:bodyDiv w:val="1"/>
      <w:marLeft w:val="0"/>
      <w:marRight w:val="0"/>
      <w:marTop w:val="0"/>
      <w:marBottom w:val="0"/>
      <w:divBdr>
        <w:top w:val="none" w:sz="0" w:space="0" w:color="auto"/>
        <w:left w:val="none" w:sz="0" w:space="0" w:color="auto"/>
        <w:bottom w:val="none" w:sz="0" w:space="0" w:color="auto"/>
        <w:right w:val="none" w:sz="0" w:space="0" w:color="auto"/>
      </w:divBdr>
    </w:div>
    <w:div w:id="19866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creativecommons.org/licenses/by/4.0/" TargetMode="External"/><Relationship Id="rId26" Type="http://schemas.openxmlformats.org/officeDocument/2006/relationships/footer" Target="footer4.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www.finance.gov.au/resource-management/charging-framework/risk-assessment-templat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hyperlink" Target="https://www.finance.gov.au/sites/default/files/australian-government-cost-recovery-guidelines_0.docx"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i.creativecommons.org/l/by/3.0/88x31.png" TargetMode="External"/><Relationship Id="rId20" Type="http://schemas.openxmlformats.org/officeDocument/2006/relationships/header" Target="header3.xml"/><Relationship Id="rId29" Type="http://schemas.openxmlformats.org/officeDocument/2006/relationships/hyperlink" Target="https://www.legislation.gov.au/Details/C2006B00073/Explanatory%20Memorandum/Tex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yperlink" Target="https://www.finance.gov.au/resource-management/charging-framework/charging-for-regulatory-activities/" TargetMode="Externa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yperlink" Target="mailto:info@acma.gov.au" TargetMode="External"/><Relationship Id="rId31" Type="http://schemas.openxmlformats.org/officeDocument/2006/relationships/hyperlink" Target="https://www.aph.gov.au/binaries/budget/2009-10/content/bp2/download/bp_2.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yperlink" Target="https://archive.budget.gov.au/2008-09/bp2/bp2.pdf" TargetMode="External"/><Relationship Id="rId35" Type="http://schemas.openxmlformats.org/officeDocument/2006/relationships/hyperlink" Target="https://www.acma.gov.au/Home/theACMA/Library/Corporate-library/Corporate-publications/acma-corporate-pla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727173373486046876206D2DE864753" ma:contentTypeVersion="11" ma:contentTypeDescription="Create a new document." ma:contentTypeScope="" ma:versionID="263810c62bff2e576f170bf81f129815">
  <xsd:schema xmlns:xsd="http://www.w3.org/2001/XMLSchema" xmlns:xs="http://www.w3.org/2001/XMLSchema" xmlns:p="http://schemas.microsoft.com/office/2006/metadata/properties" xmlns:ns3="5ce911aa-8774-4580-a4a6-fdc45206659a" xmlns:ns4="e5777702-81d6-4289-8145-94ef7dced73a" targetNamespace="http://schemas.microsoft.com/office/2006/metadata/properties" ma:root="true" ma:fieldsID="cc8c8188a233f41d6ab60ebf26e5e8ca" ns3:_="" ns4:_="">
    <xsd:import namespace="5ce911aa-8774-4580-a4a6-fdc45206659a"/>
    <xsd:import namespace="e5777702-81d6-4289-8145-94ef7dced7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911aa-8774-4580-a4a6-fdc45206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77702-81d6-4289-8145-94ef7dced7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04BA0-3CCB-43B0-B209-D0C580ECDDCB}">
  <ds:schemaRefs>
    <ds:schemaRef ds:uri="http://schemas.microsoft.com/office/infopath/2007/PartnerControls"/>
    <ds:schemaRef ds:uri="5ce911aa-8774-4580-a4a6-fdc45206659a"/>
    <ds:schemaRef ds:uri="http://purl.org/dc/elements/1.1/"/>
    <ds:schemaRef ds:uri="http://schemas.microsoft.com/office/2006/metadata/properties"/>
    <ds:schemaRef ds:uri="http://purl.org/dc/terms/"/>
    <ds:schemaRef ds:uri="http://schemas.openxmlformats.org/package/2006/metadata/core-properties"/>
    <ds:schemaRef ds:uri="e5777702-81d6-4289-8145-94ef7dced73a"/>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B7018C3-B66F-421E-A86F-3E788CDBCAAA}">
  <ds:schemaRefs>
    <ds:schemaRef ds:uri="http://schemas.microsoft.com/sharepoint/v3/contenttype/forms"/>
  </ds:schemaRefs>
</ds:datastoreItem>
</file>

<file path=customXml/itemProps3.xml><?xml version="1.0" encoding="utf-8"?>
<ds:datastoreItem xmlns:ds="http://schemas.openxmlformats.org/officeDocument/2006/customXml" ds:itemID="{DECBEFFC-11CE-4B9E-965C-C2EEF9651E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1E884D-8AEB-41D2-B18A-17FEC49CF28B}">
  <ds:schemaRefs>
    <ds:schemaRef ds:uri="http://schemas.microsoft.com/sharepoint/v3/contenttype/forms"/>
  </ds:schemaRefs>
</ds:datastoreItem>
</file>

<file path=customXml/itemProps5.xml><?xml version="1.0" encoding="utf-8"?>
<ds:datastoreItem xmlns:ds="http://schemas.openxmlformats.org/officeDocument/2006/customXml" ds:itemID="{154FB49A-3239-4701-B87E-8C3097E2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911aa-8774-4580-a4a6-fdc45206659a"/>
    <ds:schemaRef ds:uri="e5777702-81d6-4289-8145-94ef7dced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B38DA9-F4FC-4F13-ABEF-D49B053C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4487</Words>
  <Characters>25581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La Galle</dc:creator>
  <cp:keywords/>
  <dc:description/>
  <cp:lastModifiedBy>Dougal Heath</cp:lastModifiedBy>
  <cp:revision>3</cp:revision>
  <cp:lastPrinted>2019-09-25T06:00:00Z</cp:lastPrinted>
  <dcterms:created xsi:type="dcterms:W3CDTF">2019-12-16T00:12:00Z</dcterms:created>
  <dcterms:modified xsi:type="dcterms:W3CDTF">2019-12-16T00:13:00Z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0x010100E727173373486046876206D2DE864753</vt:lpwstr>
  </property>
</Properties>
</file>