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29" w:rsidRDefault="004F3718" w:rsidP="001D6A29">
      <w:r>
        <w:rPr>
          <w:noProof/>
        </w:rPr>
        <w:drawing>
          <wp:inline distT="0" distB="0" distL="0" distR="0">
            <wp:extent cx="1404620" cy="1102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A29" w:rsidRPr="00947087" w:rsidRDefault="001D6A29" w:rsidP="001D6A29">
      <w:pPr>
        <w:pStyle w:val="Title"/>
        <w:rPr>
          <w:sz w:val="36"/>
          <w:szCs w:val="36"/>
        </w:rPr>
      </w:pPr>
      <w:bookmarkStart w:id="0" w:name="Citation"/>
      <w:bookmarkStart w:id="1" w:name="OLE_LINK20"/>
      <w:bookmarkStart w:id="2" w:name="OLE_LINK21"/>
      <w:bookmarkStart w:id="3" w:name="OLE_LINK7"/>
      <w:bookmarkStart w:id="4" w:name="_GoBack"/>
      <w:r w:rsidRPr="00947087">
        <w:rPr>
          <w:sz w:val="36"/>
          <w:szCs w:val="36"/>
        </w:rPr>
        <w:t xml:space="preserve">Radiocommunications </w:t>
      </w:r>
      <w:r w:rsidR="009800AD">
        <w:rPr>
          <w:sz w:val="36"/>
          <w:szCs w:val="36"/>
        </w:rPr>
        <w:t xml:space="preserve">(Early Access to 700 MHz </w:t>
      </w:r>
      <w:r w:rsidR="00883CB2">
        <w:rPr>
          <w:sz w:val="36"/>
          <w:szCs w:val="36"/>
        </w:rPr>
        <w:t>B</w:t>
      </w:r>
      <w:r w:rsidR="009800AD">
        <w:rPr>
          <w:sz w:val="36"/>
          <w:szCs w:val="36"/>
        </w:rPr>
        <w:t xml:space="preserve">and) Determination </w:t>
      </w:r>
      <w:r>
        <w:rPr>
          <w:sz w:val="36"/>
          <w:szCs w:val="36"/>
        </w:rPr>
        <w:t>201</w:t>
      </w:r>
      <w:bookmarkEnd w:id="0"/>
      <w:r w:rsidR="00ED5626">
        <w:rPr>
          <w:sz w:val="36"/>
          <w:szCs w:val="36"/>
        </w:rPr>
        <w:t>4</w:t>
      </w:r>
    </w:p>
    <w:bookmarkEnd w:id="1"/>
    <w:bookmarkEnd w:id="2"/>
    <w:bookmarkEnd w:id="3"/>
    <w:bookmarkEnd w:id="4"/>
    <w:p w:rsidR="001D6A29" w:rsidRPr="005E1B0A" w:rsidRDefault="001D6A29" w:rsidP="004A54AE">
      <w:pPr>
        <w:pBdr>
          <w:bottom w:val="single" w:sz="4" w:space="1" w:color="auto"/>
        </w:pBdr>
        <w:spacing w:before="480"/>
        <w:outlineLvl w:val="0"/>
      </w:pPr>
      <w:r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p w:rsidR="001D6A29" w:rsidRPr="00551941" w:rsidRDefault="001D6A29" w:rsidP="007D0A38">
      <w:pPr>
        <w:spacing w:before="360"/>
        <w:jc w:val="both"/>
      </w:pPr>
      <w:r w:rsidRPr="005E5E2C">
        <w:rPr>
          <w:rFonts w:ascii="Times New (W1)" w:hAnsi="Times New (W1)"/>
          <w:caps/>
        </w:rPr>
        <w:t xml:space="preserve">The Australian Communications </w:t>
      </w:r>
      <w:r>
        <w:rPr>
          <w:rFonts w:ascii="Times New (W1)" w:hAnsi="Times New (W1)"/>
          <w:caps/>
        </w:rPr>
        <w:t xml:space="preserve">AND MEDIA </w:t>
      </w:r>
      <w:r w:rsidRPr="005E5E2C">
        <w:rPr>
          <w:rFonts w:ascii="Times New (W1)" w:hAnsi="Times New (W1)"/>
          <w:caps/>
        </w:rPr>
        <w:t>Authority</w:t>
      </w:r>
      <w:r w:rsidR="009800AD">
        <w:t xml:space="preserve"> makes this Determination </w:t>
      </w:r>
      <w:r w:rsidRPr="00551941">
        <w:t xml:space="preserve">under </w:t>
      </w:r>
      <w:r w:rsidR="009800AD">
        <w:t>sub</w:t>
      </w:r>
      <w:r w:rsidRPr="00551941">
        <w:t xml:space="preserve">section </w:t>
      </w:r>
      <w:r w:rsidR="009800AD">
        <w:t>31</w:t>
      </w:r>
      <w:r w:rsidR="00EC3629">
        <w:t xml:space="preserve"> </w:t>
      </w:r>
      <w:r w:rsidR="009800AD">
        <w:t>(2)</w:t>
      </w:r>
      <w:r w:rsidRPr="00551941">
        <w:t xml:space="preserve"> of the </w:t>
      </w:r>
      <w:r w:rsidRPr="005E5E2C">
        <w:rPr>
          <w:i/>
        </w:rPr>
        <w:t>Radiocommunications Act 1992</w:t>
      </w:r>
      <w:r w:rsidRPr="00551941">
        <w:t>.</w:t>
      </w:r>
    </w:p>
    <w:p w:rsidR="001D6A29" w:rsidRPr="00551941" w:rsidRDefault="001D6A29" w:rsidP="007D0A38">
      <w:pPr>
        <w:tabs>
          <w:tab w:val="left" w:pos="4111"/>
        </w:tabs>
        <w:spacing w:before="300" w:after="720"/>
      </w:pPr>
      <w:r w:rsidRPr="00551941">
        <w:t>Dated</w:t>
      </w:r>
    </w:p>
    <w:p w:rsidR="001D6A29" w:rsidRDefault="001D6A29" w:rsidP="001D6A29">
      <w:pPr>
        <w:jc w:val="right"/>
      </w:pPr>
    </w:p>
    <w:p w:rsidR="001D6A29" w:rsidRDefault="00A63C7B" w:rsidP="004A54AE">
      <w:pPr>
        <w:tabs>
          <w:tab w:val="left" w:pos="3119"/>
        </w:tabs>
        <w:spacing w:after="600" w:line="300" w:lineRule="atLeast"/>
        <w:jc w:val="right"/>
        <w:outlineLvl w:val="0"/>
      </w:pPr>
      <w:r>
        <w:br/>
      </w:r>
      <w:r w:rsidR="00923F48">
        <w:t xml:space="preserve"> </w:t>
      </w:r>
      <w:r>
        <w:br/>
      </w:r>
      <w:r w:rsidR="001D6A29">
        <w:t>Member</w:t>
      </w:r>
    </w:p>
    <w:p w:rsidR="001D6A29" w:rsidRDefault="00A63C7B" w:rsidP="001D6A29">
      <w:pPr>
        <w:tabs>
          <w:tab w:val="left" w:pos="3119"/>
        </w:tabs>
        <w:spacing w:before="600" w:line="300" w:lineRule="atLeast"/>
        <w:jc w:val="right"/>
      </w:pPr>
      <w:r>
        <w:br/>
      </w:r>
      <w:r w:rsidR="00923F48">
        <w:t xml:space="preserve"> </w:t>
      </w:r>
      <w:r>
        <w:br/>
      </w:r>
      <w:r w:rsidR="001D6A29">
        <w:t>Member/</w:t>
      </w:r>
      <w:r w:rsidR="001D6A29" w:rsidRPr="009800AD">
        <w:t>General Manager</w:t>
      </w:r>
    </w:p>
    <w:p w:rsidR="00BC624E" w:rsidRDefault="00BC624E" w:rsidP="004A54AE">
      <w:pPr>
        <w:spacing w:before="1080"/>
        <w:outlineLvl w:val="0"/>
        <w:rPr>
          <w:b/>
          <w:sz w:val="22"/>
          <w:szCs w:val="22"/>
        </w:rPr>
      </w:pPr>
    </w:p>
    <w:p w:rsidR="001D6A29" w:rsidRDefault="001D6A29" w:rsidP="004A54AE">
      <w:pPr>
        <w:pBdr>
          <w:bottom w:val="single" w:sz="4" w:space="1" w:color="auto"/>
        </w:pBdr>
        <w:outlineLvl w:val="0"/>
      </w:pPr>
      <w:r>
        <w:t>Australian Communications and Media Authority</w:t>
      </w:r>
    </w:p>
    <w:p w:rsidR="001D6A29" w:rsidRDefault="001D6A29" w:rsidP="001D6A29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:rsidR="001D6A29" w:rsidRDefault="001D6A29" w:rsidP="00285C95">
      <w:pPr>
        <w:pStyle w:val="SigningPageBreak"/>
        <w:sectPr w:rsidR="001D6A29" w:rsidSect="00285C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E426A1" w:rsidRPr="00E426A1" w:rsidRDefault="00E426A1" w:rsidP="00E426A1">
      <w:pPr>
        <w:pStyle w:val="Header"/>
        <w:rPr>
          <w:vanish/>
        </w:rPr>
      </w:pPr>
      <w:r w:rsidRPr="00E426A1">
        <w:rPr>
          <w:rStyle w:val="CharDivNo"/>
          <w:vanish/>
        </w:rPr>
        <w:lastRenderedPageBreak/>
        <w:t xml:space="preserve"> </w:t>
      </w:r>
      <w:r w:rsidRPr="00E426A1">
        <w:rPr>
          <w:rStyle w:val="CharDivText"/>
          <w:vanish/>
        </w:rPr>
        <w:t xml:space="preserve"> </w:t>
      </w:r>
    </w:p>
    <w:p w:rsidR="001D6A29" w:rsidRPr="00E16E99" w:rsidRDefault="009800AD" w:rsidP="004A54AE">
      <w:pPr>
        <w:pStyle w:val="HR"/>
        <w:outlineLvl w:val="0"/>
        <w:rPr>
          <w:bCs/>
        </w:rPr>
      </w:pPr>
      <w:bookmarkStart w:id="5" w:name="_Toc325033531"/>
      <w:r>
        <w:rPr>
          <w:rStyle w:val="CharSectno"/>
        </w:rPr>
        <w:t>1</w:t>
      </w:r>
      <w:r w:rsidR="001D6A29" w:rsidRPr="00E16E99">
        <w:tab/>
        <w:t xml:space="preserve">Name of </w:t>
      </w:r>
      <w:bookmarkEnd w:id="5"/>
      <w:r>
        <w:t>Determination</w:t>
      </w:r>
      <w:r w:rsidR="001D6A29" w:rsidRPr="00E16E99">
        <w:rPr>
          <w:bCs/>
        </w:rPr>
        <w:t xml:space="preserve"> </w:t>
      </w:r>
    </w:p>
    <w:p w:rsidR="001D6A29" w:rsidRDefault="001D6A29" w:rsidP="001D6A29">
      <w:pPr>
        <w:pStyle w:val="R1"/>
      </w:pP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  <w:t>Th</w:t>
      </w:r>
      <w:r w:rsidR="009800AD">
        <w:rPr>
          <w:rFonts w:ascii="TimesNewRoman" w:hAnsi="TimesNewRoman" w:cs="TimesNewRoman"/>
        </w:rPr>
        <w:t xml:space="preserve">is Determination is the </w:t>
      </w:r>
      <w:r w:rsidR="009800AD" w:rsidRPr="009800AD">
        <w:rPr>
          <w:rFonts w:ascii="TimesNewRoman" w:hAnsi="TimesNewRoman" w:cs="TimesNewRoman"/>
          <w:i/>
        </w:rPr>
        <w:t xml:space="preserve">Radiocommunications (Early Access to 700 MHz </w:t>
      </w:r>
      <w:r w:rsidR="00883CB2">
        <w:rPr>
          <w:rFonts w:ascii="TimesNewRoman" w:hAnsi="TimesNewRoman" w:cs="TimesNewRoman"/>
          <w:i/>
        </w:rPr>
        <w:t>B</w:t>
      </w:r>
      <w:r w:rsidR="009800AD" w:rsidRPr="009800AD">
        <w:rPr>
          <w:rFonts w:ascii="TimesNewRoman" w:hAnsi="TimesNewRoman" w:cs="TimesNewRoman"/>
          <w:i/>
        </w:rPr>
        <w:t>and) Determination 201</w:t>
      </w:r>
      <w:r w:rsidR="00ED5626">
        <w:rPr>
          <w:rFonts w:ascii="TimesNewRoman" w:hAnsi="TimesNewRoman" w:cs="TimesNewRoman"/>
          <w:i/>
        </w:rPr>
        <w:t>4</w:t>
      </w:r>
      <w:r w:rsidR="009800AD">
        <w:rPr>
          <w:rFonts w:ascii="TimesNewRoman" w:hAnsi="TimesNewRoman" w:cs="TimesNewRoman"/>
        </w:rPr>
        <w:t>.</w:t>
      </w:r>
    </w:p>
    <w:p w:rsidR="001D6A29" w:rsidRPr="00F10FB4" w:rsidRDefault="001D6A29" w:rsidP="00BC5D88">
      <w:pPr>
        <w:pStyle w:val="HR"/>
        <w:outlineLvl w:val="0"/>
      </w:pPr>
      <w:bookmarkStart w:id="6" w:name="_Toc325033532"/>
      <w:r w:rsidRPr="00E426A1">
        <w:rPr>
          <w:rStyle w:val="CharSectno"/>
        </w:rPr>
        <w:t>2</w:t>
      </w:r>
      <w:r w:rsidRPr="00F10FB4">
        <w:tab/>
        <w:t>Commencement</w:t>
      </w:r>
      <w:bookmarkEnd w:id="6"/>
      <w:r w:rsidR="006A5A10">
        <w:t xml:space="preserve"> and duration</w:t>
      </w:r>
    </w:p>
    <w:p w:rsidR="00DC2F56" w:rsidRDefault="00982C68" w:rsidP="00BC5D88">
      <w:pPr>
        <w:pStyle w:val="R1"/>
        <w:keepNext/>
        <w:tabs>
          <w:tab w:val="clear" w:pos="794"/>
          <w:tab w:val="left" w:pos="567"/>
          <w:tab w:val="right" w:pos="851"/>
        </w:tabs>
        <w:ind w:left="993" w:hanging="993"/>
      </w:pPr>
      <w:r>
        <w:rPr>
          <w:rFonts w:ascii="TimesNewRoman" w:hAnsi="TimesNewRoman" w:cs="TimesNewRoman"/>
        </w:rPr>
        <w:tab/>
      </w:r>
      <w:r>
        <w:rPr>
          <w:rFonts w:ascii="TimesNewRoman" w:hAnsi="TimesNewRoman" w:cs="TimesNewRoman"/>
        </w:rPr>
        <w:tab/>
      </w:r>
      <w:r w:rsidR="00F239F9">
        <w:rPr>
          <w:rFonts w:ascii="TimesNewRoman" w:hAnsi="TimesNewRoman" w:cs="TimesNewRoman"/>
        </w:rPr>
        <w:t>(1)</w:t>
      </w:r>
      <w:r w:rsidR="00F239F9">
        <w:rPr>
          <w:rFonts w:ascii="TimesNewRoman" w:hAnsi="TimesNewRoman" w:cs="TimesNewRoman"/>
        </w:rPr>
        <w:tab/>
      </w:r>
      <w:r w:rsidR="009800AD">
        <w:t xml:space="preserve">This Determination </w:t>
      </w:r>
      <w:r w:rsidR="00DC2F56" w:rsidRPr="002A4DBA">
        <w:t>commence</w:t>
      </w:r>
      <w:r w:rsidR="00883CB2">
        <w:t>s</w:t>
      </w:r>
      <w:r w:rsidR="00DC2F56" w:rsidRPr="002A4DBA">
        <w:t xml:space="preserve"> on the day </w:t>
      </w:r>
      <w:r w:rsidR="009800AD">
        <w:t>it is made.</w:t>
      </w:r>
    </w:p>
    <w:p w:rsidR="00F239F9" w:rsidRPr="00F239F9" w:rsidRDefault="00F239F9" w:rsidP="00F239F9">
      <w:pPr>
        <w:pStyle w:val="R2"/>
        <w:tabs>
          <w:tab w:val="left" w:pos="567"/>
        </w:tabs>
      </w:pPr>
      <w:r>
        <w:tab/>
      </w:r>
      <w:r w:rsidRPr="00B2078B">
        <w:t>(2)</w:t>
      </w:r>
      <w:r w:rsidRPr="00B2078B">
        <w:tab/>
        <w:t xml:space="preserve">This Determination </w:t>
      </w:r>
      <w:r w:rsidR="006A5A10" w:rsidRPr="00B2078B">
        <w:t>ceases to have effect</w:t>
      </w:r>
      <w:r w:rsidR="000841C1">
        <w:t xml:space="preserve"> as if revoked by another instrument</w:t>
      </w:r>
      <w:r w:rsidR="006A5A10" w:rsidRPr="00B2078B">
        <w:t xml:space="preserve"> </w:t>
      </w:r>
      <w:r w:rsidR="00883CB2" w:rsidRPr="00B2078B">
        <w:t xml:space="preserve">at the end of </w:t>
      </w:r>
      <w:r w:rsidR="006A5A10" w:rsidRPr="00B2078B">
        <w:t>31 December 2014</w:t>
      </w:r>
      <w:r w:rsidR="00754F86" w:rsidRPr="00B2078B">
        <w:t>.</w:t>
      </w:r>
      <w:r w:rsidR="00ED6391" w:rsidRPr="00B2078B">
        <w:t xml:space="preserve"> </w:t>
      </w:r>
      <w:r w:rsidR="00883CB2">
        <w:t xml:space="preserve"> </w:t>
      </w:r>
    </w:p>
    <w:p w:rsidR="001D6A29" w:rsidRPr="00DC2F56" w:rsidRDefault="001D6A29" w:rsidP="004A54AE">
      <w:pPr>
        <w:pStyle w:val="HR"/>
        <w:outlineLvl w:val="0"/>
        <w:rPr>
          <w:rStyle w:val="CharSectno"/>
        </w:rPr>
      </w:pPr>
      <w:bookmarkStart w:id="7" w:name="_Toc325033533"/>
      <w:r w:rsidRPr="00E426A1">
        <w:rPr>
          <w:rStyle w:val="CharSectno"/>
        </w:rPr>
        <w:lastRenderedPageBreak/>
        <w:t>3</w:t>
      </w:r>
      <w:r w:rsidRPr="00DC2F56">
        <w:rPr>
          <w:rStyle w:val="CharSectno"/>
        </w:rPr>
        <w:tab/>
      </w:r>
      <w:r w:rsidR="009800AD">
        <w:rPr>
          <w:rStyle w:val="CharSectno"/>
        </w:rPr>
        <w:t xml:space="preserve">Definitions </w:t>
      </w:r>
      <w:bookmarkEnd w:id="7"/>
    </w:p>
    <w:p w:rsidR="001D6A29" w:rsidRPr="008C01C0" w:rsidRDefault="00982C68" w:rsidP="00F239F9">
      <w:pPr>
        <w:pStyle w:val="R1"/>
        <w:tabs>
          <w:tab w:val="left" w:pos="567"/>
        </w:tabs>
      </w:pPr>
      <w:r>
        <w:tab/>
      </w:r>
      <w:r w:rsidR="001D6A29" w:rsidRPr="00AC2E05">
        <w:t>(1)</w:t>
      </w:r>
      <w:r>
        <w:tab/>
      </w:r>
      <w:r w:rsidR="009800AD">
        <w:t>In this</w:t>
      </w:r>
      <w:r w:rsidR="001D6A29" w:rsidRPr="008C01C0">
        <w:t xml:space="preserve"> </w:t>
      </w:r>
      <w:r w:rsidR="009800AD">
        <w:t>Determination</w:t>
      </w:r>
      <w:r w:rsidR="001D6A29" w:rsidRPr="008C01C0">
        <w:t>, unless the contrary intention appears:</w:t>
      </w:r>
    </w:p>
    <w:p w:rsidR="007B1AEF" w:rsidRPr="00031DBA" w:rsidRDefault="007B1AEF" w:rsidP="007B1AEF">
      <w:pPr>
        <w:pStyle w:val="definition"/>
        <w:rPr>
          <w:rFonts w:ascii="TimesNewRoman,BoldItalic" w:hAnsi="TimesNewRoman,BoldItalic" w:cs="TimesNewRoman,BoldItalic"/>
          <w:bCs/>
        </w:rPr>
      </w:pPr>
      <w:r>
        <w:rPr>
          <w:rFonts w:ascii="TimesNewRoman,BoldItalic" w:hAnsi="TimesNewRoman,BoldItalic" w:cs="TimesNewRoman,BoldItalic"/>
          <w:b/>
          <w:bCs/>
          <w:i/>
        </w:rPr>
        <w:t>700</w:t>
      </w:r>
      <w:r w:rsidR="005213C8">
        <w:rPr>
          <w:rFonts w:ascii="TimesNewRoman,BoldItalic" w:hAnsi="TimesNewRoman,BoldItalic" w:cs="TimesNewRoman,BoldItalic"/>
          <w:b/>
          <w:bCs/>
          <w:i/>
        </w:rPr>
        <w:t xml:space="preserve"> </w:t>
      </w:r>
      <w:r>
        <w:rPr>
          <w:rFonts w:ascii="TimesNewRoman,BoldItalic" w:hAnsi="TimesNewRoman,BoldItalic" w:cs="TimesNewRoman,BoldItalic"/>
          <w:b/>
          <w:bCs/>
          <w:i/>
        </w:rPr>
        <w:t>MHz band</w:t>
      </w:r>
      <w:r>
        <w:rPr>
          <w:rFonts w:ascii="TimesNewRoman,BoldItalic" w:hAnsi="TimesNewRoman,BoldItalic" w:cs="TimesNewRoman,BoldItalic"/>
          <w:bCs/>
          <w:i/>
        </w:rPr>
        <w:t xml:space="preserve"> </w:t>
      </w:r>
      <w:r w:rsidRPr="00031DBA">
        <w:rPr>
          <w:rFonts w:ascii="TimesNewRoman,BoldItalic" w:hAnsi="TimesNewRoman,BoldItalic" w:cs="TimesNewRoman,BoldItalic"/>
          <w:bCs/>
        </w:rPr>
        <w:t>means</w:t>
      </w:r>
      <w:r>
        <w:rPr>
          <w:rFonts w:ascii="TimesNewRoman,BoldItalic" w:hAnsi="TimesNewRoman,BoldItalic" w:cs="TimesNewRoman,BoldItalic"/>
          <w:bCs/>
          <w:i/>
        </w:rPr>
        <w:t xml:space="preserve"> </w:t>
      </w:r>
      <w:r>
        <w:rPr>
          <w:rFonts w:ascii="TimesNewRoman,BoldItalic" w:hAnsi="TimesNewRoman,BoldItalic" w:cs="TimesNewRoman,BoldItalic"/>
          <w:bCs/>
        </w:rPr>
        <w:t xml:space="preserve">the </w:t>
      </w:r>
      <w:r w:rsidR="00B70F0A">
        <w:rPr>
          <w:rFonts w:ascii="TimesNewRoman,BoldItalic" w:hAnsi="TimesNewRoman,BoldItalic" w:cs="TimesNewRoman,BoldItalic"/>
          <w:bCs/>
        </w:rPr>
        <w:t xml:space="preserve">parts of the </w:t>
      </w:r>
      <w:r>
        <w:rPr>
          <w:rFonts w:ascii="TimesNewRoman,BoldItalic" w:hAnsi="TimesNewRoman,BoldItalic" w:cs="TimesNewRoman,BoldItalic"/>
          <w:bCs/>
        </w:rPr>
        <w:t xml:space="preserve">spectrum from 703 to 748 MHz and 758 to 803 MHz, </w:t>
      </w:r>
      <w:r w:rsidR="00B70F0A">
        <w:rPr>
          <w:rFonts w:ascii="TimesNewRoman,BoldItalic" w:hAnsi="TimesNewRoman,BoldItalic" w:cs="TimesNewRoman,BoldItalic"/>
          <w:bCs/>
        </w:rPr>
        <w:t xml:space="preserve">but </w:t>
      </w:r>
      <w:r>
        <w:rPr>
          <w:rFonts w:ascii="TimesNewRoman,BoldItalic" w:hAnsi="TimesNewRoman,BoldItalic" w:cs="TimesNewRoman,BoldItalic"/>
          <w:bCs/>
        </w:rPr>
        <w:t>excluding the Mid West Radio Quiet Zone.</w:t>
      </w:r>
    </w:p>
    <w:p w:rsidR="001D6A29" w:rsidRDefault="001D6A29" w:rsidP="00982C68">
      <w:pPr>
        <w:pStyle w:val="definition"/>
        <w:rPr>
          <w:rFonts w:ascii="TimesNewRoman,Italic" w:hAnsi="TimesNewRoman,Italic" w:cs="TimesNewRoman,Italic"/>
        </w:rPr>
      </w:pPr>
      <w:r w:rsidRPr="00982C68">
        <w:rPr>
          <w:rFonts w:ascii="TimesNewRoman,BoldItalic" w:hAnsi="TimesNewRoman,BoldItalic" w:cs="TimesNewRoman,BoldItalic"/>
          <w:b/>
          <w:bCs/>
          <w:i/>
        </w:rPr>
        <w:t>Act</w:t>
      </w:r>
      <w:r>
        <w:rPr>
          <w:rFonts w:ascii="TimesNewRoman,BoldItalic" w:hAnsi="TimesNewRoman,BoldItalic" w:cs="TimesNewRoman,BoldItalic"/>
          <w:b/>
          <w:bCs/>
        </w:rPr>
        <w:t xml:space="preserve"> </w:t>
      </w:r>
      <w:r>
        <w:t xml:space="preserve">means the </w:t>
      </w:r>
      <w:r w:rsidRPr="00982C68">
        <w:rPr>
          <w:rFonts w:ascii="TimesNewRoman,Italic" w:hAnsi="TimesNewRoman,Italic" w:cs="TimesNewRoman,Italic"/>
          <w:i/>
        </w:rPr>
        <w:t>Radiocommunications Act 1992</w:t>
      </w:r>
      <w:r w:rsidRPr="00EB112A">
        <w:rPr>
          <w:rFonts w:ascii="TimesNewRoman,Italic" w:hAnsi="TimesNewRoman,Italic" w:cs="TimesNewRoman,Italic"/>
        </w:rPr>
        <w:t>.</w:t>
      </w:r>
    </w:p>
    <w:p w:rsidR="00765180" w:rsidRPr="005213C8" w:rsidRDefault="00765180" w:rsidP="00982C68">
      <w:pPr>
        <w:pStyle w:val="definition"/>
        <w:rPr>
          <w:rFonts w:ascii="TimesNewRoman,Italic" w:hAnsi="TimesNewRoman,Italic" w:cs="TimesNewRoman,Italic"/>
        </w:rPr>
      </w:pPr>
      <w:r w:rsidRPr="00765180">
        <w:rPr>
          <w:rFonts w:ascii="TimesNewRoman,BoldItalic" w:hAnsi="TimesNewRoman,BoldItalic" w:cs="TimesNewRoman,BoldItalic"/>
          <w:b/>
          <w:bCs/>
          <w:i/>
        </w:rPr>
        <w:t>Allocat</w:t>
      </w:r>
      <w:r>
        <w:rPr>
          <w:rFonts w:ascii="TimesNewRoman,BoldItalic" w:hAnsi="TimesNewRoman,BoldItalic" w:cs="TimesNewRoman,BoldItalic"/>
          <w:b/>
          <w:bCs/>
          <w:i/>
        </w:rPr>
        <w:t xml:space="preserve">ion Determination </w:t>
      </w:r>
      <w:r>
        <w:rPr>
          <w:rFonts w:ascii="TimesNewRoman,BoldItalic" w:hAnsi="TimesNewRoman,BoldItalic" w:cs="TimesNewRoman,BoldItalic"/>
          <w:bCs/>
        </w:rPr>
        <w:t xml:space="preserve">means the </w:t>
      </w:r>
      <w:r>
        <w:rPr>
          <w:rFonts w:ascii="TimesNewRoman,BoldItalic" w:hAnsi="TimesNewRoman,BoldItalic" w:cs="TimesNewRoman,BoldItalic"/>
          <w:bCs/>
          <w:i/>
        </w:rPr>
        <w:t>Radiocommunications (Spectrum Licence Allocation – Combinatorial Clock Auction) Determination 2012</w:t>
      </w:r>
      <w:r w:rsidR="005213C8">
        <w:rPr>
          <w:rFonts w:ascii="TimesNewRoman,BoldItalic" w:hAnsi="TimesNewRoman,BoldItalic" w:cs="TimesNewRoman,BoldItalic"/>
          <w:bCs/>
        </w:rPr>
        <w:t>.</w:t>
      </w:r>
    </w:p>
    <w:p w:rsidR="0059686A" w:rsidRDefault="0059686A" w:rsidP="00982C68">
      <w:pPr>
        <w:pStyle w:val="definition"/>
        <w:rPr>
          <w:rFonts w:ascii="TimesNewRoman,BoldItalic" w:hAnsi="TimesNewRoman,BoldItalic" w:cs="TimesNewRoman,BoldItalic"/>
          <w:bCs/>
          <w:i/>
        </w:rPr>
      </w:pPr>
      <w:r>
        <w:rPr>
          <w:rFonts w:ascii="TimesNewRoman,BoldItalic" w:hAnsi="TimesNewRoman,BoldItalic" w:cs="TimesNewRoman,BoldItalic"/>
          <w:b/>
          <w:bCs/>
          <w:i/>
        </w:rPr>
        <w:t xml:space="preserve">Mid West Radio Quiet Zone </w:t>
      </w:r>
      <w:r>
        <w:rPr>
          <w:rFonts w:ascii="TimesNewRoman,BoldItalic" w:hAnsi="TimesNewRoman,BoldItalic" w:cs="TimesNewRoman,BoldItalic"/>
          <w:bCs/>
        </w:rPr>
        <w:t xml:space="preserve">has the meaning given </w:t>
      </w:r>
      <w:r w:rsidR="009554DE">
        <w:rPr>
          <w:rFonts w:ascii="TimesNewRoman,BoldItalic" w:hAnsi="TimesNewRoman,BoldItalic" w:cs="TimesNewRoman,BoldItalic"/>
          <w:bCs/>
        </w:rPr>
        <w:t>by</w:t>
      </w:r>
      <w:r>
        <w:rPr>
          <w:rFonts w:ascii="TimesNewRoman,BoldItalic" w:hAnsi="TimesNewRoman,BoldItalic" w:cs="TimesNewRoman,BoldItalic"/>
          <w:bCs/>
        </w:rPr>
        <w:t xml:space="preserve"> the </w:t>
      </w:r>
      <w:r>
        <w:rPr>
          <w:rFonts w:ascii="TimesNewRoman,BoldItalic" w:hAnsi="TimesNewRoman,BoldItalic" w:cs="TimesNewRoman,BoldItalic"/>
          <w:bCs/>
          <w:i/>
        </w:rPr>
        <w:t>Radiocommunications (Spectrum Re-allocation) Declaration No. 1 of 2011</w:t>
      </w:r>
      <w:r>
        <w:rPr>
          <w:rFonts w:ascii="TimesNewRoman,BoldItalic" w:hAnsi="TimesNewRoman,BoldItalic" w:cs="TimesNewRoman,BoldItalic"/>
          <w:bCs/>
        </w:rPr>
        <w:t>.</w:t>
      </w:r>
      <w:r>
        <w:rPr>
          <w:rFonts w:ascii="TimesNewRoman,BoldItalic" w:hAnsi="TimesNewRoman,BoldItalic" w:cs="TimesNewRoman,BoldItalic"/>
          <w:bCs/>
          <w:i/>
        </w:rPr>
        <w:t xml:space="preserve"> </w:t>
      </w:r>
    </w:p>
    <w:p w:rsidR="004F3718" w:rsidRDefault="004F3718" w:rsidP="00982C68">
      <w:pPr>
        <w:pStyle w:val="definition"/>
        <w:rPr>
          <w:rFonts w:ascii="TimesNewRoman,BoldItalic" w:hAnsi="TimesNewRoman,BoldItalic" w:cs="TimesNewRoman,BoldItalic"/>
          <w:bCs/>
          <w:i/>
        </w:rPr>
      </w:pPr>
      <w:r>
        <w:rPr>
          <w:rFonts w:ascii="TimesNewRoman,BoldItalic" w:hAnsi="TimesNewRoman,BoldItalic" w:cs="TimesNewRoman,BoldItalic"/>
          <w:b/>
          <w:bCs/>
          <w:i/>
        </w:rPr>
        <w:t xml:space="preserve">PMTS Class B </w:t>
      </w:r>
      <w:r w:rsidRPr="004F3718">
        <w:rPr>
          <w:rFonts w:ascii="TimesNewRoman,BoldItalic" w:hAnsi="TimesNewRoman,BoldItalic" w:cs="TimesNewRoman,BoldItalic"/>
          <w:bCs/>
        </w:rPr>
        <w:t>has the</w:t>
      </w:r>
      <w:r>
        <w:rPr>
          <w:rFonts w:ascii="TimesNewRoman,BoldItalic" w:hAnsi="TimesNewRoman,BoldItalic" w:cs="TimesNewRoman,BoldItalic"/>
          <w:bCs/>
          <w:i/>
        </w:rPr>
        <w:t xml:space="preserve"> </w:t>
      </w:r>
      <w:r w:rsidRPr="004F3718">
        <w:rPr>
          <w:rFonts w:ascii="TimesNewRoman,BoldItalic" w:hAnsi="TimesNewRoman,BoldItalic" w:cs="TimesNewRoman,BoldItalic"/>
          <w:bCs/>
        </w:rPr>
        <w:t>meaning</w:t>
      </w:r>
      <w:r>
        <w:rPr>
          <w:rFonts w:ascii="TimesNewRoman,BoldItalic" w:hAnsi="TimesNewRoman,BoldItalic" w:cs="TimesNewRoman,BoldItalic"/>
          <w:b/>
          <w:bCs/>
          <w:i/>
        </w:rPr>
        <w:t xml:space="preserve"> </w:t>
      </w:r>
      <w:r>
        <w:rPr>
          <w:rFonts w:ascii="TimesNewRoman,BoldItalic" w:hAnsi="TimesNewRoman,BoldItalic" w:cs="TimesNewRoman,BoldItalic"/>
          <w:bCs/>
        </w:rPr>
        <w:t xml:space="preserve">given by the </w:t>
      </w:r>
      <w:r>
        <w:rPr>
          <w:rFonts w:ascii="TimesNewRoman,BoldItalic" w:hAnsi="TimesNewRoman,BoldItalic" w:cs="TimesNewRoman,BoldItalic"/>
          <w:bCs/>
          <w:i/>
        </w:rPr>
        <w:t>Radiocommunications (Interpretation) Determination 2000.</w:t>
      </w:r>
      <w:r>
        <w:rPr>
          <w:rFonts w:ascii="TimesNewRoman,BoldItalic" w:hAnsi="TimesNewRoman,BoldItalic" w:cs="TimesNewRoman,BoldItalic"/>
          <w:b/>
          <w:bCs/>
          <w:i/>
        </w:rPr>
        <w:t xml:space="preserve"> </w:t>
      </w:r>
    </w:p>
    <w:p w:rsidR="004F3718" w:rsidRPr="004F3718" w:rsidRDefault="004F3718" w:rsidP="00982C68">
      <w:pPr>
        <w:pStyle w:val="definition"/>
        <w:rPr>
          <w:rFonts w:ascii="TimesNewRoman,BoldItalic" w:hAnsi="TimesNewRoman,BoldItalic" w:cs="TimesNewRoman,BoldItalic"/>
          <w:bCs/>
        </w:rPr>
      </w:pPr>
      <w:r w:rsidRPr="004F3718">
        <w:rPr>
          <w:rFonts w:ascii="TimesNewRoman,BoldItalic" w:hAnsi="TimesNewRoman,BoldItalic" w:cs="TimesNewRoman,BoldItalic"/>
          <w:b/>
          <w:bCs/>
          <w:i/>
        </w:rPr>
        <w:t xml:space="preserve">PTS Licence </w:t>
      </w:r>
      <w:r>
        <w:rPr>
          <w:rFonts w:ascii="TimesNewRoman,BoldItalic" w:hAnsi="TimesNewRoman,BoldItalic" w:cs="TimesNewRoman,BoldItalic"/>
          <w:bCs/>
        </w:rPr>
        <w:t xml:space="preserve">has the meaning given by the </w:t>
      </w:r>
      <w:r>
        <w:rPr>
          <w:rFonts w:ascii="TimesNewRoman,BoldItalic" w:hAnsi="TimesNewRoman,BoldItalic" w:cs="TimesNewRoman,BoldItalic"/>
          <w:bCs/>
          <w:i/>
        </w:rPr>
        <w:t>Radiocommunications (Interpretation) Determination 2000.</w:t>
      </w:r>
      <w:r>
        <w:rPr>
          <w:rFonts w:ascii="TimesNewRoman,BoldItalic" w:hAnsi="TimesNewRoman,BoldItalic" w:cs="TimesNewRoman,BoldItalic"/>
          <w:bCs/>
        </w:rPr>
        <w:t xml:space="preserve"> </w:t>
      </w:r>
    </w:p>
    <w:p w:rsidR="005D6027" w:rsidRDefault="005D6027">
      <w:pPr>
        <w:pStyle w:val="Notepara"/>
        <w:ind w:left="1560" w:firstLine="0"/>
      </w:pPr>
    </w:p>
    <w:p w:rsidR="005D6027" w:rsidRDefault="005621BE">
      <w:pPr>
        <w:pStyle w:val="Notepara"/>
        <w:ind w:left="993" w:hanging="426"/>
        <w:rPr>
          <w:sz w:val="24"/>
        </w:rPr>
      </w:pPr>
      <w:r w:rsidRPr="005621BE">
        <w:rPr>
          <w:sz w:val="24"/>
        </w:rPr>
        <w:t xml:space="preserve">(2) </w:t>
      </w:r>
      <w:r w:rsidR="00063E9F">
        <w:rPr>
          <w:sz w:val="24"/>
        </w:rPr>
        <w:tab/>
      </w:r>
      <w:r w:rsidRPr="005621BE">
        <w:rPr>
          <w:sz w:val="24"/>
        </w:rPr>
        <w:t xml:space="preserve">In </w:t>
      </w:r>
      <w:r w:rsidR="00A61FD3">
        <w:rPr>
          <w:sz w:val="24"/>
        </w:rPr>
        <w:t xml:space="preserve">this Determination, </w:t>
      </w:r>
      <w:r w:rsidRPr="005621BE">
        <w:rPr>
          <w:sz w:val="24"/>
        </w:rPr>
        <w:t>each frequency band includes all frequencies that are greater than the lower frequency, up to and including the higher frequency.</w:t>
      </w:r>
      <w:r w:rsidRPr="005621BE">
        <w:rPr>
          <w:rStyle w:val="CharDivNo"/>
          <w:vanish/>
          <w:sz w:val="24"/>
        </w:rPr>
        <w:t xml:space="preserve"> </w:t>
      </w:r>
      <w:r w:rsidRPr="005621BE">
        <w:rPr>
          <w:rStyle w:val="CharDivText"/>
          <w:vanish/>
          <w:sz w:val="24"/>
        </w:rPr>
        <w:t xml:space="preserve"> </w:t>
      </w:r>
    </w:p>
    <w:p w:rsidR="001D6A29" w:rsidRPr="00E426A1" w:rsidRDefault="00C91B51" w:rsidP="004A54AE">
      <w:pPr>
        <w:pStyle w:val="HR"/>
        <w:outlineLvl w:val="0"/>
      </w:pPr>
      <w:bookmarkStart w:id="8" w:name="_Toc325033536"/>
      <w:r>
        <w:rPr>
          <w:rStyle w:val="CharSectno"/>
        </w:rPr>
        <w:t>4</w:t>
      </w:r>
      <w:r w:rsidR="001D6A29" w:rsidRPr="00E426A1">
        <w:tab/>
      </w:r>
      <w:bookmarkEnd w:id="8"/>
      <w:r>
        <w:t>Issue of licences</w:t>
      </w:r>
    </w:p>
    <w:p w:rsidR="005D6027" w:rsidRDefault="00D52EC6">
      <w:pPr>
        <w:pStyle w:val="R1"/>
        <w:tabs>
          <w:tab w:val="left" w:pos="567"/>
        </w:tabs>
      </w:pPr>
      <w:r>
        <w:tab/>
      </w:r>
      <w:r w:rsidR="00765180">
        <w:t>(1)</w:t>
      </w:r>
      <w:r>
        <w:tab/>
      </w:r>
      <w:r w:rsidR="00D33AF8">
        <w:t>For subsection 31</w:t>
      </w:r>
      <w:r w:rsidR="00EC3629">
        <w:t xml:space="preserve"> </w:t>
      </w:r>
      <w:r w:rsidR="00D33AF8">
        <w:t xml:space="preserve">(2) of the Act, </w:t>
      </w:r>
      <w:r w:rsidR="00AF5389">
        <w:t xml:space="preserve">the ACMA </w:t>
      </w:r>
      <w:r w:rsidR="00EC3629">
        <w:t>may</w:t>
      </w:r>
      <w:r w:rsidR="00AF5389">
        <w:t xml:space="preserve"> issue a PTS </w:t>
      </w:r>
      <w:r w:rsidR="00D33AF8">
        <w:t>licence</w:t>
      </w:r>
      <w:r w:rsidR="00AF5389">
        <w:t xml:space="preserve"> </w:t>
      </w:r>
      <w:r w:rsidR="009A1B54" w:rsidRPr="00A61FD3">
        <w:t xml:space="preserve">in relation to the 700 MHz Band </w:t>
      </w:r>
      <w:r w:rsidR="007A3484" w:rsidRPr="00A61FD3">
        <w:t>to a person only if:</w:t>
      </w:r>
    </w:p>
    <w:p w:rsidR="005D6027" w:rsidRDefault="007A3484">
      <w:pPr>
        <w:pStyle w:val="R1"/>
        <w:numPr>
          <w:ilvl w:val="0"/>
          <w:numId w:val="22"/>
        </w:numPr>
        <w:tabs>
          <w:tab w:val="left" w:pos="567"/>
        </w:tabs>
      </w:pPr>
      <w:r>
        <w:t>the</w:t>
      </w:r>
      <w:r w:rsidR="00626798">
        <w:t xml:space="preserve"> person </w:t>
      </w:r>
      <w:r w:rsidR="00025A11">
        <w:t xml:space="preserve">has been allocated a </w:t>
      </w:r>
      <w:r w:rsidR="004C7C9D">
        <w:t xml:space="preserve">part or parts of the </w:t>
      </w:r>
      <w:r w:rsidR="00EC2D26" w:rsidRPr="00EC2D26">
        <w:t xml:space="preserve">spectrum </w:t>
      </w:r>
      <w:r w:rsidR="00EC2D26">
        <w:t xml:space="preserve">in </w:t>
      </w:r>
      <w:r w:rsidR="00EC2D26" w:rsidRPr="00EC2D26">
        <w:t>the</w:t>
      </w:r>
      <w:r w:rsidR="00EC2D26">
        <w:t xml:space="preserve"> 700 MHz band</w:t>
      </w:r>
      <w:r w:rsidR="00EC2D26" w:rsidRPr="00EC2D26">
        <w:t xml:space="preserve"> as a result of an auction held in accordance with the </w:t>
      </w:r>
      <w:r w:rsidR="00765180">
        <w:t>Allocation Determination</w:t>
      </w:r>
      <w:r>
        <w:t>;</w:t>
      </w:r>
      <w:r w:rsidR="000912DF">
        <w:t xml:space="preserve"> and</w:t>
      </w:r>
    </w:p>
    <w:p w:rsidR="000912DF" w:rsidRDefault="000912DF" w:rsidP="000912DF">
      <w:pPr>
        <w:pStyle w:val="R1"/>
        <w:numPr>
          <w:ilvl w:val="0"/>
          <w:numId w:val="22"/>
        </w:numPr>
        <w:tabs>
          <w:tab w:val="left" w:pos="567"/>
        </w:tabs>
      </w:pPr>
      <w:r>
        <w:t xml:space="preserve">the PTS licence is to be used for providing a PMTS Class B service in the </w:t>
      </w:r>
      <w:r w:rsidR="00025A11">
        <w:t xml:space="preserve">same </w:t>
      </w:r>
      <w:r>
        <w:t xml:space="preserve">parts of the spectrum </w:t>
      </w:r>
      <w:r w:rsidR="00025A11">
        <w:t xml:space="preserve">that have been allocated to that person as a result of </w:t>
      </w:r>
      <w:r w:rsidR="004E5D15">
        <w:t xml:space="preserve">that </w:t>
      </w:r>
      <w:r w:rsidR="00BC5D88">
        <w:t>auction</w:t>
      </w:r>
      <w:r>
        <w:t>; and</w:t>
      </w:r>
    </w:p>
    <w:p w:rsidR="000912DF" w:rsidRDefault="000912DF" w:rsidP="000912DF">
      <w:pPr>
        <w:pStyle w:val="R1"/>
        <w:numPr>
          <w:ilvl w:val="0"/>
          <w:numId w:val="22"/>
        </w:numPr>
        <w:tabs>
          <w:tab w:val="left" w:pos="567"/>
        </w:tabs>
      </w:pPr>
      <w:r>
        <w:t xml:space="preserve">the </w:t>
      </w:r>
      <w:r w:rsidR="00754F86">
        <w:t xml:space="preserve">PTS </w:t>
      </w:r>
      <w:r>
        <w:t xml:space="preserve">licence is issued for a period </w:t>
      </w:r>
      <w:r w:rsidR="002B4038">
        <w:t xml:space="preserve">that </w:t>
      </w:r>
      <w:r>
        <w:t>end</w:t>
      </w:r>
      <w:r w:rsidR="002B4038">
        <w:t>s</w:t>
      </w:r>
      <w:r>
        <w:t xml:space="preserve"> on or before 31 December 2014.</w:t>
      </w:r>
    </w:p>
    <w:p w:rsidR="00765180" w:rsidRPr="00765180" w:rsidRDefault="00765180" w:rsidP="00E838E7">
      <w:pPr>
        <w:pStyle w:val="R2"/>
        <w:keepNext/>
        <w:rPr>
          <w:i/>
        </w:rPr>
      </w:pPr>
      <w:r>
        <w:tab/>
        <w:t>(2)</w:t>
      </w:r>
      <w:r>
        <w:tab/>
        <w:t xml:space="preserve">For the purpose of subsection (1), a person </w:t>
      </w:r>
      <w:r w:rsidR="005213C8">
        <w:t>is</w:t>
      </w:r>
      <w:r>
        <w:t xml:space="preserve"> taken to have been allocated </w:t>
      </w:r>
      <w:r w:rsidR="004C7C9D">
        <w:t xml:space="preserve">a part or parts of the </w:t>
      </w:r>
      <w:r>
        <w:t xml:space="preserve">spectrum as a result of an auction held in accordance with the Allocation Determination if the name of </w:t>
      </w:r>
      <w:r w:rsidR="000841C1">
        <w:t xml:space="preserve">the </w:t>
      </w:r>
      <w:r>
        <w:t xml:space="preserve">person has been announced </w:t>
      </w:r>
      <w:r w:rsidR="00FC4EC3">
        <w:t xml:space="preserve">or published </w:t>
      </w:r>
      <w:r>
        <w:t>as a winning</w:t>
      </w:r>
      <w:r w:rsidR="00FC4EC3">
        <w:t xml:space="preserve"> bidder by the ACMA</w:t>
      </w:r>
      <w:r>
        <w:t xml:space="preserve"> in accordance with section 6.10 of the Allocation Determination</w:t>
      </w:r>
      <w:r w:rsidR="00FC4EC3">
        <w:t>.</w:t>
      </w:r>
    </w:p>
    <w:p w:rsidR="005D6027" w:rsidRDefault="005D6027" w:rsidP="00E838E7">
      <w:pPr>
        <w:pStyle w:val="R1"/>
        <w:keepNext/>
        <w:tabs>
          <w:tab w:val="left" w:pos="567"/>
        </w:tabs>
      </w:pPr>
    </w:p>
    <w:p w:rsidR="00D33AF8" w:rsidRDefault="00D33AF8" w:rsidP="00D33AF8">
      <w:pPr>
        <w:pStyle w:val="ZNote"/>
      </w:pPr>
      <w:r>
        <w:rPr>
          <w:i/>
        </w:rPr>
        <w:t>Note</w:t>
      </w:r>
      <w:r>
        <w:t> </w:t>
      </w:r>
      <w:r w:rsidR="009A1B54" w:rsidRPr="009A1B54">
        <w:rPr>
          <w:i/>
        </w:rPr>
        <w:t>1</w:t>
      </w:r>
      <w:r>
        <w:t xml:space="preserve">   </w:t>
      </w:r>
      <w:r w:rsidR="00AF5389">
        <w:t xml:space="preserve">The 700 MHz band is in </w:t>
      </w:r>
      <w:r w:rsidR="002B4038">
        <w:t xml:space="preserve">the part of the </w:t>
      </w:r>
      <w:r w:rsidR="00AF5389">
        <w:t xml:space="preserve">spectrum that </w:t>
      </w:r>
      <w:r w:rsidR="002B4038">
        <w:t xml:space="preserve">is </w:t>
      </w:r>
      <w:r w:rsidR="00AF5389">
        <w:t xml:space="preserve">designated </w:t>
      </w:r>
      <w:r w:rsidR="002B4038">
        <w:t xml:space="preserve">for the purposes of </w:t>
      </w:r>
      <w:r w:rsidR="00CD44F9">
        <w:t>subsection 31(1)</w:t>
      </w:r>
      <w:r w:rsidR="002B4038">
        <w:t xml:space="preserve"> of the Act</w:t>
      </w:r>
      <w:r w:rsidR="00AF5389" w:rsidRPr="007B1AEF">
        <w:t>.</w:t>
      </w:r>
      <w:r w:rsidR="00CD44F9" w:rsidRPr="007B1AEF">
        <w:t xml:space="preserve"> Should the </w:t>
      </w:r>
      <w:r w:rsidR="007B1AEF">
        <w:t>700 MHz band</w:t>
      </w:r>
      <w:r w:rsidR="00BD06B6">
        <w:t xml:space="preserve"> </w:t>
      </w:r>
      <w:r w:rsidR="00CD44F9" w:rsidRPr="007B1AEF">
        <w:t>cease to be designated, this Determination will cease to have effect.</w:t>
      </w:r>
      <w:r w:rsidR="00EB2AA4" w:rsidRPr="007B1AEF">
        <w:t xml:space="preserve"> </w:t>
      </w:r>
    </w:p>
    <w:p w:rsidR="00754F86" w:rsidRPr="00754F86" w:rsidRDefault="00754F86" w:rsidP="00D33AF8">
      <w:pPr>
        <w:pStyle w:val="ZNote"/>
      </w:pPr>
      <w:r>
        <w:rPr>
          <w:i/>
        </w:rPr>
        <w:t xml:space="preserve">Note 2 </w:t>
      </w:r>
      <w:r>
        <w:t xml:space="preserve">  A PTS licence is a type of transmitter licence that the ACMA may issue </w:t>
      </w:r>
      <w:r w:rsidR="00A61FD3" w:rsidRPr="00A61FD3">
        <w:t xml:space="preserve">as specified in the </w:t>
      </w:r>
      <w:r w:rsidR="00A61FD3" w:rsidRPr="00A61FD3">
        <w:rPr>
          <w:i/>
          <w:iCs/>
        </w:rPr>
        <w:t>Radiocommunications (Transmitter and Receiver Licences) Determination</w:t>
      </w:r>
      <w:r w:rsidR="00A61FD3" w:rsidRPr="00A61FD3">
        <w:t xml:space="preserve"> made under subsection 98(1) of the Act</w:t>
      </w:r>
      <w:r w:rsidRPr="00A61FD3">
        <w:t>.</w:t>
      </w:r>
      <w:r>
        <w:t xml:space="preserve"> </w:t>
      </w:r>
    </w:p>
    <w:p w:rsidR="001D6A29" w:rsidRDefault="001D6A29" w:rsidP="00CD44F9">
      <w:pPr>
        <w:rPr>
          <w:b/>
        </w:rPr>
      </w:pPr>
    </w:p>
    <w:sectPr w:rsidR="001D6A29" w:rsidSect="00CD44F9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continuous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E5B" w:rsidRDefault="00C27E5B">
      <w:r>
        <w:separator/>
      </w:r>
    </w:p>
  </w:endnote>
  <w:endnote w:type="continuationSeparator" w:id="0">
    <w:p w:rsidR="00C27E5B" w:rsidRDefault="00C2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80" w:rsidRDefault="00765180" w:rsidP="00285C95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65180">
      <w:tc>
        <w:tcPr>
          <w:tcW w:w="1134" w:type="dxa"/>
          <w:shd w:val="clear" w:color="auto" w:fill="auto"/>
        </w:tcPr>
        <w:p w:rsidR="00765180" w:rsidRPr="003D7214" w:rsidRDefault="00DF5175" w:rsidP="00285C95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765180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65180">
            <w:rPr>
              <w:rStyle w:val="PageNumber"/>
              <w:rFonts w:cs="Arial"/>
              <w:noProof/>
            </w:rPr>
            <w:t>8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765180" w:rsidRPr="004F5D6D" w:rsidRDefault="00DF5175" w:rsidP="00285C95">
          <w:pPr>
            <w:pStyle w:val="FooterCitation"/>
          </w:pPr>
          <w:r>
            <w:fldChar w:fldCharType="begin"/>
          </w:r>
          <w:r w:rsidR="00765180">
            <w:instrText xml:space="preserve"> REF  Citation\*charformat </w:instrText>
          </w:r>
          <w:r>
            <w:fldChar w:fldCharType="separate"/>
          </w:r>
          <w:r w:rsidR="005213C8" w:rsidRPr="005213C8">
            <w:t>Radiocommunications (Early Access to 700 MHz Band) Determination 201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765180" w:rsidRPr="00451BF5" w:rsidRDefault="00765180" w:rsidP="00285C95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765180" w:rsidRDefault="00765180" w:rsidP="00285C95">
    <w:pPr>
      <w:pStyle w:val="FooterDraft"/>
      <w:ind w:right="360" w:firstLine="360"/>
    </w:pPr>
    <w:r>
      <w:t>DRAFT ONLY</w:t>
    </w:r>
  </w:p>
  <w:p w:rsidR="00765180" w:rsidRDefault="00C27E5B" w:rsidP="00285C95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5213C8">
      <w:rPr>
        <w:noProof/>
      </w:rPr>
      <w:t>Draft s 31(2) determination - allocation based.DOCX</w:t>
    </w:r>
    <w:r>
      <w:rPr>
        <w:noProof/>
      </w:rPr>
      <w:fldChar w:fldCharType="end"/>
    </w:r>
    <w:r w:rsidR="00765180" w:rsidRPr="00974D8C">
      <w:t xml:space="preserve"> </w:t>
    </w:r>
    <w:r>
      <w:fldChar w:fldCharType="begin"/>
    </w:r>
    <w:r>
      <w:instrText xml:space="preserve"> DATE  \@ "D/MM/YYYY"  \* MERGEFORMAT </w:instrText>
    </w:r>
    <w:r>
      <w:fldChar w:fldCharType="separate"/>
    </w:r>
    <w:r w:rsidR="000B36E2">
      <w:rPr>
        <w:noProof/>
      </w:rPr>
      <w:t>20/06/2014</w:t>
    </w:r>
    <w:r>
      <w:rPr>
        <w:noProof/>
      </w:rPr>
      <w:fldChar w:fldCharType="end"/>
    </w:r>
    <w:r w:rsidR="00765180">
      <w:t xml:space="preserve"> </w:t>
    </w:r>
    <w:r>
      <w:fldChar w:fldCharType="begin"/>
    </w:r>
    <w:r>
      <w:instrText xml:space="preserve"> TIME  \@ "h:mm am/pm"  \* MERGEFORMAT </w:instrText>
    </w:r>
    <w:r>
      <w:fldChar w:fldCharType="separate"/>
    </w:r>
    <w:r w:rsidR="000B36E2">
      <w:rPr>
        <w:noProof/>
      </w:rPr>
      <w:t>1:23 PM</w:t>
    </w:r>
    <w:r>
      <w:rPr>
        <w:noProof/>
      </w:rPr>
      <w:fldChar w:fldCharType="end"/>
    </w:r>
  </w:p>
  <w:p w:rsidR="00765180" w:rsidRPr="00505C0F" w:rsidRDefault="00765180" w:rsidP="00285C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80" w:rsidRDefault="00765180" w:rsidP="00285C95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65180">
      <w:tc>
        <w:tcPr>
          <w:tcW w:w="1134" w:type="dxa"/>
          <w:shd w:val="clear" w:color="auto" w:fill="auto"/>
        </w:tcPr>
        <w:p w:rsidR="00765180" w:rsidRDefault="00765180" w:rsidP="00285C95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765180" w:rsidRPr="004F5D6D" w:rsidRDefault="00DF5175" w:rsidP="00285C95">
          <w:pPr>
            <w:pStyle w:val="FooterCitation"/>
          </w:pPr>
          <w:r>
            <w:fldChar w:fldCharType="begin"/>
          </w:r>
          <w:r w:rsidR="00765180">
            <w:instrText xml:space="preserve"> REF  Citation\*charformat </w:instrText>
          </w:r>
          <w:r>
            <w:fldChar w:fldCharType="separate"/>
          </w:r>
          <w:r w:rsidR="005213C8" w:rsidRPr="005213C8">
            <w:t>Radiocommunications (Early Access to 700 MHz Band) Determination 201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765180" w:rsidRPr="003D7214" w:rsidRDefault="00DF5175" w:rsidP="00285C95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765180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765180">
            <w:rPr>
              <w:rStyle w:val="PageNumber"/>
              <w:rFonts w:cs="Arial"/>
              <w:noProof/>
            </w:rPr>
            <w:t>8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765180" w:rsidRDefault="00765180" w:rsidP="00285C95">
    <w:pPr>
      <w:pStyle w:val="FooterDraft"/>
    </w:pPr>
    <w:r>
      <w:t>DRAFT ONLY</w:t>
    </w:r>
  </w:p>
  <w:p w:rsidR="00765180" w:rsidRDefault="00C27E5B" w:rsidP="00285C95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5213C8">
      <w:rPr>
        <w:noProof/>
      </w:rPr>
      <w:t>Draft s 31(2) determination - allocation based.DOCX</w:t>
    </w:r>
    <w:r>
      <w:rPr>
        <w:noProof/>
      </w:rPr>
      <w:fldChar w:fldCharType="end"/>
    </w:r>
    <w:r w:rsidR="00765180" w:rsidRPr="00974D8C">
      <w:t xml:space="preserve"> </w:t>
    </w:r>
    <w:r>
      <w:fldChar w:fldCharType="begin"/>
    </w:r>
    <w:r>
      <w:instrText xml:space="preserve"> DATE  \@ "D/MM/YYYY"  \* MERGEFORMAT </w:instrText>
    </w:r>
    <w:r>
      <w:fldChar w:fldCharType="separate"/>
    </w:r>
    <w:r w:rsidR="000B36E2">
      <w:rPr>
        <w:noProof/>
      </w:rPr>
      <w:t>20/06/2014</w:t>
    </w:r>
    <w:r>
      <w:rPr>
        <w:noProof/>
      </w:rPr>
      <w:fldChar w:fldCharType="end"/>
    </w:r>
    <w:r w:rsidR="00765180">
      <w:t xml:space="preserve"> </w:t>
    </w:r>
    <w:r>
      <w:fldChar w:fldCharType="begin"/>
    </w:r>
    <w:r>
      <w:instrText xml:space="preserve"> TIME  \@ "h:mm am/pm"  \* MERGEFORMAT </w:instrText>
    </w:r>
    <w:r>
      <w:fldChar w:fldCharType="separate"/>
    </w:r>
    <w:r w:rsidR="000B36E2">
      <w:rPr>
        <w:noProof/>
      </w:rPr>
      <w:t>1:23 PM</w:t>
    </w:r>
    <w:r>
      <w:rPr>
        <w:noProof/>
      </w:rPr>
      <w:fldChar w:fldCharType="end"/>
    </w:r>
  </w:p>
  <w:p w:rsidR="00765180" w:rsidRPr="00F10D43" w:rsidRDefault="00765180" w:rsidP="00285C95">
    <w:pPr>
      <w:pStyle w:val="Footerinfo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E2" w:rsidRDefault="000B36E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80" w:rsidRDefault="00765180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65180">
      <w:tc>
        <w:tcPr>
          <w:tcW w:w="1134" w:type="dxa"/>
        </w:tcPr>
        <w:p w:rsidR="00765180" w:rsidRPr="003D7214" w:rsidRDefault="00DF5175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765180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0B36E2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765180" w:rsidRPr="004F5D6D" w:rsidRDefault="00765180" w:rsidP="00BD545A">
          <w:pPr>
            <w:pStyle w:val="Footer"/>
            <w:spacing w:before="20" w:line="240" w:lineRule="exact"/>
          </w:pPr>
        </w:p>
      </w:tc>
      <w:tc>
        <w:tcPr>
          <w:tcW w:w="1134" w:type="dxa"/>
        </w:tcPr>
        <w:p w:rsidR="00765180" w:rsidRPr="00451BF5" w:rsidRDefault="00765180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765180" w:rsidRDefault="00765180" w:rsidP="00BD545A">
    <w:pPr>
      <w:pStyle w:val="FooterInf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80" w:rsidRDefault="00765180" w:rsidP="00BD545A">
    <w:pPr>
      <w:spacing w:line="200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80" w:rsidRDefault="00765180">
    <w:pPr>
      <w:pStyle w:val="FooterDraft"/>
    </w:pPr>
    <w:r>
      <w:t>DRAFT ONLY</w:t>
    </w:r>
  </w:p>
  <w:p w:rsidR="00765180" w:rsidRPr="00974D8C" w:rsidRDefault="00C27E5B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5213C8">
      <w:rPr>
        <w:noProof/>
      </w:rPr>
      <w:t>Draft s 31(2) determination - allocation based.DOCX</w:t>
    </w:r>
    <w:r>
      <w:rPr>
        <w:noProof/>
      </w:rPr>
      <w:fldChar w:fldCharType="end"/>
    </w:r>
    <w:r w:rsidR="00765180" w:rsidRPr="00974D8C">
      <w:t xml:space="preserve"> </w:t>
    </w:r>
    <w:r>
      <w:fldChar w:fldCharType="begin"/>
    </w:r>
    <w:r>
      <w:instrText xml:space="preserve"> DATE  \@ "D/MM/YYYY"  \* MERGEFORMAT </w:instrText>
    </w:r>
    <w:r>
      <w:fldChar w:fldCharType="separate"/>
    </w:r>
    <w:r w:rsidR="000B36E2">
      <w:rPr>
        <w:noProof/>
      </w:rPr>
      <w:t>20/06/2014</w:t>
    </w:r>
    <w:r>
      <w:rPr>
        <w:noProof/>
      </w:rPr>
      <w:fldChar w:fldCharType="end"/>
    </w:r>
    <w:r w:rsidR="00765180">
      <w:t xml:space="preserve"> </w:t>
    </w:r>
    <w:r>
      <w:fldChar w:fldCharType="begin"/>
    </w:r>
    <w:r>
      <w:instrText xml:space="preserve"> TIME  \@ "h:mm am/pm"  \* MERGEFORMAT </w:instrText>
    </w:r>
    <w:r>
      <w:fldChar w:fldCharType="separate"/>
    </w:r>
    <w:r w:rsidR="000B36E2">
      <w:rPr>
        <w:noProof/>
      </w:rPr>
      <w:t>1:23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E5B" w:rsidRDefault="00C27E5B">
      <w:r>
        <w:separator/>
      </w:r>
    </w:p>
  </w:footnote>
  <w:footnote w:type="continuationSeparator" w:id="0">
    <w:p w:rsidR="00C27E5B" w:rsidRDefault="00C27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765180">
      <w:tc>
        <w:tcPr>
          <w:tcW w:w="1546" w:type="dxa"/>
        </w:tcPr>
        <w:p w:rsidR="00765180" w:rsidRDefault="00765180">
          <w:pPr>
            <w:pStyle w:val="HeaderLiteEven"/>
          </w:pPr>
        </w:p>
      </w:tc>
      <w:tc>
        <w:tcPr>
          <w:tcW w:w="6868" w:type="dxa"/>
          <w:vAlign w:val="bottom"/>
        </w:tcPr>
        <w:p w:rsidR="00765180" w:rsidRDefault="00765180">
          <w:pPr>
            <w:pStyle w:val="HeaderLiteEven"/>
          </w:pPr>
        </w:p>
      </w:tc>
    </w:tr>
    <w:tr w:rsidR="00765180">
      <w:tc>
        <w:tcPr>
          <w:tcW w:w="1546" w:type="dxa"/>
        </w:tcPr>
        <w:p w:rsidR="00765180" w:rsidRDefault="00765180">
          <w:pPr>
            <w:pStyle w:val="HeaderLiteEven"/>
          </w:pPr>
        </w:p>
      </w:tc>
      <w:tc>
        <w:tcPr>
          <w:tcW w:w="6868" w:type="dxa"/>
          <w:vAlign w:val="bottom"/>
        </w:tcPr>
        <w:p w:rsidR="00765180" w:rsidRDefault="00765180">
          <w:pPr>
            <w:pStyle w:val="HeaderLiteEven"/>
          </w:pPr>
        </w:p>
      </w:tc>
    </w:tr>
    <w:tr w:rsidR="00765180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65180" w:rsidRDefault="00765180" w:rsidP="00285C95">
          <w:pPr>
            <w:pStyle w:val="HeaderLiteEven"/>
            <w:spacing w:before="120" w:after="60"/>
            <w:ind w:right="-108"/>
          </w:pPr>
        </w:p>
      </w:tc>
    </w:tr>
  </w:tbl>
  <w:p w:rsidR="00765180" w:rsidRDefault="007651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765180">
      <w:tc>
        <w:tcPr>
          <w:tcW w:w="6840" w:type="dxa"/>
          <w:vAlign w:val="bottom"/>
        </w:tcPr>
        <w:p w:rsidR="00765180" w:rsidRDefault="00765180">
          <w:pPr>
            <w:pStyle w:val="HeaderLiteEven"/>
          </w:pPr>
        </w:p>
      </w:tc>
      <w:tc>
        <w:tcPr>
          <w:tcW w:w="1574" w:type="dxa"/>
        </w:tcPr>
        <w:p w:rsidR="00765180" w:rsidRDefault="00765180">
          <w:pPr>
            <w:pStyle w:val="HeaderLiteEven"/>
          </w:pPr>
        </w:p>
      </w:tc>
    </w:tr>
    <w:tr w:rsidR="00765180">
      <w:tc>
        <w:tcPr>
          <w:tcW w:w="6840" w:type="dxa"/>
          <w:vAlign w:val="bottom"/>
        </w:tcPr>
        <w:p w:rsidR="00765180" w:rsidRDefault="00765180">
          <w:pPr>
            <w:pStyle w:val="HeaderLiteEven"/>
          </w:pPr>
        </w:p>
      </w:tc>
      <w:tc>
        <w:tcPr>
          <w:tcW w:w="1574" w:type="dxa"/>
        </w:tcPr>
        <w:p w:rsidR="00765180" w:rsidRDefault="00765180">
          <w:pPr>
            <w:pStyle w:val="HeaderLiteEven"/>
          </w:pPr>
        </w:p>
      </w:tc>
    </w:tr>
    <w:tr w:rsidR="00765180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765180" w:rsidRDefault="00765180">
          <w:pPr>
            <w:pStyle w:val="HeaderLiteEven"/>
            <w:spacing w:before="120" w:after="60"/>
            <w:ind w:right="-108"/>
          </w:pPr>
        </w:p>
      </w:tc>
    </w:tr>
  </w:tbl>
  <w:p w:rsidR="00765180" w:rsidRDefault="0076518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80" w:rsidRDefault="0076518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765180">
      <w:tc>
        <w:tcPr>
          <w:tcW w:w="1494" w:type="dxa"/>
        </w:tcPr>
        <w:p w:rsidR="00765180" w:rsidRDefault="00765180" w:rsidP="00BD545A">
          <w:pPr>
            <w:pStyle w:val="HeaderLiteEven"/>
          </w:pPr>
        </w:p>
      </w:tc>
      <w:tc>
        <w:tcPr>
          <w:tcW w:w="6891" w:type="dxa"/>
        </w:tcPr>
        <w:p w:rsidR="00765180" w:rsidRDefault="00765180" w:rsidP="00BD545A">
          <w:pPr>
            <w:pStyle w:val="HeaderLiteEven"/>
          </w:pPr>
        </w:p>
      </w:tc>
    </w:tr>
    <w:tr w:rsidR="00765180">
      <w:tc>
        <w:tcPr>
          <w:tcW w:w="1494" w:type="dxa"/>
        </w:tcPr>
        <w:p w:rsidR="00765180" w:rsidRDefault="00765180" w:rsidP="00BD545A">
          <w:pPr>
            <w:pStyle w:val="HeaderLiteEven"/>
          </w:pPr>
        </w:p>
      </w:tc>
      <w:tc>
        <w:tcPr>
          <w:tcW w:w="6891" w:type="dxa"/>
        </w:tcPr>
        <w:p w:rsidR="00765180" w:rsidRDefault="00765180" w:rsidP="00BD545A">
          <w:pPr>
            <w:pStyle w:val="HeaderLiteEven"/>
          </w:pPr>
        </w:p>
      </w:tc>
    </w:tr>
    <w:tr w:rsidR="00765180">
      <w:tc>
        <w:tcPr>
          <w:tcW w:w="8385" w:type="dxa"/>
          <w:gridSpan w:val="2"/>
          <w:tcBorders>
            <w:bottom w:val="single" w:sz="4" w:space="0" w:color="auto"/>
          </w:tcBorders>
        </w:tcPr>
        <w:p w:rsidR="00765180" w:rsidRDefault="00765180" w:rsidP="00BD545A">
          <w:pPr>
            <w:pStyle w:val="HeaderBoldEven"/>
          </w:pPr>
        </w:p>
      </w:tc>
    </w:tr>
  </w:tbl>
  <w:p w:rsidR="00765180" w:rsidRDefault="00765180" w:rsidP="00BD545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765180">
      <w:tc>
        <w:tcPr>
          <w:tcW w:w="6914" w:type="dxa"/>
        </w:tcPr>
        <w:p w:rsidR="00765180" w:rsidRDefault="00765180" w:rsidP="00BD545A">
          <w:pPr>
            <w:pStyle w:val="HeaderLiteOdd"/>
          </w:pPr>
        </w:p>
      </w:tc>
      <w:tc>
        <w:tcPr>
          <w:tcW w:w="1471" w:type="dxa"/>
        </w:tcPr>
        <w:p w:rsidR="00765180" w:rsidRDefault="00765180" w:rsidP="00BD545A">
          <w:pPr>
            <w:pStyle w:val="HeaderLiteOdd"/>
          </w:pPr>
        </w:p>
      </w:tc>
    </w:tr>
    <w:tr w:rsidR="00765180">
      <w:tc>
        <w:tcPr>
          <w:tcW w:w="6914" w:type="dxa"/>
        </w:tcPr>
        <w:p w:rsidR="00765180" w:rsidRDefault="00765180" w:rsidP="00BD545A">
          <w:pPr>
            <w:pStyle w:val="HeaderLiteOdd"/>
          </w:pPr>
        </w:p>
      </w:tc>
      <w:tc>
        <w:tcPr>
          <w:tcW w:w="1471" w:type="dxa"/>
        </w:tcPr>
        <w:p w:rsidR="00765180" w:rsidRDefault="00765180" w:rsidP="00BD545A">
          <w:pPr>
            <w:pStyle w:val="HeaderLiteOdd"/>
          </w:pPr>
        </w:p>
      </w:tc>
    </w:tr>
    <w:tr w:rsidR="00765180">
      <w:tc>
        <w:tcPr>
          <w:tcW w:w="8385" w:type="dxa"/>
          <w:gridSpan w:val="2"/>
          <w:tcBorders>
            <w:bottom w:val="single" w:sz="4" w:space="0" w:color="auto"/>
          </w:tcBorders>
        </w:tcPr>
        <w:p w:rsidR="00765180" w:rsidRDefault="00765180" w:rsidP="00BD545A">
          <w:pPr>
            <w:pStyle w:val="HeaderBoldOdd"/>
          </w:pPr>
        </w:p>
      </w:tc>
    </w:tr>
  </w:tbl>
  <w:p w:rsidR="00765180" w:rsidRDefault="00765180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2739"/>
    <w:multiLevelType w:val="hybridMultilevel"/>
    <w:tmpl w:val="3A567F36"/>
    <w:lvl w:ilvl="0" w:tplc="4412C9F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0E72EC5"/>
    <w:multiLevelType w:val="hybridMultilevel"/>
    <w:tmpl w:val="EEDE3B4A"/>
    <w:lvl w:ilvl="0" w:tplc="6596A69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B787BC2">
      <w:start w:val="1"/>
      <w:numFmt w:val="lowerRoman"/>
      <w:lvlText w:val="(%2)"/>
      <w:lvlJc w:val="left"/>
      <w:pPr>
        <w:ind w:left="2433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3CA5323"/>
    <w:multiLevelType w:val="hybridMultilevel"/>
    <w:tmpl w:val="538A3FDE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>
    <w:nsid w:val="16ED3471"/>
    <w:multiLevelType w:val="hybridMultilevel"/>
    <w:tmpl w:val="519AE720"/>
    <w:lvl w:ilvl="0" w:tplc="DFCC16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01C86">
      <w:start w:val="1"/>
      <w:numFmt w:val="lowerRoman"/>
      <w:lvlText w:val="(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3522BF8"/>
    <w:multiLevelType w:val="hybridMultilevel"/>
    <w:tmpl w:val="9542B19E"/>
    <w:lvl w:ilvl="0" w:tplc="EFB0C55A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>
    <w:nsid w:val="24A75B35"/>
    <w:multiLevelType w:val="hybridMultilevel"/>
    <w:tmpl w:val="636C8C92"/>
    <w:lvl w:ilvl="0" w:tplc="B35453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B658B"/>
    <w:multiLevelType w:val="hybridMultilevel"/>
    <w:tmpl w:val="0448AF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FEB69DD"/>
    <w:multiLevelType w:val="hybridMultilevel"/>
    <w:tmpl w:val="A1C23498"/>
    <w:lvl w:ilvl="0" w:tplc="A2AC2E82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42CB376E"/>
    <w:multiLevelType w:val="hybridMultilevel"/>
    <w:tmpl w:val="9838403A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2">
    <w:nsid w:val="43F1484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CE22E76"/>
    <w:multiLevelType w:val="hybridMultilevel"/>
    <w:tmpl w:val="5E66CC6C"/>
    <w:lvl w:ilvl="0" w:tplc="0C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4">
    <w:nsid w:val="4FB923CB"/>
    <w:multiLevelType w:val="hybridMultilevel"/>
    <w:tmpl w:val="F6F23206"/>
    <w:lvl w:ilvl="0" w:tplc="9AE4B42E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6AE15AB"/>
    <w:multiLevelType w:val="hybridMultilevel"/>
    <w:tmpl w:val="C84CC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C513B"/>
    <w:multiLevelType w:val="hybridMultilevel"/>
    <w:tmpl w:val="A5983BCE"/>
    <w:lvl w:ilvl="0" w:tplc="1DF8F626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5ECE42F5"/>
    <w:multiLevelType w:val="hybridMultilevel"/>
    <w:tmpl w:val="8FAA0D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056BDD"/>
    <w:multiLevelType w:val="hybridMultilevel"/>
    <w:tmpl w:val="1354EB98"/>
    <w:lvl w:ilvl="0" w:tplc="93743426">
      <w:start w:val="2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0">
    <w:nsid w:val="6B5B4FC5"/>
    <w:multiLevelType w:val="hybridMultilevel"/>
    <w:tmpl w:val="07687642"/>
    <w:lvl w:ilvl="0" w:tplc="C3EE130C">
      <w:start w:val="1"/>
      <w:numFmt w:val="lowerLetter"/>
      <w:lvlText w:val="(%1)"/>
      <w:lvlJc w:val="left"/>
      <w:pPr>
        <w:ind w:left="17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3" w:hanging="360"/>
      </w:pPr>
    </w:lvl>
    <w:lvl w:ilvl="2" w:tplc="0C09001B" w:tentative="1">
      <w:start w:val="1"/>
      <w:numFmt w:val="lowerRoman"/>
      <w:lvlText w:val="%3."/>
      <w:lvlJc w:val="right"/>
      <w:pPr>
        <w:ind w:left="3233" w:hanging="180"/>
      </w:pPr>
    </w:lvl>
    <w:lvl w:ilvl="3" w:tplc="0C09000F" w:tentative="1">
      <w:start w:val="1"/>
      <w:numFmt w:val="decimal"/>
      <w:lvlText w:val="%4."/>
      <w:lvlJc w:val="left"/>
      <w:pPr>
        <w:ind w:left="3953" w:hanging="360"/>
      </w:pPr>
    </w:lvl>
    <w:lvl w:ilvl="4" w:tplc="0C090019" w:tentative="1">
      <w:start w:val="1"/>
      <w:numFmt w:val="lowerLetter"/>
      <w:lvlText w:val="%5."/>
      <w:lvlJc w:val="left"/>
      <w:pPr>
        <w:ind w:left="4673" w:hanging="360"/>
      </w:pPr>
    </w:lvl>
    <w:lvl w:ilvl="5" w:tplc="0C09001B" w:tentative="1">
      <w:start w:val="1"/>
      <w:numFmt w:val="lowerRoman"/>
      <w:lvlText w:val="%6."/>
      <w:lvlJc w:val="right"/>
      <w:pPr>
        <w:ind w:left="5393" w:hanging="180"/>
      </w:pPr>
    </w:lvl>
    <w:lvl w:ilvl="6" w:tplc="0C09000F" w:tentative="1">
      <w:start w:val="1"/>
      <w:numFmt w:val="decimal"/>
      <w:lvlText w:val="%7."/>
      <w:lvlJc w:val="left"/>
      <w:pPr>
        <w:ind w:left="6113" w:hanging="360"/>
      </w:pPr>
    </w:lvl>
    <w:lvl w:ilvl="7" w:tplc="0C090019" w:tentative="1">
      <w:start w:val="1"/>
      <w:numFmt w:val="lowerLetter"/>
      <w:lvlText w:val="%8."/>
      <w:lvlJc w:val="left"/>
      <w:pPr>
        <w:ind w:left="6833" w:hanging="360"/>
      </w:pPr>
    </w:lvl>
    <w:lvl w:ilvl="8" w:tplc="0C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1">
    <w:nsid w:val="704260F8"/>
    <w:multiLevelType w:val="hybridMultilevel"/>
    <w:tmpl w:val="B55E7D02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8"/>
  </w:num>
  <w:num w:numId="5">
    <w:abstractNumId w:val="8"/>
  </w:num>
  <w:num w:numId="6">
    <w:abstractNumId w:val="12"/>
  </w:num>
  <w:num w:numId="7">
    <w:abstractNumId w:val="0"/>
  </w:num>
  <w:num w:numId="8">
    <w:abstractNumId w:val="14"/>
  </w:num>
  <w:num w:numId="9">
    <w:abstractNumId w:val="4"/>
  </w:num>
  <w:num w:numId="10">
    <w:abstractNumId w:val="21"/>
  </w:num>
  <w:num w:numId="11">
    <w:abstractNumId w:val="11"/>
  </w:num>
  <w:num w:numId="12">
    <w:abstractNumId w:val="20"/>
  </w:num>
  <w:num w:numId="13">
    <w:abstractNumId w:val="7"/>
  </w:num>
  <w:num w:numId="14">
    <w:abstractNumId w:val="2"/>
  </w:num>
  <w:num w:numId="15">
    <w:abstractNumId w:val="3"/>
  </w:num>
  <w:num w:numId="16">
    <w:abstractNumId w:val="13"/>
  </w:num>
  <w:num w:numId="17">
    <w:abstractNumId w:val="17"/>
  </w:num>
  <w:num w:numId="18">
    <w:abstractNumId w:val="10"/>
  </w:num>
  <w:num w:numId="19">
    <w:abstractNumId w:val="19"/>
  </w:num>
  <w:num w:numId="20">
    <w:abstractNumId w:val="6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Formatting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gnword-docGUID" w:val="{5FDA81E2-4D13-4384-8D74-66044128C3BA}"/>
    <w:docVar w:name="dgnword-eventsink" w:val="35057808"/>
  </w:docVars>
  <w:rsids>
    <w:rsidRoot w:val="00982C68"/>
    <w:rsid w:val="000038A0"/>
    <w:rsid w:val="00012F8A"/>
    <w:rsid w:val="0001662A"/>
    <w:rsid w:val="00020108"/>
    <w:rsid w:val="00025A11"/>
    <w:rsid w:val="0002758C"/>
    <w:rsid w:val="00031DBA"/>
    <w:rsid w:val="00032F2C"/>
    <w:rsid w:val="00040090"/>
    <w:rsid w:val="000403D5"/>
    <w:rsid w:val="000423DB"/>
    <w:rsid w:val="000427E4"/>
    <w:rsid w:val="0004456C"/>
    <w:rsid w:val="00045BA4"/>
    <w:rsid w:val="00045F1B"/>
    <w:rsid w:val="000521B7"/>
    <w:rsid w:val="0005339D"/>
    <w:rsid w:val="00053841"/>
    <w:rsid w:val="00060076"/>
    <w:rsid w:val="000600F7"/>
    <w:rsid w:val="00063E9F"/>
    <w:rsid w:val="000646EC"/>
    <w:rsid w:val="00065118"/>
    <w:rsid w:val="00065296"/>
    <w:rsid w:val="00070C7C"/>
    <w:rsid w:val="000715D1"/>
    <w:rsid w:val="00082916"/>
    <w:rsid w:val="00083189"/>
    <w:rsid w:val="000841C1"/>
    <w:rsid w:val="0008560A"/>
    <w:rsid w:val="00085C6D"/>
    <w:rsid w:val="00086280"/>
    <w:rsid w:val="000869DB"/>
    <w:rsid w:val="00087B8A"/>
    <w:rsid w:val="00091146"/>
    <w:rsid w:val="000912DF"/>
    <w:rsid w:val="00095849"/>
    <w:rsid w:val="000A0788"/>
    <w:rsid w:val="000A0CCA"/>
    <w:rsid w:val="000A1742"/>
    <w:rsid w:val="000A601B"/>
    <w:rsid w:val="000A620C"/>
    <w:rsid w:val="000A7869"/>
    <w:rsid w:val="000B36E2"/>
    <w:rsid w:val="000B4121"/>
    <w:rsid w:val="000B4194"/>
    <w:rsid w:val="000B51B3"/>
    <w:rsid w:val="000C0364"/>
    <w:rsid w:val="000C6DF0"/>
    <w:rsid w:val="000D1916"/>
    <w:rsid w:val="000E16EC"/>
    <w:rsid w:val="000E27E3"/>
    <w:rsid w:val="000E48BD"/>
    <w:rsid w:val="000E7494"/>
    <w:rsid w:val="001055A8"/>
    <w:rsid w:val="00105BB8"/>
    <w:rsid w:val="00111D90"/>
    <w:rsid w:val="001145A8"/>
    <w:rsid w:val="00116989"/>
    <w:rsid w:val="00125657"/>
    <w:rsid w:val="00130334"/>
    <w:rsid w:val="001312D8"/>
    <w:rsid w:val="001328CE"/>
    <w:rsid w:val="00134DDC"/>
    <w:rsid w:val="00140090"/>
    <w:rsid w:val="001409F1"/>
    <w:rsid w:val="0014186A"/>
    <w:rsid w:val="00141CBA"/>
    <w:rsid w:val="00144DE3"/>
    <w:rsid w:val="00153195"/>
    <w:rsid w:val="00154F07"/>
    <w:rsid w:val="00162609"/>
    <w:rsid w:val="00164935"/>
    <w:rsid w:val="00165D61"/>
    <w:rsid w:val="00173791"/>
    <w:rsid w:val="0017685B"/>
    <w:rsid w:val="00180269"/>
    <w:rsid w:val="00185F83"/>
    <w:rsid w:val="00186360"/>
    <w:rsid w:val="00187D63"/>
    <w:rsid w:val="00191FA5"/>
    <w:rsid w:val="00192C10"/>
    <w:rsid w:val="00193F32"/>
    <w:rsid w:val="001A179D"/>
    <w:rsid w:val="001A4DD7"/>
    <w:rsid w:val="001A6C59"/>
    <w:rsid w:val="001C22F5"/>
    <w:rsid w:val="001C25FE"/>
    <w:rsid w:val="001C7118"/>
    <w:rsid w:val="001C769F"/>
    <w:rsid w:val="001D6A29"/>
    <w:rsid w:val="001D6D71"/>
    <w:rsid w:val="001E092D"/>
    <w:rsid w:val="001E1749"/>
    <w:rsid w:val="001F108C"/>
    <w:rsid w:val="001F41C5"/>
    <w:rsid w:val="002015B2"/>
    <w:rsid w:val="00203232"/>
    <w:rsid w:val="00210652"/>
    <w:rsid w:val="00214C3B"/>
    <w:rsid w:val="00221073"/>
    <w:rsid w:val="00222FD0"/>
    <w:rsid w:val="00223005"/>
    <w:rsid w:val="002252C7"/>
    <w:rsid w:val="0022734F"/>
    <w:rsid w:val="002319F2"/>
    <w:rsid w:val="00233C57"/>
    <w:rsid w:val="0023489C"/>
    <w:rsid w:val="0024222C"/>
    <w:rsid w:val="00242954"/>
    <w:rsid w:val="00242B87"/>
    <w:rsid w:val="00243601"/>
    <w:rsid w:val="00244C01"/>
    <w:rsid w:val="00246042"/>
    <w:rsid w:val="00252F17"/>
    <w:rsid w:val="00253DDD"/>
    <w:rsid w:val="00257010"/>
    <w:rsid w:val="00260912"/>
    <w:rsid w:val="00262ECF"/>
    <w:rsid w:val="002645B2"/>
    <w:rsid w:val="00274784"/>
    <w:rsid w:val="00274EE1"/>
    <w:rsid w:val="00275245"/>
    <w:rsid w:val="00281E63"/>
    <w:rsid w:val="00285C95"/>
    <w:rsid w:val="0028609E"/>
    <w:rsid w:val="00286CEA"/>
    <w:rsid w:val="00293BC3"/>
    <w:rsid w:val="002A0984"/>
    <w:rsid w:val="002A19B0"/>
    <w:rsid w:val="002A37DA"/>
    <w:rsid w:val="002A7060"/>
    <w:rsid w:val="002B104A"/>
    <w:rsid w:val="002B1EBA"/>
    <w:rsid w:val="002B265A"/>
    <w:rsid w:val="002B3023"/>
    <w:rsid w:val="002B3196"/>
    <w:rsid w:val="002B32C5"/>
    <w:rsid w:val="002B4038"/>
    <w:rsid w:val="002B519A"/>
    <w:rsid w:val="002B7DCF"/>
    <w:rsid w:val="002D4558"/>
    <w:rsid w:val="002D71AC"/>
    <w:rsid w:val="002D74E4"/>
    <w:rsid w:val="002D7932"/>
    <w:rsid w:val="002E5749"/>
    <w:rsid w:val="002E7FF2"/>
    <w:rsid w:val="002F01F6"/>
    <w:rsid w:val="002F78D5"/>
    <w:rsid w:val="00306194"/>
    <w:rsid w:val="003072E7"/>
    <w:rsid w:val="003231FF"/>
    <w:rsid w:val="0033308B"/>
    <w:rsid w:val="0033573E"/>
    <w:rsid w:val="00336724"/>
    <w:rsid w:val="00340A73"/>
    <w:rsid w:val="00343B24"/>
    <w:rsid w:val="00345B2E"/>
    <w:rsid w:val="003469E3"/>
    <w:rsid w:val="0035001E"/>
    <w:rsid w:val="00353F3B"/>
    <w:rsid w:val="00357657"/>
    <w:rsid w:val="003632D7"/>
    <w:rsid w:val="00367E3F"/>
    <w:rsid w:val="00370AA7"/>
    <w:rsid w:val="00370DD7"/>
    <w:rsid w:val="0037255F"/>
    <w:rsid w:val="0038199B"/>
    <w:rsid w:val="00387F34"/>
    <w:rsid w:val="00392557"/>
    <w:rsid w:val="0039396B"/>
    <w:rsid w:val="00395AA8"/>
    <w:rsid w:val="003A5AF1"/>
    <w:rsid w:val="003A77F7"/>
    <w:rsid w:val="003B0D29"/>
    <w:rsid w:val="003B498F"/>
    <w:rsid w:val="003B53D5"/>
    <w:rsid w:val="003B7E2B"/>
    <w:rsid w:val="003C1D25"/>
    <w:rsid w:val="003D1079"/>
    <w:rsid w:val="003D1FD3"/>
    <w:rsid w:val="003D459D"/>
    <w:rsid w:val="003D5FC8"/>
    <w:rsid w:val="003D659C"/>
    <w:rsid w:val="003D6F03"/>
    <w:rsid w:val="003E6D06"/>
    <w:rsid w:val="003F3228"/>
    <w:rsid w:val="003F4C5E"/>
    <w:rsid w:val="003F6833"/>
    <w:rsid w:val="004005D4"/>
    <w:rsid w:val="00403F78"/>
    <w:rsid w:val="00421964"/>
    <w:rsid w:val="00422522"/>
    <w:rsid w:val="004255DD"/>
    <w:rsid w:val="0042579C"/>
    <w:rsid w:val="004311E3"/>
    <w:rsid w:val="004337FE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33FC"/>
    <w:rsid w:val="00454784"/>
    <w:rsid w:val="00455B19"/>
    <w:rsid w:val="00461EFE"/>
    <w:rsid w:val="004624D8"/>
    <w:rsid w:val="00464092"/>
    <w:rsid w:val="004640EA"/>
    <w:rsid w:val="00464AD1"/>
    <w:rsid w:val="004656C0"/>
    <w:rsid w:val="00466DBA"/>
    <w:rsid w:val="00470DE6"/>
    <w:rsid w:val="004772A0"/>
    <w:rsid w:val="004839A4"/>
    <w:rsid w:val="004879CB"/>
    <w:rsid w:val="0049172E"/>
    <w:rsid w:val="0049577C"/>
    <w:rsid w:val="004A20E2"/>
    <w:rsid w:val="004A54AE"/>
    <w:rsid w:val="004A6D71"/>
    <w:rsid w:val="004A7713"/>
    <w:rsid w:val="004A7AA7"/>
    <w:rsid w:val="004B1AC1"/>
    <w:rsid w:val="004B3F81"/>
    <w:rsid w:val="004B613F"/>
    <w:rsid w:val="004B6C4F"/>
    <w:rsid w:val="004C3987"/>
    <w:rsid w:val="004C7C9D"/>
    <w:rsid w:val="004D2382"/>
    <w:rsid w:val="004D32C2"/>
    <w:rsid w:val="004D5EAB"/>
    <w:rsid w:val="004D6045"/>
    <w:rsid w:val="004E0619"/>
    <w:rsid w:val="004E1024"/>
    <w:rsid w:val="004E1C75"/>
    <w:rsid w:val="004E2FEB"/>
    <w:rsid w:val="004E5D15"/>
    <w:rsid w:val="004E7590"/>
    <w:rsid w:val="004F3718"/>
    <w:rsid w:val="004F5D6D"/>
    <w:rsid w:val="00501E0C"/>
    <w:rsid w:val="005056C8"/>
    <w:rsid w:val="00506DFD"/>
    <w:rsid w:val="0051137B"/>
    <w:rsid w:val="00511776"/>
    <w:rsid w:val="00511924"/>
    <w:rsid w:val="00512974"/>
    <w:rsid w:val="0051511D"/>
    <w:rsid w:val="005213C8"/>
    <w:rsid w:val="0052220C"/>
    <w:rsid w:val="005234C3"/>
    <w:rsid w:val="005234C7"/>
    <w:rsid w:val="005238E0"/>
    <w:rsid w:val="005277E8"/>
    <w:rsid w:val="0054351E"/>
    <w:rsid w:val="00544836"/>
    <w:rsid w:val="005516CA"/>
    <w:rsid w:val="005621BE"/>
    <w:rsid w:val="005672DE"/>
    <w:rsid w:val="005749F6"/>
    <w:rsid w:val="00576569"/>
    <w:rsid w:val="00580301"/>
    <w:rsid w:val="005859FB"/>
    <w:rsid w:val="005924C4"/>
    <w:rsid w:val="005943B6"/>
    <w:rsid w:val="0059686A"/>
    <w:rsid w:val="005A4031"/>
    <w:rsid w:val="005A730E"/>
    <w:rsid w:val="005B15A5"/>
    <w:rsid w:val="005B3AC0"/>
    <w:rsid w:val="005B5BAF"/>
    <w:rsid w:val="005B7B02"/>
    <w:rsid w:val="005C1ABE"/>
    <w:rsid w:val="005C2D75"/>
    <w:rsid w:val="005C4A85"/>
    <w:rsid w:val="005D0D39"/>
    <w:rsid w:val="005D2F97"/>
    <w:rsid w:val="005D6027"/>
    <w:rsid w:val="005D692B"/>
    <w:rsid w:val="005E43E5"/>
    <w:rsid w:val="005E563D"/>
    <w:rsid w:val="005F0DDB"/>
    <w:rsid w:val="005F33E5"/>
    <w:rsid w:val="005F47D8"/>
    <w:rsid w:val="005F52A1"/>
    <w:rsid w:val="00602748"/>
    <w:rsid w:val="006047C5"/>
    <w:rsid w:val="00605588"/>
    <w:rsid w:val="00621915"/>
    <w:rsid w:val="00624074"/>
    <w:rsid w:val="00626798"/>
    <w:rsid w:val="0062769F"/>
    <w:rsid w:val="00641664"/>
    <w:rsid w:val="0065001E"/>
    <w:rsid w:val="006533B7"/>
    <w:rsid w:val="0066165F"/>
    <w:rsid w:val="00674B00"/>
    <w:rsid w:val="00683706"/>
    <w:rsid w:val="00685280"/>
    <w:rsid w:val="00692B5B"/>
    <w:rsid w:val="006A5A10"/>
    <w:rsid w:val="006B384F"/>
    <w:rsid w:val="006C2616"/>
    <w:rsid w:val="006C5742"/>
    <w:rsid w:val="006D018E"/>
    <w:rsid w:val="006D2B51"/>
    <w:rsid w:val="006D3078"/>
    <w:rsid w:val="006D4034"/>
    <w:rsid w:val="006E136D"/>
    <w:rsid w:val="006E1E21"/>
    <w:rsid w:val="006E2530"/>
    <w:rsid w:val="006E548F"/>
    <w:rsid w:val="006E6EB2"/>
    <w:rsid w:val="006E7E7A"/>
    <w:rsid w:val="006F0BD8"/>
    <w:rsid w:val="006F73F0"/>
    <w:rsid w:val="00702998"/>
    <w:rsid w:val="00706D47"/>
    <w:rsid w:val="0071055A"/>
    <w:rsid w:val="0071414A"/>
    <w:rsid w:val="0071514F"/>
    <w:rsid w:val="00716F1E"/>
    <w:rsid w:val="00727685"/>
    <w:rsid w:val="00730AF8"/>
    <w:rsid w:val="007329F8"/>
    <w:rsid w:val="00735D7F"/>
    <w:rsid w:val="007375F7"/>
    <w:rsid w:val="00740322"/>
    <w:rsid w:val="00740916"/>
    <w:rsid w:val="00742FC6"/>
    <w:rsid w:val="007431FF"/>
    <w:rsid w:val="00754F86"/>
    <w:rsid w:val="00756F9E"/>
    <w:rsid w:val="00765180"/>
    <w:rsid w:val="0076706A"/>
    <w:rsid w:val="00772ADE"/>
    <w:rsid w:val="0078300B"/>
    <w:rsid w:val="007833A9"/>
    <w:rsid w:val="007844E1"/>
    <w:rsid w:val="007851E9"/>
    <w:rsid w:val="007910D2"/>
    <w:rsid w:val="00794754"/>
    <w:rsid w:val="007A3064"/>
    <w:rsid w:val="007A3484"/>
    <w:rsid w:val="007A6766"/>
    <w:rsid w:val="007B1AEF"/>
    <w:rsid w:val="007B3A8D"/>
    <w:rsid w:val="007C6525"/>
    <w:rsid w:val="007C7959"/>
    <w:rsid w:val="007D0A38"/>
    <w:rsid w:val="007D1A1E"/>
    <w:rsid w:val="007E231D"/>
    <w:rsid w:val="007E3AA5"/>
    <w:rsid w:val="007E59ED"/>
    <w:rsid w:val="007F0A2D"/>
    <w:rsid w:val="007F488D"/>
    <w:rsid w:val="007F75DF"/>
    <w:rsid w:val="008002E8"/>
    <w:rsid w:val="008006D5"/>
    <w:rsid w:val="00811B2B"/>
    <w:rsid w:val="008149B7"/>
    <w:rsid w:val="00825250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5747"/>
    <w:rsid w:val="00856EB5"/>
    <w:rsid w:val="00863597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81497"/>
    <w:rsid w:val="00881E11"/>
    <w:rsid w:val="00883CB2"/>
    <w:rsid w:val="00886003"/>
    <w:rsid w:val="008866E8"/>
    <w:rsid w:val="0088671C"/>
    <w:rsid w:val="00886C7C"/>
    <w:rsid w:val="00892B51"/>
    <w:rsid w:val="008A2CE6"/>
    <w:rsid w:val="008A4808"/>
    <w:rsid w:val="008A656F"/>
    <w:rsid w:val="008A6DFE"/>
    <w:rsid w:val="008A78C8"/>
    <w:rsid w:val="008B0EFE"/>
    <w:rsid w:val="008B183C"/>
    <w:rsid w:val="008B1E93"/>
    <w:rsid w:val="008B3082"/>
    <w:rsid w:val="008B5981"/>
    <w:rsid w:val="008B66CC"/>
    <w:rsid w:val="008B6C52"/>
    <w:rsid w:val="008C3068"/>
    <w:rsid w:val="008C43C2"/>
    <w:rsid w:val="008C48D9"/>
    <w:rsid w:val="008C6B0B"/>
    <w:rsid w:val="008D03BB"/>
    <w:rsid w:val="008D5B3D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5D96"/>
    <w:rsid w:val="00923F48"/>
    <w:rsid w:val="00927849"/>
    <w:rsid w:val="00930919"/>
    <w:rsid w:val="00943CEA"/>
    <w:rsid w:val="00945A5E"/>
    <w:rsid w:val="009554DE"/>
    <w:rsid w:val="009612A7"/>
    <w:rsid w:val="00963ADB"/>
    <w:rsid w:val="00967444"/>
    <w:rsid w:val="0097000C"/>
    <w:rsid w:val="0097238C"/>
    <w:rsid w:val="00973C1A"/>
    <w:rsid w:val="00976374"/>
    <w:rsid w:val="009800AD"/>
    <w:rsid w:val="00982C68"/>
    <w:rsid w:val="00983A1F"/>
    <w:rsid w:val="00987485"/>
    <w:rsid w:val="0099167B"/>
    <w:rsid w:val="00993442"/>
    <w:rsid w:val="00996DC2"/>
    <w:rsid w:val="00997658"/>
    <w:rsid w:val="009A0CC8"/>
    <w:rsid w:val="009A1B54"/>
    <w:rsid w:val="009A207B"/>
    <w:rsid w:val="009A3B4A"/>
    <w:rsid w:val="009A5A0D"/>
    <w:rsid w:val="009A679E"/>
    <w:rsid w:val="009A6D1B"/>
    <w:rsid w:val="009B303B"/>
    <w:rsid w:val="009B3BDA"/>
    <w:rsid w:val="009B424B"/>
    <w:rsid w:val="009B76D8"/>
    <w:rsid w:val="009B785F"/>
    <w:rsid w:val="009C0398"/>
    <w:rsid w:val="009C0C7D"/>
    <w:rsid w:val="009D6B2A"/>
    <w:rsid w:val="009D7BDF"/>
    <w:rsid w:val="009E1C06"/>
    <w:rsid w:val="009E28DB"/>
    <w:rsid w:val="009E2D2F"/>
    <w:rsid w:val="009F05C1"/>
    <w:rsid w:val="009F3F7B"/>
    <w:rsid w:val="00A00C88"/>
    <w:rsid w:val="00A00F08"/>
    <w:rsid w:val="00A046F7"/>
    <w:rsid w:val="00A10B39"/>
    <w:rsid w:val="00A11F1B"/>
    <w:rsid w:val="00A13F63"/>
    <w:rsid w:val="00A15843"/>
    <w:rsid w:val="00A15B2B"/>
    <w:rsid w:val="00A21D2D"/>
    <w:rsid w:val="00A223AA"/>
    <w:rsid w:val="00A23644"/>
    <w:rsid w:val="00A24F06"/>
    <w:rsid w:val="00A266F5"/>
    <w:rsid w:val="00A30ABA"/>
    <w:rsid w:val="00A314B9"/>
    <w:rsid w:val="00A33D5D"/>
    <w:rsid w:val="00A33FF0"/>
    <w:rsid w:val="00A340B6"/>
    <w:rsid w:val="00A37252"/>
    <w:rsid w:val="00A41885"/>
    <w:rsid w:val="00A41B45"/>
    <w:rsid w:val="00A503B3"/>
    <w:rsid w:val="00A5210F"/>
    <w:rsid w:val="00A52515"/>
    <w:rsid w:val="00A54AA6"/>
    <w:rsid w:val="00A54B37"/>
    <w:rsid w:val="00A609DD"/>
    <w:rsid w:val="00A60B57"/>
    <w:rsid w:val="00A615B4"/>
    <w:rsid w:val="00A61815"/>
    <w:rsid w:val="00A61FD3"/>
    <w:rsid w:val="00A63C7B"/>
    <w:rsid w:val="00A644DE"/>
    <w:rsid w:val="00A65157"/>
    <w:rsid w:val="00A6740F"/>
    <w:rsid w:val="00A90C9D"/>
    <w:rsid w:val="00A921BD"/>
    <w:rsid w:val="00A95A88"/>
    <w:rsid w:val="00A97382"/>
    <w:rsid w:val="00AA1B63"/>
    <w:rsid w:val="00AA3188"/>
    <w:rsid w:val="00AA420D"/>
    <w:rsid w:val="00AB2C8C"/>
    <w:rsid w:val="00AB444A"/>
    <w:rsid w:val="00AB7DEB"/>
    <w:rsid w:val="00AC25B4"/>
    <w:rsid w:val="00AC405E"/>
    <w:rsid w:val="00AC755C"/>
    <w:rsid w:val="00AE18DE"/>
    <w:rsid w:val="00AE730A"/>
    <w:rsid w:val="00AE732F"/>
    <w:rsid w:val="00AF074C"/>
    <w:rsid w:val="00AF5389"/>
    <w:rsid w:val="00AF6C26"/>
    <w:rsid w:val="00AF716F"/>
    <w:rsid w:val="00B03AF0"/>
    <w:rsid w:val="00B05373"/>
    <w:rsid w:val="00B067E6"/>
    <w:rsid w:val="00B11A88"/>
    <w:rsid w:val="00B12260"/>
    <w:rsid w:val="00B13F00"/>
    <w:rsid w:val="00B156E1"/>
    <w:rsid w:val="00B16031"/>
    <w:rsid w:val="00B2078B"/>
    <w:rsid w:val="00B25433"/>
    <w:rsid w:val="00B2626C"/>
    <w:rsid w:val="00B3442F"/>
    <w:rsid w:val="00B3728B"/>
    <w:rsid w:val="00B408B6"/>
    <w:rsid w:val="00B531ED"/>
    <w:rsid w:val="00B53574"/>
    <w:rsid w:val="00B60027"/>
    <w:rsid w:val="00B61908"/>
    <w:rsid w:val="00B63AE9"/>
    <w:rsid w:val="00B662B0"/>
    <w:rsid w:val="00B670FF"/>
    <w:rsid w:val="00B70B80"/>
    <w:rsid w:val="00B70F0A"/>
    <w:rsid w:val="00B76BE0"/>
    <w:rsid w:val="00B76E3E"/>
    <w:rsid w:val="00B80913"/>
    <w:rsid w:val="00B8139C"/>
    <w:rsid w:val="00B81821"/>
    <w:rsid w:val="00B84E76"/>
    <w:rsid w:val="00B91A8D"/>
    <w:rsid w:val="00BA34AD"/>
    <w:rsid w:val="00BA45D3"/>
    <w:rsid w:val="00BA4B2A"/>
    <w:rsid w:val="00BB574E"/>
    <w:rsid w:val="00BB69FF"/>
    <w:rsid w:val="00BC5D88"/>
    <w:rsid w:val="00BC624E"/>
    <w:rsid w:val="00BC676D"/>
    <w:rsid w:val="00BD06B6"/>
    <w:rsid w:val="00BD1FB7"/>
    <w:rsid w:val="00BD545A"/>
    <w:rsid w:val="00BF1C2D"/>
    <w:rsid w:val="00BF2735"/>
    <w:rsid w:val="00BF65C1"/>
    <w:rsid w:val="00BF738E"/>
    <w:rsid w:val="00C0402F"/>
    <w:rsid w:val="00C14CE5"/>
    <w:rsid w:val="00C17BD8"/>
    <w:rsid w:val="00C24D41"/>
    <w:rsid w:val="00C27E5B"/>
    <w:rsid w:val="00C30025"/>
    <w:rsid w:val="00C3115C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39B5"/>
    <w:rsid w:val="00C63ABC"/>
    <w:rsid w:val="00C651A6"/>
    <w:rsid w:val="00C725F3"/>
    <w:rsid w:val="00C72C99"/>
    <w:rsid w:val="00C73F87"/>
    <w:rsid w:val="00C75B99"/>
    <w:rsid w:val="00C75F23"/>
    <w:rsid w:val="00C81DCA"/>
    <w:rsid w:val="00C822F8"/>
    <w:rsid w:val="00C8251B"/>
    <w:rsid w:val="00C83482"/>
    <w:rsid w:val="00C83A6F"/>
    <w:rsid w:val="00C91B51"/>
    <w:rsid w:val="00C92D6F"/>
    <w:rsid w:val="00C93DEA"/>
    <w:rsid w:val="00C97351"/>
    <w:rsid w:val="00C97D8E"/>
    <w:rsid w:val="00CA2A23"/>
    <w:rsid w:val="00CA6875"/>
    <w:rsid w:val="00CA752C"/>
    <w:rsid w:val="00CB009F"/>
    <w:rsid w:val="00CB221F"/>
    <w:rsid w:val="00CC3524"/>
    <w:rsid w:val="00CC3B59"/>
    <w:rsid w:val="00CD3C04"/>
    <w:rsid w:val="00CD3C3C"/>
    <w:rsid w:val="00CD44F9"/>
    <w:rsid w:val="00CD526B"/>
    <w:rsid w:val="00CE08DB"/>
    <w:rsid w:val="00CE662A"/>
    <w:rsid w:val="00CE72D3"/>
    <w:rsid w:val="00CF73A6"/>
    <w:rsid w:val="00D05575"/>
    <w:rsid w:val="00D118BD"/>
    <w:rsid w:val="00D13C76"/>
    <w:rsid w:val="00D15738"/>
    <w:rsid w:val="00D2157E"/>
    <w:rsid w:val="00D22AE7"/>
    <w:rsid w:val="00D24F42"/>
    <w:rsid w:val="00D24F5B"/>
    <w:rsid w:val="00D2550B"/>
    <w:rsid w:val="00D271FF"/>
    <w:rsid w:val="00D27E0D"/>
    <w:rsid w:val="00D30DEB"/>
    <w:rsid w:val="00D3367E"/>
    <w:rsid w:val="00D33956"/>
    <w:rsid w:val="00D33AF8"/>
    <w:rsid w:val="00D34F1B"/>
    <w:rsid w:val="00D37870"/>
    <w:rsid w:val="00D41229"/>
    <w:rsid w:val="00D4367A"/>
    <w:rsid w:val="00D468B7"/>
    <w:rsid w:val="00D52EC6"/>
    <w:rsid w:val="00D56C07"/>
    <w:rsid w:val="00D57D13"/>
    <w:rsid w:val="00D61006"/>
    <w:rsid w:val="00D6243F"/>
    <w:rsid w:val="00D6403A"/>
    <w:rsid w:val="00D70518"/>
    <w:rsid w:val="00D766B0"/>
    <w:rsid w:val="00D774C6"/>
    <w:rsid w:val="00D80163"/>
    <w:rsid w:val="00D84CCB"/>
    <w:rsid w:val="00D84E18"/>
    <w:rsid w:val="00D9044F"/>
    <w:rsid w:val="00D95125"/>
    <w:rsid w:val="00DB1D4E"/>
    <w:rsid w:val="00DB2470"/>
    <w:rsid w:val="00DC2F56"/>
    <w:rsid w:val="00DC7FB4"/>
    <w:rsid w:val="00DE5043"/>
    <w:rsid w:val="00DE7476"/>
    <w:rsid w:val="00DF44BE"/>
    <w:rsid w:val="00DF5175"/>
    <w:rsid w:val="00DF64FD"/>
    <w:rsid w:val="00E019C7"/>
    <w:rsid w:val="00E043B3"/>
    <w:rsid w:val="00E05AF6"/>
    <w:rsid w:val="00E10958"/>
    <w:rsid w:val="00E127AC"/>
    <w:rsid w:val="00E14318"/>
    <w:rsid w:val="00E24EF9"/>
    <w:rsid w:val="00E24FB9"/>
    <w:rsid w:val="00E26CD1"/>
    <w:rsid w:val="00E26F82"/>
    <w:rsid w:val="00E2787E"/>
    <w:rsid w:val="00E35189"/>
    <w:rsid w:val="00E42507"/>
    <w:rsid w:val="00E426A1"/>
    <w:rsid w:val="00E44149"/>
    <w:rsid w:val="00E44D80"/>
    <w:rsid w:val="00E44ECA"/>
    <w:rsid w:val="00E459C3"/>
    <w:rsid w:val="00E47902"/>
    <w:rsid w:val="00E53A61"/>
    <w:rsid w:val="00E57384"/>
    <w:rsid w:val="00E5755C"/>
    <w:rsid w:val="00E576D4"/>
    <w:rsid w:val="00E61157"/>
    <w:rsid w:val="00E6578A"/>
    <w:rsid w:val="00E678BB"/>
    <w:rsid w:val="00E726B2"/>
    <w:rsid w:val="00E7293B"/>
    <w:rsid w:val="00E74109"/>
    <w:rsid w:val="00E750F1"/>
    <w:rsid w:val="00E814E3"/>
    <w:rsid w:val="00E83542"/>
    <w:rsid w:val="00E838E7"/>
    <w:rsid w:val="00E84753"/>
    <w:rsid w:val="00E862B7"/>
    <w:rsid w:val="00E9172F"/>
    <w:rsid w:val="00E94F50"/>
    <w:rsid w:val="00EA06A4"/>
    <w:rsid w:val="00EA0AA7"/>
    <w:rsid w:val="00EA0DE3"/>
    <w:rsid w:val="00EA0E4D"/>
    <w:rsid w:val="00EA2F86"/>
    <w:rsid w:val="00EA4D3C"/>
    <w:rsid w:val="00EA60F9"/>
    <w:rsid w:val="00EA690F"/>
    <w:rsid w:val="00EB1E0E"/>
    <w:rsid w:val="00EB2AA4"/>
    <w:rsid w:val="00EB77D8"/>
    <w:rsid w:val="00EB7CEA"/>
    <w:rsid w:val="00EC100A"/>
    <w:rsid w:val="00EC2D26"/>
    <w:rsid w:val="00EC3629"/>
    <w:rsid w:val="00ED1C66"/>
    <w:rsid w:val="00ED1FB9"/>
    <w:rsid w:val="00ED5626"/>
    <w:rsid w:val="00ED6391"/>
    <w:rsid w:val="00EE4BF8"/>
    <w:rsid w:val="00EE739D"/>
    <w:rsid w:val="00EF15F7"/>
    <w:rsid w:val="00EF1EE8"/>
    <w:rsid w:val="00EF63BE"/>
    <w:rsid w:val="00EF6656"/>
    <w:rsid w:val="00EF69B2"/>
    <w:rsid w:val="00F0169A"/>
    <w:rsid w:val="00F02711"/>
    <w:rsid w:val="00F02993"/>
    <w:rsid w:val="00F037A4"/>
    <w:rsid w:val="00F10F95"/>
    <w:rsid w:val="00F11A57"/>
    <w:rsid w:val="00F172D2"/>
    <w:rsid w:val="00F17C8C"/>
    <w:rsid w:val="00F239F9"/>
    <w:rsid w:val="00F242C4"/>
    <w:rsid w:val="00F336D9"/>
    <w:rsid w:val="00F3540A"/>
    <w:rsid w:val="00F37E63"/>
    <w:rsid w:val="00F41F12"/>
    <w:rsid w:val="00F43926"/>
    <w:rsid w:val="00F511C0"/>
    <w:rsid w:val="00F71745"/>
    <w:rsid w:val="00F719EC"/>
    <w:rsid w:val="00F7591B"/>
    <w:rsid w:val="00F76ECD"/>
    <w:rsid w:val="00F86BD5"/>
    <w:rsid w:val="00F92D2D"/>
    <w:rsid w:val="00F937FD"/>
    <w:rsid w:val="00F9606B"/>
    <w:rsid w:val="00F96711"/>
    <w:rsid w:val="00F97D20"/>
    <w:rsid w:val="00FA680A"/>
    <w:rsid w:val="00FA6C89"/>
    <w:rsid w:val="00FB1906"/>
    <w:rsid w:val="00FB490C"/>
    <w:rsid w:val="00FC24CF"/>
    <w:rsid w:val="00FC4EC3"/>
    <w:rsid w:val="00FC5AF8"/>
    <w:rsid w:val="00FD119D"/>
    <w:rsid w:val="00FD4BA0"/>
    <w:rsid w:val="00FD6632"/>
    <w:rsid w:val="00FD744A"/>
    <w:rsid w:val="00FE262A"/>
    <w:rsid w:val="00FE2BF1"/>
    <w:rsid w:val="00FE36CF"/>
    <w:rsid w:val="00FE3A0D"/>
    <w:rsid w:val="00FF1053"/>
    <w:rsid w:val="00FF3AA5"/>
    <w:rsid w:val="00FF4830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56C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TitleChar">
    <w:name w:val="Title Char"/>
    <w:basedOn w:val="DefaultParagraphFont"/>
    <w:link w:val="Title"/>
    <w:rsid w:val="001D6A29"/>
    <w:rPr>
      <w:rFonts w:ascii="Arial" w:hAnsi="Arial" w:cs="Arial"/>
      <w:b/>
      <w:bCs/>
      <w:sz w:val="40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D6A29"/>
    <w:rPr>
      <w:rFonts w:ascii="Arial" w:hAnsi="Arial"/>
      <w:i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1D6A29"/>
  </w:style>
  <w:style w:type="character" w:customStyle="1" w:styleId="CommentTextChar">
    <w:name w:val="Comment Text Char"/>
    <w:basedOn w:val="DefaultParagraphFont"/>
    <w:link w:val="CommentText"/>
    <w:rsid w:val="000869DB"/>
  </w:style>
  <w:style w:type="paragraph" w:styleId="Revision">
    <w:name w:val="Revision"/>
    <w:hidden/>
    <w:uiPriority w:val="99"/>
    <w:semiHidden/>
    <w:rsid w:val="000912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5552D-216E-4538-80F4-52543DC3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Radiocommunications (Early Access to 700 MHz Band) Determination 2014</dc:title>
  <dc:subject/>
  <dc:creator/>
  <cp:keywords/>
  <dc:description>Radiocommunications (Early Access to 700 MHz Band) Determination 2014</dc:description>
  <cp:lastModifiedBy/>
  <cp:revision>1</cp:revision>
  <dcterms:created xsi:type="dcterms:W3CDTF">2014-06-20T03:24:00Z</dcterms:created>
  <dcterms:modified xsi:type="dcterms:W3CDTF">2014-06-20T03:24:00Z</dcterms:modified>
</cp:coreProperties>
</file>