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1C4BE" w14:textId="49888CC1" w:rsidR="00FA1A26" w:rsidRDefault="00664944" w:rsidP="00C276E0">
      <w:pPr>
        <w:pStyle w:val="ACMAReportTitle"/>
      </w:pPr>
      <w:bookmarkStart w:id="0" w:name="_GoBack"/>
      <w:bookmarkEnd w:id="0"/>
      <w:r>
        <w:t xml:space="preserve">Managing spectrum in the 400 MHz </w:t>
      </w:r>
      <w:r w:rsidR="003C5897">
        <w:t>b</w:t>
      </w:r>
      <w:r>
        <w:t xml:space="preserve">and—Further </w:t>
      </w:r>
      <w:r w:rsidR="003C5897">
        <w:t>s</w:t>
      </w:r>
      <w:r>
        <w:t>teps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96"/>
      </w:tblGrid>
      <w:tr w:rsidR="00FA1A26" w14:paraId="72C5CFC9" w14:textId="77777777" w:rsidTr="00777EBC">
        <w:trPr>
          <w:trHeight w:val="244"/>
        </w:trPr>
        <w:tc>
          <w:tcPr>
            <w:tcW w:w="4696" w:type="dxa"/>
          </w:tcPr>
          <w:p w14:paraId="2375A19D" w14:textId="32292D73" w:rsidR="00FA1A26" w:rsidRDefault="008A03D4" w:rsidP="00FA1A26">
            <w:pPr>
              <w:pStyle w:val="Default"/>
              <w:rPr>
                <w:sz w:val="53"/>
                <w:szCs w:val="53"/>
              </w:rPr>
            </w:pPr>
            <w:r>
              <w:rPr>
                <w:sz w:val="53"/>
                <w:szCs w:val="53"/>
              </w:rPr>
              <w:t>Consultation</w:t>
            </w:r>
            <w:r w:rsidR="00FA1A26">
              <w:rPr>
                <w:sz w:val="53"/>
                <w:szCs w:val="53"/>
              </w:rPr>
              <w:t xml:space="preserve"> </w:t>
            </w:r>
            <w:r w:rsidR="003C5897">
              <w:rPr>
                <w:sz w:val="53"/>
                <w:szCs w:val="53"/>
              </w:rPr>
              <w:t>p</w:t>
            </w:r>
            <w:r w:rsidR="00FA1A26">
              <w:rPr>
                <w:sz w:val="53"/>
                <w:szCs w:val="53"/>
              </w:rPr>
              <w:t xml:space="preserve">aper </w:t>
            </w:r>
          </w:p>
        </w:tc>
      </w:tr>
    </w:tbl>
    <w:p w14:paraId="2F92C598" w14:textId="77777777" w:rsidR="00664944" w:rsidRDefault="00664944" w:rsidP="00664944">
      <w:pPr>
        <w:pStyle w:val="ACMAReportTitle"/>
      </w:pPr>
    </w:p>
    <w:p w14:paraId="2CB331D6" w14:textId="77777777" w:rsidR="00F06E14" w:rsidRDefault="00664944" w:rsidP="00D47AEB">
      <w:pPr>
        <w:pStyle w:val="ACMAReportDate"/>
        <w:spacing w:after="720"/>
      </w:pPr>
      <w:r w:rsidRPr="00BD0607">
        <w:t>NOVEMBER 2016</w:t>
      </w:r>
    </w:p>
    <w:p w14:paraId="718B9B82" w14:textId="77777777" w:rsidR="00C97736" w:rsidRPr="000D76E0" w:rsidRDefault="00C97736" w:rsidP="0041071D">
      <w:pPr>
        <w:rPr>
          <w:rFonts w:cs="Arial"/>
        </w:rPr>
      </w:pPr>
    </w:p>
    <w:p w14:paraId="13D9AFFB" w14:textId="77777777" w:rsidR="00C97736" w:rsidRPr="00C917F4" w:rsidRDefault="00C97736" w:rsidP="001B198D">
      <w:pPr>
        <w:pStyle w:val="Heading1"/>
        <w:sectPr w:rsidR="00C97736" w:rsidRPr="00C917F4" w:rsidSect="004F556E">
          <w:headerReference w:type="even" r:id="rId11"/>
          <w:headerReference w:type="default" r:id="rId12"/>
          <w:footerReference w:type="even" r:id="rId13"/>
          <w:footerReference w:type="default" r:id="rId14"/>
          <w:headerReference w:type="first" r:id="rId15"/>
          <w:footerReference w:type="first" r:id="rId16"/>
          <w:pgSz w:w="11906" w:h="16838" w:code="9"/>
          <w:pgMar w:top="3924" w:right="1797" w:bottom="1440" w:left="1134" w:header="709" w:footer="454" w:gutter="0"/>
          <w:cols w:space="708"/>
          <w:docGrid w:linePitch="360"/>
        </w:sectPr>
      </w:pPr>
    </w:p>
    <w:p w14:paraId="2140FD70" w14:textId="77777777" w:rsidR="0005011A" w:rsidRPr="00F44F3A" w:rsidRDefault="0005011A" w:rsidP="00FC07B9">
      <w:pPr>
        <w:pStyle w:val="ACMACorporateAddressHeader"/>
      </w:pPr>
      <w:r w:rsidRPr="00F44F3A">
        <w:lastRenderedPageBreak/>
        <w:t>Canberra</w:t>
      </w:r>
    </w:p>
    <w:p w14:paraId="55476F94"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30905BF4" w14:textId="77777777" w:rsidR="0005011A" w:rsidRPr="00FC07B9" w:rsidRDefault="0005011A" w:rsidP="00FC07B9">
      <w:pPr>
        <w:pStyle w:val="ACMACorporateAddresses"/>
      </w:pPr>
      <w:r w:rsidRPr="00FC07B9">
        <w:t>PO Box 78</w:t>
      </w:r>
      <w:r w:rsidRPr="00FC07B9">
        <w:br/>
        <w:t>Belconnen ACT 2616</w:t>
      </w:r>
    </w:p>
    <w:p w14:paraId="2D247BA7"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BA8919A" w14:textId="77777777" w:rsidR="0005011A" w:rsidRPr="00F44F3A" w:rsidRDefault="0005011A" w:rsidP="00FC07B9">
      <w:pPr>
        <w:pStyle w:val="ACMACorporateAddressHeader"/>
      </w:pPr>
      <w:r w:rsidRPr="00F44F3A">
        <w:t>Melbourne</w:t>
      </w:r>
    </w:p>
    <w:p w14:paraId="3CE6BC4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7AD1C908"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5D1A1E8E"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4E132818" w14:textId="77777777" w:rsidR="0005011A" w:rsidRPr="00F44F3A" w:rsidRDefault="0005011A" w:rsidP="00FC07B9">
      <w:pPr>
        <w:pStyle w:val="ACMACorporateAddressHeader"/>
      </w:pPr>
      <w:r w:rsidRPr="00F44F3A">
        <w:t>Sydney</w:t>
      </w:r>
    </w:p>
    <w:p w14:paraId="4FF5F9E2"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2A8032C9"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3292123"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BE90692" w14:textId="77777777" w:rsidR="00140318" w:rsidRPr="006D46E5" w:rsidRDefault="00140318" w:rsidP="00FC07B9">
      <w:pPr>
        <w:pStyle w:val="ACMACopyrightHeader"/>
      </w:pPr>
      <w:r w:rsidRPr="00140318">
        <w:t>Copyright notice</w:t>
      </w:r>
    </w:p>
    <w:p w14:paraId="25ADD420" w14:textId="77777777" w:rsidR="00140318" w:rsidRPr="006D46E5" w:rsidRDefault="00623FF9" w:rsidP="00623FF9">
      <w:pPr>
        <w:pStyle w:val="ACMACClogo"/>
      </w:pPr>
      <w:r w:rsidRPr="00623FF9">
        <w:rPr>
          <w:noProof/>
        </w:rPr>
        <w:drawing>
          <wp:inline distT="0" distB="0" distL="0" distR="0" wp14:anchorId="579A9A9A" wp14:editId="6129F463">
            <wp:extent cx="838200" cy="295275"/>
            <wp:effectExtent l="0" t="0" r="0" b="0"/>
            <wp:docPr id="1" name="Picture 1" title="Creative Commons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7"/>
                    </pic:cNvPr>
                    <pic:cNvPicPr>
                      <a:picLocks noChangeAspect="1" noChangeArrowheads="1"/>
                    </pic:cNvPicPr>
                  </pic:nvPicPr>
                  <pic:blipFill>
                    <a:blip r:embed="rId18" cstate="print"/>
                    <a:srcRect/>
                    <a:stretch>
                      <a:fillRect/>
                    </a:stretch>
                  </pic:blipFill>
                  <pic:spPr bwMode="auto">
                    <a:xfrm>
                      <a:off x="0" y="0"/>
                      <a:ext cx="838200" cy="295275"/>
                    </a:xfrm>
                    <a:prstGeom prst="rect">
                      <a:avLst/>
                    </a:prstGeom>
                    <a:noFill/>
                  </pic:spPr>
                </pic:pic>
              </a:graphicData>
            </a:graphic>
          </wp:inline>
        </w:drawing>
      </w:r>
    </w:p>
    <w:p w14:paraId="18AF953C" w14:textId="77777777" w:rsidR="00140318" w:rsidRPr="00431792" w:rsidRDefault="00BE032C" w:rsidP="00FC07B9">
      <w:pPr>
        <w:pStyle w:val="ACMACorporateAddresses"/>
        <w:rPr>
          <w:rStyle w:val="Hyperlink"/>
        </w:rPr>
      </w:pPr>
      <w:hyperlink r:id="rId19" w:tooltip="Creative Commons Licenses" w:history="1">
        <w:r w:rsidR="00140318" w:rsidRPr="00431792">
          <w:rPr>
            <w:rStyle w:val="Hyperlink"/>
          </w:rPr>
          <w:t>http://creativecommons.org/licenses/by/3.0/au/</w:t>
        </w:r>
      </w:hyperlink>
    </w:p>
    <w:p w14:paraId="22FCEED3"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5C62C7D4" w14:textId="77777777" w:rsidR="00140318" w:rsidRPr="006D46E5" w:rsidRDefault="00C34A05" w:rsidP="00FC07B9">
      <w:pPr>
        <w:pStyle w:val="ACMACorporateAddresses"/>
      </w:pPr>
      <w:r>
        <w:t>We request attribution as</w:t>
      </w:r>
      <w:r w:rsidR="00140318" w:rsidRPr="006D46E5">
        <w:t xml:space="preserve"> © Commonwealth of Australia (Australian Communic</w:t>
      </w:r>
      <w:r w:rsidR="00B6003C">
        <w:t>ations and Media Authority) 2016</w:t>
      </w:r>
      <w:r w:rsidR="00140318" w:rsidRPr="006D46E5">
        <w:t>.</w:t>
      </w:r>
    </w:p>
    <w:p w14:paraId="5498EC2D" w14:textId="77777777" w:rsidR="00140318" w:rsidRPr="006D46E5" w:rsidRDefault="00140318" w:rsidP="00FC07B9">
      <w:pPr>
        <w:pStyle w:val="ACMACorporateAddresses"/>
      </w:pPr>
      <w:r>
        <w:t>All other rights are reserved.</w:t>
      </w:r>
    </w:p>
    <w:p w14:paraId="09A9643A"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276AB6F" w14:textId="77777777" w:rsidR="00140318" w:rsidRPr="006D46E5" w:rsidRDefault="00140318" w:rsidP="00FC07B9">
      <w:pPr>
        <w:pStyle w:val="ACMACorporateAddresses"/>
      </w:pPr>
      <w:r w:rsidRPr="006D46E5">
        <w:t>Written enquiries may be sent to:</w:t>
      </w:r>
    </w:p>
    <w:p w14:paraId="5D9B9B29"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20" w:history="1">
        <w:r w:rsidRPr="00431792">
          <w:rPr>
            <w:rStyle w:val="Hyperlink"/>
          </w:rPr>
          <w:t>candinfo@acma.gov.au</w:t>
        </w:r>
      </w:hyperlink>
    </w:p>
    <w:p w14:paraId="359C6BEE" w14:textId="77777777" w:rsidR="00D16FE3" w:rsidRDefault="00D16FE3" w:rsidP="00D16FE3">
      <w:pPr>
        <w:pStyle w:val="ACMACorporateAddresses"/>
        <w:rPr>
          <w:rStyle w:val="Hyperlink"/>
        </w:rPr>
      </w:pPr>
    </w:p>
    <w:p w14:paraId="4CE562DA" w14:textId="77777777" w:rsidR="00D16FE3" w:rsidRPr="00D16FE3" w:rsidRDefault="00D16FE3" w:rsidP="00D16FE3">
      <w:pPr>
        <w:pStyle w:val="ACMACorporateAddresses"/>
        <w:sectPr w:rsidR="00D16FE3" w:rsidRPr="00D16FE3">
          <w:headerReference w:type="even" r:id="rId21"/>
          <w:headerReference w:type="default" r:id="rId22"/>
          <w:footerReference w:type="even" r:id="rId23"/>
          <w:footerReference w:type="default" r:id="rId24"/>
          <w:pgSz w:w="11906" w:h="16838" w:code="9"/>
          <w:pgMar w:top="3924" w:right="1797" w:bottom="697" w:left="1134" w:header="709" w:footer="119" w:gutter="0"/>
          <w:cols w:space="708"/>
          <w:docGrid w:linePitch="360"/>
        </w:sectPr>
      </w:pPr>
    </w:p>
    <w:p w14:paraId="76398C80" w14:textId="77777777" w:rsidR="00517D0F" w:rsidRDefault="007A6CC0">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517D0F">
        <w:t>1</w:t>
      </w:r>
      <w:r w:rsidR="00517D0F">
        <w:rPr>
          <w:rFonts w:asciiTheme="minorHAnsi" w:eastAsiaTheme="minorEastAsia" w:hAnsiTheme="minorHAnsi" w:cstheme="minorBidi"/>
          <w:b w:val="0"/>
          <w:spacing w:val="0"/>
          <w:sz w:val="22"/>
          <w:szCs w:val="22"/>
        </w:rPr>
        <w:tab/>
      </w:r>
      <w:r w:rsidR="00517D0F">
        <w:t>Overview</w:t>
      </w:r>
      <w:r w:rsidR="00517D0F">
        <w:tab/>
      </w:r>
      <w:r w:rsidR="00517D0F">
        <w:fldChar w:fldCharType="begin"/>
      </w:r>
      <w:r w:rsidR="00517D0F">
        <w:instrText xml:space="preserve"> PAGEREF _Toc466623828 \h </w:instrText>
      </w:r>
      <w:r w:rsidR="00517D0F">
        <w:fldChar w:fldCharType="separate"/>
      </w:r>
      <w:r w:rsidR="00DE0E94">
        <w:t>1</w:t>
      </w:r>
      <w:r w:rsidR="00517D0F">
        <w:fldChar w:fldCharType="end"/>
      </w:r>
    </w:p>
    <w:p w14:paraId="18D01160" w14:textId="77777777" w:rsidR="00517D0F" w:rsidRDefault="00517D0F">
      <w:pPr>
        <w:pStyle w:val="TOC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OC pricing initiatives in the 400 MHz band over time</w:t>
      </w:r>
      <w:r>
        <w:tab/>
      </w:r>
      <w:r>
        <w:fldChar w:fldCharType="begin"/>
      </w:r>
      <w:r>
        <w:instrText xml:space="preserve"> PAGEREF _Toc466623829 \h </w:instrText>
      </w:r>
      <w:r>
        <w:fldChar w:fldCharType="separate"/>
      </w:r>
      <w:r w:rsidR="00DE0E94">
        <w:t>1</w:t>
      </w:r>
      <w:r>
        <w:fldChar w:fldCharType="end"/>
      </w:r>
    </w:p>
    <w:p w14:paraId="0137418E" w14:textId="77777777" w:rsidR="00517D0F" w:rsidRDefault="00517D0F">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Proposal concerning the third increment</w:t>
      </w:r>
      <w:r>
        <w:tab/>
      </w:r>
      <w:r>
        <w:fldChar w:fldCharType="begin"/>
      </w:r>
      <w:r>
        <w:instrText xml:space="preserve"> PAGEREF _Toc466623830 \h </w:instrText>
      </w:r>
      <w:r>
        <w:fldChar w:fldCharType="separate"/>
      </w:r>
      <w:r w:rsidR="00DE0E94">
        <w:t>3</w:t>
      </w:r>
      <w:r>
        <w:fldChar w:fldCharType="end"/>
      </w:r>
    </w:p>
    <w:p w14:paraId="3FDAA879" w14:textId="77777777" w:rsidR="00517D0F" w:rsidRDefault="00517D0F">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Issues for comment</w:t>
      </w:r>
      <w:r>
        <w:tab/>
      </w:r>
      <w:r>
        <w:fldChar w:fldCharType="begin"/>
      </w:r>
      <w:r>
        <w:instrText xml:space="preserve"> PAGEREF _Toc466623831 \h </w:instrText>
      </w:r>
      <w:r>
        <w:fldChar w:fldCharType="separate"/>
      </w:r>
      <w:r w:rsidR="00DE0E94">
        <w:t>5</w:t>
      </w:r>
      <w:r>
        <w:fldChar w:fldCharType="end"/>
      </w:r>
    </w:p>
    <w:p w14:paraId="427DF32A" w14:textId="77777777" w:rsidR="00517D0F" w:rsidRDefault="00517D0F">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Updating the revised monitoring framework</w:t>
      </w:r>
      <w:r>
        <w:tab/>
      </w:r>
      <w:r>
        <w:fldChar w:fldCharType="begin"/>
      </w:r>
      <w:r>
        <w:instrText xml:space="preserve"> PAGEREF _Toc466623832 \h </w:instrText>
      </w:r>
      <w:r>
        <w:fldChar w:fldCharType="separate"/>
      </w:r>
      <w:r w:rsidR="00DE0E94">
        <w:t>6</w:t>
      </w:r>
      <w:r>
        <w:fldChar w:fldCharType="end"/>
      </w:r>
    </w:p>
    <w:p w14:paraId="74E662F4" w14:textId="77777777" w:rsidR="00517D0F" w:rsidRDefault="00517D0F">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Impact on demand</w:t>
      </w:r>
      <w:r>
        <w:tab/>
      </w:r>
      <w:r>
        <w:fldChar w:fldCharType="begin"/>
      </w:r>
      <w:r>
        <w:instrText xml:space="preserve"> PAGEREF _Toc466623833 \h </w:instrText>
      </w:r>
      <w:r>
        <w:fldChar w:fldCharType="separate"/>
      </w:r>
      <w:r w:rsidR="00DE0E94">
        <w:t>6</w:t>
      </w:r>
      <w:r>
        <w:fldChar w:fldCharType="end"/>
      </w:r>
    </w:p>
    <w:p w14:paraId="456F1C88" w14:textId="77777777" w:rsidR="00517D0F" w:rsidRDefault="00517D0F">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Feedback</w:t>
      </w:r>
      <w:r>
        <w:tab/>
      </w:r>
      <w:r>
        <w:fldChar w:fldCharType="begin"/>
      </w:r>
      <w:r>
        <w:instrText xml:space="preserve"> PAGEREF _Toc466623834 \h </w:instrText>
      </w:r>
      <w:r>
        <w:fldChar w:fldCharType="separate"/>
      </w:r>
      <w:r w:rsidR="00DE0E94">
        <w:t>8</w:t>
      </w:r>
      <w:r>
        <w:fldChar w:fldCharType="end"/>
      </w:r>
    </w:p>
    <w:p w14:paraId="52A66AD7" w14:textId="77777777" w:rsidR="00517D0F" w:rsidRDefault="00517D0F">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Impact on forward congestion risk</w:t>
      </w:r>
      <w:r>
        <w:tab/>
      </w:r>
      <w:r>
        <w:fldChar w:fldCharType="begin"/>
      </w:r>
      <w:r>
        <w:instrText xml:space="preserve"> PAGEREF _Toc466623835 \h </w:instrText>
      </w:r>
      <w:r>
        <w:fldChar w:fldCharType="separate"/>
      </w:r>
      <w:r w:rsidR="00DE0E94">
        <w:t>8</w:t>
      </w:r>
      <w:r>
        <w:fldChar w:fldCharType="end"/>
      </w:r>
    </w:p>
    <w:p w14:paraId="555DA75A" w14:textId="77777777" w:rsidR="00517D0F" w:rsidRDefault="00517D0F">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Feedback</w:t>
      </w:r>
      <w:r>
        <w:tab/>
      </w:r>
      <w:r>
        <w:fldChar w:fldCharType="begin"/>
      </w:r>
      <w:r>
        <w:instrText xml:space="preserve"> PAGEREF _Toc466623836 \h </w:instrText>
      </w:r>
      <w:r>
        <w:fldChar w:fldCharType="separate"/>
      </w:r>
      <w:r w:rsidR="00DE0E94">
        <w:t>10</w:t>
      </w:r>
      <w:r>
        <w:fldChar w:fldCharType="end"/>
      </w:r>
    </w:p>
    <w:p w14:paraId="04E9FB18" w14:textId="77777777" w:rsidR="00517D0F" w:rsidRDefault="00517D0F">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Conclusion</w:t>
      </w:r>
      <w:r>
        <w:tab/>
      </w:r>
      <w:r>
        <w:fldChar w:fldCharType="begin"/>
      </w:r>
      <w:r>
        <w:instrText xml:space="preserve"> PAGEREF _Toc466623837 \h </w:instrText>
      </w:r>
      <w:r>
        <w:fldChar w:fldCharType="separate"/>
      </w:r>
      <w:r w:rsidR="00DE0E94">
        <w:t>10</w:t>
      </w:r>
      <w:r>
        <w:fldChar w:fldCharType="end"/>
      </w:r>
    </w:p>
    <w:p w14:paraId="1F528191" w14:textId="77777777" w:rsidR="00517D0F" w:rsidRDefault="00517D0F">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Revising apparatus licence tax rates</w:t>
      </w:r>
      <w:r>
        <w:tab/>
      </w:r>
      <w:r>
        <w:fldChar w:fldCharType="begin"/>
      </w:r>
      <w:r>
        <w:instrText xml:space="preserve"> PAGEREF _Toc466623838 \h </w:instrText>
      </w:r>
      <w:r>
        <w:fldChar w:fldCharType="separate"/>
      </w:r>
      <w:r w:rsidR="00DE0E94">
        <w:t>11</w:t>
      </w:r>
      <w:r>
        <w:fldChar w:fldCharType="end"/>
      </w:r>
    </w:p>
    <w:p w14:paraId="3B4153D8" w14:textId="77777777" w:rsidR="00517D0F" w:rsidRDefault="00517D0F">
      <w:pPr>
        <w:pStyle w:val="TOC2"/>
        <w:rPr>
          <w:rFonts w:asciiTheme="minorHAnsi" w:eastAsiaTheme="minorEastAsia" w:hAnsiTheme="minorHAnsi" w:cstheme="minorBidi"/>
          <w:spacing w:val="0"/>
          <w:sz w:val="22"/>
          <w:szCs w:val="22"/>
        </w:rPr>
      </w:pPr>
      <w:r>
        <w:t>4.1</w:t>
      </w:r>
      <w:r>
        <w:rPr>
          <w:rFonts w:asciiTheme="minorHAnsi" w:eastAsiaTheme="minorEastAsia" w:hAnsiTheme="minorHAnsi" w:cstheme="minorBidi"/>
          <w:spacing w:val="0"/>
          <w:sz w:val="22"/>
          <w:szCs w:val="22"/>
        </w:rPr>
        <w:tab/>
      </w:r>
      <w:r>
        <w:t>Feedback</w:t>
      </w:r>
      <w:r>
        <w:tab/>
      </w:r>
      <w:r>
        <w:fldChar w:fldCharType="begin"/>
      </w:r>
      <w:r>
        <w:instrText xml:space="preserve"> PAGEREF _Toc466623839 \h </w:instrText>
      </w:r>
      <w:r>
        <w:fldChar w:fldCharType="separate"/>
      </w:r>
      <w:r w:rsidR="00DE0E94">
        <w:t>12</w:t>
      </w:r>
      <w:r>
        <w:fldChar w:fldCharType="end"/>
      </w:r>
    </w:p>
    <w:p w14:paraId="543A59D6" w14:textId="77777777" w:rsidR="00517D0F" w:rsidRDefault="00517D0F">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Invitation to comment</w:t>
      </w:r>
      <w:r>
        <w:tab/>
      </w:r>
      <w:r>
        <w:fldChar w:fldCharType="begin"/>
      </w:r>
      <w:r>
        <w:instrText xml:space="preserve"> PAGEREF _Toc466623840 \h </w:instrText>
      </w:r>
      <w:r>
        <w:fldChar w:fldCharType="separate"/>
      </w:r>
      <w:r w:rsidR="00DE0E94">
        <w:t>13</w:t>
      </w:r>
      <w:r>
        <w:fldChar w:fldCharType="end"/>
      </w:r>
    </w:p>
    <w:p w14:paraId="5D9554CF" w14:textId="77777777" w:rsidR="00517D0F" w:rsidRDefault="00517D0F">
      <w:pPr>
        <w:pStyle w:val="TOC2"/>
        <w:rPr>
          <w:rFonts w:asciiTheme="minorHAnsi" w:eastAsiaTheme="minorEastAsia" w:hAnsiTheme="minorHAnsi" w:cstheme="minorBidi"/>
          <w:spacing w:val="0"/>
          <w:sz w:val="22"/>
          <w:szCs w:val="22"/>
        </w:rPr>
      </w:pPr>
      <w:r>
        <w:t>5.1</w:t>
      </w:r>
      <w:r>
        <w:rPr>
          <w:rFonts w:asciiTheme="minorHAnsi" w:eastAsiaTheme="minorEastAsia" w:hAnsiTheme="minorHAnsi" w:cstheme="minorBidi"/>
          <w:spacing w:val="0"/>
          <w:sz w:val="22"/>
          <w:szCs w:val="22"/>
        </w:rPr>
        <w:tab/>
      </w:r>
      <w:r>
        <w:t>Making a submission</w:t>
      </w:r>
      <w:r>
        <w:tab/>
      </w:r>
      <w:r>
        <w:fldChar w:fldCharType="begin"/>
      </w:r>
      <w:r>
        <w:instrText xml:space="preserve"> PAGEREF _Toc466623841 \h </w:instrText>
      </w:r>
      <w:r>
        <w:fldChar w:fldCharType="separate"/>
      </w:r>
      <w:r w:rsidR="00DE0E94">
        <w:t>13</w:t>
      </w:r>
      <w:r>
        <w:fldChar w:fldCharType="end"/>
      </w:r>
    </w:p>
    <w:p w14:paraId="7F9E95C9" w14:textId="77777777" w:rsidR="000A4A51" w:rsidRPr="000D76E0" w:rsidRDefault="007A6CC0">
      <w:pPr>
        <w:rPr>
          <w:rFonts w:cs="Arial"/>
        </w:rPr>
      </w:pPr>
      <w:r>
        <w:rPr>
          <w:rFonts w:cs="Arial"/>
          <w:b/>
          <w:noProof/>
          <w:spacing w:val="-14"/>
          <w:sz w:val="28"/>
        </w:rPr>
        <w:fldChar w:fldCharType="end"/>
      </w:r>
    </w:p>
    <w:p w14:paraId="01E5494B" w14:textId="77777777" w:rsidR="004D56FF" w:rsidRDefault="004D56FF">
      <w:pPr>
        <w:rPr>
          <w:rFonts w:cs="Arial"/>
        </w:rPr>
      </w:pPr>
    </w:p>
    <w:p w14:paraId="54396CBB" w14:textId="77777777" w:rsidR="00AB4B1A" w:rsidRDefault="00AB4B1A">
      <w:pPr>
        <w:rPr>
          <w:rFonts w:cs="Arial"/>
        </w:rPr>
      </w:pPr>
    </w:p>
    <w:p w14:paraId="3A0D1B67" w14:textId="77777777" w:rsidR="00AB4B1A" w:rsidRPr="00BD2604" w:rsidRDefault="00AB4B1A" w:rsidP="001B198D">
      <w:pPr>
        <w:pStyle w:val="Heading1"/>
        <w:sectPr w:rsidR="00AB4B1A" w:rsidRPr="00BD2604" w:rsidSect="00C77380">
          <w:headerReference w:type="even" r:id="rId25"/>
          <w:headerReference w:type="default" r:id="rId26"/>
          <w:footerReference w:type="even" r:id="rId27"/>
          <w:footerReference w:type="default" r:id="rId28"/>
          <w:footerReference w:type="first" r:id="rId29"/>
          <w:pgSz w:w="11906" w:h="16838" w:code="9"/>
          <w:pgMar w:top="3646" w:right="3101" w:bottom="1134" w:left="1134" w:header="709" w:footer="119" w:gutter="0"/>
          <w:cols w:space="708"/>
          <w:titlePg/>
          <w:docGrid w:linePitch="360"/>
        </w:sectPr>
      </w:pPr>
    </w:p>
    <w:p w14:paraId="23E10441" w14:textId="77777777" w:rsidR="00BE4C11" w:rsidRPr="000D76E0" w:rsidRDefault="00B02D9C" w:rsidP="001B198D">
      <w:pPr>
        <w:pStyle w:val="Heading1"/>
      </w:pPr>
      <w:bookmarkStart w:id="1" w:name="_Toc466623828"/>
      <w:r w:rsidRPr="00BD2604">
        <w:lastRenderedPageBreak/>
        <w:t>Overview</w:t>
      </w:r>
      <w:bookmarkEnd w:id="1"/>
    </w:p>
    <w:p w14:paraId="0A6CF02F" w14:textId="556FAE67" w:rsidR="00664944" w:rsidRPr="00094F7E" w:rsidRDefault="00664944" w:rsidP="00664944">
      <w:pPr>
        <w:rPr>
          <w:rFonts w:cs="Arial"/>
        </w:rPr>
      </w:pPr>
      <w:r w:rsidRPr="00094F7E">
        <w:rPr>
          <w:rFonts w:cs="Arial"/>
        </w:rPr>
        <w:t>Licensees using spectrum in the 403</w:t>
      </w:r>
      <w:r w:rsidR="003C5897">
        <w:rPr>
          <w:rFonts w:cs="Arial"/>
        </w:rPr>
        <w:t>–</w:t>
      </w:r>
      <w:r w:rsidRPr="00094F7E">
        <w:rPr>
          <w:rFonts w:cs="Arial"/>
        </w:rPr>
        <w:t xml:space="preserve">520 MHz frequency range (the 400 MHz band) include a range of industry and government organisations providing predominantly land mobile </w:t>
      </w:r>
      <w:r w:rsidR="00D8246E">
        <w:rPr>
          <w:rFonts w:cs="Arial"/>
        </w:rPr>
        <w:t>applications</w:t>
      </w:r>
      <w:r w:rsidR="003A527D">
        <w:rPr>
          <w:rFonts w:cs="Arial"/>
        </w:rPr>
        <w:t xml:space="preserve"> (such as CB radio, law enforcement/public safety, dispatch (taxi/courier)</w:t>
      </w:r>
      <w:r w:rsidR="00D8246E" w:rsidRPr="00094F7E">
        <w:rPr>
          <w:rFonts w:cs="Arial"/>
        </w:rPr>
        <w:t xml:space="preserve"> </w:t>
      </w:r>
      <w:r w:rsidRPr="00094F7E">
        <w:rPr>
          <w:rFonts w:cs="Arial"/>
        </w:rPr>
        <w:t xml:space="preserve">but also fixed (point-to-point and point-to-multipoint), radiolocation and amateur services. </w:t>
      </w:r>
    </w:p>
    <w:p w14:paraId="1046E1E4" w14:textId="07D50ABB" w:rsidR="00A00C3D" w:rsidRDefault="00664944" w:rsidP="00552A1C">
      <w:pPr>
        <w:spacing w:after="80"/>
        <w:rPr>
          <w:rFonts w:cs="Arial"/>
        </w:rPr>
      </w:pPr>
      <w:r w:rsidRPr="00094F7E">
        <w:rPr>
          <w:rFonts w:cs="Arial"/>
        </w:rPr>
        <w:t>There has been high demand for licences in the high density areas (HDAs) of Sydney/Wollongong, Melbourne/Geelong and Brisbane/Gold Coast</w:t>
      </w:r>
      <w:r w:rsidR="00744F7C">
        <w:rPr>
          <w:rFonts w:cs="Arial"/>
        </w:rPr>
        <w:t>.</w:t>
      </w:r>
      <w:r w:rsidR="001439C8">
        <w:rPr>
          <w:rStyle w:val="FootnoteReference"/>
          <w:rFonts w:cs="Arial"/>
        </w:rPr>
        <w:footnoteReference w:id="1"/>
      </w:r>
      <w:r w:rsidRPr="00094F7E">
        <w:rPr>
          <w:rFonts w:cs="Arial"/>
        </w:rPr>
        <w:t xml:space="preserve"> Recognising this, the Australian Communications and Media Authority (</w:t>
      </w:r>
      <w:r w:rsidR="003C5897">
        <w:rPr>
          <w:rFonts w:cs="Arial"/>
        </w:rPr>
        <w:t xml:space="preserve">the </w:t>
      </w:r>
      <w:r w:rsidRPr="00094F7E">
        <w:rPr>
          <w:rFonts w:cs="Arial"/>
        </w:rPr>
        <w:t>ACMA) introduc</w:t>
      </w:r>
      <w:r>
        <w:rPr>
          <w:rFonts w:cs="Arial"/>
        </w:rPr>
        <w:t>ed</w:t>
      </w:r>
      <w:r w:rsidRPr="00094F7E">
        <w:rPr>
          <w:rFonts w:cs="Arial"/>
        </w:rPr>
        <w:t xml:space="preserve"> reforms </w:t>
      </w:r>
      <w:r w:rsidR="001439C8">
        <w:rPr>
          <w:rFonts w:cs="Arial"/>
        </w:rPr>
        <w:t>designed to</w:t>
      </w:r>
      <w:r w:rsidRPr="00094F7E">
        <w:rPr>
          <w:rFonts w:cs="Arial"/>
        </w:rPr>
        <w:t xml:space="preserve"> enable more efficient use of this spectrum</w:t>
      </w:r>
      <w:r w:rsidR="003C5897">
        <w:rPr>
          <w:rFonts w:cs="Arial"/>
        </w:rPr>
        <w:t>,</w:t>
      </w:r>
      <w:r>
        <w:rPr>
          <w:rFonts w:cs="Arial"/>
        </w:rPr>
        <w:t xml:space="preserve"> including</w:t>
      </w:r>
      <w:r w:rsidR="00A00C3D">
        <w:rPr>
          <w:rFonts w:cs="Arial"/>
        </w:rPr>
        <w:t>:</w:t>
      </w:r>
    </w:p>
    <w:p w14:paraId="0A549EC1" w14:textId="12F695A8" w:rsidR="00A00C3D" w:rsidRPr="00A00C3D" w:rsidRDefault="00664944" w:rsidP="00552A1C">
      <w:pPr>
        <w:pStyle w:val="ListBullet"/>
        <w:rPr>
          <w:szCs w:val="20"/>
        </w:rPr>
      </w:pPr>
      <w:r>
        <w:t xml:space="preserve">a </w:t>
      </w:r>
      <w:r w:rsidR="00AE2C6C">
        <w:t xml:space="preserve">regulatory requirement to </w:t>
      </w:r>
      <w:r>
        <w:t>reduc</w:t>
      </w:r>
      <w:r w:rsidR="00AE2C6C">
        <w:t>e</w:t>
      </w:r>
      <w:r>
        <w:t xml:space="preserve"> channel bandwidth</w:t>
      </w:r>
      <w:r w:rsidR="00AE2C6C">
        <w:t xml:space="preserve"> from 25 kHz to 12.5 kHz or less (narrow</w:t>
      </w:r>
      <w:r w:rsidR="005A179E">
        <w:t>-</w:t>
      </w:r>
      <w:r w:rsidR="00AE2C6C">
        <w:t>banding)</w:t>
      </w:r>
      <w:r w:rsidR="005A179E">
        <w:rPr>
          <w:rStyle w:val="FootnoteReference"/>
        </w:rPr>
        <w:footnoteReference w:id="2"/>
      </w:r>
    </w:p>
    <w:p w14:paraId="6B5B0B0E" w14:textId="34C9A6DA" w:rsidR="00A00C3D" w:rsidRPr="00A00C3D" w:rsidRDefault="00664944" w:rsidP="00552A1C">
      <w:pPr>
        <w:pStyle w:val="ListBullet"/>
        <w:rPr>
          <w:szCs w:val="20"/>
        </w:rPr>
      </w:pPr>
      <w:r w:rsidRPr="00FF151C">
        <w:t xml:space="preserve">harmonisation of government spectrum use (including the establishment of a consolidated state-wide </w:t>
      </w:r>
      <w:r w:rsidRPr="00B10BE6">
        <w:t>government licensing arrangement)</w:t>
      </w:r>
    </w:p>
    <w:p w14:paraId="1EC41A17" w14:textId="77777777" w:rsidR="00A00C3D" w:rsidRPr="00A00C3D" w:rsidRDefault="00664944" w:rsidP="00552A1C">
      <w:pPr>
        <w:pStyle w:val="ListBulletLast"/>
        <w:rPr>
          <w:szCs w:val="20"/>
        </w:rPr>
      </w:pPr>
      <w:r>
        <w:t xml:space="preserve">a </w:t>
      </w:r>
      <w:r w:rsidRPr="00B10BE6">
        <w:t>mor</w:t>
      </w:r>
      <w:r w:rsidR="00EA0DAA">
        <w:t>e flexible technical framework.</w:t>
      </w:r>
      <w:r w:rsidR="00B11EA9">
        <w:t xml:space="preserve">  </w:t>
      </w:r>
    </w:p>
    <w:p w14:paraId="64299D86" w14:textId="3712CE51" w:rsidR="00664944" w:rsidRPr="00ED3ECB" w:rsidRDefault="00B11EA9" w:rsidP="00A00C3D">
      <w:r>
        <w:t xml:space="preserve">The application of </w:t>
      </w:r>
      <w:r w:rsidRPr="00ED3ECB">
        <w:t xml:space="preserve">opportunity cost </w:t>
      </w:r>
      <w:r w:rsidR="005E628A">
        <w:t xml:space="preserve">(OC) </w:t>
      </w:r>
      <w:r w:rsidRPr="00ED3ECB">
        <w:t xml:space="preserve">principles in licence tax rates </w:t>
      </w:r>
      <w:r w:rsidR="00A834DE">
        <w:t>complements</w:t>
      </w:r>
      <w:r w:rsidRPr="00ED3ECB">
        <w:t xml:space="preserve"> these reforms.</w:t>
      </w:r>
      <w:r w:rsidR="001C7575" w:rsidRPr="00ED3ECB">
        <w:t xml:space="preserve"> </w:t>
      </w:r>
      <w:r w:rsidR="00ED3ECB" w:rsidRPr="00D96291">
        <w:t xml:space="preserve">The </w:t>
      </w:r>
      <w:r w:rsidR="00512A48">
        <w:t>OC</w:t>
      </w:r>
      <w:r w:rsidR="00ED3ECB" w:rsidRPr="00D96291">
        <w:t xml:space="preserve"> of a part of the radiofrequency spectrum is the highest</w:t>
      </w:r>
      <w:r w:rsidR="003C5897">
        <w:t>-</w:t>
      </w:r>
      <w:r w:rsidR="00ED3ECB" w:rsidRPr="00D96291">
        <w:t>value alternative use that is denied by granting acce</w:t>
      </w:r>
      <w:r w:rsidR="00ED3ECB" w:rsidRPr="00ED3ECB">
        <w:t xml:space="preserve">ss to one </w:t>
      </w:r>
      <w:r w:rsidR="00ED3ECB">
        <w:t xml:space="preserve">spectrum user </w:t>
      </w:r>
      <w:r w:rsidR="00ED3ECB" w:rsidRPr="00ED3ECB">
        <w:t>rather than to another</w:t>
      </w:r>
      <w:r w:rsidR="00ED3ECB">
        <w:t>.</w:t>
      </w:r>
    </w:p>
    <w:p w14:paraId="2B8D0E39" w14:textId="76CCD4D3" w:rsidR="005E628A" w:rsidRDefault="00512A48" w:rsidP="009A1E78">
      <w:r>
        <w:t>The ACMA is progressively implementing OC-based licence tax rates; staged over five increases each of 15 per cent. Two increases have been implemented</w:t>
      </w:r>
      <w:r w:rsidR="003C5897">
        <w:t xml:space="preserve">, in </w:t>
      </w:r>
      <w:r>
        <w:t>August 2012 and April 2016</w:t>
      </w:r>
      <w:r w:rsidR="003C5897">
        <w:t>,</w:t>
      </w:r>
      <w:r>
        <w:t xml:space="preserve"> and t</w:t>
      </w:r>
      <w:r w:rsidR="005E628A">
        <w:t xml:space="preserve">he ACMA is now considering </w:t>
      </w:r>
      <w:r w:rsidR="00D96291">
        <w:t>whether</w:t>
      </w:r>
      <w:r w:rsidR="005E628A">
        <w:t xml:space="preserve"> to introduce the third increment</w:t>
      </w:r>
      <w:r w:rsidR="00A00C3D">
        <w:t xml:space="preserve">. As part of its </w:t>
      </w:r>
      <w:r w:rsidR="005E628A">
        <w:t>consideration, the ACMA is utilising a monitoring framework for demand for spectrum in the 400 MHz</w:t>
      </w:r>
      <w:r w:rsidR="00A44480">
        <w:t xml:space="preserve"> band</w:t>
      </w:r>
      <w:r w:rsidR="005E628A">
        <w:t xml:space="preserve">. The framework takes into account the feedback provided by stakeholders as part of </w:t>
      </w:r>
      <w:r w:rsidR="00A00C3D">
        <w:t xml:space="preserve">earlier considerations related to the </w:t>
      </w:r>
      <w:r w:rsidR="005E628A">
        <w:t xml:space="preserve">second </w:t>
      </w:r>
      <w:r w:rsidR="00A00C3D">
        <w:t xml:space="preserve">price </w:t>
      </w:r>
      <w:r w:rsidR="005E628A">
        <w:t>increment.</w:t>
      </w:r>
    </w:p>
    <w:p w14:paraId="5D6773CD" w14:textId="77777777" w:rsidR="005E628A" w:rsidRPr="00A80BD1" w:rsidRDefault="005E628A" w:rsidP="00552A1C">
      <w:pPr>
        <w:pStyle w:val="Heading2"/>
      </w:pPr>
      <w:bookmarkStart w:id="2" w:name="_Toc466623829"/>
      <w:r w:rsidRPr="00A80BD1">
        <w:t>OC pricing initiatives in the 400 MHz band over time</w:t>
      </w:r>
      <w:bookmarkEnd w:id="2"/>
    </w:p>
    <w:p w14:paraId="64D26A2B" w14:textId="2B0DA601" w:rsidR="00125FC9" w:rsidRDefault="00993957" w:rsidP="009A1E78">
      <w:r>
        <w:t>In August 2012</w:t>
      </w:r>
      <w:r w:rsidR="003C5897">
        <w:t>,</w:t>
      </w:r>
      <w:r>
        <w:t xml:space="preserve"> the ACMA implemented licence tax rates based on </w:t>
      </w:r>
      <w:r w:rsidR="002063A9">
        <w:t>OC</w:t>
      </w:r>
      <w:r w:rsidR="00664944">
        <w:t xml:space="preserve"> </w:t>
      </w:r>
      <w:r w:rsidR="00EA0DAA">
        <w:t>principles</w:t>
      </w:r>
      <w:r w:rsidR="00125FC9">
        <w:t xml:space="preserve">. This was one </w:t>
      </w:r>
      <w:r w:rsidR="00787B4A">
        <w:t xml:space="preserve">of </w:t>
      </w:r>
      <w:r w:rsidR="00125FC9">
        <w:t xml:space="preserve">a suite of initiatives designed to address </w:t>
      </w:r>
      <w:r w:rsidR="00664944" w:rsidRPr="00BD3487">
        <w:t>congestion</w:t>
      </w:r>
      <w:r w:rsidR="00664944" w:rsidRPr="00CD47AE">
        <w:t xml:space="preserve"> and en</w:t>
      </w:r>
      <w:r w:rsidR="00664944">
        <w:t>courag</w:t>
      </w:r>
      <w:r w:rsidR="00125FC9">
        <w:t>e</w:t>
      </w:r>
      <w:r w:rsidR="00664944">
        <w:t xml:space="preserve"> </w:t>
      </w:r>
      <w:r w:rsidR="00664944" w:rsidRPr="003E70D7">
        <w:t>long-term efficient use</w:t>
      </w:r>
      <w:r w:rsidR="00664944" w:rsidRPr="00FA699F">
        <w:t xml:space="preserve"> </w:t>
      </w:r>
      <w:r w:rsidR="003327E5">
        <w:t xml:space="preserve">of spectrum </w:t>
      </w:r>
      <w:r w:rsidR="00664944" w:rsidRPr="00FA699F">
        <w:t xml:space="preserve">in the HDAs </w:t>
      </w:r>
      <w:r w:rsidR="00EA0DAA">
        <w:t>of</w:t>
      </w:r>
      <w:r w:rsidR="00664944" w:rsidRPr="00FA699F">
        <w:t xml:space="preserve"> the 400 MHz band.</w:t>
      </w:r>
      <w:r w:rsidR="00664944">
        <w:t xml:space="preserve"> </w:t>
      </w:r>
    </w:p>
    <w:p w14:paraId="67463345" w14:textId="16BA9DA5" w:rsidR="00787B4A" w:rsidRDefault="00152973" w:rsidP="009A1E78">
      <w:pPr>
        <w:rPr>
          <w:lang w:val="en-US"/>
        </w:rPr>
      </w:pPr>
      <w:r w:rsidRPr="00884A54">
        <w:rPr>
          <w:rFonts w:cs="Arial"/>
        </w:rPr>
        <w:t xml:space="preserve">OC-based licence tax rates </w:t>
      </w:r>
      <w:r w:rsidR="000026D9" w:rsidRPr="00884A54">
        <w:t xml:space="preserve">ensure that </w:t>
      </w:r>
      <w:r w:rsidRPr="00884A54">
        <w:rPr>
          <w:lang w:val="en-US"/>
        </w:rPr>
        <w:t>all industry participants</w:t>
      </w:r>
      <w:r w:rsidR="003C5897" w:rsidRPr="00884A54">
        <w:rPr>
          <w:lang w:val="en-US"/>
        </w:rPr>
        <w:t>—</w:t>
      </w:r>
      <w:r w:rsidRPr="00884A54">
        <w:rPr>
          <w:lang w:val="en-US"/>
        </w:rPr>
        <w:t>including current licensees</w:t>
      </w:r>
      <w:r w:rsidR="00787B4A" w:rsidRPr="00884A54">
        <w:rPr>
          <w:lang w:val="en-US"/>
        </w:rPr>
        <w:t>,</w:t>
      </w:r>
      <w:r w:rsidRPr="00884A54">
        <w:rPr>
          <w:lang w:val="en-US"/>
        </w:rPr>
        <w:t xml:space="preserve"> </w:t>
      </w:r>
      <w:r w:rsidR="005E4B39" w:rsidRPr="00884A54">
        <w:rPr>
          <w:lang w:val="en-US"/>
        </w:rPr>
        <w:t xml:space="preserve">that </w:t>
      </w:r>
      <w:r w:rsidR="00C936BE" w:rsidRPr="00884A54">
        <w:rPr>
          <w:lang w:val="en-US"/>
        </w:rPr>
        <w:t xml:space="preserve">may be </w:t>
      </w:r>
      <w:r w:rsidRPr="00884A54">
        <w:rPr>
          <w:lang w:val="en-US"/>
        </w:rPr>
        <w:t>required to invest in new equipment</w:t>
      </w:r>
      <w:r w:rsidRPr="00884A54">
        <w:rPr>
          <w:rStyle w:val="FootnoteReference"/>
          <w:lang w:val="en-US"/>
        </w:rPr>
        <w:footnoteReference w:id="3"/>
      </w:r>
      <w:r w:rsidRPr="00884A54">
        <w:rPr>
          <w:lang w:val="en-US"/>
        </w:rPr>
        <w:t xml:space="preserve"> and potential licensees </w:t>
      </w:r>
      <w:r w:rsidR="005E4B39" w:rsidRPr="00884A54">
        <w:rPr>
          <w:lang w:val="en-US"/>
        </w:rPr>
        <w:t xml:space="preserve">that </w:t>
      </w:r>
      <w:r w:rsidRPr="00884A54">
        <w:rPr>
          <w:lang w:val="en-US"/>
        </w:rPr>
        <w:t>may enter the spectrum market in the near-term</w:t>
      </w:r>
      <w:r w:rsidR="003C5897" w:rsidRPr="00884A54">
        <w:rPr>
          <w:lang w:val="en-US"/>
        </w:rPr>
        <w:t>—</w:t>
      </w:r>
      <w:r w:rsidRPr="00884A54">
        <w:rPr>
          <w:lang w:val="en-US"/>
        </w:rPr>
        <w:t xml:space="preserve">make informed decisions around ongoing spectrum use and investment in both spectrum and spectrum-complementary inputs/assets. </w:t>
      </w:r>
      <w:r w:rsidR="008E73ED" w:rsidRPr="00884A54">
        <w:rPr>
          <w:lang w:val="en-US"/>
        </w:rPr>
        <w:t>In addition, t</w:t>
      </w:r>
      <w:r w:rsidR="00342E91" w:rsidRPr="00884A54">
        <w:rPr>
          <w:lang w:val="en-US"/>
        </w:rPr>
        <w:t xml:space="preserve">he ACMA is mindful of feedback from </w:t>
      </w:r>
      <w:r w:rsidR="00342E91" w:rsidRPr="00884A54">
        <w:rPr>
          <w:lang w:val="en-US"/>
        </w:rPr>
        <w:lastRenderedPageBreak/>
        <w:t xml:space="preserve">industry </w:t>
      </w:r>
      <w:r w:rsidR="008E73ED" w:rsidRPr="00884A54">
        <w:rPr>
          <w:lang w:val="en-US"/>
        </w:rPr>
        <w:t xml:space="preserve">about the </w:t>
      </w:r>
      <w:r w:rsidR="00C936BE" w:rsidRPr="00884A54">
        <w:rPr>
          <w:lang w:val="en-US"/>
        </w:rPr>
        <w:t xml:space="preserve">difficulty </w:t>
      </w:r>
      <w:r w:rsidR="00512A48" w:rsidRPr="00884A54">
        <w:rPr>
          <w:lang w:val="en-US"/>
        </w:rPr>
        <w:t>created by</w:t>
      </w:r>
      <w:r w:rsidR="00C936BE" w:rsidRPr="00884A54">
        <w:rPr>
          <w:lang w:val="en-US"/>
        </w:rPr>
        <w:t xml:space="preserve"> rising</w:t>
      </w:r>
      <w:r w:rsidR="008E73ED" w:rsidRPr="00884A54">
        <w:rPr>
          <w:lang w:val="en-US"/>
        </w:rPr>
        <w:t xml:space="preserve"> spectrum </w:t>
      </w:r>
      <w:r w:rsidR="00C936BE" w:rsidRPr="00884A54">
        <w:rPr>
          <w:lang w:val="en-US"/>
        </w:rPr>
        <w:t>costs in the context of</w:t>
      </w:r>
      <w:r w:rsidR="008E73ED" w:rsidRPr="00884A54">
        <w:rPr>
          <w:lang w:val="en-US"/>
        </w:rPr>
        <w:t xml:space="preserve"> long term managed contracts with </w:t>
      </w:r>
      <w:r w:rsidR="00556585" w:rsidRPr="00884A54">
        <w:rPr>
          <w:lang w:val="en-US"/>
        </w:rPr>
        <w:t xml:space="preserve">limited scope to pass-on higher spectrum costs to </w:t>
      </w:r>
      <w:r w:rsidR="008E73ED" w:rsidRPr="00884A54">
        <w:rPr>
          <w:lang w:val="en-US"/>
        </w:rPr>
        <w:t xml:space="preserve">their </w:t>
      </w:r>
      <w:r w:rsidR="00512A48" w:rsidRPr="00884A54">
        <w:rPr>
          <w:lang w:val="en-US"/>
        </w:rPr>
        <w:t xml:space="preserve">end-user </w:t>
      </w:r>
      <w:r w:rsidR="008E73ED" w:rsidRPr="00884A54">
        <w:rPr>
          <w:lang w:val="en-US"/>
        </w:rPr>
        <w:t>clients</w:t>
      </w:r>
      <w:r w:rsidR="00C936BE" w:rsidRPr="00884A54">
        <w:rPr>
          <w:lang w:val="en-US"/>
        </w:rPr>
        <w:t>. Given this</w:t>
      </w:r>
      <w:r w:rsidR="008E73ED" w:rsidRPr="00884A54">
        <w:rPr>
          <w:lang w:val="en-US"/>
        </w:rPr>
        <w:t xml:space="preserve">, </w:t>
      </w:r>
      <w:r w:rsidR="00C936BE" w:rsidRPr="00884A54">
        <w:rPr>
          <w:lang w:val="en-US"/>
        </w:rPr>
        <w:t xml:space="preserve">long-term </w:t>
      </w:r>
      <w:r w:rsidR="008E73ED" w:rsidRPr="00884A54">
        <w:rPr>
          <w:lang w:val="en-US"/>
        </w:rPr>
        <w:t xml:space="preserve">signals about OC </w:t>
      </w:r>
      <w:r w:rsidR="00C936BE" w:rsidRPr="00884A54">
        <w:rPr>
          <w:lang w:val="en-US"/>
        </w:rPr>
        <w:t xml:space="preserve">may </w:t>
      </w:r>
      <w:r w:rsidR="008E73ED" w:rsidRPr="00884A54">
        <w:rPr>
          <w:lang w:val="en-US"/>
        </w:rPr>
        <w:t xml:space="preserve">provide stakeholders with </w:t>
      </w:r>
      <w:r w:rsidR="00C936BE" w:rsidRPr="00884A54">
        <w:rPr>
          <w:lang w:val="en-US"/>
        </w:rPr>
        <w:t>an</w:t>
      </w:r>
      <w:r w:rsidR="008E73ED" w:rsidRPr="00884A54">
        <w:rPr>
          <w:lang w:val="en-US"/>
        </w:rPr>
        <w:t xml:space="preserve"> opportunity to consider how best to </w:t>
      </w:r>
      <w:r w:rsidR="00512A48" w:rsidRPr="00884A54">
        <w:rPr>
          <w:lang w:val="en-US"/>
        </w:rPr>
        <w:t>manage access to spectrum</w:t>
      </w:r>
      <w:r w:rsidR="008E73ED" w:rsidRPr="00884A54">
        <w:rPr>
          <w:lang w:val="en-US"/>
        </w:rPr>
        <w:t xml:space="preserve">. </w:t>
      </w:r>
    </w:p>
    <w:p w14:paraId="07C90F4E" w14:textId="6FF1FE35" w:rsidR="004230D8" w:rsidRDefault="004230D8" w:rsidP="009A1E78">
      <w:r>
        <w:rPr>
          <w:lang w:val="en-US"/>
        </w:rPr>
        <w:t xml:space="preserve">The consultation process provides an opportunity for the ACMA to share the findings from </w:t>
      </w:r>
      <w:r w:rsidR="003C5897">
        <w:rPr>
          <w:lang w:val="en-US"/>
        </w:rPr>
        <w:t xml:space="preserve">our </w:t>
      </w:r>
      <w:r>
        <w:rPr>
          <w:lang w:val="en-US"/>
        </w:rPr>
        <w:t xml:space="preserve">latest monitoring analysis and to signal expectations around future </w:t>
      </w:r>
      <w:r w:rsidR="00073853">
        <w:rPr>
          <w:lang w:val="en-US"/>
        </w:rPr>
        <w:t xml:space="preserve">planned </w:t>
      </w:r>
      <w:r>
        <w:rPr>
          <w:lang w:val="en-US"/>
        </w:rPr>
        <w:t xml:space="preserve">increases in licence tax rates. This </w:t>
      </w:r>
      <w:r w:rsidR="00073853">
        <w:rPr>
          <w:lang w:val="en-US"/>
        </w:rPr>
        <w:t>is intended to provide</w:t>
      </w:r>
      <w:r>
        <w:rPr>
          <w:lang w:val="en-US"/>
        </w:rPr>
        <w:t xml:space="preserve"> long</w:t>
      </w:r>
      <w:r w:rsidR="00073853">
        <w:rPr>
          <w:lang w:val="en-US"/>
        </w:rPr>
        <w:t>er</w:t>
      </w:r>
      <w:r>
        <w:rPr>
          <w:lang w:val="en-US"/>
        </w:rPr>
        <w:t>-term certainty for licensees</w:t>
      </w:r>
      <w:r w:rsidR="003C5897">
        <w:rPr>
          <w:lang w:val="en-US"/>
        </w:rPr>
        <w:t>,</w:t>
      </w:r>
      <w:r>
        <w:rPr>
          <w:lang w:val="en-US"/>
        </w:rPr>
        <w:t xml:space="preserve"> and assists informed decision-making about</w:t>
      </w:r>
      <w:r w:rsidR="00512A48">
        <w:rPr>
          <w:lang w:val="en-US"/>
        </w:rPr>
        <w:t xml:space="preserve"> the use of</w:t>
      </w:r>
      <w:r>
        <w:rPr>
          <w:lang w:val="en-US"/>
        </w:rPr>
        <w:t xml:space="preserve"> both spectrum and complementary network or other inputs.</w:t>
      </w:r>
    </w:p>
    <w:p w14:paraId="773FE6A2" w14:textId="6505473E" w:rsidR="001439C8" w:rsidRDefault="00125FC9" w:rsidP="009A1E78">
      <w:r>
        <w:t>The ACMA commissioned Plum Consulting in</w:t>
      </w:r>
      <w:r w:rsidR="009A1E78">
        <w:t xml:space="preserve"> </w:t>
      </w:r>
      <w:r w:rsidR="00727EA6">
        <w:t>2011</w:t>
      </w:r>
      <w:r w:rsidR="00512A48">
        <w:t xml:space="preserve"> to provide advice and specific estimates of OC in this context</w:t>
      </w:r>
      <w:r>
        <w:t xml:space="preserve">. In its </w:t>
      </w:r>
      <w:r w:rsidR="00512A48">
        <w:t xml:space="preserve">supporting </w:t>
      </w:r>
      <w:r>
        <w:t xml:space="preserve">analysis, </w:t>
      </w:r>
      <w:r w:rsidR="009A1E78">
        <w:t>Plum Consulting applied a least cost approach to estimate that the OC in the HDAs of the 400 MHz band was $199/kHz.</w:t>
      </w:r>
      <w:r w:rsidR="00217778">
        <w:rPr>
          <w:rStyle w:val="FootnoteReference"/>
        </w:rPr>
        <w:footnoteReference w:id="4"/>
      </w:r>
      <w:r w:rsidR="009A1E78">
        <w:t xml:space="preserve"> </w:t>
      </w:r>
      <w:r w:rsidR="00AE7B89">
        <w:t xml:space="preserve">At the time, the ACMA proposed to introduce </w:t>
      </w:r>
      <w:r w:rsidR="00512A48">
        <w:t>OC</w:t>
      </w:r>
      <w:r w:rsidR="00552A1C">
        <w:t xml:space="preserve"> principles</w:t>
      </w:r>
      <w:r w:rsidR="009A1E78">
        <w:t xml:space="preserve"> </w:t>
      </w:r>
      <w:r w:rsidR="00AE7B89">
        <w:t xml:space="preserve">via </w:t>
      </w:r>
      <w:r w:rsidR="00993957">
        <w:t xml:space="preserve">a series of </w:t>
      </w:r>
      <w:r w:rsidR="001439C8">
        <w:t xml:space="preserve">five </w:t>
      </w:r>
      <w:r w:rsidR="00993957">
        <w:t>increases to transition licence tax rates towards</w:t>
      </w:r>
      <w:r w:rsidR="009A1E78">
        <w:t xml:space="preserve"> levels consistent with this estimate of </w:t>
      </w:r>
      <w:r w:rsidR="00512A48">
        <w:t>OC</w:t>
      </w:r>
      <w:r w:rsidR="00AE7B89">
        <w:t xml:space="preserve"> in real terms (</w:t>
      </w:r>
      <w:r w:rsidR="006105FE">
        <w:t>that is,</w:t>
      </w:r>
      <w:r w:rsidR="00AE7B89">
        <w:t xml:space="preserve"> annual adjustment by the </w:t>
      </w:r>
      <w:r w:rsidR="007858B6" w:rsidRPr="00F50AEB">
        <w:t xml:space="preserve">Consumer Price Index (CPI) </w:t>
      </w:r>
      <w:r w:rsidR="00AE7B89">
        <w:t>would also occur)</w:t>
      </w:r>
      <w:r w:rsidR="001439C8">
        <w:t xml:space="preserve">. </w:t>
      </w:r>
      <w:r w:rsidR="00FD0E7D">
        <w:t>The higher targeted licence tax rates also reflected a strong expectation that</w:t>
      </w:r>
      <w:r w:rsidR="001439C8">
        <w:t xml:space="preserve"> demand would continue to grow.</w:t>
      </w:r>
    </w:p>
    <w:p w14:paraId="697FCE15" w14:textId="168AFA9B" w:rsidR="009A1E78" w:rsidRDefault="00672CF5" w:rsidP="009A1E78">
      <w:r>
        <w:t xml:space="preserve">The </w:t>
      </w:r>
      <w:r w:rsidR="00976614">
        <w:t xml:space="preserve">staged </w:t>
      </w:r>
      <w:r w:rsidR="009A1E78">
        <w:t xml:space="preserve">introduction of </w:t>
      </w:r>
      <w:r w:rsidR="00125FC9">
        <w:t xml:space="preserve">an </w:t>
      </w:r>
      <w:r w:rsidR="00512A48">
        <w:t>OC-based licence tax rate</w:t>
      </w:r>
      <w:r w:rsidR="009A1E78">
        <w:t xml:space="preserve"> ensure</w:t>
      </w:r>
      <w:r w:rsidR="00976614">
        <w:t>s</w:t>
      </w:r>
      <w:r w:rsidR="009A1E78">
        <w:t xml:space="preserve"> that increases d</w:t>
      </w:r>
      <w:r w:rsidR="00976614">
        <w:t>o</w:t>
      </w:r>
      <w:r w:rsidR="009A1E78">
        <w:t xml:space="preserve"> not </w:t>
      </w:r>
      <w:r w:rsidR="00FD0E7D">
        <w:t xml:space="preserve">unduly disrupt </w:t>
      </w:r>
      <w:r>
        <w:t>licensee</w:t>
      </w:r>
      <w:r w:rsidR="00B77CB2">
        <w:t>s</w:t>
      </w:r>
      <w:r>
        <w:t xml:space="preserve">’ </w:t>
      </w:r>
      <w:r w:rsidR="00FD0E7D">
        <w:t xml:space="preserve">business plans or cause an unexpected contraction in demand for </w:t>
      </w:r>
      <w:r w:rsidR="001439C8">
        <w:t xml:space="preserve">the </w:t>
      </w:r>
      <w:r w:rsidR="00FD0E7D">
        <w:t xml:space="preserve">spectrum. </w:t>
      </w:r>
      <w:r w:rsidR="009A1E78">
        <w:t xml:space="preserve">Each subsequent increase </w:t>
      </w:r>
      <w:r w:rsidR="003327E5">
        <w:t xml:space="preserve">towards </w:t>
      </w:r>
      <w:r w:rsidR="002063A9">
        <w:t>OC</w:t>
      </w:r>
      <w:r w:rsidR="003327E5">
        <w:t xml:space="preserve"> </w:t>
      </w:r>
      <w:r w:rsidR="009A1E78">
        <w:t xml:space="preserve">would only be made after </w:t>
      </w:r>
      <w:r w:rsidR="00FD0E7D">
        <w:t>monitoring the impact on licensees and the demand for spectrum.</w:t>
      </w:r>
    </w:p>
    <w:p w14:paraId="6711F7EF" w14:textId="4BD314F1" w:rsidR="009A1E78" w:rsidRDefault="005E628A" w:rsidP="009A1E78">
      <w:pPr>
        <w:rPr>
          <w:rFonts w:cs="Arial"/>
          <w:szCs w:val="20"/>
        </w:rPr>
      </w:pPr>
      <w:r>
        <w:rPr>
          <w:rFonts w:cs="Arial"/>
          <w:szCs w:val="20"/>
        </w:rPr>
        <w:t xml:space="preserve">In considering whether to introduce the second </w:t>
      </w:r>
      <w:r w:rsidR="00073853">
        <w:rPr>
          <w:rFonts w:cs="Arial"/>
          <w:szCs w:val="20"/>
        </w:rPr>
        <w:t xml:space="preserve">price </w:t>
      </w:r>
      <w:r>
        <w:rPr>
          <w:rFonts w:cs="Arial"/>
          <w:szCs w:val="20"/>
        </w:rPr>
        <w:t>increment, i</w:t>
      </w:r>
      <w:r w:rsidR="00B02D9C">
        <w:rPr>
          <w:rFonts w:cs="Arial"/>
          <w:szCs w:val="20"/>
        </w:rPr>
        <w:t>n June</w:t>
      </w:r>
      <w:r w:rsidR="00FD0E7D">
        <w:rPr>
          <w:rFonts w:cs="Arial"/>
          <w:szCs w:val="20"/>
        </w:rPr>
        <w:t xml:space="preserve"> 2014 the ACMA released a discussion paper entitled </w:t>
      </w:r>
      <w:hyperlink r:id="rId30" w:history="1">
        <w:r w:rsidR="00BC1333" w:rsidRPr="007D7D5D">
          <w:rPr>
            <w:rStyle w:val="Hyperlink"/>
            <w:i/>
            <w:lang w:val="en"/>
          </w:rPr>
          <w:t>Progressing opportunity cost pricing in the 400 MHz band</w:t>
        </w:r>
      </w:hyperlink>
      <w:r w:rsidR="00FD0E7D">
        <w:rPr>
          <w:rFonts w:cs="Arial"/>
          <w:szCs w:val="20"/>
        </w:rPr>
        <w:t>. Th</w:t>
      </w:r>
      <w:r w:rsidR="00D6698C">
        <w:rPr>
          <w:rFonts w:cs="Arial"/>
          <w:szCs w:val="20"/>
        </w:rPr>
        <w:t>at</w:t>
      </w:r>
      <w:r w:rsidR="00FD0E7D">
        <w:rPr>
          <w:rFonts w:cs="Arial"/>
          <w:szCs w:val="20"/>
        </w:rPr>
        <w:t xml:space="preserve"> discussion paper detailed the rationale and monitoring program behind the ACMA’s intention to apply OC principles and proposed changes to the apparatus licence tax rates applicable to spectrum in the HDAs and remote density areas (RDAs) in the 400 MHz band.</w:t>
      </w:r>
    </w:p>
    <w:p w14:paraId="376172C7" w14:textId="678D6FDD" w:rsidR="00B02D9C" w:rsidRDefault="00FD0E7D" w:rsidP="00FD0E7D">
      <w:r>
        <w:t>The ACMA received seven submissions to the disc</w:t>
      </w:r>
      <w:r w:rsidR="00B02D9C">
        <w:t>ussion paper</w:t>
      </w:r>
      <w:r w:rsidR="00F53C9C">
        <w:t xml:space="preserve">, which are available on the </w:t>
      </w:r>
      <w:hyperlink r:id="rId31" w:history="1">
        <w:r w:rsidR="00F53C9C" w:rsidRPr="00F53C9C">
          <w:rPr>
            <w:rStyle w:val="Hyperlink"/>
          </w:rPr>
          <w:t>ACMA website</w:t>
        </w:r>
      </w:hyperlink>
      <w:r w:rsidR="00F53C9C">
        <w:t>.</w:t>
      </w:r>
    </w:p>
    <w:p w14:paraId="307D05CD" w14:textId="31C9C07A" w:rsidR="00FD0E7D" w:rsidRDefault="00054302" w:rsidP="00552A1C">
      <w:pPr>
        <w:spacing w:after="80"/>
      </w:pPr>
      <w:r>
        <w:t xml:space="preserve">Reflecting </w:t>
      </w:r>
      <w:r w:rsidR="00125FC9">
        <w:t xml:space="preserve">on </w:t>
      </w:r>
      <w:r>
        <w:t xml:space="preserve">the feedback </w:t>
      </w:r>
      <w:r w:rsidR="00125FC9">
        <w:t xml:space="preserve">provided </w:t>
      </w:r>
      <w:r>
        <w:t xml:space="preserve">in submissions, </w:t>
      </w:r>
      <w:r w:rsidR="00FD0E7D">
        <w:t xml:space="preserve">the ACMA made significant adjustments to the </w:t>
      </w:r>
      <w:r w:rsidR="00125FC9">
        <w:t xml:space="preserve">monitoring </w:t>
      </w:r>
      <w:r w:rsidR="00FD0E7D">
        <w:t>framework</w:t>
      </w:r>
      <w:r w:rsidR="00125FC9">
        <w:t xml:space="preserve"> to assess </w:t>
      </w:r>
      <w:r w:rsidR="003327E5">
        <w:t>the impacts of higher licence tax rates in HDAs</w:t>
      </w:r>
      <w:r w:rsidR="00FD0E7D">
        <w:t xml:space="preserve">. These changes </w:t>
      </w:r>
      <w:r w:rsidR="00430407">
        <w:t xml:space="preserve">to the monitoring framework </w:t>
      </w:r>
      <w:r w:rsidR="00FD0E7D">
        <w:t>include</w:t>
      </w:r>
      <w:r w:rsidR="00430407">
        <w:t>d</w:t>
      </w:r>
      <w:r w:rsidR="00FD0E7D">
        <w:t>:</w:t>
      </w:r>
    </w:p>
    <w:p w14:paraId="47544437" w14:textId="7BD72CC7" w:rsidR="00054302" w:rsidRDefault="00054302" w:rsidP="00125FC9">
      <w:pPr>
        <w:pStyle w:val="ListBullet"/>
      </w:pPr>
      <w:r>
        <w:t>The exclu</w:t>
      </w:r>
      <w:r w:rsidR="00430407">
        <w:t>sion of</w:t>
      </w:r>
      <w:r>
        <w:t xml:space="preserve"> the </w:t>
      </w:r>
      <w:r w:rsidR="00B77CB2">
        <w:t>Harmonised Government Segment (</w:t>
      </w:r>
      <w:r>
        <w:t>HGS</w:t>
      </w:r>
      <w:r w:rsidR="00B77CB2">
        <w:t>)</w:t>
      </w:r>
      <w:r>
        <w:t xml:space="preserve"> spectrum on the supply side and </w:t>
      </w:r>
      <w:r w:rsidR="003327E5">
        <w:t xml:space="preserve">the associated </w:t>
      </w:r>
      <w:r>
        <w:t>public sector demand. The monitoring framework is now based on private sector demand and the spectrum available to satisfy it</w:t>
      </w:r>
      <w:r w:rsidR="00F53C9C">
        <w:t>.</w:t>
      </w:r>
    </w:p>
    <w:p w14:paraId="06C9DB69" w14:textId="08DDB639" w:rsidR="00FD0E7D" w:rsidRDefault="00430407" w:rsidP="00125FC9">
      <w:pPr>
        <w:pStyle w:val="ListBullet"/>
      </w:pPr>
      <w:r>
        <w:t>C</w:t>
      </w:r>
      <w:r w:rsidR="00FD0E7D">
        <w:t>aptur</w:t>
      </w:r>
      <w:r>
        <w:t>ing</w:t>
      </w:r>
      <w:r w:rsidR="00FD0E7D">
        <w:t xml:space="preserve"> the effect of narrow-banding</w:t>
      </w:r>
      <w:r w:rsidR="00BD7324">
        <w:rPr>
          <w:rStyle w:val="FootnoteReference"/>
        </w:rPr>
        <w:footnoteReference w:id="5"/>
      </w:r>
      <w:r w:rsidR="00FD0E7D">
        <w:t xml:space="preserve"> on supply (effectively increas</w:t>
      </w:r>
      <w:r w:rsidR="00B77CB2">
        <w:t>ing</w:t>
      </w:r>
      <w:r w:rsidR="00FD0E7D">
        <w:t xml:space="preserve"> spectrum supply)</w:t>
      </w:r>
    </w:p>
    <w:p w14:paraId="08F2EE11" w14:textId="77777777" w:rsidR="00054302" w:rsidRDefault="00430407" w:rsidP="007D7D5D">
      <w:pPr>
        <w:pStyle w:val="ListBulletLast"/>
      </w:pPr>
      <w:r>
        <w:t xml:space="preserve">Extending </w:t>
      </w:r>
      <w:r w:rsidR="00054302">
        <w:t xml:space="preserve">the analysis period to ensure that decisions are based on long-term rather than transitory </w:t>
      </w:r>
      <w:r w:rsidR="003327E5">
        <w:t>impacts.</w:t>
      </w:r>
    </w:p>
    <w:p w14:paraId="6AA3A803" w14:textId="486E6077" w:rsidR="00054302" w:rsidRDefault="00995A52" w:rsidP="00FD0E7D">
      <w:r>
        <w:t>As a result of the above modifications, t</w:t>
      </w:r>
      <w:r w:rsidR="00054302">
        <w:t xml:space="preserve">he monitoring framework shifted from one focussed </w:t>
      </w:r>
      <w:r>
        <w:t xml:space="preserve">predominantly </w:t>
      </w:r>
      <w:r w:rsidR="00054302">
        <w:t>on rotation</w:t>
      </w:r>
      <w:r w:rsidR="00F53C9C">
        <w:t>—</w:t>
      </w:r>
      <w:r w:rsidR="00054302">
        <w:t>low</w:t>
      </w:r>
      <w:r w:rsidR="00F53C9C">
        <w:t>-</w:t>
      </w:r>
      <w:r w:rsidR="00054302">
        <w:t>value users out and high</w:t>
      </w:r>
      <w:r w:rsidR="00F53C9C">
        <w:t>-</w:t>
      </w:r>
      <w:r w:rsidR="00054302">
        <w:t>value users in</w:t>
      </w:r>
      <w:r w:rsidR="00F53C9C">
        <w:t>—</w:t>
      </w:r>
      <w:r w:rsidR="00054302">
        <w:t xml:space="preserve">to </w:t>
      </w:r>
      <w:r w:rsidR="00430407">
        <w:lastRenderedPageBreak/>
        <w:t xml:space="preserve">a stronger focus on assessing the </w:t>
      </w:r>
      <w:r w:rsidR="001439C8">
        <w:t>risk of congestion re-emerging in the short to medium-term.</w:t>
      </w:r>
    </w:p>
    <w:p w14:paraId="237170E1" w14:textId="59F64421" w:rsidR="001439C8" w:rsidRDefault="001439C8" w:rsidP="00FD0E7D">
      <w:r>
        <w:t xml:space="preserve">The revisions to the framework and the </w:t>
      </w:r>
      <w:r w:rsidR="005D2BE2">
        <w:t>analysis</w:t>
      </w:r>
      <w:r>
        <w:t xml:space="preserve"> around </w:t>
      </w:r>
      <w:r w:rsidR="005D2BE2">
        <w:t xml:space="preserve">the need for </w:t>
      </w:r>
      <w:r>
        <w:t>a second increase in licence tax rates were detailed in the ACMA’s response to consultation paper</w:t>
      </w:r>
      <w:r w:rsidR="00F53C9C">
        <w:t xml:space="preserve">, </w:t>
      </w:r>
      <w:hyperlink r:id="rId32" w:history="1">
        <w:r w:rsidRPr="007D7D5D">
          <w:rPr>
            <w:rStyle w:val="Hyperlink"/>
            <w:i/>
          </w:rPr>
          <w:t xml:space="preserve">Managing spectrum in the 400 MHz </w:t>
        </w:r>
        <w:r w:rsidR="00F53C9C" w:rsidRPr="007D7D5D">
          <w:rPr>
            <w:rStyle w:val="Hyperlink"/>
            <w:i/>
          </w:rPr>
          <w:t>b</w:t>
        </w:r>
        <w:r w:rsidRPr="007D7D5D">
          <w:rPr>
            <w:rStyle w:val="Hyperlink"/>
            <w:i/>
          </w:rPr>
          <w:t xml:space="preserve">and—Next </w:t>
        </w:r>
        <w:r w:rsidR="00F53C9C" w:rsidRPr="007D7D5D">
          <w:rPr>
            <w:rStyle w:val="Hyperlink"/>
            <w:i/>
          </w:rPr>
          <w:t>s</w:t>
        </w:r>
        <w:r w:rsidRPr="007D7D5D">
          <w:rPr>
            <w:rStyle w:val="Hyperlink"/>
            <w:i/>
          </w:rPr>
          <w:t>teps</w:t>
        </w:r>
      </w:hyperlink>
      <w:r>
        <w:t xml:space="preserve"> released in January 2016.  </w:t>
      </w:r>
    </w:p>
    <w:p w14:paraId="52042FE5" w14:textId="77777777" w:rsidR="00430407" w:rsidRDefault="00995A52" w:rsidP="00013E04">
      <w:r>
        <w:rPr>
          <w:snapToGrid w:val="0"/>
        </w:rPr>
        <w:t>Reflecting the revised monitoring framework,</w:t>
      </w:r>
      <w:r>
        <w:t xml:space="preserve"> the ACMA examined closely the likely future supply of spectrum and the current and emerging demand </w:t>
      </w:r>
      <w:r w:rsidR="001439C8">
        <w:t>for spectrum in the HDAs of the 400 MHz band</w:t>
      </w:r>
      <w:r>
        <w:t xml:space="preserve">. </w:t>
      </w:r>
    </w:p>
    <w:p w14:paraId="05AE3AF6" w14:textId="77777777" w:rsidR="00430407" w:rsidRDefault="00430407" w:rsidP="00013E04">
      <w:r>
        <w:t>In the absence of any</w:t>
      </w:r>
      <w:r w:rsidR="00001A7B">
        <w:t xml:space="preserve"> additional</w:t>
      </w:r>
      <w:r>
        <w:t xml:space="preserve"> </w:t>
      </w:r>
      <w:r w:rsidR="001439C8">
        <w:t>licence tax rate</w:t>
      </w:r>
      <w:r>
        <w:t xml:space="preserve"> increase</w:t>
      </w:r>
      <w:r w:rsidR="00995A52" w:rsidRPr="0008347C">
        <w:t>, d</w:t>
      </w:r>
      <w:r w:rsidR="00995A52">
        <w:t xml:space="preserve">emand for spectrum in the band </w:t>
      </w:r>
      <w:r w:rsidR="00820237">
        <w:t>was</w:t>
      </w:r>
      <w:r w:rsidR="00995A52">
        <w:t xml:space="preserve"> </w:t>
      </w:r>
      <w:r w:rsidR="00995A52" w:rsidRPr="0008347C">
        <w:t xml:space="preserve">expected to </w:t>
      </w:r>
      <w:r w:rsidR="00995A52">
        <w:t>continue to grow</w:t>
      </w:r>
      <w:r w:rsidR="00995A52" w:rsidRPr="0008347C">
        <w:t xml:space="preserve">, and all new, as well as existing users, </w:t>
      </w:r>
      <w:r w:rsidR="00820237">
        <w:t>would</w:t>
      </w:r>
      <w:r w:rsidR="00995A52" w:rsidRPr="0008347C">
        <w:t xml:space="preserve"> continue to have difficulty in acquiring spectrum and deploying new technologies in the band. </w:t>
      </w:r>
    </w:p>
    <w:p w14:paraId="0818AFE2" w14:textId="57A07FFA" w:rsidR="00013E04" w:rsidRDefault="00013E04" w:rsidP="00013E04">
      <w:r>
        <w:t xml:space="preserve">Combining the above </w:t>
      </w:r>
      <w:r w:rsidR="001D621B">
        <w:t xml:space="preserve">revised </w:t>
      </w:r>
      <w:r>
        <w:t>monitoring framework and extrapolating the uptrend in demand</w:t>
      </w:r>
      <w:r w:rsidR="00001A7B">
        <w:t xml:space="preserve">, indicated a </w:t>
      </w:r>
      <w:r>
        <w:t>risk of congestion re-emerging in the short-term (projected demand moving across the medium</w:t>
      </w:r>
      <w:r w:rsidR="00F53C9C">
        <w:t>-</w:t>
      </w:r>
      <w:r>
        <w:t>term close to increased supply after allowing for narrow-banding).</w:t>
      </w:r>
    </w:p>
    <w:p w14:paraId="362033A4" w14:textId="435A796E" w:rsidR="00995A52" w:rsidRDefault="005D2BE2" w:rsidP="00995A52">
      <w:r>
        <w:t>Reflecting this heightening risk of congestion</w:t>
      </w:r>
      <w:r w:rsidR="00001A7B">
        <w:t>,</w:t>
      </w:r>
      <w:r>
        <w:t xml:space="preserve"> the ACMA decided to </w:t>
      </w:r>
      <w:r w:rsidR="005E628A">
        <w:t xml:space="preserve">introduce </w:t>
      </w:r>
      <w:r>
        <w:t xml:space="preserve">the second increase in licence tax rates in the HDA’s of the 400 MHz band. </w:t>
      </w:r>
      <w:r w:rsidR="00013E04">
        <w:t>Th</w:t>
      </w:r>
      <w:r>
        <w:t>is</w:t>
      </w:r>
      <w:r w:rsidR="00013E04">
        <w:t xml:space="preserve"> second increase was introduced in April 2016</w:t>
      </w:r>
      <w:r w:rsidR="00F53C9C">
        <w:t>,</w:t>
      </w:r>
      <w:r w:rsidR="00013E04">
        <w:t xml:space="preserve"> along with the normal annual increase to reflect CPI </w:t>
      </w:r>
      <w:r w:rsidR="00B02D9C">
        <w:t>movements.</w:t>
      </w:r>
    </w:p>
    <w:p w14:paraId="0C69D972" w14:textId="77777777" w:rsidR="005E628A" w:rsidRPr="005E628A" w:rsidRDefault="005E628A" w:rsidP="007D7D5D">
      <w:pPr>
        <w:pStyle w:val="Heading2"/>
      </w:pPr>
      <w:bookmarkStart w:id="5" w:name="_Toc466623830"/>
      <w:r w:rsidRPr="005E628A">
        <w:t>Proposal concerning the third increment</w:t>
      </w:r>
      <w:bookmarkEnd w:id="5"/>
    </w:p>
    <w:p w14:paraId="1CF8180A" w14:textId="0710C039" w:rsidR="00073853" w:rsidRDefault="00013E04" w:rsidP="00995A52">
      <w:r>
        <w:t>Th</w:t>
      </w:r>
      <w:r w:rsidR="00C446C8">
        <w:t xml:space="preserve">e ACMA is now considering the need </w:t>
      </w:r>
      <w:r w:rsidR="00472E55">
        <w:t xml:space="preserve">to implement </w:t>
      </w:r>
      <w:r w:rsidR="00137159">
        <w:t>the next</w:t>
      </w:r>
      <w:r w:rsidR="00C446C8">
        <w:t xml:space="preserve"> increase in licence tax rates towards the </w:t>
      </w:r>
      <w:r w:rsidR="002063A9">
        <w:t>OC</w:t>
      </w:r>
      <w:r w:rsidR="00C446C8">
        <w:t xml:space="preserve"> level quantified by Plum Consulting. </w:t>
      </w:r>
      <w:r w:rsidR="00472E55">
        <w:t xml:space="preserve">A critical aspect of this consideration is an update to the </w:t>
      </w:r>
      <w:r w:rsidR="00C446C8">
        <w:t>monitoring framework</w:t>
      </w:r>
      <w:r w:rsidR="00FE5593">
        <w:t xml:space="preserve"> </w:t>
      </w:r>
      <w:r w:rsidR="003327E5">
        <w:t xml:space="preserve">to enable </w:t>
      </w:r>
      <w:r w:rsidR="00073853">
        <w:t xml:space="preserve">informed </w:t>
      </w:r>
      <w:r w:rsidR="00FE5593">
        <w:t>assessment</w:t>
      </w:r>
      <w:r w:rsidR="003327E5">
        <w:t>s</w:t>
      </w:r>
      <w:r w:rsidR="00FE5593">
        <w:t xml:space="preserve"> of </w:t>
      </w:r>
      <w:r w:rsidR="003327E5">
        <w:t>the impact on demand and</w:t>
      </w:r>
      <w:r w:rsidR="00073853">
        <w:t xml:space="preserve"> likely future</w:t>
      </w:r>
      <w:r w:rsidR="00FE5593">
        <w:t xml:space="preserve"> congestion risk</w:t>
      </w:r>
      <w:r w:rsidR="00C446C8">
        <w:t>.</w:t>
      </w:r>
      <w:r>
        <w:t xml:space="preserve"> </w:t>
      </w:r>
      <w:r w:rsidR="00472E55">
        <w:t xml:space="preserve">The updated </w:t>
      </w:r>
      <w:r w:rsidR="00C42B7F">
        <w:t xml:space="preserve">monitoring </w:t>
      </w:r>
      <w:r w:rsidR="00472E55">
        <w:t xml:space="preserve">analysis is summarised in </w:t>
      </w:r>
      <w:r w:rsidR="00DB247D">
        <w:t>Figure 2</w:t>
      </w:r>
      <w:r w:rsidR="00472E55">
        <w:t xml:space="preserve"> </w:t>
      </w:r>
      <w:r w:rsidR="00DB247D">
        <w:t>in section 3.3</w:t>
      </w:r>
      <w:r w:rsidR="00472E55">
        <w:t>.</w:t>
      </w:r>
    </w:p>
    <w:p w14:paraId="1B9C6EC6" w14:textId="56F18E89" w:rsidR="00D218C2" w:rsidRDefault="00D218C2" w:rsidP="001B198D">
      <w:r>
        <w:t>The</w:t>
      </w:r>
      <w:r w:rsidR="00BC1333">
        <w:t xml:space="preserve"> reduc</w:t>
      </w:r>
      <w:r w:rsidR="00A26A9C">
        <w:t>tion</w:t>
      </w:r>
      <w:r w:rsidR="00BC1333">
        <w:t xml:space="preserve"> </w:t>
      </w:r>
      <w:r w:rsidR="00884A54">
        <w:t xml:space="preserve">in </w:t>
      </w:r>
      <w:r w:rsidR="00BC1333">
        <w:t>channel bandwidth</w:t>
      </w:r>
      <w:r>
        <w:t xml:space="preserve"> </w:t>
      </w:r>
      <w:r w:rsidR="00BC1333">
        <w:t>(</w:t>
      </w:r>
      <w:r>
        <w:t>narrow-banding</w:t>
      </w:r>
      <w:r w:rsidR="00BC1333">
        <w:t>)</w:t>
      </w:r>
      <w:r>
        <w:t xml:space="preserve"> that has occurred over recent years increases the number of licences that can be accommodated for a given spectrum segment</w:t>
      </w:r>
      <w:r w:rsidR="00A26A9C">
        <w:t xml:space="preserve">. Without increasing the amount of spectrum, the increase in the number of licences that can be issued in a particular spectrum segment </w:t>
      </w:r>
      <w:r>
        <w:t xml:space="preserve">effectively increases supply. This effect has been reflected in Figure </w:t>
      </w:r>
      <w:r w:rsidR="00A77AE0">
        <w:t>2</w:t>
      </w:r>
      <w:r w:rsidR="00F53C9C">
        <w:t xml:space="preserve">, </w:t>
      </w:r>
      <w:r>
        <w:t xml:space="preserve">which shows spectrum supply rising across recent years as narrow-banding has been </w:t>
      </w:r>
      <w:r w:rsidR="002C6DF3">
        <w:t xml:space="preserve">progressively </w:t>
      </w:r>
      <w:r>
        <w:t>implemented. Th</w:t>
      </w:r>
      <w:r w:rsidR="00DF5DC2">
        <w:t>e</w:t>
      </w:r>
      <w:r>
        <w:t xml:space="preserve"> augmentation of supply</w:t>
      </w:r>
      <w:r w:rsidR="00DF5DC2">
        <w:t xml:space="preserve"> from narrow-banding</w:t>
      </w:r>
      <w:r>
        <w:t xml:space="preserve"> is now effectively complete</w:t>
      </w:r>
      <w:r w:rsidR="00F53C9C">
        <w:t>,</w:t>
      </w:r>
      <w:r>
        <w:t xml:space="preserve"> given that narrow-banding is near universal in the HDAs of the 400 MHz band</w:t>
      </w:r>
      <w:r w:rsidR="00EF6B1D">
        <w:t xml:space="preserve"> and resulting in the flattening of the supply curve</w:t>
      </w:r>
      <w:r>
        <w:t xml:space="preserve">. </w:t>
      </w:r>
    </w:p>
    <w:p w14:paraId="232B9F18" w14:textId="0155BF1C" w:rsidR="005D2BE2" w:rsidRDefault="008A0052" w:rsidP="001B198D">
      <w:r>
        <w:t>In summary, t</w:t>
      </w:r>
      <w:r w:rsidR="00472E55">
        <w:t xml:space="preserve">he </w:t>
      </w:r>
      <w:r>
        <w:t xml:space="preserve">updated </w:t>
      </w:r>
      <w:r w:rsidR="00472E55">
        <w:t>analysis shows a</w:t>
      </w:r>
      <w:r>
        <w:t xml:space="preserve"> persistent</w:t>
      </w:r>
      <w:r w:rsidR="00472E55">
        <w:t xml:space="preserve"> </w:t>
      </w:r>
      <w:r w:rsidR="005E628A">
        <w:t xml:space="preserve">increase </w:t>
      </w:r>
      <w:r w:rsidR="00CD6D80">
        <w:t>in demand for spectrum in the HDAs of the 400 MHz band</w:t>
      </w:r>
      <w:r w:rsidR="006C76EB">
        <w:t>.</w:t>
      </w:r>
      <w:r w:rsidR="00CD6D80">
        <w:t xml:space="preserve"> </w:t>
      </w:r>
      <w:r>
        <w:t xml:space="preserve">Spectrum demand grew by </w:t>
      </w:r>
      <w:r w:rsidR="009001E4">
        <w:t>around 14</w:t>
      </w:r>
      <w:r w:rsidR="00001A7B">
        <w:t xml:space="preserve"> per cent</w:t>
      </w:r>
      <w:r>
        <w:t xml:space="preserve"> over the last year and has increased by </w:t>
      </w:r>
      <w:r w:rsidR="009001E4">
        <w:t>around 34</w:t>
      </w:r>
      <w:r w:rsidR="00001A7B">
        <w:t xml:space="preserve"> per cent</w:t>
      </w:r>
      <w:r>
        <w:t xml:space="preserve"> since its low-point in January 2014. </w:t>
      </w:r>
      <w:r w:rsidR="005D2BE2">
        <w:t xml:space="preserve">More detail on </w:t>
      </w:r>
      <w:r w:rsidR="00BE58FB">
        <w:t xml:space="preserve">trends in </w:t>
      </w:r>
      <w:r w:rsidR="005D2BE2">
        <w:t xml:space="preserve">demand </w:t>
      </w:r>
      <w:r w:rsidR="00BE58FB">
        <w:t xml:space="preserve">is provided </w:t>
      </w:r>
      <w:r w:rsidR="005D2BE2">
        <w:t xml:space="preserve">at </w:t>
      </w:r>
      <w:r w:rsidR="00F53C9C" w:rsidRPr="00F50E73">
        <w:t>S</w:t>
      </w:r>
      <w:r w:rsidR="005D2BE2" w:rsidRPr="00F50E73">
        <w:t>ection</w:t>
      </w:r>
      <w:r w:rsidR="005D2BE2" w:rsidRPr="0072255B">
        <w:t xml:space="preserve"> </w:t>
      </w:r>
      <w:r w:rsidR="00F50E73">
        <w:t>3</w:t>
      </w:r>
      <w:r w:rsidR="005D2BE2" w:rsidRPr="0072255B">
        <w:t>.1.</w:t>
      </w:r>
    </w:p>
    <w:p w14:paraId="5B8312DD" w14:textId="7476CFC0" w:rsidR="008A0052" w:rsidRDefault="00BE58FB" w:rsidP="001B198D">
      <w:r>
        <w:t xml:space="preserve">The indicative </w:t>
      </w:r>
      <w:r w:rsidR="00FE5593">
        <w:t>projections</w:t>
      </w:r>
      <w:r>
        <w:t xml:space="preserve"> developed</w:t>
      </w:r>
      <w:r w:rsidR="00FE5593">
        <w:t xml:space="preserve"> </w:t>
      </w:r>
      <w:r>
        <w:t xml:space="preserve">suggest </w:t>
      </w:r>
      <w:r w:rsidR="00FE5593">
        <w:t xml:space="preserve">congestion at levels </w:t>
      </w:r>
      <w:r>
        <w:t xml:space="preserve">similar </w:t>
      </w:r>
      <w:r w:rsidR="00FE5593">
        <w:t>to that previously experienced</w:t>
      </w:r>
      <w:r w:rsidR="00D218C2">
        <w:t xml:space="preserve"> (</w:t>
      </w:r>
      <w:r w:rsidR="00FE5593">
        <w:t>adjusted for the effect of narrow-banding</w:t>
      </w:r>
      <w:r w:rsidR="00D218C2">
        <w:t>)</w:t>
      </w:r>
      <w:r w:rsidR="00FE5593">
        <w:t xml:space="preserve"> is likely to emerge across 2017</w:t>
      </w:r>
      <w:r w:rsidR="00F53C9C">
        <w:t>–</w:t>
      </w:r>
      <w:r w:rsidR="00FE5593">
        <w:t>18.</w:t>
      </w:r>
      <w:r w:rsidR="00B517A1">
        <w:t xml:space="preserve"> More detail on the </w:t>
      </w:r>
      <w:r w:rsidR="005D2BE2">
        <w:t>risk of congestion is</w:t>
      </w:r>
      <w:r w:rsidR="00B517A1">
        <w:t xml:space="preserve"> provided </w:t>
      </w:r>
      <w:r w:rsidR="00B517A1" w:rsidRPr="0072255B">
        <w:t xml:space="preserve">at </w:t>
      </w:r>
      <w:r w:rsidR="00F53C9C" w:rsidRPr="00F50E73">
        <w:t>S</w:t>
      </w:r>
      <w:r w:rsidR="00B517A1" w:rsidRPr="00F50E73">
        <w:t>ection</w:t>
      </w:r>
      <w:r w:rsidR="00B517A1" w:rsidRPr="0072255B">
        <w:t xml:space="preserve"> </w:t>
      </w:r>
      <w:r w:rsidR="00F50E73">
        <w:t>3</w:t>
      </w:r>
      <w:r w:rsidR="005D2BE2" w:rsidRPr="0072255B">
        <w:t>.</w:t>
      </w:r>
      <w:r w:rsidR="00B67B78">
        <w:t>3</w:t>
      </w:r>
      <w:r w:rsidR="00B517A1" w:rsidRPr="0072255B">
        <w:t>.</w:t>
      </w:r>
    </w:p>
    <w:p w14:paraId="4E779C80" w14:textId="15FEEB80" w:rsidR="009001E4" w:rsidRDefault="00944174" w:rsidP="007D7D5D">
      <w:pPr>
        <w:spacing w:after="80"/>
      </w:pPr>
      <w:r>
        <w:t>Based on this monitoring analysis, the ACMA’s preliminary view is that t</w:t>
      </w:r>
      <w:r w:rsidR="009001E4">
        <w:t>he continuing strong increase in demand strongly indicates that:</w:t>
      </w:r>
    </w:p>
    <w:p w14:paraId="5DBBA9C6" w14:textId="30635783" w:rsidR="009001E4" w:rsidRDefault="00F53C9C" w:rsidP="00001A7B">
      <w:pPr>
        <w:pStyle w:val="ListBullet"/>
      </w:pPr>
      <w:r>
        <w:lastRenderedPageBreak/>
        <w:t>l</w:t>
      </w:r>
      <w:r w:rsidR="009001E4">
        <w:t xml:space="preserve">icence tax rates are not so high as to cause an undesirable </w:t>
      </w:r>
      <w:r w:rsidR="00B82869" w:rsidRPr="0072255B">
        <w:t>sharp</w:t>
      </w:r>
      <w:r w:rsidR="00B82869">
        <w:t xml:space="preserve"> </w:t>
      </w:r>
      <w:r w:rsidR="009001E4">
        <w:t>contraction in demand</w:t>
      </w:r>
    </w:p>
    <w:p w14:paraId="036CF184" w14:textId="6E211CA5" w:rsidR="008A0052" w:rsidRDefault="00F53C9C" w:rsidP="00F53C9C">
      <w:pPr>
        <w:pStyle w:val="ListBulletLast"/>
      </w:pPr>
      <w:r>
        <w:t>c</w:t>
      </w:r>
      <w:r w:rsidR="009001E4">
        <w:t xml:space="preserve">ontinued </w:t>
      </w:r>
      <w:r w:rsidR="008A0052">
        <w:t>grow</w:t>
      </w:r>
      <w:r w:rsidR="009001E4">
        <w:t xml:space="preserve">th would risk demand and congestion rising to the problematic levels experienced prior to the introduction of the </w:t>
      </w:r>
      <w:r w:rsidR="009001E4" w:rsidRPr="00F53C9C">
        <w:t>reforms</w:t>
      </w:r>
      <w:r w:rsidR="00276B8A">
        <w:t>.</w:t>
      </w:r>
    </w:p>
    <w:p w14:paraId="057A0D9A" w14:textId="42FD21B6" w:rsidR="0066445D" w:rsidRDefault="00944174" w:rsidP="0066445D">
      <w:r>
        <w:t>Based on t</w:t>
      </w:r>
      <w:r w:rsidR="00FD0E7D">
        <w:t xml:space="preserve">his </w:t>
      </w:r>
      <w:r>
        <w:t xml:space="preserve">material </w:t>
      </w:r>
      <w:r w:rsidR="00637F65">
        <w:t>risk of re-emerging congestion</w:t>
      </w:r>
      <w:r>
        <w:t>,</w:t>
      </w:r>
      <w:r w:rsidR="00637F65">
        <w:t xml:space="preserve"> </w:t>
      </w:r>
      <w:r>
        <w:t xml:space="preserve">the ACMA considers </w:t>
      </w:r>
      <w:r w:rsidR="00FD0E7D">
        <w:t xml:space="preserve">that </w:t>
      </w:r>
      <w:r w:rsidR="00001A7B">
        <w:t xml:space="preserve">a </w:t>
      </w:r>
      <w:r w:rsidR="00B517A1">
        <w:t xml:space="preserve">further </w:t>
      </w:r>
      <w:r w:rsidR="00FD0E7D">
        <w:t>increase in licence tax rates is prudent</w:t>
      </w:r>
      <w:r w:rsidR="0066445D">
        <w:t xml:space="preserve"> to ensure licensees encounter the long-term </w:t>
      </w:r>
      <w:r w:rsidR="00355FC4">
        <w:t>OC</w:t>
      </w:r>
      <w:r w:rsidR="0066445D">
        <w:t xml:space="preserve"> </w:t>
      </w:r>
      <w:r w:rsidR="00001A7B">
        <w:t xml:space="preserve">of their </w:t>
      </w:r>
      <w:r w:rsidR="0066445D">
        <w:t xml:space="preserve">spectrum use and </w:t>
      </w:r>
      <w:r w:rsidR="00F53C9C">
        <w:t xml:space="preserve">therefore </w:t>
      </w:r>
      <w:r w:rsidR="0066445D">
        <w:t>use spectrum efficiently.</w:t>
      </w:r>
      <w:r w:rsidR="00A85170">
        <w:t xml:space="preserve"> More detail on </w:t>
      </w:r>
      <w:r w:rsidR="00093F07">
        <w:t xml:space="preserve">the </w:t>
      </w:r>
      <w:r w:rsidR="00A85170">
        <w:t>ACMA’s pre-consultat</w:t>
      </w:r>
      <w:r w:rsidR="00DB247D">
        <w:t>ion disposition is provided at S</w:t>
      </w:r>
      <w:r w:rsidR="00A85170">
        <w:t>ection 3.5.</w:t>
      </w:r>
    </w:p>
    <w:p w14:paraId="36688CB6" w14:textId="07386C25" w:rsidR="00900665" w:rsidRDefault="00900665" w:rsidP="0066445D">
      <w:r>
        <w:t xml:space="preserve">If the ACMA proceeds with this </w:t>
      </w:r>
      <w:r w:rsidR="00811693">
        <w:t xml:space="preserve">proposed </w:t>
      </w:r>
      <w:r>
        <w:t xml:space="preserve">increase towards </w:t>
      </w:r>
      <w:r w:rsidR="00355FC4">
        <w:t>OC</w:t>
      </w:r>
      <w:r>
        <w:t xml:space="preserve">, it is intending to coordinate the increase with the normal escalation of licence tax rates for the CPI. </w:t>
      </w:r>
      <w:r w:rsidR="00276B8A">
        <w:t>On that basis</w:t>
      </w:r>
      <w:r w:rsidR="00F53C9C">
        <w:t>,</w:t>
      </w:r>
      <w:r w:rsidR="00276B8A">
        <w:t xml:space="preserve"> any</w:t>
      </w:r>
      <w:r w:rsidR="003F471A">
        <w:t xml:space="preserve"> new licence tax rates would become effective </w:t>
      </w:r>
      <w:r>
        <w:t>in April 2017.</w:t>
      </w:r>
      <w:r w:rsidR="00093F07">
        <w:t xml:space="preserve">  More detail on the </w:t>
      </w:r>
      <w:r w:rsidR="00D55281">
        <w:t xml:space="preserve">resultant licence tax rates and consequent changes to the licence tax determinations </w:t>
      </w:r>
      <w:r w:rsidR="00DB247D">
        <w:t>is provided at S</w:t>
      </w:r>
      <w:r w:rsidR="00093F07">
        <w:t>ection 4.</w:t>
      </w:r>
    </w:p>
    <w:p w14:paraId="0261CD71" w14:textId="77777777" w:rsidR="003A46B1" w:rsidRDefault="003A46B1" w:rsidP="003A46B1">
      <w:pPr>
        <w:pStyle w:val="Heading1"/>
      </w:pPr>
      <w:bookmarkStart w:id="6" w:name="_Toc433122125"/>
      <w:bookmarkStart w:id="7" w:name="_Toc442879664"/>
      <w:bookmarkStart w:id="8" w:name="_Toc466033900"/>
      <w:bookmarkStart w:id="9" w:name="_Toc466623831"/>
      <w:r>
        <w:lastRenderedPageBreak/>
        <w:t>Issue</w:t>
      </w:r>
      <w:r w:rsidRPr="00227437">
        <w:t>s</w:t>
      </w:r>
      <w:r>
        <w:t xml:space="preserve"> for comment</w:t>
      </w:r>
      <w:bookmarkEnd w:id="6"/>
      <w:bookmarkEnd w:id="7"/>
      <w:bookmarkEnd w:id="8"/>
      <w:bookmarkEnd w:id="9"/>
    </w:p>
    <w:p w14:paraId="616F67D1" w14:textId="55B3BBA3" w:rsidR="003A46B1" w:rsidRDefault="003A46B1" w:rsidP="003A46B1">
      <w:r>
        <w:t xml:space="preserve">The ACMA now invites feedback on the issues detailed in this </w:t>
      </w:r>
      <w:r w:rsidR="008A03D4">
        <w:t>consultation</w:t>
      </w:r>
      <w:r>
        <w:t xml:space="preserve"> paper or on other matters related to the introduction of OC principles in the HDAs of the 400 MHz band. </w:t>
      </w:r>
    </w:p>
    <w:p w14:paraId="61085C3C" w14:textId="2F670BB1" w:rsidR="003A46B1" w:rsidRPr="002401F4" w:rsidRDefault="003A46B1" w:rsidP="003A46B1">
      <w:r>
        <w:t xml:space="preserve">Specific questions are featured in the relevant sections of this paper and collated below. Details on making a submission can be found at </w:t>
      </w:r>
      <w:hyperlink w:anchor="Invite" w:history="1">
        <w:r w:rsidRPr="003A46B1">
          <w:rPr>
            <w:rStyle w:val="Hyperlink"/>
            <w:i/>
          </w:rPr>
          <w:t>Invitation to comment</w:t>
        </w:r>
      </w:hyperlink>
      <w:r>
        <w:rPr>
          <w:i/>
        </w:rPr>
        <w:t xml:space="preserve"> </w:t>
      </w:r>
      <w:r>
        <w:t>at the end of this document</w:t>
      </w:r>
      <w:r>
        <w:rPr>
          <w:i/>
        </w:rPr>
        <w:t>.</w:t>
      </w:r>
    </w:p>
    <w:p w14:paraId="02E35246" w14:textId="47AE8247" w:rsidR="003A46B1" w:rsidRDefault="003A46B1" w:rsidP="008A6C24">
      <w:pPr>
        <w:pStyle w:val="BodySubHeader"/>
      </w:pPr>
      <w:bookmarkStart w:id="10" w:name="_Toc463619565"/>
      <w:r>
        <w:t>Areas for feedback</w:t>
      </w:r>
      <w:bookmarkEnd w:id="10"/>
    </w:p>
    <w:p w14:paraId="46E8AE0C" w14:textId="438D2CEE" w:rsidR="00944174" w:rsidRDefault="00276B8A" w:rsidP="007D7D5D">
      <w:pPr>
        <w:spacing w:after="80"/>
      </w:pPr>
      <w:r>
        <w:t>The ACMA is especially interested in</w:t>
      </w:r>
      <w:r w:rsidR="00944174">
        <w:t>:</w:t>
      </w:r>
    </w:p>
    <w:p w14:paraId="3349D9DD" w14:textId="0C0E49F5" w:rsidR="007636CD" w:rsidRDefault="007636CD" w:rsidP="007D7D5D">
      <w:pPr>
        <w:pStyle w:val="ListBullet"/>
      </w:pPr>
      <w:r>
        <w:t>whether there exists more useful data for measuring demand and trends</w:t>
      </w:r>
    </w:p>
    <w:p w14:paraId="474C0D1D" w14:textId="4C2490C5" w:rsidR="00944174" w:rsidRDefault="0090620A" w:rsidP="007D7D5D">
      <w:pPr>
        <w:pStyle w:val="ListBullet"/>
      </w:pPr>
      <w:r>
        <w:t>whether the ACMA preliminary view on recent and possible future demand accords with industry experience and views</w:t>
      </w:r>
    </w:p>
    <w:p w14:paraId="0CC07E39" w14:textId="79B4450E" w:rsidR="007636CD" w:rsidRDefault="007636CD" w:rsidP="007D7D5D">
      <w:pPr>
        <w:pStyle w:val="ListBullet"/>
      </w:pPr>
      <w:r>
        <w:t xml:space="preserve">whether there </w:t>
      </w:r>
      <w:r w:rsidR="003A46B1">
        <w:t xml:space="preserve">is </w:t>
      </w:r>
      <w:r>
        <w:t>a better approach and/or more useful data for measuring congestion risk</w:t>
      </w:r>
    </w:p>
    <w:p w14:paraId="511E3328" w14:textId="4C9A3814" w:rsidR="00944174" w:rsidRDefault="0090620A" w:rsidP="007D7D5D">
      <w:pPr>
        <w:pStyle w:val="ListBullet"/>
      </w:pPr>
      <w:r>
        <w:t>whether the ACMA</w:t>
      </w:r>
      <w:r w:rsidR="003A46B1">
        <w:t>’s</w:t>
      </w:r>
      <w:r>
        <w:t xml:space="preserve"> preliminary view on congestion risk accords with industry experience and views</w:t>
      </w:r>
    </w:p>
    <w:p w14:paraId="5EC8DD03" w14:textId="1EBED073" w:rsidR="0090620A" w:rsidRDefault="0090620A" w:rsidP="007D7D5D">
      <w:pPr>
        <w:pStyle w:val="ListBulletLast"/>
      </w:pPr>
      <w:r>
        <w:t xml:space="preserve">feedback on the proposed amendments to the </w:t>
      </w:r>
      <w:r w:rsidRPr="006659FD">
        <w:t xml:space="preserve">Transmitter Licence Tax Determination and </w:t>
      </w:r>
      <w:r>
        <w:t xml:space="preserve">the </w:t>
      </w:r>
      <w:r w:rsidRPr="006659FD">
        <w:t>Receiver Licence Tax</w:t>
      </w:r>
      <w:r w:rsidR="00364FA7">
        <w:t xml:space="preserve"> Determination</w:t>
      </w:r>
      <w:r w:rsidR="003A46B1">
        <w:t>.</w:t>
      </w:r>
    </w:p>
    <w:p w14:paraId="23E87762" w14:textId="2D120BD9" w:rsidR="00BE7094" w:rsidRDefault="00900665" w:rsidP="00944174">
      <w:r>
        <w:t xml:space="preserve">The closing date for submissions is </w:t>
      </w:r>
      <w:r w:rsidR="003A46B1">
        <w:t xml:space="preserve">COB, </w:t>
      </w:r>
      <w:r w:rsidR="000412A3">
        <w:t xml:space="preserve">Thursday </w:t>
      </w:r>
      <w:r w:rsidR="001D7EE5">
        <w:t>2</w:t>
      </w:r>
      <w:r w:rsidR="00D61C41">
        <w:t>2</w:t>
      </w:r>
      <w:r w:rsidRPr="00517D0F">
        <w:t xml:space="preserve"> December 2016.</w:t>
      </w:r>
      <w:r>
        <w:t xml:space="preserve"> </w:t>
      </w:r>
    </w:p>
    <w:p w14:paraId="10737EF7" w14:textId="77777777" w:rsidR="008C6680" w:rsidRDefault="008C6680" w:rsidP="008C6680">
      <w:pPr>
        <w:pStyle w:val="Heading1"/>
      </w:pPr>
      <w:bookmarkStart w:id="11" w:name="_Toc466623832"/>
      <w:r>
        <w:t>Updating the revised monitoring framework</w:t>
      </w:r>
      <w:bookmarkEnd w:id="11"/>
    </w:p>
    <w:p w14:paraId="39DA9363" w14:textId="700B6C8B" w:rsidR="00C83AD7" w:rsidRDefault="00A174E1" w:rsidP="008C6680">
      <w:r>
        <w:t xml:space="preserve">The ACMA is progressively implementing </w:t>
      </w:r>
      <w:r w:rsidR="00A834DE">
        <w:t>OC</w:t>
      </w:r>
      <w:r>
        <w:t xml:space="preserve"> </w:t>
      </w:r>
      <w:r w:rsidR="00C83AD7">
        <w:t xml:space="preserve">pricing </w:t>
      </w:r>
      <w:r>
        <w:t>principles in the licence taxes applicable to the HDAs of the 400 MHz band. So far</w:t>
      </w:r>
      <w:r w:rsidR="00355FC4">
        <w:t>,</w:t>
      </w:r>
      <w:r>
        <w:t xml:space="preserve"> two </w:t>
      </w:r>
      <w:r w:rsidR="00355FC4">
        <w:t xml:space="preserve">OC-based </w:t>
      </w:r>
      <w:r w:rsidR="00C83AD7">
        <w:t xml:space="preserve">licence tax rate </w:t>
      </w:r>
      <w:r>
        <w:t xml:space="preserve">increases, each of 15 per cent, have been implemented.  </w:t>
      </w:r>
    </w:p>
    <w:p w14:paraId="115505A6" w14:textId="3054CF74" w:rsidR="008C6680" w:rsidRDefault="00A174E1" w:rsidP="008A6C24">
      <w:pPr>
        <w:spacing w:after="80"/>
      </w:pPr>
      <w:r>
        <w:t xml:space="preserve">The ACMA is now considering </w:t>
      </w:r>
      <w:r w:rsidR="0038401E">
        <w:t>whether</w:t>
      </w:r>
      <w:r>
        <w:t xml:space="preserve"> to implement a further increase in licence tax rates towards the </w:t>
      </w:r>
      <w:r w:rsidR="00355FC4">
        <w:t>OC</w:t>
      </w:r>
      <w:r>
        <w:t xml:space="preserve"> level quantified by Plum Consulting. A critical aspect of this consideration is an update to the monitoring framework to inform two considerations:</w:t>
      </w:r>
    </w:p>
    <w:p w14:paraId="05C66C21" w14:textId="5F66C97E" w:rsidR="009F66F0" w:rsidRPr="009F66F0" w:rsidRDefault="009F66F0" w:rsidP="00001A7B">
      <w:pPr>
        <w:pStyle w:val="ListNumber"/>
      </w:pPr>
      <w:r>
        <w:t xml:space="preserve">Have earlier increases in licence tax rates had an undesirable impact on demand such that further increase would not be consistent with maximising the public interest associated with spectrum use? This in turn has two </w:t>
      </w:r>
      <w:r w:rsidRPr="009F66F0">
        <w:t>considerations:</w:t>
      </w:r>
    </w:p>
    <w:p w14:paraId="282ED1A8" w14:textId="70F8657E" w:rsidR="00A174E1" w:rsidRPr="00001A7B" w:rsidRDefault="003A46B1" w:rsidP="00001A7B">
      <w:pPr>
        <w:pStyle w:val="ListNumber2"/>
        <w:numPr>
          <w:ilvl w:val="0"/>
          <w:numId w:val="18"/>
        </w:numPr>
      </w:pPr>
      <w:r>
        <w:t>w</w:t>
      </w:r>
      <w:r w:rsidR="009F66F0" w:rsidRPr="00001A7B">
        <w:t xml:space="preserve">hether there has been a </w:t>
      </w:r>
      <w:r w:rsidR="00A174E1" w:rsidRPr="00001A7B">
        <w:t>sharp contraction in demand</w:t>
      </w:r>
    </w:p>
    <w:p w14:paraId="272DDF31" w14:textId="045A7DDA" w:rsidR="009F66F0" w:rsidRPr="00001A7B" w:rsidRDefault="003A46B1" w:rsidP="00001A7B">
      <w:pPr>
        <w:pStyle w:val="ListNumber2"/>
        <w:numPr>
          <w:ilvl w:val="0"/>
          <w:numId w:val="18"/>
        </w:numPr>
      </w:pPr>
      <w:r>
        <w:t>w</w:t>
      </w:r>
      <w:r w:rsidR="009F66F0" w:rsidRPr="00001A7B">
        <w:t xml:space="preserve">hether the trend in licence numbers is inconsistent with </w:t>
      </w:r>
      <w:r w:rsidR="0038401E">
        <w:t>timely utilisation of</w:t>
      </w:r>
      <w:r w:rsidR="009F66F0" w:rsidRPr="00001A7B">
        <w:t xml:space="preserve"> the extra supply occasioned by narrow-banding</w:t>
      </w:r>
      <w:r w:rsidR="0038401E">
        <w:t>.</w:t>
      </w:r>
    </w:p>
    <w:p w14:paraId="25D82761" w14:textId="1E9AB70A" w:rsidR="00A174E1" w:rsidRDefault="009F66F0" w:rsidP="008A6C24">
      <w:pPr>
        <w:pStyle w:val="ListNumber"/>
        <w:spacing w:after="240"/>
      </w:pPr>
      <w:r>
        <w:t>Whether c</w:t>
      </w:r>
      <w:r w:rsidR="00A174E1">
        <w:t>ontinued growth risk</w:t>
      </w:r>
      <w:r>
        <w:t>s</w:t>
      </w:r>
      <w:r w:rsidR="00A174E1">
        <w:t xml:space="preserve"> demand and congestion rising to the problematic levels experienced prior to the introduction of the reforms</w:t>
      </w:r>
      <w:r w:rsidR="003A46B1">
        <w:t>,</w:t>
      </w:r>
      <w:r>
        <w:t xml:space="preserve"> even allowing for the supply</w:t>
      </w:r>
      <w:r w:rsidR="003A46B1">
        <w:t>-</w:t>
      </w:r>
      <w:r>
        <w:t>enhancing effect of narrow-banding?</w:t>
      </w:r>
    </w:p>
    <w:p w14:paraId="706B8023" w14:textId="77777777" w:rsidR="009F66F0" w:rsidRDefault="009F66F0" w:rsidP="009F66F0">
      <w:r>
        <w:t>These issues are considered in turn below.</w:t>
      </w:r>
    </w:p>
    <w:p w14:paraId="671FBEFD" w14:textId="77777777" w:rsidR="009F66F0" w:rsidRDefault="009F66F0" w:rsidP="009F66F0">
      <w:pPr>
        <w:pStyle w:val="Heading2"/>
      </w:pPr>
      <w:bookmarkStart w:id="12" w:name="_Toc466623833"/>
      <w:r>
        <w:t>Impact on demand</w:t>
      </w:r>
      <w:bookmarkEnd w:id="12"/>
    </w:p>
    <w:p w14:paraId="47EEEEEA" w14:textId="196D1EE9" w:rsidR="00BF730D" w:rsidRDefault="006402EF" w:rsidP="008A6C24">
      <w:pPr>
        <w:spacing w:after="80"/>
      </w:pPr>
      <w:r>
        <w:t xml:space="preserve">One of the key objects of the </w:t>
      </w:r>
      <w:r w:rsidRPr="006402EF">
        <w:rPr>
          <w:i/>
        </w:rPr>
        <w:t>Radiocommunications Act 1992</w:t>
      </w:r>
      <w:r>
        <w:t xml:space="preserve"> is to maximise, by ensuring the efficient allocation and use of the spectrum, the overall public benefit derived from using the radiofrequency spectrum</w:t>
      </w:r>
      <w:r w:rsidR="00355FC4">
        <w:t>.</w:t>
      </w:r>
      <w:r>
        <w:rPr>
          <w:rStyle w:val="FootnoteReference"/>
        </w:rPr>
        <w:footnoteReference w:id="6"/>
      </w:r>
      <w:r>
        <w:t xml:space="preserve"> Reflecting this, the ACMA </w:t>
      </w:r>
      <w:r w:rsidR="00C83AD7">
        <w:t xml:space="preserve">is concerned that any </w:t>
      </w:r>
      <w:r w:rsidR="005D2BE2">
        <w:t xml:space="preserve">increase in licence tax rates (already implemented and projected) </w:t>
      </w:r>
      <w:r w:rsidR="00C83AD7">
        <w:t xml:space="preserve">does not lead </w:t>
      </w:r>
      <w:r w:rsidRPr="005D2BE2">
        <w:t>to</w:t>
      </w:r>
      <w:r w:rsidR="00BF730D" w:rsidRPr="005D2BE2">
        <w:t>:</w:t>
      </w:r>
    </w:p>
    <w:p w14:paraId="34505C47" w14:textId="5803BC1D" w:rsidR="00BF730D" w:rsidRDefault="00643822" w:rsidP="003A46B1">
      <w:pPr>
        <w:pStyle w:val="ListBullet"/>
      </w:pPr>
      <w:r>
        <w:t>a</w:t>
      </w:r>
      <w:r w:rsidR="00282F30">
        <w:t>n absolute</w:t>
      </w:r>
      <w:r w:rsidR="006402EF">
        <w:t xml:space="preserve"> </w:t>
      </w:r>
      <w:r w:rsidR="006402EF" w:rsidRPr="003A46B1">
        <w:t>reduction</w:t>
      </w:r>
      <w:r w:rsidR="006402EF">
        <w:t xml:space="preserve"> in demand</w:t>
      </w:r>
      <w:r w:rsidR="00BF730D">
        <w:t xml:space="preserve"> for spectrum</w:t>
      </w:r>
      <w:r w:rsidR="0038401E">
        <w:t>;</w:t>
      </w:r>
      <w:r w:rsidR="00C83AD7">
        <w:t xml:space="preserve"> or </w:t>
      </w:r>
    </w:p>
    <w:p w14:paraId="09F0DE65" w14:textId="306CBFDE" w:rsidR="00BF730D" w:rsidRDefault="0038401E" w:rsidP="008A6C24">
      <w:pPr>
        <w:pStyle w:val="ListBulletLast"/>
      </w:pPr>
      <w:r>
        <w:t>reduced growth in demand that prevents</w:t>
      </w:r>
      <w:r w:rsidR="00080C71">
        <w:t>,</w:t>
      </w:r>
      <w:r>
        <w:t xml:space="preserve"> or substantially delays</w:t>
      </w:r>
      <w:r w:rsidR="00080C71">
        <w:t>,</w:t>
      </w:r>
      <w:r>
        <w:t xml:space="preserve"> </w:t>
      </w:r>
      <w:r w:rsidR="003A46B1">
        <w:t xml:space="preserve">use </w:t>
      </w:r>
      <w:r>
        <w:t>of the additional capacity created in the 400 MHz band</w:t>
      </w:r>
      <w:r w:rsidR="00BF730D">
        <w:t xml:space="preserve">.  </w:t>
      </w:r>
    </w:p>
    <w:p w14:paraId="789090EB" w14:textId="3DB2BEAB" w:rsidR="009F66F0" w:rsidRDefault="006402EF" w:rsidP="009F66F0">
      <w:r>
        <w:t xml:space="preserve">Such </w:t>
      </w:r>
      <w:r w:rsidR="00282F30">
        <w:t xml:space="preserve">outcomes may </w:t>
      </w:r>
      <w:r>
        <w:t>indicate that the combination of increases already implemented and the</w:t>
      </w:r>
      <w:r w:rsidR="005D2BE2">
        <w:t xml:space="preserve"> signalled</w:t>
      </w:r>
      <w:r>
        <w:t xml:space="preserve"> intention </w:t>
      </w:r>
      <w:r w:rsidR="005D2BE2">
        <w:t>for</w:t>
      </w:r>
      <w:r>
        <w:t xml:space="preserve"> further increase</w:t>
      </w:r>
      <w:r w:rsidR="005D2BE2">
        <w:t xml:space="preserve">s </w:t>
      </w:r>
      <w:r>
        <w:t xml:space="preserve">towards </w:t>
      </w:r>
      <w:r w:rsidR="002063A9">
        <w:t>OC</w:t>
      </w:r>
      <w:r>
        <w:t xml:space="preserve"> </w:t>
      </w:r>
      <w:r w:rsidR="005D2BE2">
        <w:t xml:space="preserve">would result in licence tax rates that were </w:t>
      </w:r>
      <w:r>
        <w:t xml:space="preserve">too high and </w:t>
      </w:r>
      <w:r w:rsidR="0038401E">
        <w:t xml:space="preserve">that </w:t>
      </w:r>
      <w:r>
        <w:t>unnecessarily cu</w:t>
      </w:r>
      <w:r w:rsidR="00282F30">
        <w:t>rtail</w:t>
      </w:r>
      <w:r w:rsidR="0038401E">
        <w:t>ed</w:t>
      </w:r>
      <w:r w:rsidR="00282F30">
        <w:t xml:space="preserve"> demand.</w:t>
      </w:r>
    </w:p>
    <w:p w14:paraId="7F07E879" w14:textId="5A32A6A7" w:rsidR="00C83AD7" w:rsidRDefault="0038401E" w:rsidP="00580701">
      <w:r>
        <w:t xml:space="preserve">Figure </w:t>
      </w:r>
      <w:r w:rsidR="00A77AE0">
        <w:t xml:space="preserve">1 </w:t>
      </w:r>
      <w:r w:rsidR="00FB6830">
        <w:t xml:space="preserve">provides an updated perspective on demand </w:t>
      </w:r>
      <w:r w:rsidR="005D2BE2">
        <w:t xml:space="preserve">up to and including </w:t>
      </w:r>
      <w:r w:rsidR="006777D2">
        <w:t>September</w:t>
      </w:r>
      <w:r w:rsidR="005D2BE2">
        <w:t xml:space="preserve"> 2016</w:t>
      </w:r>
      <w:r w:rsidR="002A0416">
        <w:t xml:space="preserve">. </w:t>
      </w:r>
      <w:r w:rsidR="001F4803">
        <w:t xml:space="preserve">The analysis now includes </w:t>
      </w:r>
      <w:r w:rsidR="005D2BE2">
        <w:t>1</w:t>
      </w:r>
      <w:r w:rsidR="006777D2">
        <w:t>1</w:t>
      </w:r>
      <w:r w:rsidR="00FB6830">
        <w:t xml:space="preserve"> extra months of data on licence numbers (</w:t>
      </w:r>
      <w:r w:rsidR="002A0416">
        <w:t xml:space="preserve">green line in Figure </w:t>
      </w:r>
      <w:r w:rsidR="00A77AE0">
        <w:t>1</w:t>
      </w:r>
      <w:r w:rsidR="00FB6830">
        <w:t xml:space="preserve">) relative to the update </w:t>
      </w:r>
      <w:r w:rsidR="002A0416">
        <w:t>included in ACMA’s response to consultation paper</w:t>
      </w:r>
      <w:r w:rsidR="00080C71">
        <w:t>,</w:t>
      </w:r>
      <w:r w:rsidR="002A0416">
        <w:t xml:space="preserve"> </w:t>
      </w:r>
      <w:hyperlink r:id="rId33" w:history="1">
        <w:r w:rsidR="002A0416" w:rsidRPr="008A6C24">
          <w:rPr>
            <w:rStyle w:val="Hyperlink"/>
            <w:i/>
          </w:rPr>
          <w:t xml:space="preserve">Managing spectrum in the 400 MHz </w:t>
        </w:r>
        <w:r w:rsidR="00080C71" w:rsidRPr="008A6C24">
          <w:rPr>
            <w:rStyle w:val="Hyperlink"/>
            <w:i/>
          </w:rPr>
          <w:t>b</w:t>
        </w:r>
        <w:r w:rsidR="002A0416" w:rsidRPr="008A6C24">
          <w:rPr>
            <w:rStyle w:val="Hyperlink"/>
            <w:i/>
          </w:rPr>
          <w:t xml:space="preserve">and—Next </w:t>
        </w:r>
        <w:r w:rsidR="00080C71" w:rsidRPr="008A6C24">
          <w:rPr>
            <w:rStyle w:val="Hyperlink"/>
            <w:i/>
          </w:rPr>
          <w:t>s</w:t>
        </w:r>
        <w:r w:rsidR="002A0416" w:rsidRPr="008A6C24">
          <w:rPr>
            <w:rStyle w:val="Hyperlink"/>
            <w:i/>
          </w:rPr>
          <w:t>teps</w:t>
        </w:r>
      </w:hyperlink>
      <w:r w:rsidR="00080C71">
        <w:t>,</w:t>
      </w:r>
      <w:r w:rsidR="002A0416">
        <w:t xml:space="preserve"> released </w:t>
      </w:r>
      <w:r w:rsidR="00FB6830">
        <w:t>in January 2016</w:t>
      </w:r>
      <w:r w:rsidR="00580701">
        <w:t xml:space="preserve"> (</w:t>
      </w:r>
      <w:r w:rsidR="00080C71">
        <w:t xml:space="preserve">that </w:t>
      </w:r>
      <w:r w:rsidR="00643822">
        <w:t xml:space="preserve">included data on licence numbers </w:t>
      </w:r>
      <w:r w:rsidR="00580701">
        <w:t>up to and including October 2015)</w:t>
      </w:r>
      <w:r w:rsidR="00FB6830">
        <w:t xml:space="preserve">. </w:t>
      </w:r>
    </w:p>
    <w:p w14:paraId="6D6E6E0E" w14:textId="77777777" w:rsidR="00580701" w:rsidRDefault="00580701" w:rsidP="008A6C24">
      <w:pPr>
        <w:pStyle w:val="ACMAFigureHeader"/>
        <w:keepNext/>
        <w:spacing w:line="240" w:lineRule="atLeast"/>
      </w:pPr>
      <w:r>
        <w:t>Updated demand</w:t>
      </w:r>
      <w:r w:rsidR="00952081">
        <w:t xml:space="preserve"> profile</w:t>
      </w:r>
    </w:p>
    <w:p w14:paraId="4080F1EB" w14:textId="5A51A701" w:rsidR="00FB6830" w:rsidRDefault="00D330C6" w:rsidP="00D330C6">
      <w:pPr>
        <w:spacing w:after="0"/>
        <w:jc w:val="center"/>
      </w:pPr>
      <w:r w:rsidRPr="00D330C6">
        <w:rPr>
          <w:noProof/>
        </w:rPr>
        <w:drawing>
          <wp:inline distT="0" distB="0" distL="0" distR="0" wp14:anchorId="50FB545E" wp14:editId="6E0EF303">
            <wp:extent cx="4871085" cy="3097706"/>
            <wp:effectExtent l="0" t="0" r="5715" b="7620"/>
            <wp:docPr id="4" name="Picture 4" descr="Chart is explained in surrounding text." title="Updated demand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1085" cy="3097706"/>
                    </a:xfrm>
                    <a:prstGeom prst="rect">
                      <a:avLst/>
                    </a:prstGeom>
                    <a:noFill/>
                    <a:ln>
                      <a:noFill/>
                    </a:ln>
                  </pic:spPr>
                </pic:pic>
              </a:graphicData>
            </a:graphic>
          </wp:inline>
        </w:drawing>
      </w:r>
    </w:p>
    <w:p w14:paraId="2DCD8E54" w14:textId="3F3D63D9" w:rsidR="00B0406E" w:rsidRDefault="00D330C6" w:rsidP="00BD0607">
      <w:r w:rsidRPr="00D330C6">
        <w:rPr>
          <w:i/>
          <w:sz w:val="16"/>
          <w:szCs w:val="16"/>
        </w:rPr>
        <w:t>Source: ACMA analysis</w:t>
      </w:r>
      <w:r w:rsidR="00BD0607">
        <w:rPr>
          <w:i/>
          <w:sz w:val="16"/>
          <w:szCs w:val="16"/>
        </w:rPr>
        <w:t>.</w:t>
      </w:r>
    </w:p>
    <w:p w14:paraId="17C56B8B" w14:textId="64303F4A" w:rsidR="001F4803" w:rsidRDefault="00A761A3" w:rsidP="00FB6830">
      <w:r>
        <w:t xml:space="preserve">It is clear from the </w:t>
      </w:r>
      <w:r w:rsidR="00BE292E">
        <w:t>green line</w:t>
      </w:r>
      <w:r>
        <w:t xml:space="preserve"> in </w:t>
      </w:r>
      <w:r w:rsidR="00B0406E">
        <w:t>Figure</w:t>
      </w:r>
      <w:r>
        <w:t xml:space="preserve"> </w:t>
      </w:r>
      <w:r w:rsidR="00A77AE0">
        <w:t xml:space="preserve">1 </w:t>
      </w:r>
      <w:r w:rsidR="00B0406E">
        <w:t>that</w:t>
      </w:r>
      <w:r w:rsidR="001670EE">
        <w:t xml:space="preserve"> </w:t>
      </w:r>
      <w:r w:rsidR="001670EE" w:rsidRPr="001670EE">
        <w:t xml:space="preserve">a persistent increase in demand for spectrum in the HDAs of the 400 MHz band </w:t>
      </w:r>
      <w:r w:rsidR="001670EE">
        <w:t xml:space="preserve">has been </w:t>
      </w:r>
      <w:r w:rsidR="001670EE" w:rsidRPr="001670EE">
        <w:t xml:space="preserve">underway since </w:t>
      </w:r>
      <w:r w:rsidR="001670EE">
        <w:t>earl</w:t>
      </w:r>
      <w:r w:rsidR="00C276E0">
        <w:t>y 2</w:t>
      </w:r>
      <w:r w:rsidR="001670EE" w:rsidRPr="001670EE">
        <w:t xml:space="preserve">014. </w:t>
      </w:r>
      <w:r w:rsidR="001670EE">
        <w:t>This overall uptrend follows</w:t>
      </w:r>
      <w:r w:rsidR="00C83AD7">
        <w:t xml:space="preserve"> </w:t>
      </w:r>
      <w:r w:rsidR="00B0406E">
        <w:t>an initial downtrend</w:t>
      </w:r>
      <w:r w:rsidR="001670EE">
        <w:t xml:space="preserve"> through calendar years 2012 and 2013. </w:t>
      </w:r>
      <w:r w:rsidR="001F4803">
        <w:t>D</w:t>
      </w:r>
      <w:r w:rsidR="00B0406E">
        <w:t xml:space="preserve">emand has continued to grow strongly </w:t>
      </w:r>
      <w:r w:rsidR="00F76AFD">
        <w:t>despite the signalling around the long-term intended licence tax rate (</w:t>
      </w:r>
      <w:r w:rsidR="00080C71">
        <w:t>that is, the</w:t>
      </w:r>
      <w:r w:rsidR="00F76AFD">
        <w:t xml:space="preserve"> </w:t>
      </w:r>
      <w:r w:rsidR="00355FC4">
        <w:t xml:space="preserve">staged </w:t>
      </w:r>
      <w:r w:rsidR="00F76AFD">
        <w:t xml:space="preserve">move towards OC) </w:t>
      </w:r>
      <w:r w:rsidR="00B0406E">
        <w:t xml:space="preserve">and </w:t>
      </w:r>
      <w:r w:rsidR="00F76AFD">
        <w:t xml:space="preserve">has </w:t>
      </w:r>
      <w:r w:rsidR="00C83AD7">
        <w:t>continued even with</w:t>
      </w:r>
      <w:r w:rsidR="00B0406E">
        <w:t xml:space="preserve"> the increase in licence tax rates implemented in April 2016.</w:t>
      </w:r>
    </w:p>
    <w:p w14:paraId="41D9EAB5" w14:textId="4E6528AC" w:rsidR="00C83AD7" w:rsidRDefault="001F4803" w:rsidP="00FB6830">
      <w:r>
        <w:t xml:space="preserve">The ACMA notes that </w:t>
      </w:r>
      <w:r w:rsidR="00F76AFD">
        <w:t>l</w:t>
      </w:r>
      <w:r w:rsidR="001670EE">
        <w:t xml:space="preserve">icensees have had limited time to respond </w:t>
      </w:r>
      <w:r w:rsidR="00F76AFD">
        <w:t xml:space="preserve">specifically </w:t>
      </w:r>
      <w:r w:rsidR="001670EE">
        <w:t xml:space="preserve">to the April 2016 increase in the licence tax rate (especially given the long useful life of spectrum-complementary investment). However, </w:t>
      </w:r>
      <w:r w:rsidR="00355FC4">
        <w:t>licensees are in part responding to the signal about the long-term licence tax rate</w:t>
      </w:r>
      <w:r w:rsidR="00080C71">
        <w:t>,</w:t>
      </w:r>
      <w:r w:rsidR="00355FC4">
        <w:t xml:space="preserve"> and </w:t>
      </w:r>
      <w:r w:rsidR="001670EE">
        <w:t xml:space="preserve">the persistent </w:t>
      </w:r>
      <w:r w:rsidR="001D621B">
        <w:t xml:space="preserve">increase </w:t>
      </w:r>
      <w:r w:rsidR="00F76AFD">
        <w:t>in demand implies that demand has not been unnecessarily curtailed by the actual and prospective increases in licence tax rates.</w:t>
      </w:r>
    </w:p>
    <w:p w14:paraId="121B17AC" w14:textId="29F8E5EE" w:rsidR="00952081" w:rsidRDefault="000E20F3" w:rsidP="00FB6830">
      <w:r>
        <w:t>For</w:t>
      </w:r>
      <w:r w:rsidR="00B0406E">
        <w:t xml:space="preserve"> all three HDAs</w:t>
      </w:r>
      <w:r w:rsidR="00DE49FC">
        <w:t xml:space="preserve"> combined</w:t>
      </w:r>
      <w:r>
        <w:t>,</w:t>
      </w:r>
      <w:r w:rsidR="00B0406E">
        <w:t xml:space="preserve"> s</w:t>
      </w:r>
      <w:r w:rsidR="00952081">
        <w:t>pectrum demand grew by around 1</w:t>
      </w:r>
      <w:r w:rsidR="00DE49FC">
        <w:t>3</w:t>
      </w:r>
      <w:r w:rsidR="00C83AD7">
        <w:t xml:space="preserve"> per cent</w:t>
      </w:r>
      <w:r w:rsidR="00952081">
        <w:t xml:space="preserve"> over </w:t>
      </w:r>
      <w:r w:rsidR="00640DA4">
        <w:t xml:space="preserve">the </w:t>
      </w:r>
      <w:r w:rsidR="00952081">
        <w:t xml:space="preserve">year </w:t>
      </w:r>
      <w:r w:rsidR="00640DA4">
        <w:t>t</w:t>
      </w:r>
      <w:r w:rsidR="00B0406E">
        <w:t xml:space="preserve">o </w:t>
      </w:r>
      <w:r w:rsidR="006777D2">
        <w:t>September</w:t>
      </w:r>
      <w:r w:rsidR="00B0406E">
        <w:t xml:space="preserve"> 2016 </w:t>
      </w:r>
      <w:r w:rsidR="00640DA4">
        <w:t>(</w:t>
      </w:r>
      <w:r w:rsidR="00BE292E">
        <w:t>blue line</w:t>
      </w:r>
      <w:r w:rsidR="00640DA4">
        <w:t xml:space="preserve"> in Figure </w:t>
      </w:r>
      <w:r w:rsidR="00A77AE0">
        <w:t>1</w:t>
      </w:r>
      <w:r w:rsidR="00640DA4">
        <w:t>)</w:t>
      </w:r>
      <w:r w:rsidR="00080C71">
        <w:t>,</w:t>
      </w:r>
      <w:r w:rsidR="00640DA4">
        <w:t xml:space="preserve"> </w:t>
      </w:r>
      <w:r w:rsidR="00952081">
        <w:t xml:space="preserve">and has increased by </w:t>
      </w:r>
      <w:r w:rsidR="00DE49FC">
        <w:t>nearly 40</w:t>
      </w:r>
      <w:r w:rsidR="00C83AD7">
        <w:t xml:space="preserve"> per cent</w:t>
      </w:r>
      <w:r w:rsidR="00952081">
        <w:t xml:space="preserve"> since its low-point in January 2014. </w:t>
      </w:r>
      <w:r w:rsidR="00640DA4">
        <w:t xml:space="preserve">Annual growth has slowed since the second increase in licence tax rates was implemented but remains at </w:t>
      </w:r>
      <w:r w:rsidR="00080C71">
        <w:t>‘</w:t>
      </w:r>
      <w:r w:rsidR="00640DA4">
        <w:t>double-digit</w:t>
      </w:r>
      <w:r w:rsidR="00080C71">
        <w:t>’</w:t>
      </w:r>
      <w:r w:rsidR="00640DA4">
        <w:t xml:space="preserve"> </w:t>
      </w:r>
      <w:r w:rsidR="00355FC4">
        <w:t xml:space="preserve">annual </w:t>
      </w:r>
      <w:r w:rsidR="00640DA4">
        <w:t xml:space="preserve">rates.  </w:t>
      </w:r>
    </w:p>
    <w:p w14:paraId="3467D88F" w14:textId="3F5FE18F" w:rsidR="00643822" w:rsidRDefault="00643822" w:rsidP="00FB6830">
      <w:r>
        <w:t>The following section develops a framework to consider the likelihood of congestion re-emerging</w:t>
      </w:r>
      <w:r w:rsidR="00C62E80">
        <w:t>,</w:t>
      </w:r>
      <w:r>
        <w:t xml:space="preserve"> which is based on </w:t>
      </w:r>
      <w:r w:rsidR="00B254AD">
        <w:t xml:space="preserve">a forward view of likely demand and supply (see Figure </w:t>
      </w:r>
      <w:r w:rsidR="00A77AE0">
        <w:t>2</w:t>
      </w:r>
      <w:r w:rsidR="00B254AD">
        <w:t xml:space="preserve">). The recent trend in </w:t>
      </w:r>
      <w:r w:rsidR="00B254AD" w:rsidRPr="0021627B">
        <w:t xml:space="preserve">demand to </w:t>
      </w:r>
      <w:r w:rsidR="00DE49FC" w:rsidRPr="0021627B">
        <w:t>September</w:t>
      </w:r>
      <w:r w:rsidR="00487048" w:rsidRPr="0021627B">
        <w:t xml:space="preserve"> </w:t>
      </w:r>
      <w:r w:rsidR="00B254AD" w:rsidRPr="0021627B">
        <w:t>2016 (</w:t>
      </w:r>
      <w:r w:rsidR="00554A0B">
        <w:t>green</w:t>
      </w:r>
      <w:r w:rsidR="00554A0B" w:rsidRPr="0021627B">
        <w:t xml:space="preserve"> </w:t>
      </w:r>
      <w:r w:rsidR="00B254AD" w:rsidRPr="0021627B">
        <w:t xml:space="preserve">line in Figure </w:t>
      </w:r>
      <w:r w:rsidR="00A77AE0">
        <w:t>2</w:t>
      </w:r>
      <w:r w:rsidR="00B254AD" w:rsidRPr="0021627B">
        <w:t>)</w:t>
      </w:r>
      <w:r w:rsidR="00B254AD">
        <w:t xml:space="preserve"> appears consistent</w:t>
      </w:r>
      <w:r w:rsidR="00C62E80">
        <w:t>,</w:t>
      </w:r>
      <w:r w:rsidR="00B254AD">
        <w:t xml:space="preserve"> with demand growing quite strongly and towards augmented supply</w:t>
      </w:r>
      <w:r w:rsidR="00C83AD7">
        <w:t>,</w:t>
      </w:r>
      <w:r w:rsidR="003E01B9">
        <w:t xml:space="preserve"> despite </w:t>
      </w:r>
      <w:r w:rsidR="00C83AD7">
        <w:t xml:space="preserve">the application of </w:t>
      </w:r>
      <w:r w:rsidR="003E01B9">
        <w:t>higher licence tax rates</w:t>
      </w:r>
      <w:r w:rsidR="00B254AD">
        <w:t>. This suggests there is limited risk that the extra capacity facilitated by narrow-banding will remain unused for a considerable period of time.</w:t>
      </w:r>
    </w:p>
    <w:p w14:paraId="0EEBACD6" w14:textId="765B8AB2" w:rsidR="00FB6830" w:rsidRDefault="00C83AD7" w:rsidP="009F66F0">
      <w:r>
        <w:t>From the evidence available, i</w:t>
      </w:r>
      <w:r w:rsidR="00B0406E">
        <w:t xml:space="preserve">t is clear that the increase in licence tax rates has not </w:t>
      </w:r>
      <w:r w:rsidR="000E20F3">
        <w:t>had any excessive negative impact on</w:t>
      </w:r>
      <w:r w:rsidR="00B0406E">
        <w:t xml:space="preserve"> demand</w:t>
      </w:r>
      <w:r>
        <w:t xml:space="preserve">. </w:t>
      </w:r>
      <w:r w:rsidR="00B0406E">
        <w:t xml:space="preserve">On this basis, there is </w:t>
      </w:r>
      <w:r w:rsidR="00A50146">
        <w:t xml:space="preserve">currently </w:t>
      </w:r>
      <w:r w:rsidR="00B0406E">
        <w:t xml:space="preserve">no case </w:t>
      </w:r>
      <w:r w:rsidR="00487048">
        <w:t xml:space="preserve">to suggest </w:t>
      </w:r>
      <w:r w:rsidR="00B254AD">
        <w:t xml:space="preserve">that higher licence tax rates are unduly constraining demand and that </w:t>
      </w:r>
      <w:r w:rsidR="00B0406E">
        <w:t xml:space="preserve">the further increases towards </w:t>
      </w:r>
      <w:r w:rsidR="00355FC4">
        <w:t>OC</w:t>
      </w:r>
      <w:r w:rsidR="00B0406E">
        <w:t xml:space="preserve"> flagged since 2012</w:t>
      </w:r>
      <w:r w:rsidR="00B254AD">
        <w:t xml:space="preserve"> should be discontinued</w:t>
      </w:r>
      <w:r w:rsidR="00B0406E">
        <w:t>.</w:t>
      </w:r>
    </w:p>
    <w:p w14:paraId="121B6AF4" w14:textId="77777777" w:rsidR="00164E78" w:rsidRPr="000C168F" w:rsidRDefault="00164E78" w:rsidP="000C168F">
      <w:pPr>
        <w:pStyle w:val="Heading2"/>
      </w:pPr>
      <w:bookmarkStart w:id="13" w:name="_Toc466623834"/>
      <w:r w:rsidRPr="008A6C24">
        <w:t>Feedback</w:t>
      </w:r>
      <w:bookmarkEnd w:id="13"/>
    </w:p>
    <w:p w14:paraId="68A7D740" w14:textId="58E8A792" w:rsidR="00355FC4" w:rsidRDefault="00355FC4" w:rsidP="009F66F0">
      <w:r>
        <w:t xml:space="preserve">The ACMA </w:t>
      </w:r>
      <w:r w:rsidR="00094C94">
        <w:t xml:space="preserve">now seeks feedback on its analysis of spectrum demand in the HDAs of the 400 MHz band. The ACMA </w:t>
      </w:r>
      <w:r>
        <w:t xml:space="preserve">is especially interested in whether </w:t>
      </w:r>
      <w:r w:rsidR="00094C94">
        <w:t xml:space="preserve">there exists more useful data for measuring demand and trends. Also </w:t>
      </w:r>
      <w:r>
        <w:t xml:space="preserve">the ACMA </w:t>
      </w:r>
      <w:r w:rsidR="00094C94">
        <w:t>is interested in whether its</w:t>
      </w:r>
      <w:r w:rsidR="00C62E80">
        <w:t xml:space="preserve"> </w:t>
      </w:r>
      <w:r w:rsidR="0090620A">
        <w:t xml:space="preserve">preliminary </w:t>
      </w:r>
      <w:r>
        <w:t>view on recent and possible future demand accords with industry experience and views.</w:t>
      </w:r>
      <w:r w:rsidR="00062E43">
        <w:t xml:space="preserve">  </w:t>
      </w:r>
    </w:p>
    <w:p w14:paraId="144A47FD" w14:textId="77777777" w:rsidR="00094C94" w:rsidRPr="00DE0D89" w:rsidRDefault="00094C94" w:rsidP="000C168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Arial"/>
          <w:b/>
        </w:rPr>
      </w:pPr>
      <w:r w:rsidRPr="00DE0D89">
        <w:rPr>
          <w:rFonts w:cs="Arial"/>
          <w:b/>
        </w:rPr>
        <w:t xml:space="preserve">Consultation </w:t>
      </w:r>
      <w:r>
        <w:rPr>
          <w:rFonts w:cs="Arial"/>
          <w:b/>
        </w:rPr>
        <w:t>q</w:t>
      </w:r>
      <w:r w:rsidRPr="00DE0D89">
        <w:rPr>
          <w:rFonts w:cs="Arial"/>
          <w:b/>
        </w:rPr>
        <w:t>uestion</w:t>
      </w:r>
      <w:r>
        <w:rPr>
          <w:rFonts w:cs="Arial"/>
          <w:b/>
        </w:rPr>
        <w:t>s:</w:t>
      </w:r>
    </w:p>
    <w:p w14:paraId="26AFF33F" w14:textId="04CD8FEC" w:rsidR="00094C94" w:rsidRDefault="00094C94" w:rsidP="000C16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284" w:hanging="284"/>
        <w:rPr>
          <w:rFonts w:cs="Arial"/>
        </w:rPr>
      </w:pPr>
      <w:r>
        <w:rPr>
          <w:rFonts w:cs="Arial"/>
        </w:rPr>
        <w:t>1:  Is there more useful data available for analysing both the level of and trends in demand for spectrum in the 400 MHz band?</w:t>
      </w:r>
    </w:p>
    <w:p w14:paraId="4E970E88" w14:textId="489AC334" w:rsidR="00094C94" w:rsidRDefault="00094C94" w:rsidP="00C276E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284" w:hanging="284"/>
      </w:pPr>
      <w:r>
        <w:rPr>
          <w:rFonts w:cs="Arial"/>
        </w:rPr>
        <w:t xml:space="preserve">2: </w:t>
      </w:r>
      <w:r>
        <w:rPr>
          <w:rFonts w:cs="Arial"/>
        </w:rPr>
        <w:tab/>
        <w:t>Do you have other evidence about recent and possible future demand in the HDAs of the 400 MHz band</w:t>
      </w:r>
      <w:r w:rsidR="00FF7828">
        <w:rPr>
          <w:rFonts w:cs="Arial"/>
        </w:rPr>
        <w:t>?</w:t>
      </w:r>
    </w:p>
    <w:p w14:paraId="02523AC7" w14:textId="77777777" w:rsidR="009F66F0" w:rsidRDefault="009F66F0" w:rsidP="00C62E80">
      <w:pPr>
        <w:pStyle w:val="Heading2"/>
      </w:pPr>
      <w:bookmarkStart w:id="14" w:name="_Toc466623835"/>
      <w:r>
        <w:t xml:space="preserve">Impact </w:t>
      </w:r>
      <w:r w:rsidRPr="00C62E80">
        <w:t>on</w:t>
      </w:r>
      <w:r>
        <w:t xml:space="preserve"> forward congestion risk</w:t>
      </w:r>
      <w:bookmarkEnd w:id="14"/>
    </w:p>
    <w:p w14:paraId="27A59E24" w14:textId="3BDD4363" w:rsidR="00C83AD7" w:rsidRDefault="00C83AD7" w:rsidP="00C62E80">
      <w:r>
        <w:t>T</w:t>
      </w:r>
      <w:r w:rsidR="00B0406E">
        <w:t xml:space="preserve">he monitoring framework has been modified to reflect respondent feedback </w:t>
      </w:r>
      <w:r w:rsidR="00C62E80">
        <w:t xml:space="preserve">from </w:t>
      </w:r>
      <w:r w:rsidR="00B0406E">
        <w:t>the consultation conducted in 2014. The revisions to the framework and the logic around a second increase in licence tax rates were detailed in the ACMA’s response to</w:t>
      </w:r>
      <w:r w:rsidR="00F06952">
        <w:t xml:space="preserve"> the</w:t>
      </w:r>
      <w:r w:rsidR="00B0406E">
        <w:t xml:space="preserve"> consultation paper</w:t>
      </w:r>
      <w:r w:rsidR="00C62E80">
        <w:t>,</w:t>
      </w:r>
      <w:r w:rsidR="00B0406E">
        <w:t xml:space="preserve"> </w:t>
      </w:r>
      <w:hyperlink r:id="rId35" w:history="1">
        <w:r w:rsidR="00B0406E" w:rsidRPr="008A6C24">
          <w:rPr>
            <w:rStyle w:val="Hyperlink"/>
            <w:i/>
          </w:rPr>
          <w:t xml:space="preserve">Managing spectrum in the 400 MHz </w:t>
        </w:r>
        <w:r w:rsidR="00C62E80" w:rsidRPr="008A6C24">
          <w:rPr>
            <w:rStyle w:val="Hyperlink"/>
            <w:i/>
          </w:rPr>
          <w:t>b</w:t>
        </w:r>
        <w:r w:rsidR="00B0406E" w:rsidRPr="008A6C24">
          <w:rPr>
            <w:rStyle w:val="Hyperlink"/>
            <w:i/>
          </w:rPr>
          <w:t xml:space="preserve">and—Next </w:t>
        </w:r>
        <w:r w:rsidR="00C62E80" w:rsidRPr="008A6C24">
          <w:rPr>
            <w:rStyle w:val="Hyperlink"/>
            <w:i/>
          </w:rPr>
          <w:t>s</w:t>
        </w:r>
        <w:r w:rsidR="00B0406E" w:rsidRPr="008A6C24">
          <w:rPr>
            <w:rStyle w:val="Hyperlink"/>
            <w:i/>
          </w:rPr>
          <w:t>teps</w:t>
        </w:r>
      </w:hyperlink>
      <w:r w:rsidR="00C62E80">
        <w:t>,</w:t>
      </w:r>
      <w:r w:rsidR="00B0406E">
        <w:t xml:space="preserve"> released in January 2016.</w:t>
      </w:r>
      <w:r w:rsidR="00A50146">
        <w:t xml:space="preserve">  </w:t>
      </w:r>
    </w:p>
    <w:p w14:paraId="17B08740" w14:textId="75CA14EB" w:rsidR="00B0406E" w:rsidRDefault="00A50146" w:rsidP="009F66F0">
      <w:r>
        <w:t>The ACMA</w:t>
      </w:r>
      <w:r w:rsidR="00C83AD7">
        <w:t>’s</w:t>
      </w:r>
      <w:r>
        <w:t xml:space="preserve"> analysis </w:t>
      </w:r>
      <w:r w:rsidR="005413E0">
        <w:t xml:space="preserve">in this </w:t>
      </w:r>
      <w:r w:rsidR="008A03D4">
        <w:t>consultation</w:t>
      </w:r>
      <w:r w:rsidR="00355FC4">
        <w:t xml:space="preserve"> </w:t>
      </w:r>
      <w:r w:rsidR="00C62E80">
        <w:t>p</w:t>
      </w:r>
      <w:r w:rsidR="005413E0">
        <w:t>aper</w:t>
      </w:r>
      <w:r w:rsidR="00D56784">
        <w:t xml:space="preserve"> </w:t>
      </w:r>
      <w:r>
        <w:t>is based on the modified monitoring framework.</w:t>
      </w:r>
    </w:p>
    <w:p w14:paraId="6A416742" w14:textId="5E8A903E" w:rsidR="00B0406E" w:rsidRDefault="00EC2463" w:rsidP="00C62E80">
      <w:r>
        <w:t>T</w:t>
      </w:r>
      <w:r w:rsidR="00B0406E">
        <w:t>he monitoring framework has shifted from one focussed predominantly on rotation (low</w:t>
      </w:r>
      <w:r w:rsidR="00C62E80">
        <w:t>-</w:t>
      </w:r>
      <w:r w:rsidR="00B0406E">
        <w:t>value users out and high</w:t>
      </w:r>
      <w:r w:rsidR="00C62E80">
        <w:t>-</w:t>
      </w:r>
      <w:r w:rsidR="00B0406E">
        <w:t>value users in)</w:t>
      </w:r>
      <w:r w:rsidR="00C62E80">
        <w:t>—</w:t>
      </w:r>
      <w:r w:rsidR="00B0406E">
        <w:t>although that still remains a focus</w:t>
      </w:r>
      <w:r w:rsidR="00C62E80">
        <w:t>—</w:t>
      </w:r>
      <w:r w:rsidR="00B0406E">
        <w:t>to a focus on the likely re-emergence of congestion.</w:t>
      </w:r>
      <w:r w:rsidR="00FA179B">
        <w:t xml:space="preserve"> This </w:t>
      </w:r>
      <w:r>
        <w:t xml:space="preserve">shift </w:t>
      </w:r>
      <w:r w:rsidR="00FA179B">
        <w:t xml:space="preserve">reflects </w:t>
      </w:r>
      <w:r w:rsidR="00D56784">
        <w:t xml:space="preserve">ongoing concerns </w:t>
      </w:r>
      <w:r w:rsidR="00FA179B">
        <w:t>around the potential for congestion to re-emerge</w:t>
      </w:r>
      <w:r w:rsidR="00C62E80">
        <w:t>,</w:t>
      </w:r>
      <w:r w:rsidR="00FA179B">
        <w:t xml:space="preserve"> despite the regulatory and pricing interventions.</w:t>
      </w:r>
    </w:p>
    <w:p w14:paraId="6A2333FA" w14:textId="4E7698D2" w:rsidR="00C9153D" w:rsidRPr="008950B5" w:rsidRDefault="00C83AD7" w:rsidP="00C9153D">
      <w:pPr>
        <w:rPr>
          <w:rFonts w:cs="Arial"/>
          <w:szCs w:val="20"/>
        </w:rPr>
      </w:pPr>
      <w:r>
        <w:rPr>
          <w:snapToGrid w:val="0"/>
        </w:rPr>
        <w:t xml:space="preserve">Since modifying the monitoring framework in 2015, the </w:t>
      </w:r>
      <w:r w:rsidR="00B0406E">
        <w:t xml:space="preserve">ACMA </w:t>
      </w:r>
      <w:r w:rsidR="006D7223">
        <w:t xml:space="preserve">has also updated the forward projection of potential demand based on actual outcomes </w:t>
      </w:r>
      <w:r w:rsidR="006A721E">
        <w:t xml:space="preserve">up </w:t>
      </w:r>
      <w:r w:rsidR="00C9153D" w:rsidRPr="00DE49FC">
        <w:t xml:space="preserve">to </w:t>
      </w:r>
      <w:r w:rsidR="006A721E">
        <w:t xml:space="preserve">and including </w:t>
      </w:r>
      <w:r w:rsidR="00DE49FC" w:rsidRPr="00DE49FC">
        <w:t>September</w:t>
      </w:r>
      <w:r w:rsidR="00C9153D" w:rsidRPr="00DE49FC">
        <w:t xml:space="preserve"> 2016.</w:t>
      </w:r>
      <w:r w:rsidR="00C9153D">
        <w:t xml:space="preserve"> </w:t>
      </w:r>
      <w:r w:rsidR="00C9153D" w:rsidRPr="00EA1242">
        <w:rPr>
          <w:rFonts w:cs="Arial"/>
          <w:szCs w:val="20"/>
        </w:rPr>
        <w:t xml:space="preserve">The purpose of these projections is </w:t>
      </w:r>
      <w:r w:rsidRPr="00EA1242">
        <w:rPr>
          <w:rFonts w:cs="Arial"/>
          <w:szCs w:val="20"/>
        </w:rPr>
        <w:t xml:space="preserve">to </w:t>
      </w:r>
      <w:r>
        <w:rPr>
          <w:rFonts w:cs="Arial"/>
          <w:szCs w:val="20"/>
        </w:rPr>
        <w:t xml:space="preserve">provide </w:t>
      </w:r>
      <w:r w:rsidRPr="00EA1242">
        <w:rPr>
          <w:rFonts w:cs="Arial"/>
          <w:szCs w:val="20"/>
        </w:rPr>
        <w:t>inform</w:t>
      </w:r>
      <w:r>
        <w:rPr>
          <w:rFonts w:cs="Arial"/>
          <w:szCs w:val="20"/>
        </w:rPr>
        <w:t>ation about</w:t>
      </w:r>
      <w:r w:rsidRPr="00EA1242">
        <w:rPr>
          <w:rFonts w:cs="Arial"/>
          <w:szCs w:val="20"/>
        </w:rPr>
        <w:t xml:space="preserve"> the materiality of risks around the re-emergence of congestion (</w:t>
      </w:r>
      <w:r>
        <w:rPr>
          <w:rFonts w:cs="Arial"/>
          <w:szCs w:val="20"/>
        </w:rPr>
        <w:t xml:space="preserve">that is, </w:t>
      </w:r>
      <w:r w:rsidRPr="00EA1242">
        <w:rPr>
          <w:rFonts w:cs="Arial"/>
          <w:szCs w:val="20"/>
        </w:rPr>
        <w:t>where demand is too close to augmented supply) across the medium</w:t>
      </w:r>
      <w:r>
        <w:rPr>
          <w:rFonts w:cs="Arial"/>
          <w:szCs w:val="20"/>
        </w:rPr>
        <w:t>-</w:t>
      </w:r>
      <w:r w:rsidRPr="00EA1242">
        <w:rPr>
          <w:rFonts w:cs="Arial"/>
          <w:szCs w:val="20"/>
        </w:rPr>
        <w:t>term</w:t>
      </w:r>
      <w:r>
        <w:rPr>
          <w:rFonts w:cs="Arial"/>
          <w:szCs w:val="20"/>
        </w:rPr>
        <w:t xml:space="preserve">, rather than attempting to </w:t>
      </w:r>
      <w:r w:rsidR="00C9153D" w:rsidRPr="00EA1242">
        <w:rPr>
          <w:rFonts w:cs="Arial"/>
          <w:szCs w:val="20"/>
        </w:rPr>
        <w:t xml:space="preserve">provide </w:t>
      </w:r>
      <w:r>
        <w:rPr>
          <w:rFonts w:cs="Arial"/>
          <w:szCs w:val="20"/>
        </w:rPr>
        <w:t xml:space="preserve">a </w:t>
      </w:r>
      <w:r w:rsidR="00C9153D" w:rsidRPr="00EA1242">
        <w:rPr>
          <w:rFonts w:cs="Arial"/>
          <w:szCs w:val="20"/>
        </w:rPr>
        <w:t>forecast</w:t>
      </w:r>
      <w:r w:rsidR="00C9153D">
        <w:rPr>
          <w:rFonts w:cs="Arial"/>
          <w:szCs w:val="20"/>
        </w:rPr>
        <w:t xml:space="preserve"> of medium-term spectrum demand</w:t>
      </w:r>
      <w:r>
        <w:rPr>
          <w:rFonts w:cs="Arial"/>
          <w:szCs w:val="20"/>
        </w:rPr>
        <w:t>.</w:t>
      </w:r>
    </w:p>
    <w:p w14:paraId="638DF854" w14:textId="4914147E" w:rsidR="00116933" w:rsidRDefault="00C9153D" w:rsidP="00C9153D">
      <w:pPr>
        <w:rPr>
          <w:rFonts w:cs="Arial"/>
        </w:rPr>
      </w:pPr>
      <w:r>
        <w:rPr>
          <w:rFonts w:cs="Arial"/>
          <w:szCs w:val="20"/>
        </w:rPr>
        <w:t>Accurately f</w:t>
      </w:r>
      <w:r w:rsidRPr="008950B5">
        <w:rPr>
          <w:rFonts w:cs="Arial"/>
          <w:szCs w:val="20"/>
        </w:rPr>
        <w:t>orecasting demand for spectrum is difficult</w:t>
      </w:r>
      <w:r w:rsidR="00355FC4">
        <w:rPr>
          <w:rFonts w:cs="Arial"/>
          <w:szCs w:val="20"/>
        </w:rPr>
        <w:t>.</w:t>
      </w:r>
      <w:r w:rsidR="001F4803">
        <w:rPr>
          <w:rFonts w:cs="Arial"/>
          <w:szCs w:val="20"/>
        </w:rPr>
        <w:t xml:space="preserve"> This reflects that </w:t>
      </w:r>
      <w:r w:rsidRPr="00C86D0E">
        <w:rPr>
          <w:rFonts w:cs="Arial"/>
        </w:rPr>
        <w:t xml:space="preserve">spectrum demand is a derived demand and dependent in part on the demand for the relevant final product </w:t>
      </w:r>
      <w:r>
        <w:rPr>
          <w:rFonts w:cs="Arial"/>
        </w:rPr>
        <w:t>that</w:t>
      </w:r>
      <w:r w:rsidRPr="00C86D0E">
        <w:rPr>
          <w:rFonts w:cs="Arial"/>
        </w:rPr>
        <w:t xml:space="preserve"> uses spectrum as an input; and</w:t>
      </w:r>
      <w:r w:rsidR="00C83AD7">
        <w:rPr>
          <w:rFonts w:cs="Arial"/>
        </w:rPr>
        <w:t xml:space="preserve"> also partly</w:t>
      </w:r>
      <w:r w:rsidRPr="00C86D0E">
        <w:rPr>
          <w:rFonts w:cs="Arial"/>
        </w:rPr>
        <w:t xml:space="preserve"> because there are substitutes to spectrum as an input to </w:t>
      </w:r>
      <w:r w:rsidR="00FA179B">
        <w:rPr>
          <w:rFonts w:cs="Arial"/>
        </w:rPr>
        <w:t>the provision of end-services</w:t>
      </w:r>
      <w:r w:rsidR="00116933">
        <w:rPr>
          <w:rFonts w:cs="Arial"/>
        </w:rPr>
        <w:t>.</w:t>
      </w:r>
    </w:p>
    <w:p w14:paraId="587C87AE" w14:textId="4B11BA6A" w:rsidR="00C83AD7" w:rsidRDefault="005413E0" w:rsidP="00C62E80">
      <w:r>
        <w:t>Noting</w:t>
      </w:r>
      <w:r w:rsidRPr="00C86D0E">
        <w:t xml:space="preserve"> </w:t>
      </w:r>
      <w:r w:rsidR="00C9153D" w:rsidRPr="00C86D0E">
        <w:t>th</w:t>
      </w:r>
      <w:r w:rsidR="00C83AD7">
        <w:t xml:space="preserve">ese constraints on </w:t>
      </w:r>
      <w:r w:rsidR="001F4803">
        <w:t xml:space="preserve">the </w:t>
      </w:r>
      <w:r w:rsidR="00355FC4">
        <w:t xml:space="preserve">forward-looking </w:t>
      </w:r>
      <w:r w:rsidR="00C83AD7">
        <w:t xml:space="preserve">analysis, </w:t>
      </w:r>
      <w:r w:rsidR="00C9153D" w:rsidRPr="00C86D0E">
        <w:t xml:space="preserve">the ACMA has </w:t>
      </w:r>
      <w:r w:rsidR="00C83AD7">
        <w:t>adopted</w:t>
      </w:r>
      <w:r w:rsidR="00FA179B">
        <w:t xml:space="preserve"> </w:t>
      </w:r>
      <w:r w:rsidR="00C83AD7">
        <w:t xml:space="preserve">a </w:t>
      </w:r>
      <w:r w:rsidR="00FA179B">
        <w:t>simple</w:t>
      </w:r>
      <w:r w:rsidR="00C9153D" w:rsidRPr="00C86D0E">
        <w:t xml:space="preserve"> extrapolation </w:t>
      </w:r>
      <w:r w:rsidR="00FA179B">
        <w:t>approach</w:t>
      </w:r>
      <w:r w:rsidR="00F92C2A">
        <w:t xml:space="preserve"> </w:t>
      </w:r>
      <w:r w:rsidR="00C9153D" w:rsidRPr="00C86D0E">
        <w:t>to project the forward profile of relevant spectrum demand</w:t>
      </w:r>
      <w:r w:rsidR="00C9153D">
        <w:t xml:space="preserve"> </w:t>
      </w:r>
      <w:r w:rsidR="00C9153D" w:rsidRPr="00C86D0E">
        <w:t>(proxied by the number of licences) across the medium term</w:t>
      </w:r>
      <w:r w:rsidR="00C9153D">
        <w:t xml:space="preserve"> (to end-20</w:t>
      </w:r>
      <w:r w:rsidR="006A721E">
        <w:t>18</w:t>
      </w:r>
      <w:r w:rsidR="00C9153D">
        <w:t>)</w:t>
      </w:r>
      <w:r w:rsidR="00C9153D" w:rsidRPr="00C86D0E">
        <w:t>.</w:t>
      </w:r>
      <w:r w:rsidR="00FA179B">
        <w:t xml:space="preserve">  </w:t>
      </w:r>
    </w:p>
    <w:p w14:paraId="3C6DFDE5" w14:textId="04CC8B4B" w:rsidR="00BA1231" w:rsidRDefault="00FA179B" w:rsidP="00C62E80">
      <w:r>
        <w:t>Linear extrapolation i</w:t>
      </w:r>
      <w:r w:rsidR="00C83AD7">
        <w:t xml:space="preserve">s inherently conservative </w:t>
      </w:r>
      <w:r>
        <w:t>relative to other projection approaches</w:t>
      </w:r>
      <w:r w:rsidR="00C62E80">
        <w:t>,</w:t>
      </w:r>
      <w:r>
        <w:t xml:space="preserve"> which (given the initial downturn in licence numbers followed by a sustained uptrend) would typically imply a faster projection of future growth in licence numbers.</w:t>
      </w:r>
      <w:r w:rsidR="00001E69">
        <w:t xml:space="preserve"> Linear extrapolation</w:t>
      </w:r>
      <w:r w:rsidR="00F92C2A">
        <w:t>,</w:t>
      </w:r>
      <w:r w:rsidR="00001E69">
        <w:t xml:space="preserve"> therefore</w:t>
      </w:r>
      <w:r w:rsidR="00F92C2A">
        <w:t>,</w:t>
      </w:r>
      <w:r w:rsidR="00001E69">
        <w:t xml:space="preserve"> may understate the materiality of forward congestion risk</w:t>
      </w:r>
      <w:r w:rsidR="00C62E80">
        <w:t>,</w:t>
      </w:r>
      <w:r w:rsidR="00A50146">
        <w:t xml:space="preserve"> </w:t>
      </w:r>
      <w:r w:rsidR="00C62E80">
        <w:t xml:space="preserve">while </w:t>
      </w:r>
      <w:r w:rsidR="00A50146">
        <w:t>the upper scenario projection may overstate</w:t>
      </w:r>
      <w:r w:rsidR="00F92C2A">
        <w:t xml:space="preserve"> congestion risk</w:t>
      </w:r>
      <w:r w:rsidR="00001E69">
        <w:t>.</w:t>
      </w:r>
      <w:r w:rsidR="00A50146">
        <w:t xml:space="preserve"> </w:t>
      </w:r>
      <w:r w:rsidR="001F4803">
        <w:t>O</w:t>
      </w:r>
      <w:r w:rsidR="00A50146">
        <w:t>n balance</w:t>
      </w:r>
      <w:r w:rsidR="000563FC">
        <w:t>,</w:t>
      </w:r>
      <w:r w:rsidR="00A50146">
        <w:t xml:space="preserve"> the trends </w:t>
      </w:r>
      <w:r w:rsidR="00F92C2A">
        <w:t>identified</w:t>
      </w:r>
      <w:r w:rsidR="00A50146">
        <w:t xml:space="preserve"> </w:t>
      </w:r>
      <w:r w:rsidR="001F4803">
        <w:t xml:space="preserve">are expected to </w:t>
      </w:r>
      <w:r w:rsidR="00A50146">
        <w:t xml:space="preserve">represent the upper and lower bounds of likely demand and therefore of congestion risk. </w:t>
      </w:r>
    </w:p>
    <w:p w14:paraId="62B2124E" w14:textId="7ED2256F" w:rsidR="00116933" w:rsidRDefault="00BA1231" w:rsidP="00C62E80">
      <w:pPr>
        <w:rPr>
          <w:rFonts w:cs="Arial"/>
        </w:rPr>
      </w:pPr>
      <w:r>
        <w:t>Quantifying spectrum supply can also be quite complex. The ACMA has developed a simplified approach to the forward evolution of supply. The approach i</w:t>
      </w:r>
      <w:r w:rsidRPr="00073486">
        <w:t>nitialis</w:t>
      </w:r>
      <w:r>
        <w:t>es</w:t>
      </w:r>
      <w:r w:rsidRPr="00073486">
        <w:t xml:space="preserve"> spectrum supply </w:t>
      </w:r>
      <w:r w:rsidRPr="00C86D0E">
        <w:rPr>
          <w:rFonts w:cs="Arial"/>
        </w:rPr>
        <w:t xml:space="preserve">(number of potential </w:t>
      </w:r>
      <w:r w:rsidR="00831004" w:rsidRPr="00C86D0E">
        <w:rPr>
          <w:rFonts w:cs="Arial"/>
        </w:rPr>
        <w:t>licen</w:t>
      </w:r>
      <w:r w:rsidR="00831004">
        <w:rPr>
          <w:rFonts w:cs="Arial"/>
        </w:rPr>
        <w:t>c</w:t>
      </w:r>
      <w:r w:rsidR="00831004" w:rsidRPr="00C86D0E">
        <w:rPr>
          <w:rFonts w:cs="Arial"/>
        </w:rPr>
        <w:t>es</w:t>
      </w:r>
      <w:r w:rsidRPr="00C86D0E">
        <w:rPr>
          <w:rFonts w:cs="Arial"/>
        </w:rPr>
        <w:t xml:space="preserve">) </w:t>
      </w:r>
      <w:r w:rsidRPr="00073486">
        <w:t xml:space="preserve">at the level of demand </w:t>
      </w:r>
      <w:r w:rsidR="00C62E80">
        <w:t xml:space="preserve">in </w:t>
      </w:r>
      <w:r w:rsidRPr="00073486">
        <w:t>late-2012 when demand was close to supply (</w:t>
      </w:r>
      <w:r>
        <w:t>that is,</w:t>
      </w:r>
      <w:r w:rsidRPr="00073486">
        <w:t xml:space="preserve"> there was congestion)</w:t>
      </w:r>
      <w:r w:rsidR="00960B5B">
        <w:t>. Indicative supply</w:t>
      </w:r>
      <w:r w:rsidRPr="00073486">
        <w:t xml:space="preserve"> then evolv</w:t>
      </w:r>
      <w:r>
        <w:t>es</w:t>
      </w:r>
      <w:r w:rsidRPr="00073486">
        <w:t xml:space="preserve"> with the </w:t>
      </w:r>
      <w:r w:rsidRPr="00C86D0E">
        <w:rPr>
          <w:rFonts w:cs="Arial"/>
        </w:rPr>
        <w:t xml:space="preserve">pace of </w:t>
      </w:r>
      <w:r w:rsidR="00116933">
        <w:rPr>
          <w:rFonts w:cs="Arial"/>
        </w:rPr>
        <w:t>adoption of narrow-banding</w:t>
      </w:r>
      <w:r w:rsidR="00C62E80">
        <w:rPr>
          <w:rFonts w:cs="Arial"/>
        </w:rPr>
        <w:t>,</w:t>
      </w:r>
      <w:r w:rsidR="005A179E">
        <w:rPr>
          <w:rFonts w:cs="Arial"/>
        </w:rPr>
        <w:t xml:space="preserve"> which effectively enables two (or more) licences where previously only one was possible</w:t>
      </w:r>
      <w:r w:rsidRPr="00C86D0E">
        <w:rPr>
          <w:rFonts w:cs="Arial"/>
        </w:rPr>
        <w:t>. On this basis</w:t>
      </w:r>
      <w:r>
        <w:rPr>
          <w:rFonts w:cs="Arial"/>
        </w:rPr>
        <w:t>,</w:t>
      </w:r>
      <w:r w:rsidRPr="00C86D0E">
        <w:rPr>
          <w:rFonts w:cs="Arial"/>
        </w:rPr>
        <w:t xml:space="preserve"> spectrum supply </w:t>
      </w:r>
      <w:r>
        <w:rPr>
          <w:rFonts w:cs="Arial"/>
        </w:rPr>
        <w:t xml:space="preserve">(the number of potential </w:t>
      </w:r>
      <w:r w:rsidR="00831004">
        <w:rPr>
          <w:rFonts w:cs="Arial"/>
        </w:rPr>
        <w:t>licences</w:t>
      </w:r>
      <w:r>
        <w:rPr>
          <w:rFonts w:cs="Arial"/>
        </w:rPr>
        <w:t xml:space="preserve">) </w:t>
      </w:r>
      <w:r w:rsidRPr="00C86D0E">
        <w:rPr>
          <w:rFonts w:cs="Arial"/>
        </w:rPr>
        <w:t xml:space="preserve">grows as </w:t>
      </w:r>
      <w:r>
        <w:rPr>
          <w:rFonts w:cs="Arial"/>
        </w:rPr>
        <w:t xml:space="preserve">existing </w:t>
      </w:r>
      <w:r w:rsidRPr="00C86D0E">
        <w:rPr>
          <w:rFonts w:cs="Arial"/>
        </w:rPr>
        <w:t xml:space="preserve">licensees </w:t>
      </w:r>
      <w:r w:rsidR="00116933">
        <w:rPr>
          <w:rFonts w:cs="Arial"/>
        </w:rPr>
        <w:t xml:space="preserve">adopt narrower </w:t>
      </w:r>
      <w:r>
        <w:rPr>
          <w:rFonts w:cs="Arial"/>
        </w:rPr>
        <w:t>bandwidth channels</w:t>
      </w:r>
      <w:r w:rsidR="00F6403F">
        <w:rPr>
          <w:rFonts w:cs="Arial"/>
        </w:rPr>
        <w:t xml:space="preserve">. </w:t>
      </w:r>
      <w:r w:rsidR="00831004">
        <w:rPr>
          <w:rFonts w:cs="Arial"/>
          <w:szCs w:val="20"/>
        </w:rPr>
        <w:t>The c</w:t>
      </w:r>
      <w:r w:rsidR="00094E96">
        <w:rPr>
          <w:rFonts w:cs="Arial"/>
          <w:szCs w:val="20"/>
        </w:rPr>
        <w:t>onstructed supply effectively stabilises from around early-2016</w:t>
      </w:r>
      <w:r w:rsidR="00C62E80">
        <w:rPr>
          <w:rFonts w:cs="Arial"/>
          <w:szCs w:val="20"/>
        </w:rPr>
        <w:t>,</w:t>
      </w:r>
      <w:r w:rsidR="00094E96">
        <w:rPr>
          <w:rFonts w:cs="Arial"/>
          <w:szCs w:val="20"/>
        </w:rPr>
        <w:t xml:space="preserve"> as virtually all relevant licensees have adopted narrowband channels.</w:t>
      </w:r>
    </w:p>
    <w:p w14:paraId="64752B8D" w14:textId="5C5D077C" w:rsidR="00BA1231" w:rsidRDefault="00BA1231" w:rsidP="00BA1231">
      <w:pPr>
        <w:rPr>
          <w:rFonts w:cs="Arial"/>
          <w:szCs w:val="20"/>
        </w:rPr>
      </w:pPr>
      <w:r>
        <w:rPr>
          <w:rFonts w:cs="Arial"/>
        </w:rPr>
        <w:t xml:space="preserve">This analysis has been </w:t>
      </w:r>
      <w:r w:rsidR="00355FC4">
        <w:rPr>
          <w:rFonts w:cs="Arial"/>
        </w:rPr>
        <w:t>quarantined</w:t>
      </w:r>
      <w:r w:rsidR="005413E0">
        <w:rPr>
          <w:rFonts w:cs="Arial"/>
        </w:rPr>
        <w:t xml:space="preserve"> to</w:t>
      </w:r>
      <w:r>
        <w:rPr>
          <w:rFonts w:cs="Arial"/>
        </w:rPr>
        <w:t xml:space="preserve"> the non-HGS spectrum to ensure the analysis is not compromised by government licensee</w:t>
      </w:r>
      <w:r w:rsidR="00F6403F">
        <w:rPr>
          <w:rFonts w:cs="Arial"/>
        </w:rPr>
        <w:t xml:space="preserve"> movements associated with the </w:t>
      </w:r>
      <w:r w:rsidRPr="008950B5">
        <w:rPr>
          <w:rFonts w:cs="Arial"/>
          <w:szCs w:val="20"/>
        </w:rPr>
        <w:t>establishment of the HGS.</w:t>
      </w:r>
      <w:r>
        <w:rPr>
          <w:rFonts w:cs="Arial"/>
          <w:szCs w:val="20"/>
        </w:rPr>
        <w:t xml:space="preserve"> This constructed evolution of supply is represented by the light blue band in Figure </w:t>
      </w:r>
      <w:r w:rsidR="00A77AE0">
        <w:rPr>
          <w:rFonts w:cs="Arial"/>
          <w:szCs w:val="20"/>
        </w:rPr>
        <w:t>2</w:t>
      </w:r>
      <w:r>
        <w:rPr>
          <w:rFonts w:cs="Arial"/>
          <w:szCs w:val="20"/>
        </w:rPr>
        <w:t xml:space="preserve">. </w:t>
      </w:r>
    </w:p>
    <w:p w14:paraId="094C9FAE" w14:textId="77F50665" w:rsidR="00F92C2A" w:rsidRDefault="00BA1231" w:rsidP="00C276E0">
      <w:r>
        <w:t xml:space="preserve">Figure </w:t>
      </w:r>
      <w:r w:rsidR="00A77AE0">
        <w:t xml:space="preserve">2 </w:t>
      </w:r>
      <w:r w:rsidRPr="004D60D7">
        <w:t xml:space="preserve">overlays the evolution of both aggregate demand and supply out to </w:t>
      </w:r>
      <w:r w:rsidR="006A721E">
        <w:t>2018</w:t>
      </w:r>
      <w:r w:rsidRPr="004D60D7">
        <w:t xml:space="preserve">. This enables a simultaneous comparison of the </w:t>
      </w:r>
      <w:r>
        <w:t xml:space="preserve">projected evolution </w:t>
      </w:r>
      <w:r w:rsidRPr="004D60D7">
        <w:t xml:space="preserve">in </w:t>
      </w:r>
      <w:r>
        <w:t xml:space="preserve">both </w:t>
      </w:r>
      <w:r w:rsidRPr="004D60D7">
        <w:t xml:space="preserve">demand and supply across </w:t>
      </w:r>
      <w:r w:rsidR="00AE33F9">
        <w:t>that period</w:t>
      </w:r>
      <w:r w:rsidRPr="004D60D7">
        <w:t>. This assists with an analysis of the risk that demand will</w:t>
      </w:r>
      <w:r w:rsidR="005413E0">
        <w:t>,</w:t>
      </w:r>
      <w:r w:rsidRPr="004D60D7">
        <w:t xml:space="preserve"> over the medium-term</w:t>
      </w:r>
      <w:r w:rsidR="005413E0">
        <w:t>,</w:t>
      </w:r>
      <w:r>
        <w:t xml:space="preserve"> return to levels </w:t>
      </w:r>
      <w:r w:rsidR="00367629">
        <w:t xml:space="preserve">previously experienced and </w:t>
      </w:r>
      <w:r w:rsidR="003D096B">
        <w:t xml:space="preserve">result in </w:t>
      </w:r>
      <w:r w:rsidRPr="004D60D7">
        <w:t>congestion</w:t>
      </w:r>
      <w:r w:rsidR="003D096B">
        <w:t xml:space="preserve"> </w:t>
      </w:r>
      <w:r w:rsidR="00C249E6">
        <w:t xml:space="preserve">again being experienced </w:t>
      </w:r>
      <w:r w:rsidR="003D096B">
        <w:t>in the band</w:t>
      </w:r>
      <w:r w:rsidRPr="004D60D7">
        <w:t>.</w:t>
      </w:r>
      <w:r>
        <w:t xml:space="preserve"> </w:t>
      </w:r>
    </w:p>
    <w:p w14:paraId="5B9697EC" w14:textId="77777777" w:rsidR="00BA1231" w:rsidRDefault="00BA1231" w:rsidP="00BA1231">
      <w:pPr>
        <w:pStyle w:val="ACMAFigureHeader"/>
        <w:spacing w:line="240" w:lineRule="atLeast"/>
      </w:pPr>
      <w:r>
        <w:t>Augmented supply versus actual and potential spectrum demand</w:t>
      </w:r>
    </w:p>
    <w:p w14:paraId="3B4F1E0A" w14:textId="04337979" w:rsidR="00BA1231" w:rsidRDefault="00B86350" w:rsidP="00B67479">
      <w:pPr>
        <w:spacing w:after="0"/>
      </w:pPr>
      <w:r w:rsidRPr="00B86350">
        <w:rPr>
          <w:noProof/>
        </w:rPr>
        <w:drawing>
          <wp:inline distT="0" distB="0" distL="0" distR="0" wp14:anchorId="49F5F346" wp14:editId="5F7D545C">
            <wp:extent cx="4871085" cy="3099227"/>
            <wp:effectExtent l="0" t="0" r="5715" b="6350"/>
            <wp:docPr id="13" name="Picture 13" descr="Chart is explained in surrounding text." title="Augmented supply versus actual and potential spectrum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71085" cy="3099227"/>
                    </a:xfrm>
                    <a:prstGeom prst="rect">
                      <a:avLst/>
                    </a:prstGeom>
                    <a:noFill/>
                    <a:ln>
                      <a:noFill/>
                    </a:ln>
                  </pic:spPr>
                </pic:pic>
              </a:graphicData>
            </a:graphic>
          </wp:inline>
        </w:drawing>
      </w:r>
    </w:p>
    <w:p w14:paraId="65402F49" w14:textId="312C4EEE" w:rsidR="00BA1231" w:rsidRDefault="00D330C6" w:rsidP="00950724">
      <w:r w:rsidRPr="00D330C6">
        <w:rPr>
          <w:i/>
          <w:sz w:val="16"/>
          <w:szCs w:val="16"/>
        </w:rPr>
        <w:t>Source: ACMA analysis</w:t>
      </w:r>
      <w:r w:rsidR="00BD0607">
        <w:rPr>
          <w:i/>
          <w:sz w:val="16"/>
          <w:szCs w:val="16"/>
        </w:rPr>
        <w:t>.</w:t>
      </w:r>
    </w:p>
    <w:p w14:paraId="6A62F290" w14:textId="77777777" w:rsidR="00BA1231" w:rsidRDefault="00367629" w:rsidP="008A6C24">
      <w:pPr>
        <w:spacing w:after="80"/>
        <w:jc w:val="both"/>
        <w:rPr>
          <w:rFonts w:cs="Arial"/>
        </w:rPr>
      </w:pPr>
      <w:r>
        <w:rPr>
          <w:rFonts w:cs="Arial"/>
        </w:rPr>
        <w:t>Based on this analysis</w:t>
      </w:r>
      <w:r w:rsidR="00746EE9">
        <w:rPr>
          <w:rFonts w:cs="Arial"/>
        </w:rPr>
        <w:t>,</w:t>
      </w:r>
      <w:r>
        <w:rPr>
          <w:rFonts w:cs="Arial"/>
        </w:rPr>
        <w:t xml:space="preserve"> congestion approaching that previously experienced </w:t>
      </w:r>
      <w:r w:rsidR="00F6403F">
        <w:rPr>
          <w:rFonts w:cs="Arial"/>
        </w:rPr>
        <w:t>(</w:t>
      </w:r>
      <w:r w:rsidR="00746EE9">
        <w:rPr>
          <w:rFonts w:cs="Arial"/>
        </w:rPr>
        <w:t>before the regulatory interventions</w:t>
      </w:r>
      <w:r w:rsidR="00F6403F">
        <w:rPr>
          <w:rFonts w:cs="Arial"/>
        </w:rPr>
        <w:t xml:space="preserve">) appears </w:t>
      </w:r>
      <w:r>
        <w:rPr>
          <w:rFonts w:cs="Arial"/>
        </w:rPr>
        <w:t>likely to re-emerge:</w:t>
      </w:r>
    </w:p>
    <w:p w14:paraId="71005F7E" w14:textId="328FB437" w:rsidR="00367629" w:rsidRPr="00F92C2A" w:rsidRDefault="00C62E80" w:rsidP="00F92C2A">
      <w:pPr>
        <w:pStyle w:val="ListBullet"/>
      </w:pPr>
      <w:r>
        <w:t>a</w:t>
      </w:r>
      <w:r w:rsidR="00367629" w:rsidRPr="00F92C2A">
        <w:t>round August 2017</w:t>
      </w:r>
      <w:r>
        <w:t>,</w:t>
      </w:r>
      <w:r w:rsidR="00367629" w:rsidRPr="00F92C2A">
        <w:t xml:space="preserve"> based on the upper scenario projection</w:t>
      </w:r>
    </w:p>
    <w:p w14:paraId="365C552B" w14:textId="4E01785F" w:rsidR="00367629" w:rsidRPr="00F92C2A" w:rsidRDefault="00C62E80" w:rsidP="00F92C2A">
      <w:pPr>
        <w:pStyle w:val="ListBullet"/>
      </w:pPr>
      <w:r>
        <w:t>a</w:t>
      </w:r>
      <w:r w:rsidR="00367629" w:rsidRPr="00F92C2A">
        <w:t xml:space="preserve">round </w:t>
      </w:r>
      <w:r w:rsidR="004C68DD" w:rsidRPr="00F92C2A">
        <w:t xml:space="preserve">March </w:t>
      </w:r>
      <w:r w:rsidR="00367629" w:rsidRPr="00F92C2A">
        <w:t>2018</w:t>
      </w:r>
      <w:r>
        <w:t>,</w:t>
      </w:r>
      <w:r w:rsidR="00367629" w:rsidRPr="00F92C2A">
        <w:t xml:space="preserve"> based on a simple linear extrapolation</w:t>
      </w:r>
    </w:p>
    <w:p w14:paraId="0F3C17C9" w14:textId="586FC7C9" w:rsidR="00367629" w:rsidRPr="00F92C2A" w:rsidRDefault="00C62E80" w:rsidP="00C62E80">
      <w:pPr>
        <w:pStyle w:val="ListBulletLast"/>
      </w:pPr>
      <w:r>
        <w:t>a</w:t>
      </w:r>
      <w:r w:rsidR="00367629" w:rsidRPr="00F92C2A">
        <w:t xml:space="preserve">round </w:t>
      </w:r>
      <w:r w:rsidR="004C68DD" w:rsidRPr="00F92C2A">
        <w:t>December 2017</w:t>
      </w:r>
      <w:r>
        <w:t>,</w:t>
      </w:r>
      <w:r w:rsidR="00367629" w:rsidRPr="00F92C2A">
        <w:t xml:space="preserve"> based solely on the growth experienced over the last </w:t>
      </w:r>
      <w:r w:rsidRPr="00F92C2A">
        <w:t>12</w:t>
      </w:r>
      <w:r>
        <w:t> </w:t>
      </w:r>
      <w:r w:rsidR="00367629" w:rsidRPr="00F92C2A">
        <w:t xml:space="preserve">months (to </w:t>
      </w:r>
      <w:r w:rsidR="004C68DD" w:rsidRPr="00C62E80">
        <w:t>September</w:t>
      </w:r>
      <w:r w:rsidR="00367629" w:rsidRPr="00F92C2A">
        <w:t xml:space="preserve"> 2016).</w:t>
      </w:r>
    </w:p>
    <w:p w14:paraId="0F69203C" w14:textId="67B6050A" w:rsidR="00746EE9" w:rsidRDefault="00746EE9" w:rsidP="008A6C24">
      <w:r w:rsidRPr="004C68DD">
        <w:t>This analysis suggests there remains material risk that spectrum</w:t>
      </w:r>
      <w:r>
        <w:t xml:space="preserve"> demand is growing at a rate consistent with the re-emergence of congestion over a relatively short horizon</w:t>
      </w:r>
      <w:r w:rsidR="00BD0607">
        <w:t>.</w:t>
      </w:r>
      <w:r w:rsidR="00FF327A">
        <w:t xml:space="preserve"> OC-based pricing principles focus on providing long-term price signals</w:t>
      </w:r>
      <w:r w:rsidR="00BD0607">
        <w:t>,</w:t>
      </w:r>
      <w:r w:rsidR="00FF327A">
        <w:t xml:space="preserve"> which incent efficient investment decisions by licensees. The ACMA recognises that current licensees will respond progressively</w:t>
      </w:r>
      <w:r w:rsidR="00BD0607">
        <w:t>,</w:t>
      </w:r>
      <w:r w:rsidR="00FF327A">
        <w:t xml:space="preserve"> and typically</w:t>
      </w:r>
      <w:r w:rsidR="00BD0607">
        <w:t>,</w:t>
      </w:r>
      <w:r w:rsidR="00FF327A">
        <w:t xml:space="preserve"> as their complementary equipment needs replacement. </w:t>
      </w:r>
      <w:r w:rsidR="00F01B8A">
        <w:t xml:space="preserve">The appropriate horizon for considering impacts on demand and congestion is therefore matched to the expected useful life of complementary equipment </w:t>
      </w:r>
      <w:r w:rsidR="00950724">
        <w:t>.</w:t>
      </w:r>
      <w:r w:rsidR="00F01B8A">
        <w:t>Given this, it is problematic that congestion is likely t</w:t>
      </w:r>
      <w:r w:rsidR="00950724">
        <w:t xml:space="preserve">o re-emerge in a time </w:t>
      </w:r>
      <w:r w:rsidR="00F01B8A">
        <w:t xml:space="preserve">frame much shorter than the typical equipment investment cycle.  </w:t>
      </w:r>
    </w:p>
    <w:p w14:paraId="74B5A46E" w14:textId="77777777" w:rsidR="00094E96" w:rsidRPr="005E4B39" w:rsidRDefault="00094E96" w:rsidP="000C168F">
      <w:pPr>
        <w:pStyle w:val="Heading2"/>
      </w:pPr>
      <w:bookmarkStart w:id="15" w:name="_Toc466623836"/>
      <w:r w:rsidRPr="005E4B39">
        <w:t>Feedback</w:t>
      </w:r>
      <w:bookmarkEnd w:id="15"/>
    </w:p>
    <w:p w14:paraId="50A165A2" w14:textId="0CF238A7" w:rsidR="00094C94" w:rsidRDefault="00094E96" w:rsidP="00094C94">
      <w:r>
        <w:t xml:space="preserve">The ACMA is especially interested in whether </w:t>
      </w:r>
      <w:r w:rsidR="00094C94">
        <w:t xml:space="preserve">there exists a better approach and/or more useful data for measuring congestion risk. The ACMA is also interested in whether its </w:t>
      </w:r>
      <w:r w:rsidR="0090620A">
        <w:t xml:space="preserve">preliminary </w:t>
      </w:r>
      <w:r>
        <w:t xml:space="preserve">view on </w:t>
      </w:r>
      <w:r w:rsidR="000B5498">
        <w:t>congestion risk</w:t>
      </w:r>
      <w:r>
        <w:t xml:space="preserve"> accords with industry experience and views.  </w:t>
      </w:r>
    </w:p>
    <w:p w14:paraId="5AC4D80F" w14:textId="77777777" w:rsidR="00094C94" w:rsidRPr="00DE0D89" w:rsidRDefault="00094C94" w:rsidP="000C168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Arial"/>
          <w:b/>
        </w:rPr>
      </w:pPr>
      <w:r w:rsidRPr="00DE0D89">
        <w:rPr>
          <w:rFonts w:cs="Arial"/>
          <w:b/>
        </w:rPr>
        <w:t xml:space="preserve">Consultation </w:t>
      </w:r>
      <w:r>
        <w:rPr>
          <w:rFonts w:cs="Arial"/>
          <w:b/>
        </w:rPr>
        <w:t>q</w:t>
      </w:r>
      <w:r w:rsidRPr="00DE0D89">
        <w:rPr>
          <w:rFonts w:cs="Arial"/>
          <w:b/>
        </w:rPr>
        <w:t>uestion</w:t>
      </w:r>
      <w:r>
        <w:rPr>
          <w:rFonts w:cs="Arial"/>
          <w:b/>
        </w:rPr>
        <w:t>s:</w:t>
      </w:r>
    </w:p>
    <w:p w14:paraId="4CA199FB" w14:textId="5A1FCB3C" w:rsidR="00094C94" w:rsidRDefault="00094C94" w:rsidP="000C16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284" w:hanging="284"/>
        <w:rPr>
          <w:rFonts w:cs="Arial"/>
        </w:rPr>
      </w:pPr>
      <w:r>
        <w:rPr>
          <w:rFonts w:cs="Arial"/>
        </w:rPr>
        <w:t xml:space="preserve">3:  Is there </w:t>
      </w:r>
      <w:r w:rsidR="006A0290">
        <w:rPr>
          <w:rFonts w:cs="Arial"/>
        </w:rPr>
        <w:t>a better approach and/or more useful data for analysing congestion risk in the HDAs of the 400 MHz band?</w:t>
      </w:r>
    </w:p>
    <w:p w14:paraId="580B9D61" w14:textId="56C388CB" w:rsidR="00094C94" w:rsidRDefault="00094C94" w:rsidP="008A6C24">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ind w:left="284" w:hanging="284"/>
        <w:rPr>
          <w:rFonts w:cs="Arial"/>
        </w:rPr>
      </w:pPr>
      <w:r>
        <w:rPr>
          <w:rFonts w:cs="Arial"/>
        </w:rPr>
        <w:t xml:space="preserve">4: </w:t>
      </w:r>
      <w:r>
        <w:rPr>
          <w:rFonts w:cs="Arial"/>
        </w:rPr>
        <w:tab/>
        <w:t>Do</w:t>
      </w:r>
      <w:r w:rsidR="006A0290">
        <w:rPr>
          <w:rFonts w:cs="Arial"/>
        </w:rPr>
        <w:t>es the ACMA’s preliminary view on congestion risk in the HDAs of the 400 MHz band align with industry views</w:t>
      </w:r>
      <w:r w:rsidR="00C62E80">
        <w:rPr>
          <w:rFonts w:cs="Arial"/>
        </w:rPr>
        <w:t>,</w:t>
      </w:r>
      <w:r w:rsidR="006A0290">
        <w:rPr>
          <w:rFonts w:cs="Arial"/>
        </w:rPr>
        <w:t xml:space="preserve"> or do</w:t>
      </w:r>
      <w:r>
        <w:rPr>
          <w:rFonts w:cs="Arial"/>
        </w:rPr>
        <w:t xml:space="preserve"> you have other </w:t>
      </w:r>
      <w:r w:rsidR="006A0290">
        <w:rPr>
          <w:rFonts w:cs="Arial"/>
        </w:rPr>
        <w:t>information on congestion?</w:t>
      </w:r>
      <w:r>
        <w:rPr>
          <w:rFonts w:cs="Arial"/>
        </w:rPr>
        <w:t xml:space="preserve"> </w:t>
      </w:r>
    </w:p>
    <w:p w14:paraId="4F0669B3" w14:textId="77777777" w:rsidR="00116933" w:rsidRDefault="00116933" w:rsidP="00C62E80">
      <w:pPr>
        <w:pStyle w:val="Heading2"/>
      </w:pPr>
      <w:bookmarkStart w:id="16" w:name="_Toc466623837"/>
      <w:r w:rsidRPr="00C62E80">
        <w:t>Conclusion</w:t>
      </w:r>
      <w:bookmarkEnd w:id="16"/>
    </w:p>
    <w:p w14:paraId="1704F26B" w14:textId="2663BC59" w:rsidR="000B5498" w:rsidRDefault="00D306C9" w:rsidP="008A6C24">
      <w:pPr>
        <w:spacing w:after="80"/>
      </w:pPr>
      <w:r>
        <w:t xml:space="preserve">The ACMA </w:t>
      </w:r>
      <w:r w:rsidR="003F3883">
        <w:t>preliminary</w:t>
      </w:r>
      <w:r w:rsidR="000B5498">
        <w:t xml:space="preserve"> view is that the pre-conditions for ceasing the staged transition towards licence tax rates based on OC principles</w:t>
      </w:r>
      <w:r w:rsidR="003F3883">
        <w:t xml:space="preserve"> </w:t>
      </w:r>
      <w:r w:rsidR="000B5498">
        <w:t>have not been met. Specifically:</w:t>
      </w:r>
    </w:p>
    <w:p w14:paraId="229DF9A3" w14:textId="5E59121B" w:rsidR="000B5498" w:rsidRDefault="00C62E80" w:rsidP="008A6C24">
      <w:pPr>
        <w:pStyle w:val="ListBullet"/>
      </w:pPr>
      <w:r>
        <w:t>t</w:t>
      </w:r>
      <w:r w:rsidR="003F3883">
        <w:t>here has been no sharp contraction in demand in response to earlier and/or prospective increases in licence tax rates</w:t>
      </w:r>
    </w:p>
    <w:p w14:paraId="5969E97D" w14:textId="3A121BDA" w:rsidR="003F3883" w:rsidRDefault="00C62E80" w:rsidP="008A6C24">
      <w:pPr>
        <w:pStyle w:val="ListBullet"/>
      </w:pPr>
      <w:r>
        <w:t>d</w:t>
      </w:r>
      <w:r w:rsidR="003F3883">
        <w:t>emand is rising strongly consistent with timely utilisation of the extra supply occasioned by narrow-banding</w:t>
      </w:r>
    </w:p>
    <w:p w14:paraId="4F33C261" w14:textId="63C34D70" w:rsidR="003F3883" w:rsidRPr="000B5498" w:rsidRDefault="00C62E80" w:rsidP="008A6C24">
      <w:pPr>
        <w:pStyle w:val="ListBulletLast"/>
      </w:pPr>
      <w:r>
        <w:t>the c</w:t>
      </w:r>
      <w:r w:rsidR="003F3883">
        <w:t>ontinuing trend growth implies a material risk that demand and congestion will rise to the problematic levels experienced prior to the reforms.</w:t>
      </w:r>
    </w:p>
    <w:p w14:paraId="4411D1F1" w14:textId="567EBA52" w:rsidR="00001E69" w:rsidRDefault="003F3883" w:rsidP="008A6C24">
      <w:pPr>
        <w:spacing w:after="80"/>
      </w:pPr>
      <w:r>
        <w:t>I</w:t>
      </w:r>
      <w:r w:rsidR="00746EE9">
        <w:t>n this context</w:t>
      </w:r>
      <w:r>
        <w:t>, the ACMA’s preliminary view is that i</w:t>
      </w:r>
      <w:r w:rsidR="00BE5106">
        <w:t xml:space="preserve">t </w:t>
      </w:r>
      <w:r w:rsidR="00746EE9">
        <w:t xml:space="preserve">is </w:t>
      </w:r>
      <w:r w:rsidR="00D306C9">
        <w:t xml:space="preserve">appropriate </w:t>
      </w:r>
      <w:r w:rsidR="00746EE9">
        <w:t>to continue to increase licence tax rates towards</w:t>
      </w:r>
      <w:r w:rsidR="002063A9">
        <w:t xml:space="preserve"> OC</w:t>
      </w:r>
      <w:r w:rsidR="00001E69">
        <w:t xml:space="preserve">. This </w:t>
      </w:r>
      <w:r w:rsidR="005413E0">
        <w:t xml:space="preserve">will </w:t>
      </w:r>
      <w:r w:rsidR="00746EE9">
        <w:t xml:space="preserve">ensure market participants (including </w:t>
      </w:r>
      <w:r w:rsidR="008030C2">
        <w:t xml:space="preserve">existing licensees and </w:t>
      </w:r>
      <w:r w:rsidR="00746EE9">
        <w:t>new entrants)</w:t>
      </w:r>
      <w:r w:rsidR="00001E69">
        <w:t xml:space="preserve"> consider </w:t>
      </w:r>
      <w:r w:rsidR="00137159">
        <w:t xml:space="preserve">apparatus </w:t>
      </w:r>
      <w:r w:rsidR="00001E69">
        <w:t xml:space="preserve">licence tax rates at (or at least </w:t>
      </w:r>
      <w:r w:rsidR="006C76EB">
        <w:t>trending</w:t>
      </w:r>
      <w:r w:rsidR="00001E69">
        <w:t xml:space="preserve"> towards) </w:t>
      </w:r>
      <w:r w:rsidR="005413E0">
        <w:t>OC</w:t>
      </w:r>
      <w:r w:rsidR="00001E69">
        <w:t xml:space="preserve"> and </w:t>
      </w:r>
      <w:r w:rsidR="00C62E80">
        <w:t>therefore</w:t>
      </w:r>
      <w:r w:rsidR="00001E69">
        <w:t>:</w:t>
      </w:r>
    </w:p>
    <w:p w14:paraId="7AAFE330" w14:textId="56BEC690" w:rsidR="00001E69" w:rsidRPr="00001E69" w:rsidRDefault="005413E0" w:rsidP="007858B6">
      <w:pPr>
        <w:pStyle w:val="ListBullet"/>
      </w:pPr>
      <w:r>
        <w:t xml:space="preserve">will cause </w:t>
      </w:r>
      <w:r w:rsidR="00E540FB">
        <w:t xml:space="preserve">licensees </w:t>
      </w:r>
      <w:r>
        <w:t xml:space="preserve">to </w:t>
      </w:r>
      <w:r w:rsidR="00001E69" w:rsidRPr="00001E69">
        <w:t xml:space="preserve">encounter the long-term </w:t>
      </w:r>
      <w:r>
        <w:t>OC</w:t>
      </w:r>
      <w:r w:rsidR="00001E69" w:rsidRPr="00001E69">
        <w:t xml:space="preserve"> imposed on society by their </w:t>
      </w:r>
      <w:r w:rsidR="00001E69" w:rsidRPr="007858B6">
        <w:t>spectrum</w:t>
      </w:r>
      <w:r w:rsidR="00001E69" w:rsidRPr="00001E69">
        <w:t xml:space="preserve"> use</w:t>
      </w:r>
    </w:p>
    <w:p w14:paraId="48ABA412" w14:textId="6FD455EE" w:rsidR="00001E69" w:rsidRPr="00001E69" w:rsidRDefault="005413E0" w:rsidP="00F92C2A">
      <w:pPr>
        <w:pStyle w:val="ListBullet"/>
      </w:pPr>
      <w:r>
        <w:t>promote</w:t>
      </w:r>
      <w:r w:rsidRPr="00001E69">
        <w:t xml:space="preserve"> </w:t>
      </w:r>
      <w:r w:rsidR="00001E69" w:rsidRPr="00001E69">
        <w:t>efficient long-term use of spectrum by licensees</w:t>
      </w:r>
    </w:p>
    <w:p w14:paraId="7FAF0D52" w14:textId="3FF18093" w:rsidR="00164E78" w:rsidRPr="007858B6" w:rsidRDefault="00001E69" w:rsidP="008A6C24">
      <w:pPr>
        <w:pStyle w:val="ListBulletLast"/>
      </w:pPr>
      <w:r w:rsidRPr="00001E69">
        <w:t xml:space="preserve">facilitate efficient investment in both </w:t>
      </w:r>
      <w:r w:rsidR="00746EE9" w:rsidRPr="00001E69">
        <w:t xml:space="preserve">spectrum and complementary </w:t>
      </w:r>
      <w:r w:rsidR="00C504B5" w:rsidRPr="00001E69">
        <w:t xml:space="preserve">non-spectrum </w:t>
      </w:r>
      <w:r w:rsidR="00746EE9" w:rsidRPr="00001E69">
        <w:t>inputs</w:t>
      </w:r>
      <w:r w:rsidR="005413E0">
        <w:t>.</w:t>
      </w:r>
    </w:p>
    <w:p w14:paraId="1FD15E5E" w14:textId="77777777" w:rsidR="00F56530" w:rsidRDefault="00F56530" w:rsidP="00F56530">
      <w:pPr>
        <w:pStyle w:val="Heading1"/>
      </w:pPr>
      <w:bookmarkStart w:id="17" w:name="_Toc466623838"/>
      <w:r>
        <w:t>Revising apparatus licence tax rates</w:t>
      </w:r>
      <w:bookmarkEnd w:id="17"/>
    </w:p>
    <w:p w14:paraId="3E1E073A" w14:textId="2EDE5DA5" w:rsidR="00F50AEB" w:rsidRDefault="00F56530" w:rsidP="008A6C24">
      <w:r>
        <w:t xml:space="preserve">It is </w:t>
      </w:r>
      <w:r w:rsidRPr="008A15A0">
        <w:t xml:space="preserve">proposed </w:t>
      </w:r>
      <w:r>
        <w:t xml:space="preserve">that </w:t>
      </w:r>
      <w:r w:rsidR="00F50AEB">
        <w:t>updated</w:t>
      </w:r>
      <w:r w:rsidR="007F5AAC">
        <w:t xml:space="preserve"> OC-based </w:t>
      </w:r>
      <w:r>
        <w:t>tax</w:t>
      </w:r>
      <w:r w:rsidR="00F50AEB">
        <w:t xml:space="preserve"> rate</w:t>
      </w:r>
      <w:r>
        <w:t>s will apply to all licences in the high</w:t>
      </w:r>
      <w:r w:rsidR="007858B6">
        <w:t>-</w:t>
      </w:r>
      <w:r>
        <w:t xml:space="preserve">density areas of the 400 MHz band, including licences for general use, point-to-point services, point-to-multipoint services and land mobile services. The main exception is for amateur licences. </w:t>
      </w:r>
    </w:p>
    <w:p w14:paraId="21081610" w14:textId="77777777" w:rsidR="00F56530" w:rsidRPr="006659FD" w:rsidRDefault="00F56530" w:rsidP="00F56530">
      <w:pPr>
        <w:spacing w:after="80"/>
        <w:rPr>
          <w:rFonts w:cs="Arial"/>
        </w:rPr>
      </w:pPr>
      <w:r w:rsidRPr="006659FD">
        <w:rPr>
          <w:rFonts w:cs="Arial"/>
        </w:rPr>
        <w:t xml:space="preserve">The ACMA proposes to amend the following determinations to reflect the </w:t>
      </w:r>
      <w:r w:rsidR="00F50AEB">
        <w:rPr>
          <w:rFonts w:cs="Arial"/>
        </w:rPr>
        <w:t xml:space="preserve">intended increases </w:t>
      </w:r>
      <w:r w:rsidRPr="006659FD">
        <w:rPr>
          <w:rFonts w:cs="Arial"/>
        </w:rPr>
        <w:t>described above:</w:t>
      </w:r>
    </w:p>
    <w:p w14:paraId="4E431D0F" w14:textId="23BB5F68" w:rsidR="00F56530" w:rsidRPr="00F50AEB" w:rsidRDefault="00F56530" w:rsidP="00F56530">
      <w:pPr>
        <w:pStyle w:val="ListBullet"/>
        <w:rPr>
          <w:rFonts w:cs="Arial"/>
          <w:i/>
        </w:rPr>
      </w:pPr>
      <w:r w:rsidRPr="008A6C24">
        <w:rPr>
          <w:rFonts w:cs="Arial"/>
        </w:rPr>
        <w:t>Radiocommunications (Transmitter Licence Tax) Determination 2015</w:t>
      </w:r>
      <w:r w:rsidRPr="00F50AEB">
        <w:rPr>
          <w:rFonts w:cs="Arial"/>
          <w:i/>
        </w:rPr>
        <w:t xml:space="preserve"> (</w:t>
      </w:r>
      <w:r w:rsidRPr="00F50AEB">
        <w:rPr>
          <w:rFonts w:cs="Arial"/>
        </w:rPr>
        <w:t>Transmitter Licence Tax Determination</w:t>
      </w:r>
      <w:r w:rsidRPr="00F50AEB">
        <w:rPr>
          <w:rFonts w:cs="Arial"/>
          <w:i/>
        </w:rPr>
        <w:t>)</w:t>
      </w:r>
    </w:p>
    <w:p w14:paraId="7FBE9998" w14:textId="77777777" w:rsidR="00F56530" w:rsidRPr="00F50AEB" w:rsidRDefault="00F56530" w:rsidP="00F56530">
      <w:pPr>
        <w:pStyle w:val="ListBullet"/>
        <w:spacing w:after="240"/>
        <w:rPr>
          <w:rFonts w:cs="Arial"/>
          <w:i/>
        </w:rPr>
      </w:pPr>
      <w:bookmarkStart w:id="18" w:name="OLE_LINK3"/>
      <w:bookmarkStart w:id="19" w:name="OLE_LINK4"/>
      <w:r w:rsidRPr="008A6C24">
        <w:rPr>
          <w:rFonts w:cs="Arial"/>
        </w:rPr>
        <w:t xml:space="preserve">Radiocommunications (Receiver Licence Tax) Determination 2015 </w:t>
      </w:r>
      <w:r w:rsidRPr="00F50AEB">
        <w:rPr>
          <w:rFonts w:cs="Arial"/>
          <w:i/>
        </w:rPr>
        <w:t>(</w:t>
      </w:r>
      <w:r w:rsidRPr="00F50AEB">
        <w:rPr>
          <w:rFonts w:cs="Arial"/>
        </w:rPr>
        <w:t>Receiver Licence Tax Determination</w:t>
      </w:r>
      <w:r w:rsidRPr="00F50AEB">
        <w:rPr>
          <w:rFonts w:cs="Arial"/>
          <w:i/>
        </w:rPr>
        <w:t>).</w:t>
      </w:r>
      <w:bookmarkEnd w:id="18"/>
      <w:bookmarkEnd w:id="19"/>
    </w:p>
    <w:p w14:paraId="4E17518E" w14:textId="77777777" w:rsidR="00F50AEB" w:rsidRDefault="00F56530" w:rsidP="00F56530">
      <w:r>
        <w:t>Taxes per kHz for the high density areas of the 400 MHz band in t</w:t>
      </w:r>
      <w:r w:rsidRPr="006659FD">
        <w:t>ables</w:t>
      </w:r>
      <w:r>
        <w:t xml:space="preserve"> 202, 302, </w:t>
      </w:r>
      <w:r w:rsidRPr="006659FD">
        <w:t>402</w:t>
      </w:r>
      <w:r>
        <w:t xml:space="preserve"> and 502</w:t>
      </w:r>
      <w:r w:rsidRPr="006659FD">
        <w:t xml:space="preserve"> </w:t>
      </w:r>
      <w:r w:rsidR="00F06952">
        <w:t>in Schedule 2 to</w:t>
      </w:r>
      <w:r w:rsidR="00F06952" w:rsidRPr="006659FD">
        <w:t xml:space="preserve"> </w:t>
      </w:r>
      <w:r w:rsidRPr="006659FD">
        <w:t xml:space="preserve">the Transmitter Licence Tax Determination and tables 202 and 302 </w:t>
      </w:r>
      <w:r w:rsidR="00F06952">
        <w:t>in Schedule 2 to</w:t>
      </w:r>
      <w:r w:rsidR="00F06952" w:rsidRPr="006659FD">
        <w:t xml:space="preserve"> </w:t>
      </w:r>
      <w:r w:rsidRPr="006659FD">
        <w:t xml:space="preserve">the Receiver Licence Tax Determination </w:t>
      </w:r>
      <w:r>
        <w:t xml:space="preserve">will change. </w:t>
      </w:r>
    </w:p>
    <w:p w14:paraId="6FA09FCE" w14:textId="29BC99E1" w:rsidR="00F56530" w:rsidRDefault="009D3122" w:rsidP="007858B6">
      <w:r>
        <w:t xml:space="preserve">After considering the feedback to this paper, should the ACMA decide to introduce the next increment, it is likely to do so around the same time of </w:t>
      </w:r>
      <w:r w:rsidR="00F50AEB" w:rsidRPr="00F50AEB">
        <w:t xml:space="preserve">the </w:t>
      </w:r>
      <w:r w:rsidR="00F50AEB">
        <w:t xml:space="preserve">normal </w:t>
      </w:r>
      <w:r w:rsidR="00F50AEB" w:rsidRPr="00F50AEB">
        <w:t>annual CPI</w:t>
      </w:r>
      <w:r w:rsidR="007858B6">
        <w:t xml:space="preserve"> </w:t>
      </w:r>
      <w:r w:rsidR="00F50AEB" w:rsidRPr="00F50AEB">
        <w:t>adjustment to apparatus licence taxes</w:t>
      </w:r>
      <w:r w:rsidR="00F50AEB">
        <w:t xml:space="preserve"> in April 2017</w:t>
      </w:r>
      <w:r w:rsidR="00F50AEB" w:rsidRPr="00F50AEB">
        <w:t xml:space="preserve">. The proposed </w:t>
      </w:r>
      <w:r w:rsidR="00F50AEB">
        <w:t xml:space="preserve">CPI </w:t>
      </w:r>
      <w:r w:rsidR="00F50AEB" w:rsidRPr="00F50AEB">
        <w:t>adjustment for 201</w:t>
      </w:r>
      <w:r w:rsidR="00F50AEB">
        <w:t>6</w:t>
      </w:r>
      <w:r w:rsidR="007858B6">
        <w:t>–</w:t>
      </w:r>
      <w:r w:rsidR="00F50AEB" w:rsidRPr="00F50AEB">
        <w:t>1</w:t>
      </w:r>
      <w:r w:rsidR="00F50AEB">
        <w:t>7</w:t>
      </w:r>
      <w:r w:rsidR="00F50AEB" w:rsidRPr="00F50AEB">
        <w:t xml:space="preserve"> is an increase in apparatus licence taxes of 1.</w:t>
      </w:r>
      <w:r w:rsidR="00F50AEB">
        <w:t>0</w:t>
      </w:r>
      <w:r w:rsidR="00F50AEB" w:rsidRPr="00F50AEB">
        <w:t>% (the CPI increase over the year to June 201</w:t>
      </w:r>
      <w:r w:rsidR="00F50AEB">
        <w:t>6</w:t>
      </w:r>
      <w:r w:rsidR="00F50AEB" w:rsidRPr="00F50AEB">
        <w:t>).</w:t>
      </w:r>
      <w:r w:rsidR="007F5AAC">
        <w:t xml:space="preserve"> </w:t>
      </w:r>
      <w:r w:rsidR="00F56530">
        <w:t xml:space="preserve">The proposed changes are </w:t>
      </w:r>
      <w:r w:rsidR="007F5AAC">
        <w:t>detailed</w:t>
      </w:r>
      <w:r w:rsidR="00F56530">
        <w:t xml:space="preserve"> below</w:t>
      </w:r>
      <w:r w:rsidR="007F5AAC">
        <w:t xml:space="preserve"> with the effects of the CPI update and OC-based increment shown separately</w:t>
      </w:r>
      <w:r w:rsidR="00F56530">
        <w:t>.</w:t>
      </w:r>
    </w:p>
    <w:p w14:paraId="001F9F45" w14:textId="17BA90EC" w:rsidR="008B0757" w:rsidRDefault="007858B6" w:rsidP="008A6C24">
      <w:pPr>
        <w:pStyle w:val="ACMATableHeader"/>
      </w:pPr>
      <w:r>
        <w:t xml:space="preserve">Radiocommunications (Transmitter Licence Tax) Determination 2015—High density </w:t>
      </w:r>
      <w:r w:rsidR="00D54B4D">
        <w:t xml:space="preserve">areas </w:t>
      </w:r>
      <w:r>
        <w:t>annual licence tax rate ($/KHz)</w:t>
      </w:r>
    </w:p>
    <w:tbl>
      <w:tblPr>
        <w:tblStyle w:val="TableGrid"/>
        <w:tblW w:w="0" w:type="auto"/>
        <w:tblCellMar>
          <w:top w:w="57" w:type="dxa"/>
          <w:left w:w="57" w:type="dxa"/>
          <w:bottom w:w="57" w:type="dxa"/>
          <w:right w:w="57" w:type="dxa"/>
        </w:tblCellMar>
        <w:tblLook w:val="04A0" w:firstRow="1" w:lastRow="0" w:firstColumn="1" w:lastColumn="0" w:noHBand="0" w:noVBand="1"/>
        <w:tblCaption w:val="Radiocommunications (Transmitter Licence Tax) Determination 2015—High density areas annual licence tax rate ($/KHz)"/>
        <w:tblDescription w:val="Shows rates currently effective, rates after the updatye for CPI escalation and rates after the third increment."/>
      </w:tblPr>
      <w:tblGrid>
        <w:gridCol w:w="1915"/>
        <w:gridCol w:w="1915"/>
        <w:gridCol w:w="1915"/>
        <w:gridCol w:w="1916"/>
      </w:tblGrid>
      <w:tr w:rsidR="007858B6" w14:paraId="334A725A" w14:textId="77777777" w:rsidTr="00C276E0">
        <w:trPr>
          <w:tblHeader/>
        </w:trPr>
        <w:tc>
          <w:tcPr>
            <w:tcW w:w="1915" w:type="dxa"/>
            <w:shd w:val="clear" w:color="auto" w:fill="404040" w:themeFill="text1" w:themeFillTint="BF"/>
          </w:tcPr>
          <w:p w14:paraId="05E756C0" w14:textId="0C3FE06C" w:rsidR="007858B6" w:rsidRPr="007858B6" w:rsidRDefault="007858B6" w:rsidP="008A6C24">
            <w:pPr>
              <w:pStyle w:val="TableHeading"/>
              <w:rPr>
                <w:color w:val="FFFFFF" w:themeColor="background1"/>
              </w:rPr>
            </w:pPr>
            <w:r w:rsidRPr="007858B6">
              <w:rPr>
                <w:color w:val="FFFFFF" w:themeColor="background1"/>
              </w:rPr>
              <w:t>403–520 MHz</w:t>
            </w:r>
          </w:p>
        </w:tc>
        <w:tc>
          <w:tcPr>
            <w:tcW w:w="1915" w:type="dxa"/>
            <w:shd w:val="clear" w:color="auto" w:fill="404040" w:themeFill="text1" w:themeFillTint="BF"/>
          </w:tcPr>
          <w:p w14:paraId="16F7B249" w14:textId="6E1A83FF" w:rsidR="007858B6" w:rsidRPr="007858B6" w:rsidRDefault="007858B6" w:rsidP="008A6C24">
            <w:pPr>
              <w:pStyle w:val="TableHeading"/>
              <w:rPr>
                <w:color w:val="FFFFFF" w:themeColor="background1"/>
              </w:rPr>
            </w:pPr>
            <w:r w:rsidRPr="007858B6">
              <w:rPr>
                <w:color w:val="FFFFFF" w:themeColor="background1"/>
              </w:rPr>
              <w:t>Currently effective from 5 April 2016</w:t>
            </w:r>
          </w:p>
        </w:tc>
        <w:tc>
          <w:tcPr>
            <w:tcW w:w="1915" w:type="dxa"/>
            <w:shd w:val="clear" w:color="auto" w:fill="404040" w:themeFill="text1" w:themeFillTint="BF"/>
          </w:tcPr>
          <w:p w14:paraId="377F4647" w14:textId="242B787E" w:rsidR="007858B6" w:rsidRPr="007858B6" w:rsidRDefault="007858B6" w:rsidP="008A6C24">
            <w:pPr>
              <w:pStyle w:val="TableHeading"/>
              <w:rPr>
                <w:color w:val="FFFFFF" w:themeColor="background1"/>
              </w:rPr>
            </w:pPr>
            <w:r w:rsidRPr="007858B6">
              <w:rPr>
                <w:color w:val="FFFFFF" w:themeColor="background1"/>
              </w:rPr>
              <w:t>After update for CPI escalation</w:t>
            </w:r>
          </w:p>
        </w:tc>
        <w:tc>
          <w:tcPr>
            <w:tcW w:w="1916" w:type="dxa"/>
            <w:shd w:val="clear" w:color="auto" w:fill="404040" w:themeFill="text1" w:themeFillTint="BF"/>
          </w:tcPr>
          <w:p w14:paraId="28B7EEA2" w14:textId="72F8B555" w:rsidR="007858B6" w:rsidRPr="007858B6" w:rsidRDefault="007858B6" w:rsidP="008A6C24">
            <w:pPr>
              <w:pStyle w:val="TableHeading"/>
              <w:rPr>
                <w:color w:val="FFFFFF" w:themeColor="background1"/>
              </w:rPr>
            </w:pPr>
            <w:r w:rsidRPr="007858B6">
              <w:rPr>
                <w:color w:val="FFFFFF" w:themeColor="background1"/>
              </w:rPr>
              <w:t xml:space="preserve">After third </w:t>
            </w:r>
            <w:r>
              <w:rPr>
                <w:color w:val="FFFFFF" w:themeColor="background1"/>
              </w:rPr>
              <w:t>OC</w:t>
            </w:r>
            <w:r w:rsidRPr="007858B6">
              <w:rPr>
                <w:color w:val="FFFFFF" w:themeColor="background1"/>
              </w:rPr>
              <w:t xml:space="preserve"> increment</w:t>
            </w:r>
          </w:p>
        </w:tc>
      </w:tr>
      <w:tr w:rsidR="007858B6" w14:paraId="53A4B13E" w14:textId="77777777" w:rsidTr="007858B6">
        <w:tc>
          <w:tcPr>
            <w:tcW w:w="1915" w:type="dxa"/>
          </w:tcPr>
          <w:p w14:paraId="4A11B4B2" w14:textId="54BCACD1" w:rsidR="007858B6" w:rsidRDefault="007858B6" w:rsidP="00D54B4D">
            <w:pPr>
              <w:spacing w:after="0"/>
            </w:pPr>
            <w:r>
              <w:t>Table 202</w:t>
            </w:r>
          </w:p>
        </w:tc>
        <w:tc>
          <w:tcPr>
            <w:tcW w:w="1915" w:type="dxa"/>
          </w:tcPr>
          <w:p w14:paraId="244DEDE0" w14:textId="4B33FE0C" w:rsidR="007858B6" w:rsidRDefault="007858B6" w:rsidP="00D54B4D">
            <w:pPr>
              <w:spacing w:after="0"/>
            </w:pPr>
            <w:r>
              <w:t>$1.9801</w:t>
            </w:r>
          </w:p>
        </w:tc>
        <w:tc>
          <w:tcPr>
            <w:tcW w:w="1915" w:type="dxa"/>
          </w:tcPr>
          <w:p w14:paraId="5CAB82B7" w14:textId="13B9ED21" w:rsidR="007858B6" w:rsidRDefault="007858B6" w:rsidP="00D54B4D">
            <w:pPr>
              <w:spacing w:after="0"/>
            </w:pPr>
            <w:r>
              <w:t>$1.9999</w:t>
            </w:r>
          </w:p>
        </w:tc>
        <w:tc>
          <w:tcPr>
            <w:tcW w:w="1916" w:type="dxa"/>
          </w:tcPr>
          <w:p w14:paraId="3AC2863D" w14:textId="6D3A63CF" w:rsidR="007858B6" w:rsidRDefault="007858B6" w:rsidP="00D54B4D">
            <w:pPr>
              <w:spacing w:after="0"/>
            </w:pPr>
            <w:r>
              <w:t>$2.2999</w:t>
            </w:r>
          </w:p>
        </w:tc>
      </w:tr>
      <w:tr w:rsidR="007858B6" w14:paraId="5D5BE658" w14:textId="77777777" w:rsidTr="000C168F">
        <w:tc>
          <w:tcPr>
            <w:tcW w:w="1915" w:type="dxa"/>
            <w:shd w:val="clear" w:color="auto" w:fill="F2F2F2" w:themeFill="background1" w:themeFillShade="F2"/>
          </w:tcPr>
          <w:p w14:paraId="7030849E" w14:textId="17529813" w:rsidR="007858B6" w:rsidRDefault="007858B6" w:rsidP="00D54B4D">
            <w:pPr>
              <w:spacing w:after="0"/>
            </w:pPr>
            <w:r>
              <w:t>Table 3</w:t>
            </w:r>
            <w:r w:rsidRPr="00983FC4">
              <w:t>02</w:t>
            </w:r>
          </w:p>
        </w:tc>
        <w:tc>
          <w:tcPr>
            <w:tcW w:w="1915" w:type="dxa"/>
            <w:shd w:val="clear" w:color="auto" w:fill="F2F2F2" w:themeFill="background1" w:themeFillShade="F2"/>
          </w:tcPr>
          <w:p w14:paraId="105C8D39" w14:textId="4EC0157D" w:rsidR="007858B6" w:rsidRDefault="007858B6" w:rsidP="00D54B4D">
            <w:pPr>
              <w:spacing w:after="0"/>
            </w:pPr>
            <w:r>
              <w:t>$146.3980</w:t>
            </w:r>
          </w:p>
        </w:tc>
        <w:tc>
          <w:tcPr>
            <w:tcW w:w="1915" w:type="dxa"/>
            <w:shd w:val="clear" w:color="auto" w:fill="F2F2F2" w:themeFill="background1" w:themeFillShade="F2"/>
          </w:tcPr>
          <w:p w14:paraId="49A285DE" w14:textId="30CC54DD" w:rsidR="007858B6" w:rsidRDefault="007858B6" w:rsidP="00D54B4D">
            <w:pPr>
              <w:spacing w:after="0"/>
            </w:pPr>
            <w:r>
              <w:t>$147.8620</w:t>
            </w:r>
          </w:p>
        </w:tc>
        <w:tc>
          <w:tcPr>
            <w:tcW w:w="1916" w:type="dxa"/>
            <w:shd w:val="clear" w:color="auto" w:fill="F2F2F2" w:themeFill="background1" w:themeFillShade="F2"/>
          </w:tcPr>
          <w:p w14:paraId="7AF67E65" w14:textId="47785E5A" w:rsidR="007858B6" w:rsidRDefault="007858B6" w:rsidP="00D54B4D">
            <w:pPr>
              <w:spacing w:after="0"/>
            </w:pPr>
            <w:r>
              <w:t>$170.0413</w:t>
            </w:r>
          </w:p>
        </w:tc>
      </w:tr>
      <w:tr w:rsidR="007858B6" w14:paraId="242CB190" w14:textId="77777777" w:rsidTr="007858B6">
        <w:tc>
          <w:tcPr>
            <w:tcW w:w="1915" w:type="dxa"/>
          </w:tcPr>
          <w:p w14:paraId="29A0AF56" w14:textId="593A4145" w:rsidR="007858B6" w:rsidRDefault="007858B6" w:rsidP="00D54B4D">
            <w:pPr>
              <w:spacing w:after="0"/>
            </w:pPr>
            <w:r>
              <w:t>Table 4</w:t>
            </w:r>
            <w:r w:rsidRPr="00983FC4">
              <w:t>02</w:t>
            </w:r>
          </w:p>
        </w:tc>
        <w:tc>
          <w:tcPr>
            <w:tcW w:w="1915" w:type="dxa"/>
          </w:tcPr>
          <w:p w14:paraId="14734944" w14:textId="2DD155BD" w:rsidR="007858B6" w:rsidRDefault="007858B6" w:rsidP="00D54B4D">
            <w:pPr>
              <w:spacing w:after="0"/>
            </w:pPr>
            <w:r>
              <w:t>$36.5995</w:t>
            </w:r>
          </w:p>
        </w:tc>
        <w:tc>
          <w:tcPr>
            <w:tcW w:w="1915" w:type="dxa"/>
          </w:tcPr>
          <w:p w14:paraId="25CE7312" w14:textId="0EEF3272" w:rsidR="007858B6" w:rsidRDefault="007858B6" w:rsidP="00D54B4D">
            <w:pPr>
              <w:spacing w:after="0"/>
            </w:pPr>
            <w:r>
              <w:t>$36.9655</w:t>
            </w:r>
          </w:p>
        </w:tc>
        <w:tc>
          <w:tcPr>
            <w:tcW w:w="1916" w:type="dxa"/>
          </w:tcPr>
          <w:p w14:paraId="7C214A4F" w14:textId="7CE5DC78" w:rsidR="007858B6" w:rsidRDefault="007858B6" w:rsidP="00D54B4D">
            <w:pPr>
              <w:spacing w:after="0"/>
            </w:pPr>
            <w:r>
              <w:t>$42.5103</w:t>
            </w:r>
          </w:p>
        </w:tc>
      </w:tr>
      <w:tr w:rsidR="007858B6" w14:paraId="560A1866" w14:textId="77777777" w:rsidTr="000C168F">
        <w:tc>
          <w:tcPr>
            <w:tcW w:w="1915" w:type="dxa"/>
            <w:shd w:val="clear" w:color="auto" w:fill="F2F2F2" w:themeFill="background1" w:themeFillShade="F2"/>
          </w:tcPr>
          <w:p w14:paraId="61A49456" w14:textId="18E848FD" w:rsidR="007858B6" w:rsidRDefault="007858B6" w:rsidP="00D54B4D">
            <w:pPr>
              <w:spacing w:after="0"/>
            </w:pPr>
            <w:r>
              <w:t>Table 5</w:t>
            </w:r>
            <w:r w:rsidRPr="00983FC4">
              <w:t>02</w:t>
            </w:r>
          </w:p>
        </w:tc>
        <w:tc>
          <w:tcPr>
            <w:tcW w:w="1915" w:type="dxa"/>
            <w:shd w:val="clear" w:color="auto" w:fill="F2F2F2" w:themeFill="background1" w:themeFillShade="F2"/>
          </w:tcPr>
          <w:p w14:paraId="01DB9BD6" w14:textId="0F239DD0" w:rsidR="007858B6" w:rsidRDefault="007858B6" w:rsidP="00D54B4D">
            <w:pPr>
              <w:spacing w:after="0"/>
            </w:pPr>
            <w:r>
              <w:t>$146.3980</w:t>
            </w:r>
          </w:p>
        </w:tc>
        <w:tc>
          <w:tcPr>
            <w:tcW w:w="1915" w:type="dxa"/>
            <w:shd w:val="clear" w:color="auto" w:fill="F2F2F2" w:themeFill="background1" w:themeFillShade="F2"/>
          </w:tcPr>
          <w:p w14:paraId="60F60621" w14:textId="0A89568F" w:rsidR="007858B6" w:rsidRDefault="007858B6" w:rsidP="00D54B4D">
            <w:pPr>
              <w:spacing w:after="0"/>
            </w:pPr>
            <w:r>
              <w:t>$147.8620</w:t>
            </w:r>
          </w:p>
        </w:tc>
        <w:tc>
          <w:tcPr>
            <w:tcW w:w="1916" w:type="dxa"/>
            <w:shd w:val="clear" w:color="auto" w:fill="F2F2F2" w:themeFill="background1" w:themeFillShade="F2"/>
          </w:tcPr>
          <w:p w14:paraId="59561254" w14:textId="55BD04D9" w:rsidR="007858B6" w:rsidRDefault="007858B6" w:rsidP="00D54B4D">
            <w:pPr>
              <w:spacing w:after="0"/>
            </w:pPr>
            <w:r>
              <w:t>$170.0413</w:t>
            </w:r>
          </w:p>
        </w:tc>
      </w:tr>
    </w:tbl>
    <w:p w14:paraId="34D4D9DF" w14:textId="77777777" w:rsidR="007858B6" w:rsidRDefault="007858B6" w:rsidP="00D54B4D">
      <w:pPr>
        <w:pStyle w:val="ACMASpaceaftertable"/>
      </w:pPr>
    </w:p>
    <w:p w14:paraId="09BEBAC6" w14:textId="0A164F8F" w:rsidR="00D54B4D" w:rsidRDefault="00D54B4D" w:rsidP="00C276E0">
      <w:pPr>
        <w:pStyle w:val="ACMATableHeader"/>
      </w:pPr>
      <w:r>
        <w:t>Radiocommunications (Receiver Licence Tax) Determination 2015—High density areas annual licence tax rate ($/KHz)</w:t>
      </w:r>
    </w:p>
    <w:tbl>
      <w:tblPr>
        <w:tblStyle w:val="TableGrid"/>
        <w:tblW w:w="0" w:type="auto"/>
        <w:tblCellMar>
          <w:top w:w="57" w:type="dxa"/>
          <w:left w:w="57" w:type="dxa"/>
          <w:bottom w:w="57" w:type="dxa"/>
          <w:right w:w="57" w:type="dxa"/>
        </w:tblCellMar>
        <w:tblLook w:val="04A0" w:firstRow="1" w:lastRow="0" w:firstColumn="1" w:lastColumn="0" w:noHBand="0" w:noVBand="1"/>
        <w:tblCaption w:val="Radiocommunications (Receiver Licence Tax) Determination 2015—High density areas annual licence tax rate ($/KHz)"/>
        <w:tblDescription w:val="Shows rates currently effective, rates after the updatye for CPI escalation and rates after the third increment."/>
      </w:tblPr>
      <w:tblGrid>
        <w:gridCol w:w="1915"/>
        <w:gridCol w:w="1915"/>
        <w:gridCol w:w="1915"/>
        <w:gridCol w:w="1916"/>
      </w:tblGrid>
      <w:tr w:rsidR="00D54B4D" w14:paraId="3F6E5939" w14:textId="77777777" w:rsidTr="00C276E0">
        <w:trPr>
          <w:tblHeader/>
        </w:trPr>
        <w:tc>
          <w:tcPr>
            <w:tcW w:w="1915" w:type="dxa"/>
            <w:shd w:val="clear" w:color="auto" w:fill="404040" w:themeFill="text1" w:themeFillTint="BF"/>
          </w:tcPr>
          <w:p w14:paraId="75100615" w14:textId="77777777" w:rsidR="00D54B4D" w:rsidRPr="007858B6" w:rsidRDefault="00D54B4D" w:rsidP="00C276E0">
            <w:pPr>
              <w:pStyle w:val="TableHeading"/>
              <w:rPr>
                <w:color w:val="FFFFFF" w:themeColor="background1"/>
              </w:rPr>
            </w:pPr>
            <w:r w:rsidRPr="007858B6">
              <w:rPr>
                <w:color w:val="FFFFFF" w:themeColor="background1"/>
              </w:rPr>
              <w:t>403–520 MHz</w:t>
            </w:r>
          </w:p>
        </w:tc>
        <w:tc>
          <w:tcPr>
            <w:tcW w:w="1915" w:type="dxa"/>
            <w:shd w:val="clear" w:color="auto" w:fill="404040" w:themeFill="text1" w:themeFillTint="BF"/>
          </w:tcPr>
          <w:p w14:paraId="02C650C3" w14:textId="77777777" w:rsidR="00D54B4D" w:rsidRPr="007858B6" w:rsidRDefault="00D54B4D" w:rsidP="00C276E0">
            <w:pPr>
              <w:pStyle w:val="TableHeading"/>
              <w:rPr>
                <w:color w:val="FFFFFF" w:themeColor="background1"/>
              </w:rPr>
            </w:pPr>
            <w:r w:rsidRPr="007858B6">
              <w:rPr>
                <w:color w:val="FFFFFF" w:themeColor="background1"/>
              </w:rPr>
              <w:t>Currently effective from 5 April 2016</w:t>
            </w:r>
          </w:p>
        </w:tc>
        <w:tc>
          <w:tcPr>
            <w:tcW w:w="1915" w:type="dxa"/>
            <w:shd w:val="clear" w:color="auto" w:fill="404040" w:themeFill="text1" w:themeFillTint="BF"/>
          </w:tcPr>
          <w:p w14:paraId="0D150982" w14:textId="77777777" w:rsidR="00D54B4D" w:rsidRPr="007858B6" w:rsidRDefault="00D54B4D" w:rsidP="00C276E0">
            <w:pPr>
              <w:pStyle w:val="TableHeading"/>
              <w:rPr>
                <w:color w:val="FFFFFF" w:themeColor="background1"/>
              </w:rPr>
            </w:pPr>
            <w:r w:rsidRPr="007858B6">
              <w:rPr>
                <w:color w:val="FFFFFF" w:themeColor="background1"/>
              </w:rPr>
              <w:t>After update for CPI escalation</w:t>
            </w:r>
          </w:p>
        </w:tc>
        <w:tc>
          <w:tcPr>
            <w:tcW w:w="1916" w:type="dxa"/>
            <w:shd w:val="clear" w:color="auto" w:fill="404040" w:themeFill="text1" w:themeFillTint="BF"/>
          </w:tcPr>
          <w:p w14:paraId="7B1A6A56" w14:textId="77777777" w:rsidR="00D54B4D" w:rsidRPr="007858B6" w:rsidRDefault="00D54B4D" w:rsidP="00C276E0">
            <w:pPr>
              <w:pStyle w:val="TableHeading"/>
              <w:rPr>
                <w:color w:val="FFFFFF" w:themeColor="background1"/>
              </w:rPr>
            </w:pPr>
            <w:r w:rsidRPr="007858B6">
              <w:rPr>
                <w:color w:val="FFFFFF" w:themeColor="background1"/>
              </w:rPr>
              <w:t xml:space="preserve">After third </w:t>
            </w:r>
            <w:r>
              <w:rPr>
                <w:color w:val="FFFFFF" w:themeColor="background1"/>
              </w:rPr>
              <w:t>OC</w:t>
            </w:r>
            <w:r w:rsidRPr="007858B6">
              <w:rPr>
                <w:color w:val="FFFFFF" w:themeColor="background1"/>
              </w:rPr>
              <w:t xml:space="preserve"> increment</w:t>
            </w:r>
          </w:p>
        </w:tc>
      </w:tr>
      <w:tr w:rsidR="00D54B4D" w14:paraId="37279368" w14:textId="77777777" w:rsidTr="00912690">
        <w:tc>
          <w:tcPr>
            <w:tcW w:w="1915" w:type="dxa"/>
          </w:tcPr>
          <w:p w14:paraId="0761B14F" w14:textId="77777777" w:rsidR="00D54B4D" w:rsidRDefault="00D54B4D" w:rsidP="00912690">
            <w:pPr>
              <w:spacing w:after="0"/>
            </w:pPr>
            <w:r>
              <w:t>Table 202</w:t>
            </w:r>
          </w:p>
        </w:tc>
        <w:tc>
          <w:tcPr>
            <w:tcW w:w="1915" w:type="dxa"/>
          </w:tcPr>
          <w:p w14:paraId="49DBCFC2" w14:textId="77777777" w:rsidR="00D54B4D" w:rsidRDefault="00D54B4D" w:rsidP="00912690">
            <w:pPr>
              <w:spacing w:after="0"/>
            </w:pPr>
            <w:r>
              <w:t>$1.9801</w:t>
            </w:r>
          </w:p>
        </w:tc>
        <w:tc>
          <w:tcPr>
            <w:tcW w:w="1915" w:type="dxa"/>
          </w:tcPr>
          <w:p w14:paraId="10BE17D3" w14:textId="77777777" w:rsidR="00D54B4D" w:rsidRDefault="00D54B4D" w:rsidP="00912690">
            <w:pPr>
              <w:spacing w:after="0"/>
            </w:pPr>
            <w:r>
              <w:t>$1.9999</w:t>
            </w:r>
          </w:p>
        </w:tc>
        <w:tc>
          <w:tcPr>
            <w:tcW w:w="1916" w:type="dxa"/>
          </w:tcPr>
          <w:p w14:paraId="67A4C507" w14:textId="77777777" w:rsidR="00D54B4D" w:rsidRDefault="00D54B4D" w:rsidP="00912690">
            <w:pPr>
              <w:spacing w:after="0"/>
            </w:pPr>
            <w:r>
              <w:t>$2.2999</w:t>
            </w:r>
          </w:p>
        </w:tc>
      </w:tr>
      <w:tr w:rsidR="00D54B4D" w14:paraId="349331BE" w14:textId="77777777" w:rsidTr="000C168F">
        <w:tc>
          <w:tcPr>
            <w:tcW w:w="1915" w:type="dxa"/>
            <w:shd w:val="clear" w:color="auto" w:fill="F2F2F2" w:themeFill="background1" w:themeFillShade="F2"/>
          </w:tcPr>
          <w:p w14:paraId="044ECBE9" w14:textId="77777777" w:rsidR="00D54B4D" w:rsidRDefault="00D54B4D" w:rsidP="00912690">
            <w:pPr>
              <w:spacing w:after="0"/>
            </w:pPr>
            <w:r>
              <w:t>Table 3</w:t>
            </w:r>
            <w:r w:rsidRPr="00983FC4">
              <w:t>02</w:t>
            </w:r>
          </w:p>
        </w:tc>
        <w:tc>
          <w:tcPr>
            <w:tcW w:w="1915" w:type="dxa"/>
            <w:shd w:val="clear" w:color="auto" w:fill="F2F2F2" w:themeFill="background1" w:themeFillShade="F2"/>
          </w:tcPr>
          <w:p w14:paraId="5DF155ED" w14:textId="6B3575F0" w:rsidR="00D54B4D" w:rsidRDefault="00D54B4D" w:rsidP="00D54B4D">
            <w:pPr>
              <w:spacing w:after="0"/>
            </w:pPr>
            <w:r>
              <w:t>$36.5995</w:t>
            </w:r>
          </w:p>
        </w:tc>
        <w:tc>
          <w:tcPr>
            <w:tcW w:w="1915" w:type="dxa"/>
            <w:shd w:val="clear" w:color="auto" w:fill="F2F2F2" w:themeFill="background1" w:themeFillShade="F2"/>
          </w:tcPr>
          <w:p w14:paraId="0E7A4C5A" w14:textId="52ADE1FB" w:rsidR="00D54B4D" w:rsidRDefault="00D54B4D" w:rsidP="00D54B4D">
            <w:pPr>
              <w:spacing w:after="0"/>
            </w:pPr>
            <w:r>
              <w:t>$36.9655</w:t>
            </w:r>
          </w:p>
        </w:tc>
        <w:tc>
          <w:tcPr>
            <w:tcW w:w="1916" w:type="dxa"/>
            <w:shd w:val="clear" w:color="auto" w:fill="F2F2F2" w:themeFill="background1" w:themeFillShade="F2"/>
          </w:tcPr>
          <w:p w14:paraId="04CFD7B7" w14:textId="10E81D3C" w:rsidR="00D54B4D" w:rsidRDefault="00D54B4D" w:rsidP="00D54B4D">
            <w:pPr>
              <w:spacing w:after="0"/>
            </w:pPr>
            <w:r>
              <w:t>$42.5103</w:t>
            </w:r>
          </w:p>
        </w:tc>
      </w:tr>
    </w:tbl>
    <w:p w14:paraId="6AB2C265" w14:textId="77777777" w:rsidR="00D54B4D" w:rsidRDefault="00D54B4D" w:rsidP="00D54B4D">
      <w:pPr>
        <w:pStyle w:val="ACMASpaceaftertable"/>
      </w:pPr>
    </w:p>
    <w:p w14:paraId="709A9A83" w14:textId="486869FA" w:rsidR="00ED25C6" w:rsidRDefault="00F56530" w:rsidP="00D54B4D">
      <w:r>
        <w:t xml:space="preserve">The relevant parts of these proposed changes in the </w:t>
      </w:r>
      <w:r w:rsidRPr="006659FD">
        <w:t xml:space="preserve">Transmitter Licence Tax Determination and </w:t>
      </w:r>
      <w:r>
        <w:t xml:space="preserve">the </w:t>
      </w:r>
      <w:r w:rsidRPr="006659FD">
        <w:t>Receiver Licence Tax Determination</w:t>
      </w:r>
      <w:r>
        <w:t xml:space="preserve"> will be replicated in the Apparatus Licence Fee Schedule</w:t>
      </w:r>
      <w:r w:rsidR="002673C1">
        <w:t>,</w:t>
      </w:r>
      <w:r w:rsidR="000805D2">
        <w:t xml:space="preserve"> which is normally updated in April each year</w:t>
      </w:r>
      <w:r w:rsidR="005413E0">
        <w:t xml:space="preserve"> (available at </w:t>
      </w:r>
      <w:hyperlink r:id="rId37" w:history="1">
        <w:r w:rsidR="00164E78" w:rsidRPr="00164E78">
          <w:rPr>
            <w:rStyle w:val="Hyperlink"/>
          </w:rPr>
          <w:t>http://acma.gov.au/theACMA/About/Making-payments/Apparatus-licence-fees/apparatus-licence-fees-acma</w:t>
        </w:r>
        <w:r w:rsidR="00164E78" w:rsidRPr="005E2AA6">
          <w:rPr>
            <w:rStyle w:val="Hyperlink"/>
          </w:rPr>
          <w:t>)</w:t>
        </w:r>
      </w:hyperlink>
      <w:r w:rsidR="005413E0">
        <w:t>.</w:t>
      </w:r>
    </w:p>
    <w:p w14:paraId="59A2FE5E" w14:textId="3C885103" w:rsidR="00164E78" w:rsidRPr="005E4B39" w:rsidRDefault="00164E78" w:rsidP="000C168F">
      <w:pPr>
        <w:pStyle w:val="Heading2"/>
      </w:pPr>
      <w:bookmarkStart w:id="20" w:name="_Toc466623839"/>
      <w:r w:rsidRPr="005E4B39">
        <w:t>Feedback</w:t>
      </w:r>
      <w:bookmarkEnd w:id="20"/>
    </w:p>
    <w:p w14:paraId="742A93D2" w14:textId="528C7784" w:rsidR="006A0290" w:rsidRDefault="009D161C" w:rsidP="006A0290">
      <w:r>
        <w:t xml:space="preserve">The ACMA seeks feedback from stakeholders on the proposed amendments to the </w:t>
      </w:r>
      <w:r w:rsidRPr="006659FD">
        <w:t xml:space="preserve">Transmitter Licence Tax Determination and </w:t>
      </w:r>
      <w:r>
        <w:t xml:space="preserve">the </w:t>
      </w:r>
      <w:r w:rsidRPr="006659FD">
        <w:t>Receiver Licence Tax Determination</w:t>
      </w:r>
      <w:r w:rsidR="00C249E6">
        <w:t>.</w:t>
      </w:r>
    </w:p>
    <w:p w14:paraId="2075C62B" w14:textId="77777777" w:rsidR="006A0290" w:rsidRPr="00DE0D89" w:rsidRDefault="006A0290" w:rsidP="000C168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Arial"/>
          <w:b/>
        </w:rPr>
      </w:pPr>
      <w:r w:rsidRPr="00DE0D89">
        <w:rPr>
          <w:rFonts w:cs="Arial"/>
          <w:b/>
        </w:rPr>
        <w:t xml:space="preserve">Consultation </w:t>
      </w:r>
      <w:r>
        <w:rPr>
          <w:rFonts w:cs="Arial"/>
          <w:b/>
        </w:rPr>
        <w:t>q</w:t>
      </w:r>
      <w:r w:rsidRPr="00DE0D89">
        <w:rPr>
          <w:rFonts w:cs="Arial"/>
          <w:b/>
        </w:rPr>
        <w:t>uestion</w:t>
      </w:r>
      <w:r>
        <w:rPr>
          <w:rFonts w:cs="Arial"/>
          <w:b/>
        </w:rPr>
        <w:t>s:</w:t>
      </w:r>
    </w:p>
    <w:p w14:paraId="4F952D55" w14:textId="511BE5BF" w:rsidR="006A0290" w:rsidRPr="002673C1" w:rsidRDefault="006A0290" w:rsidP="000C168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84"/>
        </w:tabs>
        <w:spacing w:after="120"/>
        <w:ind w:left="284" w:hanging="284"/>
        <w:rPr>
          <w:rFonts w:cs="Arial"/>
        </w:rPr>
      </w:pPr>
      <w:r>
        <w:rPr>
          <w:rFonts w:cs="Arial"/>
        </w:rPr>
        <w:t xml:space="preserve">5:  The ACMA seeks feedback on the proposed amendments to the </w:t>
      </w:r>
      <w:r w:rsidR="009D3122">
        <w:rPr>
          <w:rFonts w:cs="Arial"/>
        </w:rPr>
        <w:t>T</w:t>
      </w:r>
      <w:r>
        <w:rPr>
          <w:rFonts w:cs="Arial"/>
        </w:rPr>
        <w:t xml:space="preserve">ax </w:t>
      </w:r>
      <w:r w:rsidR="009D3122">
        <w:rPr>
          <w:rFonts w:cs="Arial"/>
        </w:rPr>
        <w:t>D</w:t>
      </w:r>
      <w:r>
        <w:rPr>
          <w:rFonts w:cs="Arial"/>
        </w:rPr>
        <w:t xml:space="preserve">eterminations outlined </w:t>
      </w:r>
      <w:r w:rsidR="00FF7828">
        <w:rPr>
          <w:rFonts w:cs="Arial"/>
        </w:rPr>
        <w:t>above.</w:t>
      </w:r>
    </w:p>
    <w:p w14:paraId="76268075" w14:textId="77777777" w:rsidR="00FF3C69" w:rsidRPr="006D46E5" w:rsidRDefault="00FF3C69" w:rsidP="00FF3C69">
      <w:pPr>
        <w:pStyle w:val="Heading1"/>
      </w:pPr>
      <w:bookmarkStart w:id="21" w:name="Invite"/>
      <w:bookmarkStart w:id="22" w:name="_Toc298924672"/>
      <w:bookmarkStart w:id="23" w:name="_Toc300909555"/>
      <w:bookmarkStart w:id="24" w:name="_Toc348105636"/>
      <w:bookmarkStart w:id="25" w:name="_Toc466623840"/>
      <w:bookmarkEnd w:id="21"/>
      <w:r w:rsidRPr="006D46E5">
        <w:t>Invitation to comment</w:t>
      </w:r>
      <w:bookmarkEnd w:id="22"/>
      <w:bookmarkEnd w:id="23"/>
      <w:bookmarkEnd w:id="24"/>
      <w:bookmarkEnd w:id="25"/>
    </w:p>
    <w:p w14:paraId="3E1B05DC" w14:textId="77777777" w:rsidR="00715722" w:rsidRPr="006D46E5" w:rsidRDefault="00715722" w:rsidP="00715722">
      <w:pPr>
        <w:pStyle w:val="Heading2"/>
      </w:pPr>
      <w:bookmarkStart w:id="26" w:name="_Toc298924673"/>
      <w:bookmarkStart w:id="27" w:name="_Toc300909556"/>
      <w:bookmarkStart w:id="28" w:name="_Toc348105637"/>
      <w:bookmarkStart w:id="29" w:name="_Toc433122131"/>
      <w:bookmarkStart w:id="30" w:name="_Toc466623841"/>
      <w:bookmarkStart w:id="31" w:name="_Toc300909557"/>
      <w:bookmarkStart w:id="32" w:name="_Toc348105638"/>
      <w:bookmarkStart w:id="33" w:name="_Toc274296357"/>
      <w:bookmarkStart w:id="34" w:name="_Toc298924674"/>
      <w:r w:rsidRPr="006D46E5">
        <w:t>Making a submission</w:t>
      </w:r>
      <w:bookmarkEnd w:id="26"/>
      <w:bookmarkEnd w:id="27"/>
      <w:bookmarkEnd w:id="28"/>
      <w:bookmarkEnd w:id="29"/>
      <w:bookmarkEnd w:id="30"/>
    </w:p>
    <w:p w14:paraId="2DBC9E6B" w14:textId="7F8F1E13" w:rsidR="00715722" w:rsidRPr="005E7226" w:rsidRDefault="00715722" w:rsidP="00715722">
      <w:pPr>
        <w:spacing w:after="80"/>
      </w:pPr>
      <w:r w:rsidRPr="005E7226">
        <w:t>The ACMA invites comments on the issues set out in this</w:t>
      </w:r>
      <w:r w:rsidR="008A03D4">
        <w:t xml:space="preserve"> consultation</w:t>
      </w:r>
      <w:r w:rsidRPr="005E7226">
        <w:t xml:space="preserve"> </w:t>
      </w:r>
      <w:r w:rsidR="002673C1">
        <w:t>p</w:t>
      </w:r>
      <w:r w:rsidRPr="005E7226">
        <w:t>aper or any other issues relevant to</w:t>
      </w:r>
      <w:r w:rsidR="00C917F4">
        <w:t xml:space="preserve"> the introduction of </w:t>
      </w:r>
      <w:r w:rsidR="00A834DE">
        <w:t>OC</w:t>
      </w:r>
      <w:r w:rsidR="00C917F4">
        <w:t xml:space="preserve"> principles in the HDAs of the 400 MHz band.</w:t>
      </w:r>
      <w:r w:rsidRPr="005E7226">
        <w:t xml:space="preserve"> </w:t>
      </w:r>
    </w:p>
    <w:p w14:paraId="38162C03" w14:textId="77777777" w:rsidR="00715722" w:rsidRDefault="00BE032C" w:rsidP="00715722">
      <w:pPr>
        <w:pStyle w:val="ListBullet"/>
      </w:pPr>
      <w:hyperlink r:id="rId38" w:history="1">
        <w:r w:rsidR="00715722" w:rsidRPr="00153FD5">
          <w:rPr>
            <w:rStyle w:val="Hyperlink"/>
            <w:b/>
            <w:bCs/>
          </w:rPr>
          <w:t>Online submissions</w:t>
        </w:r>
      </w:hyperlink>
      <w:r w:rsidR="00715722">
        <w:t>—submissions can be made via the comment function or by uploading a document. The online consultation page provides details.</w:t>
      </w:r>
    </w:p>
    <w:p w14:paraId="45A35152" w14:textId="77777777" w:rsidR="00715722" w:rsidRDefault="00715722" w:rsidP="007C0DEF">
      <w:pPr>
        <w:pStyle w:val="ListBullet"/>
      </w:pPr>
      <w:r w:rsidRPr="00D60C33">
        <w:rPr>
          <w:b/>
        </w:rPr>
        <w:t>Submissions by post</w:t>
      </w:r>
      <w:r>
        <w:t>—</w:t>
      </w:r>
      <w:r w:rsidRPr="00D60C33">
        <w:t>can</w:t>
      </w:r>
      <w:r>
        <w:t xml:space="preserve"> be sent to: </w:t>
      </w:r>
    </w:p>
    <w:p w14:paraId="257395A6" w14:textId="77777777" w:rsidR="009B2601" w:rsidRPr="00C917F4" w:rsidRDefault="009B2601" w:rsidP="007C0DEF">
      <w:pPr>
        <w:pStyle w:val="ACMANormalTabbed"/>
        <w:tabs>
          <w:tab w:val="num" w:pos="295"/>
        </w:tabs>
        <w:spacing w:after="0"/>
        <w:ind w:left="295"/>
      </w:pPr>
      <w:r w:rsidRPr="00C917F4">
        <w:t>Manager</w:t>
      </w:r>
    </w:p>
    <w:p w14:paraId="5E40D97E" w14:textId="77777777" w:rsidR="009B2601" w:rsidRPr="00C917F4" w:rsidRDefault="00C917F4" w:rsidP="009B2601">
      <w:pPr>
        <w:pStyle w:val="ACMANormalTabbed"/>
        <w:spacing w:after="0"/>
        <w:ind w:left="295"/>
      </w:pPr>
      <w:r>
        <w:t>Economics Advisory</w:t>
      </w:r>
      <w:r w:rsidR="009B2601" w:rsidRPr="00C917F4">
        <w:t xml:space="preserve"> Section</w:t>
      </w:r>
    </w:p>
    <w:p w14:paraId="78E4AEF5" w14:textId="77777777" w:rsidR="009B2601" w:rsidRPr="00C917F4" w:rsidRDefault="00C917F4" w:rsidP="009B2601">
      <w:pPr>
        <w:pStyle w:val="ACMANormalTabbed"/>
        <w:spacing w:after="0"/>
        <w:ind w:left="295"/>
      </w:pPr>
      <w:r>
        <w:t>Strategy and Research</w:t>
      </w:r>
      <w:r w:rsidR="009B2601" w:rsidRPr="00C917F4">
        <w:t xml:space="preserve"> Branch</w:t>
      </w:r>
    </w:p>
    <w:p w14:paraId="7818D454" w14:textId="77777777" w:rsidR="009B2601" w:rsidRPr="00C917F4" w:rsidRDefault="00715722" w:rsidP="009B2601">
      <w:pPr>
        <w:pStyle w:val="ACMANormalTabbed"/>
        <w:spacing w:after="0"/>
        <w:ind w:left="295"/>
      </w:pPr>
      <w:r w:rsidRPr="00C917F4">
        <w:t>Australian Comm</w:t>
      </w:r>
      <w:r w:rsidR="009B2601" w:rsidRPr="00C917F4">
        <w:t>unications and Media Authority</w:t>
      </w:r>
    </w:p>
    <w:p w14:paraId="6B9686EF" w14:textId="77777777" w:rsidR="009B2601" w:rsidRPr="00C917F4" w:rsidRDefault="009B2601" w:rsidP="009B2601">
      <w:pPr>
        <w:pStyle w:val="ACMANormalTabbed"/>
        <w:spacing w:after="0"/>
        <w:ind w:left="295"/>
      </w:pPr>
      <w:r w:rsidRPr="00C917F4">
        <w:t xml:space="preserve">PO Box </w:t>
      </w:r>
      <w:r w:rsidR="00C917F4">
        <w:t>13112</w:t>
      </w:r>
    </w:p>
    <w:p w14:paraId="08C378BC" w14:textId="77777777" w:rsidR="00715722" w:rsidRPr="005E7226" w:rsidRDefault="00C917F4" w:rsidP="009B2601">
      <w:pPr>
        <w:pStyle w:val="ACMANormalTabbed"/>
        <w:ind w:left="295"/>
      </w:pPr>
      <w:r>
        <w:t>Melbourne VIC 8010</w:t>
      </w:r>
    </w:p>
    <w:p w14:paraId="4DFB8C27" w14:textId="48C6BDA1" w:rsidR="00715722" w:rsidRPr="006D576C" w:rsidRDefault="00715722" w:rsidP="00715722">
      <w:pPr>
        <w:rPr>
          <w:rStyle w:val="Strong"/>
        </w:rPr>
      </w:pPr>
      <w:r w:rsidRPr="006D576C">
        <w:rPr>
          <w:rStyle w:val="Strong"/>
        </w:rPr>
        <w:t xml:space="preserve">The closing </w:t>
      </w:r>
      <w:r w:rsidR="00C917F4">
        <w:rPr>
          <w:rStyle w:val="Strong"/>
        </w:rPr>
        <w:t>time</w:t>
      </w:r>
      <w:r w:rsidRPr="006D576C">
        <w:rPr>
          <w:rStyle w:val="Strong"/>
        </w:rPr>
        <w:t xml:space="preserve"> f</w:t>
      </w:r>
      <w:r>
        <w:rPr>
          <w:rStyle w:val="Strong"/>
        </w:rPr>
        <w:t xml:space="preserve">or submissions is </w:t>
      </w:r>
      <w:r w:rsidR="002673C1" w:rsidRPr="00517D0F">
        <w:rPr>
          <w:rStyle w:val="Strong"/>
        </w:rPr>
        <w:t>COB</w:t>
      </w:r>
      <w:r w:rsidRPr="00517D0F">
        <w:rPr>
          <w:rStyle w:val="Strong"/>
        </w:rPr>
        <w:t xml:space="preserve">, </w:t>
      </w:r>
      <w:r w:rsidR="00D61C41">
        <w:rPr>
          <w:rStyle w:val="Strong"/>
        </w:rPr>
        <w:t>Thursday</w:t>
      </w:r>
      <w:r w:rsidR="00010E97" w:rsidRPr="00517D0F">
        <w:rPr>
          <w:rStyle w:val="Strong"/>
        </w:rPr>
        <w:t xml:space="preserve"> 2</w:t>
      </w:r>
      <w:r w:rsidR="00D61C41">
        <w:rPr>
          <w:rStyle w:val="Strong"/>
        </w:rPr>
        <w:t>2</w:t>
      </w:r>
      <w:r w:rsidR="00010E97" w:rsidRPr="00517D0F">
        <w:rPr>
          <w:rStyle w:val="Strong"/>
        </w:rPr>
        <w:t xml:space="preserve"> December</w:t>
      </w:r>
      <w:r w:rsidRPr="00517D0F">
        <w:rPr>
          <w:rStyle w:val="Strong"/>
        </w:rPr>
        <w:t xml:space="preserve"> 2016.</w:t>
      </w:r>
    </w:p>
    <w:p w14:paraId="463C956D" w14:textId="77777777" w:rsidR="00715722" w:rsidRPr="005E7226" w:rsidRDefault="00715722" w:rsidP="00715722">
      <w:r w:rsidRPr="005E7226">
        <w:t xml:space="preserve">Electronic submissions </w:t>
      </w:r>
      <w:r w:rsidRPr="00950724">
        <w:t>in Microsoft Word or Rich Text Format are</w:t>
      </w:r>
      <w:r w:rsidRPr="005E7226">
        <w:t xml:space="preserve"> preferred. </w:t>
      </w:r>
    </w:p>
    <w:p w14:paraId="1D3D4799" w14:textId="77777777" w:rsidR="00765DF8" w:rsidRDefault="00765DF8" w:rsidP="00765DF8">
      <w:pPr>
        <w:pStyle w:val="BodySubHeader"/>
      </w:pPr>
      <w:r>
        <w:t>Enquiries</w:t>
      </w:r>
    </w:p>
    <w:p w14:paraId="52F0799E" w14:textId="7839ECDE" w:rsidR="00765DF8" w:rsidRDefault="00765DF8" w:rsidP="00765DF8">
      <w:pPr>
        <w:pStyle w:val="ListBullet"/>
      </w:pPr>
      <w:r>
        <w:t>Consultation enquiries</w:t>
      </w:r>
      <w:r w:rsidRPr="005E7226">
        <w:t xml:space="preserve"> </w:t>
      </w:r>
      <w:r w:rsidR="00B01B60">
        <w:t>can be emailed to</w:t>
      </w:r>
      <w:r w:rsidRPr="005E7226">
        <w:t xml:space="preserve"> </w:t>
      </w:r>
      <w:hyperlink r:id="rId39" w:history="1">
        <w:r w:rsidR="00861985" w:rsidRPr="00950724">
          <w:rPr>
            <w:rStyle w:val="Hyperlink"/>
          </w:rPr>
          <w:t>spectrumpricing@acma.gov.au</w:t>
        </w:r>
      </w:hyperlink>
      <w:r>
        <w:t>.</w:t>
      </w:r>
    </w:p>
    <w:p w14:paraId="6E7695B6" w14:textId="77777777" w:rsidR="00765DF8" w:rsidRDefault="00765DF8" w:rsidP="00715722">
      <w:pPr>
        <w:pStyle w:val="ListBulletLast"/>
      </w:pPr>
      <w:r w:rsidRPr="005E7226">
        <w:t xml:space="preserve">Media enquiries </w:t>
      </w:r>
      <w:r w:rsidR="00B01B60">
        <w:t>can</w:t>
      </w:r>
      <w:r w:rsidRPr="005E7226">
        <w:t xml:space="preserve"> be directed to Emma Rossi on 02 9334 7719 or by email to </w:t>
      </w:r>
      <w:hyperlink r:id="rId40" w:history="1">
        <w:r w:rsidRPr="00250B07">
          <w:rPr>
            <w:rStyle w:val="Hyperlink"/>
          </w:rPr>
          <w:t>media@acma.gov.au</w:t>
        </w:r>
      </w:hyperlink>
      <w:r w:rsidRPr="005E7226">
        <w:t xml:space="preserve">. </w:t>
      </w:r>
    </w:p>
    <w:p w14:paraId="565A55DC" w14:textId="77777777" w:rsidR="00FF3C69" w:rsidRPr="005E7226" w:rsidRDefault="00FF3C69" w:rsidP="006D576C">
      <w:pPr>
        <w:pStyle w:val="BodySubHeader"/>
      </w:pPr>
      <w:r w:rsidRPr="005E7226">
        <w:t>Effective consultation</w:t>
      </w:r>
      <w:bookmarkEnd w:id="31"/>
      <w:bookmarkEnd w:id="32"/>
      <w:r w:rsidRPr="005E7226">
        <w:t xml:space="preserve"> </w:t>
      </w:r>
    </w:p>
    <w:p w14:paraId="629CC4BE" w14:textId="77777777" w:rsidR="00FF3C69" w:rsidRPr="005E7226" w:rsidRDefault="00FF3C69" w:rsidP="005E7226">
      <w:r w:rsidRPr="005E7226">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w:t>
      </w:r>
      <w:hyperlink r:id="rId41" w:history="1">
        <w:r w:rsidR="00F60F00" w:rsidRPr="00250B07">
          <w:rPr>
            <w:rStyle w:val="Hyperlink"/>
            <w:i/>
          </w:rPr>
          <w:t>Effective consultation—a guide to making a submission</w:t>
        </w:r>
      </w:hyperlink>
      <w:r w:rsidRPr="005E7226">
        <w:t>. This guide provides information about the ACMA’s formal written public consultation processes and practical guidance on how to make a submission.</w:t>
      </w:r>
    </w:p>
    <w:p w14:paraId="33349579" w14:textId="77777777" w:rsidR="00FF3C69" w:rsidRPr="005E7226" w:rsidRDefault="00FF3C69" w:rsidP="006D576C">
      <w:pPr>
        <w:pStyle w:val="BodySubHeader"/>
      </w:pPr>
      <w:bookmarkStart w:id="35" w:name="_Toc300909558"/>
      <w:bookmarkStart w:id="36" w:name="_Toc348105639"/>
      <w:r w:rsidRPr="005E7226">
        <w:t>Publication of submissions</w:t>
      </w:r>
      <w:bookmarkEnd w:id="33"/>
      <w:bookmarkEnd w:id="34"/>
      <w:bookmarkEnd w:id="35"/>
      <w:bookmarkEnd w:id="36"/>
    </w:p>
    <w:p w14:paraId="035724BE" w14:textId="77777777" w:rsidR="00FF3C69" w:rsidRPr="005E7226" w:rsidRDefault="00FF3C69" w:rsidP="005E7226">
      <w:r w:rsidRPr="005E7226">
        <w:t>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w:t>
      </w:r>
    </w:p>
    <w:p w14:paraId="41294213" w14:textId="77777777" w:rsidR="00FF3C69" w:rsidRPr="005E7226" w:rsidRDefault="00FF3C69" w:rsidP="005E7226">
      <w:r w:rsidRPr="005E7226">
        <w:t xml:space="preserve">The ACMA will consider each confidentiality claim on a case-by-case basis. If the ACMA accepts a claim, it will not publish the confidential information unless authorised or required by law to do so. </w:t>
      </w:r>
    </w:p>
    <w:p w14:paraId="66D89D74" w14:textId="77777777" w:rsidR="00FF3C69" w:rsidRPr="005E7226" w:rsidRDefault="00FF3C69" w:rsidP="006D576C">
      <w:pPr>
        <w:pStyle w:val="BodySubHeader"/>
      </w:pPr>
      <w:bookmarkStart w:id="37" w:name="_Toc265246234"/>
      <w:bookmarkStart w:id="38" w:name="_Toc300909559"/>
      <w:bookmarkStart w:id="39" w:name="_Toc348105640"/>
      <w:r w:rsidRPr="005E7226">
        <w:t>Release of submissions where authorised or required by law</w:t>
      </w:r>
      <w:bookmarkEnd w:id="37"/>
      <w:bookmarkEnd w:id="38"/>
      <w:bookmarkEnd w:id="39"/>
    </w:p>
    <w:p w14:paraId="1F1D6115" w14:textId="77777777" w:rsidR="00FF3C69" w:rsidRPr="005E7226" w:rsidRDefault="00FF3C69" w:rsidP="005E7226">
      <w:r w:rsidRPr="005E7226">
        <w:t xml:space="preserve">Any submissions provided to the ACMA may be released under the </w:t>
      </w:r>
      <w:hyperlink r:id="rId42" w:history="1">
        <w:r w:rsidRPr="00DF56AF">
          <w:rPr>
            <w:rStyle w:val="Hyperlink"/>
            <w:i/>
          </w:rPr>
          <w:t>Freedom of Information Act 1982</w:t>
        </w:r>
      </w:hyperlink>
      <w:r w:rsidRPr="005E7226">
        <w:t xml:space="preserve"> (unless an exemption applies) or shared with </w:t>
      </w:r>
      <w:r w:rsidR="00B6003C">
        <w:t xml:space="preserve">various </w:t>
      </w:r>
      <w:r w:rsidRPr="005E7226">
        <w:t xml:space="preserve">other </w:t>
      </w:r>
      <w:r w:rsidR="00AF6E17">
        <w:t>g</w:t>
      </w:r>
      <w:r w:rsidRPr="005E7226">
        <w:t xml:space="preserve">overnment agencies </w:t>
      </w:r>
      <w:r w:rsidR="00B6003C">
        <w:t xml:space="preserve">and certain other parties </w:t>
      </w:r>
      <w:r w:rsidRPr="005E7226">
        <w:t xml:space="preserve">under Part 7A of the </w:t>
      </w:r>
      <w:hyperlink r:id="rId43" w:history="1">
        <w:r w:rsidRPr="00DF56AF">
          <w:rPr>
            <w:rStyle w:val="Hyperlink"/>
            <w:i/>
          </w:rPr>
          <w:t>Australian Communications and Media Authority Act 2005</w:t>
        </w:r>
      </w:hyperlink>
      <w:r w:rsidRPr="005E7226">
        <w:t xml:space="preserve">. The ACMA may also be required to release submissions for other reasons including for the purpose of parliamentary processes or where otherwise required by law (for example, under a court subpoena). While the ACMA seeks to consult submitters of confidential information before that information is provided to another party, the ACMA cannot guarantee that confidential information will not be released through these or other legal means. </w:t>
      </w:r>
    </w:p>
    <w:p w14:paraId="4522125C" w14:textId="77777777" w:rsidR="00A4193E" w:rsidRPr="0041233F" w:rsidRDefault="00A4193E" w:rsidP="00FD0107">
      <w:pPr>
        <w:pStyle w:val="BodySubHeader"/>
        <w:keepNext/>
      </w:pPr>
      <w:r w:rsidRPr="0041233F">
        <w:t>Privacy</w:t>
      </w:r>
    </w:p>
    <w:p w14:paraId="472721F2" w14:textId="77777777" w:rsidR="00A4193E" w:rsidRDefault="00A4193E" w:rsidP="00FD0107">
      <w:pPr>
        <w:keepLines/>
      </w:pPr>
      <w:r w:rsidRPr="0041233F">
        <w:t xml:space="preserve">The </w:t>
      </w:r>
      <w:hyperlink r:id="rId44" w:history="1">
        <w:r w:rsidRPr="00E7431C">
          <w:rPr>
            <w:rStyle w:val="Hyperlink"/>
            <w:rFonts w:cs="Arial"/>
            <w:i/>
            <w:szCs w:val="20"/>
          </w:rPr>
          <w:t>Privacy Act 1988</w:t>
        </w:r>
      </w:hyperlink>
      <w:r w:rsidRPr="0041233F">
        <w:t xml:space="preserve"> imposes obligations on the ACMA in relation to the collection, security, quality, access, use and disclosure of personal information. These obligations are detailed in the </w:t>
      </w:r>
      <w:hyperlink r:id="rId45" w:history="1">
        <w:r w:rsidRPr="004B31A4">
          <w:rPr>
            <w:rStyle w:val="Hyperlink"/>
            <w:rFonts w:cs="Arial"/>
            <w:i/>
            <w:szCs w:val="20"/>
          </w:rPr>
          <w:t>Australian Privacy Principles</w:t>
        </w:r>
      </w:hyperlink>
      <w:r w:rsidRPr="0041233F">
        <w:t>.</w:t>
      </w:r>
    </w:p>
    <w:p w14:paraId="434E288A" w14:textId="77777777" w:rsidR="00A4193E" w:rsidRPr="001A44EC" w:rsidRDefault="00A4193E" w:rsidP="001A44EC">
      <w:r w:rsidRPr="001A44EC">
        <w:t xml:space="preserve">The ACMA may only collect personal information if it is reasonably necessary for, or directly related to, one or more of its functions or activities. </w:t>
      </w:r>
    </w:p>
    <w:p w14:paraId="287617FE" w14:textId="77777777" w:rsidR="00A4193E" w:rsidRPr="001A44EC" w:rsidRDefault="00A4193E" w:rsidP="00E302D0">
      <w:pPr>
        <w:spacing w:after="80"/>
      </w:pPr>
      <w:r w:rsidRPr="001A44EC">
        <w:t>The purposes for which personal information is being collected (such as the names and contact details of submitters) are to:</w:t>
      </w:r>
    </w:p>
    <w:p w14:paraId="5583274A" w14:textId="77777777" w:rsidR="00A4193E" w:rsidRPr="005808C5" w:rsidRDefault="00A4193E" w:rsidP="00A4193E">
      <w:pPr>
        <w:pStyle w:val="ListBullet"/>
      </w:pPr>
      <w:r w:rsidRPr="005808C5">
        <w:t xml:space="preserve">contribute to the transparency of the consultation process by clarifying, where appropriate, whose views are represented by a submission </w:t>
      </w:r>
    </w:p>
    <w:p w14:paraId="23872EAE" w14:textId="77777777" w:rsidR="00A4193E" w:rsidRDefault="00A4193E" w:rsidP="001A44EC">
      <w:pPr>
        <w:pStyle w:val="ListBulletLast"/>
      </w:pPr>
      <w:r>
        <w:t>enable</w:t>
      </w:r>
      <w:r w:rsidRPr="0041233F">
        <w:t xml:space="preserve"> the ACMA to contact submitters where follow</w:t>
      </w:r>
      <w:r>
        <w:t>-</w:t>
      </w:r>
      <w:r w:rsidRPr="0041233F">
        <w:t>up is required</w:t>
      </w:r>
      <w:r>
        <w:t xml:space="preserve"> </w:t>
      </w:r>
      <w:r w:rsidRPr="005808C5">
        <w:t>or to notify them of related matters (except where submitters indicate they do not wish to be notified of such matters).</w:t>
      </w:r>
    </w:p>
    <w:p w14:paraId="1416992A" w14:textId="77777777" w:rsidR="00A4193E" w:rsidRDefault="00A4193E" w:rsidP="00A4193E">
      <w:r w:rsidRPr="005808C5">
        <w:t>The ACMA will not use the personal information collected for any other purpose, unless the submitter has provided their consent or the ACMA is otherwise permitted to do so under the Privacy Act.</w:t>
      </w:r>
      <w:r w:rsidRPr="00977564">
        <w:t xml:space="preserve"> </w:t>
      </w:r>
    </w:p>
    <w:p w14:paraId="41FE8C77" w14:textId="77777777" w:rsidR="00A4193E" w:rsidRPr="005808C5" w:rsidRDefault="00A4193E" w:rsidP="001A44EC">
      <w:r w:rsidRPr="0041233F">
        <w:t xml:space="preserve">Submissions in response to this paper are voluntary. </w:t>
      </w:r>
      <w:r>
        <w:t xml:space="preserve">As mentioned above, </w:t>
      </w:r>
      <w:r w:rsidRPr="0041233F">
        <w:t xml:space="preserve">the ACMA generally publishes </w:t>
      </w:r>
      <w:r>
        <w:t xml:space="preserve">all </w:t>
      </w:r>
      <w:r w:rsidRPr="0041233F">
        <w:t>submissions</w:t>
      </w:r>
      <w:r>
        <w:t xml:space="preserve"> </w:t>
      </w:r>
      <w:r w:rsidRPr="005808C5">
        <w:t>it</w:t>
      </w:r>
      <w:r w:rsidRPr="0041233F">
        <w:t xml:space="preserve"> receive</w:t>
      </w:r>
      <w:r w:rsidRPr="005808C5">
        <w:t>s</w:t>
      </w:r>
      <w:r>
        <w:t xml:space="preserve">, </w:t>
      </w:r>
      <w:r w:rsidRPr="00FB2D58">
        <w:t>including any personal information in the submissions. If a submitter has made a con</w:t>
      </w:r>
      <w:r w:rsidRPr="005808C5">
        <w:t xml:space="preserve">fidentiality claim over personal </w:t>
      </w:r>
      <w:r w:rsidRPr="001A44EC">
        <w:t>information</w:t>
      </w:r>
      <w:r w:rsidRPr="005808C5">
        <w:t xml:space="preserve"> </w:t>
      </w:r>
      <w:r w:rsidR="00AF6E17">
        <w:t>that</w:t>
      </w:r>
      <w:r w:rsidRPr="005808C5">
        <w:t xml:space="preserve"> the ACMA has accepted, the submission will be published without</w:t>
      </w:r>
      <w:r>
        <w:t xml:space="preserve"> that information</w:t>
      </w:r>
      <w:r w:rsidRPr="005808C5">
        <w:t>.</w:t>
      </w:r>
      <w:r>
        <w:t xml:space="preserve"> </w:t>
      </w:r>
      <w:r w:rsidRPr="005808C5">
        <w:t>The ACMA will not release th</w:t>
      </w:r>
      <w:r>
        <w:t>e</w:t>
      </w:r>
      <w:r w:rsidRPr="005808C5">
        <w:t xml:space="preserve"> </w:t>
      </w:r>
      <w:r>
        <w:t xml:space="preserve">personal </w:t>
      </w:r>
      <w:r w:rsidRPr="005808C5">
        <w:t xml:space="preserve">information unless authorised or required by law to do so. </w:t>
      </w:r>
    </w:p>
    <w:p w14:paraId="5D5F9183" w14:textId="77777777" w:rsidR="00A4193E" w:rsidRPr="00F97DD3" w:rsidRDefault="00A4193E" w:rsidP="001A44EC">
      <w:r>
        <w:t>I</w:t>
      </w:r>
      <w:r w:rsidRPr="005808C5">
        <w:t xml:space="preserve">f a submitter wishes to make a submission anonymously or use a pseudonym, they </w:t>
      </w:r>
      <w:r>
        <w:t>are asked</w:t>
      </w:r>
      <w:r w:rsidRPr="005808C5">
        <w:t xml:space="preserve"> to contact the ACMA to see whether it is practicable to do so in light of the subject matter of the </w:t>
      </w:r>
      <w:r w:rsidRPr="001A44EC">
        <w:t>consultation</w:t>
      </w:r>
      <w:r>
        <w:t>. If it is practicable, the ACMA will notify the submitter of any procedures that need to be followed and whether there are any other consequences of making a submission in that way</w:t>
      </w:r>
      <w:r w:rsidRPr="005808C5">
        <w:t>.</w:t>
      </w:r>
      <w:r w:rsidR="00537604" w:rsidRPr="00537604">
        <w:t xml:space="preserve"> </w:t>
      </w:r>
    </w:p>
    <w:p w14:paraId="365E3817" w14:textId="77777777" w:rsidR="00A4193E" w:rsidRPr="0041233F" w:rsidRDefault="00A4193E" w:rsidP="001A44EC">
      <w:r w:rsidRPr="005F7354">
        <w:t xml:space="preserve">Further information on the Privacy Act and the ACMA’s privacy policy is available at </w:t>
      </w:r>
      <w:hyperlink r:id="rId46" w:tooltip="ACMA Privacy Policy" w:history="1">
        <w:r w:rsidR="00AF6E17">
          <w:rPr>
            <w:rStyle w:val="Hyperlink"/>
          </w:rPr>
          <w:t>www.acma.gov.au/privacypolicy</w:t>
        </w:r>
      </w:hyperlink>
      <w:r w:rsidRPr="005F7354">
        <w:t xml:space="preserve">. The privacy policy contains details about how an individual may access personal information about them that is held by the ACMA, and seek the correction of such information. It also </w:t>
      </w:r>
      <w:r w:rsidRPr="001A44EC">
        <w:t>explains</w:t>
      </w:r>
      <w:r w:rsidRPr="005F7354">
        <w:t xml:space="preserve"> how an individual may complain about a breach of the Privacy Act and how the ACMA will deal with such a complaint.</w:t>
      </w:r>
      <w:r>
        <w:t xml:space="preserve"> </w:t>
      </w:r>
    </w:p>
    <w:sectPr w:rsidR="00A4193E" w:rsidRPr="0041233F" w:rsidSect="00C77380">
      <w:headerReference w:type="even" r:id="rId47"/>
      <w:headerReference w:type="default" r:id="rId48"/>
      <w:footerReference w:type="even" r:id="rId49"/>
      <w:footerReference w:type="default" r:id="rId50"/>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B1BD" w14:textId="77777777" w:rsidR="008E7414" w:rsidRDefault="008E7414">
      <w:r>
        <w:separator/>
      </w:r>
    </w:p>
  </w:endnote>
  <w:endnote w:type="continuationSeparator" w:id="0">
    <w:p w14:paraId="47451F97" w14:textId="77777777" w:rsidR="008E7414" w:rsidRDefault="008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8469" w14:textId="77777777" w:rsidR="00F87E90" w:rsidRDefault="00F87E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542" w14:textId="77777777" w:rsidR="00C62E80" w:rsidRPr="00622A3B" w:rsidRDefault="00C62E8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E0E94">
      <w:rPr>
        <w:noProof/>
        <w:color w:val="505050"/>
      </w:rPr>
      <w:t>13</w:t>
    </w:r>
    <w:r w:rsidRPr="00575AC5">
      <w:rPr>
        <w:color w:val="505050"/>
      </w:rPr>
      <w:fldChar w:fldCharType="end"/>
    </w:r>
  </w:p>
  <w:p w14:paraId="52439A3F" w14:textId="77777777" w:rsidR="00C62E80" w:rsidRPr="00A5474E" w:rsidRDefault="00C62E80"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3F3A" w14:textId="77777777" w:rsidR="00C62E80" w:rsidRPr="00A5474E" w:rsidRDefault="00C62E80" w:rsidP="00A5474E">
    <w:pPr>
      <w:pStyle w:val="Footer"/>
    </w:pPr>
    <w:r>
      <w:rPr>
        <w:noProof/>
      </w:rPr>
      <w:drawing>
        <wp:inline distT="0" distB="0" distL="0" distR="0" wp14:anchorId="71478733" wp14:editId="601A913B">
          <wp:extent cx="3483864" cy="249613"/>
          <wp:effectExtent l="0" t="0" r="0" b="0"/>
          <wp:docPr id="10" name="Picture 10"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F288" w14:textId="77777777" w:rsidR="00F87E90" w:rsidRDefault="00F87E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7B8C" w14:textId="77777777" w:rsidR="00C62E80" w:rsidRDefault="00C62E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3F19" w14:textId="77777777" w:rsidR="00C62E80" w:rsidRDefault="00C62E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2677" w14:textId="77777777" w:rsidR="00C62E80" w:rsidRPr="00622A3B" w:rsidRDefault="00C62E8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517D0F">
      <w:rPr>
        <w:noProof/>
        <w:color w:val="505050"/>
      </w:rPr>
      <w:t>iv</w:t>
    </w:r>
    <w:r w:rsidRPr="002E4DDC">
      <w:rPr>
        <w:color w:val="505050"/>
      </w:rPr>
      <w:fldChar w:fldCharType="end"/>
    </w:r>
  </w:p>
  <w:p w14:paraId="45DD7EF1" w14:textId="77777777" w:rsidR="00C62E80" w:rsidRPr="00A5474E" w:rsidRDefault="00C62E8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06146" w14:textId="77777777" w:rsidR="00C62E80" w:rsidRPr="00622A3B" w:rsidRDefault="00C62E8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D809204" w14:textId="77777777" w:rsidR="00C62E80" w:rsidRPr="00A5474E" w:rsidRDefault="00C62E80"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7F54" w14:textId="77777777" w:rsidR="00C62E80" w:rsidRPr="00622A3B" w:rsidRDefault="00C62E8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E0E94">
      <w:rPr>
        <w:noProof/>
        <w:color w:val="505050"/>
      </w:rPr>
      <w:t>iii</w:t>
    </w:r>
    <w:r w:rsidRPr="002E4DDC">
      <w:rPr>
        <w:color w:val="505050"/>
      </w:rPr>
      <w:fldChar w:fldCharType="end"/>
    </w:r>
  </w:p>
  <w:p w14:paraId="4B73A2DD" w14:textId="77777777" w:rsidR="00C62E80" w:rsidRPr="00A5474E" w:rsidRDefault="00C62E80"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BDA" w14:textId="77777777" w:rsidR="00C62E80" w:rsidRPr="00622A3B" w:rsidRDefault="00C62E8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E0E94">
      <w:rPr>
        <w:noProof/>
      </w:rPr>
      <w:t>14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39DFFBD" w14:textId="77777777" w:rsidR="00C62E80" w:rsidRPr="00A5474E" w:rsidRDefault="00C62E80"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B1BE" w14:textId="77777777" w:rsidR="008E7414" w:rsidRDefault="008E7414">
      <w:r>
        <w:separator/>
      </w:r>
    </w:p>
  </w:footnote>
  <w:footnote w:type="continuationSeparator" w:id="0">
    <w:p w14:paraId="36F38F8E" w14:textId="77777777" w:rsidR="008E7414" w:rsidRDefault="008E7414">
      <w:r>
        <w:continuationSeparator/>
      </w:r>
    </w:p>
  </w:footnote>
  <w:footnote w:id="1">
    <w:p w14:paraId="7CF40840" w14:textId="5AAF61AC" w:rsidR="00C62E80" w:rsidRDefault="00C62E80" w:rsidP="00C276E0">
      <w:pPr>
        <w:pStyle w:val="FootnoteText"/>
        <w:spacing w:after="0"/>
      </w:pPr>
      <w:r>
        <w:rPr>
          <w:rStyle w:val="FootnoteReference"/>
        </w:rPr>
        <w:footnoteRef/>
      </w:r>
      <w:r>
        <w:t xml:space="preserve"> The detail of the geographic area covered by each of the three high density areas is provided in the Apparatus Licence Fee Schedule, April 2016, pages 43-45, available at </w:t>
      </w:r>
      <w:hyperlink r:id="rId1" w:history="1">
        <w:r w:rsidRPr="00616E3E">
          <w:rPr>
            <w:rStyle w:val="Hyperlink"/>
          </w:rPr>
          <w:t>http://acma.gov.au/theACMA/About/Making-payments/Apparatus-licence-fees/apparatus-licence-fees-acma</w:t>
        </w:r>
      </w:hyperlink>
      <w:r w:rsidRPr="003C5897">
        <w:rPr>
          <w:rStyle w:val="Hyperlink"/>
          <w:color w:val="auto"/>
          <w:u w:val="none"/>
        </w:rPr>
        <w:t>.</w:t>
      </w:r>
    </w:p>
  </w:footnote>
  <w:footnote w:id="2">
    <w:p w14:paraId="386DAD43" w14:textId="4C2A36C7" w:rsidR="00C62E80" w:rsidRDefault="00C62E80" w:rsidP="00C276E0">
      <w:pPr>
        <w:pStyle w:val="FootnoteText"/>
        <w:spacing w:after="0"/>
      </w:pPr>
      <w:r>
        <w:rPr>
          <w:rStyle w:val="FootnoteReference"/>
        </w:rPr>
        <w:footnoteRef/>
      </w:r>
      <w:r>
        <w:t xml:space="preserve"> </w:t>
      </w:r>
      <w:r w:rsidRPr="00BD7324">
        <w:t>Narrow</w:t>
      </w:r>
      <w:r>
        <w:t>-</w:t>
      </w:r>
      <w:r w:rsidRPr="00BD7324">
        <w:t xml:space="preserve">banding </w:t>
      </w:r>
      <w:r>
        <w:t>was a requirement implemented by the ACMA as part of its broader response to congestion in this band and effectively mandates</w:t>
      </w:r>
      <w:r w:rsidRPr="00BD7324">
        <w:t xml:space="preserve"> licensees to migrate from systems that operate at 25 kHz to 12.5 kHz or less. Such narrow</w:t>
      </w:r>
      <w:r>
        <w:t>-</w:t>
      </w:r>
      <w:r w:rsidRPr="00BD7324">
        <w:t>banding improves the efficiency of spectrum use.</w:t>
      </w:r>
      <w:r>
        <w:t xml:space="preserve"> </w:t>
      </w:r>
      <w:r>
        <w:rPr>
          <w:rFonts w:cs="Arial"/>
        </w:rPr>
        <w:t>In general, narrow-banding effectively increases supply by enabling two (or more) licences where only one was possible previously.</w:t>
      </w:r>
      <w:r>
        <w:t xml:space="preserve">  </w:t>
      </w:r>
    </w:p>
  </w:footnote>
  <w:footnote w:id="3">
    <w:p w14:paraId="4E118A3A" w14:textId="1F97186F" w:rsidR="00C62E80" w:rsidRDefault="00C62E80" w:rsidP="00C276E0">
      <w:pPr>
        <w:pStyle w:val="FootnoteText"/>
        <w:spacing w:after="0"/>
      </w:pPr>
      <w:r>
        <w:rPr>
          <w:rStyle w:val="FootnoteReference"/>
        </w:rPr>
        <w:footnoteRef/>
      </w:r>
      <w:r>
        <w:t xml:space="preserve"> As a consequence of the regulatory reforms or for other business reasons.</w:t>
      </w:r>
    </w:p>
  </w:footnote>
  <w:footnote w:id="4">
    <w:p w14:paraId="70183C32" w14:textId="5D5C592E" w:rsidR="00C62E80" w:rsidRPr="00276B8A" w:rsidRDefault="00C62E80" w:rsidP="00F53C9C">
      <w:pPr>
        <w:pStyle w:val="TableBody"/>
      </w:pPr>
      <w:r w:rsidRPr="006C76EB">
        <w:rPr>
          <w:rStyle w:val="FootnoteReference"/>
        </w:rPr>
        <w:footnoteRef/>
      </w:r>
      <w:r w:rsidRPr="006C76EB">
        <w:t xml:space="preserve"> </w:t>
      </w:r>
      <w:bookmarkStart w:id="3" w:name="OLE_LINK1"/>
      <w:bookmarkStart w:id="4" w:name="OLE_LINK2"/>
      <w:r>
        <w:rPr>
          <w:sz w:val="16"/>
          <w:szCs w:val="16"/>
        </w:rPr>
        <w:t xml:space="preserve">ACMA, </w:t>
      </w:r>
      <w:r w:rsidRPr="00DF3C8D">
        <w:rPr>
          <w:i/>
          <w:sz w:val="16"/>
          <w:szCs w:val="16"/>
        </w:rPr>
        <w:t>Adoption of opportunity cost pricing for apparatus licences in the 400 MHz band</w:t>
      </w:r>
      <w:bookmarkEnd w:id="3"/>
      <w:bookmarkEnd w:id="4"/>
      <w:r w:rsidRPr="00DF3C8D">
        <w:rPr>
          <w:i/>
          <w:sz w:val="16"/>
          <w:szCs w:val="16"/>
        </w:rPr>
        <w:t xml:space="preserve">, </w:t>
      </w:r>
      <w:r w:rsidRPr="00C276E0">
        <w:rPr>
          <w:sz w:val="16"/>
          <w:szCs w:val="16"/>
        </w:rPr>
        <w:t>discussion paper</w:t>
      </w:r>
      <w:r w:rsidRPr="00F53C9C">
        <w:rPr>
          <w:sz w:val="16"/>
          <w:szCs w:val="16"/>
        </w:rPr>
        <w:t>,</w:t>
      </w:r>
      <w:r>
        <w:rPr>
          <w:sz w:val="16"/>
          <w:szCs w:val="16"/>
        </w:rPr>
        <w:t xml:space="preserve"> April 2012.</w:t>
      </w:r>
      <w:r w:rsidRPr="00276B8A">
        <w:rPr>
          <w:sz w:val="16"/>
          <w:szCs w:val="16"/>
        </w:rPr>
        <w:t xml:space="preserve"> </w:t>
      </w:r>
    </w:p>
  </w:footnote>
  <w:footnote w:id="5">
    <w:p w14:paraId="6CCA3FE0" w14:textId="5213A6C4" w:rsidR="00C62E80" w:rsidRDefault="00C62E80" w:rsidP="00C276E0">
      <w:pPr>
        <w:pStyle w:val="FootnoteText"/>
        <w:spacing w:after="0"/>
      </w:pPr>
      <w:r>
        <w:rPr>
          <w:rStyle w:val="FootnoteReference"/>
        </w:rPr>
        <w:footnoteRef/>
      </w:r>
      <w:r>
        <w:t xml:space="preserve"> The non-government sector has effectively completed narrow-banding, which effectively results in a flattening of the constructed indicative supply curve in Figure </w:t>
      </w:r>
      <w:r w:rsidR="00A77AE0">
        <w:t>2</w:t>
      </w:r>
      <w:r>
        <w:t>.</w:t>
      </w:r>
    </w:p>
  </w:footnote>
  <w:footnote w:id="6">
    <w:p w14:paraId="54418CCF" w14:textId="77777777" w:rsidR="00C62E80" w:rsidRDefault="00C62E80" w:rsidP="00C276E0">
      <w:pPr>
        <w:pStyle w:val="FootnoteText"/>
        <w:spacing w:after="0"/>
      </w:pPr>
      <w:r>
        <w:rPr>
          <w:rStyle w:val="FootnoteReference"/>
        </w:rPr>
        <w:footnoteRef/>
      </w:r>
      <w:r>
        <w:t xml:space="preserve"> Section 3 of the </w:t>
      </w:r>
      <w:r w:rsidRPr="006402EF">
        <w:rPr>
          <w:i/>
        </w:rPr>
        <w:t>Radiocommunications Act 1992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A02E" w14:textId="77777777" w:rsidR="00F87E90" w:rsidRDefault="00F87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D01A" w14:textId="77777777" w:rsidR="00C62E80" w:rsidRPr="00A5474E" w:rsidRDefault="00C62E80" w:rsidP="00A5474E">
    <w:pPr>
      <w:pStyle w:val="Header"/>
    </w:pPr>
    <w:r>
      <w:rPr>
        <w:noProof/>
      </w:rPr>
      <w:drawing>
        <wp:inline distT="0" distB="0" distL="0" distR="0" wp14:anchorId="2EA68151" wp14:editId="44BBBCD1">
          <wp:extent cx="6388100" cy="520700"/>
          <wp:effectExtent l="0" t="0" r="0" b="12700"/>
          <wp:docPr id="9" name="Picture 9"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FE20" w14:textId="77777777" w:rsidR="00C62E80" w:rsidRPr="00A5474E" w:rsidRDefault="00C62E80"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0725" w14:textId="77777777" w:rsidR="00C62E80" w:rsidRDefault="00C62E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812B" w14:textId="77777777" w:rsidR="00C62E80" w:rsidRDefault="00C62E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C62E80" w14:paraId="53A1932F" w14:textId="77777777" w:rsidTr="003F3883">
      <w:trPr>
        <w:trHeight w:hRule="exact" w:val="988"/>
      </w:trPr>
      <w:tc>
        <w:tcPr>
          <w:tcW w:w="7678" w:type="dxa"/>
          <w:shd w:val="clear" w:color="auto" w:fill="auto"/>
        </w:tcPr>
        <w:p w14:paraId="7724A381" w14:textId="77777777" w:rsidR="00C62E80" w:rsidRDefault="00C62E80" w:rsidP="00971914">
          <w:pPr>
            <w:pStyle w:val="Header"/>
          </w:pPr>
        </w:p>
      </w:tc>
    </w:tr>
    <w:tr w:rsidR="00C62E80" w14:paraId="05EA1E94" w14:textId="77777777" w:rsidTr="003F3883">
      <w:tc>
        <w:tcPr>
          <w:tcW w:w="7678" w:type="dxa"/>
          <w:shd w:val="clear" w:color="auto" w:fill="auto"/>
        </w:tcPr>
        <w:p w14:paraId="78984DB5" w14:textId="77777777" w:rsidR="00C62E80" w:rsidRDefault="00C62E80" w:rsidP="00971914">
          <w:pPr>
            <w:pStyle w:val="GridTable31"/>
          </w:pPr>
          <w:r>
            <w:t xml:space="preserve">Contents </w:t>
          </w:r>
          <w:r w:rsidRPr="00915B1C">
            <w:rPr>
              <w:b w:val="0"/>
              <w:spacing w:val="0"/>
              <w:sz w:val="28"/>
              <w:szCs w:val="28"/>
            </w:rPr>
            <w:t>(Continued)</w:t>
          </w:r>
        </w:p>
      </w:tc>
    </w:tr>
    <w:tr w:rsidR="00C62E80" w14:paraId="0580CBC8" w14:textId="77777777" w:rsidTr="003F3883">
      <w:trPr>
        <w:trHeight w:val="1220"/>
      </w:trPr>
      <w:tc>
        <w:tcPr>
          <w:tcW w:w="7678" w:type="dxa"/>
          <w:shd w:val="clear" w:color="auto" w:fill="auto"/>
        </w:tcPr>
        <w:p w14:paraId="01A3D721" w14:textId="77777777" w:rsidR="00C62E80" w:rsidRDefault="00C62E80" w:rsidP="00971914"/>
      </w:tc>
    </w:tr>
  </w:tbl>
  <w:p w14:paraId="39167360" w14:textId="77777777" w:rsidR="00C62E80" w:rsidRDefault="00C62E80"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C62E80" w14:paraId="5F755720" w14:textId="77777777" w:rsidTr="003F3883">
      <w:trPr>
        <w:trHeight w:hRule="exact" w:val="988"/>
      </w:trPr>
      <w:tc>
        <w:tcPr>
          <w:tcW w:w="7678" w:type="dxa"/>
          <w:shd w:val="clear" w:color="auto" w:fill="auto"/>
        </w:tcPr>
        <w:p w14:paraId="31DF52B9" w14:textId="77777777" w:rsidR="00C62E80" w:rsidRDefault="00C62E80" w:rsidP="00971914">
          <w:pPr>
            <w:pStyle w:val="Header"/>
          </w:pPr>
        </w:p>
      </w:tc>
    </w:tr>
    <w:tr w:rsidR="00C62E80" w14:paraId="0EE5C9F0" w14:textId="77777777" w:rsidTr="003F3883">
      <w:tc>
        <w:tcPr>
          <w:tcW w:w="7678" w:type="dxa"/>
          <w:shd w:val="clear" w:color="auto" w:fill="auto"/>
        </w:tcPr>
        <w:p w14:paraId="339C5140" w14:textId="77777777" w:rsidR="00C62E80" w:rsidRDefault="00C62E80" w:rsidP="00971914">
          <w:pPr>
            <w:pStyle w:val="GridTable31"/>
          </w:pPr>
          <w:r>
            <w:t xml:space="preserve">Contents </w:t>
          </w:r>
          <w:r w:rsidRPr="00915B1C">
            <w:rPr>
              <w:b w:val="0"/>
              <w:spacing w:val="0"/>
              <w:sz w:val="28"/>
              <w:szCs w:val="28"/>
            </w:rPr>
            <w:t>(Continued)</w:t>
          </w:r>
        </w:p>
      </w:tc>
    </w:tr>
    <w:tr w:rsidR="00C62E80" w14:paraId="0372A359" w14:textId="77777777" w:rsidTr="003F3883">
      <w:trPr>
        <w:trHeight w:val="1220"/>
      </w:trPr>
      <w:tc>
        <w:tcPr>
          <w:tcW w:w="7678" w:type="dxa"/>
          <w:shd w:val="clear" w:color="auto" w:fill="auto"/>
        </w:tcPr>
        <w:p w14:paraId="2080ACD1" w14:textId="77777777" w:rsidR="00C62E80" w:rsidRDefault="00C62E80" w:rsidP="00971914"/>
      </w:tc>
    </w:tr>
  </w:tbl>
  <w:p w14:paraId="5FF14381" w14:textId="77777777" w:rsidR="00C62E80" w:rsidRPr="00A5474E" w:rsidRDefault="00C62E80"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0DB1" w14:textId="77777777" w:rsidR="00C62E80" w:rsidRDefault="00C62E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5E60" w14:textId="77777777" w:rsidR="00C62E80" w:rsidRDefault="00C62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32327A"/>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F9743DE"/>
    <w:multiLevelType w:val="hybridMultilevel"/>
    <w:tmpl w:val="88AE12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655E4C"/>
    <w:multiLevelType w:val="hybridMultilevel"/>
    <w:tmpl w:val="A4967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1839D3"/>
    <w:multiLevelType w:val="hybridMultilevel"/>
    <w:tmpl w:val="CE4000B2"/>
    <w:lvl w:ilvl="0" w:tplc="9BA8E9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301DD4"/>
    <w:multiLevelType w:val="multilevel"/>
    <w:tmpl w:val="BF409A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8821F2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095DE8"/>
    <w:multiLevelType w:val="hybridMultilevel"/>
    <w:tmpl w:val="A29820A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50D66C9B"/>
    <w:multiLevelType w:val="hybridMultilevel"/>
    <w:tmpl w:val="6B8C6978"/>
    <w:lvl w:ilvl="0" w:tplc="0C090001">
      <w:start w:val="1"/>
      <w:numFmt w:val="bullet"/>
      <w:lvlText w:val=""/>
      <w:lvlJc w:val="left"/>
      <w:pPr>
        <w:tabs>
          <w:tab w:val="num" w:pos="962"/>
        </w:tabs>
        <w:ind w:left="962" w:hanging="481"/>
      </w:pPr>
      <w:rPr>
        <w:rFonts w:ascii="Symbol" w:hAnsi="Symbol" w:hint="default"/>
      </w:rPr>
    </w:lvl>
    <w:lvl w:ilvl="1" w:tplc="0C090001">
      <w:start w:val="1"/>
      <w:numFmt w:val="bullet"/>
      <w:lvlText w:val=""/>
      <w:lvlJc w:val="left"/>
      <w:pPr>
        <w:ind w:left="1410" w:hanging="363"/>
      </w:pPr>
      <w:rPr>
        <w:rFonts w:ascii="Symbol" w:hAnsi="Symbol" w:hint="default"/>
        <w:sz w:val="24"/>
        <w:szCs w:val="24"/>
      </w:rPr>
    </w:lvl>
    <w:lvl w:ilvl="2" w:tplc="0C09001B">
      <w:start w:val="1"/>
      <w:numFmt w:val="lowerRoman"/>
      <w:lvlText w:val="%3."/>
      <w:lvlJc w:val="right"/>
      <w:pPr>
        <w:ind w:left="2281" w:hanging="180"/>
      </w:pPr>
    </w:lvl>
    <w:lvl w:ilvl="3" w:tplc="0C09000F" w:tentative="1">
      <w:start w:val="1"/>
      <w:numFmt w:val="decimal"/>
      <w:lvlText w:val="%4."/>
      <w:lvlJc w:val="left"/>
      <w:pPr>
        <w:ind w:left="3001" w:hanging="360"/>
      </w:pPr>
    </w:lvl>
    <w:lvl w:ilvl="4" w:tplc="0C090019" w:tentative="1">
      <w:start w:val="1"/>
      <w:numFmt w:val="lowerLetter"/>
      <w:lvlText w:val="%5."/>
      <w:lvlJc w:val="left"/>
      <w:pPr>
        <w:ind w:left="3721" w:hanging="360"/>
      </w:pPr>
    </w:lvl>
    <w:lvl w:ilvl="5" w:tplc="0C09001B" w:tentative="1">
      <w:start w:val="1"/>
      <w:numFmt w:val="lowerRoman"/>
      <w:lvlText w:val="%6."/>
      <w:lvlJc w:val="right"/>
      <w:pPr>
        <w:ind w:left="4441" w:hanging="180"/>
      </w:pPr>
    </w:lvl>
    <w:lvl w:ilvl="6" w:tplc="0C09000F" w:tentative="1">
      <w:start w:val="1"/>
      <w:numFmt w:val="decimal"/>
      <w:lvlText w:val="%7."/>
      <w:lvlJc w:val="left"/>
      <w:pPr>
        <w:ind w:left="5161" w:hanging="360"/>
      </w:pPr>
    </w:lvl>
    <w:lvl w:ilvl="7" w:tplc="0C090019" w:tentative="1">
      <w:start w:val="1"/>
      <w:numFmt w:val="lowerLetter"/>
      <w:lvlText w:val="%8."/>
      <w:lvlJc w:val="left"/>
      <w:pPr>
        <w:ind w:left="5881" w:hanging="360"/>
      </w:pPr>
    </w:lvl>
    <w:lvl w:ilvl="8" w:tplc="0C09001B" w:tentative="1">
      <w:start w:val="1"/>
      <w:numFmt w:val="lowerRoman"/>
      <w:lvlText w:val="%9."/>
      <w:lvlJc w:val="right"/>
      <w:pPr>
        <w:ind w:left="6601" w:hanging="180"/>
      </w:pPr>
    </w:lvl>
  </w:abstractNum>
  <w:abstractNum w:abstractNumId="13"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65461"/>
    <w:multiLevelType w:val="hybridMultilevel"/>
    <w:tmpl w:val="BB7E80C2"/>
    <w:lvl w:ilvl="0" w:tplc="0C090017">
      <w:start w:val="1"/>
      <w:numFmt w:val="lowerLetter"/>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15:restartNumberingAfterBreak="0">
    <w:nsid w:val="631E47F5"/>
    <w:multiLevelType w:val="hybridMultilevel"/>
    <w:tmpl w:val="72303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F3836"/>
    <w:multiLevelType w:val="hybridMultilevel"/>
    <w:tmpl w:val="2E5CF8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66782"/>
    <w:multiLevelType w:val="hybridMultilevel"/>
    <w:tmpl w:val="45D2E86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73A24F37"/>
    <w:multiLevelType w:val="hybridMultilevel"/>
    <w:tmpl w:val="5D76D38C"/>
    <w:lvl w:ilvl="0" w:tplc="9BA8E9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4921DF"/>
    <w:multiLevelType w:val="hybridMultilevel"/>
    <w:tmpl w:val="D24A0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B63A7B"/>
    <w:multiLevelType w:val="hybridMultilevel"/>
    <w:tmpl w:val="6AB4E97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7DA43FF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2"/>
  </w:num>
  <w:num w:numId="3">
    <w:abstractNumId w:val="3"/>
  </w:num>
  <w:num w:numId="4">
    <w:abstractNumId w:val="1"/>
  </w:num>
  <w:num w:numId="5">
    <w:abstractNumId w:val="9"/>
  </w:num>
  <w:num w:numId="6">
    <w:abstractNumId w:val="17"/>
  </w:num>
  <w:num w:numId="7">
    <w:abstractNumId w:val="13"/>
  </w:num>
  <w:num w:numId="8">
    <w:abstractNumId w:val="16"/>
  </w:num>
  <w:num w:numId="9">
    <w:abstractNumId w:val="19"/>
  </w:num>
  <w:num w:numId="10">
    <w:abstractNumId w:val="11"/>
  </w:num>
  <w:num w:numId="11">
    <w:abstractNumId w:val="6"/>
  </w:num>
  <w:num w:numId="12">
    <w:abstractNumId w:val="15"/>
  </w:num>
  <w:num w:numId="13">
    <w:abstractNumId w:val="23"/>
  </w:num>
  <w:num w:numId="14">
    <w:abstractNumId w:val="20"/>
  </w:num>
  <w:num w:numId="15">
    <w:abstractNumId w:val="24"/>
  </w:num>
  <w:num w:numId="16">
    <w:abstractNumId w:val="10"/>
  </w:num>
  <w:num w:numId="17">
    <w:abstractNumId w:val="8"/>
  </w:num>
  <w:num w:numId="18">
    <w:abstractNumId w:val="14"/>
  </w:num>
  <w:num w:numId="19">
    <w:abstractNumId w:val="3"/>
    <w:lvlOverride w:ilvl="0">
      <w:startOverride w:val="1"/>
    </w:lvlOverride>
  </w:num>
  <w:num w:numId="20">
    <w:abstractNumId w:val="7"/>
  </w:num>
  <w:num w:numId="21">
    <w:abstractNumId w:val="21"/>
  </w:num>
  <w:num w:numId="22">
    <w:abstractNumId w:val="22"/>
  </w:num>
  <w:num w:numId="23">
    <w:abstractNumId w:val="5"/>
  </w:num>
  <w:num w:numId="24">
    <w:abstractNumId w:val="18"/>
  </w:num>
  <w:num w:numId="25">
    <w:abstractNumId w:val="0"/>
  </w:num>
  <w:num w:numId="2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defaultTabStop w:val="284"/>
  <w:evenAndOddHeaders/>
  <w:drawingGridHorizontalSpacing w:val="100"/>
  <w:displayHorizontalDrawingGridEvery w:val="2"/>
  <w:characterSpacingControl w:val="doNotCompress"/>
  <w:hdrShapeDefaults>
    <o:shapedefaults v:ext="edit" spidmax="18433">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44"/>
    <w:rsid w:val="00001A7B"/>
    <w:rsid w:val="00001E69"/>
    <w:rsid w:val="000026D9"/>
    <w:rsid w:val="00010667"/>
    <w:rsid w:val="00010E97"/>
    <w:rsid w:val="000129D5"/>
    <w:rsid w:val="00013E04"/>
    <w:rsid w:val="00015AE7"/>
    <w:rsid w:val="00015D1A"/>
    <w:rsid w:val="00016E21"/>
    <w:rsid w:val="0001719C"/>
    <w:rsid w:val="0002224E"/>
    <w:rsid w:val="00026F91"/>
    <w:rsid w:val="000412A3"/>
    <w:rsid w:val="0004764C"/>
    <w:rsid w:val="0005011A"/>
    <w:rsid w:val="0005045A"/>
    <w:rsid w:val="00051C1E"/>
    <w:rsid w:val="000539F9"/>
    <w:rsid w:val="00054302"/>
    <w:rsid w:val="00054C27"/>
    <w:rsid w:val="00055EC3"/>
    <w:rsid w:val="000563CE"/>
    <w:rsid w:val="000563FC"/>
    <w:rsid w:val="00062E43"/>
    <w:rsid w:val="000659B6"/>
    <w:rsid w:val="0006686F"/>
    <w:rsid w:val="0006722A"/>
    <w:rsid w:val="00070613"/>
    <w:rsid w:val="000732CF"/>
    <w:rsid w:val="00073853"/>
    <w:rsid w:val="00075B96"/>
    <w:rsid w:val="00076F46"/>
    <w:rsid w:val="000805D2"/>
    <w:rsid w:val="00080C71"/>
    <w:rsid w:val="0008196A"/>
    <w:rsid w:val="000915ED"/>
    <w:rsid w:val="0009209D"/>
    <w:rsid w:val="00093F07"/>
    <w:rsid w:val="00094C94"/>
    <w:rsid w:val="00094E96"/>
    <w:rsid w:val="000969BD"/>
    <w:rsid w:val="000969BF"/>
    <w:rsid w:val="000A0C22"/>
    <w:rsid w:val="000A3C43"/>
    <w:rsid w:val="000A4A51"/>
    <w:rsid w:val="000A5D2B"/>
    <w:rsid w:val="000B01B7"/>
    <w:rsid w:val="000B35EF"/>
    <w:rsid w:val="000B5498"/>
    <w:rsid w:val="000B5DE3"/>
    <w:rsid w:val="000C0A57"/>
    <w:rsid w:val="000C168F"/>
    <w:rsid w:val="000C230C"/>
    <w:rsid w:val="000C44E1"/>
    <w:rsid w:val="000C6AB4"/>
    <w:rsid w:val="000D64B8"/>
    <w:rsid w:val="000D71D9"/>
    <w:rsid w:val="000D76E0"/>
    <w:rsid w:val="000D7E8B"/>
    <w:rsid w:val="000E20F3"/>
    <w:rsid w:val="000E4449"/>
    <w:rsid w:val="000E6097"/>
    <w:rsid w:val="00103829"/>
    <w:rsid w:val="00111FCE"/>
    <w:rsid w:val="00116933"/>
    <w:rsid w:val="001229A5"/>
    <w:rsid w:val="0012489B"/>
    <w:rsid w:val="00125FC9"/>
    <w:rsid w:val="00130017"/>
    <w:rsid w:val="00130F91"/>
    <w:rsid w:val="001349ED"/>
    <w:rsid w:val="00137159"/>
    <w:rsid w:val="00137424"/>
    <w:rsid w:val="00140318"/>
    <w:rsid w:val="00141AD9"/>
    <w:rsid w:val="001439C8"/>
    <w:rsid w:val="00146CE6"/>
    <w:rsid w:val="00147EC4"/>
    <w:rsid w:val="00152903"/>
    <w:rsid w:val="00152973"/>
    <w:rsid w:val="00153DE4"/>
    <w:rsid w:val="00153FD5"/>
    <w:rsid w:val="0015614F"/>
    <w:rsid w:val="00157454"/>
    <w:rsid w:val="001577C2"/>
    <w:rsid w:val="001633C4"/>
    <w:rsid w:val="00164E78"/>
    <w:rsid w:val="001670EE"/>
    <w:rsid w:val="00171591"/>
    <w:rsid w:val="00173981"/>
    <w:rsid w:val="0017719D"/>
    <w:rsid w:val="00183FD7"/>
    <w:rsid w:val="00185CAB"/>
    <w:rsid w:val="001875B7"/>
    <w:rsid w:val="00187CB3"/>
    <w:rsid w:val="0019050A"/>
    <w:rsid w:val="001910D4"/>
    <w:rsid w:val="001976E3"/>
    <w:rsid w:val="001A44EC"/>
    <w:rsid w:val="001B198D"/>
    <w:rsid w:val="001B58AA"/>
    <w:rsid w:val="001B7E48"/>
    <w:rsid w:val="001C17CE"/>
    <w:rsid w:val="001C36CA"/>
    <w:rsid w:val="001C44D1"/>
    <w:rsid w:val="001C6AEE"/>
    <w:rsid w:val="001C7575"/>
    <w:rsid w:val="001C7630"/>
    <w:rsid w:val="001D621B"/>
    <w:rsid w:val="001D6D15"/>
    <w:rsid w:val="001D7EE5"/>
    <w:rsid w:val="001E4819"/>
    <w:rsid w:val="001F4803"/>
    <w:rsid w:val="001F7558"/>
    <w:rsid w:val="00205B57"/>
    <w:rsid w:val="002063A9"/>
    <w:rsid w:val="002155CC"/>
    <w:rsid w:val="002157E0"/>
    <w:rsid w:val="0021627B"/>
    <w:rsid w:val="00216A57"/>
    <w:rsid w:val="00217778"/>
    <w:rsid w:val="0022334F"/>
    <w:rsid w:val="00226819"/>
    <w:rsid w:val="00233101"/>
    <w:rsid w:val="00233817"/>
    <w:rsid w:val="002367FF"/>
    <w:rsid w:val="00240CE9"/>
    <w:rsid w:val="002434BA"/>
    <w:rsid w:val="002438D3"/>
    <w:rsid w:val="00246089"/>
    <w:rsid w:val="00246093"/>
    <w:rsid w:val="00246702"/>
    <w:rsid w:val="00247C59"/>
    <w:rsid w:val="00247F2E"/>
    <w:rsid w:val="00250ADC"/>
    <w:rsid w:val="00250B07"/>
    <w:rsid w:val="00257553"/>
    <w:rsid w:val="00260FB2"/>
    <w:rsid w:val="00262128"/>
    <w:rsid w:val="00263C7B"/>
    <w:rsid w:val="00265370"/>
    <w:rsid w:val="002673C1"/>
    <w:rsid w:val="0027165D"/>
    <w:rsid w:val="00273CEB"/>
    <w:rsid w:val="00276B8A"/>
    <w:rsid w:val="00281C89"/>
    <w:rsid w:val="0028282F"/>
    <w:rsid w:val="00282F30"/>
    <w:rsid w:val="002918F0"/>
    <w:rsid w:val="0029593B"/>
    <w:rsid w:val="00297FC5"/>
    <w:rsid w:val="002A0416"/>
    <w:rsid w:val="002A0417"/>
    <w:rsid w:val="002A16D8"/>
    <w:rsid w:val="002A1BC8"/>
    <w:rsid w:val="002A3EF2"/>
    <w:rsid w:val="002A6064"/>
    <w:rsid w:val="002B0DED"/>
    <w:rsid w:val="002B19A2"/>
    <w:rsid w:val="002B2DA6"/>
    <w:rsid w:val="002B381A"/>
    <w:rsid w:val="002B4FCC"/>
    <w:rsid w:val="002B7408"/>
    <w:rsid w:val="002B7CFD"/>
    <w:rsid w:val="002C210F"/>
    <w:rsid w:val="002C6DF3"/>
    <w:rsid w:val="002D316F"/>
    <w:rsid w:val="002D3600"/>
    <w:rsid w:val="002E4DDC"/>
    <w:rsid w:val="00302480"/>
    <w:rsid w:val="003165E6"/>
    <w:rsid w:val="003221CF"/>
    <w:rsid w:val="003233ED"/>
    <w:rsid w:val="00324D9F"/>
    <w:rsid w:val="0032766C"/>
    <w:rsid w:val="00327948"/>
    <w:rsid w:val="003279A4"/>
    <w:rsid w:val="0033000F"/>
    <w:rsid w:val="00332011"/>
    <w:rsid w:val="00332518"/>
    <w:rsid w:val="003327E5"/>
    <w:rsid w:val="00332925"/>
    <w:rsid w:val="003332ED"/>
    <w:rsid w:val="003368DC"/>
    <w:rsid w:val="00336D8E"/>
    <w:rsid w:val="00342E91"/>
    <w:rsid w:val="00345927"/>
    <w:rsid w:val="00350584"/>
    <w:rsid w:val="00351857"/>
    <w:rsid w:val="003545E8"/>
    <w:rsid w:val="00355FC4"/>
    <w:rsid w:val="003610E1"/>
    <w:rsid w:val="00364FA7"/>
    <w:rsid w:val="003671BE"/>
    <w:rsid w:val="00367629"/>
    <w:rsid w:val="00372485"/>
    <w:rsid w:val="00373200"/>
    <w:rsid w:val="00375EF5"/>
    <w:rsid w:val="003767A5"/>
    <w:rsid w:val="0038401E"/>
    <w:rsid w:val="003845F0"/>
    <w:rsid w:val="00385254"/>
    <w:rsid w:val="003A04DB"/>
    <w:rsid w:val="003A46B1"/>
    <w:rsid w:val="003A527D"/>
    <w:rsid w:val="003A5F5B"/>
    <w:rsid w:val="003A789A"/>
    <w:rsid w:val="003B12EC"/>
    <w:rsid w:val="003C5897"/>
    <w:rsid w:val="003C77E0"/>
    <w:rsid w:val="003D096B"/>
    <w:rsid w:val="003D17D7"/>
    <w:rsid w:val="003D2678"/>
    <w:rsid w:val="003D71A3"/>
    <w:rsid w:val="003E01B9"/>
    <w:rsid w:val="003E0B65"/>
    <w:rsid w:val="003E2B8A"/>
    <w:rsid w:val="003F10EE"/>
    <w:rsid w:val="003F16F6"/>
    <w:rsid w:val="003F3883"/>
    <w:rsid w:val="003F471A"/>
    <w:rsid w:val="003F4DC7"/>
    <w:rsid w:val="003F5235"/>
    <w:rsid w:val="003F5C5D"/>
    <w:rsid w:val="004008BC"/>
    <w:rsid w:val="004027E4"/>
    <w:rsid w:val="0041071D"/>
    <w:rsid w:val="00414AFC"/>
    <w:rsid w:val="004151A7"/>
    <w:rsid w:val="00415310"/>
    <w:rsid w:val="00421709"/>
    <w:rsid w:val="004230D8"/>
    <w:rsid w:val="00423763"/>
    <w:rsid w:val="0042762F"/>
    <w:rsid w:val="00427DC7"/>
    <w:rsid w:val="00430407"/>
    <w:rsid w:val="00430D3E"/>
    <w:rsid w:val="00431613"/>
    <w:rsid w:val="00431792"/>
    <w:rsid w:val="0043297A"/>
    <w:rsid w:val="00432EB2"/>
    <w:rsid w:val="00434A19"/>
    <w:rsid w:val="0043570D"/>
    <w:rsid w:val="0043714F"/>
    <w:rsid w:val="004438B5"/>
    <w:rsid w:val="00447037"/>
    <w:rsid w:val="0045124D"/>
    <w:rsid w:val="00454596"/>
    <w:rsid w:val="0045605D"/>
    <w:rsid w:val="0046135B"/>
    <w:rsid w:val="00461677"/>
    <w:rsid w:val="00461D47"/>
    <w:rsid w:val="004718CC"/>
    <w:rsid w:val="00472E55"/>
    <w:rsid w:val="00481695"/>
    <w:rsid w:val="00487048"/>
    <w:rsid w:val="00495A96"/>
    <w:rsid w:val="00495BB3"/>
    <w:rsid w:val="004A56BB"/>
    <w:rsid w:val="004B1751"/>
    <w:rsid w:val="004C0253"/>
    <w:rsid w:val="004C34D8"/>
    <w:rsid w:val="004C68DD"/>
    <w:rsid w:val="004D56FF"/>
    <w:rsid w:val="004D6A11"/>
    <w:rsid w:val="004E12DD"/>
    <w:rsid w:val="004E39D3"/>
    <w:rsid w:val="004E508A"/>
    <w:rsid w:val="004E616D"/>
    <w:rsid w:val="004F1BDE"/>
    <w:rsid w:val="004F2CEE"/>
    <w:rsid w:val="004F556E"/>
    <w:rsid w:val="004F7F44"/>
    <w:rsid w:val="005037B4"/>
    <w:rsid w:val="005079BF"/>
    <w:rsid w:val="0051269A"/>
    <w:rsid w:val="00512A48"/>
    <w:rsid w:val="0051742C"/>
    <w:rsid w:val="00517D0F"/>
    <w:rsid w:val="005219E7"/>
    <w:rsid w:val="00531B9A"/>
    <w:rsid w:val="00531D15"/>
    <w:rsid w:val="00537604"/>
    <w:rsid w:val="005413E0"/>
    <w:rsid w:val="00542377"/>
    <w:rsid w:val="005476EB"/>
    <w:rsid w:val="00551782"/>
    <w:rsid w:val="00552A1C"/>
    <w:rsid w:val="00554A0B"/>
    <w:rsid w:val="00556585"/>
    <w:rsid w:val="00562D04"/>
    <w:rsid w:val="00563EF1"/>
    <w:rsid w:val="00566AB4"/>
    <w:rsid w:val="00573F2C"/>
    <w:rsid w:val="00575AC5"/>
    <w:rsid w:val="0057605D"/>
    <w:rsid w:val="00580701"/>
    <w:rsid w:val="00581347"/>
    <w:rsid w:val="00581AC9"/>
    <w:rsid w:val="005849F8"/>
    <w:rsid w:val="0059097A"/>
    <w:rsid w:val="005938DF"/>
    <w:rsid w:val="00594E9C"/>
    <w:rsid w:val="005A099B"/>
    <w:rsid w:val="005A179E"/>
    <w:rsid w:val="005A2D9C"/>
    <w:rsid w:val="005A55FE"/>
    <w:rsid w:val="005A6A11"/>
    <w:rsid w:val="005B0414"/>
    <w:rsid w:val="005C1AA7"/>
    <w:rsid w:val="005D2502"/>
    <w:rsid w:val="005D2BE2"/>
    <w:rsid w:val="005D40BB"/>
    <w:rsid w:val="005D47F3"/>
    <w:rsid w:val="005D49BF"/>
    <w:rsid w:val="005D6F4E"/>
    <w:rsid w:val="005D7C73"/>
    <w:rsid w:val="005E3ACD"/>
    <w:rsid w:val="005E4B39"/>
    <w:rsid w:val="005E628A"/>
    <w:rsid w:val="005E7226"/>
    <w:rsid w:val="005E7A57"/>
    <w:rsid w:val="005F24B0"/>
    <w:rsid w:val="00601E6B"/>
    <w:rsid w:val="00604315"/>
    <w:rsid w:val="006045D8"/>
    <w:rsid w:val="00604E26"/>
    <w:rsid w:val="006052CF"/>
    <w:rsid w:val="00607B8D"/>
    <w:rsid w:val="006105FE"/>
    <w:rsid w:val="00611F5C"/>
    <w:rsid w:val="00616E09"/>
    <w:rsid w:val="00622A3B"/>
    <w:rsid w:val="00622EEA"/>
    <w:rsid w:val="0062396C"/>
    <w:rsid w:val="00623FF9"/>
    <w:rsid w:val="00627D4E"/>
    <w:rsid w:val="00634478"/>
    <w:rsid w:val="00637F65"/>
    <w:rsid w:val="006402EF"/>
    <w:rsid w:val="00640DA4"/>
    <w:rsid w:val="00643822"/>
    <w:rsid w:val="00644373"/>
    <w:rsid w:val="00644C2F"/>
    <w:rsid w:val="0064525A"/>
    <w:rsid w:val="00645915"/>
    <w:rsid w:val="006519C3"/>
    <w:rsid w:val="00652B30"/>
    <w:rsid w:val="00656345"/>
    <w:rsid w:val="00656DC6"/>
    <w:rsid w:val="00660EC6"/>
    <w:rsid w:val="00664110"/>
    <w:rsid w:val="0066445D"/>
    <w:rsid w:val="00664944"/>
    <w:rsid w:val="00664D17"/>
    <w:rsid w:val="00666520"/>
    <w:rsid w:val="00667C5B"/>
    <w:rsid w:val="00672CF5"/>
    <w:rsid w:val="006777D2"/>
    <w:rsid w:val="00690355"/>
    <w:rsid w:val="0069287B"/>
    <w:rsid w:val="00692CDE"/>
    <w:rsid w:val="00693073"/>
    <w:rsid w:val="006977FF"/>
    <w:rsid w:val="006A01FA"/>
    <w:rsid w:val="006A0290"/>
    <w:rsid w:val="006A0E9E"/>
    <w:rsid w:val="006A25C7"/>
    <w:rsid w:val="006A4AAD"/>
    <w:rsid w:val="006A69ED"/>
    <w:rsid w:val="006A6DA2"/>
    <w:rsid w:val="006A721E"/>
    <w:rsid w:val="006A7AB2"/>
    <w:rsid w:val="006B5717"/>
    <w:rsid w:val="006B582F"/>
    <w:rsid w:val="006C0CEB"/>
    <w:rsid w:val="006C102D"/>
    <w:rsid w:val="006C3B1E"/>
    <w:rsid w:val="006C47FD"/>
    <w:rsid w:val="006C5C19"/>
    <w:rsid w:val="006C70A0"/>
    <w:rsid w:val="006C76EB"/>
    <w:rsid w:val="006D2233"/>
    <w:rsid w:val="006D27CB"/>
    <w:rsid w:val="006D2F08"/>
    <w:rsid w:val="006D576C"/>
    <w:rsid w:val="006D5865"/>
    <w:rsid w:val="006D7223"/>
    <w:rsid w:val="006E4B1B"/>
    <w:rsid w:val="006E5445"/>
    <w:rsid w:val="006E7D93"/>
    <w:rsid w:val="006F36ED"/>
    <w:rsid w:val="007029A3"/>
    <w:rsid w:val="00706E4E"/>
    <w:rsid w:val="0070791C"/>
    <w:rsid w:val="00711F96"/>
    <w:rsid w:val="0071383C"/>
    <w:rsid w:val="007141A7"/>
    <w:rsid w:val="00715722"/>
    <w:rsid w:val="00721032"/>
    <w:rsid w:val="00721B55"/>
    <w:rsid w:val="0072255B"/>
    <w:rsid w:val="00726CE4"/>
    <w:rsid w:val="00727EA6"/>
    <w:rsid w:val="00734143"/>
    <w:rsid w:val="007359A7"/>
    <w:rsid w:val="00736586"/>
    <w:rsid w:val="00737E47"/>
    <w:rsid w:val="00740EAC"/>
    <w:rsid w:val="00744956"/>
    <w:rsid w:val="00744F7C"/>
    <w:rsid w:val="00745A5C"/>
    <w:rsid w:val="0074605F"/>
    <w:rsid w:val="00746EE9"/>
    <w:rsid w:val="00747E94"/>
    <w:rsid w:val="00754C83"/>
    <w:rsid w:val="00757B16"/>
    <w:rsid w:val="007636CD"/>
    <w:rsid w:val="00765DF8"/>
    <w:rsid w:val="00766749"/>
    <w:rsid w:val="00767C1B"/>
    <w:rsid w:val="007714A9"/>
    <w:rsid w:val="00774F88"/>
    <w:rsid w:val="00774FDB"/>
    <w:rsid w:val="00777BA2"/>
    <w:rsid w:val="00777EBC"/>
    <w:rsid w:val="00781408"/>
    <w:rsid w:val="00784F7F"/>
    <w:rsid w:val="007858B6"/>
    <w:rsid w:val="007878BD"/>
    <w:rsid w:val="00787B4A"/>
    <w:rsid w:val="00796770"/>
    <w:rsid w:val="00796F25"/>
    <w:rsid w:val="007A2E98"/>
    <w:rsid w:val="007A3BA3"/>
    <w:rsid w:val="007A6CC0"/>
    <w:rsid w:val="007A7FEC"/>
    <w:rsid w:val="007B1499"/>
    <w:rsid w:val="007B1BBF"/>
    <w:rsid w:val="007B2960"/>
    <w:rsid w:val="007B355D"/>
    <w:rsid w:val="007B7980"/>
    <w:rsid w:val="007C0DEF"/>
    <w:rsid w:val="007C5D5A"/>
    <w:rsid w:val="007C607F"/>
    <w:rsid w:val="007C7292"/>
    <w:rsid w:val="007C79DD"/>
    <w:rsid w:val="007D1A97"/>
    <w:rsid w:val="007D2371"/>
    <w:rsid w:val="007D2CD6"/>
    <w:rsid w:val="007D3063"/>
    <w:rsid w:val="007D3CEB"/>
    <w:rsid w:val="007D51F4"/>
    <w:rsid w:val="007D7D5D"/>
    <w:rsid w:val="007E7683"/>
    <w:rsid w:val="007F49FA"/>
    <w:rsid w:val="007F54C4"/>
    <w:rsid w:val="007F5AAC"/>
    <w:rsid w:val="007F6E9A"/>
    <w:rsid w:val="008030C2"/>
    <w:rsid w:val="008044D4"/>
    <w:rsid w:val="00810AB4"/>
    <w:rsid w:val="00811693"/>
    <w:rsid w:val="0081729D"/>
    <w:rsid w:val="00817B56"/>
    <w:rsid w:val="00820237"/>
    <w:rsid w:val="00821A88"/>
    <w:rsid w:val="0082495D"/>
    <w:rsid w:val="00826C19"/>
    <w:rsid w:val="00831004"/>
    <w:rsid w:val="00831AC3"/>
    <w:rsid w:val="008408FF"/>
    <w:rsid w:val="008437DE"/>
    <w:rsid w:val="0085075D"/>
    <w:rsid w:val="00850BC8"/>
    <w:rsid w:val="00851F3F"/>
    <w:rsid w:val="00856EDC"/>
    <w:rsid w:val="00861985"/>
    <w:rsid w:val="008623B5"/>
    <w:rsid w:val="008629FA"/>
    <w:rsid w:val="00867536"/>
    <w:rsid w:val="00870ABA"/>
    <w:rsid w:val="008710E1"/>
    <w:rsid w:val="008716E5"/>
    <w:rsid w:val="008729FA"/>
    <w:rsid w:val="00875FC5"/>
    <w:rsid w:val="00881CA9"/>
    <w:rsid w:val="008823B0"/>
    <w:rsid w:val="00883628"/>
    <w:rsid w:val="00884A54"/>
    <w:rsid w:val="00885544"/>
    <w:rsid w:val="0088634E"/>
    <w:rsid w:val="00886CC0"/>
    <w:rsid w:val="00893AB8"/>
    <w:rsid w:val="00894E58"/>
    <w:rsid w:val="008953ED"/>
    <w:rsid w:val="008A0052"/>
    <w:rsid w:val="008A03D4"/>
    <w:rsid w:val="008A04C8"/>
    <w:rsid w:val="008A6913"/>
    <w:rsid w:val="008A6C24"/>
    <w:rsid w:val="008B0757"/>
    <w:rsid w:val="008B2ABB"/>
    <w:rsid w:val="008B70F3"/>
    <w:rsid w:val="008B76DF"/>
    <w:rsid w:val="008C10F4"/>
    <w:rsid w:val="008C65F7"/>
    <w:rsid w:val="008C6680"/>
    <w:rsid w:val="008D2A56"/>
    <w:rsid w:val="008E4767"/>
    <w:rsid w:val="008E73ED"/>
    <w:rsid w:val="008E7414"/>
    <w:rsid w:val="008E7A8C"/>
    <w:rsid w:val="008F2855"/>
    <w:rsid w:val="008F7AA4"/>
    <w:rsid w:val="009001E4"/>
    <w:rsid w:val="00900665"/>
    <w:rsid w:val="00903285"/>
    <w:rsid w:val="0090620A"/>
    <w:rsid w:val="00906F40"/>
    <w:rsid w:val="0090731E"/>
    <w:rsid w:val="00912521"/>
    <w:rsid w:val="0091283F"/>
    <w:rsid w:val="00915B1C"/>
    <w:rsid w:val="009174F3"/>
    <w:rsid w:val="0091797D"/>
    <w:rsid w:val="00923CBA"/>
    <w:rsid w:val="00926703"/>
    <w:rsid w:val="00927691"/>
    <w:rsid w:val="00927A5F"/>
    <w:rsid w:val="00935B63"/>
    <w:rsid w:val="0094078F"/>
    <w:rsid w:val="00940FA3"/>
    <w:rsid w:val="00941FB0"/>
    <w:rsid w:val="009426D4"/>
    <w:rsid w:val="009429E8"/>
    <w:rsid w:val="00944174"/>
    <w:rsid w:val="00947F25"/>
    <w:rsid w:val="00950159"/>
    <w:rsid w:val="00950724"/>
    <w:rsid w:val="00952081"/>
    <w:rsid w:val="0095490B"/>
    <w:rsid w:val="00960A33"/>
    <w:rsid w:val="00960B5B"/>
    <w:rsid w:val="009665F4"/>
    <w:rsid w:val="00971914"/>
    <w:rsid w:val="00974363"/>
    <w:rsid w:val="00976614"/>
    <w:rsid w:val="0097671E"/>
    <w:rsid w:val="0098131E"/>
    <w:rsid w:val="00981898"/>
    <w:rsid w:val="00983D78"/>
    <w:rsid w:val="00993957"/>
    <w:rsid w:val="0099577C"/>
    <w:rsid w:val="00995A52"/>
    <w:rsid w:val="009A1E78"/>
    <w:rsid w:val="009B2601"/>
    <w:rsid w:val="009B4E9E"/>
    <w:rsid w:val="009C1690"/>
    <w:rsid w:val="009C6881"/>
    <w:rsid w:val="009C7759"/>
    <w:rsid w:val="009D043D"/>
    <w:rsid w:val="009D07C8"/>
    <w:rsid w:val="009D161C"/>
    <w:rsid w:val="009D3122"/>
    <w:rsid w:val="009D6C71"/>
    <w:rsid w:val="009E0631"/>
    <w:rsid w:val="009E16D0"/>
    <w:rsid w:val="009E38FD"/>
    <w:rsid w:val="009F13D6"/>
    <w:rsid w:val="009F4C6B"/>
    <w:rsid w:val="009F66F0"/>
    <w:rsid w:val="009F78A8"/>
    <w:rsid w:val="00A00C3D"/>
    <w:rsid w:val="00A02AD6"/>
    <w:rsid w:val="00A07096"/>
    <w:rsid w:val="00A07318"/>
    <w:rsid w:val="00A11370"/>
    <w:rsid w:val="00A174E1"/>
    <w:rsid w:val="00A224CE"/>
    <w:rsid w:val="00A22522"/>
    <w:rsid w:val="00A24AFD"/>
    <w:rsid w:val="00A24F5C"/>
    <w:rsid w:val="00A26A9C"/>
    <w:rsid w:val="00A30D3E"/>
    <w:rsid w:val="00A32F96"/>
    <w:rsid w:val="00A40871"/>
    <w:rsid w:val="00A41019"/>
    <w:rsid w:val="00A412AB"/>
    <w:rsid w:val="00A4193E"/>
    <w:rsid w:val="00A440E0"/>
    <w:rsid w:val="00A442EF"/>
    <w:rsid w:val="00A44480"/>
    <w:rsid w:val="00A44F8F"/>
    <w:rsid w:val="00A50146"/>
    <w:rsid w:val="00A51D1A"/>
    <w:rsid w:val="00A5418D"/>
    <w:rsid w:val="00A5474E"/>
    <w:rsid w:val="00A70ADF"/>
    <w:rsid w:val="00A71466"/>
    <w:rsid w:val="00A74B5E"/>
    <w:rsid w:val="00A761A3"/>
    <w:rsid w:val="00A77AE0"/>
    <w:rsid w:val="00A80BD1"/>
    <w:rsid w:val="00A81BED"/>
    <w:rsid w:val="00A81EC4"/>
    <w:rsid w:val="00A82B07"/>
    <w:rsid w:val="00A834DE"/>
    <w:rsid w:val="00A85170"/>
    <w:rsid w:val="00A967FD"/>
    <w:rsid w:val="00AB156C"/>
    <w:rsid w:val="00AB4B1A"/>
    <w:rsid w:val="00AB6814"/>
    <w:rsid w:val="00AC04BA"/>
    <w:rsid w:val="00AC0E39"/>
    <w:rsid w:val="00AC4306"/>
    <w:rsid w:val="00AD3082"/>
    <w:rsid w:val="00AD4AD0"/>
    <w:rsid w:val="00AD5436"/>
    <w:rsid w:val="00AD60CD"/>
    <w:rsid w:val="00AD6C8C"/>
    <w:rsid w:val="00AE091D"/>
    <w:rsid w:val="00AE09BD"/>
    <w:rsid w:val="00AE2C6C"/>
    <w:rsid w:val="00AE33F9"/>
    <w:rsid w:val="00AE3B60"/>
    <w:rsid w:val="00AE53A1"/>
    <w:rsid w:val="00AE7B89"/>
    <w:rsid w:val="00AF0CEB"/>
    <w:rsid w:val="00AF2484"/>
    <w:rsid w:val="00AF63E7"/>
    <w:rsid w:val="00AF6E17"/>
    <w:rsid w:val="00B0165D"/>
    <w:rsid w:val="00B01B60"/>
    <w:rsid w:val="00B02D9C"/>
    <w:rsid w:val="00B031F3"/>
    <w:rsid w:val="00B0406E"/>
    <w:rsid w:val="00B052A4"/>
    <w:rsid w:val="00B11EA9"/>
    <w:rsid w:val="00B125DE"/>
    <w:rsid w:val="00B13FDD"/>
    <w:rsid w:val="00B1615D"/>
    <w:rsid w:val="00B22EB2"/>
    <w:rsid w:val="00B254AD"/>
    <w:rsid w:val="00B27442"/>
    <w:rsid w:val="00B31167"/>
    <w:rsid w:val="00B31D3E"/>
    <w:rsid w:val="00B329D8"/>
    <w:rsid w:val="00B32BB9"/>
    <w:rsid w:val="00B33AE1"/>
    <w:rsid w:val="00B37C38"/>
    <w:rsid w:val="00B4288C"/>
    <w:rsid w:val="00B43262"/>
    <w:rsid w:val="00B44100"/>
    <w:rsid w:val="00B46CBA"/>
    <w:rsid w:val="00B46F94"/>
    <w:rsid w:val="00B517A1"/>
    <w:rsid w:val="00B6003C"/>
    <w:rsid w:val="00B60427"/>
    <w:rsid w:val="00B615A9"/>
    <w:rsid w:val="00B61F03"/>
    <w:rsid w:val="00B626E4"/>
    <w:rsid w:val="00B67479"/>
    <w:rsid w:val="00B67B78"/>
    <w:rsid w:val="00B72F4A"/>
    <w:rsid w:val="00B77CB2"/>
    <w:rsid w:val="00B82869"/>
    <w:rsid w:val="00B83C27"/>
    <w:rsid w:val="00B84BC3"/>
    <w:rsid w:val="00B84BDD"/>
    <w:rsid w:val="00B86350"/>
    <w:rsid w:val="00B92812"/>
    <w:rsid w:val="00B96D35"/>
    <w:rsid w:val="00BA1231"/>
    <w:rsid w:val="00BB45A1"/>
    <w:rsid w:val="00BB7686"/>
    <w:rsid w:val="00BC06FB"/>
    <w:rsid w:val="00BC1333"/>
    <w:rsid w:val="00BC23F9"/>
    <w:rsid w:val="00BC3421"/>
    <w:rsid w:val="00BC5E96"/>
    <w:rsid w:val="00BC732C"/>
    <w:rsid w:val="00BD0607"/>
    <w:rsid w:val="00BD2604"/>
    <w:rsid w:val="00BD7324"/>
    <w:rsid w:val="00BE032C"/>
    <w:rsid w:val="00BE2580"/>
    <w:rsid w:val="00BE266D"/>
    <w:rsid w:val="00BE292E"/>
    <w:rsid w:val="00BE3938"/>
    <w:rsid w:val="00BE4C11"/>
    <w:rsid w:val="00BE5106"/>
    <w:rsid w:val="00BE58FB"/>
    <w:rsid w:val="00BE7094"/>
    <w:rsid w:val="00BE71C0"/>
    <w:rsid w:val="00BF610C"/>
    <w:rsid w:val="00BF730D"/>
    <w:rsid w:val="00C0060B"/>
    <w:rsid w:val="00C0277D"/>
    <w:rsid w:val="00C053A1"/>
    <w:rsid w:val="00C16198"/>
    <w:rsid w:val="00C1721A"/>
    <w:rsid w:val="00C2083D"/>
    <w:rsid w:val="00C249E6"/>
    <w:rsid w:val="00C24A53"/>
    <w:rsid w:val="00C26674"/>
    <w:rsid w:val="00C276E0"/>
    <w:rsid w:val="00C3361E"/>
    <w:rsid w:val="00C34A05"/>
    <w:rsid w:val="00C4032F"/>
    <w:rsid w:val="00C42B7F"/>
    <w:rsid w:val="00C44047"/>
    <w:rsid w:val="00C446C8"/>
    <w:rsid w:val="00C45155"/>
    <w:rsid w:val="00C504B5"/>
    <w:rsid w:val="00C5498F"/>
    <w:rsid w:val="00C55235"/>
    <w:rsid w:val="00C5682D"/>
    <w:rsid w:val="00C62E80"/>
    <w:rsid w:val="00C64192"/>
    <w:rsid w:val="00C64CD0"/>
    <w:rsid w:val="00C6684F"/>
    <w:rsid w:val="00C70E70"/>
    <w:rsid w:val="00C7335F"/>
    <w:rsid w:val="00C75F8D"/>
    <w:rsid w:val="00C77380"/>
    <w:rsid w:val="00C805CA"/>
    <w:rsid w:val="00C81775"/>
    <w:rsid w:val="00C83AD7"/>
    <w:rsid w:val="00C9153D"/>
    <w:rsid w:val="00C917F4"/>
    <w:rsid w:val="00C936BE"/>
    <w:rsid w:val="00C97736"/>
    <w:rsid w:val="00CA345A"/>
    <w:rsid w:val="00CB1E82"/>
    <w:rsid w:val="00CB4BA8"/>
    <w:rsid w:val="00CB52D7"/>
    <w:rsid w:val="00CC6732"/>
    <w:rsid w:val="00CD4CD2"/>
    <w:rsid w:val="00CD6D80"/>
    <w:rsid w:val="00CE3C96"/>
    <w:rsid w:val="00CE51A8"/>
    <w:rsid w:val="00CF369B"/>
    <w:rsid w:val="00CF73B9"/>
    <w:rsid w:val="00D00E28"/>
    <w:rsid w:val="00D0269E"/>
    <w:rsid w:val="00D15810"/>
    <w:rsid w:val="00D16D4E"/>
    <w:rsid w:val="00D16FE3"/>
    <w:rsid w:val="00D218C2"/>
    <w:rsid w:val="00D27F41"/>
    <w:rsid w:val="00D306C9"/>
    <w:rsid w:val="00D31F8F"/>
    <w:rsid w:val="00D330C6"/>
    <w:rsid w:val="00D36441"/>
    <w:rsid w:val="00D4064E"/>
    <w:rsid w:val="00D44E9B"/>
    <w:rsid w:val="00D47AEB"/>
    <w:rsid w:val="00D50DB9"/>
    <w:rsid w:val="00D51302"/>
    <w:rsid w:val="00D52C43"/>
    <w:rsid w:val="00D52EC4"/>
    <w:rsid w:val="00D54B4D"/>
    <w:rsid w:val="00D54FDF"/>
    <w:rsid w:val="00D55281"/>
    <w:rsid w:val="00D56784"/>
    <w:rsid w:val="00D61C41"/>
    <w:rsid w:val="00D6507F"/>
    <w:rsid w:val="00D6698C"/>
    <w:rsid w:val="00D730BC"/>
    <w:rsid w:val="00D73912"/>
    <w:rsid w:val="00D8246E"/>
    <w:rsid w:val="00D85226"/>
    <w:rsid w:val="00D87B94"/>
    <w:rsid w:val="00D92D49"/>
    <w:rsid w:val="00D92EC1"/>
    <w:rsid w:val="00D96291"/>
    <w:rsid w:val="00D96DEA"/>
    <w:rsid w:val="00DA4E41"/>
    <w:rsid w:val="00DB117A"/>
    <w:rsid w:val="00DB1F73"/>
    <w:rsid w:val="00DB247D"/>
    <w:rsid w:val="00DB5173"/>
    <w:rsid w:val="00DB74D0"/>
    <w:rsid w:val="00DB7873"/>
    <w:rsid w:val="00DC187B"/>
    <w:rsid w:val="00DD341C"/>
    <w:rsid w:val="00DD73C2"/>
    <w:rsid w:val="00DE0E94"/>
    <w:rsid w:val="00DE144D"/>
    <w:rsid w:val="00DE319B"/>
    <w:rsid w:val="00DE49FC"/>
    <w:rsid w:val="00DF34FE"/>
    <w:rsid w:val="00DF3C8D"/>
    <w:rsid w:val="00DF56AA"/>
    <w:rsid w:val="00DF56AF"/>
    <w:rsid w:val="00DF5DC2"/>
    <w:rsid w:val="00DF78E7"/>
    <w:rsid w:val="00E110E0"/>
    <w:rsid w:val="00E15371"/>
    <w:rsid w:val="00E24104"/>
    <w:rsid w:val="00E302D0"/>
    <w:rsid w:val="00E31D95"/>
    <w:rsid w:val="00E35707"/>
    <w:rsid w:val="00E36AA1"/>
    <w:rsid w:val="00E41ECB"/>
    <w:rsid w:val="00E531F7"/>
    <w:rsid w:val="00E540FB"/>
    <w:rsid w:val="00E54FDB"/>
    <w:rsid w:val="00E5617D"/>
    <w:rsid w:val="00E563D7"/>
    <w:rsid w:val="00E574D8"/>
    <w:rsid w:val="00E64B30"/>
    <w:rsid w:val="00E663F4"/>
    <w:rsid w:val="00E666F2"/>
    <w:rsid w:val="00E66DD4"/>
    <w:rsid w:val="00E748CC"/>
    <w:rsid w:val="00E75415"/>
    <w:rsid w:val="00E76769"/>
    <w:rsid w:val="00E775B1"/>
    <w:rsid w:val="00E8152A"/>
    <w:rsid w:val="00E8756A"/>
    <w:rsid w:val="00E93629"/>
    <w:rsid w:val="00E93B5C"/>
    <w:rsid w:val="00E942B8"/>
    <w:rsid w:val="00E94CEC"/>
    <w:rsid w:val="00EA04EF"/>
    <w:rsid w:val="00EA0DAA"/>
    <w:rsid w:val="00EA43A0"/>
    <w:rsid w:val="00EA6F19"/>
    <w:rsid w:val="00EB6671"/>
    <w:rsid w:val="00EB7090"/>
    <w:rsid w:val="00EC1BBE"/>
    <w:rsid w:val="00EC2463"/>
    <w:rsid w:val="00EC5CD7"/>
    <w:rsid w:val="00ED25C6"/>
    <w:rsid w:val="00ED3ECB"/>
    <w:rsid w:val="00EE5FB3"/>
    <w:rsid w:val="00EE7F79"/>
    <w:rsid w:val="00EF6B1D"/>
    <w:rsid w:val="00EF715A"/>
    <w:rsid w:val="00F01B8A"/>
    <w:rsid w:val="00F06952"/>
    <w:rsid w:val="00F06E14"/>
    <w:rsid w:val="00F179D4"/>
    <w:rsid w:val="00F26B63"/>
    <w:rsid w:val="00F33C56"/>
    <w:rsid w:val="00F340C7"/>
    <w:rsid w:val="00F347C7"/>
    <w:rsid w:val="00F34848"/>
    <w:rsid w:val="00F42D46"/>
    <w:rsid w:val="00F4496C"/>
    <w:rsid w:val="00F44F3A"/>
    <w:rsid w:val="00F50AEB"/>
    <w:rsid w:val="00F50E73"/>
    <w:rsid w:val="00F518AF"/>
    <w:rsid w:val="00F51F10"/>
    <w:rsid w:val="00F529A5"/>
    <w:rsid w:val="00F53C9C"/>
    <w:rsid w:val="00F56530"/>
    <w:rsid w:val="00F60F00"/>
    <w:rsid w:val="00F614C0"/>
    <w:rsid w:val="00F6403F"/>
    <w:rsid w:val="00F76AFD"/>
    <w:rsid w:val="00F83848"/>
    <w:rsid w:val="00F87E90"/>
    <w:rsid w:val="00F92C2A"/>
    <w:rsid w:val="00F975E9"/>
    <w:rsid w:val="00FA179B"/>
    <w:rsid w:val="00FA1A26"/>
    <w:rsid w:val="00FA1B7D"/>
    <w:rsid w:val="00FB6830"/>
    <w:rsid w:val="00FC07B9"/>
    <w:rsid w:val="00FC4E21"/>
    <w:rsid w:val="00FC5F6D"/>
    <w:rsid w:val="00FD0107"/>
    <w:rsid w:val="00FD0E7D"/>
    <w:rsid w:val="00FD2C2F"/>
    <w:rsid w:val="00FD3B31"/>
    <w:rsid w:val="00FE1823"/>
    <w:rsid w:val="00FE487A"/>
    <w:rsid w:val="00FE5593"/>
    <w:rsid w:val="00FE651F"/>
    <w:rsid w:val="00FF0569"/>
    <w:rsid w:val="00FF206E"/>
    <w:rsid w:val="00FF327A"/>
    <w:rsid w:val="00FF3C69"/>
    <w:rsid w:val="00FF6E0A"/>
    <w:rsid w:val="00FF782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red,#4d4d4f"/>
    </o:shapedefaults>
    <o:shapelayout v:ext="edit">
      <o:idmap v:ext="edit" data="1"/>
    </o:shapelayout>
  </w:shapeDefaults>
  <w:decimalSymbol w:val="."/>
  <w:listSeparator w:val=","/>
  <w14:docId w14:val="3284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7">
    <w:lsdException w:name="heading 1"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numPr>
        <w:numId w:val="15"/>
      </w:numPr>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numPr>
        <w:ilvl w:val="1"/>
        <w:numId w:val="15"/>
      </w:numPr>
      <w:spacing w:before="320" w:after="60"/>
      <w:outlineLvl w:val="1"/>
    </w:pPr>
    <w:rPr>
      <w:rFonts w:cs="Arial"/>
      <w:b/>
      <w:bCs/>
      <w:iCs/>
      <w:sz w:val="28"/>
      <w:szCs w:val="28"/>
    </w:rPr>
  </w:style>
  <w:style w:type="paragraph" w:styleId="Heading3">
    <w:name w:val="heading 3"/>
    <w:basedOn w:val="Normal"/>
    <w:next w:val="Normal"/>
    <w:qFormat/>
    <w:rsid w:val="00C55235"/>
    <w:pPr>
      <w:keepNext/>
      <w:numPr>
        <w:ilvl w:val="2"/>
        <w:numId w:val="15"/>
      </w:numPr>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1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1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1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1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1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1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uiPriority w:val="99"/>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ListBulletChar">
    <w:name w:val="List Bullet Char"/>
    <w:basedOn w:val="DefaultParagraphFont"/>
    <w:link w:val="ListBullet"/>
    <w:locked/>
    <w:rsid w:val="00664944"/>
    <w:rPr>
      <w:rFonts w:ascii="Arial" w:hAnsi="Arial"/>
      <w:sz w:val="20"/>
    </w:rPr>
  </w:style>
  <w:style w:type="paragraph" w:styleId="ListParagraph">
    <w:name w:val="List Paragraph"/>
    <w:basedOn w:val="Normal"/>
    <w:rsid w:val="00995A52"/>
    <w:pPr>
      <w:ind w:left="720"/>
      <w:contextualSpacing/>
    </w:pPr>
  </w:style>
  <w:style w:type="paragraph" w:customStyle="1" w:styleId="Bodysubheader0">
    <w:name w:val="Body sub header"/>
    <w:basedOn w:val="Normal"/>
    <w:next w:val="Normal"/>
    <w:rsid w:val="00F56530"/>
    <w:pPr>
      <w:spacing w:after="0"/>
    </w:pPr>
    <w:rPr>
      <w:b/>
      <w:i/>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152973"/>
    <w:rPr>
      <w:rFonts w:ascii="Arial" w:hAnsi="Arial"/>
      <w:sz w:val="16"/>
      <w:szCs w:val="16"/>
    </w:rPr>
  </w:style>
  <w:style w:type="paragraph" w:customStyle="1" w:styleId="ReportTitle">
    <w:name w:val="Report Title"/>
    <w:basedOn w:val="Normal"/>
    <w:rsid w:val="00727EA6"/>
    <w:pPr>
      <w:spacing w:after="0" w:line="560" w:lineRule="exact"/>
    </w:pPr>
    <w:rPr>
      <w:rFonts w:ascii="HelveticaNeueLT Std Med" w:hAnsi="HelveticaNeueLT Std Med"/>
      <w:b/>
      <w:color w:val="4D4D4F"/>
      <w:spacing w:val="-28"/>
      <w:sz w:val="53"/>
    </w:rPr>
  </w:style>
  <w:style w:type="paragraph" w:customStyle="1" w:styleId="Default">
    <w:name w:val="Default"/>
    <w:rsid w:val="00FA1A26"/>
    <w:pPr>
      <w:autoSpaceDE w:val="0"/>
      <w:autoSpaceDN w:val="0"/>
      <w:adjustRightInd w:val="0"/>
    </w:pPr>
    <w:rPr>
      <w:rFonts w:ascii="Arial" w:hAnsi="Arial" w:cs="Arial"/>
      <w:color w:val="000000"/>
    </w:rPr>
  </w:style>
  <w:style w:type="paragraph" w:styleId="Revision">
    <w:name w:val="Revision"/>
    <w:hidden/>
    <w:semiHidden/>
    <w:rsid w:val="003C589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7.xml"/><Relationship Id="rId39" Type="http://schemas.openxmlformats.org/officeDocument/2006/relationships/hyperlink" Target="mailto:xxx@acma.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4.emf"/><Relationship Id="rId42" Type="http://schemas.openxmlformats.org/officeDocument/2006/relationships/hyperlink" Target="https://www.comlaw.gov.au/Series/C2004A02562" TargetMode="External"/><Relationship Id="rId47" Type="http://schemas.openxmlformats.org/officeDocument/2006/relationships/header" Target="header8.xml"/><Relationship Id="rId50"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creativecommons.org/l/by/3.0/88x31.png" TargetMode="External"/><Relationship Id="rId25" Type="http://schemas.openxmlformats.org/officeDocument/2006/relationships/header" Target="header6.xml"/><Relationship Id="rId33" Type="http://schemas.openxmlformats.org/officeDocument/2006/relationships/hyperlink" Target="http://www.acma.gov.au/Industry/Spectrum/Spectrum-projects/400-MHz-band/progressing-opportunity-cost-pricing-in-the-400-mhz-band" TargetMode="External"/><Relationship Id="rId38" Type="http://schemas.openxmlformats.org/officeDocument/2006/relationships/hyperlink" Target="http://www.acma.gov.au/theACMA/Consultations/Consultations" TargetMode="External"/><Relationship Id="rId46" Type="http://schemas.openxmlformats.org/officeDocument/2006/relationships/hyperlink" Target="http://www.acma.gov.au/privacypoli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andinfo@acma.gov.au" TargetMode="External"/><Relationship Id="rId29" Type="http://schemas.openxmlformats.org/officeDocument/2006/relationships/footer" Target="footer8.xml"/><Relationship Id="rId41" Type="http://schemas.openxmlformats.org/officeDocument/2006/relationships/hyperlink" Target="http://www.acma.gov.au/theACMA/About/Corporate/Responsibilities/acma-evidenceinformed-regulation-and-effective-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acma.gov.au/Industry/Spectrum/Spectrum-projects/400-MHz-band/progressing-opportunity-cost-pricing-in-the-400-mhz-band" TargetMode="External"/><Relationship Id="rId37" Type="http://schemas.openxmlformats.org/officeDocument/2006/relationships/hyperlink" Target="http://acma.gov.au/theACMA/About/Making-payments/Apparatus-licence-fees/apparatus-licence-fees-acma)" TargetMode="External"/><Relationship Id="rId40" Type="http://schemas.openxmlformats.org/officeDocument/2006/relationships/hyperlink" Target="mailto:media@acma.gov.au" TargetMode="External"/><Relationship Id="rId45" Type="http://schemas.openxmlformats.org/officeDocument/2006/relationships/hyperlink" Target="http://www.oaic.gov.au/privacy/privacy-resources/privacy-fact-sheets/other/privacy-fact-sheet-17-australian-privacy-principl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image" Target="media/image5.emf"/><Relationship Id="rId49"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creativecommons.org/licenses/by/3.0/au/" TargetMode="External"/><Relationship Id="rId31" Type="http://schemas.openxmlformats.org/officeDocument/2006/relationships/hyperlink" Target="http://www.acma.gov.au/Industry/Spectrum/Spectrum-projects/400-MHz-band/progressing-opportunity-cost-pricing-in-the-400-mhz-band" TargetMode="External"/><Relationship Id="rId44" Type="http://schemas.openxmlformats.org/officeDocument/2006/relationships/hyperlink" Target="http://www.comlaw.gov.au/Series/C2004A0371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http://www.acma.gov.au/Industry/Spectrum/Spectrum-projects/400-MHz-band/progressing-opportunity-cost-pricing-in-the-400-mhz-band" TargetMode="External"/><Relationship Id="rId35" Type="http://schemas.openxmlformats.org/officeDocument/2006/relationships/hyperlink" Target="http://www.acma.gov.au/Industry/Spectrum/Spectrum-projects/400-MHz-band/progressing-opportunity-cost-pricing-in-the-400-mhz-band" TargetMode="External"/><Relationship Id="rId43" Type="http://schemas.openxmlformats.org/officeDocument/2006/relationships/hyperlink" Target="https://www.comlaw.gov.au/Series/C2005A00044" TargetMode="External"/><Relationship Id="rId4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acma.gov.au/theACMA/About/Making-payments/Apparatus-licence-fees/apparatus-licence-fees-ac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304620C157419965BBE04711452B" ma:contentTypeVersion="8" ma:contentTypeDescription="Create a new document." ma:contentTypeScope="" ma:versionID="1f86bc3f0a5d7db8d751d62275efe70e">
  <xsd:schema xmlns:xsd="http://www.w3.org/2001/XMLSchema" xmlns:xs="http://www.w3.org/2001/XMLSchema" xmlns:p="http://schemas.microsoft.com/office/2006/metadata/properties" xmlns:ns3="d6f2653f-5da8-426e-a198-08c26d3f345a" targetNamespace="http://schemas.microsoft.com/office/2006/metadata/properties" ma:root="true" ma:fieldsID="4819b479eca76de1db12d7f96e902a21" ns3:_="">
    <xsd:import namespace="d6f2653f-5da8-426e-a198-08c26d3f34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653f-5da8-426e-a198-08c26d3f3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7951-5028-424B-92A3-AEBDC7CA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653f-5da8-426e-a198-08c26d3f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6C445-6DFC-44AE-B2DF-9CD5C7906234}">
  <ds:schemaRefs>
    <ds:schemaRef ds:uri="http://schemas.microsoft.com/sharepoint/v3/contenttype/forms"/>
  </ds:schemaRefs>
</ds:datastoreItem>
</file>

<file path=customXml/itemProps3.xml><?xml version="1.0" encoding="utf-8"?>
<ds:datastoreItem xmlns:ds="http://schemas.openxmlformats.org/officeDocument/2006/customXml" ds:itemID="{2BEE3EF0-BD82-4C09-A81F-EFA66EC1EA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F078DF-B197-42C1-925D-A02D3230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5071</Words>
  <Characters>28910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2019-11-19T03:57:00Z</dcterms:created>
  <dcterms:modified xsi:type="dcterms:W3CDTF">2019-11-19T03:57:00Z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0x010100BE25304620C157419965BBE04711452B</vt:lpwstr>
  </property>
</Properties>
</file>