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A4C30" w14:textId="221811F8" w:rsidR="00F06E14" w:rsidRPr="00A51D1A" w:rsidRDefault="00715E78" w:rsidP="00715E78">
      <w:pPr>
        <w:pStyle w:val="ACMAReportTitle"/>
        <w:spacing w:after="240"/>
      </w:pPr>
      <w:r>
        <w:t>Guide to d</w:t>
      </w:r>
      <w:r w:rsidR="000E2BBC">
        <w:t xml:space="preserve">eveloping </w:t>
      </w:r>
      <w:r>
        <w:t xml:space="preserve">and varying </w:t>
      </w:r>
      <w:r w:rsidR="002613C7">
        <w:t>t</w:t>
      </w:r>
      <w:r w:rsidR="000E2BBC">
        <w:t xml:space="preserve">elecommunications </w:t>
      </w:r>
      <w:r w:rsidR="002613C7">
        <w:t>c</w:t>
      </w:r>
      <w:r w:rsidR="000E2BBC">
        <w:t xml:space="preserve">odes for </w:t>
      </w:r>
      <w:r w:rsidR="002613C7">
        <w:t>r</w:t>
      </w:r>
      <w:r w:rsidR="000E2BBC">
        <w:t>egistration</w:t>
      </w:r>
    </w:p>
    <w:p w14:paraId="67ED1A41" w14:textId="1E8591ED" w:rsidR="00F06E14" w:rsidRDefault="00715E78" w:rsidP="00D47AEB">
      <w:pPr>
        <w:pStyle w:val="ACMAReportDate"/>
        <w:spacing w:after="720"/>
      </w:pPr>
      <w:r>
        <w:t xml:space="preserve">september </w:t>
      </w:r>
      <w:r w:rsidR="000E2BBC">
        <w:t>2015</w:t>
      </w:r>
    </w:p>
    <w:p w14:paraId="46BAE5CD" w14:textId="4E58635E" w:rsidR="00246093" w:rsidRPr="00E302D0" w:rsidRDefault="00246093" w:rsidP="00E302D0">
      <w:pPr>
        <w:pStyle w:val="ACMAInstructions"/>
        <w:spacing w:after="0"/>
        <w:rPr>
          <w:b w:val="0"/>
          <w:sz w:val="20"/>
          <w:szCs w:val="20"/>
        </w:rPr>
      </w:pPr>
    </w:p>
    <w:p w14:paraId="0B0EC39D" w14:textId="77777777" w:rsidR="00C97736" w:rsidRPr="000D76E0" w:rsidRDefault="00C97736" w:rsidP="0041071D">
      <w:pPr>
        <w:rPr>
          <w:rFonts w:cs="Arial"/>
        </w:rPr>
      </w:pPr>
    </w:p>
    <w:p w14:paraId="50732537" w14:textId="77777777" w:rsidR="00C97736" w:rsidRPr="000D76E0" w:rsidRDefault="00C97736" w:rsidP="0041071D">
      <w:pPr>
        <w:rPr>
          <w:rFonts w:cs="Arial"/>
        </w:rPr>
        <w:sectPr w:rsidR="00C97736"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6C679E3F" w14:textId="77777777" w:rsidR="0005011A" w:rsidRPr="00F44F3A" w:rsidRDefault="0005011A" w:rsidP="00FC07B9">
      <w:pPr>
        <w:pStyle w:val="ACMACorporateAddressHeader"/>
      </w:pPr>
      <w:r w:rsidRPr="00F44F3A">
        <w:lastRenderedPageBreak/>
        <w:t>Canberra</w:t>
      </w:r>
    </w:p>
    <w:p w14:paraId="5E2ECCF9"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47A507D" w14:textId="77777777" w:rsidR="0005011A" w:rsidRPr="00FC07B9" w:rsidRDefault="0005011A" w:rsidP="00FC07B9">
      <w:pPr>
        <w:pStyle w:val="ACMACorporateAddresses"/>
      </w:pPr>
      <w:r w:rsidRPr="00FC07B9">
        <w:t>PO Box 78</w:t>
      </w:r>
      <w:r w:rsidRPr="00FC07B9">
        <w:br/>
        <w:t>Belconnen ACT 2616</w:t>
      </w:r>
    </w:p>
    <w:p w14:paraId="236E91B2"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3D81BAD" w14:textId="77777777" w:rsidR="0005011A" w:rsidRPr="00F44F3A" w:rsidRDefault="0005011A" w:rsidP="00FC07B9">
      <w:pPr>
        <w:pStyle w:val="ACMACorporateAddressHeader"/>
      </w:pPr>
      <w:r w:rsidRPr="00F44F3A">
        <w:t>Melbourne</w:t>
      </w:r>
    </w:p>
    <w:p w14:paraId="74AA96A8"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F62B0ED"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182A64B8"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D669A8C" w14:textId="77777777" w:rsidR="0005011A" w:rsidRPr="00F44F3A" w:rsidRDefault="0005011A" w:rsidP="00FC07B9">
      <w:pPr>
        <w:pStyle w:val="ACMACorporateAddressHeader"/>
      </w:pPr>
      <w:r w:rsidRPr="00F44F3A">
        <w:t>Sydney</w:t>
      </w:r>
    </w:p>
    <w:p w14:paraId="5443AD12"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3537EE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5393FCF"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051CFC0" w14:textId="77777777" w:rsidR="00140318" w:rsidRPr="006D46E5" w:rsidRDefault="00140318" w:rsidP="00FC07B9">
      <w:pPr>
        <w:pStyle w:val="ACMACopyrightHeader"/>
      </w:pPr>
      <w:r w:rsidRPr="00140318">
        <w:t>Copyright notice</w:t>
      </w:r>
    </w:p>
    <w:p w14:paraId="4D9BD3CA" w14:textId="77777777" w:rsidR="00140318" w:rsidRPr="006D46E5" w:rsidRDefault="00623FF9" w:rsidP="00623FF9">
      <w:pPr>
        <w:pStyle w:val="ACMACClogo"/>
      </w:pPr>
      <w:r w:rsidRPr="00623FF9">
        <w:rPr>
          <w:noProof/>
        </w:rPr>
        <w:drawing>
          <wp:inline distT="0" distB="0" distL="0" distR="0" wp14:anchorId="38A45400" wp14:editId="1337655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E18BA75" w14:textId="77777777" w:rsidR="00140318" w:rsidRPr="00431792" w:rsidRDefault="00666500" w:rsidP="00FC07B9">
      <w:pPr>
        <w:pStyle w:val="ACMACorporateAddresses"/>
        <w:rPr>
          <w:rStyle w:val="Hyperlink"/>
        </w:rPr>
      </w:pPr>
      <w:hyperlink r:id="rId13" w:tooltip="Creative Commons Licenses" w:history="1">
        <w:r w:rsidR="00140318" w:rsidRPr="00431792">
          <w:rPr>
            <w:rStyle w:val="Hyperlink"/>
          </w:rPr>
          <w:t>http://creativecommons.org/licenses/by/3.0/au/</w:t>
        </w:r>
      </w:hyperlink>
    </w:p>
    <w:p w14:paraId="45B5FEAF"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71F853DE" w14:textId="77777777" w:rsidR="00140318" w:rsidRPr="006D46E5" w:rsidRDefault="00140318" w:rsidP="00FC07B9">
      <w:pPr>
        <w:pStyle w:val="ACMACorporateAddresses"/>
      </w:pPr>
      <w:r w:rsidRPr="006D46E5">
        <w:t>We request attribution as: © Commonwealth of Australia (Australian Communic</w:t>
      </w:r>
      <w:r w:rsidR="008408FF">
        <w:t>ations and Media Authority) 2015</w:t>
      </w:r>
      <w:r w:rsidRPr="006D46E5">
        <w:t>.</w:t>
      </w:r>
    </w:p>
    <w:p w14:paraId="5EB652C0" w14:textId="77777777" w:rsidR="00140318" w:rsidRPr="006D46E5" w:rsidRDefault="00140318" w:rsidP="00FC07B9">
      <w:pPr>
        <w:pStyle w:val="ACMACorporateAddresses"/>
      </w:pPr>
      <w:r>
        <w:t>All other rights are reserved.</w:t>
      </w:r>
    </w:p>
    <w:p w14:paraId="13916732"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C309BAA" w14:textId="77777777" w:rsidR="00140318" w:rsidRPr="006D46E5" w:rsidRDefault="00140318" w:rsidP="00FC07B9">
      <w:pPr>
        <w:pStyle w:val="ACMACorporateAddresses"/>
      </w:pPr>
      <w:r w:rsidRPr="006D46E5">
        <w:t>Written enquiries may be sent to:</w:t>
      </w:r>
    </w:p>
    <w:p w14:paraId="7FD0B2ED"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4" w:history="1">
        <w:r w:rsidRPr="00431792">
          <w:rPr>
            <w:rStyle w:val="Hyperlink"/>
          </w:rPr>
          <w:t>candinfo@acma.gov.au</w:t>
        </w:r>
      </w:hyperlink>
    </w:p>
    <w:p w14:paraId="046D3D11" w14:textId="77777777" w:rsidR="00D16FE3" w:rsidRDefault="00D16FE3" w:rsidP="00D16FE3">
      <w:pPr>
        <w:pStyle w:val="ACMACorporateAddresses"/>
        <w:rPr>
          <w:rStyle w:val="Hyperlink"/>
        </w:rPr>
      </w:pPr>
    </w:p>
    <w:p w14:paraId="6DCC582A"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B050A3F" w14:textId="77777777" w:rsidR="00071CD8" w:rsidRDefault="007A6CC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071CD8">
        <w:t>Introduction</w:t>
      </w:r>
      <w:r w:rsidR="00071CD8">
        <w:tab/>
      </w:r>
      <w:r w:rsidR="00071CD8">
        <w:fldChar w:fldCharType="begin"/>
      </w:r>
      <w:r w:rsidR="00071CD8">
        <w:instrText xml:space="preserve"> PAGEREF _Toc428450615 \h </w:instrText>
      </w:r>
      <w:r w:rsidR="00071CD8">
        <w:fldChar w:fldCharType="separate"/>
      </w:r>
      <w:r w:rsidR="007505A2">
        <w:t>1</w:t>
      </w:r>
      <w:r w:rsidR="00071CD8">
        <w:fldChar w:fldCharType="end"/>
      </w:r>
    </w:p>
    <w:p w14:paraId="6B66FBA2" w14:textId="77777777" w:rsidR="00071CD8" w:rsidRDefault="00071CD8">
      <w:pPr>
        <w:pStyle w:val="TOC1"/>
        <w:rPr>
          <w:rFonts w:asciiTheme="minorHAnsi" w:eastAsiaTheme="minorEastAsia" w:hAnsiTheme="minorHAnsi" w:cstheme="minorBidi"/>
          <w:b w:val="0"/>
          <w:spacing w:val="0"/>
          <w:sz w:val="22"/>
          <w:szCs w:val="22"/>
        </w:rPr>
      </w:pPr>
      <w:r>
        <w:t>Telecommunications industry codes</w:t>
      </w:r>
      <w:r>
        <w:tab/>
      </w:r>
      <w:r>
        <w:fldChar w:fldCharType="begin"/>
      </w:r>
      <w:r>
        <w:instrText xml:space="preserve"> PAGEREF _Toc428450616 \h </w:instrText>
      </w:r>
      <w:r>
        <w:fldChar w:fldCharType="separate"/>
      </w:r>
      <w:r w:rsidR="007505A2">
        <w:t>2</w:t>
      </w:r>
      <w:r>
        <w:fldChar w:fldCharType="end"/>
      </w:r>
    </w:p>
    <w:p w14:paraId="68D07381" w14:textId="77777777" w:rsidR="00071CD8" w:rsidRDefault="00071CD8">
      <w:pPr>
        <w:pStyle w:val="TOC2"/>
        <w:rPr>
          <w:rFonts w:asciiTheme="minorHAnsi" w:eastAsiaTheme="minorEastAsia" w:hAnsiTheme="minorHAnsi" w:cstheme="minorBidi"/>
          <w:spacing w:val="0"/>
          <w:sz w:val="22"/>
          <w:szCs w:val="22"/>
        </w:rPr>
      </w:pPr>
      <w:r>
        <w:t>Outline of Part 6—Industry codes and industry standards</w:t>
      </w:r>
      <w:r>
        <w:tab/>
      </w:r>
      <w:r>
        <w:fldChar w:fldCharType="begin"/>
      </w:r>
      <w:r>
        <w:instrText xml:space="preserve"> PAGEREF _Toc428450617 \h </w:instrText>
      </w:r>
      <w:r>
        <w:fldChar w:fldCharType="separate"/>
      </w:r>
      <w:r w:rsidR="007505A2">
        <w:t>2</w:t>
      </w:r>
      <w:r>
        <w:fldChar w:fldCharType="end"/>
      </w:r>
    </w:p>
    <w:p w14:paraId="1FEC0D3B" w14:textId="77777777" w:rsidR="00071CD8" w:rsidRDefault="00071CD8">
      <w:pPr>
        <w:pStyle w:val="TOC2"/>
        <w:rPr>
          <w:rFonts w:asciiTheme="minorHAnsi" w:eastAsiaTheme="minorEastAsia" w:hAnsiTheme="minorHAnsi" w:cstheme="minorBidi"/>
          <w:spacing w:val="0"/>
          <w:sz w:val="22"/>
          <w:szCs w:val="22"/>
        </w:rPr>
      </w:pPr>
      <w:r>
        <w:t>The benefits of code registration</w:t>
      </w:r>
      <w:r>
        <w:tab/>
      </w:r>
      <w:r>
        <w:fldChar w:fldCharType="begin"/>
      </w:r>
      <w:r>
        <w:instrText xml:space="preserve"> PAGEREF _Toc428450618 \h </w:instrText>
      </w:r>
      <w:r>
        <w:fldChar w:fldCharType="separate"/>
      </w:r>
      <w:r w:rsidR="007505A2">
        <w:t>2</w:t>
      </w:r>
      <w:r>
        <w:fldChar w:fldCharType="end"/>
      </w:r>
    </w:p>
    <w:p w14:paraId="3DC46374" w14:textId="77777777" w:rsidR="00071CD8" w:rsidRDefault="00071CD8">
      <w:pPr>
        <w:pStyle w:val="TOC2"/>
        <w:rPr>
          <w:rFonts w:asciiTheme="minorHAnsi" w:eastAsiaTheme="minorEastAsia" w:hAnsiTheme="minorHAnsi" w:cstheme="minorBidi"/>
          <w:spacing w:val="0"/>
          <w:sz w:val="22"/>
          <w:szCs w:val="22"/>
        </w:rPr>
      </w:pPr>
      <w:r>
        <w:t>Privacy codes</w:t>
      </w:r>
      <w:r>
        <w:tab/>
      </w:r>
      <w:r>
        <w:fldChar w:fldCharType="begin"/>
      </w:r>
      <w:r>
        <w:instrText xml:space="preserve"> PAGEREF _Toc428450619 \h </w:instrText>
      </w:r>
      <w:r>
        <w:fldChar w:fldCharType="separate"/>
      </w:r>
      <w:r w:rsidR="007505A2">
        <w:t>3</w:t>
      </w:r>
      <w:r>
        <w:fldChar w:fldCharType="end"/>
      </w:r>
    </w:p>
    <w:p w14:paraId="32283CDF" w14:textId="77777777" w:rsidR="00071CD8" w:rsidRDefault="00071CD8">
      <w:pPr>
        <w:pStyle w:val="TOC1"/>
        <w:rPr>
          <w:rFonts w:asciiTheme="minorHAnsi" w:eastAsiaTheme="minorEastAsia" w:hAnsiTheme="minorHAnsi" w:cstheme="minorBidi"/>
          <w:b w:val="0"/>
          <w:spacing w:val="0"/>
          <w:sz w:val="22"/>
          <w:szCs w:val="22"/>
        </w:rPr>
      </w:pPr>
      <w:r>
        <w:t>Drafting a code</w:t>
      </w:r>
      <w:r>
        <w:tab/>
      </w:r>
      <w:r>
        <w:fldChar w:fldCharType="begin"/>
      </w:r>
      <w:r>
        <w:instrText xml:space="preserve"> PAGEREF _Toc428450620 \h </w:instrText>
      </w:r>
      <w:r>
        <w:fldChar w:fldCharType="separate"/>
      </w:r>
      <w:r w:rsidR="007505A2">
        <w:t>4</w:t>
      </w:r>
      <w:r>
        <w:fldChar w:fldCharType="end"/>
      </w:r>
    </w:p>
    <w:p w14:paraId="4CB407C9" w14:textId="77777777" w:rsidR="00071CD8" w:rsidRDefault="00071CD8">
      <w:pPr>
        <w:pStyle w:val="TOC2"/>
        <w:rPr>
          <w:rFonts w:asciiTheme="minorHAnsi" w:eastAsiaTheme="minorEastAsia" w:hAnsiTheme="minorHAnsi" w:cstheme="minorBidi"/>
          <w:spacing w:val="0"/>
          <w:sz w:val="22"/>
          <w:szCs w:val="22"/>
        </w:rPr>
      </w:pPr>
      <w:r>
        <w:t>Code drafting principles</w:t>
      </w:r>
      <w:r>
        <w:tab/>
      </w:r>
      <w:r>
        <w:fldChar w:fldCharType="begin"/>
      </w:r>
      <w:r>
        <w:instrText xml:space="preserve"> PAGEREF _Toc428450621 \h </w:instrText>
      </w:r>
      <w:r>
        <w:fldChar w:fldCharType="separate"/>
      </w:r>
      <w:r w:rsidR="007505A2">
        <w:t>4</w:t>
      </w:r>
      <w:r>
        <w:fldChar w:fldCharType="end"/>
      </w:r>
    </w:p>
    <w:p w14:paraId="319B7C84" w14:textId="77777777" w:rsidR="00071CD8" w:rsidRDefault="00071CD8">
      <w:pPr>
        <w:pStyle w:val="TOC2"/>
        <w:rPr>
          <w:rFonts w:asciiTheme="minorHAnsi" w:eastAsiaTheme="minorEastAsia" w:hAnsiTheme="minorHAnsi" w:cstheme="minorBidi"/>
          <w:spacing w:val="0"/>
          <w:sz w:val="22"/>
          <w:szCs w:val="22"/>
        </w:rPr>
      </w:pPr>
      <w:r>
        <w:t>Code ‘appropriateness’</w:t>
      </w:r>
      <w:r>
        <w:tab/>
      </w:r>
      <w:r>
        <w:fldChar w:fldCharType="begin"/>
      </w:r>
      <w:r>
        <w:instrText xml:space="preserve"> PAGEREF _Toc428450622 \h </w:instrText>
      </w:r>
      <w:r>
        <w:fldChar w:fldCharType="separate"/>
      </w:r>
      <w:r w:rsidR="007505A2">
        <w:t>4</w:t>
      </w:r>
      <w:r>
        <w:fldChar w:fldCharType="end"/>
      </w:r>
    </w:p>
    <w:p w14:paraId="3504AD45" w14:textId="77777777" w:rsidR="00071CD8" w:rsidRDefault="00071CD8">
      <w:pPr>
        <w:pStyle w:val="TOC3"/>
        <w:rPr>
          <w:rFonts w:asciiTheme="minorHAnsi" w:eastAsiaTheme="minorEastAsia" w:hAnsiTheme="minorHAnsi" w:cstheme="minorBidi"/>
        </w:rPr>
      </w:pPr>
      <w:r>
        <w:t>Scope</w:t>
      </w:r>
      <w:r>
        <w:tab/>
      </w:r>
      <w:r>
        <w:fldChar w:fldCharType="begin"/>
      </w:r>
      <w:r>
        <w:instrText xml:space="preserve"> PAGEREF _Toc428450623 \h </w:instrText>
      </w:r>
      <w:r>
        <w:fldChar w:fldCharType="separate"/>
      </w:r>
      <w:r w:rsidR="007505A2">
        <w:t>4</w:t>
      </w:r>
      <w:r>
        <w:fldChar w:fldCharType="end"/>
      </w:r>
    </w:p>
    <w:p w14:paraId="0F77F754" w14:textId="77777777" w:rsidR="00071CD8" w:rsidRDefault="00071CD8">
      <w:pPr>
        <w:pStyle w:val="TOC3"/>
        <w:rPr>
          <w:rFonts w:asciiTheme="minorHAnsi" w:eastAsiaTheme="minorEastAsia" w:hAnsiTheme="minorHAnsi" w:cstheme="minorBidi"/>
        </w:rPr>
      </w:pPr>
      <w:r>
        <w:t>Objectives</w:t>
      </w:r>
      <w:r>
        <w:tab/>
      </w:r>
      <w:r>
        <w:fldChar w:fldCharType="begin"/>
      </w:r>
      <w:r>
        <w:instrText xml:space="preserve"> PAGEREF _Toc428450624 \h </w:instrText>
      </w:r>
      <w:r>
        <w:fldChar w:fldCharType="separate"/>
      </w:r>
      <w:r w:rsidR="007505A2">
        <w:t>4</w:t>
      </w:r>
      <w:r>
        <w:fldChar w:fldCharType="end"/>
      </w:r>
    </w:p>
    <w:p w14:paraId="0857FB08" w14:textId="77777777" w:rsidR="00071CD8" w:rsidRDefault="00071CD8">
      <w:pPr>
        <w:pStyle w:val="TOC3"/>
        <w:rPr>
          <w:rFonts w:asciiTheme="minorHAnsi" w:eastAsiaTheme="minorEastAsia" w:hAnsiTheme="minorHAnsi" w:cstheme="minorBidi"/>
        </w:rPr>
      </w:pPr>
      <w:r>
        <w:t>Foreword</w:t>
      </w:r>
      <w:r>
        <w:tab/>
      </w:r>
      <w:r>
        <w:fldChar w:fldCharType="begin"/>
      </w:r>
      <w:r>
        <w:instrText xml:space="preserve"> PAGEREF _Toc428450625 \h </w:instrText>
      </w:r>
      <w:r>
        <w:fldChar w:fldCharType="separate"/>
      </w:r>
      <w:r w:rsidR="007505A2">
        <w:t>5</w:t>
      </w:r>
      <w:r>
        <w:fldChar w:fldCharType="end"/>
      </w:r>
    </w:p>
    <w:p w14:paraId="32460726" w14:textId="77777777" w:rsidR="00071CD8" w:rsidRDefault="00071CD8">
      <w:pPr>
        <w:pStyle w:val="TOC3"/>
        <w:rPr>
          <w:rFonts w:asciiTheme="minorHAnsi" w:eastAsiaTheme="minorEastAsia" w:hAnsiTheme="minorHAnsi" w:cstheme="minorBidi"/>
        </w:rPr>
      </w:pPr>
      <w:r>
        <w:t>Definitions</w:t>
      </w:r>
      <w:r>
        <w:tab/>
      </w:r>
      <w:r>
        <w:fldChar w:fldCharType="begin"/>
      </w:r>
      <w:r>
        <w:instrText xml:space="preserve"> PAGEREF _Toc428450626 \h </w:instrText>
      </w:r>
      <w:r>
        <w:fldChar w:fldCharType="separate"/>
      </w:r>
      <w:r w:rsidR="007505A2">
        <w:t>5</w:t>
      </w:r>
      <w:r>
        <w:fldChar w:fldCharType="end"/>
      </w:r>
    </w:p>
    <w:p w14:paraId="438CFAD8" w14:textId="77777777" w:rsidR="00071CD8" w:rsidRDefault="00071CD8">
      <w:pPr>
        <w:pStyle w:val="TOC3"/>
        <w:rPr>
          <w:rFonts w:asciiTheme="minorHAnsi" w:eastAsiaTheme="minorEastAsia" w:hAnsiTheme="minorHAnsi" w:cstheme="minorBidi"/>
        </w:rPr>
      </w:pPr>
      <w:r>
        <w:t>Code rules</w:t>
      </w:r>
      <w:r>
        <w:tab/>
      </w:r>
      <w:r>
        <w:fldChar w:fldCharType="begin"/>
      </w:r>
      <w:r>
        <w:instrText xml:space="preserve"> PAGEREF _Toc428450627 \h </w:instrText>
      </w:r>
      <w:r>
        <w:fldChar w:fldCharType="separate"/>
      </w:r>
      <w:r w:rsidR="007505A2">
        <w:t>5</w:t>
      </w:r>
      <w:r>
        <w:fldChar w:fldCharType="end"/>
      </w:r>
    </w:p>
    <w:p w14:paraId="12801999" w14:textId="77777777" w:rsidR="00071CD8" w:rsidRDefault="00071CD8">
      <w:pPr>
        <w:pStyle w:val="TOC3"/>
        <w:rPr>
          <w:rFonts w:asciiTheme="minorHAnsi" w:eastAsiaTheme="minorEastAsia" w:hAnsiTheme="minorHAnsi" w:cstheme="minorBidi"/>
        </w:rPr>
      </w:pPr>
      <w:r>
        <w:t>Enforceability</w:t>
      </w:r>
      <w:r>
        <w:tab/>
      </w:r>
      <w:r>
        <w:fldChar w:fldCharType="begin"/>
      </w:r>
      <w:r>
        <w:instrText xml:space="preserve"> PAGEREF _Toc428450628 \h </w:instrText>
      </w:r>
      <w:r>
        <w:fldChar w:fldCharType="separate"/>
      </w:r>
      <w:r w:rsidR="007505A2">
        <w:t>5</w:t>
      </w:r>
      <w:r>
        <w:fldChar w:fldCharType="end"/>
      </w:r>
    </w:p>
    <w:p w14:paraId="5762AFFD" w14:textId="77777777" w:rsidR="00071CD8" w:rsidRDefault="00071CD8">
      <w:pPr>
        <w:pStyle w:val="TOC3"/>
        <w:rPr>
          <w:rFonts w:asciiTheme="minorHAnsi" w:eastAsiaTheme="minorEastAsia" w:hAnsiTheme="minorHAnsi" w:cstheme="minorBidi"/>
        </w:rPr>
      </w:pPr>
      <w:r>
        <w:t>Guidelines</w:t>
      </w:r>
      <w:r>
        <w:tab/>
      </w:r>
      <w:r>
        <w:fldChar w:fldCharType="begin"/>
      </w:r>
      <w:r>
        <w:instrText xml:space="preserve"> PAGEREF _Toc428450629 \h </w:instrText>
      </w:r>
      <w:r>
        <w:fldChar w:fldCharType="separate"/>
      </w:r>
      <w:r w:rsidR="007505A2">
        <w:t>6</w:t>
      </w:r>
      <w:r>
        <w:fldChar w:fldCharType="end"/>
      </w:r>
    </w:p>
    <w:p w14:paraId="0006599A" w14:textId="77777777" w:rsidR="00071CD8" w:rsidRDefault="00071CD8">
      <w:pPr>
        <w:pStyle w:val="TOC3"/>
        <w:rPr>
          <w:rFonts w:asciiTheme="minorHAnsi" w:eastAsiaTheme="minorEastAsia" w:hAnsiTheme="minorHAnsi" w:cstheme="minorBidi"/>
        </w:rPr>
      </w:pPr>
      <w:r>
        <w:t>Consumer protections</w:t>
      </w:r>
      <w:r>
        <w:tab/>
      </w:r>
      <w:r>
        <w:fldChar w:fldCharType="begin"/>
      </w:r>
      <w:r>
        <w:instrText xml:space="preserve"> PAGEREF _Toc428450630 \h </w:instrText>
      </w:r>
      <w:r>
        <w:fldChar w:fldCharType="separate"/>
      </w:r>
      <w:r w:rsidR="007505A2">
        <w:t>6</w:t>
      </w:r>
      <w:r>
        <w:fldChar w:fldCharType="end"/>
      </w:r>
    </w:p>
    <w:p w14:paraId="0EA81083" w14:textId="77777777" w:rsidR="00071CD8" w:rsidRDefault="00071CD8">
      <w:pPr>
        <w:pStyle w:val="TOC3"/>
        <w:rPr>
          <w:rFonts w:asciiTheme="minorHAnsi" w:eastAsiaTheme="minorEastAsia" w:hAnsiTheme="minorHAnsi" w:cstheme="minorBidi"/>
        </w:rPr>
      </w:pPr>
      <w:r>
        <w:t>Delayed implementation of code provisions</w:t>
      </w:r>
      <w:r>
        <w:tab/>
      </w:r>
      <w:r>
        <w:fldChar w:fldCharType="begin"/>
      </w:r>
      <w:r>
        <w:instrText xml:space="preserve"> PAGEREF _Toc428450631 \h </w:instrText>
      </w:r>
      <w:r>
        <w:fldChar w:fldCharType="separate"/>
      </w:r>
      <w:r w:rsidR="007505A2">
        <w:t>6</w:t>
      </w:r>
      <w:r>
        <w:fldChar w:fldCharType="end"/>
      </w:r>
    </w:p>
    <w:p w14:paraId="608E2178" w14:textId="77777777" w:rsidR="00071CD8" w:rsidRDefault="00071CD8">
      <w:pPr>
        <w:pStyle w:val="TOC3"/>
        <w:rPr>
          <w:rFonts w:asciiTheme="minorHAnsi" w:eastAsiaTheme="minorEastAsia" w:hAnsiTheme="minorHAnsi" w:cstheme="minorBidi"/>
        </w:rPr>
      </w:pPr>
      <w:r w:rsidRPr="002F2791">
        <w:rPr>
          <w:snapToGrid w:val="0"/>
          <w:lang w:eastAsia="en-US"/>
        </w:rPr>
        <w:t>Contractual arrangements</w:t>
      </w:r>
      <w:r>
        <w:tab/>
      </w:r>
      <w:r>
        <w:fldChar w:fldCharType="begin"/>
      </w:r>
      <w:r>
        <w:instrText xml:space="preserve"> PAGEREF _Toc428450632 \h </w:instrText>
      </w:r>
      <w:r>
        <w:fldChar w:fldCharType="separate"/>
      </w:r>
      <w:r w:rsidR="007505A2">
        <w:t>6</w:t>
      </w:r>
      <w:r>
        <w:fldChar w:fldCharType="end"/>
      </w:r>
    </w:p>
    <w:p w14:paraId="47A6E2B6" w14:textId="77777777" w:rsidR="00071CD8" w:rsidRDefault="00071CD8">
      <w:pPr>
        <w:pStyle w:val="TOC3"/>
        <w:rPr>
          <w:rFonts w:asciiTheme="minorHAnsi" w:eastAsiaTheme="minorEastAsia" w:hAnsiTheme="minorHAnsi" w:cstheme="minorBidi"/>
        </w:rPr>
      </w:pPr>
      <w:r>
        <w:t>Pecuniary penalties</w:t>
      </w:r>
      <w:r>
        <w:tab/>
      </w:r>
      <w:r>
        <w:fldChar w:fldCharType="begin"/>
      </w:r>
      <w:r>
        <w:instrText xml:space="preserve"> PAGEREF _Toc428450633 \h </w:instrText>
      </w:r>
      <w:r>
        <w:fldChar w:fldCharType="separate"/>
      </w:r>
      <w:r w:rsidR="007505A2">
        <w:t>7</w:t>
      </w:r>
      <w:r>
        <w:fldChar w:fldCharType="end"/>
      </w:r>
    </w:p>
    <w:p w14:paraId="685439E1" w14:textId="77777777" w:rsidR="00071CD8" w:rsidRDefault="00071CD8">
      <w:pPr>
        <w:pStyle w:val="TOC3"/>
        <w:rPr>
          <w:rFonts w:asciiTheme="minorHAnsi" w:eastAsiaTheme="minorEastAsia" w:hAnsiTheme="minorHAnsi" w:cstheme="minorBidi"/>
        </w:rPr>
      </w:pPr>
      <w:r>
        <w:t>Indemnity clauses</w:t>
      </w:r>
      <w:r>
        <w:tab/>
      </w:r>
      <w:r>
        <w:fldChar w:fldCharType="begin"/>
      </w:r>
      <w:r>
        <w:instrText xml:space="preserve"> PAGEREF _Toc428450634 \h </w:instrText>
      </w:r>
      <w:r>
        <w:fldChar w:fldCharType="separate"/>
      </w:r>
      <w:r w:rsidR="007505A2">
        <w:t>8</w:t>
      </w:r>
      <w:r>
        <w:fldChar w:fldCharType="end"/>
      </w:r>
    </w:p>
    <w:p w14:paraId="023D5DCF" w14:textId="77777777" w:rsidR="00071CD8" w:rsidRDefault="00071CD8">
      <w:pPr>
        <w:pStyle w:val="TOC3"/>
        <w:rPr>
          <w:rFonts w:asciiTheme="minorHAnsi" w:eastAsiaTheme="minorEastAsia" w:hAnsiTheme="minorHAnsi" w:cstheme="minorBidi"/>
        </w:rPr>
      </w:pPr>
      <w:r>
        <w:t>Compliance with code rules</w:t>
      </w:r>
      <w:r>
        <w:tab/>
      </w:r>
      <w:r>
        <w:fldChar w:fldCharType="begin"/>
      </w:r>
      <w:r>
        <w:instrText xml:space="preserve"> PAGEREF _Toc428450635 \h </w:instrText>
      </w:r>
      <w:r>
        <w:fldChar w:fldCharType="separate"/>
      </w:r>
      <w:r w:rsidR="007505A2">
        <w:t>8</w:t>
      </w:r>
      <w:r>
        <w:fldChar w:fldCharType="end"/>
      </w:r>
    </w:p>
    <w:p w14:paraId="0744855A" w14:textId="77777777" w:rsidR="00071CD8" w:rsidRDefault="00071CD8">
      <w:pPr>
        <w:pStyle w:val="TOC3"/>
        <w:rPr>
          <w:rFonts w:asciiTheme="minorHAnsi" w:eastAsiaTheme="minorEastAsia" w:hAnsiTheme="minorHAnsi" w:cstheme="minorBidi"/>
        </w:rPr>
      </w:pPr>
      <w:r>
        <w:t>Referencing other documents to be complied with in a code</w:t>
      </w:r>
      <w:r>
        <w:tab/>
      </w:r>
      <w:r>
        <w:fldChar w:fldCharType="begin"/>
      </w:r>
      <w:r>
        <w:instrText xml:space="preserve"> PAGEREF _Toc428450636 \h </w:instrText>
      </w:r>
      <w:r>
        <w:fldChar w:fldCharType="separate"/>
      </w:r>
      <w:r w:rsidR="007505A2">
        <w:t>8</w:t>
      </w:r>
      <w:r>
        <w:fldChar w:fldCharType="end"/>
      </w:r>
    </w:p>
    <w:p w14:paraId="6ABC752F" w14:textId="77777777" w:rsidR="00071CD8" w:rsidRDefault="00071CD8">
      <w:pPr>
        <w:pStyle w:val="TOC3"/>
        <w:rPr>
          <w:rFonts w:asciiTheme="minorHAnsi" w:eastAsiaTheme="minorEastAsia" w:hAnsiTheme="minorHAnsi" w:cstheme="minorBidi"/>
        </w:rPr>
      </w:pPr>
      <w:r>
        <w:t>Providing guidance with referenced documents</w:t>
      </w:r>
      <w:r>
        <w:tab/>
      </w:r>
      <w:r>
        <w:fldChar w:fldCharType="begin"/>
      </w:r>
      <w:r>
        <w:instrText xml:space="preserve"> PAGEREF _Toc428450637 \h </w:instrText>
      </w:r>
      <w:r>
        <w:fldChar w:fldCharType="separate"/>
      </w:r>
      <w:r w:rsidR="007505A2">
        <w:t>8</w:t>
      </w:r>
      <w:r>
        <w:fldChar w:fldCharType="end"/>
      </w:r>
    </w:p>
    <w:p w14:paraId="5AE87257" w14:textId="77777777" w:rsidR="00071CD8" w:rsidRDefault="00071CD8">
      <w:pPr>
        <w:pStyle w:val="TOC3"/>
        <w:rPr>
          <w:rFonts w:asciiTheme="minorHAnsi" w:eastAsiaTheme="minorEastAsia" w:hAnsiTheme="minorHAnsi" w:cstheme="minorBidi"/>
        </w:rPr>
      </w:pPr>
      <w:r>
        <w:t>Consistency with legislation and telecommunications instruments</w:t>
      </w:r>
      <w:r>
        <w:tab/>
      </w:r>
      <w:r>
        <w:fldChar w:fldCharType="begin"/>
      </w:r>
      <w:r>
        <w:instrText xml:space="preserve"> PAGEREF _Toc428450638 \h </w:instrText>
      </w:r>
      <w:r>
        <w:fldChar w:fldCharType="separate"/>
      </w:r>
      <w:r w:rsidR="007505A2">
        <w:t>9</w:t>
      </w:r>
      <w:r>
        <w:fldChar w:fldCharType="end"/>
      </w:r>
    </w:p>
    <w:p w14:paraId="22776234" w14:textId="6E6B7DF6" w:rsidR="00071CD8" w:rsidRDefault="00071CD8">
      <w:pPr>
        <w:pStyle w:val="TOC3"/>
        <w:rPr>
          <w:rFonts w:asciiTheme="minorHAnsi" w:eastAsiaTheme="minorEastAsia" w:hAnsiTheme="minorHAnsi" w:cstheme="minorBidi"/>
        </w:rPr>
      </w:pPr>
      <w:r>
        <w:t>Design features and performance requirements (</w:t>
      </w:r>
      <w:r w:rsidR="00A86C91">
        <w:t>s</w:t>
      </w:r>
      <w:r>
        <w:t>ection 115)</w:t>
      </w:r>
      <w:r>
        <w:tab/>
      </w:r>
      <w:r>
        <w:fldChar w:fldCharType="begin"/>
      </w:r>
      <w:r>
        <w:instrText xml:space="preserve"> PAGEREF _Toc428450639 \h </w:instrText>
      </w:r>
      <w:r>
        <w:fldChar w:fldCharType="separate"/>
      </w:r>
      <w:r w:rsidR="007505A2">
        <w:t>9</w:t>
      </w:r>
      <w:r>
        <w:fldChar w:fldCharType="end"/>
      </w:r>
    </w:p>
    <w:p w14:paraId="58FF1C43" w14:textId="2CCC4260" w:rsidR="00071CD8" w:rsidRDefault="00071CD8">
      <w:pPr>
        <w:pStyle w:val="TOC3"/>
        <w:rPr>
          <w:rFonts w:asciiTheme="minorHAnsi" w:eastAsiaTheme="minorEastAsia" w:hAnsiTheme="minorHAnsi" w:cstheme="minorBidi"/>
        </w:rPr>
      </w:pPr>
      <w:r>
        <w:t>Content matters (</w:t>
      </w:r>
      <w:r w:rsidR="00A86C91">
        <w:t>s</w:t>
      </w:r>
      <w:r>
        <w:t>ection 116)</w:t>
      </w:r>
      <w:r>
        <w:tab/>
      </w:r>
      <w:r>
        <w:fldChar w:fldCharType="begin"/>
      </w:r>
      <w:r>
        <w:instrText xml:space="preserve"> PAGEREF _Toc428450640 \h </w:instrText>
      </w:r>
      <w:r>
        <w:fldChar w:fldCharType="separate"/>
      </w:r>
      <w:r w:rsidR="007505A2">
        <w:t>9</w:t>
      </w:r>
      <w:r>
        <w:fldChar w:fldCharType="end"/>
      </w:r>
    </w:p>
    <w:p w14:paraId="4DEC1918" w14:textId="77777777" w:rsidR="00071CD8" w:rsidRDefault="00071CD8">
      <w:pPr>
        <w:pStyle w:val="TOC3"/>
        <w:rPr>
          <w:rFonts w:asciiTheme="minorHAnsi" w:eastAsiaTheme="minorEastAsia" w:hAnsiTheme="minorHAnsi" w:cstheme="minorBidi"/>
        </w:rPr>
      </w:pPr>
      <w:r>
        <w:t>Anti-competitive implications</w:t>
      </w:r>
      <w:r>
        <w:tab/>
      </w:r>
      <w:r>
        <w:fldChar w:fldCharType="begin"/>
      </w:r>
      <w:r>
        <w:instrText xml:space="preserve"> PAGEREF _Toc428450641 \h </w:instrText>
      </w:r>
      <w:r>
        <w:fldChar w:fldCharType="separate"/>
      </w:r>
      <w:r w:rsidR="007505A2">
        <w:t>9</w:t>
      </w:r>
      <w:r>
        <w:fldChar w:fldCharType="end"/>
      </w:r>
    </w:p>
    <w:p w14:paraId="758B96FD" w14:textId="77777777" w:rsidR="00071CD8" w:rsidRDefault="00071CD8">
      <w:pPr>
        <w:pStyle w:val="TOC1"/>
        <w:rPr>
          <w:rFonts w:asciiTheme="minorHAnsi" w:eastAsiaTheme="minorEastAsia" w:hAnsiTheme="minorHAnsi" w:cstheme="minorBidi"/>
          <w:b w:val="0"/>
          <w:spacing w:val="0"/>
          <w:sz w:val="22"/>
          <w:szCs w:val="22"/>
        </w:rPr>
      </w:pPr>
      <w:r>
        <w:t>Code administration and compliance</w:t>
      </w:r>
      <w:r>
        <w:tab/>
      </w:r>
      <w:r>
        <w:fldChar w:fldCharType="begin"/>
      </w:r>
      <w:r>
        <w:instrText xml:space="preserve"> PAGEREF _Toc428450642 \h </w:instrText>
      </w:r>
      <w:r>
        <w:fldChar w:fldCharType="separate"/>
      </w:r>
      <w:r w:rsidR="007505A2">
        <w:t>11</w:t>
      </w:r>
      <w:r>
        <w:fldChar w:fldCharType="end"/>
      </w:r>
    </w:p>
    <w:p w14:paraId="072C6FFC" w14:textId="77777777" w:rsidR="00071CD8" w:rsidRDefault="00071CD8">
      <w:pPr>
        <w:pStyle w:val="TOC2"/>
        <w:rPr>
          <w:rFonts w:asciiTheme="minorHAnsi" w:eastAsiaTheme="minorEastAsia" w:hAnsiTheme="minorHAnsi" w:cstheme="minorBidi"/>
          <w:spacing w:val="0"/>
          <w:sz w:val="22"/>
          <w:szCs w:val="22"/>
        </w:rPr>
      </w:pPr>
      <w:r>
        <w:t>Code review</w:t>
      </w:r>
      <w:r>
        <w:tab/>
      </w:r>
      <w:r>
        <w:fldChar w:fldCharType="begin"/>
      </w:r>
      <w:r>
        <w:instrText xml:space="preserve"> PAGEREF _Toc428450643 \h </w:instrText>
      </w:r>
      <w:r>
        <w:fldChar w:fldCharType="separate"/>
      </w:r>
      <w:r w:rsidR="007505A2">
        <w:t>11</w:t>
      </w:r>
      <w:r>
        <w:fldChar w:fldCharType="end"/>
      </w:r>
    </w:p>
    <w:p w14:paraId="4ED0C4A1" w14:textId="77777777" w:rsidR="00071CD8" w:rsidRDefault="00071CD8">
      <w:pPr>
        <w:pStyle w:val="TOC2"/>
        <w:rPr>
          <w:rFonts w:asciiTheme="minorHAnsi" w:eastAsiaTheme="minorEastAsia" w:hAnsiTheme="minorHAnsi" w:cstheme="minorBidi"/>
          <w:spacing w:val="0"/>
          <w:sz w:val="22"/>
          <w:szCs w:val="22"/>
        </w:rPr>
      </w:pPr>
      <w:r>
        <w:t>Code variations</w:t>
      </w:r>
      <w:r>
        <w:tab/>
      </w:r>
      <w:r>
        <w:fldChar w:fldCharType="begin"/>
      </w:r>
      <w:r>
        <w:instrText xml:space="preserve"> PAGEREF _Toc428450644 \h </w:instrText>
      </w:r>
      <w:r>
        <w:fldChar w:fldCharType="separate"/>
      </w:r>
      <w:r w:rsidR="007505A2">
        <w:t>11</w:t>
      </w:r>
      <w:r>
        <w:fldChar w:fldCharType="end"/>
      </w:r>
    </w:p>
    <w:p w14:paraId="3A14232A" w14:textId="77777777" w:rsidR="00071CD8" w:rsidRDefault="00071CD8">
      <w:pPr>
        <w:pStyle w:val="TOC2"/>
        <w:rPr>
          <w:rFonts w:asciiTheme="minorHAnsi" w:eastAsiaTheme="minorEastAsia" w:hAnsiTheme="minorHAnsi" w:cstheme="minorBidi"/>
          <w:spacing w:val="0"/>
          <w:sz w:val="22"/>
          <w:szCs w:val="22"/>
        </w:rPr>
      </w:pPr>
      <w:r>
        <w:t>Complaints handling and independent review of decisions</w:t>
      </w:r>
      <w:r>
        <w:tab/>
      </w:r>
      <w:r>
        <w:fldChar w:fldCharType="begin"/>
      </w:r>
      <w:r>
        <w:instrText xml:space="preserve"> PAGEREF _Toc428450645 \h </w:instrText>
      </w:r>
      <w:r>
        <w:fldChar w:fldCharType="separate"/>
      </w:r>
      <w:r w:rsidR="007505A2">
        <w:t>12</w:t>
      </w:r>
      <w:r>
        <w:fldChar w:fldCharType="end"/>
      </w:r>
    </w:p>
    <w:p w14:paraId="3195D175" w14:textId="331B2807" w:rsidR="00071CD8" w:rsidRDefault="00071CD8" w:rsidP="00A86C91">
      <w:pPr>
        <w:pStyle w:val="TOC2"/>
        <w:ind w:left="0" w:firstLine="0"/>
        <w:rPr>
          <w:rFonts w:asciiTheme="minorHAnsi" w:eastAsiaTheme="minorEastAsia" w:hAnsiTheme="minorHAnsi" w:cstheme="minorBidi"/>
          <w:spacing w:val="0"/>
          <w:sz w:val="22"/>
          <w:szCs w:val="22"/>
        </w:rPr>
      </w:pPr>
      <w:r>
        <w:lastRenderedPageBreak/>
        <w:t>Conferring powers and functions on the TIO (</w:t>
      </w:r>
      <w:r w:rsidR="00A86C91">
        <w:t>s</w:t>
      </w:r>
      <w:r>
        <w:t>ection 114) and other complaints-handling bodies</w:t>
      </w:r>
      <w:r>
        <w:tab/>
      </w:r>
      <w:r>
        <w:fldChar w:fldCharType="begin"/>
      </w:r>
      <w:r>
        <w:instrText xml:space="preserve"> PAGEREF _Toc428450646 \h </w:instrText>
      </w:r>
      <w:r>
        <w:fldChar w:fldCharType="separate"/>
      </w:r>
      <w:r w:rsidR="007505A2">
        <w:t>12</w:t>
      </w:r>
      <w:r>
        <w:fldChar w:fldCharType="end"/>
      </w:r>
    </w:p>
    <w:p w14:paraId="5B914F1E" w14:textId="77777777" w:rsidR="00071CD8" w:rsidRDefault="00071CD8">
      <w:pPr>
        <w:pStyle w:val="TOC2"/>
        <w:rPr>
          <w:rFonts w:asciiTheme="minorHAnsi" w:eastAsiaTheme="minorEastAsia" w:hAnsiTheme="minorHAnsi" w:cstheme="minorBidi"/>
          <w:spacing w:val="0"/>
          <w:sz w:val="22"/>
          <w:szCs w:val="22"/>
        </w:rPr>
      </w:pPr>
      <w:r>
        <w:t>Compliance monitoring mechanisms</w:t>
      </w:r>
      <w:r>
        <w:tab/>
      </w:r>
      <w:r>
        <w:fldChar w:fldCharType="begin"/>
      </w:r>
      <w:r>
        <w:instrText xml:space="preserve"> PAGEREF _Toc428450647 \h </w:instrText>
      </w:r>
      <w:r>
        <w:fldChar w:fldCharType="separate"/>
      </w:r>
      <w:r w:rsidR="007505A2">
        <w:t>12</w:t>
      </w:r>
      <w:r>
        <w:fldChar w:fldCharType="end"/>
      </w:r>
    </w:p>
    <w:p w14:paraId="70951507" w14:textId="77777777" w:rsidR="00071CD8" w:rsidRDefault="00071CD8">
      <w:pPr>
        <w:pStyle w:val="TOC2"/>
        <w:rPr>
          <w:rFonts w:asciiTheme="minorHAnsi" w:eastAsiaTheme="minorEastAsia" w:hAnsiTheme="minorHAnsi" w:cstheme="minorBidi"/>
          <w:spacing w:val="0"/>
          <w:sz w:val="22"/>
          <w:szCs w:val="22"/>
        </w:rPr>
      </w:pPr>
      <w:r>
        <w:t>Provisions for public awareness</w:t>
      </w:r>
      <w:r>
        <w:tab/>
      </w:r>
      <w:r>
        <w:fldChar w:fldCharType="begin"/>
      </w:r>
      <w:r>
        <w:instrText xml:space="preserve"> PAGEREF _Toc428450648 \h </w:instrText>
      </w:r>
      <w:r>
        <w:fldChar w:fldCharType="separate"/>
      </w:r>
      <w:r w:rsidR="007505A2">
        <w:t>12</w:t>
      </w:r>
      <w:r>
        <w:fldChar w:fldCharType="end"/>
      </w:r>
    </w:p>
    <w:p w14:paraId="2254934C" w14:textId="77777777" w:rsidR="00071CD8" w:rsidRDefault="00071CD8">
      <w:pPr>
        <w:pStyle w:val="TOC2"/>
        <w:rPr>
          <w:rFonts w:asciiTheme="minorHAnsi" w:eastAsiaTheme="minorEastAsia" w:hAnsiTheme="minorHAnsi" w:cstheme="minorBidi"/>
          <w:spacing w:val="0"/>
          <w:sz w:val="22"/>
          <w:szCs w:val="22"/>
        </w:rPr>
      </w:pPr>
      <w:r>
        <w:t>Provisions for industry training</w:t>
      </w:r>
      <w:r>
        <w:tab/>
      </w:r>
      <w:r>
        <w:fldChar w:fldCharType="begin"/>
      </w:r>
      <w:r>
        <w:instrText xml:space="preserve"> PAGEREF _Toc428450649 \h </w:instrText>
      </w:r>
      <w:r>
        <w:fldChar w:fldCharType="separate"/>
      </w:r>
      <w:r w:rsidR="007505A2">
        <w:t>12</w:t>
      </w:r>
      <w:r>
        <w:fldChar w:fldCharType="end"/>
      </w:r>
    </w:p>
    <w:p w14:paraId="21A397DD" w14:textId="77777777" w:rsidR="00071CD8" w:rsidRDefault="00071CD8">
      <w:pPr>
        <w:pStyle w:val="TOC2"/>
        <w:rPr>
          <w:rFonts w:asciiTheme="minorHAnsi" w:eastAsiaTheme="minorEastAsia" w:hAnsiTheme="minorHAnsi" w:cstheme="minorBidi"/>
          <w:spacing w:val="0"/>
          <w:sz w:val="22"/>
          <w:szCs w:val="22"/>
        </w:rPr>
      </w:pPr>
      <w:r>
        <w:t>Accountability</w:t>
      </w:r>
      <w:r>
        <w:tab/>
      </w:r>
      <w:r>
        <w:fldChar w:fldCharType="begin"/>
      </w:r>
      <w:r>
        <w:instrText xml:space="preserve"> PAGEREF _Toc428450650 \h </w:instrText>
      </w:r>
      <w:r>
        <w:fldChar w:fldCharType="separate"/>
      </w:r>
      <w:r w:rsidR="007505A2">
        <w:t>12</w:t>
      </w:r>
      <w:r>
        <w:fldChar w:fldCharType="end"/>
      </w:r>
    </w:p>
    <w:p w14:paraId="1C05B72E" w14:textId="77777777" w:rsidR="00071CD8" w:rsidRDefault="00071CD8">
      <w:pPr>
        <w:pStyle w:val="TOC1"/>
        <w:rPr>
          <w:rFonts w:asciiTheme="minorHAnsi" w:eastAsiaTheme="minorEastAsia" w:hAnsiTheme="minorHAnsi" w:cstheme="minorBidi"/>
          <w:b w:val="0"/>
          <w:spacing w:val="0"/>
          <w:sz w:val="22"/>
          <w:szCs w:val="22"/>
        </w:rPr>
      </w:pPr>
      <w:r>
        <w:t>Developing a code for registration</w:t>
      </w:r>
      <w:r>
        <w:tab/>
      </w:r>
      <w:r>
        <w:fldChar w:fldCharType="begin"/>
      </w:r>
      <w:r>
        <w:instrText xml:space="preserve"> PAGEREF _Toc428450651 \h </w:instrText>
      </w:r>
      <w:r>
        <w:fldChar w:fldCharType="separate"/>
      </w:r>
      <w:r w:rsidR="007505A2">
        <w:t>14</w:t>
      </w:r>
      <w:r>
        <w:fldChar w:fldCharType="end"/>
      </w:r>
    </w:p>
    <w:p w14:paraId="2251148A" w14:textId="05F25EC6" w:rsidR="00071CD8" w:rsidRDefault="00071CD8" w:rsidP="00A86C91">
      <w:pPr>
        <w:pStyle w:val="TOC2"/>
        <w:ind w:left="0" w:firstLine="0"/>
        <w:rPr>
          <w:rFonts w:asciiTheme="minorHAnsi" w:eastAsiaTheme="minorEastAsia" w:hAnsiTheme="minorHAnsi" w:cstheme="minorBidi"/>
          <w:spacing w:val="0"/>
          <w:sz w:val="22"/>
          <w:szCs w:val="22"/>
        </w:rPr>
      </w:pPr>
      <w:r>
        <w:t xml:space="preserve">Policy principles that underpin code registration—the public interest </w:t>
      </w:r>
      <w:r w:rsidR="00A86C91">
        <w:br/>
      </w:r>
      <w:r>
        <w:t>balance test</w:t>
      </w:r>
      <w:r>
        <w:tab/>
      </w:r>
      <w:r>
        <w:fldChar w:fldCharType="begin"/>
      </w:r>
      <w:r>
        <w:instrText xml:space="preserve"> PAGEREF _Toc428450652 \h </w:instrText>
      </w:r>
      <w:r>
        <w:fldChar w:fldCharType="separate"/>
      </w:r>
      <w:r w:rsidR="007505A2">
        <w:t>14</w:t>
      </w:r>
      <w:r>
        <w:fldChar w:fldCharType="end"/>
      </w:r>
    </w:p>
    <w:p w14:paraId="1B8DA7C9" w14:textId="77777777" w:rsidR="00071CD8" w:rsidRDefault="00071CD8">
      <w:pPr>
        <w:pStyle w:val="TOC2"/>
        <w:rPr>
          <w:rFonts w:asciiTheme="minorHAnsi" w:eastAsiaTheme="minorEastAsia" w:hAnsiTheme="minorHAnsi" w:cstheme="minorBidi"/>
          <w:spacing w:val="0"/>
          <w:sz w:val="22"/>
          <w:szCs w:val="22"/>
        </w:rPr>
      </w:pPr>
      <w:r>
        <w:t>Consideration of all regulatory options</w:t>
      </w:r>
      <w:r>
        <w:tab/>
      </w:r>
      <w:r>
        <w:fldChar w:fldCharType="begin"/>
      </w:r>
      <w:r>
        <w:instrText xml:space="preserve"> PAGEREF _Toc428450653 \h </w:instrText>
      </w:r>
      <w:r>
        <w:fldChar w:fldCharType="separate"/>
      </w:r>
      <w:r w:rsidR="007505A2">
        <w:t>14</w:t>
      </w:r>
      <w:r>
        <w:fldChar w:fldCharType="end"/>
      </w:r>
    </w:p>
    <w:p w14:paraId="246A7F98" w14:textId="77777777" w:rsidR="00071CD8" w:rsidRDefault="00071CD8">
      <w:pPr>
        <w:pStyle w:val="TOC2"/>
        <w:rPr>
          <w:rFonts w:asciiTheme="minorHAnsi" w:eastAsiaTheme="minorEastAsia" w:hAnsiTheme="minorHAnsi" w:cstheme="minorBidi"/>
          <w:spacing w:val="0"/>
          <w:sz w:val="22"/>
          <w:szCs w:val="22"/>
        </w:rPr>
      </w:pPr>
      <w:r>
        <w:t>Preparing to draft a code</w:t>
      </w:r>
      <w:r>
        <w:tab/>
      </w:r>
      <w:r>
        <w:fldChar w:fldCharType="begin"/>
      </w:r>
      <w:r>
        <w:instrText xml:space="preserve"> PAGEREF _Toc428450654 \h </w:instrText>
      </w:r>
      <w:r>
        <w:fldChar w:fldCharType="separate"/>
      </w:r>
      <w:r w:rsidR="007505A2">
        <w:t>15</w:t>
      </w:r>
      <w:r>
        <w:fldChar w:fldCharType="end"/>
      </w:r>
    </w:p>
    <w:p w14:paraId="24ADBF30" w14:textId="77777777" w:rsidR="00071CD8" w:rsidRDefault="00071CD8">
      <w:pPr>
        <w:pStyle w:val="TOC2"/>
        <w:rPr>
          <w:rFonts w:asciiTheme="minorHAnsi" w:eastAsiaTheme="minorEastAsia" w:hAnsiTheme="minorHAnsi" w:cstheme="minorBidi"/>
          <w:spacing w:val="0"/>
          <w:sz w:val="22"/>
          <w:szCs w:val="22"/>
        </w:rPr>
      </w:pPr>
      <w:r>
        <w:t>The explanatory statement</w:t>
      </w:r>
      <w:r>
        <w:tab/>
      </w:r>
      <w:r>
        <w:fldChar w:fldCharType="begin"/>
      </w:r>
      <w:r>
        <w:instrText xml:space="preserve"> PAGEREF _Toc428450655 \h </w:instrText>
      </w:r>
      <w:r>
        <w:fldChar w:fldCharType="separate"/>
      </w:r>
      <w:r w:rsidR="007505A2">
        <w:t>15</w:t>
      </w:r>
      <w:r>
        <w:fldChar w:fldCharType="end"/>
      </w:r>
    </w:p>
    <w:p w14:paraId="388C6D87" w14:textId="77777777" w:rsidR="00071CD8" w:rsidRDefault="00071CD8">
      <w:pPr>
        <w:pStyle w:val="TOC3"/>
        <w:rPr>
          <w:rFonts w:asciiTheme="minorHAnsi" w:eastAsiaTheme="minorEastAsia" w:hAnsiTheme="minorHAnsi" w:cstheme="minorBidi"/>
        </w:rPr>
      </w:pPr>
      <w:r>
        <w:t>The Office of Best Practice Regulation</w:t>
      </w:r>
      <w:r>
        <w:tab/>
      </w:r>
      <w:r>
        <w:fldChar w:fldCharType="begin"/>
      </w:r>
      <w:r>
        <w:instrText xml:space="preserve"> PAGEREF _Toc428450656 \h </w:instrText>
      </w:r>
      <w:r>
        <w:fldChar w:fldCharType="separate"/>
      </w:r>
      <w:r w:rsidR="007505A2">
        <w:t>16</w:t>
      </w:r>
      <w:r>
        <w:fldChar w:fldCharType="end"/>
      </w:r>
    </w:p>
    <w:p w14:paraId="7E52ACC1" w14:textId="77777777" w:rsidR="00071CD8" w:rsidRDefault="00071CD8">
      <w:pPr>
        <w:pStyle w:val="TOC3"/>
        <w:rPr>
          <w:rFonts w:asciiTheme="minorHAnsi" w:eastAsiaTheme="minorEastAsia" w:hAnsiTheme="minorHAnsi" w:cstheme="minorBidi"/>
        </w:rPr>
      </w:pPr>
      <w:r>
        <w:t>The content of the explanatory statement</w:t>
      </w:r>
      <w:r>
        <w:tab/>
      </w:r>
      <w:r>
        <w:fldChar w:fldCharType="begin"/>
      </w:r>
      <w:r>
        <w:instrText xml:space="preserve"> PAGEREF _Toc428450657 \h </w:instrText>
      </w:r>
      <w:r>
        <w:fldChar w:fldCharType="separate"/>
      </w:r>
      <w:r w:rsidR="007505A2">
        <w:t>16</w:t>
      </w:r>
      <w:r>
        <w:fldChar w:fldCharType="end"/>
      </w:r>
    </w:p>
    <w:p w14:paraId="44BA6AB7" w14:textId="77777777" w:rsidR="00071CD8" w:rsidRDefault="00071CD8">
      <w:pPr>
        <w:pStyle w:val="TOC1"/>
        <w:rPr>
          <w:rFonts w:asciiTheme="minorHAnsi" w:eastAsiaTheme="minorEastAsia" w:hAnsiTheme="minorHAnsi" w:cstheme="minorBidi"/>
          <w:b w:val="0"/>
          <w:spacing w:val="0"/>
          <w:sz w:val="22"/>
          <w:szCs w:val="22"/>
        </w:rPr>
      </w:pPr>
      <w:r>
        <w:t>Establishing the need for a code</w:t>
      </w:r>
      <w:r>
        <w:tab/>
      </w:r>
      <w:r>
        <w:fldChar w:fldCharType="begin"/>
      </w:r>
      <w:r>
        <w:instrText xml:space="preserve"> PAGEREF _Toc428450658 \h </w:instrText>
      </w:r>
      <w:r>
        <w:fldChar w:fldCharType="separate"/>
      </w:r>
      <w:r w:rsidR="007505A2">
        <w:t>17</w:t>
      </w:r>
      <w:r>
        <w:fldChar w:fldCharType="end"/>
      </w:r>
    </w:p>
    <w:p w14:paraId="3E9CB909" w14:textId="77777777" w:rsidR="00071CD8" w:rsidRDefault="00071CD8">
      <w:pPr>
        <w:pStyle w:val="TOC2"/>
        <w:rPr>
          <w:rFonts w:asciiTheme="minorHAnsi" w:eastAsiaTheme="minorEastAsia" w:hAnsiTheme="minorHAnsi" w:cstheme="minorBidi"/>
          <w:spacing w:val="0"/>
          <w:sz w:val="22"/>
          <w:szCs w:val="22"/>
        </w:rPr>
      </w:pPr>
      <w:r>
        <w:t>The role of industry bodies</w:t>
      </w:r>
      <w:r>
        <w:tab/>
      </w:r>
      <w:r>
        <w:fldChar w:fldCharType="begin"/>
      </w:r>
      <w:r>
        <w:instrText xml:space="preserve"> PAGEREF _Toc428450659 \h </w:instrText>
      </w:r>
      <w:r>
        <w:fldChar w:fldCharType="separate"/>
      </w:r>
      <w:r w:rsidR="007505A2">
        <w:t>17</w:t>
      </w:r>
      <w:r>
        <w:fldChar w:fldCharType="end"/>
      </w:r>
    </w:p>
    <w:p w14:paraId="1D735DD9" w14:textId="77777777" w:rsidR="00071CD8" w:rsidRDefault="00071CD8">
      <w:pPr>
        <w:pStyle w:val="TOC2"/>
        <w:rPr>
          <w:rFonts w:asciiTheme="minorHAnsi" w:eastAsiaTheme="minorEastAsia" w:hAnsiTheme="minorHAnsi" w:cstheme="minorBidi"/>
          <w:spacing w:val="0"/>
          <w:sz w:val="22"/>
          <w:szCs w:val="22"/>
        </w:rPr>
      </w:pPr>
      <w:r>
        <w:t>Code content</w:t>
      </w:r>
      <w:r>
        <w:tab/>
      </w:r>
      <w:r>
        <w:fldChar w:fldCharType="begin"/>
      </w:r>
      <w:r>
        <w:instrText xml:space="preserve"> PAGEREF _Toc428450660 \h </w:instrText>
      </w:r>
      <w:r>
        <w:fldChar w:fldCharType="separate"/>
      </w:r>
      <w:r w:rsidR="007505A2">
        <w:t>18</w:t>
      </w:r>
      <w:r>
        <w:fldChar w:fldCharType="end"/>
      </w:r>
    </w:p>
    <w:p w14:paraId="6DE3FD8F" w14:textId="77777777" w:rsidR="00071CD8" w:rsidRDefault="00071CD8">
      <w:pPr>
        <w:pStyle w:val="TOC2"/>
        <w:rPr>
          <w:rFonts w:asciiTheme="minorHAnsi" w:eastAsiaTheme="minorEastAsia" w:hAnsiTheme="minorHAnsi" w:cstheme="minorBidi"/>
          <w:spacing w:val="0"/>
          <w:sz w:val="22"/>
          <w:szCs w:val="22"/>
        </w:rPr>
      </w:pPr>
      <w:r>
        <w:t>Consultation</w:t>
      </w:r>
      <w:r>
        <w:tab/>
      </w:r>
      <w:r>
        <w:fldChar w:fldCharType="begin"/>
      </w:r>
      <w:r>
        <w:instrText xml:space="preserve"> PAGEREF _Toc428450661 \h </w:instrText>
      </w:r>
      <w:r>
        <w:fldChar w:fldCharType="separate"/>
      </w:r>
      <w:r w:rsidR="007505A2">
        <w:t>19</w:t>
      </w:r>
      <w:r>
        <w:fldChar w:fldCharType="end"/>
      </w:r>
    </w:p>
    <w:p w14:paraId="5E834BD6" w14:textId="77777777" w:rsidR="00071CD8" w:rsidRDefault="00071CD8">
      <w:pPr>
        <w:pStyle w:val="TOC3"/>
        <w:rPr>
          <w:rFonts w:asciiTheme="minorHAnsi" w:eastAsiaTheme="minorEastAsia" w:hAnsiTheme="minorHAnsi" w:cstheme="minorBidi"/>
        </w:rPr>
      </w:pPr>
      <w:r>
        <w:t>Funding for consumer codes developed or varied with consumer representation</w:t>
      </w:r>
      <w:r>
        <w:tab/>
      </w:r>
      <w:r>
        <w:fldChar w:fldCharType="begin"/>
      </w:r>
      <w:r>
        <w:instrText xml:space="preserve"> PAGEREF _Toc428450662 \h </w:instrText>
      </w:r>
      <w:r>
        <w:fldChar w:fldCharType="separate"/>
      </w:r>
      <w:r w:rsidR="007505A2">
        <w:t>19</w:t>
      </w:r>
      <w:r>
        <w:fldChar w:fldCharType="end"/>
      </w:r>
    </w:p>
    <w:p w14:paraId="6E01385E" w14:textId="77777777" w:rsidR="00071CD8" w:rsidRDefault="00071CD8">
      <w:pPr>
        <w:pStyle w:val="TOC3"/>
        <w:rPr>
          <w:rFonts w:asciiTheme="minorHAnsi" w:eastAsiaTheme="minorEastAsia" w:hAnsiTheme="minorHAnsi" w:cstheme="minorBidi"/>
        </w:rPr>
      </w:pPr>
      <w:r>
        <w:t>Mandatory consultation with government agencies and consumer representatives</w:t>
      </w:r>
      <w:r>
        <w:tab/>
      </w:r>
      <w:r>
        <w:fldChar w:fldCharType="begin"/>
      </w:r>
      <w:r>
        <w:instrText xml:space="preserve"> PAGEREF _Toc428450663 \h </w:instrText>
      </w:r>
      <w:r>
        <w:fldChar w:fldCharType="separate"/>
      </w:r>
      <w:r w:rsidR="007505A2">
        <w:t>20</w:t>
      </w:r>
      <w:r>
        <w:fldChar w:fldCharType="end"/>
      </w:r>
    </w:p>
    <w:p w14:paraId="3FDC5001" w14:textId="77777777" w:rsidR="00071CD8" w:rsidRDefault="00071CD8">
      <w:pPr>
        <w:pStyle w:val="TOC3"/>
        <w:rPr>
          <w:rFonts w:asciiTheme="minorHAnsi" w:eastAsiaTheme="minorEastAsia" w:hAnsiTheme="minorHAnsi" w:cstheme="minorBidi"/>
        </w:rPr>
      </w:pPr>
      <w:r>
        <w:t>Industry and public consultation</w:t>
      </w:r>
      <w:r>
        <w:tab/>
      </w:r>
      <w:r>
        <w:fldChar w:fldCharType="begin"/>
      </w:r>
      <w:r>
        <w:instrText xml:space="preserve"> PAGEREF _Toc428450664 \h </w:instrText>
      </w:r>
      <w:r>
        <w:fldChar w:fldCharType="separate"/>
      </w:r>
      <w:r w:rsidR="007505A2">
        <w:t>21</w:t>
      </w:r>
      <w:r>
        <w:fldChar w:fldCharType="end"/>
      </w:r>
    </w:p>
    <w:p w14:paraId="01F618E6" w14:textId="77777777" w:rsidR="00071CD8" w:rsidRDefault="00071CD8">
      <w:pPr>
        <w:pStyle w:val="TOC3"/>
        <w:rPr>
          <w:rFonts w:asciiTheme="minorHAnsi" w:eastAsiaTheme="minorEastAsia" w:hAnsiTheme="minorHAnsi" w:cstheme="minorBidi"/>
        </w:rPr>
      </w:pPr>
      <w:r>
        <w:t>Methods of extending invitations for submission</w:t>
      </w:r>
      <w:r>
        <w:tab/>
      </w:r>
      <w:r>
        <w:fldChar w:fldCharType="begin"/>
      </w:r>
      <w:r>
        <w:instrText xml:space="preserve"> PAGEREF _Toc428450665 \h </w:instrText>
      </w:r>
      <w:r>
        <w:fldChar w:fldCharType="separate"/>
      </w:r>
      <w:r w:rsidR="007505A2">
        <w:t>21</w:t>
      </w:r>
      <w:r>
        <w:fldChar w:fldCharType="end"/>
      </w:r>
    </w:p>
    <w:p w14:paraId="5925DD8F" w14:textId="77777777" w:rsidR="00071CD8" w:rsidRDefault="00071CD8">
      <w:pPr>
        <w:pStyle w:val="TOC3"/>
        <w:rPr>
          <w:rFonts w:asciiTheme="minorHAnsi" w:eastAsiaTheme="minorEastAsia" w:hAnsiTheme="minorHAnsi" w:cstheme="minorBidi"/>
        </w:rPr>
      </w:pPr>
      <w:r>
        <w:t>Calculating the consultation period</w:t>
      </w:r>
      <w:r>
        <w:tab/>
      </w:r>
      <w:r>
        <w:fldChar w:fldCharType="begin"/>
      </w:r>
      <w:r>
        <w:instrText xml:space="preserve"> PAGEREF _Toc428450666 \h </w:instrText>
      </w:r>
      <w:r>
        <w:fldChar w:fldCharType="separate"/>
      </w:r>
      <w:r w:rsidR="007505A2">
        <w:t>21</w:t>
      </w:r>
      <w:r>
        <w:fldChar w:fldCharType="end"/>
      </w:r>
    </w:p>
    <w:p w14:paraId="1CB1A506" w14:textId="77777777" w:rsidR="00071CD8" w:rsidRDefault="00071CD8">
      <w:pPr>
        <w:pStyle w:val="TOC3"/>
        <w:rPr>
          <w:rFonts w:asciiTheme="minorHAnsi" w:eastAsiaTheme="minorEastAsia" w:hAnsiTheme="minorHAnsi" w:cstheme="minorBidi"/>
        </w:rPr>
      </w:pPr>
      <w:r>
        <w:t>Meaningful and adequate consultation</w:t>
      </w:r>
      <w:r>
        <w:tab/>
      </w:r>
      <w:r>
        <w:fldChar w:fldCharType="begin"/>
      </w:r>
      <w:r>
        <w:instrText xml:space="preserve"> PAGEREF _Toc428450667 \h </w:instrText>
      </w:r>
      <w:r>
        <w:fldChar w:fldCharType="separate"/>
      </w:r>
      <w:r w:rsidR="007505A2">
        <w:t>22</w:t>
      </w:r>
      <w:r>
        <w:fldChar w:fldCharType="end"/>
      </w:r>
    </w:p>
    <w:p w14:paraId="66149B23" w14:textId="77777777" w:rsidR="00071CD8" w:rsidRDefault="00071CD8">
      <w:pPr>
        <w:pStyle w:val="TOC3"/>
        <w:rPr>
          <w:rFonts w:asciiTheme="minorHAnsi" w:eastAsiaTheme="minorEastAsia" w:hAnsiTheme="minorHAnsi" w:cstheme="minorBidi"/>
        </w:rPr>
      </w:pPr>
      <w:r>
        <w:t>Changes to the code after consultation has occurred</w:t>
      </w:r>
      <w:r>
        <w:tab/>
      </w:r>
      <w:r>
        <w:fldChar w:fldCharType="begin"/>
      </w:r>
      <w:r>
        <w:instrText xml:space="preserve"> PAGEREF _Toc428450668 \h </w:instrText>
      </w:r>
      <w:r>
        <w:fldChar w:fldCharType="separate"/>
      </w:r>
      <w:r w:rsidR="007505A2">
        <w:t>22</w:t>
      </w:r>
      <w:r>
        <w:fldChar w:fldCharType="end"/>
      </w:r>
    </w:p>
    <w:p w14:paraId="3F908440" w14:textId="77777777" w:rsidR="00071CD8" w:rsidRDefault="00071CD8">
      <w:pPr>
        <w:pStyle w:val="TOC3"/>
        <w:rPr>
          <w:rFonts w:asciiTheme="minorHAnsi" w:eastAsiaTheme="minorEastAsia" w:hAnsiTheme="minorHAnsi" w:cstheme="minorBidi"/>
        </w:rPr>
      </w:pPr>
      <w:r>
        <w:t>Consultation and minor changes to codes</w:t>
      </w:r>
      <w:r>
        <w:tab/>
      </w:r>
      <w:r>
        <w:fldChar w:fldCharType="begin"/>
      </w:r>
      <w:r>
        <w:instrText xml:space="preserve"> PAGEREF _Toc428450669 \h </w:instrText>
      </w:r>
      <w:r>
        <w:fldChar w:fldCharType="separate"/>
      </w:r>
      <w:r w:rsidR="007505A2">
        <w:t>22</w:t>
      </w:r>
      <w:r>
        <w:fldChar w:fldCharType="end"/>
      </w:r>
    </w:p>
    <w:p w14:paraId="262E72BA" w14:textId="77777777" w:rsidR="00071CD8" w:rsidRDefault="00071CD8">
      <w:pPr>
        <w:pStyle w:val="TOC2"/>
        <w:rPr>
          <w:rFonts w:asciiTheme="minorHAnsi" w:eastAsiaTheme="minorEastAsia" w:hAnsiTheme="minorHAnsi" w:cstheme="minorBidi"/>
          <w:spacing w:val="0"/>
          <w:sz w:val="22"/>
          <w:szCs w:val="22"/>
        </w:rPr>
      </w:pPr>
      <w:r>
        <w:t>Planning code development</w:t>
      </w:r>
      <w:r>
        <w:tab/>
      </w:r>
      <w:r>
        <w:fldChar w:fldCharType="begin"/>
      </w:r>
      <w:r>
        <w:instrText xml:space="preserve"> PAGEREF _Toc428450670 \h </w:instrText>
      </w:r>
      <w:r>
        <w:fldChar w:fldCharType="separate"/>
      </w:r>
      <w:r w:rsidR="007505A2">
        <w:t>22</w:t>
      </w:r>
      <w:r>
        <w:fldChar w:fldCharType="end"/>
      </w:r>
    </w:p>
    <w:p w14:paraId="5EF41D7D" w14:textId="77777777" w:rsidR="00071CD8" w:rsidRDefault="00071CD8" w:rsidP="00071CD8">
      <w:pPr>
        <w:pStyle w:val="TOC1"/>
        <w:keepNext/>
        <w:keepLines/>
        <w:rPr>
          <w:rFonts w:asciiTheme="minorHAnsi" w:eastAsiaTheme="minorEastAsia" w:hAnsiTheme="minorHAnsi" w:cstheme="minorBidi"/>
          <w:b w:val="0"/>
          <w:spacing w:val="0"/>
          <w:sz w:val="22"/>
          <w:szCs w:val="22"/>
        </w:rPr>
      </w:pPr>
      <w:r>
        <w:lastRenderedPageBreak/>
        <w:t>Applying to register a new code or approve a code variation</w:t>
      </w:r>
      <w:r>
        <w:tab/>
      </w:r>
      <w:r>
        <w:fldChar w:fldCharType="begin"/>
      </w:r>
      <w:r>
        <w:instrText xml:space="preserve"> PAGEREF _Toc428450671 \h </w:instrText>
      </w:r>
      <w:r>
        <w:fldChar w:fldCharType="separate"/>
      </w:r>
      <w:r w:rsidR="007505A2">
        <w:t>24</w:t>
      </w:r>
      <w:r>
        <w:fldChar w:fldCharType="end"/>
      </w:r>
    </w:p>
    <w:p w14:paraId="561C2F08" w14:textId="77777777" w:rsidR="00071CD8" w:rsidRDefault="00071CD8" w:rsidP="00071CD8">
      <w:pPr>
        <w:pStyle w:val="TOC2"/>
        <w:keepNext/>
        <w:keepLines/>
        <w:rPr>
          <w:rFonts w:asciiTheme="minorHAnsi" w:eastAsiaTheme="minorEastAsia" w:hAnsiTheme="minorHAnsi" w:cstheme="minorBidi"/>
          <w:spacing w:val="0"/>
          <w:sz w:val="22"/>
          <w:szCs w:val="22"/>
        </w:rPr>
      </w:pPr>
      <w:r>
        <w:t>Presenting a new code to the ACMA for registration</w:t>
      </w:r>
      <w:r>
        <w:tab/>
      </w:r>
      <w:r>
        <w:fldChar w:fldCharType="begin"/>
      </w:r>
      <w:r>
        <w:instrText xml:space="preserve"> PAGEREF _Toc428450672 \h </w:instrText>
      </w:r>
      <w:r>
        <w:fldChar w:fldCharType="separate"/>
      </w:r>
      <w:r w:rsidR="007505A2">
        <w:t>24</w:t>
      </w:r>
      <w:r>
        <w:fldChar w:fldCharType="end"/>
      </w:r>
    </w:p>
    <w:p w14:paraId="124531F5" w14:textId="77777777" w:rsidR="00071CD8" w:rsidRDefault="00071CD8" w:rsidP="00071CD8">
      <w:pPr>
        <w:pStyle w:val="TOC2"/>
        <w:keepNext/>
        <w:keepLines/>
        <w:rPr>
          <w:rFonts w:asciiTheme="minorHAnsi" w:eastAsiaTheme="minorEastAsia" w:hAnsiTheme="minorHAnsi" w:cstheme="minorBidi"/>
          <w:spacing w:val="0"/>
          <w:sz w:val="22"/>
          <w:szCs w:val="22"/>
        </w:rPr>
      </w:pPr>
      <w:r>
        <w:t>Presenting a code variation to the ACMA for approval</w:t>
      </w:r>
      <w:r>
        <w:tab/>
      </w:r>
      <w:r>
        <w:fldChar w:fldCharType="begin"/>
      </w:r>
      <w:r>
        <w:instrText xml:space="preserve"> PAGEREF _Toc428450673 \h </w:instrText>
      </w:r>
      <w:r>
        <w:fldChar w:fldCharType="separate"/>
      </w:r>
      <w:r w:rsidR="007505A2">
        <w:t>24</w:t>
      </w:r>
      <w:r>
        <w:fldChar w:fldCharType="end"/>
      </w:r>
    </w:p>
    <w:p w14:paraId="039A34A3" w14:textId="77777777" w:rsidR="00071CD8" w:rsidRDefault="00071CD8">
      <w:pPr>
        <w:pStyle w:val="TOC2"/>
        <w:rPr>
          <w:rFonts w:asciiTheme="minorHAnsi" w:eastAsiaTheme="minorEastAsia" w:hAnsiTheme="minorHAnsi" w:cstheme="minorBidi"/>
          <w:spacing w:val="0"/>
          <w:sz w:val="22"/>
          <w:szCs w:val="22"/>
        </w:rPr>
      </w:pPr>
      <w:r>
        <w:t>Providing documentation</w:t>
      </w:r>
      <w:r>
        <w:tab/>
      </w:r>
      <w:r>
        <w:fldChar w:fldCharType="begin"/>
      </w:r>
      <w:r>
        <w:instrText xml:space="preserve"> PAGEREF _Toc428450674 \h </w:instrText>
      </w:r>
      <w:r>
        <w:fldChar w:fldCharType="separate"/>
      </w:r>
      <w:r w:rsidR="007505A2">
        <w:t>25</w:t>
      </w:r>
      <w:r>
        <w:fldChar w:fldCharType="end"/>
      </w:r>
    </w:p>
    <w:p w14:paraId="4DE20045" w14:textId="77777777" w:rsidR="00071CD8" w:rsidRDefault="00071CD8">
      <w:pPr>
        <w:pStyle w:val="TOC3"/>
        <w:rPr>
          <w:rFonts w:asciiTheme="minorHAnsi" w:eastAsiaTheme="minorEastAsia" w:hAnsiTheme="minorHAnsi" w:cstheme="minorBidi"/>
        </w:rPr>
      </w:pPr>
      <w:r>
        <w:t>Representing a section of the industry</w:t>
      </w:r>
      <w:r>
        <w:tab/>
      </w:r>
      <w:r>
        <w:fldChar w:fldCharType="begin"/>
      </w:r>
      <w:r>
        <w:instrText xml:space="preserve"> PAGEREF _Toc428450675 \h </w:instrText>
      </w:r>
      <w:r>
        <w:fldChar w:fldCharType="separate"/>
      </w:r>
      <w:r w:rsidR="007505A2">
        <w:t>25</w:t>
      </w:r>
      <w:r>
        <w:fldChar w:fldCharType="end"/>
      </w:r>
    </w:p>
    <w:p w14:paraId="7231339A" w14:textId="77777777" w:rsidR="00071CD8" w:rsidRDefault="00071CD8">
      <w:pPr>
        <w:pStyle w:val="TOC3"/>
        <w:rPr>
          <w:rFonts w:asciiTheme="minorHAnsi" w:eastAsiaTheme="minorEastAsia" w:hAnsiTheme="minorHAnsi" w:cstheme="minorBidi"/>
        </w:rPr>
      </w:pPr>
      <w:r>
        <w:t>Substantiating invitations for industry and public submissions</w:t>
      </w:r>
      <w:r>
        <w:tab/>
      </w:r>
      <w:r>
        <w:fldChar w:fldCharType="begin"/>
      </w:r>
      <w:r>
        <w:instrText xml:space="preserve"> PAGEREF _Toc428450676 \h </w:instrText>
      </w:r>
      <w:r>
        <w:fldChar w:fldCharType="separate"/>
      </w:r>
      <w:r w:rsidR="007505A2">
        <w:t>25</w:t>
      </w:r>
      <w:r>
        <w:fldChar w:fldCharType="end"/>
      </w:r>
    </w:p>
    <w:p w14:paraId="6495814C" w14:textId="22E965BD" w:rsidR="00071CD8" w:rsidRDefault="00071CD8">
      <w:pPr>
        <w:pStyle w:val="TOC3"/>
        <w:rPr>
          <w:rFonts w:asciiTheme="minorHAnsi" w:eastAsiaTheme="minorEastAsia" w:hAnsiTheme="minorHAnsi" w:cstheme="minorBidi"/>
        </w:rPr>
      </w:pPr>
      <w:r>
        <w:t xml:space="preserve">Substantiating consideration given to submissions from industry </w:t>
      </w:r>
      <w:r w:rsidR="00A86C91">
        <w:br/>
      </w:r>
      <w:r>
        <w:t>and the public</w:t>
      </w:r>
      <w:r>
        <w:tab/>
      </w:r>
      <w:r>
        <w:fldChar w:fldCharType="begin"/>
      </w:r>
      <w:r>
        <w:instrText xml:space="preserve"> PAGEREF _Toc428450677 \h </w:instrText>
      </w:r>
      <w:r>
        <w:fldChar w:fldCharType="separate"/>
      </w:r>
      <w:r w:rsidR="007505A2">
        <w:t>26</w:t>
      </w:r>
      <w:r>
        <w:fldChar w:fldCharType="end"/>
      </w:r>
    </w:p>
    <w:p w14:paraId="568E1F3E" w14:textId="77777777" w:rsidR="00071CD8" w:rsidRDefault="00071CD8">
      <w:pPr>
        <w:pStyle w:val="TOC3"/>
        <w:rPr>
          <w:rFonts w:asciiTheme="minorHAnsi" w:eastAsiaTheme="minorEastAsia" w:hAnsiTheme="minorHAnsi" w:cstheme="minorBidi"/>
        </w:rPr>
      </w:pPr>
      <w:r>
        <w:t>Substantiating consultation with mandatory consultation agencies</w:t>
      </w:r>
      <w:r>
        <w:tab/>
      </w:r>
      <w:r>
        <w:fldChar w:fldCharType="begin"/>
      </w:r>
      <w:r>
        <w:instrText xml:space="preserve"> PAGEREF _Toc428450678 \h </w:instrText>
      </w:r>
      <w:r>
        <w:fldChar w:fldCharType="separate"/>
      </w:r>
      <w:r w:rsidR="007505A2">
        <w:t>26</w:t>
      </w:r>
      <w:r>
        <w:fldChar w:fldCharType="end"/>
      </w:r>
    </w:p>
    <w:p w14:paraId="2551772D" w14:textId="77777777" w:rsidR="00071CD8" w:rsidRDefault="00071CD8">
      <w:pPr>
        <w:pStyle w:val="TOC2"/>
        <w:rPr>
          <w:rFonts w:asciiTheme="minorHAnsi" w:eastAsiaTheme="minorEastAsia" w:hAnsiTheme="minorHAnsi" w:cstheme="minorBidi"/>
          <w:spacing w:val="0"/>
          <w:sz w:val="22"/>
          <w:szCs w:val="22"/>
        </w:rPr>
      </w:pPr>
      <w:r>
        <w:t>Format of lodged application documents</w:t>
      </w:r>
      <w:r>
        <w:tab/>
      </w:r>
      <w:r>
        <w:fldChar w:fldCharType="begin"/>
      </w:r>
      <w:r>
        <w:instrText xml:space="preserve"> PAGEREF _Toc428450679 \h </w:instrText>
      </w:r>
      <w:r>
        <w:fldChar w:fldCharType="separate"/>
      </w:r>
      <w:r w:rsidR="007505A2">
        <w:t>26</w:t>
      </w:r>
      <w:r>
        <w:fldChar w:fldCharType="end"/>
      </w:r>
    </w:p>
    <w:p w14:paraId="4155B12B" w14:textId="77777777" w:rsidR="00071CD8" w:rsidRDefault="00071CD8">
      <w:pPr>
        <w:pStyle w:val="TOC2"/>
        <w:rPr>
          <w:rFonts w:asciiTheme="minorHAnsi" w:eastAsiaTheme="minorEastAsia" w:hAnsiTheme="minorHAnsi" w:cstheme="minorBidi"/>
          <w:spacing w:val="0"/>
          <w:sz w:val="22"/>
          <w:szCs w:val="22"/>
        </w:rPr>
      </w:pPr>
      <w:r>
        <w:t>The registration process</w:t>
      </w:r>
      <w:r>
        <w:tab/>
      </w:r>
      <w:r>
        <w:fldChar w:fldCharType="begin"/>
      </w:r>
      <w:r>
        <w:instrText xml:space="preserve"> PAGEREF _Toc428450680 \h </w:instrText>
      </w:r>
      <w:r>
        <w:fldChar w:fldCharType="separate"/>
      </w:r>
      <w:r w:rsidR="007505A2">
        <w:t>26</w:t>
      </w:r>
      <w:r>
        <w:fldChar w:fldCharType="end"/>
      </w:r>
    </w:p>
    <w:p w14:paraId="0F7AA4D4" w14:textId="77777777" w:rsidR="00071CD8" w:rsidRDefault="00071CD8">
      <w:pPr>
        <w:pStyle w:val="TOC3"/>
        <w:rPr>
          <w:rFonts w:asciiTheme="minorHAnsi" w:eastAsiaTheme="minorEastAsia" w:hAnsiTheme="minorHAnsi" w:cstheme="minorBidi"/>
        </w:rPr>
      </w:pPr>
      <w:r>
        <w:t>Time frames</w:t>
      </w:r>
      <w:r>
        <w:tab/>
      </w:r>
      <w:r>
        <w:fldChar w:fldCharType="begin"/>
      </w:r>
      <w:r>
        <w:instrText xml:space="preserve"> PAGEREF _Toc428450681 \h </w:instrText>
      </w:r>
      <w:r>
        <w:fldChar w:fldCharType="separate"/>
      </w:r>
      <w:r w:rsidR="007505A2">
        <w:t>26</w:t>
      </w:r>
      <w:r>
        <w:fldChar w:fldCharType="end"/>
      </w:r>
    </w:p>
    <w:p w14:paraId="6F120333" w14:textId="77777777" w:rsidR="00071CD8" w:rsidRDefault="00071CD8">
      <w:pPr>
        <w:pStyle w:val="TOC3"/>
        <w:rPr>
          <w:rFonts w:asciiTheme="minorHAnsi" w:eastAsiaTheme="minorEastAsia" w:hAnsiTheme="minorHAnsi" w:cstheme="minorBidi"/>
        </w:rPr>
      </w:pPr>
      <w:r>
        <w:t>Confirmation of receipt</w:t>
      </w:r>
      <w:r>
        <w:tab/>
      </w:r>
      <w:r>
        <w:fldChar w:fldCharType="begin"/>
      </w:r>
      <w:r>
        <w:instrText xml:space="preserve"> PAGEREF _Toc428450682 \h </w:instrText>
      </w:r>
      <w:r>
        <w:fldChar w:fldCharType="separate"/>
      </w:r>
      <w:r w:rsidR="007505A2">
        <w:t>27</w:t>
      </w:r>
      <w:r>
        <w:fldChar w:fldCharType="end"/>
      </w:r>
    </w:p>
    <w:p w14:paraId="21119F7C" w14:textId="77777777" w:rsidR="00071CD8" w:rsidRDefault="00071CD8">
      <w:pPr>
        <w:pStyle w:val="TOC3"/>
        <w:rPr>
          <w:rFonts w:asciiTheme="minorHAnsi" w:eastAsiaTheme="minorEastAsia" w:hAnsiTheme="minorHAnsi" w:cstheme="minorBidi"/>
        </w:rPr>
      </w:pPr>
      <w:r>
        <w:t>Outcome of the ACMA’s consideration</w:t>
      </w:r>
      <w:r>
        <w:tab/>
      </w:r>
      <w:r>
        <w:fldChar w:fldCharType="begin"/>
      </w:r>
      <w:r>
        <w:instrText xml:space="preserve"> PAGEREF _Toc428450683 \h </w:instrText>
      </w:r>
      <w:r>
        <w:fldChar w:fldCharType="separate"/>
      </w:r>
      <w:r w:rsidR="007505A2">
        <w:t>27</w:t>
      </w:r>
      <w:r>
        <w:fldChar w:fldCharType="end"/>
      </w:r>
    </w:p>
    <w:p w14:paraId="3C201783" w14:textId="77777777" w:rsidR="00071CD8" w:rsidRDefault="00071CD8">
      <w:pPr>
        <w:pStyle w:val="TOC3"/>
        <w:rPr>
          <w:rFonts w:asciiTheme="minorHAnsi" w:eastAsiaTheme="minorEastAsia" w:hAnsiTheme="minorHAnsi" w:cstheme="minorBidi"/>
        </w:rPr>
      </w:pPr>
      <w:r>
        <w:t>Register of Industry Codes</w:t>
      </w:r>
      <w:r>
        <w:tab/>
      </w:r>
      <w:r>
        <w:fldChar w:fldCharType="begin"/>
      </w:r>
      <w:r>
        <w:instrText xml:space="preserve"> PAGEREF _Toc428450684 \h </w:instrText>
      </w:r>
      <w:r>
        <w:fldChar w:fldCharType="separate"/>
      </w:r>
      <w:r w:rsidR="007505A2">
        <w:t>27</w:t>
      </w:r>
      <w:r>
        <w:fldChar w:fldCharType="end"/>
      </w:r>
    </w:p>
    <w:p w14:paraId="3632D0A9" w14:textId="77777777" w:rsidR="00071CD8" w:rsidRDefault="00071CD8">
      <w:pPr>
        <w:pStyle w:val="TOC1"/>
        <w:rPr>
          <w:rFonts w:asciiTheme="minorHAnsi" w:eastAsiaTheme="minorEastAsia" w:hAnsiTheme="minorHAnsi" w:cstheme="minorBidi"/>
          <w:b w:val="0"/>
          <w:spacing w:val="0"/>
          <w:sz w:val="22"/>
          <w:szCs w:val="22"/>
        </w:rPr>
      </w:pPr>
      <w:r>
        <w:t>Code submission checklist</w:t>
      </w:r>
      <w:r>
        <w:tab/>
      </w:r>
      <w:r>
        <w:fldChar w:fldCharType="begin"/>
      </w:r>
      <w:r>
        <w:instrText xml:space="preserve"> PAGEREF _Toc428450685 \h </w:instrText>
      </w:r>
      <w:r>
        <w:fldChar w:fldCharType="separate"/>
      </w:r>
      <w:r w:rsidR="007505A2">
        <w:t>28</w:t>
      </w:r>
      <w:r>
        <w:fldChar w:fldCharType="end"/>
      </w:r>
    </w:p>
    <w:p w14:paraId="567BB597" w14:textId="77777777" w:rsidR="00071CD8" w:rsidRDefault="00071CD8">
      <w:pPr>
        <w:pStyle w:val="TOC1"/>
        <w:rPr>
          <w:rFonts w:asciiTheme="minorHAnsi" w:eastAsiaTheme="minorEastAsia" w:hAnsiTheme="minorHAnsi" w:cstheme="minorBidi"/>
          <w:b w:val="0"/>
          <w:spacing w:val="0"/>
          <w:sz w:val="22"/>
          <w:szCs w:val="22"/>
        </w:rPr>
      </w:pPr>
      <w:r>
        <w:t>More information</w:t>
      </w:r>
      <w:r>
        <w:tab/>
      </w:r>
      <w:r>
        <w:fldChar w:fldCharType="begin"/>
      </w:r>
      <w:r>
        <w:instrText xml:space="preserve"> PAGEREF _Toc428450686 \h </w:instrText>
      </w:r>
      <w:r>
        <w:fldChar w:fldCharType="separate"/>
      </w:r>
      <w:r w:rsidR="007505A2">
        <w:t>30</w:t>
      </w:r>
      <w:r>
        <w:fldChar w:fldCharType="end"/>
      </w:r>
    </w:p>
    <w:p w14:paraId="62F245A8" w14:textId="77777777" w:rsidR="00071CD8" w:rsidRDefault="00071CD8">
      <w:pPr>
        <w:pStyle w:val="TOC2"/>
        <w:rPr>
          <w:rFonts w:asciiTheme="minorHAnsi" w:eastAsiaTheme="minorEastAsia" w:hAnsiTheme="minorHAnsi" w:cstheme="minorBidi"/>
          <w:spacing w:val="0"/>
          <w:sz w:val="22"/>
          <w:szCs w:val="22"/>
        </w:rPr>
      </w:pPr>
      <w:r>
        <w:t>Other agencies</w:t>
      </w:r>
      <w:r>
        <w:tab/>
      </w:r>
      <w:r>
        <w:fldChar w:fldCharType="begin"/>
      </w:r>
      <w:r>
        <w:instrText xml:space="preserve"> PAGEREF _Toc428450687 \h </w:instrText>
      </w:r>
      <w:r>
        <w:fldChar w:fldCharType="separate"/>
      </w:r>
      <w:r w:rsidR="007505A2">
        <w:t>30</w:t>
      </w:r>
      <w:r>
        <w:fldChar w:fldCharType="end"/>
      </w:r>
    </w:p>
    <w:p w14:paraId="03673C24" w14:textId="77777777" w:rsidR="00071CD8" w:rsidRDefault="00071CD8">
      <w:pPr>
        <w:pStyle w:val="TOC3"/>
        <w:rPr>
          <w:rFonts w:asciiTheme="minorHAnsi" w:eastAsiaTheme="minorEastAsia" w:hAnsiTheme="minorHAnsi" w:cstheme="minorBidi"/>
        </w:rPr>
      </w:pPr>
      <w:r>
        <w:t>Australian Competition and Consumer Commission (ACCC)</w:t>
      </w:r>
      <w:r>
        <w:tab/>
      </w:r>
      <w:r>
        <w:fldChar w:fldCharType="begin"/>
      </w:r>
      <w:r>
        <w:instrText xml:space="preserve"> PAGEREF _Toc428450688 \h </w:instrText>
      </w:r>
      <w:r>
        <w:fldChar w:fldCharType="separate"/>
      </w:r>
      <w:r w:rsidR="007505A2">
        <w:t>30</w:t>
      </w:r>
      <w:r>
        <w:fldChar w:fldCharType="end"/>
      </w:r>
    </w:p>
    <w:p w14:paraId="2A7AD917" w14:textId="77777777" w:rsidR="00071CD8" w:rsidRDefault="00071CD8">
      <w:pPr>
        <w:pStyle w:val="TOC3"/>
        <w:rPr>
          <w:rFonts w:asciiTheme="minorHAnsi" w:eastAsiaTheme="minorEastAsia" w:hAnsiTheme="minorHAnsi" w:cstheme="minorBidi"/>
        </w:rPr>
      </w:pPr>
      <w:r>
        <w:t>Office of the Australian Information Commissioner</w:t>
      </w:r>
      <w:r>
        <w:tab/>
      </w:r>
      <w:r>
        <w:fldChar w:fldCharType="begin"/>
      </w:r>
      <w:r>
        <w:instrText xml:space="preserve"> PAGEREF _Toc428450689 \h </w:instrText>
      </w:r>
      <w:r>
        <w:fldChar w:fldCharType="separate"/>
      </w:r>
      <w:r w:rsidR="007505A2">
        <w:t>30</w:t>
      </w:r>
      <w:r>
        <w:fldChar w:fldCharType="end"/>
      </w:r>
    </w:p>
    <w:p w14:paraId="45E7210B" w14:textId="77777777" w:rsidR="00071CD8" w:rsidRDefault="00071CD8">
      <w:pPr>
        <w:pStyle w:val="TOC3"/>
        <w:rPr>
          <w:rFonts w:asciiTheme="minorHAnsi" w:eastAsiaTheme="minorEastAsia" w:hAnsiTheme="minorHAnsi" w:cstheme="minorBidi"/>
        </w:rPr>
      </w:pPr>
      <w:r w:rsidRPr="002F2791">
        <w:t>Telecommunications Industry Ombudsman (TIO)</w:t>
      </w:r>
      <w:r>
        <w:tab/>
      </w:r>
      <w:r>
        <w:fldChar w:fldCharType="begin"/>
      </w:r>
      <w:r>
        <w:instrText xml:space="preserve"> PAGEREF _Toc428450690 \h </w:instrText>
      </w:r>
      <w:r>
        <w:fldChar w:fldCharType="separate"/>
      </w:r>
      <w:r w:rsidR="007505A2">
        <w:t>30</w:t>
      </w:r>
      <w:r>
        <w:fldChar w:fldCharType="end"/>
      </w:r>
    </w:p>
    <w:p w14:paraId="4EEB8D18" w14:textId="77777777" w:rsidR="00071CD8" w:rsidRDefault="00071CD8">
      <w:pPr>
        <w:pStyle w:val="TOC1"/>
        <w:rPr>
          <w:rFonts w:asciiTheme="minorHAnsi" w:eastAsiaTheme="minorEastAsia" w:hAnsiTheme="minorHAnsi" w:cstheme="minorBidi"/>
          <w:b w:val="0"/>
          <w:spacing w:val="0"/>
          <w:sz w:val="22"/>
          <w:szCs w:val="22"/>
        </w:rPr>
      </w:pPr>
      <w:r>
        <w:t xml:space="preserve">Appendix A—Extract from the </w:t>
      </w:r>
      <w:r w:rsidRPr="002F2791">
        <w:rPr>
          <w:i/>
        </w:rPr>
        <w:t>Telecommunications Act 1997</w:t>
      </w:r>
      <w:r>
        <w:tab/>
      </w:r>
      <w:r>
        <w:fldChar w:fldCharType="begin"/>
      </w:r>
      <w:r>
        <w:instrText xml:space="preserve"> PAGEREF _Toc428450691 \h </w:instrText>
      </w:r>
      <w:r>
        <w:fldChar w:fldCharType="separate"/>
      </w:r>
      <w:r w:rsidR="007505A2">
        <w:t>31</w:t>
      </w:r>
      <w:r>
        <w:fldChar w:fldCharType="end"/>
      </w:r>
    </w:p>
    <w:p w14:paraId="3D90B35A" w14:textId="77777777" w:rsidR="00071CD8" w:rsidRPr="003935D8" w:rsidRDefault="00071CD8">
      <w:pPr>
        <w:pStyle w:val="TOC2"/>
        <w:rPr>
          <w:rFonts w:eastAsiaTheme="minorEastAsia" w:cs="Arial"/>
          <w:spacing w:val="0"/>
          <w:sz w:val="22"/>
          <w:szCs w:val="22"/>
        </w:rPr>
      </w:pPr>
      <w:r w:rsidRPr="003935D8">
        <w:rPr>
          <w:rFonts w:cs="Arial"/>
        </w:rPr>
        <w:t>Part 6—Industry codes and industry standards</w:t>
      </w:r>
      <w:r w:rsidRPr="003935D8">
        <w:rPr>
          <w:rFonts w:cs="Arial"/>
        </w:rPr>
        <w:tab/>
      </w:r>
      <w:r w:rsidRPr="003935D8">
        <w:rPr>
          <w:rFonts w:cs="Arial"/>
        </w:rPr>
        <w:fldChar w:fldCharType="begin"/>
      </w:r>
      <w:r w:rsidRPr="003935D8">
        <w:rPr>
          <w:rFonts w:cs="Arial"/>
        </w:rPr>
        <w:instrText xml:space="preserve"> PAGEREF _Toc428450692 \h </w:instrText>
      </w:r>
      <w:r w:rsidRPr="003935D8">
        <w:rPr>
          <w:rFonts w:cs="Arial"/>
        </w:rPr>
      </w:r>
      <w:r w:rsidRPr="003935D8">
        <w:rPr>
          <w:rFonts w:cs="Arial"/>
        </w:rPr>
        <w:fldChar w:fldCharType="separate"/>
      </w:r>
      <w:r w:rsidR="007505A2" w:rsidRPr="003935D8">
        <w:rPr>
          <w:rFonts w:cs="Arial"/>
        </w:rPr>
        <w:t>31</w:t>
      </w:r>
      <w:r w:rsidRPr="003935D8">
        <w:rPr>
          <w:rFonts w:cs="Arial"/>
        </w:rPr>
        <w:fldChar w:fldCharType="end"/>
      </w:r>
    </w:p>
    <w:p w14:paraId="733D512B" w14:textId="77777777" w:rsidR="00071CD8" w:rsidRPr="003935D8" w:rsidRDefault="00071CD8">
      <w:pPr>
        <w:pStyle w:val="TOC3"/>
        <w:rPr>
          <w:rFonts w:eastAsiaTheme="minorEastAsia" w:cs="Arial"/>
        </w:rPr>
      </w:pPr>
      <w:r w:rsidRPr="003935D8">
        <w:rPr>
          <w:rFonts w:cs="Arial"/>
        </w:rPr>
        <w:t>Division 1—Simplified outline</w:t>
      </w:r>
      <w:r w:rsidRPr="003935D8">
        <w:rPr>
          <w:rFonts w:cs="Arial"/>
        </w:rPr>
        <w:tab/>
      </w:r>
      <w:r w:rsidRPr="003935D8">
        <w:rPr>
          <w:rFonts w:cs="Arial"/>
        </w:rPr>
        <w:fldChar w:fldCharType="begin"/>
      </w:r>
      <w:r w:rsidRPr="003935D8">
        <w:rPr>
          <w:rFonts w:cs="Arial"/>
        </w:rPr>
        <w:instrText xml:space="preserve"> PAGEREF _Toc428450693 \h </w:instrText>
      </w:r>
      <w:r w:rsidRPr="003935D8">
        <w:rPr>
          <w:rFonts w:cs="Arial"/>
        </w:rPr>
      </w:r>
      <w:r w:rsidRPr="003935D8">
        <w:rPr>
          <w:rFonts w:cs="Arial"/>
        </w:rPr>
        <w:fldChar w:fldCharType="separate"/>
      </w:r>
      <w:r w:rsidR="007505A2" w:rsidRPr="003935D8">
        <w:rPr>
          <w:rFonts w:cs="Arial"/>
        </w:rPr>
        <w:t>31</w:t>
      </w:r>
      <w:r w:rsidRPr="003935D8">
        <w:rPr>
          <w:rFonts w:cs="Arial"/>
        </w:rPr>
        <w:fldChar w:fldCharType="end"/>
      </w:r>
    </w:p>
    <w:p w14:paraId="125FD7C9" w14:textId="77777777" w:rsidR="00071CD8" w:rsidRPr="003935D8" w:rsidRDefault="00071CD8">
      <w:pPr>
        <w:pStyle w:val="TOC3"/>
        <w:rPr>
          <w:rFonts w:eastAsiaTheme="minorEastAsia" w:cs="Arial"/>
        </w:rPr>
      </w:pPr>
      <w:r w:rsidRPr="003935D8">
        <w:rPr>
          <w:rFonts w:cs="Arial"/>
        </w:rPr>
        <w:t>Division 2</w:t>
      </w:r>
      <w:r w:rsidRPr="003935D8">
        <w:rPr>
          <w:rFonts w:cs="Arial"/>
          <w:i/>
        </w:rPr>
        <w:t>—</w:t>
      </w:r>
      <w:r w:rsidRPr="003935D8">
        <w:rPr>
          <w:rFonts w:cs="Arial"/>
        </w:rPr>
        <w:t>Interpretation</w:t>
      </w:r>
      <w:r w:rsidRPr="003935D8">
        <w:rPr>
          <w:rFonts w:cs="Arial"/>
        </w:rPr>
        <w:tab/>
      </w:r>
      <w:r w:rsidRPr="003935D8">
        <w:rPr>
          <w:rFonts w:cs="Arial"/>
        </w:rPr>
        <w:fldChar w:fldCharType="begin"/>
      </w:r>
      <w:r w:rsidRPr="003935D8">
        <w:rPr>
          <w:rFonts w:cs="Arial"/>
        </w:rPr>
        <w:instrText xml:space="preserve"> PAGEREF _Toc428450694 \h </w:instrText>
      </w:r>
      <w:r w:rsidRPr="003935D8">
        <w:rPr>
          <w:rFonts w:cs="Arial"/>
        </w:rPr>
      </w:r>
      <w:r w:rsidRPr="003935D8">
        <w:rPr>
          <w:rFonts w:cs="Arial"/>
        </w:rPr>
        <w:fldChar w:fldCharType="separate"/>
      </w:r>
      <w:r w:rsidR="007505A2" w:rsidRPr="003935D8">
        <w:rPr>
          <w:rFonts w:cs="Arial"/>
        </w:rPr>
        <w:t>32</w:t>
      </w:r>
      <w:r w:rsidRPr="003935D8">
        <w:rPr>
          <w:rFonts w:cs="Arial"/>
        </w:rPr>
        <w:fldChar w:fldCharType="end"/>
      </w:r>
    </w:p>
    <w:p w14:paraId="01E5E28F" w14:textId="77777777" w:rsidR="00071CD8" w:rsidRPr="003935D8" w:rsidRDefault="00071CD8">
      <w:pPr>
        <w:pStyle w:val="TOC3"/>
        <w:rPr>
          <w:rFonts w:eastAsiaTheme="minorEastAsia" w:cs="Arial"/>
        </w:rPr>
      </w:pPr>
      <w:r w:rsidRPr="003935D8">
        <w:rPr>
          <w:rFonts w:cs="Arial"/>
        </w:rPr>
        <w:t>Division 3—General principles relating to industry codes and industry standards</w:t>
      </w:r>
      <w:r w:rsidRPr="003935D8">
        <w:rPr>
          <w:rFonts w:cs="Arial"/>
        </w:rPr>
        <w:tab/>
      </w:r>
      <w:r w:rsidRPr="003935D8">
        <w:rPr>
          <w:rFonts w:cs="Arial"/>
        </w:rPr>
        <w:fldChar w:fldCharType="begin"/>
      </w:r>
      <w:r w:rsidRPr="003935D8">
        <w:rPr>
          <w:rFonts w:cs="Arial"/>
        </w:rPr>
        <w:instrText xml:space="preserve"> PAGEREF _Toc428450695 \h </w:instrText>
      </w:r>
      <w:r w:rsidRPr="003935D8">
        <w:rPr>
          <w:rFonts w:cs="Arial"/>
        </w:rPr>
      </w:r>
      <w:r w:rsidRPr="003935D8">
        <w:rPr>
          <w:rFonts w:cs="Arial"/>
        </w:rPr>
        <w:fldChar w:fldCharType="separate"/>
      </w:r>
      <w:r w:rsidR="007505A2" w:rsidRPr="003935D8">
        <w:rPr>
          <w:rFonts w:cs="Arial"/>
        </w:rPr>
        <w:t>39</w:t>
      </w:r>
      <w:r w:rsidRPr="003935D8">
        <w:rPr>
          <w:rFonts w:cs="Arial"/>
        </w:rPr>
        <w:fldChar w:fldCharType="end"/>
      </w:r>
    </w:p>
    <w:p w14:paraId="6B3145B0" w14:textId="77777777" w:rsidR="00071CD8" w:rsidRDefault="00071CD8">
      <w:pPr>
        <w:pStyle w:val="TOC1"/>
        <w:rPr>
          <w:rFonts w:asciiTheme="minorHAnsi" w:eastAsiaTheme="minorEastAsia" w:hAnsiTheme="minorHAnsi" w:cstheme="minorBidi"/>
          <w:b w:val="0"/>
          <w:spacing w:val="0"/>
          <w:sz w:val="22"/>
          <w:szCs w:val="22"/>
        </w:rPr>
      </w:pPr>
      <w:r>
        <w:t>Appendix B—Code drafting principles</w:t>
      </w:r>
      <w:r>
        <w:tab/>
      </w:r>
      <w:r>
        <w:fldChar w:fldCharType="begin"/>
      </w:r>
      <w:r>
        <w:instrText xml:space="preserve"> PAGEREF _Toc428450696 \h </w:instrText>
      </w:r>
      <w:r>
        <w:fldChar w:fldCharType="separate"/>
      </w:r>
      <w:r w:rsidR="007505A2">
        <w:t>73</w:t>
      </w:r>
      <w:r>
        <w:fldChar w:fldCharType="end"/>
      </w:r>
    </w:p>
    <w:p w14:paraId="5C4B648E" w14:textId="77777777" w:rsidR="00071CD8" w:rsidRDefault="00071CD8">
      <w:pPr>
        <w:pStyle w:val="TOC2"/>
        <w:rPr>
          <w:rFonts w:asciiTheme="minorHAnsi" w:eastAsiaTheme="minorEastAsia" w:hAnsiTheme="minorHAnsi" w:cstheme="minorBidi"/>
          <w:spacing w:val="0"/>
          <w:sz w:val="22"/>
          <w:szCs w:val="22"/>
        </w:rPr>
      </w:pPr>
      <w:r>
        <w:t>Structure</w:t>
      </w:r>
      <w:r>
        <w:tab/>
      </w:r>
      <w:r>
        <w:fldChar w:fldCharType="begin"/>
      </w:r>
      <w:r>
        <w:instrText xml:space="preserve"> PAGEREF _Toc428450697 \h </w:instrText>
      </w:r>
      <w:r>
        <w:fldChar w:fldCharType="separate"/>
      </w:r>
      <w:r w:rsidR="007505A2">
        <w:t>73</w:t>
      </w:r>
      <w:r>
        <w:fldChar w:fldCharType="end"/>
      </w:r>
    </w:p>
    <w:p w14:paraId="535D707B" w14:textId="77777777" w:rsidR="00071CD8" w:rsidRDefault="00071CD8">
      <w:pPr>
        <w:pStyle w:val="TOC2"/>
        <w:rPr>
          <w:rFonts w:asciiTheme="minorHAnsi" w:eastAsiaTheme="minorEastAsia" w:hAnsiTheme="minorHAnsi" w:cstheme="minorBidi"/>
          <w:spacing w:val="0"/>
          <w:sz w:val="22"/>
          <w:szCs w:val="22"/>
        </w:rPr>
      </w:pPr>
      <w:r>
        <w:lastRenderedPageBreak/>
        <w:t>Language</w:t>
      </w:r>
      <w:r>
        <w:tab/>
      </w:r>
      <w:r>
        <w:fldChar w:fldCharType="begin"/>
      </w:r>
      <w:r>
        <w:instrText xml:space="preserve"> PAGEREF _Toc428450698 \h </w:instrText>
      </w:r>
      <w:r>
        <w:fldChar w:fldCharType="separate"/>
      </w:r>
      <w:r w:rsidR="007505A2">
        <w:t>73</w:t>
      </w:r>
      <w:r>
        <w:fldChar w:fldCharType="end"/>
      </w:r>
    </w:p>
    <w:p w14:paraId="42B0F0CE" w14:textId="77777777" w:rsidR="00071CD8" w:rsidRDefault="00071CD8">
      <w:pPr>
        <w:pStyle w:val="TOC2"/>
        <w:rPr>
          <w:rFonts w:asciiTheme="minorHAnsi" w:eastAsiaTheme="minorEastAsia" w:hAnsiTheme="minorHAnsi" w:cstheme="minorBidi"/>
          <w:spacing w:val="0"/>
          <w:sz w:val="22"/>
          <w:szCs w:val="22"/>
        </w:rPr>
      </w:pPr>
      <w:r>
        <w:t>Definitions</w:t>
      </w:r>
      <w:r>
        <w:tab/>
      </w:r>
      <w:r>
        <w:fldChar w:fldCharType="begin"/>
      </w:r>
      <w:r>
        <w:instrText xml:space="preserve"> PAGEREF _Toc428450699 \h </w:instrText>
      </w:r>
      <w:r>
        <w:fldChar w:fldCharType="separate"/>
      </w:r>
      <w:r w:rsidR="007505A2">
        <w:t>73</w:t>
      </w:r>
      <w:r>
        <w:fldChar w:fldCharType="end"/>
      </w:r>
    </w:p>
    <w:p w14:paraId="1912EBAD" w14:textId="77777777" w:rsidR="00071CD8" w:rsidRDefault="00071CD8">
      <w:pPr>
        <w:pStyle w:val="TOC2"/>
        <w:rPr>
          <w:rFonts w:asciiTheme="minorHAnsi" w:eastAsiaTheme="minorEastAsia" w:hAnsiTheme="minorHAnsi" w:cstheme="minorBidi"/>
          <w:spacing w:val="0"/>
          <w:sz w:val="22"/>
          <w:szCs w:val="22"/>
        </w:rPr>
      </w:pPr>
      <w:r>
        <w:t>Changing defined terms</w:t>
      </w:r>
      <w:r>
        <w:tab/>
      </w:r>
      <w:r>
        <w:fldChar w:fldCharType="begin"/>
      </w:r>
      <w:r>
        <w:instrText xml:space="preserve"> PAGEREF _Toc428450700 \h </w:instrText>
      </w:r>
      <w:r>
        <w:fldChar w:fldCharType="separate"/>
      </w:r>
      <w:r w:rsidR="007505A2">
        <w:t>74</w:t>
      </w:r>
      <w:r>
        <w:fldChar w:fldCharType="end"/>
      </w:r>
    </w:p>
    <w:p w14:paraId="05E8015A" w14:textId="77777777" w:rsidR="00071CD8" w:rsidRDefault="00071CD8">
      <w:pPr>
        <w:pStyle w:val="TOC2"/>
        <w:rPr>
          <w:rFonts w:asciiTheme="minorHAnsi" w:eastAsiaTheme="minorEastAsia" w:hAnsiTheme="minorHAnsi" w:cstheme="minorBidi"/>
          <w:spacing w:val="0"/>
          <w:sz w:val="22"/>
          <w:szCs w:val="22"/>
        </w:rPr>
      </w:pPr>
      <w:r>
        <w:t>What should definitions not do?</w:t>
      </w:r>
      <w:r>
        <w:tab/>
      </w:r>
      <w:r>
        <w:fldChar w:fldCharType="begin"/>
      </w:r>
      <w:r>
        <w:instrText xml:space="preserve"> PAGEREF _Toc428450701 \h </w:instrText>
      </w:r>
      <w:r>
        <w:fldChar w:fldCharType="separate"/>
      </w:r>
      <w:r w:rsidR="007505A2">
        <w:t>74</w:t>
      </w:r>
      <w:r>
        <w:fldChar w:fldCharType="end"/>
      </w:r>
    </w:p>
    <w:p w14:paraId="30888155" w14:textId="77777777" w:rsidR="00071CD8" w:rsidRDefault="00071CD8">
      <w:pPr>
        <w:pStyle w:val="TOC2"/>
        <w:rPr>
          <w:rFonts w:asciiTheme="minorHAnsi" w:eastAsiaTheme="minorEastAsia" w:hAnsiTheme="minorHAnsi" w:cstheme="minorBidi"/>
          <w:spacing w:val="0"/>
          <w:sz w:val="22"/>
          <w:szCs w:val="22"/>
        </w:rPr>
      </w:pPr>
      <w:r>
        <w:t>Precedents</w:t>
      </w:r>
      <w:r>
        <w:tab/>
      </w:r>
      <w:r>
        <w:fldChar w:fldCharType="begin"/>
      </w:r>
      <w:r>
        <w:instrText xml:space="preserve"> PAGEREF _Toc428450702 \h </w:instrText>
      </w:r>
      <w:r>
        <w:fldChar w:fldCharType="separate"/>
      </w:r>
      <w:r w:rsidR="007505A2">
        <w:t>74</w:t>
      </w:r>
      <w:r>
        <w:fldChar w:fldCharType="end"/>
      </w:r>
    </w:p>
    <w:p w14:paraId="7FD67716" w14:textId="7BCC1727" w:rsidR="00071CD8" w:rsidRDefault="00071CD8">
      <w:pPr>
        <w:pStyle w:val="TOC2"/>
        <w:rPr>
          <w:rFonts w:asciiTheme="minorHAnsi" w:eastAsiaTheme="minorEastAsia" w:hAnsiTheme="minorHAnsi" w:cstheme="minorBidi"/>
          <w:spacing w:val="0"/>
          <w:sz w:val="22"/>
          <w:szCs w:val="22"/>
        </w:rPr>
      </w:pPr>
      <w:r>
        <w:t>Style</w:t>
      </w:r>
      <w:r>
        <w:tab/>
      </w:r>
      <w:r>
        <w:tab/>
      </w:r>
      <w:r>
        <w:fldChar w:fldCharType="begin"/>
      </w:r>
      <w:r>
        <w:instrText xml:space="preserve"> PAGEREF _Toc428450703 \h </w:instrText>
      </w:r>
      <w:r>
        <w:fldChar w:fldCharType="separate"/>
      </w:r>
      <w:r w:rsidR="007505A2">
        <w:t>74</w:t>
      </w:r>
      <w:r>
        <w:fldChar w:fldCharType="end"/>
      </w:r>
    </w:p>
    <w:p w14:paraId="61A385B2" w14:textId="2408717C" w:rsidR="00071CD8" w:rsidRDefault="00071CD8">
      <w:pPr>
        <w:pStyle w:val="TOC2"/>
        <w:rPr>
          <w:rFonts w:asciiTheme="minorHAnsi" w:eastAsiaTheme="minorEastAsia" w:hAnsiTheme="minorHAnsi" w:cstheme="minorBidi"/>
          <w:spacing w:val="0"/>
          <w:sz w:val="22"/>
          <w:szCs w:val="22"/>
        </w:rPr>
      </w:pPr>
      <w:r>
        <w:t>Time</w:t>
      </w:r>
      <w:r>
        <w:tab/>
      </w:r>
      <w:r>
        <w:tab/>
      </w:r>
      <w:r>
        <w:fldChar w:fldCharType="begin"/>
      </w:r>
      <w:r>
        <w:instrText xml:space="preserve"> PAGEREF _Toc428450704 \h </w:instrText>
      </w:r>
      <w:r>
        <w:fldChar w:fldCharType="separate"/>
      </w:r>
      <w:r w:rsidR="007505A2">
        <w:t>74</w:t>
      </w:r>
      <w:r>
        <w:fldChar w:fldCharType="end"/>
      </w:r>
    </w:p>
    <w:p w14:paraId="594CDD7F" w14:textId="77777777" w:rsidR="00071CD8" w:rsidRDefault="00071CD8">
      <w:pPr>
        <w:pStyle w:val="TOC2"/>
        <w:rPr>
          <w:rFonts w:asciiTheme="minorHAnsi" w:eastAsiaTheme="minorEastAsia" w:hAnsiTheme="minorHAnsi" w:cstheme="minorBidi"/>
          <w:spacing w:val="0"/>
          <w:sz w:val="22"/>
          <w:szCs w:val="22"/>
        </w:rPr>
      </w:pPr>
      <w:r>
        <w:t>When drafting is finished</w:t>
      </w:r>
      <w:r>
        <w:tab/>
      </w:r>
      <w:r>
        <w:fldChar w:fldCharType="begin"/>
      </w:r>
      <w:r>
        <w:instrText xml:space="preserve"> PAGEREF _Toc428450705 \h </w:instrText>
      </w:r>
      <w:r>
        <w:fldChar w:fldCharType="separate"/>
      </w:r>
      <w:r w:rsidR="007505A2">
        <w:t>74</w:t>
      </w:r>
      <w:r>
        <w:fldChar w:fldCharType="end"/>
      </w:r>
    </w:p>
    <w:p w14:paraId="74DA3730" w14:textId="77777777" w:rsidR="00071CD8" w:rsidRDefault="00071CD8">
      <w:pPr>
        <w:pStyle w:val="TOC1"/>
        <w:rPr>
          <w:rFonts w:asciiTheme="minorHAnsi" w:eastAsiaTheme="minorEastAsia" w:hAnsiTheme="minorHAnsi" w:cstheme="minorBidi"/>
          <w:b w:val="0"/>
          <w:spacing w:val="0"/>
          <w:sz w:val="22"/>
          <w:szCs w:val="22"/>
        </w:rPr>
      </w:pPr>
      <w:r>
        <w:t>Appendix C—Drafting checklist: what codes must contain</w:t>
      </w:r>
      <w:r>
        <w:tab/>
      </w:r>
      <w:r>
        <w:fldChar w:fldCharType="begin"/>
      </w:r>
      <w:r>
        <w:instrText xml:space="preserve"> PAGEREF _Toc428450706 \h </w:instrText>
      </w:r>
      <w:r>
        <w:fldChar w:fldCharType="separate"/>
      </w:r>
      <w:r w:rsidR="007505A2">
        <w:t>75</w:t>
      </w:r>
      <w:r>
        <w:fldChar w:fldCharType="end"/>
      </w:r>
    </w:p>
    <w:p w14:paraId="72841569" w14:textId="77777777" w:rsidR="00071CD8" w:rsidRDefault="00071CD8">
      <w:pPr>
        <w:pStyle w:val="TOC2"/>
        <w:rPr>
          <w:rFonts w:asciiTheme="minorHAnsi" w:eastAsiaTheme="minorEastAsia" w:hAnsiTheme="minorHAnsi" w:cstheme="minorBidi"/>
          <w:spacing w:val="0"/>
          <w:sz w:val="22"/>
          <w:szCs w:val="22"/>
        </w:rPr>
      </w:pPr>
      <w:r>
        <w:t>Application of the code</w:t>
      </w:r>
      <w:r>
        <w:tab/>
      </w:r>
      <w:r>
        <w:fldChar w:fldCharType="begin"/>
      </w:r>
      <w:r>
        <w:instrText xml:space="preserve"> PAGEREF _Toc428450707 \h </w:instrText>
      </w:r>
      <w:r>
        <w:fldChar w:fldCharType="separate"/>
      </w:r>
      <w:r w:rsidR="007505A2">
        <w:t>75</w:t>
      </w:r>
      <w:r>
        <w:fldChar w:fldCharType="end"/>
      </w:r>
    </w:p>
    <w:p w14:paraId="5036496A" w14:textId="3C4E9FE6" w:rsidR="00071CD8" w:rsidRDefault="00071CD8">
      <w:pPr>
        <w:pStyle w:val="TOC2"/>
        <w:rPr>
          <w:rFonts w:asciiTheme="minorHAnsi" w:eastAsiaTheme="minorEastAsia" w:hAnsiTheme="minorHAnsi" w:cstheme="minorBidi"/>
          <w:spacing w:val="0"/>
          <w:sz w:val="22"/>
          <w:szCs w:val="22"/>
        </w:rPr>
      </w:pPr>
      <w:r>
        <w:t>Content</w:t>
      </w:r>
      <w:r>
        <w:tab/>
      </w:r>
      <w:r w:rsidR="00A86C91">
        <w:tab/>
      </w:r>
      <w:r>
        <w:fldChar w:fldCharType="begin"/>
      </w:r>
      <w:r>
        <w:instrText xml:space="preserve"> PAGEREF _Toc428450708 \h </w:instrText>
      </w:r>
      <w:r>
        <w:fldChar w:fldCharType="separate"/>
      </w:r>
      <w:r w:rsidR="007505A2">
        <w:t>75</w:t>
      </w:r>
      <w:r>
        <w:fldChar w:fldCharType="end"/>
      </w:r>
    </w:p>
    <w:p w14:paraId="4DAB537B" w14:textId="77777777" w:rsidR="00071CD8" w:rsidRDefault="00071CD8">
      <w:pPr>
        <w:pStyle w:val="TOC2"/>
        <w:rPr>
          <w:rFonts w:asciiTheme="minorHAnsi" w:eastAsiaTheme="minorEastAsia" w:hAnsiTheme="minorHAnsi" w:cstheme="minorBidi"/>
          <w:spacing w:val="0"/>
          <w:sz w:val="22"/>
          <w:szCs w:val="22"/>
        </w:rPr>
      </w:pPr>
      <w:r>
        <w:t>Administration</w:t>
      </w:r>
      <w:r>
        <w:tab/>
      </w:r>
      <w:r>
        <w:fldChar w:fldCharType="begin"/>
      </w:r>
      <w:r>
        <w:instrText xml:space="preserve"> PAGEREF _Toc428450709 \h </w:instrText>
      </w:r>
      <w:r>
        <w:fldChar w:fldCharType="separate"/>
      </w:r>
      <w:r w:rsidR="007505A2">
        <w:t>75</w:t>
      </w:r>
      <w:r>
        <w:fldChar w:fldCharType="end"/>
      </w:r>
    </w:p>
    <w:p w14:paraId="40AE65B5" w14:textId="77777777" w:rsidR="00071CD8" w:rsidRDefault="00071CD8">
      <w:pPr>
        <w:pStyle w:val="TOC2"/>
        <w:rPr>
          <w:rFonts w:asciiTheme="minorHAnsi" w:eastAsiaTheme="minorEastAsia" w:hAnsiTheme="minorHAnsi" w:cstheme="minorBidi"/>
          <w:spacing w:val="0"/>
          <w:sz w:val="22"/>
          <w:szCs w:val="22"/>
        </w:rPr>
      </w:pPr>
      <w:r>
        <w:t>Consultation</w:t>
      </w:r>
      <w:r>
        <w:tab/>
      </w:r>
      <w:r>
        <w:fldChar w:fldCharType="begin"/>
      </w:r>
      <w:r>
        <w:instrText xml:space="preserve"> PAGEREF _Toc428450710 \h </w:instrText>
      </w:r>
      <w:r>
        <w:fldChar w:fldCharType="separate"/>
      </w:r>
      <w:r w:rsidR="007505A2">
        <w:t>75</w:t>
      </w:r>
      <w:r>
        <w:fldChar w:fldCharType="end"/>
      </w:r>
    </w:p>
    <w:p w14:paraId="7D80AA4A" w14:textId="77777777" w:rsidR="00071CD8" w:rsidRDefault="00071CD8">
      <w:pPr>
        <w:pStyle w:val="TOC2"/>
        <w:rPr>
          <w:rFonts w:asciiTheme="minorHAnsi" w:eastAsiaTheme="minorEastAsia" w:hAnsiTheme="minorHAnsi" w:cstheme="minorBidi"/>
          <w:spacing w:val="0"/>
          <w:sz w:val="22"/>
          <w:szCs w:val="22"/>
        </w:rPr>
      </w:pPr>
      <w:r>
        <w:t>Replacement codes</w:t>
      </w:r>
      <w:r>
        <w:tab/>
      </w:r>
      <w:r>
        <w:fldChar w:fldCharType="begin"/>
      </w:r>
      <w:r>
        <w:instrText xml:space="preserve"> PAGEREF _Toc428450711 \h </w:instrText>
      </w:r>
      <w:r>
        <w:fldChar w:fldCharType="separate"/>
      </w:r>
      <w:r w:rsidR="007505A2">
        <w:t>75</w:t>
      </w:r>
      <w:r>
        <w:fldChar w:fldCharType="end"/>
      </w:r>
    </w:p>
    <w:p w14:paraId="4C11DB68" w14:textId="77777777" w:rsidR="00071CD8" w:rsidRDefault="00071CD8">
      <w:pPr>
        <w:pStyle w:val="TOC1"/>
        <w:rPr>
          <w:rFonts w:asciiTheme="minorHAnsi" w:eastAsiaTheme="minorEastAsia" w:hAnsiTheme="minorHAnsi" w:cstheme="minorBidi"/>
          <w:b w:val="0"/>
          <w:spacing w:val="0"/>
          <w:sz w:val="22"/>
          <w:szCs w:val="22"/>
        </w:rPr>
      </w:pPr>
      <w:r>
        <w:t>Appendix D—Bilateral clauses</w:t>
      </w:r>
      <w:r>
        <w:tab/>
      </w:r>
      <w:r>
        <w:fldChar w:fldCharType="begin"/>
      </w:r>
      <w:r>
        <w:instrText xml:space="preserve"> PAGEREF _Toc428450712 \h </w:instrText>
      </w:r>
      <w:r>
        <w:fldChar w:fldCharType="separate"/>
      </w:r>
      <w:r w:rsidR="007505A2">
        <w:t>76</w:t>
      </w:r>
      <w:r>
        <w:fldChar w:fldCharType="end"/>
      </w:r>
    </w:p>
    <w:p w14:paraId="641B0ECE" w14:textId="77777777" w:rsidR="00071CD8" w:rsidRDefault="00071CD8">
      <w:pPr>
        <w:pStyle w:val="TOC1"/>
        <w:rPr>
          <w:rFonts w:asciiTheme="minorHAnsi" w:eastAsiaTheme="minorEastAsia" w:hAnsiTheme="minorHAnsi" w:cstheme="minorBidi"/>
          <w:b w:val="0"/>
          <w:spacing w:val="0"/>
          <w:sz w:val="22"/>
          <w:szCs w:val="22"/>
        </w:rPr>
      </w:pPr>
      <w:r>
        <w:t>Appendix E—Template for explanatory statement for an industry code</w:t>
      </w:r>
      <w:r>
        <w:tab/>
      </w:r>
      <w:r>
        <w:fldChar w:fldCharType="begin"/>
      </w:r>
      <w:r>
        <w:instrText xml:space="preserve"> PAGEREF _Toc428450713 \h </w:instrText>
      </w:r>
      <w:r>
        <w:fldChar w:fldCharType="separate"/>
      </w:r>
      <w:r w:rsidR="007505A2">
        <w:t>77</w:t>
      </w:r>
      <w:r>
        <w:fldChar w:fldCharType="end"/>
      </w:r>
    </w:p>
    <w:p w14:paraId="7D13CF7F" w14:textId="77777777" w:rsidR="00071CD8" w:rsidRDefault="00071CD8">
      <w:pPr>
        <w:pStyle w:val="TOC1"/>
        <w:rPr>
          <w:rFonts w:asciiTheme="minorHAnsi" w:eastAsiaTheme="minorEastAsia" w:hAnsiTheme="minorHAnsi" w:cstheme="minorBidi"/>
          <w:b w:val="0"/>
          <w:spacing w:val="0"/>
          <w:sz w:val="22"/>
          <w:szCs w:val="22"/>
        </w:rPr>
      </w:pPr>
      <w:r>
        <w:t>Appendix F—Framework for planning code development</w:t>
      </w:r>
      <w:r>
        <w:tab/>
      </w:r>
      <w:r>
        <w:fldChar w:fldCharType="begin"/>
      </w:r>
      <w:r>
        <w:instrText xml:space="preserve"> PAGEREF _Toc428450714 \h </w:instrText>
      </w:r>
      <w:r>
        <w:fldChar w:fldCharType="separate"/>
      </w:r>
      <w:r w:rsidR="007505A2">
        <w:t>78</w:t>
      </w:r>
      <w:r>
        <w:fldChar w:fldCharType="end"/>
      </w:r>
    </w:p>
    <w:p w14:paraId="27F4A070" w14:textId="3EDBDD6F" w:rsidR="001B2C9D" w:rsidRDefault="007A6CC0" w:rsidP="00A86C91">
      <w:pPr>
        <w:rPr>
          <w:rFonts w:cs="Arial"/>
        </w:rPr>
      </w:pPr>
      <w:r>
        <w:rPr>
          <w:rFonts w:cs="Arial"/>
          <w:b/>
          <w:noProof/>
          <w:spacing w:val="-14"/>
          <w:sz w:val="28"/>
        </w:rPr>
        <w:fldChar w:fldCharType="end"/>
      </w:r>
    </w:p>
    <w:p w14:paraId="019EDA06" w14:textId="2FDEDCD8" w:rsidR="001B2C9D" w:rsidRDefault="001B2C9D" w:rsidP="00D33D94">
      <w:pPr>
        <w:rPr>
          <w:rFonts w:cs="Arial"/>
        </w:rPr>
      </w:pPr>
    </w:p>
    <w:p w14:paraId="13CB0AAF" w14:textId="77777777" w:rsidR="004D56FF" w:rsidRPr="001B2C9D" w:rsidRDefault="004D56FF" w:rsidP="001B2C9D">
      <w:pPr>
        <w:rPr>
          <w:rFonts w:cs="Arial"/>
        </w:rPr>
        <w:sectPr w:rsidR="004D56FF" w:rsidRPr="001B2C9D"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44D21CBB" w14:textId="77777777" w:rsidR="009D6C71" w:rsidRPr="009174F3" w:rsidRDefault="006C5BEE" w:rsidP="009174F3">
      <w:pPr>
        <w:pStyle w:val="ACMAExecSummaryHeading"/>
      </w:pPr>
      <w:bookmarkStart w:id="0" w:name="_Toc428450615"/>
      <w:r>
        <w:lastRenderedPageBreak/>
        <w:t>Introduction</w:t>
      </w:r>
      <w:bookmarkEnd w:id="0"/>
    </w:p>
    <w:p w14:paraId="4BA50914" w14:textId="0FD1A525" w:rsidR="006C5BEE" w:rsidRDefault="006C5BEE" w:rsidP="006C5BEE">
      <w:r w:rsidRPr="00580EE1">
        <w:t>This guide has been designed to assist industry bodies in writing industry codes for registration with the Australian Communications and Media Authority (</w:t>
      </w:r>
      <w:r>
        <w:t xml:space="preserve">the </w:t>
      </w:r>
      <w:r w:rsidRPr="00580EE1">
        <w:t>ACMA) under Part 6 (</w:t>
      </w:r>
      <w:r w:rsidRPr="00580EE1">
        <w:rPr>
          <w:i/>
        </w:rPr>
        <w:t>Industry codes and Industry standards</w:t>
      </w:r>
      <w:r w:rsidRPr="00580EE1">
        <w:t xml:space="preserve">) of the </w:t>
      </w:r>
      <w:r w:rsidRPr="00580EE1">
        <w:rPr>
          <w:i/>
        </w:rPr>
        <w:t xml:space="preserve">Telecommunications Act 1997 </w:t>
      </w:r>
      <w:r w:rsidR="004A1477">
        <w:rPr>
          <w:iCs/>
        </w:rPr>
        <w:t>(the Telecommunications Act</w:t>
      </w:r>
      <w:r w:rsidRPr="00580EE1">
        <w:rPr>
          <w:iCs/>
        </w:rPr>
        <w:t>)</w:t>
      </w:r>
      <w:r w:rsidRPr="00580EE1">
        <w:t>.</w:t>
      </w:r>
      <w:r w:rsidR="001B2C9D">
        <w:t xml:space="preserve"> </w:t>
      </w:r>
      <w:r w:rsidRPr="00580EE1">
        <w:t xml:space="preserve">It outlines </w:t>
      </w:r>
      <w:r>
        <w:t>the ACMA</w:t>
      </w:r>
      <w:r w:rsidRPr="00580EE1">
        <w:t xml:space="preserve">'s approach and procedures in relation to the codes </w:t>
      </w:r>
      <w:r w:rsidR="001B2C9D">
        <w:t>that</w:t>
      </w:r>
      <w:r w:rsidR="001B2C9D" w:rsidRPr="00580EE1">
        <w:t xml:space="preserve"> </w:t>
      </w:r>
      <w:r w:rsidRPr="00580EE1">
        <w:t xml:space="preserve">are presented to it by industry bodies for registration, either voluntarily, or following a request to develop a code by </w:t>
      </w:r>
      <w:r>
        <w:t>the ACMA</w:t>
      </w:r>
      <w:r w:rsidRPr="00580EE1">
        <w:t xml:space="preserve"> under </w:t>
      </w:r>
      <w:r w:rsidR="00A86C91">
        <w:t>s</w:t>
      </w:r>
      <w:r w:rsidRPr="00580EE1">
        <w:t>ection 118 of the Telecommunications Act.</w:t>
      </w:r>
      <w:r w:rsidR="001B2C9D">
        <w:t xml:space="preserve"> </w:t>
      </w:r>
      <w:r w:rsidRPr="00580EE1">
        <w:t xml:space="preserve">It is also intended as a general guide for consumers as to the criteria </w:t>
      </w:r>
      <w:r>
        <w:t>that</w:t>
      </w:r>
      <w:r w:rsidRPr="00580EE1">
        <w:t xml:space="preserve"> registered telecommunications industry codes must meet.</w:t>
      </w:r>
      <w:r w:rsidR="001B2C9D">
        <w:t xml:space="preserve"> </w:t>
      </w:r>
      <w:r w:rsidRPr="00580EE1">
        <w:t>This guide is not a substitute for the Telecommunications Act and is intended to be read in conjunction with and subject to Part 6 of the Telecommunications Act.</w:t>
      </w:r>
    </w:p>
    <w:p w14:paraId="155A1843" w14:textId="77777777" w:rsidR="006C5BEE" w:rsidRPr="00580EE1" w:rsidRDefault="006C5BEE" w:rsidP="006C5BEE">
      <w:r>
        <w:t xml:space="preserve">Changes to the Telecommunications Act made in March 2014 also permit registered codes to be varied. This aims to streamline the process of updating or improving an industry code. While this guide is primarily focused on </w:t>
      </w:r>
      <w:r w:rsidRPr="00D627B3">
        <w:rPr>
          <w:i/>
        </w:rPr>
        <w:t>developing</w:t>
      </w:r>
      <w:r>
        <w:t xml:space="preserve"> new codes, information about </w:t>
      </w:r>
      <w:r w:rsidRPr="00D627B3">
        <w:rPr>
          <w:i/>
        </w:rPr>
        <w:t>varying</w:t>
      </w:r>
      <w:r>
        <w:t xml:space="preserve"> an existing code is also provided. In most cases, the same requirements and guidelines apply to developing or varying a code. This guide notes where substantive differences apply.</w:t>
      </w:r>
    </w:p>
    <w:p w14:paraId="3C618D92" w14:textId="72144BB0" w:rsidR="006C5BEE" w:rsidRPr="00580EE1" w:rsidRDefault="006C5BEE" w:rsidP="006C5BEE">
      <w:r>
        <w:t xml:space="preserve">The </w:t>
      </w:r>
      <w:r w:rsidRPr="00580EE1">
        <w:t>ACMA is available to provide advice on codes at any stage during the process of code development</w:t>
      </w:r>
      <w:r>
        <w:t xml:space="preserve"> or variation</w:t>
      </w:r>
      <w:r w:rsidRPr="00580EE1">
        <w:t>, prior to an industry body applying for registration.</w:t>
      </w:r>
      <w:r w:rsidR="001B2C9D">
        <w:t xml:space="preserve"> </w:t>
      </w:r>
      <w:r w:rsidRPr="00580EE1">
        <w:t xml:space="preserve">Industry bodies seeking </w:t>
      </w:r>
      <w:r>
        <w:t>the ACMA</w:t>
      </w:r>
      <w:r w:rsidRPr="00580EE1">
        <w:t xml:space="preserve">’s advice are encouraged to approach </w:t>
      </w:r>
      <w:r>
        <w:t>the ACMA</w:t>
      </w:r>
      <w:r w:rsidRPr="00580EE1">
        <w:t xml:space="preserve"> as early as possible.</w:t>
      </w:r>
      <w:r w:rsidR="001B2C9D">
        <w:t xml:space="preserve"> </w:t>
      </w:r>
      <w:r w:rsidRPr="00580EE1">
        <w:t xml:space="preserve">It should be noted however that ACMA staff advice is provided without prejudice to a subsequent decision by </w:t>
      </w:r>
      <w:r>
        <w:t>the ACMA</w:t>
      </w:r>
      <w:r w:rsidRPr="00580EE1">
        <w:t xml:space="preserve"> on registering a code</w:t>
      </w:r>
      <w:r>
        <w:t xml:space="preserve"> or variations to a code.</w:t>
      </w:r>
      <w:r w:rsidRPr="00580EE1">
        <w:t xml:space="preserve"> </w:t>
      </w:r>
      <w:r>
        <w:t>The ACMA</w:t>
      </w:r>
      <w:r w:rsidRPr="00580EE1">
        <w:t xml:space="preserve"> reserves the right to exercise its powers under the Telecommunications Act to refuse a registration application for a code </w:t>
      </w:r>
      <w:r>
        <w:t>on which it has been consulted.</w:t>
      </w:r>
    </w:p>
    <w:p w14:paraId="0580DB9B" w14:textId="0FA89EB2" w:rsidR="006C5BEE" w:rsidRDefault="006C5BEE" w:rsidP="006C5BEE">
      <w:r w:rsidRPr="00580EE1">
        <w:t xml:space="preserve">Attached to this guide are forms for </w:t>
      </w:r>
      <w:r>
        <w:t>demonstrating that</w:t>
      </w:r>
      <w:r w:rsidRPr="00580EE1">
        <w:t xml:space="preserve"> </w:t>
      </w:r>
      <w:r>
        <w:t xml:space="preserve">the required </w:t>
      </w:r>
      <w:r w:rsidRPr="00580EE1">
        <w:t xml:space="preserve">consultation </w:t>
      </w:r>
      <w:r>
        <w:t xml:space="preserve">process in developing a code has been followed, </w:t>
      </w:r>
      <w:r w:rsidRPr="00580EE1">
        <w:t xml:space="preserve">and </w:t>
      </w:r>
      <w:r>
        <w:t xml:space="preserve">for </w:t>
      </w:r>
      <w:r w:rsidRPr="00580EE1">
        <w:t xml:space="preserve">applying for code registration with </w:t>
      </w:r>
      <w:r>
        <w:t>the ACMA</w:t>
      </w:r>
      <w:r w:rsidRPr="00580EE1">
        <w:t>.</w:t>
      </w:r>
      <w:r w:rsidR="001B2C9D">
        <w:t xml:space="preserve"> </w:t>
      </w:r>
      <w:r w:rsidRPr="00580EE1">
        <w:t xml:space="preserve">These two forms should be used when making an application to </w:t>
      </w:r>
      <w:r>
        <w:t>the ACMA</w:t>
      </w:r>
      <w:r w:rsidRPr="00580EE1">
        <w:t xml:space="preserve"> for registration of a code. </w:t>
      </w:r>
      <w:r w:rsidR="00633C70">
        <w:t>F</w:t>
      </w:r>
      <w:r>
        <w:t>orms for applying to the ACMA to vary a code are also available.</w:t>
      </w:r>
      <w:r w:rsidRPr="00580EE1">
        <w:t xml:space="preserve"> The guide and the forms are </w:t>
      </w:r>
      <w:r w:rsidR="004A1477">
        <w:t xml:space="preserve">also </w:t>
      </w:r>
      <w:r w:rsidR="00633C70">
        <w:t>available</w:t>
      </w:r>
      <w:r w:rsidRPr="00580EE1">
        <w:t xml:space="preserve"> on the </w:t>
      </w:r>
      <w:hyperlink r:id="rId24" w:history="1">
        <w:r w:rsidRPr="00F331FC">
          <w:rPr>
            <w:rStyle w:val="Hyperlink"/>
          </w:rPr>
          <w:t>ACMA website</w:t>
        </w:r>
      </w:hyperlink>
      <w:r w:rsidR="00F331FC">
        <w:t>.</w:t>
      </w:r>
    </w:p>
    <w:p w14:paraId="30722A51" w14:textId="4FD41718" w:rsidR="00DE6D49" w:rsidRPr="00F1490F" w:rsidRDefault="00DE6D49" w:rsidP="00F1490F">
      <w:pPr>
        <w:spacing w:after="0"/>
        <w:rPr>
          <w:i/>
        </w:rPr>
      </w:pPr>
      <w:r w:rsidRPr="00F1490F">
        <w:rPr>
          <w:i/>
        </w:rPr>
        <w:t>Disclaimer:</w:t>
      </w:r>
    </w:p>
    <w:p w14:paraId="26CE3500" w14:textId="78EF78AA" w:rsidR="00DE6D49" w:rsidRPr="00580EE1" w:rsidRDefault="00DE6D49" w:rsidP="006C5BEE">
      <w:r w:rsidRPr="00580EE1">
        <w:t xml:space="preserve">The information provided in this publication should be taken as a guide only and does not in any way either represent </w:t>
      </w:r>
      <w:r>
        <w:t>the ACMA’s</w:t>
      </w:r>
      <w:r w:rsidRPr="00580EE1">
        <w:t xml:space="preserve"> advice on specific circumstances, or limit the matters to which the ACMA may have regard in exercising its decision making powers in relation to the registration of industry codes under Part 6 of the </w:t>
      </w:r>
      <w:r w:rsidRPr="00580EE1">
        <w:rPr>
          <w:i/>
        </w:rPr>
        <w:t>Telecommunications Act 1997</w:t>
      </w:r>
      <w:r>
        <w:rPr>
          <w:i/>
        </w:rPr>
        <w:t>.</w:t>
      </w:r>
    </w:p>
    <w:p w14:paraId="3B757A50" w14:textId="3DEA19EB" w:rsidR="00BE4C11" w:rsidRPr="000D76E0" w:rsidRDefault="007A4A37" w:rsidP="00777BA2">
      <w:pPr>
        <w:pStyle w:val="Heading1"/>
      </w:pPr>
      <w:bookmarkStart w:id="1" w:name="_Toc428450616"/>
      <w:r>
        <w:lastRenderedPageBreak/>
        <w:t xml:space="preserve">Telecommunications </w:t>
      </w:r>
      <w:r w:rsidR="001B2C9D">
        <w:t>i</w:t>
      </w:r>
      <w:r>
        <w:t xml:space="preserve">ndustry </w:t>
      </w:r>
      <w:r w:rsidR="001B2C9D">
        <w:t>c</w:t>
      </w:r>
      <w:r>
        <w:t>odes</w:t>
      </w:r>
      <w:bookmarkEnd w:id="1"/>
      <w:r w:rsidR="0042762F" w:rsidRPr="00FF3C69">
        <w:t xml:space="preserve"> </w:t>
      </w:r>
    </w:p>
    <w:p w14:paraId="24E220F6" w14:textId="37B26783" w:rsidR="00FF3C69" w:rsidRPr="006D46E5" w:rsidRDefault="007A4A37" w:rsidP="00FF3C69">
      <w:pPr>
        <w:pStyle w:val="Heading2"/>
      </w:pPr>
      <w:bookmarkStart w:id="2" w:name="_Toc407079463"/>
      <w:bookmarkStart w:id="3" w:name="_Toc424128399"/>
      <w:bookmarkStart w:id="4" w:name="_Toc456165439"/>
      <w:bookmarkStart w:id="5" w:name="_Toc456165769"/>
      <w:bookmarkStart w:id="6" w:name="_Toc457357908"/>
      <w:bookmarkStart w:id="7" w:name="_Toc457384345"/>
      <w:bookmarkStart w:id="8" w:name="_Toc457712963"/>
      <w:bookmarkStart w:id="9" w:name="_Toc395876588"/>
      <w:bookmarkStart w:id="10" w:name="_Toc428450617"/>
      <w:r w:rsidRPr="00580EE1">
        <w:t>Outline of Part 6</w:t>
      </w:r>
      <w:r w:rsidR="001B2C9D">
        <w:t>—</w:t>
      </w:r>
      <w:r w:rsidRPr="00580EE1">
        <w:t>Industry codes and industry standards</w:t>
      </w:r>
      <w:bookmarkEnd w:id="2"/>
      <w:bookmarkEnd w:id="3"/>
      <w:bookmarkEnd w:id="4"/>
      <w:bookmarkEnd w:id="5"/>
      <w:bookmarkEnd w:id="6"/>
      <w:bookmarkEnd w:id="7"/>
      <w:bookmarkEnd w:id="8"/>
      <w:bookmarkEnd w:id="9"/>
      <w:bookmarkEnd w:id="10"/>
      <w:r w:rsidR="00FF3C69" w:rsidRPr="006D46E5">
        <w:t xml:space="preserve"> </w:t>
      </w:r>
    </w:p>
    <w:p w14:paraId="1217454D" w14:textId="119D6365" w:rsidR="007A4A37" w:rsidRPr="00580EE1" w:rsidRDefault="007A4A37" w:rsidP="007A4A37">
      <w:bookmarkStart w:id="11" w:name="_Toc348105634"/>
      <w:r w:rsidRPr="00580EE1">
        <w:t>Among the objects of the Telecommunications Act are the promotion of the long term interests of end users of carriage services and the efficiency and international competitiveness of the Australian telecommunications industry. Parliament’s intention includes that telecommunications be regulated in a manner which promotes the greatest practicable use of industry self-regulation.</w:t>
      </w:r>
      <w:r w:rsidR="001B2C9D">
        <w:t xml:space="preserve"> </w:t>
      </w:r>
      <w:r w:rsidRPr="00580EE1">
        <w:t>Part 6 of the Telecommunications Act provides a key plank of the industry self-regulatory regime throug</w:t>
      </w:r>
      <w:r>
        <w:t>h a scheme of industry codes.</w:t>
      </w:r>
      <w:r w:rsidR="001B2C9D">
        <w:t xml:space="preserve"> </w:t>
      </w:r>
    </w:p>
    <w:p w14:paraId="21CA5CD6" w14:textId="44FFBF97" w:rsidR="007A4A37" w:rsidRPr="00580EE1" w:rsidRDefault="007A4A37" w:rsidP="007A4A37">
      <w:r w:rsidRPr="00580EE1">
        <w:t>Industry codes can be developed by telecommunications industry bodies on matters</w:t>
      </w:r>
      <w:r>
        <w:t xml:space="preserve"> </w:t>
      </w:r>
      <w:r w:rsidR="00E37505">
        <w:t xml:space="preserve">relating to telecommunications, </w:t>
      </w:r>
      <w:r w:rsidRPr="00580EE1">
        <w:t xml:space="preserve">telemarketing </w:t>
      </w:r>
      <w:r w:rsidR="009E2AC9">
        <w:t xml:space="preserve">or fax marketing </w:t>
      </w:r>
      <w:r w:rsidR="009E2AC9" w:rsidRPr="00580EE1">
        <w:t>activity</w:t>
      </w:r>
      <w:r w:rsidRPr="00580EE1">
        <w:t>.</w:t>
      </w:r>
      <w:r w:rsidR="001B2C9D">
        <w:t xml:space="preserve"> </w:t>
      </w:r>
      <w:r w:rsidRPr="00580EE1">
        <w:t>These are defi</w:t>
      </w:r>
      <w:r w:rsidR="00E37505">
        <w:t xml:space="preserve">ned widely in </w:t>
      </w:r>
      <w:r w:rsidR="00A86C91">
        <w:t>section</w:t>
      </w:r>
      <w:r w:rsidR="00E37505">
        <w:t>s 109,</w:t>
      </w:r>
      <w:r>
        <w:t xml:space="preserve"> 109B and 109C</w:t>
      </w:r>
      <w:r w:rsidRPr="00580EE1">
        <w:t xml:space="preserve"> of the Telecommunications Act.</w:t>
      </w:r>
      <w:r w:rsidR="001B2C9D">
        <w:t xml:space="preserve"> </w:t>
      </w:r>
      <w:r w:rsidRPr="00580EE1">
        <w:t xml:space="preserve">Codes can be presented by industry bodies to </w:t>
      </w:r>
      <w:r>
        <w:t>the ACMA</w:t>
      </w:r>
      <w:r w:rsidRPr="00580EE1">
        <w:t xml:space="preserve"> for registration and where </w:t>
      </w:r>
      <w:r>
        <w:t>the ACMA</w:t>
      </w:r>
      <w:r w:rsidRPr="00580EE1">
        <w:t xml:space="preserve"> is satisfied that the code meets stipulated criteria at section 117 of the Telecommunications Act, it is obliged to include the code on a Register of industry codes and industry standards.</w:t>
      </w:r>
      <w:r w:rsidR="001B2C9D">
        <w:t xml:space="preserve"> </w:t>
      </w:r>
      <w:r w:rsidRPr="00580EE1">
        <w:t xml:space="preserve">This </w:t>
      </w:r>
      <w:hyperlink r:id="rId25" w:history="1">
        <w:r>
          <w:rPr>
            <w:rStyle w:val="Hyperlink"/>
          </w:rPr>
          <w:t>Register</w:t>
        </w:r>
      </w:hyperlink>
      <w:r>
        <w:t xml:space="preserve"> i</w:t>
      </w:r>
      <w:r w:rsidRPr="00580EE1">
        <w:t xml:space="preserve">s required under </w:t>
      </w:r>
      <w:r w:rsidR="00A86C91">
        <w:t>section</w:t>
      </w:r>
      <w:r w:rsidRPr="00580EE1">
        <w:t xml:space="preserve"> 136 of the Telecommunications Act as a publicly accessible record of all registered codes</w:t>
      </w:r>
      <w:r>
        <w:t>.</w:t>
      </w:r>
    </w:p>
    <w:p w14:paraId="6B584A9E" w14:textId="0B8C133C" w:rsidR="007A4A37" w:rsidRPr="007A4A37" w:rsidRDefault="007A4A37" w:rsidP="007A4A37">
      <w:pPr>
        <w:rPr>
          <w:shd w:val="clear" w:color="auto" w:fill="FFFF00"/>
        </w:rPr>
      </w:pPr>
      <w:r>
        <w:t xml:space="preserve">The </w:t>
      </w:r>
      <w:r w:rsidRPr="00580EE1">
        <w:t xml:space="preserve">ACMA may also remove industry codes or provisions of industry codes from the </w:t>
      </w:r>
      <w:r w:rsidR="00A86C91">
        <w:t>section</w:t>
      </w:r>
      <w:r w:rsidRPr="00580EE1">
        <w:t xml:space="preserve"> 136 Register under </w:t>
      </w:r>
      <w:r w:rsidR="00A86C91">
        <w:t>section</w:t>
      </w:r>
      <w:r w:rsidRPr="00580EE1">
        <w:t xml:space="preserve"> 122A of the Telecommunications Act.</w:t>
      </w:r>
      <w:r w:rsidR="001B2C9D">
        <w:t xml:space="preserve"> </w:t>
      </w:r>
      <w:r w:rsidRPr="00580EE1">
        <w:t xml:space="preserve">Industry bodies may apply to </w:t>
      </w:r>
      <w:r>
        <w:t>the ACMA</w:t>
      </w:r>
      <w:r w:rsidRPr="00580EE1">
        <w:t xml:space="preserve"> to remove a code or, alternatively, this process may be initiated by </w:t>
      </w:r>
      <w:r>
        <w:t>the ACMA</w:t>
      </w:r>
      <w:r w:rsidRPr="00580EE1">
        <w:t xml:space="preserve">. </w:t>
      </w:r>
    </w:p>
    <w:p w14:paraId="3533772D" w14:textId="51601EC2" w:rsidR="007A4A37" w:rsidRDefault="007A4A37" w:rsidP="007A4A37">
      <w:r w:rsidRPr="00580EE1">
        <w:t xml:space="preserve">Where </w:t>
      </w:r>
      <w:r>
        <w:t>the ACMA</w:t>
      </w:r>
      <w:r w:rsidRPr="00580EE1">
        <w:t xml:space="preserve"> considers a code to be necessary or convenient to provide appropriate community safeguards or otherwise deal with the performance or conduct of the particip</w:t>
      </w:r>
      <w:r w:rsidR="00D613A5">
        <w:t xml:space="preserve">ants in the </w:t>
      </w:r>
      <w:r w:rsidR="009E2AC9">
        <w:t xml:space="preserve">telecommunications, </w:t>
      </w:r>
      <w:r w:rsidR="009E2AC9" w:rsidRPr="00580EE1">
        <w:t xml:space="preserve">telemarketing </w:t>
      </w:r>
      <w:r w:rsidR="009E2AC9">
        <w:t>or fax marketing industries</w:t>
      </w:r>
      <w:r w:rsidRPr="00580EE1">
        <w:t xml:space="preserve">, it may request that a representative industry body develop one and present it to </w:t>
      </w:r>
      <w:r>
        <w:t>the ACMA</w:t>
      </w:r>
      <w:r w:rsidRPr="00580EE1">
        <w:t xml:space="preserve"> for registration.</w:t>
      </w:r>
      <w:r w:rsidR="001B2C9D">
        <w:t xml:space="preserve"> </w:t>
      </w:r>
      <w:r w:rsidRPr="00580EE1">
        <w:t>In the event that the code is not developed, or does not meet the registra</w:t>
      </w:r>
      <w:r>
        <w:t>tion criteria, the ACMA</w:t>
      </w:r>
      <w:r w:rsidRPr="00580EE1">
        <w:t xml:space="preserve"> may develop an industry standard</w:t>
      </w:r>
      <w:r>
        <w:t>.</w:t>
      </w:r>
      <w:r w:rsidR="001B2C9D">
        <w:t xml:space="preserve"> </w:t>
      </w:r>
      <w:r>
        <w:t>C</w:t>
      </w:r>
      <w:r w:rsidRPr="00580EE1">
        <w:t xml:space="preserve">ompliance with </w:t>
      </w:r>
      <w:r>
        <w:t>industry standards</w:t>
      </w:r>
      <w:r w:rsidRPr="00580EE1">
        <w:t xml:space="preserve"> is mandatory.</w:t>
      </w:r>
    </w:p>
    <w:p w14:paraId="126FC2DB" w14:textId="77777777" w:rsidR="007A4A37" w:rsidRDefault="007A4A37" w:rsidP="007A4A37">
      <w:pPr>
        <w:pStyle w:val="Heading2"/>
      </w:pPr>
      <w:bookmarkStart w:id="12" w:name="_Toc407079464"/>
      <w:bookmarkStart w:id="13" w:name="_Toc424128400"/>
      <w:bookmarkStart w:id="14" w:name="_Toc456165440"/>
      <w:bookmarkStart w:id="15" w:name="_Toc456165770"/>
      <w:bookmarkStart w:id="16" w:name="_Toc457357909"/>
      <w:bookmarkStart w:id="17" w:name="_Toc457384346"/>
      <w:bookmarkStart w:id="18" w:name="_Toc457712964"/>
      <w:bookmarkStart w:id="19" w:name="_Toc395876589"/>
      <w:bookmarkStart w:id="20" w:name="_Toc428450618"/>
      <w:r w:rsidRPr="00580EE1">
        <w:t>The benefits of code registration</w:t>
      </w:r>
      <w:bookmarkEnd w:id="12"/>
      <w:bookmarkEnd w:id="13"/>
      <w:bookmarkEnd w:id="14"/>
      <w:bookmarkEnd w:id="15"/>
      <w:bookmarkEnd w:id="16"/>
      <w:bookmarkEnd w:id="17"/>
      <w:bookmarkEnd w:id="18"/>
      <w:bookmarkEnd w:id="19"/>
      <w:bookmarkEnd w:id="20"/>
    </w:p>
    <w:p w14:paraId="6493064D" w14:textId="71E49D78" w:rsidR="00876594" w:rsidRPr="00580EE1" w:rsidRDefault="00876594" w:rsidP="00876594">
      <w:r w:rsidRPr="00580EE1">
        <w:t xml:space="preserve">There is no obligation to register a code with </w:t>
      </w:r>
      <w:r>
        <w:t>the ACMA</w:t>
      </w:r>
      <w:r w:rsidRPr="00580EE1">
        <w:t xml:space="preserve">. However, registration of a code on the ACMA </w:t>
      </w:r>
      <w:r w:rsidR="00A86C91">
        <w:t>section</w:t>
      </w:r>
      <w:r w:rsidRPr="00580EE1">
        <w:t xml:space="preserve"> 136 Register has three important benefit</w:t>
      </w:r>
      <w:r>
        <w:t>s.</w:t>
      </w:r>
      <w:r w:rsidR="001B2C9D">
        <w:t xml:space="preserve"> </w:t>
      </w:r>
    </w:p>
    <w:p w14:paraId="7765A165" w14:textId="1A4323F7" w:rsidR="00876594" w:rsidRPr="00580EE1" w:rsidRDefault="00876594" w:rsidP="00876594">
      <w:r w:rsidRPr="00580EE1">
        <w:t>In the first place registration provides legislative support for the enforcement of the code.</w:t>
      </w:r>
      <w:r w:rsidR="001B2C9D">
        <w:t xml:space="preserve"> </w:t>
      </w:r>
      <w:r w:rsidRPr="00580EE1">
        <w:t xml:space="preserve">Although, under normal circumstances, compliance by industry participants with a registered code is voluntary, when a code is entered on the Register </w:t>
      </w:r>
      <w:r>
        <w:t>the ACMA</w:t>
      </w:r>
      <w:r w:rsidRPr="00580EE1">
        <w:t xml:space="preserve"> may employ its safety net powers under </w:t>
      </w:r>
      <w:r w:rsidR="00A86C91">
        <w:t>section</w:t>
      </w:r>
      <w:r w:rsidRPr="00580EE1">
        <w:t>s 121 and 122 to ensure compliance.</w:t>
      </w:r>
      <w:r w:rsidR="001B2C9D">
        <w:t xml:space="preserve"> </w:t>
      </w:r>
      <w:r w:rsidRPr="00580EE1">
        <w:t xml:space="preserve">These powers enable </w:t>
      </w:r>
      <w:r>
        <w:t>the ACMA</w:t>
      </w:r>
      <w:r w:rsidRPr="00580EE1">
        <w:t xml:space="preserve"> to issue formal warnings to industry participants regarding breaches of the code and also to direct industry participants to comply with the</w:t>
      </w:r>
      <w:r>
        <w:t xml:space="preserve"> pr</w:t>
      </w:r>
      <w:r w:rsidRPr="00580EE1">
        <w:t>ovisions of a code where the code has be</w:t>
      </w:r>
      <w:r>
        <w:t>en, or is being, contravened.</w:t>
      </w:r>
      <w:r w:rsidR="001B2C9D">
        <w:t xml:space="preserve"> </w:t>
      </w:r>
    </w:p>
    <w:p w14:paraId="10ED8F56" w14:textId="0E6C4F41" w:rsidR="00876594" w:rsidRPr="00580EE1" w:rsidRDefault="00876594" w:rsidP="00876594">
      <w:r w:rsidRPr="00580EE1">
        <w:t xml:space="preserve">Registration also ensures that a code </w:t>
      </w:r>
      <w:r w:rsidR="001B2C9D">
        <w:t>that</w:t>
      </w:r>
      <w:r w:rsidR="001B2C9D" w:rsidRPr="00580EE1">
        <w:t xml:space="preserve"> </w:t>
      </w:r>
      <w:r w:rsidRPr="00580EE1">
        <w:t xml:space="preserve">follows </w:t>
      </w:r>
      <w:r>
        <w:t>the ACMA</w:t>
      </w:r>
      <w:r w:rsidRPr="00580EE1">
        <w:t>'s registration process covers all industry participants, not just those who are members of the industry body.</w:t>
      </w:r>
      <w:r w:rsidR="001B2C9D">
        <w:t xml:space="preserve"> </w:t>
      </w:r>
      <w:r>
        <w:t xml:space="preserve">The </w:t>
      </w:r>
      <w:r w:rsidRPr="00580EE1">
        <w:t>ACMA warnings and directions to comply with a registered code can be issued to any participant in a section of the industry</w:t>
      </w:r>
      <w:r w:rsidR="001B2C9D">
        <w:t>,</w:t>
      </w:r>
      <w:r w:rsidRPr="00580EE1">
        <w:t xml:space="preserve"> which has contravened or is contravening the code, whether or not that participant has voluntarily agreed to comply with the registered code, or is a member of the industry body which has developed the code.</w:t>
      </w:r>
      <w:r w:rsidR="001B2C9D">
        <w:t xml:space="preserve"> </w:t>
      </w:r>
      <w:r w:rsidRPr="00580EE1">
        <w:t xml:space="preserve">A </w:t>
      </w:r>
      <w:r w:rsidRPr="00580EE1">
        <w:lastRenderedPageBreak/>
        <w:t>breach of an ACMA direction to comply may attract civil penalties.</w:t>
      </w:r>
      <w:r w:rsidR="001B2C9D">
        <w:t xml:space="preserve"> </w:t>
      </w:r>
      <w:r w:rsidRPr="00580EE1">
        <w:t xml:space="preserve">With the backing of </w:t>
      </w:r>
      <w:r>
        <w:t>the ACMA</w:t>
      </w:r>
      <w:r w:rsidRPr="00580EE1">
        <w:t>'s powers under the law, registered codes will effectively have industry</w:t>
      </w:r>
      <w:r w:rsidR="001B2C9D">
        <w:t>-</w:t>
      </w:r>
      <w:r w:rsidRPr="00580EE1">
        <w:t>wide coverag</w:t>
      </w:r>
      <w:r>
        <w:t>e.</w:t>
      </w:r>
    </w:p>
    <w:p w14:paraId="04A0A299" w14:textId="3535BC46" w:rsidR="00876594" w:rsidRPr="00580EE1" w:rsidRDefault="00876594" w:rsidP="00876594">
      <w:r w:rsidRPr="00580EE1">
        <w:t xml:space="preserve">Registration of a code by </w:t>
      </w:r>
      <w:r>
        <w:t>the ACMA</w:t>
      </w:r>
      <w:r w:rsidRPr="00580EE1">
        <w:t xml:space="preserve"> is also an acknowledgment that the code has been independently assessed </w:t>
      </w:r>
      <w:r>
        <w:t xml:space="preserve">by the ACMA (with input from other regulators) </w:t>
      </w:r>
      <w:r w:rsidRPr="00580EE1">
        <w:t>as meeting important regulatory criteria in the industry and consumer matters it covers.</w:t>
      </w:r>
      <w:r w:rsidR="001B2C9D">
        <w:t xml:space="preserve"> </w:t>
      </w:r>
      <w:r w:rsidRPr="00580EE1">
        <w:t xml:space="preserve">In order to be registered by </w:t>
      </w:r>
      <w:r>
        <w:t>the ACMA</w:t>
      </w:r>
      <w:r w:rsidRPr="00580EE1">
        <w:t>, a code must be evaluated on a series of legislatively prescribed measures.</w:t>
      </w:r>
      <w:r w:rsidR="001B2C9D">
        <w:t xml:space="preserve"> </w:t>
      </w:r>
      <w:r w:rsidRPr="00580EE1">
        <w:t>In deciding whether codes meet these requirements</w:t>
      </w:r>
      <w:r w:rsidR="001B2C9D">
        <w:t>,</w:t>
      </w:r>
      <w:r w:rsidRPr="00580EE1">
        <w:t xml:space="preserve"> </w:t>
      </w:r>
      <w:r>
        <w:t>the ACMA</w:t>
      </w:r>
      <w:r w:rsidRPr="00580EE1">
        <w:t xml:space="preserve"> is obliged to ensure that public interest considerations are addressed without imposing undue financial and administrative burdens on participants in the industry. </w:t>
      </w:r>
      <w:r>
        <w:t xml:space="preserve">In doing so, the ACMA must take into consideration the number of people who are likely to benefit from the new code, </w:t>
      </w:r>
      <w:r w:rsidR="001B2C9D">
        <w:t xml:space="preserve">and </w:t>
      </w:r>
      <w:r>
        <w:t>how many of those people are householders or small businesses. It must also consider the legitimate business interests of participants in the industry sector affected by the code.</w:t>
      </w:r>
      <w:r w:rsidR="001B2C9D">
        <w:t xml:space="preserve"> </w:t>
      </w:r>
      <w:r>
        <w:t xml:space="preserve">The </w:t>
      </w:r>
      <w:r w:rsidRPr="00580EE1">
        <w:t>ACMA's registration process ensure</w:t>
      </w:r>
      <w:r w:rsidR="009E2AC9">
        <w:t>s that registered codes provide</w:t>
      </w:r>
      <w:r w:rsidRPr="00580EE1">
        <w:t xml:space="preserve"> uniform rules for conduct across the industry.</w:t>
      </w:r>
    </w:p>
    <w:p w14:paraId="218A7E95" w14:textId="69849003" w:rsidR="00876594" w:rsidRPr="00580EE1" w:rsidRDefault="00876594" w:rsidP="00876594">
      <w:pPr>
        <w:pStyle w:val="Heading2"/>
      </w:pPr>
      <w:bookmarkStart w:id="21" w:name="_Toc395876590"/>
      <w:bookmarkStart w:id="22" w:name="_Toc428450619"/>
      <w:r w:rsidRPr="00580EE1">
        <w:t xml:space="preserve">Privacy </w:t>
      </w:r>
      <w:r w:rsidR="001B2C9D">
        <w:t>c</w:t>
      </w:r>
      <w:r w:rsidRPr="00580EE1">
        <w:t>odes</w:t>
      </w:r>
      <w:bookmarkEnd w:id="21"/>
      <w:bookmarkEnd w:id="22"/>
    </w:p>
    <w:p w14:paraId="5926DA0B" w14:textId="1D95AC7B" w:rsidR="00876594" w:rsidRPr="00580EE1" w:rsidRDefault="00876594" w:rsidP="00876594">
      <w:r>
        <w:t>In some cases</w:t>
      </w:r>
      <w:r w:rsidR="001B2C9D">
        <w:t>,</w:t>
      </w:r>
      <w:r>
        <w:t xml:space="preserve"> </w:t>
      </w:r>
      <w:r w:rsidR="009E2AC9">
        <w:t xml:space="preserve">an </w:t>
      </w:r>
      <w:r>
        <w:t xml:space="preserve">industry code may address specific privacy concerns. Where such codes </w:t>
      </w:r>
      <w:r w:rsidRPr="00580EE1">
        <w:t xml:space="preserve">incorporate the </w:t>
      </w:r>
      <w:r>
        <w:t>Australian</w:t>
      </w:r>
      <w:r w:rsidRPr="00580EE1">
        <w:t xml:space="preserve"> Privacy Principles under Part III</w:t>
      </w:r>
      <w:r w:rsidR="0023487C">
        <w:t>B</w:t>
      </w:r>
      <w:r w:rsidRPr="00580EE1">
        <w:t xml:space="preserve"> of the </w:t>
      </w:r>
      <w:r w:rsidRPr="00580EE1">
        <w:rPr>
          <w:i/>
          <w:iCs/>
        </w:rPr>
        <w:t>Privacy Act 1988</w:t>
      </w:r>
      <w:r w:rsidRPr="00580EE1">
        <w:t xml:space="preserve"> (the Privacy Act)</w:t>
      </w:r>
      <w:r>
        <w:t xml:space="preserve">, these </w:t>
      </w:r>
      <w:r w:rsidRPr="00580EE1">
        <w:t xml:space="preserve">codes are not appropriate for registration by </w:t>
      </w:r>
      <w:r>
        <w:t>the ACMA. Instead, t</w:t>
      </w:r>
      <w:r w:rsidRPr="00580EE1">
        <w:t xml:space="preserve">he </w:t>
      </w:r>
      <w:r>
        <w:t>Information</w:t>
      </w:r>
      <w:r w:rsidRPr="00580EE1">
        <w:t xml:space="preserve"> Commissioner may approve privacy codes</w:t>
      </w:r>
      <w:r>
        <w:t>,</w:t>
      </w:r>
      <w:r w:rsidRPr="00580EE1">
        <w:t xml:space="preserve"> following a written application for approval to the </w:t>
      </w:r>
      <w:r>
        <w:t>Information</w:t>
      </w:r>
      <w:r w:rsidRPr="00580EE1">
        <w:t xml:space="preserve"> Commissioner. However</w:t>
      </w:r>
      <w:r w:rsidR="001B2C9D">
        <w:t>,</w:t>
      </w:r>
      <w:r w:rsidRPr="00580EE1">
        <w:t xml:space="preserve"> </w:t>
      </w:r>
      <w:r>
        <w:t>the ACMA</w:t>
      </w:r>
      <w:r w:rsidRPr="00580EE1">
        <w:t xml:space="preserve"> may still register codes </w:t>
      </w:r>
      <w:r w:rsidR="001B2C9D">
        <w:t>that</w:t>
      </w:r>
      <w:r w:rsidR="001B2C9D" w:rsidRPr="00580EE1">
        <w:t xml:space="preserve"> </w:t>
      </w:r>
      <w:r w:rsidRPr="00580EE1">
        <w:t xml:space="preserve">deal with other privacy matters such as </w:t>
      </w:r>
      <w:r w:rsidR="00C37BF0">
        <w:t>telemarketing</w:t>
      </w:r>
      <w:r w:rsidRPr="00580EE1">
        <w:t xml:space="preserve"> directories and the intrusive use of telecommunications. </w:t>
      </w:r>
      <w:r>
        <w:t>C</w:t>
      </w:r>
      <w:r w:rsidRPr="00580EE1">
        <w:t xml:space="preserve">odes </w:t>
      </w:r>
      <w:r>
        <w:t xml:space="preserve">that cover privacy matters and can be registered by the ACMA </w:t>
      </w:r>
      <w:r w:rsidRPr="00580EE1">
        <w:t>are referred to in this guide as ‘T</w:t>
      </w:r>
      <w:r>
        <w:t xml:space="preserve">elecommunications </w:t>
      </w:r>
      <w:r w:rsidRPr="00580EE1">
        <w:t>Act privacy codes’.</w:t>
      </w:r>
    </w:p>
    <w:p w14:paraId="4287AF83" w14:textId="705B7344" w:rsidR="00876594" w:rsidRDefault="00876594" w:rsidP="00876594">
      <w:r w:rsidRPr="00580EE1">
        <w:t xml:space="preserve">Industry bodies must consult with the </w:t>
      </w:r>
      <w:r>
        <w:t>Information</w:t>
      </w:r>
      <w:r w:rsidRPr="00580EE1">
        <w:t xml:space="preserve"> Commissioner on Telecommunications Act privacy codes under paragraph 113(3)(f) of the Telecommunications Act.</w:t>
      </w:r>
      <w:r w:rsidR="001B2C9D">
        <w:t xml:space="preserve"> </w:t>
      </w:r>
      <w:r w:rsidRPr="00580EE1">
        <w:t xml:space="preserve">Any code dealing with the personal information of customers, whether or not it is predominantly a Telecommunications Act privacy code, will require consultation with the </w:t>
      </w:r>
      <w:r>
        <w:t>Information</w:t>
      </w:r>
      <w:r w:rsidRPr="00580EE1">
        <w:t xml:space="preserve"> Commissioner.</w:t>
      </w:r>
      <w:r w:rsidR="001B2C9D">
        <w:t xml:space="preserve"> </w:t>
      </w:r>
      <w:r w:rsidRPr="00580EE1">
        <w:t xml:space="preserve">In addition, </w:t>
      </w:r>
      <w:r>
        <w:t>the ACMA</w:t>
      </w:r>
      <w:r w:rsidRPr="00580EE1">
        <w:t xml:space="preserve"> is obliged to consult the </w:t>
      </w:r>
      <w:r>
        <w:t>Information</w:t>
      </w:r>
      <w:r w:rsidRPr="00580EE1">
        <w:t xml:space="preserve"> Commissioner on codes submitted for registration </w:t>
      </w:r>
      <w:r w:rsidR="001B2C9D">
        <w:t>that</w:t>
      </w:r>
      <w:r w:rsidR="001B2C9D" w:rsidRPr="00580EE1">
        <w:t xml:space="preserve"> </w:t>
      </w:r>
      <w:r w:rsidRPr="00580EE1">
        <w:t xml:space="preserve">deal with matters related to the </w:t>
      </w:r>
      <w:r w:rsidR="006E27D2">
        <w:t>Australian</w:t>
      </w:r>
      <w:r w:rsidRPr="00580EE1">
        <w:t xml:space="preserve"> Privacy Principles or a code approved under the Privacy</w:t>
      </w:r>
      <w:r w:rsidR="0039359B">
        <w:t xml:space="preserve"> Act.</w:t>
      </w:r>
    </w:p>
    <w:p w14:paraId="6A65146C" w14:textId="77777777" w:rsidR="0039359B" w:rsidRPr="00580EE1" w:rsidRDefault="005E051D" w:rsidP="001C35F7">
      <w:pPr>
        <w:pStyle w:val="Heading1"/>
        <w:rPr>
          <w:i/>
        </w:rPr>
      </w:pPr>
      <w:bookmarkStart w:id="23" w:name="_Toc428450620"/>
      <w:r w:rsidRPr="005E051D">
        <w:lastRenderedPageBreak/>
        <w:t>Drafting</w:t>
      </w:r>
      <w:r>
        <w:t xml:space="preserve"> a code</w:t>
      </w:r>
      <w:bookmarkEnd w:id="23"/>
    </w:p>
    <w:p w14:paraId="5AE72E7E" w14:textId="77777777" w:rsidR="0039359B" w:rsidRPr="00580EE1" w:rsidRDefault="0039359B" w:rsidP="001C35F7">
      <w:pPr>
        <w:pStyle w:val="Heading2"/>
      </w:pPr>
      <w:bookmarkStart w:id="24" w:name="_Toc456165458"/>
      <w:bookmarkStart w:id="25" w:name="_Toc456165788"/>
      <w:bookmarkStart w:id="26" w:name="_Toc457357927"/>
      <w:bookmarkStart w:id="27" w:name="_Toc457384364"/>
      <w:bookmarkStart w:id="28" w:name="_Toc457712978"/>
      <w:bookmarkStart w:id="29" w:name="_Toc395876592"/>
      <w:bookmarkStart w:id="30" w:name="_Toc428450621"/>
      <w:r w:rsidRPr="001C35F7">
        <w:t>Code</w:t>
      </w:r>
      <w:r w:rsidRPr="00580EE1">
        <w:t xml:space="preserve"> drafting principles</w:t>
      </w:r>
      <w:bookmarkEnd w:id="24"/>
      <w:bookmarkEnd w:id="25"/>
      <w:bookmarkEnd w:id="26"/>
      <w:bookmarkEnd w:id="27"/>
      <w:bookmarkEnd w:id="28"/>
      <w:bookmarkEnd w:id="29"/>
      <w:bookmarkEnd w:id="30"/>
    </w:p>
    <w:p w14:paraId="71EF83F8" w14:textId="4AABD250" w:rsidR="00876594" w:rsidRDefault="0039359B" w:rsidP="00876594">
      <w:r w:rsidRPr="00580EE1">
        <w:t xml:space="preserve">In addition to the specific requirements of </w:t>
      </w:r>
      <w:r w:rsidR="00A86C91">
        <w:t>section</w:t>
      </w:r>
      <w:r w:rsidRPr="00580EE1">
        <w:t>s 112 and 117 of the Telecommunications Act</w:t>
      </w:r>
      <w:r w:rsidR="001B2C9D">
        <w:t>,</w:t>
      </w:r>
      <w:r w:rsidRPr="00580EE1">
        <w:t xml:space="preserve"> there </w:t>
      </w:r>
      <w:r>
        <w:t>are</w:t>
      </w:r>
      <w:r w:rsidRPr="00580EE1">
        <w:t xml:space="preserve"> a number of generic code drafting principles </w:t>
      </w:r>
      <w:r w:rsidR="001B2C9D">
        <w:t>that</w:t>
      </w:r>
      <w:r w:rsidR="001B2C9D" w:rsidRPr="00580EE1">
        <w:t xml:space="preserve"> </w:t>
      </w:r>
      <w:r w:rsidRPr="00580EE1">
        <w:t>must be followed when drafting a code.</w:t>
      </w:r>
      <w:r w:rsidR="001B2C9D">
        <w:t xml:space="preserve"> </w:t>
      </w:r>
      <w:r w:rsidRPr="00580EE1">
        <w:t xml:space="preserve">An outline of these principles is included at Appendix </w:t>
      </w:r>
      <w:r w:rsidR="00071CD8">
        <w:t>B</w:t>
      </w:r>
      <w:r w:rsidRPr="00580EE1">
        <w:t>. Drafting is a specialised skill and industry bodies may find that codes are easier to write if a qualified legal drafter is used.</w:t>
      </w:r>
    </w:p>
    <w:p w14:paraId="0CA6A607" w14:textId="77777777" w:rsidR="0039359B" w:rsidRPr="00580EE1" w:rsidRDefault="0039359B" w:rsidP="001C35F7">
      <w:pPr>
        <w:pStyle w:val="Heading2"/>
      </w:pPr>
      <w:bookmarkStart w:id="31" w:name="_Toc395876593"/>
      <w:bookmarkStart w:id="32" w:name="_Toc428450622"/>
      <w:r w:rsidRPr="00580EE1">
        <w:t>Code ‘appropriateness’</w:t>
      </w:r>
      <w:bookmarkEnd w:id="31"/>
      <w:bookmarkEnd w:id="32"/>
    </w:p>
    <w:p w14:paraId="703C016E" w14:textId="395A37BE" w:rsidR="0039359B" w:rsidRPr="00580EE1" w:rsidRDefault="0039359B" w:rsidP="00F1490F">
      <w:pPr>
        <w:spacing w:after="80"/>
      </w:pPr>
      <w:r w:rsidRPr="00580EE1">
        <w:t xml:space="preserve">Paragraph 117(1)(d) of the Telecommunications Act requires that </w:t>
      </w:r>
      <w:r>
        <w:t>the ACMA</w:t>
      </w:r>
      <w:r w:rsidRPr="00580EE1">
        <w:t xml:space="preserve"> must be satisfied that, where the code deals with matters of substantial relevance to the community, the code provides ‘appropriate community safeguards’ and where it deals with other matters, that it does so in an ‘appropriate manner’</w:t>
      </w:r>
      <w:r>
        <w:t xml:space="preserve"> (paragraph 119A(1)(d) applies in the case of code variations)</w:t>
      </w:r>
      <w:r w:rsidRPr="00580EE1">
        <w:t>.</w:t>
      </w:r>
      <w:r w:rsidR="001B2C9D">
        <w:t xml:space="preserve"> </w:t>
      </w:r>
      <w:r w:rsidRPr="00580EE1">
        <w:t xml:space="preserve">These decisions must be made by </w:t>
      </w:r>
      <w:r>
        <w:t>the ACMA</w:t>
      </w:r>
      <w:r w:rsidRPr="00580EE1">
        <w:t xml:space="preserve"> in the context of the public interest balance test.</w:t>
      </w:r>
      <w:r w:rsidR="001B2C9D">
        <w:t xml:space="preserve"> </w:t>
      </w:r>
      <w:r w:rsidRPr="00580EE1">
        <w:t xml:space="preserve">The kinds of matters codes must address and the safeguards they must provide in order to satisfy </w:t>
      </w:r>
      <w:r>
        <w:t>the ACMA</w:t>
      </w:r>
      <w:r w:rsidRPr="00580EE1">
        <w:t xml:space="preserve"> that they are ‘appropriate’ include:</w:t>
      </w:r>
      <w:r w:rsidR="001B2C9D">
        <w:t xml:space="preserve"> </w:t>
      </w:r>
    </w:p>
    <w:p w14:paraId="490FBD37" w14:textId="456B58DD" w:rsidR="0039359B" w:rsidRPr="00580EE1" w:rsidRDefault="0039359B" w:rsidP="000234DC">
      <w:pPr>
        <w:pStyle w:val="ListBullet"/>
      </w:pPr>
      <w:r w:rsidRPr="00580EE1">
        <w:t>consistency with legislation</w:t>
      </w:r>
      <w:r w:rsidR="001B2C9D">
        <w:t xml:space="preserve"> </w:t>
      </w:r>
    </w:p>
    <w:p w14:paraId="7BDAC251" w14:textId="37FCDFFA" w:rsidR="0039359B" w:rsidRPr="00580EE1" w:rsidRDefault="0039359B" w:rsidP="000234DC">
      <w:pPr>
        <w:pStyle w:val="ListBullet"/>
      </w:pPr>
      <w:r w:rsidRPr="00580EE1">
        <w:t>enforceable provisions</w:t>
      </w:r>
      <w:r w:rsidR="001B2C9D">
        <w:t xml:space="preserve"> </w:t>
      </w:r>
    </w:p>
    <w:p w14:paraId="125D8761" w14:textId="7B2950BC" w:rsidR="0039359B" w:rsidRPr="00580EE1" w:rsidRDefault="0039359B" w:rsidP="000234DC">
      <w:pPr>
        <w:pStyle w:val="ListBullet"/>
      </w:pPr>
      <w:r>
        <w:t xml:space="preserve">satisfactorily considered substantive issues raised during </w:t>
      </w:r>
      <w:r w:rsidRPr="00580EE1">
        <w:t>consultation</w:t>
      </w:r>
    </w:p>
    <w:p w14:paraId="291F41B9" w14:textId="0D9ECC9D" w:rsidR="0039359B" w:rsidRPr="00580EE1" w:rsidRDefault="0039359B" w:rsidP="00CA5F87">
      <w:pPr>
        <w:pStyle w:val="ListBulletLast"/>
      </w:pPr>
      <w:r>
        <w:t xml:space="preserve">how the code will be </w:t>
      </w:r>
      <w:r w:rsidRPr="00580EE1">
        <w:t>administ</w:t>
      </w:r>
      <w:r>
        <w:t xml:space="preserve">ered, </w:t>
      </w:r>
      <w:r w:rsidRPr="00580EE1">
        <w:t xml:space="preserve">including implementation mechanisms, </w:t>
      </w:r>
      <w:r w:rsidRPr="000234DC">
        <w:t>complaints</w:t>
      </w:r>
      <w:r w:rsidR="007505A2">
        <w:t>-</w:t>
      </w:r>
      <w:r w:rsidRPr="00580EE1">
        <w:t>handling processes, compliance monitoring</w:t>
      </w:r>
      <w:r w:rsidR="00D21FE3">
        <w:t xml:space="preserve"> and</w:t>
      </w:r>
      <w:r w:rsidRPr="00580EE1">
        <w:t xml:space="preserve"> </w:t>
      </w:r>
      <w:r>
        <w:t>how non-compliance is addressed.</w:t>
      </w:r>
      <w:r w:rsidR="001B2C9D">
        <w:t xml:space="preserve"> </w:t>
      </w:r>
    </w:p>
    <w:p w14:paraId="2F291380" w14:textId="67058DF0" w:rsidR="0039359B" w:rsidRPr="00580EE1" w:rsidRDefault="0039359B" w:rsidP="0039359B">
      <w:r w:rsidRPr="00580EE1">
        <w:t>These matters are further elaborated in the remainder of this chapter.</w:t>
      </w:r>
      <w:r w:rsidR="001B2C9D">
        <w:t xml:space="preserve"> </w:t>
      </w:r>
      <w:r w:rsidRPr="00580EE1">
        <w:t xml:space="preserve">A summary of the requirements of this chapter is contained at Appendices </w:t>
      </w:r>
      <w:r w:rsidR="00F23438">
        <w:t>E</w:t>
      </w:r>
      <w:r w:rsidRPr="00580EE1">
        <w:t xml:space="preserve"> and </w:t>
      </w:r>
      <w:r w:rsidR="00F23438">
        <w:t>F</w:t>
      </w:r>
      <w:r w:rsidRPr="00580EE1">
        <w:t xml:space="preserve"> to assist industry bodies in drafting codes to meet the requirements of </w:t>
      </w:r>
      <w:r w:rsidR="00A86C91">
        <w:t>section</w:t>
      </w:r>
      <w:r w:rsidRPr="00580EE1">
        <w:t xml:space="preserve"> 117 </w:t>
      </w:r>
      <w:r>
        <w:t xml:space="preserve">(or 119A if applicable) </w:t>
      </w:r>
      <w:r w:rsidRPr="00580EE1">
        <w:t>of the Telecommunications Act.</w:t>
      </w:r>
    </w:p>
    <w:p w14:paraId="55DDDF4E" w14:textId="77777777" w:rsidR="000234DC" w:rsidRPr="00580EE1" w:rsidRDefault="000234DC" w:rsidP="001C35F7">
      <w:pPr>
        <w:pStyle w:val="Heading3"/>
      </w:pPr>
      <w:bookmarkStart w:id="33" w:name="_Toc395876594"/>
      <w:bookmarkStart w:id="34" w:name="_Toc428450623"/>
      <w:bookmarkStart w:id="35" w:name="_Toc407079471"/>
      <w:bookmarkStart w:id="36" w:name="_Toc424128410"/>
      <w:bookmarkStart w:id="37" w:name="_Toc456165459"/>
      <w:bookmarkStart w:id="38" w:name="_Toc456165789"/>
      <w:bookmarkStart w:id="39" w:name="_Toc457357928"/>
      <w:bookmarkStart w:id="40" w:name="_Toc457384365"/>
      <w:bookmarkStart w:id="41" w:name="_Toc457712979"/>
      <w:r w:rsidRPr="00580EE1">
        <w:t>Scope</w:t>
      </w:r>
      <w:bookmarkEnd w:id="33"/>
      <w:bookmarkEnd w:id="34"/>
      <w:r w:rsidRPr="00580EE1">
        <w:t xml:space="preserve"> </w:t>
      </w:r>
      <w:bookmarkEnd w:id="35"/>
      <w:bookmarkEnd w:id="36"/>
      <w:bookmarkEnd w:id="37"/>
      <w:bookmarkEnd w:id="38"/>
      <w:bookmarkEnd w:id="39"/>
      <w:bookmarkEnd w:id="40"/>
      <w:bookmarkEnd w:id="41"/>
    </w:p>
    <w:p w14:paraId="3BCC89F4" w14:textId="77777777" w:rsidR="000234DC" w:rsidRPr="00580EE1" w:rsidRDefault="000234DC" w:rsidP="00DF4D0D">
      <w:pPr>
        <w:spacing w:after="80"/>
      </w:pPr>
      <w:r w:rsidRPr="00580EE1">
        <w:t>The code must clearly state:</w:t>
      </w:r>
    </w:p>
    <w:p w14:paraId="30D52E95" w14:textId="5F77525C" w:rsidR="000234DC" w:rsidRPr="00580EE1" w:rsidRDefault="000234DC" w:rsidP="000234DC">
      <w:pPr>
        <w:pStyle w:val="ListBullet"/>
      </w:pPr>
      <w:r w:rsidRPr="00580EE1">
        <w:t>the name of the code</w:t>
      </w:r>
      <w:r w:rsidR="003A0496">
        <w:t xml:space="preserve"> </w:t>
      </w:r>
    </w:p>
    <w:p w14:paraId="7D68D4E7" w14:textId="266E0421" w:rsidR="000234DC" w:rsidRPr="00580EE1" w:rsidRDefault="000234DC" w:rsidP="000234DC">
      <w:pPr>
        <w:pStyle w:val="ListBullet"/>
      </w:pPr>
      <w:r w:rsidRPr="00580EE1">
        <w:t>the name of the industry body which is initiating and administering the code</w:t>
      </w:r>
      <w:r w:rsidR="003A0496">
        <w:t xml:space="preserve"> </w:t>
      </w:r>
    </w:p>
    <w:p w14:paraId="39BCACC3" w14:textId="53E7626B" w:rsidR="000234DC" w:rsidRPr="00580EE1" w:rsidRDefault="000234DC" w:rsidP="000234DC">
      <w:pPr>
        <w:pStyle w:val="ListBullet"/>
      </w:pPr>
      <w:r w:rsidRPr="00580EE1">
        <w:t>the date of commencement of the code</w:t>
      </w:r>
    </w:p>
    <w:p w14:paraId="163C7EA6" w14:textId="61BF34A4" w:rsidR="000234DC" w:rsidRDefault="000234DC" w:rsidP="000234DC">
      <w:pPr>
        <w:pStyle w:val="ListBulletLast"/>
      </w:pPr>
      <w:r w:rsidRPr="00580EE1">
        <w:t xml:space="preserve">the section or sections of the telecommunications, </w:t>
      </w:r>
      <w:bookmarkStart w:id="42" w:name="OLE_LINK1"/>
      <w:bookmarkStart w:id="43" w:name="OLE_LINK2"/>
      <w:r w:rsidR="00D21FE3" w:rsidRPr="00580EE1">
        <w:t xml:space="preserve">telemarketing or </w:t>
      </w:r>
      <w:r w:rsidR="00D21FE3">
        <w:t>fax marketing</w:t>
      </w:r>
      <w:r w:rsidR="000A682D">
        <w:t xml:space="preserve"> </w:t>
      </w:r>
      <w:bookmarkEnd w:id="42"/>
      <w:bookmarkEnd w:id="43"/>
      <w:r w:rsidRPr="00580EE1">
        <w:t>industry to which the code applies.</w:t>
      </w:r>
      <w:r w:rsidR="001B2C9D">
        <w:t xml:space="preserve"> </w:t>
      </w:r>
      <w:r w:rsidRPr="00580EE1">
        <w:t xml:space="preserve">This is particularly important to enable </w:t>
      </w:r>
      <w:r>
        <w:t>the ACMA</w:t>
      </w:r>
      <w:r w:rsidRPr="00580EE1">
        <w:t xml:space="preserve"> to use its powers of direction under </w:t>
      </w:r>
      <w:r w:rsidR="00A86C91">
        <w:t>section</w:t>
      </w:r>
      <w:r w:rsidRPr="00580EE1">
        <w:t xml:space="preserve"> 121.</w:t>
      </w:r>
      <w:r w:rsidR="001B2C9D">
        <w:t xml:space="preserve"> </w:t>
      </w:r>
      <w:r w:rsidRPr="00580EE1">
        <w:t xml:space="preserve">Under this section, </w:t>
      </w:r>
      <w:r>
        <w:t>the ACMA</w:t>
      </w:r>
      <w:r w:rsidRPr="00580EE1">
        <w:t xml:space="preserve"> must be satisfied that a code applies to participants in the particular section of the </w:t>
      </w:r>
      <w:r w:rsidR="00D21FE3" w:rsidRPr="00580EE1">
        <w:t xml:space="preserve">telecommunications, telemarketing or </w:t>
      </w:r>
      <w:r w:rsidR="00D21FE3">
        <w:t xml:space="preserve">fax marketing </w:t>
      </w:r>
      <w:r w:rsidRPr="00580EE1">
        <w:t>industry.</w:t>
      </w:r>
      <w:r w:rsidR="001B2C9D">
        <w:t xml:space="preserve"> </w:t>
      </w:r>
      <w:r>
        <w:t xml:space="preserve">The </w:t>
      </w:r>
      <w:r w:rsidRPr="00580EE1">
        <w:t xml:space="preserve">ACMA will only be able to register and enforce codes </w:t>
      </w:r>
      <w:r w:rsidR="001B2C9D">
        <w:t>that</w:t>
      </w:r>
      <w:r w:rsidR="001B2C9D" w:rsidRPr="00580EE1">
        <w:t xml:space="preserve"> </w:t>
      </w:r>
      <w:r w:rsidRPr="00580EE1">
        <w:t>clearly apply to a stated section or sections of the industry.</w:t>
      </w:r>
    </w:p>
    <w:p w14:paraId="29D3568F" w14:textId="3C2D731C" w:rsidR="000234DC" w:rsidRPr="00580EE1" w:rsidRDefault="000234DC" w:rsidP="000234DC">
      <w:r w:rsidRPr="00580EE1">
        <w:t xml:space="preserve">If a code is intended to replace a code already registered on the </w:t>
      </w:r>
      <w:r w:rsidR="00A86C91">
        <w:t>section</w:t>
      </w:r>
      <w:r w:rsidRPr="00580EE1">
        <w:t xml:space="preserve"> 136 Register, this must also be clearly stated.</w:t>
      </w:r>
      <w:r w:rsidR="001B2C9D">
        <w:t xml:space="preserve"> </w:t>
      </w:r>
    </w:p>
    <w:p w14:paraId="2BAC84E4" w14:textId="77777777" w:rsidR="00374392" w:rsidRPr="00580EE1" w:rsidRDefault="00374392" w:rsidP="001C35F7">
      <w:pPr>
        <w:pStyle w:val="Heading3"/>
      </w:pPr>
      <w:bookmarkStart w:id="44" w:name="_Toc395876595"/>
      <w:bookmarkStart w:id="45" w:name="_Toc428450624"/>
      <w:r w:rsidRPr="00580EE1">
        <w:t>Objectives</w:t>
      </w:r>
      <w:bookmarkEnd w:id="44"/>
      <w:bookmarkEnd w:id="45"/>
    </w:p>
    <w:p w14:paraId="1472E99C" w14:textId="36A5D39C" w:rsidR="00374392" w:rsidRPr="00580EE1" w:rsidRDefault="00374392" w:rsidP="00374392">
      <w:r w:rsidRPr="00580EE1">
        <w:t>Codes must addres</w:t>
      </w:r>
      <w:bookmarkStart w:id="46" w:name="OLE_LINK5"/>
      <w:bookmarkStart w:id="47" w:name="OLE_LINK6"/>
      <w:r w:rsidR="00C37BF0">
        <w:t xml:space="preserve">s specified </w:t>
      </w:r>
      <w:bookmarkEnd w:id="46"/>
      <w:bookmarkEnd w:id="47"/>
      <w:r w:rsidR="00D21FE3" w:rsidRPr="00580EE1">
        <w:t xml:space="preserve">telecommunications, telemarketing or </w:t>
      </w:r>
      <w:r w:rsidR="00D21FE3">
        <w:t xml:space="preserve">fax marketing </w:t>
      </w:r>
      <w:r w:rsidRPr="00580EE1">
        <w:t>activities.</w:t>
      </w:r>
      <w:r w:rsidR="001B2C9D">
        <w:t xml:space="preserve"> </w:t>
      </w:r>
      <w:r w:rsidRPr="00580EE1">
        <w:t xml:space="preserve">The code must state what issues it is designed to address and what it aims to achieve. </w:t>
      </w:r>
    </w:p>
    <w:p w14:paraId="1778C3CA" w14:textId="77777777" w:rsidR="00374392" w:rsidRPr="00580EE1" w:rsidRDefault="00374392" w:rsidP="001C35F7">
      <w:pPr>
        <w:pStyle w:val="Heading3"/>
      </w:pPr>
      <w:bookmarkStart w:id="48" w:name="_Toc456165460"/>
      <w:bookmarkStart w:id="49" w:name="_Toc456165790"/>
      <w:bookmarkStart w:id="50" w:name="_Toc457357929"/>
      <w:bookmarkStart w:id="51" w:name="_Toc457384366"/>
      <w:bookmarkStart w:id="52" w:name="_Toc457712980"/>
      <w:bookmarkStart w:id="53" w:name="_Toc395876596"/>
      <w:bookmarkStart w:id="54" w:name="_Toc428450625"/>
      <w:r w:rsidRPr="00580EE1">
        <w:lastRenderedPageBreak/>
        <w:t>Foreword</w:t>
      </w:r>
      <w:bookmarkEnd w:id="48"/>
      <w:bookmarkEnd w:id="49"/>
      <w:bookmarkEnd w:id="50"/>
      <w:bookmarkEnd w:id="51"/>
      <w:bookmarkEnd w:id="52"/>
      <w:bookmarkEnd w:id="53"/>
      <w:bookmarkEnd w:id="54"/>
    </w:p>
    <w:p w14:paraId="0EFBE61E" w14:textId="1E203449" w:rsidR="00374392" w:rsidRPr="00580EE1" w:rsidRDefault="00374392" w:rsidP="00374392">
      <w:r w:rsidRPr="00580EE1">
        <w:t xml:space="preserve">Although </w:t>
      </w:r>
      <w:r>
        <w:t>the ACMA</w:t>
      </w:r>
      <w:r w:rsidRPr="00580EE1">
        <w:t xml:space="preserve"> does not require codes to contain a </w:t>
      </w:r>
      <w:r>
        <w:t>f</w:t>
      </w:r>
      <w:r w:rsidRPr="00580EE1">
        <w:t>oreword, some industry bodies may choose to include one.</w:t>
      </w:r>
      <w:r w:rsidR="001B2C9D">
        <w:t xml:space="preserve"> </w:t>
      </w:r>
      <w:r w:rsidRPr="00580EE1">
        <w:t xml:space="preserve">However, consideration should be given to any duplication of purpose between a </w:t>
      </w:r>
      <w:r>
        <w:t>f</w:t>
      </w:r>
      <w:r w:rsidRPr="00580EE1">
        <w:t xml:space="preserve">oreword and the </w:t>
      </w:r>
      <w:r>
        <w:t>s</w:t>
      </w:r>
      <w:r w:rsidRPr="00580EE1">
        <w:t xml:space="preserve">cope and </w:t>
      </w:r>
      <w:r>
        <w:t>o</w:t>
      </w:r>
      <w:r w:rsidRPr="00580EE1">
        <w:t>bjectives sections of the code.</w:t>
      </w:r>
      <w:r>
        <w:t xml:space="preserve"> The foreword should also avoid duplication of purpose with an explanatory statement accompanying the draft code, if one is prepared. Information about the purpose and content of explanatory statements is included under the heading below, ‘Developing a code for registration’. </w:t>
      </w:r>
    </w:p>
    <w:p w14:paraId="70B7B62E" w14:textId="77777777" w:rsidR="00374392" w:rsidRPr="00580EE1" w:rsidRDefault="00374392" w:rsidP="001C35F7">
      <w:pPr>
        <w:pStyle w:val="Heading3"/>
      </w:pPr>
      <w:bookmarkStart w:id="55" w:name="_Toc456165461"/>
      <w:bookmarkStart w:id="56" w:name="_Toc456165791"/>
      <w:bookmarkStart w:id="57" w:name="_Toc457357930"/>
      <w:bookmarkStart w:id="58" w:name="_Toc457384367"/>
      <w:bookmarkStart w:id="59" w:name="_Toc457712981"/>
      <w:bookmarkStart w:id="60" w:name="_Toc395876597"/>
      <w:bookmarkStart w:id="61" w:name="_Toc428450626"/>
      <w:r w:rsidRPr="00580EE1">
        <w:t>Definitions</w:t>
      </w:r>
      <w:bookmarkEnd w:id="55"/>
      <w:bookmarkEnd w:id="56"/>
      <w:bookmarkEnd w:id="57"/>
      <w:bookmarkEnd w:id="58"/>
      <w:bookmarkEnd w:id="59"/>
      <w:bookmarkEnd w:id="60"/>
      <w:bookmarkEnd w:id="61"/>
    </w:p>
    <w:p w14:paraId="52D50622" w14:textId="108CF437" w:rsidR="00374392" w:rsidRPr="00580EE1" w:rsidRDefault="00374392" w:rsidP="00374392">
      <w:r w:rsidRPr="00580EE1">
        <w:t>Codes should contain a list of definitions of the terms used in the code.</w:t>
      </w:r>
      <w:r w:rsidR="001B2C9D">
        <w:t xml:space="preserve"> </w:t>
      </w:r>
      <w:r w:rsidRPr="00580EE1">
        <w:t xml:space="preserve">Information on the use of definitions is included in the drafting principles at Appendix </w:t>
      </w:r>
      <w:r w:rsidR="003935D8">
        <w:t>B</w:t>
      </w:r>
      <w:r w:rsidRPr="00580EE1">
        <w:t>.</w:t>
      </w:r>
    </w:p>
    <w:p w14:paraId="51593745" w14:textId="77777777" w:rsidR="00374392" w:rsidRPr="00580EE1" w:rsidRDefault="00374392" w:rsidP="001C35F7">
      <w:pPr>
        <w:pStyle w:val="Heading3"/>
      </w:pPr>
      <w:bookmarkStart w:id="62" w:name="_Toc456165462"/>
      <w:bookmarkStart w:id="63" w:name="_Toc456165792"/>
      <w:bookmarkStart w:id="64" w:name="_Toc457357931"/>
      <w:bookmarkStart w:id="65" w:name="_Toc457384368"/>
      <w:bookmarkStart w:id="66" w:name="_Toc457712982"/>
      <w:bookmarkStart w:id="67" w:name="_Toc395876598"/>
      <w:bookmarkStart w:id="68" w:name="_Toc428450627"/>
      <w:r w:rsidRPr="00580EE1">
        <w:t>Code rules</w:t>
      </w:r>
      <w:bookmarkEnd w:id="62"/>
      <w:bookmarkEnd w:id="63"/>
      <w:bookmarkEnd w:id="64"/>
      <w:bookmarkEnd w:id="65"/>
      <w:bookmarkEnd w:id="66"/>
      <w:bookmarkEnd w:id="67"/>
      <w:bookmarkEnd w:id="68"/>
    </w:p>
    <w:p w14:paraId="66AA21A3" w14:textId="1AAC14C7" w:rsidR="00374392" w:rsidRPr="00580EE1" w:rsidRDefault="00374392" w:rsidP="00374392">
      <w:r>
        <w:t>A</w:t>
      </w:r>
      <w:r w:rsidRPr="00580EE1">
        <w:t xml:space="preserve"> code must contain a comprehensive set of rules</w:t>
      </w:r>
      <w:r w:rsidR="001B2C9D">
        <w:t>,</w:t>
      </w:r>
      <w:r w:rsidRPr="00580EE1">
        <w:t xml:space="preserve"> which are directed at </w:t>
      </w:r>
      <w:r>
        <w:t xml:space="preserve">demonstrating and </w:t>
      </w:r>
      <w:r w:rsidRPr="00580EE1">
        <w:t>achieving</w:t>
      </w:r>
      <w:r>
        <w:t xml:space="preserve"> the code’s objectives. The code rules should also enable measurement of the code’s objectives.</w:t>
      </w:r>
      <w:r w:rsidR="001B2C9D">
        <w:t xml:space="preserve"> </w:t>
      </w:r>
      <w:r w:rsidRPr="00580EE1">
        <w:t>The code should be based on the best objective data available on the matter being addressed.</w:t>
      </w:r>
      <w:r w:rsidR="001B2C9D">
        <w:t xml:space="preserve"> </w:t>
      </w:r>
      <w:r w:rsidRPr="00580EE1">
        <w:t>This should include, where applicable, nationally and internationally accepted benchmarks in the relevant field.</w:t>
      </w:r>
    </w:p>
    <w:p w14:paraId="27D966AC" w14:textId="27EDE666" w:rsidR="00374392" w:rsidRPr="00580EE1" w:rsidRDefault="00374392" w:rsidP="00374392">
      <w:r w:rsidRPr="00580EE1">
        <w:t xml:space="preserve">Code rules must also </w:t>
      </w:r>
      <w:r>
        <w:t>consider</w:t>
      </w:r>
      <w:r w:rsidRPr="00580EE1">
        <w:t xml:space="preserve"> the concerns of the groups and individuals consulted during the development of the code.</w:t>
      </w:r>
      <w:r w:rsidR="001B2C9D">
        <w:t xml:space="preserve"> </w:t>
      </w:r>
      <w:r w:rsidRPr="00580EE1">
        <w:t>This will include views expressed by participants in the relevant section or sections of the industry and the public, as well as the views of the Australian Competition and Consumer Commission (ACCC), the Telecommunications Industry Ombudsman (TIO)</w:t>
      </w:r>
      <w:r>
        <w:t xml:space="preserve"> (except for telemarketing and fax marketing industry codes)</w:t>
      </w:r>
      <w:r w:rsidR="001B2C9D">
        <w:t>,</w:t>
      </w:r>
      <w:r w:rsidRPr="00580EE1">
        <w:t xml:space="preserve"> consumer representatives</w:t>
      </w:r>
      <w:r>
        <w:t xml:space="preserve"> and individuals. I</w:t>
      </w:r>
      <w:r w:rsidRPr="00580EE1">
        <w:t xml:space="preserve">n the case of Telecommunications Act privacy codes and codes dealing with matters related to the </w:t>
      </w:r>
      <w:r w:rsidR="00F87511">
        <w:t>Australian</w:t>
      </w:r>
      <w:r w:rsidRPr="00580EE1">
        <w:t xml:space="preserve"> Privacy Principles or a code approved under the Privacy Act, the </w:t>
      </w:r>
      <w:r>
        <w:t>Information</w:t>
      </w:r>
      <w:r w:rsidRPr="00580EE1">
        <w:t xml:space="preserve"> Commissioner</w:t>
      </w:r>
      <w:r>
        <w:t xml:space="preserve"> must be satisfied</w:t>
      </w:r>
      <w:r w:rsidRPr="00580EE1">
        <w:t>.</w:t>
      </w:r>
      <w:r w:rsidR="001B2C9D">
        <w:t xml:space="preserve"> </w:t>
      </w:r>
      <w:r w:rsidRPr="00580EE1">
        <w:t xml:space="preserve">The </w:t>
      </w:r>
      <w:r w:rsidRPr="00580EE1">
        <w:rPr>
          <w:i/>
        </w:rPr>
        <w:t xml:space="preserve">Certificate of mandatory consultation on </w:t>
      </w:r>
      <w:r w:rsidR="00F87511">
        <w:rPr>
          <w:i/>
        </w:rPr>
        <w:t xml:space="preserve">an </w:t>
      </w:r>
      <w:r w:rsidRPr="00580EE1">
        <w:rPr>
          <w:i/>
        </w:rPr>
        <w:t>industry code under Part 6 of the Telecommunications Act 1997</w:t>
      </w:r>
      <w:r w:rsidRPr="00580EE1">
        <w:t xml:space="preserve"> </w:t>
      </w:r>
      <w:r w:rsidR="00071CD8">
        <w:t xml:space="preserve">(see </w:t>
      </w:r>
      <w:hyperlink r:id="rId26" w:history="1">
        <w:r w:rsidR="00D200EA">
          <w:rPr>
            <w:rStyle w:val="Hyperlink"/>
          </w:rPr>
          <w:t>www.acma.gov.au/theACMA/guides-for-code-development</w:t>
        </w:r>
      </w:hyperlink>
      <w:r w:rsidR="00071CD8">
        <w:t xml:space="preserve">) </w:t>
      </w:r>
      <w:r w:rsidRPr="00580EE1">
        <w:t xml:space="preserve">contains a list of matters about which industry bodies should seek specific comment from the ACCC, the TIO and the </w:t>
      </w:r>
      <w:r>
        <w:t>Information</w:t>
      </w:r>
      <w:r w:rsidRPr="00580EE1">
        <w:t xml:space="preserve"> Commissioner.</w:t>
      </w:r>
    </w:p>
    <w:p w14:paraId="5A44A302" w14:textId="77777777" w:rsidR="00374392" w:rsidRDefault="00374392" w:rsidP="00374392">
      <w:r w:rsidRPr="00580EE1">
        <w:t>Good drafting practice means that, where practical, each code rule should be spelled out in a separate clause</w:t>
      </w:r>
      <w:r w:rsidR="0001317D">
        <w:t>.</w:t>
      </w:r>
    </w:p>
    <w:p w14:paraId="162E6B5B" w14:textId="77777777" w:rsidR="0001317D" w:rsidRPr="0001317D" w:rsidRDefault="0001317D" w:rsidP="001C35F7">
      <w:pPr>
        <w:pStyle w:val="Heading3"/>
      </w:pPr>
      <w:bookmarkStart w:id="69" w:name="_Toc457384369"/>
      <w:bookmarkStart w:id="70" w:name="_Toc457712983"/>
      <w:bookmarkStart w:id="71" w:name="_Toc395876599"/>
      <w:bookmarkStart w:id="72" w:name="_Toc428450628"/>
      <w:r w:rsidRPr="0001317D">
        <w:t>Enforceability</w:t>
      </w:r>
      <w:bookmarkEnd w:id="69"/>
      <w:bookmarkEnd w:id="70"/>
      <w:bookmarkEnd w:id="71"/>
      <w:bookmarkEnd w:id="72"/>
    </w:p>
    <w:p w14:paraId="0DD93D8E" w14:textId="10E0AAF3" w:rsidR="0001317D" w:rsidRPr="00580EE1" w:rsidRDefault="0001317D" w:rsidP="0001317D">
      <w:r w:rsidRPr="00580EE1">
        <w:t>Code rules should be written concisely and in plain English.</w:t>
      </w:r>
      <w:r w:rsidR="001B2C9D">
        <w:t xml:space="preserve"> </w:t>
      </w:r>
      <w:r w:rsidRPr="003672B0">
        <w:t>Rules</w:t>
      </w:r>
      <w:r w:rsidRPr="00674D98">
        <w:t xml:space="preserve"> </w:t>
      </w:r>
      <w:r w:rsidRPr="00580EE1">
        <w:t>must be expressed in mandatory terms such as ‘must’</w:t>
      </w:r>
      <w:r>
        <w:t xml:space="preserve"> instead of ‘should’ or ‘may’. </w:t>
      </w:r>
      <w:r w:rsidRPr="00580EE1">
        <w:t xml:space="preserve">This is required </w:t>
      </w:r>
      <w:r>
        <w:t>to enable</w:t>
      </w:r>
      <w:r w:rsidRPr="00580EE1">
        <w:t xml:space="preserve"> the industry body and </w:t>
      </w:r>
      <w:r>
        <w:t>the ACMA</w:t>
      </w:r>
      <w:r w:rsidRPr="00580EE1">
        <w:t xml:space="preserve"> to enforce the code.</w:t>
      </w:r>
      <w:r w:rsidR="001B2C9D">
        <w:t xml:space="preserve"> </w:t>
      </w:r>
      <w:r>
        <w:t>The ACMA</w:t>
      </w:r>
      <w:r w:rsidRPr="00580EE1">
        <w:t xml:space="preserve"> can only make a direction to comply with a code under </w:t>
      </w:r>
      <w:r w:rsidR="00A86C91">
        <w:t>section</w:t>
      </w:r>
      <w:r w:rsidRPr="00580EE1">
        <w:t xml:space="preserve"> 121 if it is satisfied that the participant in the sec</w:t>
      </w:r>
      <w:r w:rsidR="00C37BF0">
        <w:t xml:space="preserve">tion of the telecommunications, </w:t>
      </w:r>
      <w:r w:rsidR="00BE08E1" w:rsidRPr="00580EE1">
        <w:t xml:space="preserve">telemarketing </w:t>
      </w:r>
      <w:r w:rsidR="00BE08E1">
        <w:t>or fax marketing</w:t>
      </w:r>
      <w:r w:rsidRPr="00580EE1">
        <w:t xml:space="preserve"> industry has contravened or is contravening the code</w:t>
      </w:r>
      <w:r>
        <w:t>. Consequently,</w:t>
      </w:r>
      <w:r w:rsidRPr="00580EE1">
        <w:t xml:space="preserve"> it is important that rules of a code</w:t>
      </w:r>
      <w:r w:rsidR="00FC5340">
        <w:t>,</w:t>
      </w:r>
      <w:r w:rsidRPr="00580EE1">
        <w:t xml:space="preserve"> which are intended to be mandatory</w:t>
      </w:r>
      <w:r w:rsidR="00FC5340">
        <w:t>,</w:t>
      </w:r>
      <w:r w:rsidRPr="00580EE1">
        <w:t xml:space="preserve"> are expressed in terms </w:t>
      </w:r>
      <w:r w:rsidR="00FC5340">
        <w:t>that</w:t>
      </w:r>
      <w:r w:rsidR="00FC5340" w:rsidRPr="00580EE1">
        <w:t xml:space="preserve"> </w:t>
      </w:r>
      <w:r w:rsidRPr="00580EE1">
        <w:t xml:space="preserve">create a clear obligation on the participants to comply with the requirements. </w:t>
      </w:r>
    </w:p>
    <w:p w14:paraId="621B2C9A" w14:textId="3DF6EC98" w:rsidR="0001317D" w:rsidRDefault="00FC5340" w:rsidP="00DF4D0D">
      <w:pPr>
        <w:spacing w:after="80"/>
      </w:pPr>
      <w:r w:rsidRPr="00580EE1">
        <w:t>Nevertheless,</w:t>
      </w:r>
      <w:r w:rsidR="0001317D" w:rsidRPr="00580EE1">
        <w:t xml:space="preserve"> industry bodies should give careful consideration to the level of specification in code rules.</w:t>
      </w:r>
      <w:r w:rsidR="001B2C9D">
        <w:t xml:space="preserve"> </w:t>
      </w:r>
      <w:r w:rsidR="0001317D" w:rsidRPr="00580EE1">
        <w:t>For example:</w:t>
      </w:r>
    </w:p>
    <w:p w14:paraId="478AFCBE" w14:textId="77777777" w:rsidR="0001317D" w:rsidRDefault="0001317D" w:rsidP="00BF31F3">
      <w:pPr>
        <w:pStyle w:val="ListBullet"/>
      </w:pPr>
      <w:r>
        <w:t>‘A supplier should ensure that its bills are delivered to customers in a timely manner’ is not an enforceable rule.</w:t>
      </w:r>
    </w:p>
    <w:p w14:paraId="3A0ED4F9" w14:textId="77777777" w:rsidR="0001317D" w:rsidRPr="00580EE1" w:rsidRDefault="0001317D" w:rsidP="00CA5F87">
      <w:pPr>
        <w:pStyle w:val="ListBulletLast"/>
      </w:pPr>
      <w:r>
        <w:t>‘A supplier must issue a bill to a customer within 10 working days after the closure of the billing period’ is enforceable.</w:t>
      </w:r>
    </w:p>
    <w:p w14:paraId="660D2707" w14:textId="77777777" w:rsidR="0001317D" w:rsidRPr="00580EE1" w:rsidRDefault="0001317D" w:rsidP="0001317D">
      <w:r w:rsidRPr="00580EE1">
        <w:lastRenderedPageBreak/>
        <w:t xml:space="preserve">In addition to being expressed in mandatory terms, codes must also substantially relate to matters that are within </w:t>
      </w:r>
      <w:r>
        <w:t>the ACMA</w:t>
      </w:r>
      <w:r w:rsidRPr="00580EE1">
        <w:t>'s jurisdiction under the Telecommunications Act. Code rules must also be internally consistent.</w:t>
      </w:r>
    </w:p>
    <w:p w14:paraId="219F17D4" w14:textId="77777777" w:rsidR="000F1E41" w:rsidRPr="000F1E41" w:rsidRDefault="000F1E41" w:rsidP="001C35F7">
      <w:pPr>
        <w:pStyle w:val="Heading3"/>
      </w:pPr>
      <w:bookmarkStart w:id="73" w:name="_Toc395876600"/>
      <w:bookmarkStart w:id="74" w:name="_Toc428450629"/>
      <w:r w:rsidRPr="00580EE1">
        <w:t>Guidelines</w:t>
      </w:r>
      <w:bookmarkEnd w:id="73"/>
      <w:bookmarkEnd w:id="74"/>
      <w:r w:rsidRPr="00580EE1">
        <w:t xml:space="preserve"> </w:t>
      </w:r>
    </w:p>
    <w:p w14:paraId="6F61E326" w14:textId="1BA9A1F6" w:rsidR="000F1E41" w:rsidRPr="00580EE1" w:rsidRDefault="000F1E41" w:rsidP="000F1E41">
      <w:r w:rsidRPr="00580EE1">
        <w:t>As well as providing mandatory code rules, industry bodies may also choose to include non-mandatory provisions in codes.</w:t>
      </w:r>
      <w:r w:rsidR="001B2C9D">
        <w:t xml:space="preserve"> </w:t>
      </w:r>
      <w:r w:rsidRPr="00580EE1">
        <w:t>Indicative guidelines or examples of how code rules can be adequately implemented may also be developed.</w:t>
      </w:r>
      <w:r w:rsidR="001B2C9D">
        <w:t xml:space="preserve"> </w:t>
      </w:r>
      <w:r w:rsidRPr="00580EE1">
        <w:t>Guidelines may be contained in a separate document appended to the code.</w:t>
      </w:r>
      <w:r w:rsidR="001B2C9D">
        <w:t xml:space="preserve"> </w:t>
      </w:r>
      <w:r w:rsidRPr="00580EE1">
        <w:t xml:space="preserve">They may be developed by the industry body </w:t>
      </w:r>
      <w:r w:rsidR="00FC5340">
        <w:t>that</w:t>
      </w:r>
      <w:r w:rsidR="00FC5340" w:rsidRPr="00580EE1">
        <w:t xml:space="preserve"> </w:t>
      </w:r>
      <w:r w:rsidRPr="00580EE1">
        <w:t xml:space="preserve">drafts the code, or by the individual companies </w:t>
      </w:r>
      <w:r w:rsidR="00FC5340">
        <w:t>that</w:t>
      </w:r>
      <w:r w:rsidR="00FC5340" w:rsidRPr="00580EE1">
        <w:t xml:space="preserve"> </w:t>
      </w:r>
      <w:r w:rsidRPr="00580EE1">
        <w:t xml:space="preserve">are covered by the code. </w:t>
      </w:r>
    </w:p>
    <w:p w14:paraId="19541F6B" w14:textId="77777777" w:rsidR="000F1E41" w:rsidRPr="00580EE1" w:rsidRDefault="000F1E41" w:rsidP="001C35F7">
      <w:pPr>
        <w:pStyle w:val="Heading3"/>
      </w:pPr>
      <w:bookmarkStart w:id="75" w:name="_Toc395876601"/>
      <w:bookmarkStart w:id="76" w:name="_Toc428450630"/>
      <w:r w:rsidRPr="00580EE1">
        <w:t>Consumer protections</w:t>
      </w:r>
      <w:bookmarkEnd w:id="75"/>
      <w:bookmarkEnd w:id="76"/>
    </w:p>
    <w:p w14:paraId="4B461407" w14:textId="30A99A13" w:rsidR="000F1E41" w:rsidRPr="00580EE1" w:rsidRDefault="000F1E41" w:rsidP="000F1E41">
      <w:r w:rsidRPr="00580EE1">
        <w:t>To meet the requirement to provide ‘appropriate community safeguards’</w:t>
      </w:r>
      <w:r w:rsidR="00FC5340">
        <w:t>,</w:t>
      </w:r>
      <w:r w:rsidRPr="00580EE1">
        <w:t xml:space="preserve"> codes </w:t>
      </w:r>
      <w:r w:rsidR="00FC5340">
        <w:t>that</w:t>
      </w:r>
      <w:r w:rsidR="00FC5340" w:rsidRPr="00580EE1">
        <w:t xml:space="preserve"> </w:t>
      </w:r>
      <w:r w:rsidRPr="00580EE1">
        <w:t xml:space="preserve">primarily address consumer protection issues must contain obligations </w:t>
      </w:r>
      <w:r w:rsidR="00FC5340">
        <w:t>that</w:t>
      </w:r>
      <w:r w:rsidR="00FC5340" w:rsidRPr="00580EE1">
        <w:t xml:space="preserve"> </w:t>
      </w:r>
      <w:r w:rsidRPr="00580EE1">
        <w:t>will protect consumers.</w:t>
      </w:r>
      <w:r w:rsidR="001B2C9D">
        <w:t xml:space="preserve"> </w:t>
      </w:r>
      <w:r w:rsidRPr="00580EE1">
        <w:t>They must contain clear statements of the code’s objectives, unambiguous rules</w:t>
      </w:r>
      <w:r w:rsidR="00FC5340">
        <w:t>,</w:t>
      </w:r>
      <w:r w:rsidRPr="00580EE1">
        <w:t xml:space="preserve"> and rules that will demonstrate that code objectives are being met.</w:t>
      </w:r>
      <w:r w:rsidR="001B2C9D">
        <w:t xml:space="preserve"> </w:t>
      </w:r>
    </w:p>
    <w:p w14:paraId="5A7B274F" w14:textId="77777777" w:rsidR="000F1E41" w:rsidRDefault="000F1E41" w:rsidP="000F1E41">
      <w:r w:rsidRPr="00580EE1">
        <w:t>The code rules must be enforceable, while providing the scope for individual businesses to implement their own approaches to the code, rather than stipulatin</w:t>
      </w:r>
      <w:r w:rsidR="001C35F7">
        <w:t>g specific business practices.</w:t>
      </w:r>
    </w:p>
    <w:p w14:paraId="419FE893" w14:textId="77777777" w:rsidR="001C35F7" w:rsidRPr="00580EE1" w:rsidRDefault="001C35F7" w:rsidP="001C35F7">
      <w:pPr>
        <w:pStyle w:val="Heading3"/>
      </w:pPr>
      <w:bookmarkStart w:id="77" w:name="_Toc395876602"/>
      <w:bookmarkStart w:id="78" w:name="_Toc428450631"/>
      <w:r w:rsidRPr="00580EE1">
        <w:t>Delayed implementation of code provisions</w:t>
      </w:r>
      <w:bookmarkEnd w:id="77"/>
      <w:bookmarkEnd w:id="78"/>
    </w:p>
    <w:p w14:paraId="2EAA384E" w14:textId="2F52DE2D" w:rsidR="001C35F7" w:rsidRPr="00580EE1" w:rsidRDefault="001C35F7" w:rsidP="001C35F7">
      <w:r w:rsidRPr="00580EE1">
        <w:t xml:space="preserve">Codes with provisions </w:t>
      </w:r>
      <w:r w:rsidR="00FC5340">
        <w:t>that</w:t>
      </w:r>
      <w:r w:rsidR="00FC5340" w:rsidRPr="00580EE1">
        <w:t xml:space="preserve"> </w:t>
      </w:r>
      <w:r w:rsidRPr="00580EE1">
        <w:t xml:space="preserve">commence at a date in the future can be registered by </w:t>
      </w:r>
      <w:r>
        <w:t>the ACMA</w:t>
      </w:r>
      <w:r w:rsidRPr="00580EE1">
        <w:t xml:space="preserve"> under certain circumstances.</w:t>
      </w:r>
      <w:r w:rsidR="001B2C9D">
        <w:t xml:space="preserve">  </w:t>
      </w:r>
    </w:p>
    <w:p w14:paraId="533EC733" w14:textId="35187E9A" w:rsidR="001C35F7" w:rsidRDefault="001C35F7" w:rsidP="001C35F7">
      <w:r>
        <w:t>To register</w:t>
      </w:r>
      <w:r w:rsidRPr="00580EE1">
        <w:t xml:space="preserve"> a code with delayed implementation</w:t>
      </w:r>
      <w:r>
        <w:t xml:space="preserve"> of some provisions</w:t>
      </w:r>
      <w:r w:rsidRPr="00580EE1">
        <w:t xml:space="preserve">, </w:t>
      </w:r>
      <w:r>
        <w:t>the ACMA</w:t>
      </w:r>
      <w:r w:rsidRPr="00580EE1">
        <w:t xml:space="preserve"> must be satisfied that</w:t>
      </w:r>
      <w:r>
        <w:t xml:space="preserve"> the delay is necessary to avoid undue burdens on the applicable industry.</w:t>
      </w:r>
    </w:p>
    <w:p w14:paraId="2A6CD894" w14:textId="77777777" w:rsidR="001C35F7" w:rsidRPr="00580EE1" w:rsidRDefault="001C35F7" w:rsidP="001C35F7">
      <w:r>
        <w:t>The explanatory s</w:t>
      </w:r>
      <w:r w:rsidRPr="00580EE1">
        <w:t>tatement to the code</w:t>
      </w:r>
      <w:r>
        <w:t xml:space="preserve"> should explain t</w:t>
      </w:r>
      <w:r w:rsidRPr="00580EE1">
        <w:t xml:space="preserve">he burdens that </w:t>
      </w:r>
      <w:r>
        <w:t xml:space="preserve">industry would face by </w:t>
      </w:r>
      <w:r w:rsidRPr="00580EE1">
        <w:t xml:space="preserve">commencing the provisions </w:t>
      </w:r>
      <w:r>
        <w:t>without a delay</w:t>
      </w:r>
      <w:r w:rsidRPr="00580EE1">
        <w:t xml:space="preserve"> and how they are undue or unfair.</w:t>
      </w:r>
    </w:p>
    <w:p w14:paraId="2CBD7292" w14:textId="77777777" w:rsidR="001C35F7" w:rsidRPr="00580EE1" w:rsidRDefault="001C35F7" w:rsidP="001C35F7">
      <w:pPr>
        <w:pStyle w:val="Heading3"/>
        <w:rPr>
          <w:snapToGrid w:val="0"/>
          <w:lang w:eastAsia="en-US"/>
        </w:rPr>
      </w:pPr>
      <w:bookmarkStart w:id="79" w:name="_Toc457712984"/>
      <w:bookmarkStart w:id="80" w:name="_Toc395876603"/>
      <w:bookmarkStart w:id="81" w:name="_Toc428450632"/>
      <w:r w:rsidRPr="00580EE1">
        <w:rPr>
          <w:snapToGrid w:val="0"/>
          <w:lang w:eastAsia="en-US"/>
        </w:rPr>
        <w:t>Contractual arrangements</w:t>
      </w:r>
      <w:bookmarkEnd w:id="79"/>
      <w:bookmarkEnd w:id="80"/>
      <w:bookmarkEnd w:id="81"/>
    </w:p>
    <w:p w14:paraId="7AE1057B" w14:textId="4EF2890D" w:rsidR="001C35F7" w:rsidRPr="00580EE1" w:rsidRDefault="001C35F7" w:rsidP="001C35F7">
      <w:pPr>
        <w:rPr>
          <w:snapToGrid w:val="0"/>
          <w:lang w:eastAsia="en-US"/>
        </w:rPr>
      </w:pPr>
      <w:r w:rsidRPr="00580EE1">
        <w:rPr>
          <w:snapToGrid w:val="0"/>
          <w:lang w:eastAsia="en-US"/>
        </w:rPr>
        <w:t xml:space="preserve">In some </w:t>
      </w:r>
      <w:r w:rsidR="00CC1AF1" w:rsidRPr="00580EE1">
        <w:rPr>
          <w:snapToGrid w:val="0"/>
          <w:lang w:eastAsia="en-US"/>
        </w:rPr>
        <w:t>cases,</w:t>
      </w:r>
      <w:r w:rsidRPr="00580EE1">
        <w:rPr>
          <w:snapToGrid w:val="0"/>
          <w:lang w:eastAsia="en-US"/>
        </w:rPr>
        <w:t xml:space="preserve"> the performance of code obligations may entail persons who are subject to a code entering into contractual relationships.</w:t>
      </w:r>
      <w:r w:rsidR="001B2C9D">
        <w:rPr>
          <w:snapToGrid w:val="0"/>
          <w:lang w:eastAsia="en-US"/>
        </w:rPr>
        <w:t xml:space="preserve"> </w:t>
      </w:r>
      <w:r w:rsidRPr="00580EE1">
        <w:rPr>
          <w:snapToGrid w:val="0"/>
          <w:lang w:eastAsia="en-US"/>
        </w:rPr>
        <w:t>There are two main kinds of contractual relationships that would fit this description</w:t>
      </w:r>
      <w:r w:rsidR="003A0496">
        <w:rPr>
          <w:snapToGrid w:val="0"/>
          <w:lang w:eastAsia="en-US"/>
        </w:rPr>
        <w:t>:</w:t>
      </w:r>
      <w:r w:rsidRPr="00580EE1">
        <w:rPr>
          <w:snapToGrid w:val="0"/>
          <w:lang w:eastAsia="en-US"/>
        </w:rPr>
        <w:t xml:space="preserve"> contractual arrangements between participants in a section of the industry who are subject to the code</w:t>
      </w:r>
      <w:r w:rsidR="00CC1AF1">
        <w:rPr>
          <w:snapToGrid w:val="0"/>
          <w:lang w:eastAsia="en-US"/>
        </w:rPr>
        <w:t>,</w:t>
      </w:r>
      <w:r w:rsidRPr="00580EE1">
        <w:rPr>
          <w:snapToGrid w:val="0"/>
          <w:lang w:eastAsia="en-US"/>
        </w:rPr>
        <w:t xml:space="preserve"> and those between a participant in a section of the industry who is subject to the code and another person, for example, an agency relationship.</w:t>
      </w:r>
    </w:p>
    <w:p w14:paraId="259C3399" w14:textId="77777777" w:rsidR="001C35F7" w:rsidRPr="00580EE1" w:rsidRDefault="001C35F7" w:rsidP="001C35F7">
      <w:pPr>
        <w:pStyle w:val="BodySubHeader"/>
      </w:pPr>
      <w:bookmarkStart w:id="82" w:name="_Toc457384370"/>
      <w:bookmarkStart w:id="83" w:name="_Toc395876604"/>
      <w:r w:rsidRPr="00580EE1">
        <w:t>Bilateral agreements</w:t>
      </w:r>
      <w:bookmarkEnd w:id="82"/>
      <w:bookmarkEnd w:id="83"/>
    </w:p>
    <w:p w14:paraId="74744E6B" w14:textId="675C9074" w:rsidR="001C35F7" w:rsidRPr="00580EE1" w:rsidRDefault="001C35F7" w:rsidP="001C35F7">
      <w:r w:rsidRPr="00580EE1">
        <w:t>A bilateral agreement is a general term for an agreement between parties.</w:t>
      </w:r>
      <w:r w:rsidR="001B2C9D">
        <w:t xml:space="preserve"> </w:t>
      </w:r>
      <w:r w:rsidRPr="00580EE1">
        <w:t>However, for the purpose of this guide, a ‘bilateral agreement’ means a contract between two parties who are participants in a section of the</w:t>
      </w:r>
      <w:r>
        <w:t xml:space="preserve"> telecommunications, </w:t>
      </w:r>
      <w:r w:rsidR="00BE08E1">
        <w:t>telemarketing</w:t>
      </w:r>
      <w:r w:rsidR="00BE08E1" w:rsidRPr="00580EE1">
        <w:t xml:space="preserve"> </w:t>
      </w:r>
      <w:r w:rsidR="00BE08E1">
        <w:t xml:space="preserve">or </w:t>
      </w:r>
      <w:r w:rsidR="00C37BF0">
        <w:t>fax marketing</w:t>
      </w:r>
      <w:r>
        <w:t xml:space="preserve"> </w:t>
      </w:r>
      <w:r w:rsidRPr="00580EE1">
        <w:t>industr</w:t>
      </w:r>
      <w:r>
        <w:t>ies</w:t>
      </w:r>
      <w:r w:rsidRPr="00580EE1">
        <w:t xml:space="preserve"> d</w:t>
      </w:r>
      <w:r w:rsidR="005C369E">
        <w:t>escribed in subsections 110(2-3)</w:t>
      </w:r>
      <w:r w:rsidRPr="00580EE1">
        <w:t xml:space="preserve">, </w:t>
      </w:r>
      <w:bookmarkStart w:id="84" w:name="OLE_LINK3"/>
      <w:bookmarkStart w:id="85" w:name="OLE_LINK4"/>
      <w:r w:rsidR="005C369E">
        <w:t>110B(2-3)</w:t>
      </w:r>
      <w:r w:rsidRPr="00580EE1">
        <w:t>,</w:t>
      </w:r>
      <w:r w:rsidR="005C369E">
        <w:t xml:space="preserve"> and 110B(2-</w:t>
      </w:r>
      <w:r w:rsidRPr="00580EE1">
        <w:t>3)</w:t>
      </w:r>
      <w:bookmarkEnd w:id="84"/>
      <w:bookmarkEnd w:id="85"/>
      <w:r>
        <w:t>,</w:t>
      </w:r>
      <w:r w:rsidRPr="00580EE1">
        <w:t xml:space="preserve"> where both parties are subject to the same industry code.</w:t>
      </w:r>
      <w:r w:rsidR="001B2C9D">
        <w:t xml:space="preserve"> </w:t>
      </w:r>
      <w:r w:rsidRPr="00580EE1">
        <w:t xml:space="preserve">These agreements may deal with mechanical or administrative processes that address compliance with code obligations, or they may involve commercial arrangements between the parties that are not directly related to code compliance. </w:t>
      </w:r>
    </w:p>
    <w:p w14:paraId="2CF156E8" w14:textId="409CB4C8" w:rsidR="001C35F7" w:rsidRPr="00580EE1" w:rsidRDefault="001C35F7" w:rsidP="001C35F7">
      <w:r w:rsidRPr="00580EE1">
        <w:t>Care has to be taken in drafting references to bilateral agreements in codes, because there are some matters</w:t>
      </w:r>
      <w:r w:rsidR="00CC1AF1">
        <w:t>,</w:t>
      </w:r>
      <w:r w:rsidRPr="00580EE1">
        <w:t xml:space="preserve"> which if not avoided, will have the effect that </w:t>
      </w:r>
      <w:r>
        <w:t>the ACMA</w:t>
      </w:r>
      <w:r w:rsidRPr="00580EE1">
        <w:t xml:space="preserve"> will be unable to register the code.</w:t>
      </w:r>
      <w:r w:rsidR="001B2C9D">
        <w:t xml:space="preserve"> </w:t>
      </w:r>
      <w:r w:rsidRPr="00580EE1">
        <w:t xml:space="preserve">In particular, any provisions </w:t>
      </w:r>
      <w:r w:rsidR="00CC1AF1">
        <w:t>that</w:t>
      </w:r>
      <w:r w:rsidR="00CC1AF1" w:rsidRPr="00580EE1">
        <w:t xml:space="preserve"> </w:t>
      </w:r>
      <w:r w:rsidRPr="00580EE1">
        <w:t xml:space="preserve">would have the effect of asking </w:t>
      </w:r>
      <w:r>
        <w:t>the ACMA</w:t>
      </w:r>
      <w:r w:rsidRPr="00580EE1">
        <w:t>, by way of enforcement, to act as if it were a court</w:t>
      </w:r>
      <w:r w:rsidR="00CC1AF1">
        <w:t>,</w:t>
      </w:r>
      <w:r w:rsidRPr="00580EE1">
        <w:t xml:space="preserve"> will be unacceptable. </w:t>
      </w:r>
    </w:p>
    <w:p w14:paraId="419FDBD2" w14:textId="77777777" w:rsidR="001C35F7" w:rsidRPr="00580EE1" w:rsidRDefault="001C35F7" w:rsidP="00DF4D0D">
      <w:pPr>
        <w:spacing w:after="80"/>
      </w:pPr>
      <w:r w:rsidRPr="00580EE1">
        <w:lastRenderedPageBreak/>
        <w:t>The following principles must be followed when considering referring to a bilateral agreement in a code:</w:t>
      </w:r>
    </w:p>
    <w:p w14:paraId="2CC0E374" w14:textId="56D03F56" w:rsidR="001C35F7" w:rsidRPr="00580EE1" w:rsidRDefault="001C35F7" w:rsidP="001C35F7">
      <w:pPr>
        <w:pStyle w:val="ListBullet"/>
      </w:pPr>
      <w:r w:rsidRPr="00580EE1">
        <w:t>Codes must not be dependent on bilateral agreements.</w:t>
      </w:r>
      <w:r w:rsidR="001B2C9D">
        <w:t xml:space="preserve"> </w:t>
      </w:r>
      <w:r w:rsidRPr="00580EE1">
        <w:t>Codes must be able to have meaningful content without reference to the agreements that may or may not stand behind them</w:t>
      </w:r>
      <w:r w:rsidR="00CC1AF1">
        <w:t>.</w:t>
      </w:r>
    </w:p>
    <w:p w14:paraId="7EE29CA6" w14:textId="6944DC6F" w:rsidR="001C35F7" w:rsidRPr="00580EE1" w:rsidRDefault="001C35F7" w:rsidP="001C35F7">
      <w:pPr>
        <w:pStyle w:val="ListBullet"/>
      </w:pPr>
      <w:r w:rsidRPr="00580EE1">
        <w:t xml:space="preserve">Codes must not refer to bilateral agreements in such a way that </w:t>
      </w:r>
      <w:r>
        <w:t>the ACMA</w:t>
      </w:r>
      <w:r w:rsidRPr="00580EE1">
        <w:t xml:space="preserve"> could become involved in trying to enforce terms of a contract on one party in favour of another party</w:t>
      </w:r>
      <w:r w:rsidR="00CC1AF1">
        <w:t>.</w:t>
      </w:r>
    </w:p>
    <w:p w14:paraId="56A07F65" w14:textId="0E1AA88D" w:rsidR="001C35F7" w:rsidRPr="00580EE1" w:rsidRDefault="001C35F7" w:rsidP="001C35F7">
      <w:pPr>
        <w:pStyle w:val="ListBullet"/>
      </w:pPr>
      <w:r w:rsidRPr="00580EE1">
        <w:t>Codes must not refer to bilateral agreements in such a way that the failure to agree on a bilateral issue could constitute a breach of the code.</w:t>
      </w:r>
      <w:r w:rsidR="001B2C9D">
        <w:t xml:space="preserve"> </w:t>
      </w:r>
      <w:r w:rsidRPr="00580EE1">
        <w:t>A complaint that another party is refusing to enter into a reasonable bilateral arrangement cannot be dealt with as a breach of a code</w:t>
      </w:r>
      <w:r w:rsidR="00CC1AF1">
        <w:t>.</w:t>
      </w:r>
    </w:p>
    <w:p w14:paraId="66441F87" w14:textId="16AB7C03" w:rsidR="001C35F7" w:rsidRPr="00580EE1" w:rsidRDefault="001C35F7" w:rsidP="001C35F7">
      <w:pPr>
        <w:pStyle w:val="ListBullet"/>
      </w:pPr>
      <w:r w:rsidRPr="00580EE1">
        <w:t>It may be acceptable for a code to refer to the matters that should be in bilateral agreements, where they exist, as long as they do not specify the content of the contract clauses.</w:t>
      </w:r>
      <w:r w:rsidR="001B2C9D">
        <w:t xml:space="preserve"> </w:t>
      </w:r>
      <w:r w:rsidRPr="00580EE1">
        <w:t>Therefore, for example, it may be acceptable for a code to have a provision that bilateral agreements may contain a clause dealing with the indemnities for any risks arising from the provisions of the code, but not to specify what those indemnities are.</w:t>
      </w:r>
      <w:r w:rsidR="001B2C9D">
        <w:t xml:space="preserve"> </w:t>
      </w:r>
      <w:r w:rsidRPr="00580EE1">
        <w:t>However, it should be noted that a breach of a bilateral agreement may not be a breach of a code</w:t>
      </w:r>
      <w:r w:rsidR="00CC1AF1">
        <w:t>.</w:t>
      </w:r>
    </w:p>
    <w:p w14:paraId="5E7A7614" w14:textId="4C98838A" w:rsidR="001C35F7" w:rsidRPr="00580EE1" w:rsidRDefault="001C35F7" w:rsidP="00CA5F87">
      <w:pPr>
        <w:pStyle w:val="ListBulletLast"/>
      </w:pPr>
      <w:r w:rsidRPr="00580EE1">
        <w:t xml:space="preserve">Bilateral agreements must be consistent with code provisions and any requirements imposed by </w:t>
      </w:r>
      <w:r w:rsidR="00CC1AF1">
        <w:t>s</w:t>
      </w:r>
      <w:r w:rsidRPr="00580EE1">
        <w:t xml:space="preserve">tate or Commonwealth legislation, for example, the </w:t>
      </w:r>
      <w:r>
        <w:rPr>
          <w:i/>
        </w:rPr>
        <w:t>Competition and Consumer Act 2010</w:t>
      </w:r>
      <w:r w:rsidRPr="00580EE1">
        <w:rPr>
          <w:i/>
        </w:rPr>
        <w:t xml:space="preserve"> </w:t>
      </w:r>
      <w:r w:rsidRPr="00580EE1">
        <w:t>and the</w:t>
      </w:r>
      <w:r w:rsidRPr="00580EE1">
        <w:rPr>
          <w:i/>
        </w:rPr>
        <w:t xml:space="preserve"> Disability Discrimination Act 1992</w:t>
      </w:r>
      <w:r w:rsidRPr="00580EE1">
        <w:t>.</w:t>
      </w:r>
      <w:r w:rsidR="001B2C9D">
        <w:t xml:space="preserve"> </w:t>
      </w:r>
      <w:r w:rsidRPr="00580EE1">
        <w:t>Bilateral agreements must not allow for standards lower than those prescribed in the code.</w:t>
      </w:r>
    </w:p>
    <w:p w14:paraId="1B10B6A8" w14:textId="11FB1CE1" w:rsidR="001C35F7" w:rsidRDefault="001C35F7" w:rsidP="001C35F7">
      <w:r w:rsidRPr="00580EE1">
        <w:t xml:space="preserve">Some examples of acceptable bilateral clauses are at Appendix </w:t>
      </w:r>
      <w:r w:rsidR="00D200EA">
        <w:t>D</w:t>
      </w:r>
      <w:r w:rsidRPr="00580EE1">
        <w:t>.</w:t>
      </w:r>
    </w:p>
    <w:p w14:paraId="6B3C1941" w14:textId="77777777" w:rsidR="001C35F7" w:rsidRPr="001C35F7" w:rsidRDefault="001C35F7" w:rsidP="001C35F7">
      <w:pPr>
        <w:pStyle w:val="BodySubHeader"/>
      </w:pPr>
      <w:bookmarkStart w:id="86" w:name="_Toc395876605"/>
      <w:r w:rsidRPr="00580EE1">
        <w:t>Agency agreements</w:t>
      </w:r>
      <w:bookmarkEnd w:id="86"/>
    </w:p>
    <w:p w14:paraId="7BA1C4BA" w14:textId="42F11E70" w:rsidR="001C35F7" w:rsidRPr="00580EE1" w:rsidRDefault="001C35F7" w:rsidP="001C35F7">
      <w:pPr>
        <w:rPr>
          <w:snapToGrid w:val="0"/>
          <w:lang w:eastAsia="en-US"/>
        </w:rPr>
      </w:pPr>
      <w:r w:rsidRPr="00580EE1">
        <w:rPr>
          <w:snapToGrid w:val="0"/>
          <w:lang w:eastAsia="en-US"/>
        </w:rPr>
        <w:t>An agency agreement is a contract that requires one party to act on behalf of the other party, that is, as an agent for a principal.</w:t>
      </w:r>
      <w:r w:rsidR="001B2C9D">
        <w:rPr>
          <w:snapToGrid w:val="0"/>
          <w:lang w:eastAsia="en-US"/>
        </w:rPr>
        <w:t xml:space="preserve"> </w:t>
      </w:r>
      <w:r w:rsidRPr="00580EE1">
        <w:rPr>
          <w:snapToGrid w:val="0"/>
          <w:lang w:eastAsia="en-US"/>
        </w:rPr>
        <w:t>Through the laws of agency, principals are responsible for ensuring that agents comply with codes when acting on the principal’s behalf.</w:t>
      </w:r>
      <w:r w:rsidR="001B2C9D">
        <w:rPr>
          <w:snapToGrid w:val="0"/>
          <w:lang w:eastAsia="en-US"/>
        </w:rPr>
        <w:t xml:space="preserve"> </w:t>
      </w:r>
      <w:r w:rsidRPr="00580EE1">
        <w:rPr>
          <w:snapToGrid w:val="0"/>
          <w:lang w:eastAsia="en-US"/>
        </w:rPr>
        <w:t>A principal who is a participant in a section of an industry covered by a code may authorise their agent to undertake activities that are covered by codes.</w:t>
      </w:r>
    </w:p>
    <w:p w14:paraId="080505FD" w14:textId="48A52C25" w:rsidR="001C35F7" w:rsidRPr="001C35F7" w:rsidRDefault="001C35F7" w:rsidP="00DF4D0D">
      <w:pPr>
        <w:spacing w:after="80"/>
        <w:rPr>
          <w:snapToGrid w:val="0"/>
          <w:lang w:eastAsia="en-US"/>
        </w:rPr>
      </w:pPr>
      <w:r w:rsidRPr="00580EE1">
        <w:rPr>
          <w:snapToGrid w:val="0"/>
          <w:lang w:eastAsia="en-US"/>
        </w:rPr>
        <w:t xml:space="preserve">An important principle of the operation of codes and agency agreements is that codes must not operate in a way </w:t>
      </w:r>
      <w:r w:rsidR="00CC1AF1">
        <w:rPr>
          <w:snapToGrid w:val="0"/>
          <w:lang w:eastAsia="en-US"/>
        </w:rPr>
        <w:t>that</w:t>
      </w:r>
      <w:r w:rsidR="00CC1AF1" w:rsidRPr="00580EE1">
        <w:rPr>
          <w:snapToGrid w:val="0"/>
          <w:lang w:eastAsia="en-US"/>
        </w:rPr>
        <w:t xml:space="preserve"> </w:t>
      </w:r>
      <w:r w:rsidRPr="00580EE1">
        <w:rPr>
          <w:snapToGrid w:val="0"/>
          <w:lang w:eastAsia="en-US"/>
        </w:rPr>
        <w:t>attempts to remove the legal responsibility of a principal for the behaviour of its agent.</w:t>
      </w:r>
      <w:r w:rsidR="001B2C9D">
        <w:rPr>
          <w:snapToGrid w:val="0"/>
          <w:lang w:eastAsia="en-US"/>
        </w:rPr>
        <w:t xml:space="preserve"> </w:t>
      </w:r>
      <w:r w:rsidRPr="00580EE1">
        <w:rPr>
          <w:snapToGrid w:val="0"/>
          <w:lang w:eastAsia="en-US"/>
        </w:rPr>
        <w:t xml:space="preserve">They also cannot </w:t>
      </w:r>
      <w:r w:rsidRPr="00580EE1">
        <w:t>direct principals to include particular matters in their contracts with agents.</w:t>
      </w:r>
      <w:r w:rsidR="001B2C9D">
        <w:t xml:space="preserve"> </w:t>
      </w:r>
      <w:r w:rsidRPr="00580EE1">
        <w:rPr>
          <w:snapToGrid w:val="0"/>
          <w:lang w:eastAsia="en-US"/>
        </w:rPr>
        <w:t>However</w:t>
      </w:r>
      <w:r w:rsidR="00CC1AF1">
        <w:rPr>
          <w:snapToGrid w:val="0"/>
          <w:lang w:eastAsia="en-US"/>
        </w:rPr>
        <w:t>,</w:t>
      </w:r>
      <w:r w:rsidRPr="00580EE1">
        <w:rPr>
          <w:snapToGrid w:val="0"/>
          <w:lang w:eastAsia="en-US"/>
        </w:rPr>
        <w:t xml:space="preserve"> codes may acknowledge the laws of agency by:</w:t>
      </w:r>
    </w:p>
    <w:p w14:paraId="43C37C79" w14:textId="039B5A3E" w:rsidR="001C35F7" w:rsidRPr="00580EE1" w:rsidRDefault="001C35F7" w:rsidP="001C35F7">
      <w:pPr>
        <w:pStyle w:val="ListBullet"/>
      </w:pPr>
      <w:r w:rsidRPr="00580EE1">
        <w:t xml:space="preserve">requiring principals to ensure that agents who have been authorised to act on the principal’s behalf are aware of any rules set out in the code </w:t>
      </w:r>
      <w:r w:rsidR="00CC1AF1">
        <w:t>that</w:t>
      </w:r>
      <w:r w:rsidR="00CC1AF1" w:rsidRPr="00580EE1">
        <w:t xml:space="preserve"> </w:t>
      </w:r>
      <w:r w:rsidRPr="00580EE1">
        <w:t>are relevan</w:t>
      </w:r>
      <w:r>
        <w:t>t to their conduct as an agent</w:t>
      </w:r>
    </w:p>
    <w:p w14:paraId="3D8B0553" w14:textId="79E1A4FB" w:rsidR="001C35F7" w:rsidRPr="00580EE1" w:rsidRDefault="001C35F7" w:rsidP="001C35F7">
      <w:pPr>
        <w:pStyle w:val="ListBullet"/>
      </w:pPr>
      <w:r w:rsidRPr="00580EE1">
        <w:t>indicating that principals may wish to include clauses in their contracts with agents stipulating that the agents must comply with relevant industry codes</w:t>
      </w:r>
    </w:p>
    <w:p w14:paraId="1958130D" w14:textId="77777777" w:rsidR="001C35F7" w:rsidRDefault="000A5D5E" w:rsidP="00CA5F87">
      <w:pPr>
        <w:pStyle w:val="ListBulletLast"/>
      </w:pPr>
      <w:r>
        <w:t xml:space="preserve">requiring </w:t>
      </w:r>
      <w:r w:rsidR="001C35F7" w:rsidRPr="00580EE1">
        <w:t>principals to put in place mechanisms for monitoring agents in order to ensure that agents do not place principals in breach of a code rule.</w:t>
      </w:r>
    </w:p>
    <w:p w14:paraId="62DFA1A7" w14:textId="77777777" w:rsidR="00AA6C19" w:rsidRPr="00580EE1" w:rsidRDefault="00AA6C19" w:rsidP="00AA6C19">
      <w:pPr>
        <w:pStyle w:val="Heading3"/>
      </w:pPr>
      <w:bookmarkStart w:id="87" w:name="_Toc457384371"/>
      <w:bookmarkStart w:id="88" w:name="_Toc457712985"/>
      <w:bookmarkStart w:id="89" w:name="_Toc395876606"/>
      <w:bookmarkStart w:id="90" w:name="_Toc428450633"/>
      <w:r w:rsidRPr="00580EE1">
        <w:t>Pecuniary penalties</w:t>
      </w:r>
      <w:bookmarkEnd w:id="87"/>
      <w:bookmarkEnd w:id="88"/>
      <w:bookmarkEnd w:id="89"/>
      <w:bookmarkEnd w:id="90"/>
    </w:p>
    <w:p w14:paraId="38496BE5" w14:textId="4DF3343C" w:rsidR="00AA6C19" w:rsidRPr="00580EE1" w:rsidRDefault="00AA6C19" w:rsidP="00AA6C19">
      <w:r w:rsidRPr="00580EE1">
        <w:t xml:space="preserve">Codes must not </w:t>
      </w:r>
      <w:r>
        <w:t>include</w:t>
      </w:r>
      <w:r w:rsidRPr="00580EE1">
        <w:t xml:space="preserve"> pecuniary penalties for breaches of code rules</w:t>
      </w:r>
      <w:r>
        <w:t>. As the</w:t>
      </w:r>
      <w:r w:rsidRPr="00580EE1">
        <w:t xml:space="preserve"> </w:t>
      </w:r>
      <w:r>
        <w:t>i</w:t>
      </w:r>
      <w:r w:rsidRPr="00580EE1">
        <w:t>mpos</w:t>
      </w:r>
      <w:r>
        <w:t>ition</w:t>
      </w:r>
      <w:r w:rsidRPr="00580EE1">
        <w:t xml:space="preserve"> </w:t>
      </w:r>
      <w:r>
        <w:t xml:space="preserve">of </w:t>
      </w:r>
      <w:r w:rsidRPr="00580EE1">
        <w:t>a pecuniary penalty is an exercise of judicial power</w:t>
      </w:r>
      <w:r>
        <w:t>,</w:t>
      </w:r>
      <w:r w:rsidRPr="00580EE1">
        <w:t xml:space="preserve"> </w:t>
      </w:r>
      <w:r>
        <w:t>the ACMA</w:t>
      </w:r>
      <w:r w:rsidRPr="00580EE1">
        <w:t xml:space="preserve"> would be unable to direct an organisation that is in breach of a code to pay a pecuniary penalty</w:t>
      </w:r>
      <w:r>
        <w:t>.</w:t>
      </w:r>
    </w:p>
    <w:p w14:paraId="73BCFD11" w14:textId="77777777" w:rsidR="00AA6C19" w:rsidRPr="00580EE1" w:rsidRDefault="00AA6C19" w:rsidP="00AA6C19">
      <w:pPr>
        <w:pStyle w:val="Heading3"/>
      </w:pPr>
      <w:bookmarkStart w:id="91" w:name="_Toc456165465"/>
      <w:bookmarkStart w:id="92" w:name="_Toc456165795"/>
      <w:bookmarkStart w:id="93" w:name="_Toc457357935"/>
      <w:bookmarkStart w:id="94" w:name="_Toc457384372"/>
      <w:bookmarkStart w:id="95" w:name="_Toc457712986"/>
      <w:bookmarkStart w:id="96" w:name="_Toc395876607"/>
      <w:bookmarkStart w:id="97" w:name="_Toc428450634"/>
      <w:r w:rsidRPr="00580EE1">
        <w:lastRenderedPageBreak/>
        <w:t>Indemnity clauses</w:t>
      </w:r>
      <w:bookmarkEnd w:id="91"/>
      <w:bookmarkEnd w:id="92"/>
      <w:bookmarkEnd w:id="93"/>
      <w:bookmarkEnd w:id="94"/>
      <w:bookmarkEnd w:id="95"/>
      <w:bookmarkEnd w:id="96"/>
      <w:bookmarkEnd w:id="97"/>
    </w:p>
    <w:p w14:paraId="34455CF4" w14:textId="608334AE" w:rsidR="00AA6C19" w:rsidRDefault="00AA6C19" w:rsidP="00AA6C19">
      <w:r w:rsidRPr="00580EE1">
        <w:t>Codes must not include clauses that indemnify one party against loss suffered as a result of a breach of a code.</w:t>
      </w:r>
      <w:r w:rsidR="001B2C9D">
        <w:t xml:space="preserve"> </w:t>
      </w:r>
      <w:r w:rsidRPr="00580EE1">
        <w:t xml:space="preserve">Indemnity clauses can only be enforced by courts and cannot be enforced by </w:t>
      </w:r>
      <w:r>
        <w:t>the ACMA</w:t>
      </w:r>
      <w:r w:rsidRPr="00580EE1">
        <w:t>.</w:t>
      </w:r>
    </w:p>
    <w:p w14:paraId="640BC625" w14:textId="77777777" w:rsidR="00AA6C19" w:rsidRPr="00580EE1" w:rsidRDefault="00AA6C19" w:rsidP="00AA6C19">
      <w:pPr>
        <w:pStyle w:val="Heading3"/>
      </w:pPr>
      <w:bookmarkStart w:id="98" w:name="_Toc424128412"/>
      <w:bookmarkStart w:id="99" w:name="_Toc456165466"/>
      <w:bookmarkStart w:id="100" w:name="_Toc456165796"/>
      <w:bookmarkStart w:id="101" w:name="_Toc457357936"/>
      <w:bookmarkStart w:id="102" w:name="_Toc457384373"/>
      <w:bookmarkStart w:id="103" w:name="_Toc457712987"/>
      <w:bookmarkStart w:id="104" w:name="_Toc395876608"/>
      <w:bookmarkStart w:id="105" w:name="_Toc428450635"/>
      <w:r w:rsidRPr="00580EE1">
        <w:t>Compliance with code rules</w:t>
      </w:r>
      <w:bookmarkEnd w:id="98"/>
      <w:bookmarkEnd w:id="99"/>
      <w:bookmarkEnd w:id="100"/>
      <w:bookmarkEnd w:id="101"/>
      <w:bookmarkEnd w:id="102"/>
      <w:bookmarkEnd w:id="103"/>
      <w:bookmarkEnd w:id="104"/>
      <w:bookmarkEnd w:id="105"/>
    </w:p>
    <w:p w14:paraId="32BD5A8D" w14:textId="011FC9F7" w:rsidR="00AA6C19" w:rsidRPr="00580EE1" w:rsidRDefault="00AA6C19" w:rsidP="00AA6C19">
      <w:r w:rsidRPr="00580EE1">
        <w:t>Code rules should also set out implementation mechanisms</w:t>
      </w:r>
      <w:r w:rsidR="00CC1AF1">
        <w:t>,</w:t>
      </w:r>
      <w:r w:rsidRPr="00580EE1">
        <w:t xml:space="preserve"> which assist </w:t>
      </w:r>
      <w:r>
        <w:t>the industry covered by the code</w:t>
      </w:r>
      <w:r w:rsidRPr="00580EE1">
        <w:t xml:space="preserve"> to establish compliance with the code rules.</w:t>
      </w:r>
      <w:r w:rsidR="001B2C9D">
        <w:t xml:space="preserve"> </w:t>
      </w:r>
      <w:r w:rsidRPr="00580EE1">
        <w:t>In some cases</w:t>
      </w:r>
      <w:r w:rsidR="00CC1AF1">
        <w:t>,</w:t>
      </w:r>
      <w:r w:rsidRPr="00580EE1">
        <w:t xml:space="preserve"> compliance mechanisms may be mandatory requirements of code rules</w:t>
      </w:r>
      <w:r w:rsidR="00CC1AF1">
        <w:t>,</w:t>
      </w:r>
      <w:r w:rsidRPr="00580EE1">
        <w:t xml:space="preserve"> and in other cases</w:t>
      </w:r>
      <w:r w:rsidR="00CC1AF1">
        <w:t>,</w:t>
      </w:r>
      <w:r w:rsidRPr="00580EE1">
        <w:t xml:space="preserve"> they may provide guidance on the kinds of measures </w:t>
      </w:r>
      <w:r w:rsidR="00CC1AF1">
        <w:t>that</w:t>
      </w:r>
      <w:r w:rsidR="00CC1AF1" w:rsidRPr="00580EE1">
        <w:t xml:space="preserve"> </w:t>
      </w:r>
      <w:r w:rsidRPr="00580EE1">
        <w:t>may be taken into account in the development of compliance programs.</w:t>
      </w:r>
      <w:r w:rsidR="001B2C9D">
        <w:t xml:space="preserve"> </w:t>
      </w:r>
      <w:r w:rsidRPr="00580EE1">
        <w:t xml:space="preserve">Compliance mechanisms enable </w:t>
      </w:r>
      <w:r>
        <w:t>relevant industry participants</w:t>
      </w:r>
      <w:r w:rsidRPr="00580EE1">
        <w:t xml:space="preserve"> to readily establish their obligations to comply with a particular code.</w:t>
      </w:r>
      <w:r w:rsidR="001B2C9D">
        <w:t xml:space="preserve"> </w:t>
      </w:r>
      <w:r w:rsidRPr="00580EE1">
        <w:t>They also assist in assessing whether code objectives have been met and facilitate compliance monitoring by industry bodies.</w:t>
      </w:r>
    </w:p>
    <w:p w14:paraId="25479649" w14:textId="0380C985" w:rsidR="00AA6C19" w:rsidRPr="00580EE1" w:rsidRDefault="00AA6C19" w:rsidP="00AA6C19">
      <w:r w:rsidRPr="00580EE1">
        <w:t xml:space="preserve">For further information on developing compliance mechanisms see the Australian Standard </w:t>
      </w:r>
      <w:r w:rsidRPr="00580EE1">
        <w:rPr>
          <w:i/>
        </w:rPr>
        <w:t>Compliance programs AS 3806-</w:t>
      </w:r>
      <w:r>
        <w:rPr>
          <w:i/>
        </w:rPr>
        <w:t>2006</w:t>
      </w:r>
      <w:r w:rsidR="00FE60A0" w:rsidRPr="00DF4D0D">
        <w:t>, available from Standards Australia</w:t>
      </w:r>
      <w:r w:rsidRPr="00FE60A0">
        <w:t>.</w:t>
      </w:r>
    </w:p>
    <w:p w14:paraId="465D37CD" w14:textId="77777777" w:rsidR="00AA6C19" w:rsidRPr="00580EE1" w:rsidRDefault="00AA6C19" w:rsidP="00AA6C19">
      <w:pPr>
        <w:pStyle w:val="Heading3"/>
      </w:pPr>
      <w:bookmarkStart w:id="106" w:name="_Toc424128413"/>
      <w:bookmarkStart w:id="107" w:name="_Toc456165467"/>
      <w:bookmarkStart w:id="108" w:name="_Toc456165797"/>
      <w:bookmarkStart w:id="109" w:name="_Toc457357937"/>
      <w:bookmarkStart w:id="110" w:name="_Toc457384374"/>
      <w:bookmarkStart w:id="111" w:name="_Toc457712988"/>
      <w:bookmarkStart w:id="112" w:name="_Toc395876609"/>
      <w:bookmarkStart w:id="113" w:name="_Toc428450636"/>
      <w:r w:rsidRPr="00580EE1">
        <w:t>Referencing other documents</w:t>
      </w:r>
      <w:bookmarkEnd w:id="106"/>
      <w:bookmarkEnd w:id="107"/>
      <w:bookmarkEnd w:id="108"/>
      <w:bookmarkEnd w:id="109"/>
      <w:bookmarkEnd w:id="110"/>
      <w:bookmarkEnd w:id="111"/>
      <w:r>
        <w:t xml:space="preserve"> to be complied with in a code</w:t>
      </w:r>
      <w:bookmarkEnd w:id="112"/>
      <w:bookmarkEnd w:id="113"/>
    </w:p>
    <w:p w14:paraId="01327FAE" w14:textId="2D29949E" w:rsidR="00AA6C19" w:rsidRPr="00580EE1" w:rsidRDefault="00AA6C19" w:rsidP="00AA6C19">
      <w:r w:rsidRPr="00580EE1">
        <w:t>As far as possible</w:t>
      </w:r>
      <w:r w:rsidR="00CC1AF1">
        <w:t>,</w:t>
      </w:r>
      <w:r w:rsidRPr="00580EE1">
        <w:t xml:space="preserve"> codes should be stand-alone documents.</w:t>
      </w:r>
      <w:r w:rsidR="001B2C9D">
        <w:t xml:space="preserve"> </w:t>
      </w:r>
      <w:r w:rsidRPr="00580EE1">
        <w:t>This</w:t>
      </w:r>
      <w:r>
        <w:t xml:space="preserve"> means that they should be self-</w:t>
      </w:r>
      <w:r w:rsidRPr="00580EE1">
        <w:t>contained and generally not refer to other documents, including other codes.</w:t>
      </w:r>
      <w:r w:rsidR="001B2C9D">
        <w:t xml:space="preserve"> </w:t>
      </w:r>
    </w:p>
    <w:p w14:paraId="0958DF46" w14:textId="4EB09CAF" w:rsidR="00AA6C19" w:rsidRDefault="00AA6C19" w:rsidP="00AA6C19">
      <w:r w:rsidRPr="00580EE1">
        <w:t>Nevertheless, it will sometimes be necessary to reference other documents in codes, either to establish consistent compliance requirements or to provide guidance on appropriate performance standards in meeting the code’s provisions.</w:t>
      </w:r>
      <w:r>
        <w:t xml:space="preserve"> </w:t>
      </w:r>
      <w:r w:rsidRPr="00580EE1">
        <w:t xml:space="preserve">Where the code rules </w:t>
      </w:r>
      <w:r>
        <w:t>require compliance with</w:t>
      </w:r>
      <w:r w:rsidRPr="00580EE1">
        <w:t xml:space="preserve"> rules or standards contained in another document</w:t>
      </w:r>
      <w:r w:rsidR="00CC1AF1">
        <w:t>,</w:t>
      </w:r>
      <w:r w:rsidRPr="00580EE1">
        <w:t xml:space="preserve"> the code must either refer to a particular version of the document, or alternatively</w:t>
      </w:r>
      <w:r w:rsidR="00CC1AF1">
        <w:t>,</w:t>
      </w:r>
      <w:r w:rsidRPr="00580EE1">
        <w:t xml:space="preserve"> the whole document must be incorporated as a schedule to the code. </w:t>
      </w:r>
    </w:p>
    <w:p w14:paraId="317A4897" w14:textId="77777777" w:rsidR="00AA6C19" w:rsidRDefault="00AA6C19" w:rsidP="00AA6C19">
      <w:r w:rsidRPr="00580EE1">
        <w:t>For example, if a code was to require compliance with a particular technical standard as one of the code’s provisions, the reference to the technical standard must include the date or version of the technical standard.</w:t>
      </w:r>
    </w:p>
    <w:p w14:paraId="3B3F84C3" w14:textId="123A8E02" w:rsidR="00AA6C19" w:rsidRPr="00580EE1" w:rsidRDefault="00AA6C19" w:rsidP="00AA6C19">
      <w:r w:rsidRPr="00580EE1">
        <w:t xml:space="preserve">Industry bodies should take into account that any referenced documents, whether referenced for compliance or guidance reasons, may change from </w:t>
      </w:r>
      <w:r w:rsidRPr="00A86C91">
        <w:t>time to time.</w:t>
      </w:r>
      <w:r w:rsidR="001B2C9D">
        <w:t xml:space="preserve"> </w:t>
      </w:r>
      <w:r w:rsidRPr="00580EE1">
        <w:t>This may mean that the version of the document referenced or incorporated in the code is not the most recent version.</w:t>
      </w:r>
      <w:r w:rsidR="001B2C9D">
        <w:t xml:space="preserve"> </w:t>
      </w:r>
      <w:r w:rsidRPr="00580EE1">
        <w:t>It may also result in the code’s provisions becoming redundant or inconsistent.</w:t>
      </w:r>
      <w:r w:rsidR="001B2C9D">
        <w:t xml:space="preserve"> </w:t>
      </w:r>
    </w:p>
    <w:p w14:paraId="0ED4FC01" w14:textId="77777777" w:rsidR="00AA6C19" w:rsidRPr="00580EE1" w:rsidRDefault="00AA6C19" w:rsidP="00AA6C19">
      <w:r w:rsidRPr="00580EE1">
        <w:t>Whenever documents referenced in codes are amended,</w:t>
      </w:r>
      <w:r>
        <w:t xml:space="preserve"> the </w:t>
      </w:r>
      <w:r w:rsidRPr="00580EE1">
        <w:t>industry bod</w:t>
      </w:r>
      <w:r>
        <w:t>y that developed the code</w:t>
      </w:r>
      <w:r w:rsidRPr="00580EE1">
        <w:t xml:space="preserve"> must give consideration to </w:t>
      </w:r>
      <w:r>
        <w:t xml:space="preserve">updating those references in </w:t>
      </w:r>
      <w:r w:rsidRPr="00580EE1">
        <w:t>the</w:t>
      </w:r>
      <w:r>
        <w:t xml:space="preserve"> </w:t>
      </w:r>
      <w:r w:rsidRPr="00580EE1">
        <w:t>code</w:t>
      </w:r>
      <w:r>
        <w:t>.</w:t>
      </w:r>
      <w:r w:rsidRPr="00580EE1">
        <w:t xml:space="preserve"> </w:t>
      </w:r>
      <w:r>
        <w:t xml:space="preserve">Amendments to the Telecommunications Act in 2014 enable changes to an industry code to be made, with the approval of the ACMA, without having to replace the entire code. An industry body may submit draft variations of code provisions </w:t>
      </w:r>
      <w:r w:rsidRPr="00580EE1">
        <w:t xml:space="preserve">with revised references to </w:t>
      </w:r>
      <w:r>
        <w:t>the ACMA</w:t>
      </w:r>
      <w:r w:rsidRPr="00580EE1">
        <w:t xml:space="preserve"> for </w:t>
      </w:r>
      <w:r>
        <w:t>approval</w:t>
      </w:r>
      <w:r w:rsidRPr="00580EE1">
        <w:t>. Copies of all referenced documents must be clearly referenced or included in a</w:t>
      </w:r>
      <w:r>
        <w:t>n application to register or vary a</w:t>
      </w:r>
      <w:r w:rsidRPr="00580EE1">
        <w:t xml:space="preserve"> code. </w:t>
      </w:r>
    </w:p>
    <w:p w14:paraId="1BD4755A" w14:textId="6B668D35" w:rsidR="00AA6C19" w:rsidRPr="00580EE1" w:rsidRDefault="00AA6C19" w:rsidP="00AA6C19">
      <w:r w:rsidRPr="00580EE1">
        <w:t>In addition</w:t>
      </w:r>
      <w:r w:rsidR="00CC1AF1">
        <w:t>,</w:t>
      </w:r>
      <w:r w:rsidRPr="00580EE1">
        <w:t xml:space="preserve"> where codes create obligations through referenced documents</w:t>
      </w:r>
      <w:r w:rsidR="00CC1AF1">
        <w:t>,</w:t>
      </w:r>
      <w:r w:rsidRPr="00580EE1">
        <w:t xml:space="preserve"> the definitions in the code must be consistent with the definitions in the referenced document.</w:t>
      </w:r>
      <w:r w:rsidR="001B2C9D">
        <w:t xml:space="preserve"> </w:t>
      </w:r>
      <w:r w:rsidRPr="00580EE1">
        <w:t>If they are not</w:t>
      </w:r>
      <w:r w:rsidR="00CC1AF1">
        <w:t>,</w:t>
      </w:r>
      <w:r w:rsidRPr="00580EE1">
        <w:t xml:space="preserve"> the code is likely to be internally inconsistent, rendering its provisions unenforceable.</w:t>
      </w:r>
    </w:p>
    <w:p w14:paraId="40A6C002" w14:textId="77777777" w:rsidR="00D11DEA" w:rsidRPr="00580EE1" w:rsidRDefault="00D11DEA" w:rsidP="00D11DEA">
      <w:pPr>
        <w:pStyle w:val="Heading3"/>
      </w:pPr>
      <w:bookmarkStart w:id="114" w:name="_Toc456165469"/>
      <w:bookmarkStart w:id="115" w:name="_Toc456165799"/>
      <w:bookmarkStart w:id="116" w:name="_Toc457357939"/>
      <w:bookmarkStart w:id="117" w:name="_Toc457384376"/>
      <w:bookmarkStart w:id="118" w:name="_Toc457712990"/>
      <w:bookmarkStart w:id="119" w:name="_Toc395876610"/>
      <w:bookmarkStart w:id="120" w:name="_Toc428450637"/>
      <w:r w:rsidRPr="00580EE1">
        <w:t>Providing guidance with referenced documents</w:t>
      </w:r>
      <w:bookmarkEnd w:id="114"/>
      <w:bookmarkEnd w:id="115"/>
      <w:bookmarkEnd w:id="116"/>
      <w:bookmarkEnd w:id="117"/>
      <w:bookmarkEnd w:id="118"/>
      <w:bookmarkEnd w:id="119"/>
      <w:bookmarkEnd w:id="120"/>
    </w:p>
    <w:p w14:paraId="5820DD0C" w14:textId="172BBAA8" w:rsidR="00D11DEA" w:rsidRPr="00580EE1" w:rsidRDefault="00D11DEA" w:rsidP="00D11DEA">
      <w:r w:rsidRPr="00580EE1">
        <w:t>Sometimes a code may need to refer to another document to provide guidance as to appropriate performance standards or procedures in complying with a code.</w:t>
      </w:r>
      <w:r w:rsidR="001B2C9D">
        <w:t xml:space="preserve"> </w:t>
      </w:r>
      <w:r w:rsidRPr="00580EE1">
        <w:t xml:space="preserve">For </w:t>
      </w:r>
      <w:r w:rsidRPr="00580EE1">
        <w:lastRenderedPageBreak/>
        <w:t xml:space="preserve">example, a code may refer to a particular guideline or voluntary standard in order to indicate to </w:t>
      </w:r>
      <w:r>
        <w:t>industry participants</w:t>
      </w:r>
      <w:r w:rsidRPr="00580EE1">
        <w:t xml:space="preserve"> the performance standards or </w:t>
      </w:r>
      <w:r w:rsidR="00CC1AF1" w:rsidRPr="00580EE1">
        <w:t>procedures, which</w:t>
      </w:r>
      <w:r w:rsidRPr="00580EE1">
        <w:t xml:space="preserve"> would be considered appropriate in meeting certain code provisions.</w:t>
      </w:r>
      <w:r w:rsidR="001B2C9D">
        <w:t xml:space="preserve"> </w:t>
      </w:r>
      <w:r w:rsidRPr="00580EE1">
        <w:t>In this case, documents may be referenced ‘as amended from time to time’.</w:t>
      </w:r>
      <w:r w:rsidR="001B2C9D">
        <w:t xml:space="preserve"> </w:t>
      </w:r>
    </w:p>
    <w:p w14:paraId="7FCD0AC5" w14:textId="03A476C8" w:rsidR="001C35F7" w:rsidRDefault="00D11DEA" w:rsidP="00D11DEA">
      <w:r w:rsidRPr="00580EE1">
        <w:t>When drafting the code rule</w:t>
      </w:r>
      <w:r w:rsidR="00304B3B">
        <w:t>,</w:t>
      </w:r>
      <w:r w:rsidRPr="00580EE1">
        <w:t xml:space="preserve"> care must be taken that it does not place an obligation on </w:t>
      </w:r>
      <w:r w:rsidR="001A548C">
        <w:t>relevant industry participants</w:t>
      </w:r>
      <w:r w:rsidR="001A548C" w:rsidRPr="00580EE1">
        <w:t xml:space="preserve"> </w:t>
      </w:r>
      <w:r w:rsidRPr="00580EE1">
        <w:t xml:space="preserve">to comply with the referenced </w:t>
      </w:r>
      <w:r w:rsidR="001A548C">
        <w:t xml:space="preserve">guidance </w:t>
      </w:r>
      <w:r w:rsidRPr="00580EE1">
        <w:t>document.</w:t>
      </w:r>
      <w:r w:rsidR="001B2C9D">
        <w:t xml:space="preserve"> </w:t>
      </w:r>
      <w:r w:rsidRPr="00580EE1">
        <w:t>Industry bodies must use terminology such as ‘should have regard to’.</w:t>
      </w:r>
    </w:p>
    <w:p w14:paraId="7823199B" w14:textId="77777777" w:rsidR="00D11DEA" w:rsidRPr="00580EE1" w:rsidRDefault="00D11DEA" w:rsidP="00D11DEA">
      <w:pPr>
        <w:pStyle w:val="Heading3"/>
      </w:pPr>
      <w:bookmarkStart w:id="121" w:name="_Toc456165470"/>
      <w:bookmarkStart w:id="122" w:name="_Toc456165800"/>
      <w:bookmarkStart w:id="123" w:name="_Toc457357940"/>
      <w:bookmarkStart w:id="124" w:name="_Toc457384377"/>
      <w:bookmarkStart w:id="125" w:name="_Toc457712991"/>
      <w:bookmarkStart w:id="126" w:name="_Toc395876611"/>
      <w:bookmarkStart w:id="127" w:name="_Toc428450638"/>
      <w:r w:rsidRPr="00580EE1">
        <w:t>Consistency with legislation and telecommunications instruments</w:t>
      </w:r>
      <w:bookmarkEnd w:id="121"/>
      <w:bookmarkEnd w:id="122"/>
      <w:bookmarkEnd w:id="123"/>
      <w:bookmarkEnd w:id="124"/>
      <w:bookmarkEnd w:id="125"/>
      <w:bookmarkEnd w:id="126"/>
      <w:bookmarkEnd w:id="127"/>
    </w:p>
    <w:p w14:paraId="759A3AD4" w14:textId="576D8F87" w:rsidR="00D11DEA" w:rsidRPr="00580EE1" w:rsidRDefault="00D11DEA" w:rsidP="00D11DEA">
      <w:r w:rsidRPr="00580EE1">
        <w:t xml:space="preserve">Codes must be consistent with the provisions of the Telecommunications Act and with other legislation, such as the </w:t>
      </w:r>
      <w:r>
        <w:rPr>
          <w:i/>
        </w:rPr>
        <w:t>Competition and Consumer Act 2010</w:t>
      </w:r>
      <w:r w:rsidRPr="00580EE1">
        <w:t xml:space="preserve"> and the </w:t>
      </w:r>
      <w:r w:rsidRPr="00580EE1">
        <w:rPr>
          <w:i/>
        </w:rPr>
        <w:t>Disability Discrimination Act 1992</w:t>
      </w:r>
      <w:r w:rsidRPr="00580EE1">
        <w:t>.</w:t>
      </w:r>
      <w:r w:rsidR="001B2C9D">
        <w:t xml:space="preserve"> </w:t>
      </w:r>
      <w:r w:rsidRPr="00580EE1">
        <w:t xml:space="preserve">They must also be consistent with relevant instruments, such as the </w:t>
      </w:r>
      <w:r w:rsidRPr="00DF4D0D">
        <w:rPr>
          <w:iCs/>
        </w:rPr>
        <w:t>Telecommunications Numbering Plan</w:t>
      </w:r>
      <w:r w:rsidRPr="00CC1AF1">
        <w:t xml:space="preserve"> </w:t>
      </w:r>
      <w:r w:rsidR="00F90D63" w:rsidRPr="00DF4D0D">
        <w:rPr>
          <w:iCs/>
        </w:rPr>
        <w:t>2015</w:t>
      </w:r>
      <w:r w:rsidRPr="00580EE1">
        <w:rPr>
          <w:i/>
          <w:iCs/>
        </w:rPr>
        <w:t xml:space="preserve"> </w:t>
      </w:r>
      <w:r w:rsidRPr="00580EE1">
        <w:t xml:space="preserve">and the </w:t>
      </w:r>
      <w:r w:rsidRPr="00DF4D0D">
        <w:rPr>
          <w:iCs/>
        </w:rPr>
        <w:t>Telecommunications (Customer Service Guarantee) Standard</w:t>
      </w:r>
      <w:r w:rsidRPr="00CC1AF1">
        <w:t xml:space="preserve"> </w:t>
      </w:r>
      <w:r w:rsidRPr="00DF4D0D">
        <w:rPr>
          <w:iCs/>
        </w:rPr>
        <w:t>2011</w:t>
      </w:r>
      <w:r w:rsidRPr="00CC1AF1">
        <w:t xml:space="preserve">. </w:t>
      </w:r>
    </w:p>
    <w:p w14:paraId="38CFCA08" w14:textId="7EB80CDC" w:rsidR="00D11DEA" w:rsidRPr="00580EE1" w:rsidRDefault="00D11DEA" w:rsidP="00D11DEA">
      <w:r w:rsidRPr="00580EE1">
        <w:t xml:space="preserve">This is because codes are </w:t>
      </w:r>
      <w:r>
        <w:t>subordinate</w:t>
      </w:r>
      <w:r w:rsidRPr="00580EE1">
        <w:t xml:space="preserve"> to Acts of Parliament and instruments </w:t>
      </w:r>
      <w:r w:rsidR="00CC1AF1">
        <w:t>that</w:t>
      </w:r>
      <w:r w:rsidR="00CC1AF1" w:rsidRPr="00580EE1">
        <w:t xml:space="preserve"> </w:t>
      </w:r>
      <w:r w:rsidRPr="00580EE1">
        <w:t>are delegated legislation.</w:t>
      </w:r>
      <w:r w:rsidR="001B2C9D">
        <w:t xml:space="preserve"> </w:t>
      </w:r>
      <w:r w:rsidRPr="00580EE1">
        <w:t>Where a code is inconsistent with any Act of Parliament or any delegated legislation, the particular Act or instrument takes precedence.</w:t>
      </w:r>
      <w:r w:rsidR="001B2C9D">
        <w:t xml:space="preserve"> </w:t>
      </w:r>
      <w:r w:rsidRPr="00580EE1">
        <w:t xml:space="preserve">Any inconsistency would result in </w:t>
      </w:r>
      <w:r>
        <w:t>the ACMA</w:t>
      </w:r>
      <w:r w:rsidRPr="00580EE1">
        <w:t xml:space="preserve"> being unable to register the </w:t>
      </w:r>
      <w:r>
        <w:t>code.</w:t>
      </w:r>
    </w:p>
    <w:p w14:paraId="168667DB" w14:textId="4600AF58" w:rsidR="00D11DEA" w:rsidRPr="00580EE1" w:rsidRDefault="00D11DEA" w:rsidP="00D11DEA">
      <w:r w:rsidRPr="00580EE1">
        <w:t>However, while codes are required to be both based upon</w:t>
      </w:r>
      <w:r w:rsidR="00CC1AF1">
        <w:t>,</w:t>
      </w:r>
      <w:r w:rsidRPr="00580EE1">
        <w:t xml:space="preserve"> and consistent with</w:t>
      </w:r>
      <w:r w:rsidR="00CC1AF1">
        <w:t>,</w:t>
      </w:r>
      <w:r w:rsidRPr="00580EE1">
        <w:t xml:space="preserve"> the Telecommunications Act </w:t>
      </w:r>
      <w:r w:rsidRPr="00453F58">
        <w:rPr>
          <w:rFonts w:cs="Arial"/>
        </w:rPr>
        <w:t>and</w:t>
      </w:r>
      <w:r w:rsidRPr="00580EE1">
        <w:t xml:space="preserve"> instruments made under that Act, they should not repeat or paraphrase it.</w:t>
      </w:r>
      <w:r w:rsidR="001B2C9D">
        <w:t xml:space="preserve"> </w:t>
      </w:r>
      <w:r w:rsidRPr="00580EE1">
        <w:t>One of the main roles of codes is to provide industry</w:t>
      </w:r>
      <w:r w:rsidR="00CC1AF1">
        <w:t>-</w:t>
      </w:r>
      <w:r w:rsidRPr="00580EE1">
        <w:t xml:space="preserve">initiated solutions to issues </w:t>
      </w:r>
      <w:r w:rsidR="00CC1AF1">
        <w:t>that</w:t>
      </w:r>
      <w:r w:rsidR="00CC1AF1" w:rsidRPr="00580EE1">
        <w:t xml:space="preserve"> </w:t>
      </w:r>
      <w:r w:rsidRPr="00580EE1">
        <w:t>are n</w:t>
      </w:r>
      <w:r>
        <w:t>ot covered by legislation.</w:t>
      </w:r>
      <w:r w:rsidR="001B2C9D">
        <w:t xml:space="preserve">  </w:t>
      </w:r>
    </w:p>
    <w:p w14:paraId="3D4AF2F5" w14:textId="77777777" w:rsidR="00D11DEA" w:rsidRDefault="00D11DEA" w:rsidP="00D11DEA">
      <w:r w:rsidRPr="00580EE1">
        <w:t xml:space="preserve">Codes presented to </w:t>
      </w:r>
      <w:r>
        <w:t>the ACMA</w:t>
      </w:r>
      <w:r w:rsidRPr="00580EE1">
        <w:t xml:space="preserve"> for registration must also be consistent with codes already registered by </w:t>
      </w:r>
      <w:r>
        <w:t>the ACMA</w:t>
      </w:r>
      <w:r w:rsidRPr="00580EE1">
        <w:t>.</w:t>
      </w:r>
    </w:p>
    <w:p w14:paraId="7F5775E5" w14:textId="2353A115" w:rsidR="00D11DEA" w:rsidRPr="00580EE1" w:rsidRDefault="00D11DEA" w:rsidP="00D11DEA">
      <w:pPr>
        <w:pStyle w:val="Heading3"/>
      </w:pPr>
      <w:bookmarkStart w:id="128" w:name="_Toc395876612"/>
      <w:bookmarkStart w:id="129" w:name="_Toc428450639"/>
      <w:r w:rsidRPr="00580EE1">
        <w:t>Design features and performance requirements (</w:t>
      </w:r>
      <w:r w:rsidR="00A86C91">
        <w:t>section</w:t>
      </w:r>
      <w:r w:rsidRPr="00580EE1">
        <w:t xml:space="preserve"> 115)</w:t>
      </w:r>
      <w:bookmarkEnd w:id="128"/>
      <w:bookmarkEnd w:id="129"/>
    </w:p>
    <w:p w14:paraId="5952CAAD" w14:textId="645E122B" w:rsidR="00D11DEA" w:rsidRPr="00580EE1" w:rsidRDefault="00D11DEA" w:rsidP="00D11DEA">
      <w:r w:rsidRPr="00580EE1">
        <w:t>Section 115 of the Telecommunications Act restricts the ability of codes to impose design features or performance requirements on telecommunications facilities and networks, and on customer equipment and cabling.</w:t>
      </w:r>
      <w:r w:rsidR="001B2C9D">
        <w:t xml:space="preserve"> </w:t>
      </w:r>
      <w:r w:rsidRPr="00580EE1">
        <w:t xml:space="preserve">Careful attention should be paid to </w:t>
      </w:r>
      <w:r w:rsidRPr="00A86C91">
        <w:t xml:space="preserve">this </w:t>
      </w:r>
      <w:r w:rsidR="00A86C91" w:rsidRPr="00DF4D0D">
        <w:t>section</w:t>
      </w:r>
      <w:r w:rsidRPr="00A86C91">
        <w:t>, or</w:t>
      </w:r>
      <w:r w:rsidRPr="00580EE1">
        <w:t xml:space="preserve"> code provisions may be ineffective.</w:t>
      </w:r>
    </w:p>
    <w:p w14:paraId="58362BAF" w14:textId="07EBDF34" w:rsidR="00D11DEA" w:rsidRPr="00580EE1" w:rsidRDefault="00D11DEA" w:rsidP="00D11DEA">
      <w:pPr>
        <w:pStyle w:val="Heading3"/>
      </w:pPr>
      <w:bookmarkStart w:id="130" w:name="_Toc395876613"/>
      <w:bookmarkStart w:id="131" w:name="_Toc428450640"/>
      <w:r w:rsidRPr="00580EE1">
        <w:t>Content matters (</w:t>
      </w:r>
      <w:r w:rsidR="00A86C91">
        <w:t>section</w:t>
      </w:r>
      <w:r w:rsidRPr="00580EE1">
        <w:t xml:space="preserve"> 116)</w:t>
      </w:r>
      <w:bookmarkEnd w:id="130"/>
      <w:bookmarkEnd w:id="131"/>
    </w:p>
    <w:p w14:paraId="3136B470" w14:textId="7EDE90B9" w:rsidR="00D11DEA" w:rsidRDefault="00D11DEA" w:rsidP="00D11DEA">
      <w:r w:rsidRPr="00580EE1">
        <w:t xml:space="preserve">Industry codes </w:t>
      </w:r>
      <w:r>
        <w:t xml:space="preserve">registered under the Telecommunications Act </w:t>
      </w:r>
      <w:r w:rsidRPr="00580EE1">
        <w:t xml:space="preserve">cannot deal with matters covered by codes registered under the </w:t>
      </w:r>
      <w:r w:rsidRPr="00580EE1">
        <w:rPr>
          <w:i/>
        </w:rPr>
        <w:t>Broadcasting Services Act 1992.</w:t>
      </w:r>
      <w:r w:rsidR="001B2C9D">
        <w:rPr>
          <w:i/>
        </w:rPr>
        <w:t xml:space="preserve"> </w:t>
      </w:r>
      <w:r w:rsidRPr="00580EE1">
        <w:t xml:space="preserve">Where industry bodies wish to register codes under both </w:t>
      </w:r>
      <w:r>
        <w:t xml:space="preserve">of </w:t>
      </w:r>
      <w:r w:rsidRPr="00580EE1">
        <w:t>the</w:t>
      </w:r>
      <w:r>
        <w:t>se</w:t>
      </w:r>
      <w:r w:rsidRPr="00580EE1">
        <w:t xml:space="preserve"> </w:t>
      </w:r>
      <w:r>
        <w:t>acts</w:t>
      </w:r>
      <w:r w:rsidRPr="00580EE1">
        <w:t>, the matters must be covered in separate codes.</w:t>
      </w:r>
    </w:p>
    <w:p w14:paraId="1AB4FAB1" w14:textId="77777777" w:rsidR="00D11DEA" w:rsidRPr="00580EE1" w:rsidRDefault="00D11DEA" w:rsidP="00D11DEA">
      <w:pPr>
        <w:pStyle w:val="Heading3"/>
      </w:pPr>
      <w:bookmarkStart w:id="132" w:name="_Toc407079476"/>
      <w:bookmarkStart w:id="133" w:name="_Toc424128417"/>
      <w:bookmarkStart w:id="134" w:name="_Toc456165473"/>
      <w:bookmarkStart w:id="135" w:name="_Toc456165803"/>
      <w:bookmarkStart w:id="136" w:name="_Toc457357942"/>
      <w:bookmarkStart w:id="137" w:name="_Toc457384379"/>
      <w:bookmarkStart w:id="138" w:name="_Toc457712993"/>
      <w:bookmarkStart w:id="139" w:name="_Toc395876614"/>
      <w:bookmarkStart w:id="140" w:name="_Toc428450641"/>
      <w:r w:rsidRPr="00580EE1">
        <w:t>Anti-competitive implications</w:t>
      </w:r>
      <w:bookmarkEnd w:id="132"/>
      <w:bookmarkEnd w:id="133"/>
      <w:bookmarkEnd w:id="134"/>
      <w:bookmarkEnd w:id="135"/>
      <w:bookmarkEnd w:id="136"/>
      <w:bookmarkEnd w:id="137"/>
      <w:bookmarkEnd w:id="138"/>
      <w:bookmarkEnd w:id="139"/>
      <w:bookmarkEnd w:id="140"/>
    </w:p>
    <w:p w14:paraId="2C020F26" w14:textId="016EA50E" w:rsidR="00D11DEA" w:rsidRPr="00580EE1" w:rsidRDefault="00D11DEA" w:rsidP="00D11DEA">
      <w:r w:rsidRPr="00580EE1">
        <w:t xml:space="preserve">There may be cases where engaging in conduct under a code places </w:t>
      </w:r>
      <w:r>
        <w:t>those industry participants covered</w:t>
      </w:r>
      <w:r w:rsidRPr="00580EE1">
        <w:t xml:space="preserve"> at risk of breaching one or more provisions of the </w:t>
      </w:r>
      <w:r>
        <w:rPr>
          <w:i/>
        </w:rPr>
        <w:t>Competition and Consumer</w:t>
      </w:r>
      <w:r w:rsidRPr="00580EE1">
        <w:rPr>
          <w:i/>
        </w:rPr>
        <w:t xml:space="preserve"> Act </w:t>
      </w:r>
      <w:r>
        <w:rPr>
          <w:i/>
        </w:rPr>
        <w:t>2010</w:t>
      </w:r>
      <w:r w:rsidRPr="00580EE1">
        <w:t>.</w:t>
      </w:r>
      <w:r w:rsidR="001B2C9D">
        <w:t xml:space="preserve"> </w:t>
      </w:r>
      <w:r w:rsidRPr="00580EE1">
        <w:t>For some forms of conduct</w:t>
      </w:r>
      <w:r w:rsidR="00CC1AF1">
        <w:t>,</w:t>
      </w:r>
      <w:r w:rsidRPr="00580EE1">
        <w:t xml:space="preserve"> an authorisation</w:t>
      </w:r>
      <w:r w:rsidR="00CC1AF1">
        <w:t xml:space="preserve">, </w:t>
      </w:r>
      <w:r w:rsidRPr="00580EE1">
        <w:t xml:space="preserve">which exempts a party from </w:t>
      </w:r>
      <w:r w:rsidR="00453F58">
        <w:t xml:space="preserve">a </w:t>
      </w:r>
      <w:r w:rsidRPr="00580EE1">
        <w:t xml:space="preserve">suit under the </w:t>
      </w:r>
      <w:r>
        <w:rPr>
          <w:i/>
        </w:rPr>
        <w:t>Competition and Consumer</w:t>
      </w:r>
      <w:r w:rsidRPr="00580EE1" w:rsidDel="00FB3AEA">
        <w:rPr>
          <w:i/>
        </w:rPr>
        <w:t xml:space="preserve"> </w:t>
      </w:r>
      <w:r w:rsidRPr="00580EE1">
        <w:rPr>
          <w:i/>
        </w:rPr>
        <w:t xml:space="preserve">Act </w:t>
      </w:r>
      <w:r>
        <w:rPr>
          <w:i/>
        </w:rPr>
        <w:t>2010</w:t>
      </w:r>
      <w:r w:rsidRPr="00580EE1">
        <w:t xml:space="preserve">, may be granted by the ACCC if there are public benefits flowing from the conduct </w:t>
      </w:r>
      <w:r w:rsidR="00CC1AF1">
        <w:t>that</w:t>
      </w:r>
      <w:r w:rsidR="00CC1AF1" w:rsidRPr="00580EE1">
        <w:t xml:space="preserve"> </w:t>
      </w:r>
      <w:r w:rsidRPr="00580EE1">
        <w:t>outweigh the anti-competitive detriments inherent in the conduct.</w:t>
      </w:r>
      <w:r w:rsidR="001B2C9D">
        <w:t xml:space="preserve"> </w:t>
      </w:r>
      <w:r w:rsidRPr="00580EE1">
        <w:t>Industry bodies should initiate discussions early in the code development process with the ACCC on the potential for code provisions to be anti-competitive and the need for an authorisation application.</w:t>
      </w:r>
    </w:p>
    <w:p w14:paraId="660BFD25" w14:textId="4E4840C0" w:rsidR="00D11DEA" w:rsidRPr="00580EE1" w:rsidRDefault="00D11DEA" w:rsidP="00D11DEA">
      <w:r w:rsidRPr="00580EE1">
        <w:t xml:space="preserve">An application for authorisation in relation to a </w:t>
      </w:r>
      <w:r w:rsidR="00CC1AF1" w:rsidRPr="00580EE1">
        <w:t>code that is outstanding with the ACCC</w:t>
      </w:r>
      <w:r w:rsidRPr="00580EE1">
        <w:t xml:space="preserve"> does not prevent </w:t>
      </w:r>
      <w:r>
        <w:t>the ACMA</w:t>
      </w:r>
      <w:r w:rsidRPr="00580EE1">
        <w:t xml:space="preserve"> from registering the code if it is presented to it and meets the requirements of </w:t>
      </w:r>
      <w:r w:rsidR="00A86C91">
        <w:t>section</w:t>
      </w:r>
      <w:r w:rsidRPr="00580EE1">
        <w:t xml:space="preserve"> 117 of the Telecommunications Act.</w:t>
      </w:r>
      <w:r w:rsidR="001B2C9D">
        <w:t xml:space="preserve"> </w:t>
      </w:r>
      <w:r w:rsidRPr="00580EE1">
        <w:t>Industry bodies may conduct the two processes simultaneously.</w:t>
      </w:r>
    </w:p>
    <w:p w14:paraId="74FB5432" w14:textId="5C13B620" w:rsidR="00D11DEA" w:rsidRPr="00580EE1" w:rsidRDefault="00D11DEA" w:rsidP="00D11DEA">
      <w:r w:rsidRPr="00580EE1">
        <w:lastRenderedPageBreak/>
        <w:t>For further information on authorisation</w:t>
      </w:r>
      <w:r w:rsidR="00CC1AF1">
        <w:t>,</w:t>
      </w:r>
      <w:r w:rsidRPr="00580EE1">
        <w:t xml:space="preserve"> see the ACCC’s information on authorisations and notifications, available at </w:t>
      </w:r>
      <w:hyperlink r:id="rId27" w:history="1">
        <w:r w:rsidRPr="00580EE1">
          <w:rPr>
            <w:rStyle w:val="Hyperlink"/>
          </w:rPr>
          <w:t>www.accc.gov.au</w:t>
        </w:r>
      </w:hyperlink>
      <w:r w:rsidRPr="00580EE1">
        <w:t xml:space="preserve"> or contact the ACCC for advice.</w:t>
      </w:r>
      <w:r w:rsidR="00DE6D49">
        <w:rPr>
          <w:rStyle w:val="FootnoteReference"/>
        </w:rPr>
        <w:footnoteReference w:id="1"/>
      </w:r>
    </w:p>
    <w:p w14:paraId="68DA079C" w14:textId="77777777" w:rsidR="00D11DEA" w:rsidRPr="00580EE1" w:rsidRDefault="00D11DEA" w:rsidP="00D11DEA">
      <w:pPr>
        <w:pStyle w:val="Heading1"/>
      </w:pPr>
      <w:bookmarkStart w:id="141" w:name="_Toc428450642"/>
      <w:r>
        <w:lastRenderedPageBreak/>
        <w:t>Code administration and compliance</w:t>
      </w:r>
      <w:bookmarkEnd w:id="141"/>
    </w:p>
    <w:p w14:paraId="5E25A2E5" w14:textId="40214861" w:rsidR="00D11DEA" w:rsidRPr="00580EE1" w:rsidRDefault="00D11DEA" w:rsidP="00D11DEA">
      <w:r w:rsidRPr="00580EE1">
        <w:t xml:space="preserve">Under paragraph 117(1)(d) of the Telecommunications Act, </w:t>
      </w:r>
      <w:r>
        <w:t>the ACMA</w:t>
      </w:r>
      <w:r w:rsidRPr="00580EE1">
        <w:t xml:space="preserve"> must be satisfied that industry codes presented for registration contain appropriate community safeguards (in the case of codes dealing with matters of substantial relevance to the community)</w:t>
      </w:r>
      <w:r w:rsidR="00D33D94">
        <w:t>,</w:t>
      </w:r>
      <w:r w:rsidRPr="00580EE1">
        <w:t xml:space="preserve"> or deal with the matters covered by the codes in an appropriate manner (for other codes)</w:t>
      </w:r>
      <w:r w:rsidRPr="00607099">
        <w:t xml:space="preserve"> </w:t>
      </w:r>
      <w:r>
        <w:t>(119A(1)(d) of the Telecommunications Act provides the same requirements in the case of code variations)</w:t>
      </w:r>
      <w:r w:rsidRPr="00580EE1">
        <w:t>.</w:t>
      </w:r>
      <w:r w:rsidR="001B2C9D">
        <w:t xml:space="preserve"> </w:t>
      </w:r>
      <w:r w:rsidRPr="00580EE1">
        <w:t>Industry</w:t>
      </w:r>
      <w:r w:rsidR="00D33D94">
        <w:t>-</w:t>
      </w:r>
      <w:r w:rsidRPr="00580EE1">
        <w:t>initiated code administration processes play a role in ensuring that codes are ‘appropriate’ in terms of the paragraph 117(1)(d) tests.</w:t>
      </w:r>
      <w:r w:rsidR="001B2C9D">
        <w:t xml:space="preserve"> </w:t>
      </w:r>
      <w:r w:rsidRPr="00580EE1">
        <w:t xml:space="preserve">It is important that codes are supported by structures </w:t>
      </w:r>
      <w:r w:rsidR="00D33D94">
        <w:t>that</w:t>
      </w:r>
      <w:r w:rsidR="00D33D94" w:rsidRPr="00580EE1">
        <w:t xml:space="preserve"> </w:t>
      </w:r>
      <w:r w:rsidRPr="00580EE1">
        <w:t>enable the code rules to be effectively administered by the industry body.</w:t>
      </w:r>
      <w:r w:rsidR="001B2C9D">
        <w:t xml:space="preserve"> </w:t>
      </w:r>
    </w:p>
    <w:p w14:paraId="64E70F85" w14:textId="22563366" w:rsidR="00D11DEA" w:rsidRPr="00580EE1" w:rsidRDefault="00D11DEA" w:rsidP="00D11DEA">
      <w:r>
        <w:t xml:space="preserve">The </w:t>
      </w:r>
      <w:r w:rsidRPr="00580EE1">
        <w:t>ACMA's powers in relation to directing compliance with industry codes are intended to provide a safety net to support these industry</w:t>
      </w:r>
      <w:r w:rsidR="00D33D94">
        <w:t>-</w:t>
      </w:r>
      <w:r w:rsidRPr="00580EE1">
        <w:t>initiated code compliance mechanisms.</w:t>
      </w:r>
      <w:r w:rsidR="001B2C9D">
        <w:t xml:space="preserve"> </w:t>
      </w:r>
      <w:r w:rsidRPr="00580EE1">
        <w:t xml:space="preserve">Industry code compliance mechanisms should not seek to operate by conferring functions or powers on </w:t>
      </w:r>
      <w:r>
        <w:t>the ACMA</w:t>
      </w:r>
      <w:r w:rsidRPr="00580EE1">
        <w:t>.</w:t>
      </w:r>
      <w:r w:rsidR="001B2C9D">
        <w:t xml:space="preserve"> </w:t>
      </w:r>
      <w:r w:rsidRPr="00580EE1">
        <w:t xml:space="preserve">They must not operate to direct or circumscribe </w:t>
      </w:r>
      <w:r>
        <w:t>the ACMA</w:t>
      </w:r>
      <w:r w:rsidRPr="00580EE1">
        <w:t xml:space="preserve">'s exercise of its powers under </w:t>
      </w:r>
      <w:r w:rsidR="00A86C91">
        <w:t>section</w:t>
      </w:r>
      <w:r w:rsidRPr="00580EE1">
        <w:t>s 121 and 122.</w:t>
      </w:r>
    </w:p>
    <w:p w14:paraId="0F4B437A" w14:textId="77777777" w:rsidR="00D11DEA" w:rsidRPr="00580EE1" w:rsidRDefault="00D11DEA" w:rsidP="00D11DEA">
      <w:r w:rsidRPr="00580EE1">
        <w:t>In order to be effective, industry code administration regimes should provide for the following functions.</w:t>
      </w:r>
    </w:p>
    <w:p w14:paraId="556850D9" w14:textId="77777777" w:rsidR="00D11DEA" w:rsidRPr="00580EE1" w:rsidRDefault="00D11DEA" w:rsidP="00D11DEA">
      <w:pPr>
        <w:pStyle w:val="Heading2"/>
      </w:pPr>
      <w:bookmarkStart w:id="142" w:name="_Toc395876616"/>
      <w:bookmarkStart w:id="143" w:name="_Toc428450643"/>
      <w:r w:rsidRPr="00580EE1">
        <w:t>Code review</w:t>
      </w:r>
      <w:bookmarkEnd w:id="142"/>
      <w:bookmarkEnd w:id="143"/>
      <w:r>
        <w:t xml:space="preserve"> </w:t>
      </w:r>
    </w:p>
    <w:p w14:paraId="1DF27125" w14:textId="79805D81" w:rsidR="00D11DEA" w:rsidRPr="00580EE1" w:rsidRDefault="00D11DEA" w:rsidP="00D11DEA">
      <w:r>
        <w:t xml:space="preserve">The </w:t>
      </w:r>
      <w:r w:rsidRPr="00580EE1">
        <w:t xml:space="preserve">ACMA has an important role under </w:t>
      </w:r>
      <w:r w:rsidR="00A86C91">
        <w:t>section</w:t>
      </w:r>
      <w:r w:rsidRPr="00580EE1">
        <w:t xml:space="preserve"> 125 in ensuring that registered codes continue to meet registration criteria.</w:t>
      </w:r>
      <w:r w:rsidR="001B2C9D">
        <w:t xml:space="preserve"> </w:t>
      </w:r>
      <w:r w:rsidRPr="00580EE1">
        <w:t>Codes should provide for regular review and amendment of the provisions of the code to ensure they are meeting community expectations and working effectively.</w:t>
      </w:r>
      <w:r w:rsidR="001B2C9D">
        <w:t xml:space="preserve"> </w:t>
      </w:r>
    </w:p>
    <w:p w14:paraId="78EB69E3" w14:textId="4F8AE7BF" w:rsidR="00D11DEA" w:rsidRPr="00580EE1" w:rsidRDefault="00D11DEA" w:rsidP="00D11DEA">
      <w:r w:rsidRPr="00580EE1">
        <w:t>Industry bodies should promote discussion on codes and make recommendations for improvement.</w:t>
      </w:r>
      <w:r w:rsidR="001B2C9D">
        <w:t xml:space="preserve"> </w:t>
      </w:r>
      <w:r w:rsidRPr="00580EE1">
        <w:t xml:space="preserve">Among the matters considered should be whether </w:t>
      </w:r>
      <w:r>
        <w:t>a</w:t>
      </w:r>
      <w:r w:rsidRPr="00580EE1">
        <w:t xml:space="preserve"> revised code should apply to any new sections of the industry that have been created, and any recommendations made by </w:t>
      </w:r>
      <w:r>
        <w:t>the ACMA</w:t>
      </w:r>
      <w:r w:rsidRPr="00580EE1">
        <w:t xml:space="preserve"> when the code was registered.</w:t>
      </w:r>
      <w:r w:rsidR="001B2C9D">
        <w:t xml:space="preserve"> </w:t>
      </w:r>
      <w:r w:rsidRPr="00580EE1">
        <w:t>Suggested amendments should be considered promptly and resolution of the consideration referred to the submitter.</w:t>
      </w:r>
    </w:p>
    <w:p w14:paraId="7A4A144F" w14:textId="77777777" w:rsidR="00D11DEA" w:rsidRDefault="00D11DEA" w:rsidP="00821499">
      <w:pPr>
        <w:pStyle w:val="Heading2"/>
      </w:pPr>
      <w:bookmarkStart w:id="144" w:name="_Toc428450644"/>
      <w:r>
        <w:t>Code variations</w:t>
      </w:r>
      <w:bookmarkEnd w:id="144"/>
    </w:p>
    <w:p w14:paraId="06FA1BCE" w14:textId="4715EC48" w:rsidR="00D11DEA" w:rsidRPr="00D11DEA" w:rsidRDefault="00D11DEA" w:rsidP="00D11DEA">
      <w:pPr>
        <w:rPr>
          <w:b/>
          <w:i/>
        </w:rPr>
      </w:pPr>
      <w:r>
        <w:t xml:space="preserve">While codes can be revised in their entirety, </w:t>
      </w:r>
      <w:r w:rsidRPr="00580EE1">
        <w:t xml:space="preserve">the Telecommunications Act </w:t>
      </w:r>
      <w:r>
        <w:t xml:space="preserve">now enables </w:t>
      </w:r>
      <w:r w:rsidRPr="00580EE1">
        <w:t xml:space="preserve">changes to </w:t>
      </w:r>
      <w:r>
        <w:t xml:space="preserve">be made to </w:t>
      </w:r>
      <w:r w:rsidRPr="00580EE1">
        <w:t>registered codes</w:t>
      </w:r>
      <w:r>
        <w:t xml:space="preserve"> without the need to replace the whole code, as used to be the case.</w:t>
      </w:r>
      <w:r w:rsidRPr="00580EE1">
        <w:t xml:space="preserve"> </w:t>
      </w:r>
      <w:r>
        <w:t>To vary part of an existing code, the industry body responsible for developing that code must conduct appropriate consultation before submitting the draft changes to the ACMA for approval. Consultation is required with the relevant industry participants, regulatory agencies, consumer representative body and the public</w:t>
      </w:r>
      <w:r w:rsidR="00D33D94">
        <w:t>,</w:t>
      </w:r>
      <w:r>
        <w:t xml:space="preserve"> as set out in section 119A of the Telecommunications Act.</w:t>
      </w:r>
    </w:p>
    <w:p w14:paraId="4409601D" w14:textId="2BB65012" w:rsidR="007A4A37" w:rsidRDefault="00C44F93" w:rsidP="00D11DEA">
      <w:r>
        <w:t>Code</w:t>
      </w:r>
      <w:r w:rsidR="00D11DEA">
        <w:t xml:space="preserve"> variations of registered codes</w:t>
      </w:r>
      <w:r w:rsidR="00D33D94">
        <w:t>,</w:t>
      </w:r>
      <w:r w:rsidR="00D11DEA">
        <w:t xml:space="preserve"> </w:t>
      </w:r>
      <w:r w:rsidR="00D11DEA" w:rsidRPr="00580EE1">
        <w:t xml:space="preserve">which differ in only minor respects from </w:t>
      </w:r>
      <w:r w:rsidR="00D11DEA">
        <w:t>current</w:t>
      </w:r>
      <w:r w:rsidR="00D11DEA" w:rsidRPr="00580EE1">
        <w:t xml:space="preserve"> codes</w:t>
      </w:r>
      <w:r w:rsidR="00D33D94">
        <w:t>,</w:t>
      </w:r>
      <w:r w:rsidR="00D11DEA" w:rsidRPr="00580EE1">
        <w:t xml:space="preserve"> are not subject to the industry and public comment provisions of paragraphs </w:t>
      </w:r>
      <w:r w:rsidR="00D11DEA">
        <w:t>119A(e) and (f)</w:t>
      </w:r>
      <w:r w:rsidR="00D11DEA" w:rsidRPr="00580EE1">
        <w:t>.</w:t>
      </w:r>
    </w:p>
    <w:p w14:paraId="36B90DCE" w14:textId="77777777" w:rsidR="00D11DEA" w:rsidRPr="00580EE1" w:rsidRDefault="00D11DEA" w:rsidP="00D11DEA">
      <w:pPr>
        <w:pStyle w:val="Heading2"/>
      </w:pPr>
      <w:bookmarkStart w:id="145" w:name="_Toc407079480"/>
      <w:bookmarkStart w:id="146" w:name="_Toc424128421"/>
      <w:bookmarkStart w:id="147" w:name="_Toc456165481"/>
      <w:bookmarkStart w:id="148" w:name="_Toc456165811"/>
      <w:bookmarkStart w:id="149" w:name="_Toc457357953"/>
      <w:bookmarkStart w:id="150" w:name="_Toc457384383"/>
      <w:bookmarkStart w:id="151" w:name="_Toc457712997"/>
      <w:bookmarkStart w:id="152" w:name="_Toc395876617"/>
      <w:bookmarkStart w:id="153" w:name="_Toc428450645"/>
      <w:r w:rsidRPr="00580EE1">
        <w:lastRenderedPageBreak/>
        <w:t>Complaints handling and independent review of decisions</w:t>
      </w:r>
      <w:bookmarkEnd w:id="145"/>
      <w:bookmarkEnd w:id="146"/>
      <w:bookmarkEnd w:id="147"/>
      <w:bookmarkEnd w:id="148"/>
      <w:bookmarkEnd w:id="149"/>
      <w:bookmarkEnd w:id="150"/>
      <w:bookmarkEnd w:id="151"/>
      <w:bookmarkEnd w:id="152"/>
      <w:bookmarkEnd w:id="153"/>
    </w:p>
    <w:p w14:paraId="7453666F" w14:textId="51ECCD57" w:rsidR="00D11DEA" w:rsidRPr="00580EE1" w:rsidRDefault="00D11DEA" w:rsidP="00D11DEA">
      <w:r>
        <w:t>A</w:t>
      </w:r>
      <w:r w:rsidRPr="00580EE1">
        <w:t xml:space="preserve"> code should include provision for complaints</w:t>
      </w:r>
      <w:r w:rsidR="00D33D94">
        <w:t>-</w:t>
      </w:r>
      <w:r w:rsidRPr="00580EE1">
        <w:t>handling processes</w:t>
      </w:r>
      <w:r>
        <w:t>.</w:t>
      </w:r>
      <w:r w:rsidR="001B2C9D">
        <w:t xml:space="preserve"> </w:t>
      </w:r>
      <w:r w:rsidRPr="00580EE1">
        <w:t>Where a complainant is dissatisfied with the outcome or management of the complaint, recourse should be available to an independent arbitrator, such as the TIO</w:t>
      </w:r>
      <w:r w:rsidR="00D33D94">
        <w:t>,</w:t>
      </w:r>
      <w:r w:rsidRPr="00580EE1">
        <w:t xml:space="preserve"> for telecommunications consumer complaints.</w:t>
      </w:r>
      <w:r w:rsidR="001B2C9D">
        <w:t xml:space="preserve"> </w:t>
      </w:r>
      <w:r w:rsidRPr="00580EE1">
        <w:t xml:space="preserve">Dispute resolution charging structures should not act as a disincentive </w:t>
      </w:r>
      <w:r>
        <w:t xml:space="preserve">for industry participants </w:t>
      </w:r>
      <w:r w:rsidRPr="00580EE1">
        <w:t xml:space="preserve">to </w:t>
      </w:r>
      <w:r>
        <w:t>resolve</w:t>
      </w:r>
      <w:r w:rsidRPr="00580EE1">
        <w:t xml:space="preserve"> a complaint, particularly in the case of consumer complaints.</w:t>
      </w:r>
    </w:p>
    <w:p w14:paraId="3E8D9EEB" w14:textId="08B147FC" w:rsidR="00D11DEA" w:rsidRPr="00580EE1" w:rsidRDefault="00D11DEA" w:rsidP="00D11DEA">
      <w:pPr>
        <w:pStyle w:val="Heading2"/>
      </w:pPr>
      <w:bookmarkStart w:id="154" w:name="_Toc395876618"/>
      <w:bookmarkStart w:id="155" w:name="_Toc428450646"/>
      <w:r w:rsidRPr="00580EE1">
        <w:t>Conferring powers and functions on the TIO (</w:t>
      </w:r>
      <w:r w:rsidR="00A86C91">
        <w:t>section</w:t>
      </w:r>
      <w:r w:rsidRPr="00580EE1">
        <w:t xml:space="preserve"> 114) and other complaint</w:t>
      </w:r>
      <w:r w:rsidR="007505A2">
        <w:t>s-</w:t>
      </w:r>
      <w:r w:rsidRPr="00580EE1">
        <w:t>handling bodies</w:t>
      </w:r>
      <w:bookmarkEnd w:id="154"/>
      <w:bookmarkEnd w:id="155"/>
    </w:p>
    <w:p w14:paraId="5A167B1B" w14:textId="2A6BD20A" w:rsidR="00D11DEA" w:rsidRPr="00580EE1" w:rsidRDefault="00D11DEA" w:rsidP="00D11DEA">
      <w:r w:rsidRPr="00580EE1">
        <w:t xml:space="preserve">Section 114 enables the TIO to consent to functions and powers under </w:t>
      </w:r>
      <w:r>
        <w:t xml:space="preserve">a </w:t>
      </w:r>
      <w:r w:rsidRPr="00580EE1">
        <w:t>telecommunications code.</w:t>
      </w:r>
      <w:r w:rsidR="001B2C9D">
        <w:t xml:space="preserve"> </w:t>
      </w:r>
      <w:r w:rsidRPr="00580EE1">
        <w:t>The TIO may accept complaints from consumers, and industry bodies may also establish complaint bodies to manage complaints from industry.</w:t>
      </w:r>
      <w:r w:rsidR="001B2C9D">
        <w:t xml:space="preserve"> </w:t>
      </w:r>
      <w:r w:rsidRPr="00580EE1">
        <w:t>Where complaint</w:t>
      </w:r>
      <w:r w:rsidR="007505A2">
        <w:t>s-</w:t>
      </w:r>
      <w:r w:rsidRPr="00580EE1">
        <w:t>handling bodies or the TIO have agreed to undertake complaint functions under a code, the code must state this.</w:t>
      </w:r>
      <w:r w:rsidR="001B2C9D">
        <w:t xml:space="preserve"> </w:t>
      </w:r>
      <w:r w:rsidRPr="00580EE1">
        <w:t>It must also indicate what functions and powers will be undertaken by the complaint</w:t>
      </w:r>
      <w:r w:rsidR="00D33D94">
        <w:t>s-</w:t>
      </w:r>
      <w:r w:rsidRPr="00580EE1">
        <w:t>handling body and which code provisions they relate to.</w:t>
      </w:r>
      <w:r w:rsidR="001B2C9D">
        <w:t xml:space="preserve"> </w:t>
      </w:r>
      <w:r w:rsidRPr="00580EE1">
        <w:t>Functions may include receiving; investigating; facilitating the resolution of; making determinations relating to; and giving directions relating to complaints arising from matters dealt with by the code.</w:t>
      </w:r>
    </w:p>
    <w:p w14:paraId="2B7D9D91" w14:textId="7D724F4C" w:rsidR="00D11DEA" w:rsidRPr="00580EE1" w:rsidRDefault="00D11DEA" w:rsidP="00D11DEA">
      <w:r w:rsidRPr="00580EE1">
        <w:t>For further general information on complaints handling and dispute resolution</w:t>
      </w:r>
      <w:r w:rsidR="00D33D94">
        <w:t>,</w:t>
      </w:r>
      <w:r w:rsidRPr="00580EE1">
        <w:t xml:space="preserve"> see the Australian Standard </w:t>
      </w:r>
      <w:r w:rsidR="00E826EB" w:rsidRPr="00E826EB">
        <w:rPr>
          <w:i/>
        </w:rPr>
        <w:t>Guidelines for</w:t>
      </w:r>
      <w:r w:rsidR="00E826EB">
        <w:rPr>
          <w:i/>
        </w:rPr>
        <w:t xml:space="preserve"> complaint management in organizations AS/NZS 10002:2014</w:t>
      </w:r>
      <w:r w:rsidR="008614E2">
        <w:rPr>
          <w:i/>
        </w:rPr>
        <w:t xml:space="preserve"> </w:t>
      </w:r>
      <w:r w:rsidRPr="00580EE1">
        <w:t xml:space="preserve">, the ACCC guide </w:t>
      </w:r>
      <w:r w:rsidRPr="00580EE1">
        <w:rPr>
          <w:i/>
        </w:rPr>
        <w:t>Benchmarks for dispute avoidance and resolution</w:t>
      </w:r>
      <w:r w:rsidR="005A4268">
        <w:rPr>
          <w:i/>
        </w:rPr>
        <w:t>—</w:t>
      </w:r>
      <w:r w:rsidRPr="00580EE1">
        <w:rPr>
          <w:i/>
        </w:rPr>
        <w:t xml:space="preserve">a guide </w:t>
      </w:r>
      <w:r w:rsidRPr="005B6267">
        <w:t>(October 1997)</w:t>
      </w:r>
      <w:r w:rsidRPr="00580EE1">
        <w:t xml:space="preserve"> </w:t>
      </w:r>
      <w:r w:rsidRPr="001B32B1">
        <w:t>(available</w:t>
      </w:r>
      <w:r>
        <w:t xml:space="preserve"> from </w:t>
      </w:r>
      <w:hyperlink r:id="rId28" w:history="1">
        <w:r w:rsidR="005A4268" w:rsidRPr="00DE6D49">
          <w:rPr>
            <w:rStyle w:val="Hyperlink"/>
          </w:rPr>
          <w:t>www.accc.gov.au/publications/benchmarks-for-dispute-avoidance-resolution</w:t>
        </w:r>
      </w:hyperlink>
      <w:r>
        <w:t>)</w:t>
      </w:r>
      <w:r w:rsidRPr="00580EE1">
        <w:t xml:space="preserve"> and the guide </w:t>
      </w:r>
      <w:r w:rsidR="00E826EB">
        <w:rPr>
          <w:i/>
        </w:rPr>
        <w:t xml:space="preserve">Better Practical Guide to </w:t>
      </w:r>
      <w:r w:rsidR="00E826EB" w:rsidRPr="00E826EB">
        <w:rPr>
          <w:i/>
        </w:rPr>
        <w:t>Complaint Handling</w:t>
      </w:r>
      <w:r w:rsidR="00E826EB">
        <w:rPr>
          <w:i/>
        </w:rPr>
        <w:t xml:space="preserve"> </w:t>
      </w:r>
      <w:r w:rsidR="00E826EB" w:rsidRPr="005B6267">
        <w:t>(April 2009)</w:t>
      </w:r>
      <w:r w:rsidR="005A4268">
        <w:t xml:space="preserve"> (</w:t>
      </w:r>
      <w:r w:rsidR="00974D2E">
        <w:t xml:space="preserve">available from </w:t>
      </w:r>
      <w:hyperlink r:id="rId29" w:history="1">
        <w:r w:rsidR="005A4268">
          <w:rPr>
            <w:rStyle w:val="Hyperlink"/>
          </w:rPr>
          <w:t>www.ombudsman.gov.au/pages/publications-and-media/better-practice-guides/complaint-handling.php</w:t>
        </w:r>
      </w:hyperlink>
      <w:r>
        <w:t>).</w:t>
      </w:r>
    </w:p>
    <w:p w14:paraId="0D128697" w14:textId="77777777" w:rsidR="00D11DEA" w:rsidRPr="00580EE1" w:rsidRDefault="00D11DEA" w:rsidP="00D11DEA">
      <w:pPr>
        <w:pStyle w:val="Heading2"/>
      </w:pPr>
      <w:bookmarkStart w:id="156" w:name="_Toc407079483"/>
      <w:bookmarkStart w:id="157" w:name="_Toc424128424"/>
      <w:bookmarkStart w:id="158" w:name="_Toc456165484"/>
      <w:bookmarkStart w:id="159" w:name="_Toc456165814"/>
      <w:bookmarkStart w:id="160" w:name="_Toc457357956"/>
      <w:bookmarkStart w:id="161" w:name="_Toc457384386"/>
      <w:bookmarkStart w:id="162" w:name="_Toc457713000"/>
      <w:bookmarkStart w:id="163" w:name="_Toc395876619"/>
      <w:bookmarkStart w:id="164" w:name="_Toc428450647"/>
      <w:r w:rsidRPr="00580EE1">
        <w:t>Compliance monitoring mechanisms</w:t>
      </w:r>
      <w:bookmarkEnd w:id="156"/>
      <w:bookmarkEnd w:id="157"/>
      <w:bookmarkEnd w:id="158"/>
      <w:bookmarkEnd w:id="159"/>
      <w:bookmarkEnd w:id="160"/>
      <w:bookmarkEnd w:id="161"/>
      <w:bookmarkEnd w:id="162"/>
      <w:bookmarkEnd w:id="163"/>
      <w:bookmarkEnd w:id="164"/>
    </w:p>
    <w:p w14:paraId="1AC20A34" w14:textId="2D36D8F6" w:rsidR="00D11DEA" w:rsidRDefault="001A548C" w:rsidP="00D11DEA">
      <w:r>
        <w:t>In a co-regulatory environment</w:t>
      </w:r>
      <w:r w:rsidR="00D33D94">
        <w:t>,</w:t>
      </w:r>
      <w:r>
        <w:t xml:space="preserve"> it is good practice for an industry to</w:t>
      </w:r>
      <w:r w:rsidR="00D11DEA" w:rsidRPr="00580EE1">
        <w:t xml:space="preserve"> monitor </w:t>
      </w:r>
      <w:r>
        <w:t xml:space="preserve">code </w:t>
      </w:r>
      <w:r w:rsidR="00D11DEA" w:rsidRPr="00580EE1">
        <w:t xml:space="preserve">compliance </w:t>
      </w:r>
      <w:r>
        <w:t xml:space="preserve">and adherence to </w:t>
      </w:r>
      <w:r w:rsidR="00D11DEA" w:rsidRPr="00580EE1">
        <w:t xml:space="preserve">the code’s objectives </w:t>
      </w:r>
      <w:r>
        <w:t>by the relevant</w:t>
      </w:r>
      <w:r w:rsidR="00D11DEA" w:rsidRPr="00580EE1">
        <w:t xml:space="preserve"> industry participants</w:t>
      </w:r>
      <w:r>
        <w:t>, and to ensure that participants who</w:t>
      </w:r>
      <w:r w:rsidR="00D11DEA" w:rsidRPr="00580EE1">
        <w:t xml:space="preserve"> are complying with the code are not being disadvantaged.</w:t>
      </w:r>
      <w:r>
        <w:t xml:space="preserve"> Code monitoring can be </w:t>
      </w:r>
      <w:r w:rsidR="00966169">
        <w:t>undertaken</w:t>
      </w:r>
      <w:r>
        <w:t xml:space="preserve"> by the industry body that submits the code, or through an organisation created by the code.</w:t>
      </w:r>
    </w:p>
    <w:p w14:paraId="210E1AF9" w14:textId="77777777" w:rsidR="00D11DEA" w:rsidRPr="00580EE1" w:rsidRDefault="00D11DEA" w:rsidP="00D11DEA">
      <w:pPr>
        <w:pStyle w:val="Heading2"/>
      </w:pPr>
      <w:bookmarkStart w:id="165" w:name="_Toc407079484"/>
      <w:bookmarkStart w:id="166" w:name="_Toc424128425"/>
      <w:bookmarkStart w:id="167" w:name="_Toc456165485"/>
      <w:bookmarkStart w:id="168" w:name="_Toc456165815"/>
      <w:bookmarkStart w:id="169" w:name="_Toc457357957"/>
      <w:bookmarkStart w:id="170" w:name="_Toc457384387"/>
      <w:bookmarkStart w:id="171" w:name="_Toc457713001"/>
      <w:bookmarkStart w:id="172" w:name="_Toc395876620"/>
      <w:bookmarkStart w:id="173" w:name="_Toc428450648"/>
      <w:r w:rsidRPr="00580EE1">
        <w:t>Provisions for public awareness</w:t>
      </w:r>
      <w:bookmarkEnd w:id="165"/>
      <w:bookmarkEnd w:id="166"/>
      <w:bookmarkEnd w:id="167"/>
      <w:bookmarkEnd w:id="168"/>
      <w:bookmarkEnd w:id="169"/>
      <w:bookmarkEnd w:id="170"/>
      <w:bookmarkEnd w:id="171"/>
      <w:bookmarkEnd w:id="172"/>
      <w:bookmarkEnd w:id="173"/>
    </w:p>
    <w:p w14:paraId="352D9122" w14:textId="255909A0" w:rsidR="00D11DEA" w:rsidRDefault="00D11DEA" w:rsidP="00D11DEA">
      <w:r w:rsidRPr="00580EE1">
        <w:t>Public awareness is critical to achieving the self-regulatory objectives of codes concerning consumer matters or matters of general public interest.</w:t>
      </w:r>
      <w:r w:rsidR="001B2C9D">
        <w:t xml:space="preserve"> </w:t>
      </w:r>
      <w:r w:rsidRPr="00580EE1">
        <w:t>Consumer codes in particular should include provisions to publicise the code to consumers.</w:t>
      </w:r>
    </w:p>
    <w:p w14:paraId="3025948D" w14:textId="77777777" w:rsidR="00D11DEA" w:rsidRPr="00580EE1" w:rsidRDefault="00D11DEA" w:rsidP="00D11DEA">
      <w:pPr>
        <w:pStyle w:val="Heading2"/>
      </w:pPr>
      <w:bookmarkStart w:id="174" w:name="_Toc407079485"/>
      <w:bookmarkStart w:id="175" w:name="_Toc424128426"/>
      <w:bookmarkStart w:id="176" w:name="_Toc456165486"/>
      <w:bookmarkStart w:id="177" w:name="_Toc456165816"/>
      <w:bookmarkStart w:id="178" w:name="_Toc457357958"/>
      <w:bookmarkStart w:id="179" w:name="_Toc457384388"/>
      <w:bookmarkStart w:id="180" w:name="_Toc457713002"/>
      <w:bookmarkStart w:id="181" w:name="_Toc395876621"/>
      <w:bookmarkStart w:id="182" w:name="_Toc428450649"/>
      <w:r w:rsidRPr="00580EE1">
        <w:t>Provisions for industry training</w:t>
      </w:r>
      <w:bookmarkEnd w:id="174"/>
      <w:bookmarkEnd w:id="175"/>
      <w:bookmarkEnd w:id="176"/>
      <w:bookmarkEnd w:id="177"/>
      <w:bookmarkEnd w:id="178"/>
      <w:bookmarkEnd w:id="179"/>
      <w:bookmarkEnd w:id="180"/>
      <w:bookmarkEnd w:id="181"/>
      <w:bookmarkEnd w:id="182"/>
    </w:p>
    <w:p w14:paraId="2CC0BED7" w14:textId="63D31212" w:rsidR="00D11DEA" w:rsidRDefault="00D11DEA" w:rsidP="00D11DEA">
      <w:r w:rsidRPr="00580EE1">
        <w:t>Codes should also provide for awareness to be promoted amongst employees and agents of industry participants, who should be instructed in the principles and procedures of the code.</w:t>
      </w:r>
      <w:r w:rsidR="001B2C9D">
        <w:t xml:space="preserve"> </w:t>
      </w:r>
      <w:r w:rsidRPr="00580EE1">
        <w:t>Where appropriate, codes should contain implementation guidelines to assist industry participants in the practical application of the code rules.</w:t>
      </w:r>
    </w:p>
    <w:p w14:paraId="7965FADE" w14:textId="77777777" w:rsidR="00D11DEA" w:rsidRPr="00580EE1" w:rsidRDefault="00D11DEA" w:rsidP="00D11DEA">
      <w:pPr>
        <w:pStyle w:val="Heading2"/>
      </w:pPr>
      <w:bookmarkStart w:id="183" w:name="_Toc407079487"/>
      <w:bookmarkStart w:id="184" w:name="_Toc424128428"/>
      <w:bookmarkStart w:id="185" w:name="_Toc456165488"/>
      <w:bookmarkStart w:id="186" w:name="_Toc456165818"/>
      <w:bookmarkStart w:id="187" w:name="_Toc457357960"/>
      <w:bookmarkStart w:id="188" w:name="_Toc457384390"/>
      <w:bookmarkStart w:id="189" w:name="_Toc457713004"/>
      <w:bookmarkStart w:id="190" w:name="_Toc395876622"/>
      <w:bookmarkStart w:id="191" w:name="_Toc428450650"/>
      <w:r w:rsidRPr="00580EE1">
        <w:t>Accountability</w:t>
      </w:r>
      <w:bookmarkEnd w:id="183"/>
      <w:bookmarkEnd w:id="184"/>
      <w:bookmarkEnd w:id="185"/>
      <w:bookmarkEnd w:id="186"/>
      <w:bookmarkEnd w:id="187"/>
      <w:bookmarkEnd w:id="188"/>
      <w:bookmarkEnd w:id="189"/>
      <w:bookmarkEnd w:id="190"/>
      <w:bookmarkEnd w:id="191"/>
    </w:p>
    <w:p w14:paraId="585622C3" w14:textId="2CF5DDC5" w:rsidR="00D11DEA" w:rsidRPr="00580EE1" w:rsidRDefault="00D11DEA" w:rsidP="00D11DEA">
      <w:r>
        <w:t xml:space="preserve">The </w:t>
      </w:r>
      <w:r w:rsidRPr="00580EE1">
        <w:t xml:space="preserve">ACMA has continuing responsibilities under </w:t>
      </w:r>
      <w:r w:rsidR="00A86C91">
        <w:t>section</w:t>
      </w:r>
      <w:r w:rsidRPr="00580EE1">
        <w:t xml:space="preserve"> 105 of the Telecommunications Act to monitor the adequacy of compliance with registered codes.</w:t>
      </w:r>
      <w:r w:rsidR="001B2C9D">
        <w:t xml:space="preserve"> </w:t>
      </w:r>
      <w:r w:rsidRPr="00580EE1">
        <w:lastRenderedPageBreak/>
        <w:t>Codes should operate transparently and regular reporting on the effectiveness of a code assists in this process.</w:t>
      </w:r>
      <w:r w:rsidR="001B2C9D">
        <w:t xml:space="preserve"> </w:t>
      </w:r>
    </w:p>
    <w:p w14:paraId="7B808673" w14:textId="78416A47" w:rsidR="00D11DEA" w:rsidRPr="00580EE1" w:rsidRDefault="00D11DEA" w:rsidP="00D11DEA">
      <w:r>
        <w:t xml:space="preserve">The </w:t>
      </w:r>
      <w:r w:rsidRPr="00580EE1">
        <w:t xml:space="preserve">ACMA approaches code administration bodies for advice on these matters in compiling its annual report to the </w:t>
      </w:r>
      <w:r w:rsidR="00D33D94">
        <w:t>m</w:t>
      </w:r>
      <w:r w:rsidRPr="00580EE1">
        <w:t xml:space="preserve">inister on industry performance under </w:t>
      </w:r>
      <w:r w:rsidR="00A86C91">
        <w:t>section</w:t>
      </w:r>
      <w:r w:rsidRPr="00580EE1">
        <w:t xml:space="preserve"> 105 of the Telecommunications Act</w:t>
      </w:r>
      <w:r>
        <w:t>.</w:t>
      </w:r>
    </w:p>
    <w:p w14:paraId="0CB2F466" w14:textId="77777777" w:rsidR="00D11DEA" w:rsidRDefault="00D11DEA" w:rsidP="00D11DEA">
      <w:r>
        <w:t xml:space="preserve">The </w:t>
      </w:r>
      <w:r w:rsidRPr="00580EE1">
        <w:t>ACMA also has powers to investigate possible code breaches under section 510 of the Telecommunications Act</w:t>
      </w:r>
      <w:r>
        <w:t>.</w:t>
      </w:r>
    </w:p>
    <w:p w14:paraId="4856A207" w14:textId="3E28AC20" w:rsidR="00FF0338" w:rsidRPr="00580EE1" w:rsidRDefault="0076617A" w:rsidP="00FF0338">
      <w:pPr>
        <w:pStyle w:val="Heading1"/>
      </w:pPr>
      <w:bookmarkStart w:id="192" w:name="_Toc395876623"/>
      <w:bookmarkStart w:id="193" w:name="_Toc428450651"/>
      <w:r>
        <w:lastRenderedPageBreak/>
        <w:t>D</w:t>
      </w:r>
      <w:r w:rsidRPr="00580EE1">
        <w:t>eveloping a code for registration</w:t>
      </w:r>
      <w:bookmarkEnd w:id="192"/>
      <w:bookmarkEnd w:id="193"/>
    </w:p>
    <w:p w14:paraId="21554578" w14:textId="6B6C35B4" w:rsidR="00FF0338" w:rsidRPr="00580EE1" w:rsidRDefault="00FF0338" w:rsidP="00FF0338">
      <w:r w:rsidRPr="00580EE1">
        <w:t xml:space="preserve">For a code to be registered with </w:t>
      </w:r>
      <w:r>
        <w:t>the ACMA</w:t>
      </w:r>
      <w:r w:rsidR="000B4CE4">
        <w:t>,</w:t>
      </w:r>
      <w:r w:rsidRPr="00580EE1">
        <w:t xml:space="preserve"> it must not only meet the requirements of the Telecommunications Act and delegated legislation</w:t>
      </w:r>
      <w:r w:rsidR="000B4CE4">
        <w:t>,</w:t>
      </w:r>
      <w:r w:rsidRPr="00580EE1">
        <w:t xml:space="preserve"> but it should also be drafted in accordance with regulatory principles.</w:t>
      </w:r>
      <w:r w:rsidR="001B2C9D">
        <w:t xml:space="preserve"> </w:t>
      </w:r>
      <w:r w:rsidRPr="00580EE1">
        <w:t>As a result, both the content and form of the code require careful planning before the development of a code is commenced.</w:t>
      </w:r>
    </w:p>
    <w:p w14:paraId="5F56E24F" w14:textId="31551A9A" w:rsidR="00FF0338" w:rsidRDefault="00FF0338" w:rsidP="00FF0338">
      <w:r>
        <w:t xml:space="preserve">The </w:t>
      </w:r>
      <w:r w:rsidRPr="00580EE1">
        <w:t xml:space="preserve">ACMA strongly recommends that before a code is submitted to it, a professional legislative drafter be engaged to draft the terms of the code on instructions from the industry body, or at least review and settle the final form of the code. </w:t>
      </w:r>
      <w:r>
        <w:t xml:space="preserve">Similarly, a professional drafter should be engaged where industry is seeking to vary an existing code, unless the details to be changed are minor, such as when the version of a document referred to by the code needs to be updated. </w:t>
      </w:r>
    </w:p>
    <w:p w14:paraId="3338E7B6" w14:textId="5A520696" w:rsidR="000B4CE4" w:rsidRDefault="00FF0338" w:rsidP="00AC46B0">
      <w:pPr>
        <w:spacing w:after="80"/>
      </w:pPr>
      <w:r w:rsidRPr="00580EE1">
        <w:t>A professional drafter will have the skills and experience to</w:t>
      </w:r>
      <w:r w:rsidR="000B4CE4">
        <w:t xml:space="preserve"> ensure:</w:t>
      </w:r>
    </w:p>
    <w:p w14:paraId="732BD683" w14:textId="28EA421D" w:rsidR="000B4CE4" w:rsidRDefault="00FF0338" w:rsidP="00AC46B0">
      <w:pPr>
        <w:pStyle w:val="ListBullet"/>
      </w:pPr>
      <w:r w:rsidRPr="00580EE1">
        <w:t>that a code is logically structured</w:t>
      </w:r>
    </w:p>
    <w:p w14:paraId="7198A00B" w14:textId="4D9C59FD" w:rsidR="000B4CE4" w:rsidRDefault="00FF0338" w:rsidP="00AC46B0">
      <w:pPr>
        <w:pStyle w:val="ListBullet"/>
      </w:pPr>
      <w:r w:rsidRPr="00580EE1">
        <w:t>that there is internal consistency in the use of terms and concepts</w:t>
      </w:r>
    </w:p>
    <w:p w14:paraId="1757B13E" w14:textId="0235123C" w:rsidR="000B4CE4" w:rsidRDefault="00FF0338" w:rsidP="00AC46B0">
      <w:pPr>
        <w:pStyle w:val="ListBullet"/>
      </w:pPr>
      <w:r w:rsidRPr="00580EE1">
        <w:t>that basic checks are undertaken to ensure consistency with governing legislation and/or legislative instruments</w:t>
      </w:r>
    </w:p>
    <w:p w14:paraId="0D587991" w14:textId="77777777" w:rsidR="000B4CE4" w:rsidRDefault="00FF0338" w:rsidP="00AC46B0">
      <w:pPr>
        <w:pStyle w:val="ListBullet"/>
      </w:pPr>
      <w:r w:rsidRPr="00580EE1">
        <w:t>that revised codes include any necessary transitional provisions</w:t>
      </w:r>
    </w:p>
    <w:p w14:paraId="789AA33D" w14:textId="49093AAC" w:rsidR="000B4CE4" w:rsidRDefault="00FF0338" w:rsidP="00AC46B0">
      <w:pPr>
        <w:pStyle w:val="ListBulletLast"/>
      </w:pPr>
      <w:r w:rsidRPr="00580EE1">
        <w:t xml:space="preserve">that other checklist matters known to professional drafters have been properly dealt with. </w:t>
      </w:r>
    </w:p>
    <w:p w14:paraId="2334E91C" w14:textId="5F7566C0" w:rsidR="00D11DEA" w:rsidRPr="00580EE1" w:rsidRDefault="00FF0338" w:rsidP="00FF0338">
      <w:r w:rsidRPr="00580EE1">
        <w:t>This should ensure that practical problems with the interpretation and application of new or revised codes are minimised.</w:t>
      </w:r>
    </w:p>
    <w:p w14:paraId="3FDFAD0A" w14:textId="021CBF25" w:rsidR="009C26A8" w:rsidRPr="00580EE1" w:rsidRDefault="009C26A8" w:rsidP="009C26A8">
      <w:pPr>
        <w:pStyle w:val="Heading2"/>
      </w:pPr>
      <w:bookmarkStart w:id="194" w:name="_Toc456165443"/>
      <w:bookmarkStart w:id="195" w:name="_Toc456165773"/>
      <w:bookmarkStart w:id="196" w:name="_Toc457357911"/>
      <w:bookmarkStart w:id="197" w:name="_Toc457384348"/>
      <w:bookmarkStart w:id="198" w:name="_Toc457712966"/>
      <w:bookmarkStart w:id="199" w:name="_Toc395876624"/>
      <w:bookmarkStart w:id="200" w:name="_Toc428450652"/>
      <w:r w:rsidRPr="00580EE1">
        <w:t>Policy principles that underpin code registration</w:t>
      </w:r>
      <w:r w:rsidR="000B4CE4">
        <w:t>—</w:t>
      </w:r>
      <w:bookmarkEnd w:id="194"/>
      <w:bookmarkEnd w:id="195"/>
      <w:r w:rsidRPr="00580EE1">
        <w:t>the public interest balance test</w:t>
      </w:r>
      <w:bookmarkEnd w:id="196"/>
      <w:bookmarkEnd w:id="197"/>
      <w:bookmarkEnd w:id="198"/>
      <w:bookmarkEnd w:id="199"/>
      <w:bookmarkEnd w:id="200"/>
    </w:p>
    <w:p w14:paraId="02FE389F" w14:textId="20E40DCD" w:rsidR="009C26A8" w:rsidRPr="00580EE1" w:rsidRDefault="009C26A8" w:rsidP="00AC46B0">
      <w:pPr>
        <w:spacing w:after="80"/>
      </w:pPr>
      <w:r>
        <w:t>The ACMA</w:t>
      </w:r>
      <w:r w:rsidRPr="00580EE1">
        <w:t>'s decision</w:t>
      </w:r>
      <w:r w:rsidR="000B4CE4">
        <w:t>-</w:t>
      </w:r>
      <w:r w:rsidRPr="00580EE1">
        <w:t xml:space="preserve">making powers under </w:t>
      </w:r>
      <w:r w:rsidR="00A86C91">
        <w:t>section</w:t>
      </w:r>
      <w:r w:rsidRPr="00580EE1">
        <w:t xml:space="preserve"> 117 of the Telecommunications Act are subject to the provisions of </w:t>
      </w:r>
      <w:r w:rsidR="00A86C91">
        <w:t>section</w:t>
      </w:r>
      <w:r w:rsidRPr="00580EE1">
        <w:t xml:space="preserve"> 112.</w:t>
      </w:r>
      <w:r w:rsidR="001B2C9D">
        <w:t xml:space="preserve"> </w:t>
      </w:r>
      <w:r w:rsidRPr="00580EE1">
        <w:t xml:space="preserve">This means that in exercising its powers to register a code, the Telecommunications Act obliges </w:t>
      </w:r>
      <w:r>
        <w:t>the ACMA</w:t>
      </w:r>
      <w:r w:rsidRPr="00580EE1">
        <w:t xml:space="preserve"> to act in a manner </w:t>
      </w:r>
      <w:r w:rsidR="000B4CE4">
        <w:t>that</w:t>
      </w:r>
      <w:r w:rsidR="000B4CE4" w:rsidRPr="00580EE1">
        <w:t xml:space="preserve"> </w:t>
      </w:r>
      <w:r w:rsidRPr="00580EE1">
        <w:t>enables public interest considerations to be addressed without imposing undue financial and administrative burdens on particip</w:t>
      </w:r>
      <w:r w:rsidR="005C369E">
        <w:t xml:space="preserve">ants in the telecommunications, </w:t>
      </w:r>
      <w:r w:rsidR="0044486C" w:rsidRPr="00580EE1">
        <w:t xml:space="preserve">telemarketing </w:t>
      </w:r>
      <w:r w:rsidR="0044486C">
        <w:t xml:space="preserve">or </w:t>
      </w:r>
      <w:r w:rsidR="005C369E">
        <w:t>fax marketing</w:t>
      </w:r>
      <w:r w:rsidRPr="00580EE1">
        <w:t xml:space="preserve"> industries.</w:t>
      </w:r>
      <w:r w:rsidR="001B2C9D">
        <w:t xml:space="preserve"> </w:t>
      </w:r>
      <w:r w:rsidRPr="00580EE1">
        <w:t>This obligation is referred to in this guide as the ‘public interest balance test’.</w:t>
      </w:r>
      <w:r w:rsidR="001B2C9D">
        <w:t xml:space="preserve"> </w:t>
      </w:r>
      <w:r w:rsidRPr="00580EE1">
        <w:t xml:space="preserve">Under this test, </w:t>
      </w:r>
      <w:r>
        <w:t>the ACMA</w:t>
      </w:r>
      <w:r w:rsidRPr="00580EE1">
        <w:t xml:space="preserve"> must have regard to, but is not limited to, considering:</w:t>
      </w:r>
    </w:p>
    <w:p w14:paraId="6DCED306" w14:textId="0F668F13" w:rsidR="009C26A8" w:rsidRPr="00580EE1" w:rsidRDefault="009C26A8" w:rsidP="009C26A8">
      <w:pPr>
        <w:pStyle w:val="ListBullet"/>
      </w:pPr>
      <w:r w:rsidRPr="00580EE1">
        <w:t>the number of customers likely to benefit from the code</w:t>
      </w:r>
    </w:p>
    <w:p w14:paraId="32826DEA" w14:textId="6C8B91E2" w:rsidR="009C26A8" w:rsidRPr="00580EE1" w:rsidRDefault="009C26A8" w:rsidP="009C26A8">
      <w:pPr>
        <w:pStyle w:val="ListBullet"/>
      </w:pPr>
      <w:r w:rsidRPr="00580EE1">
        <w:t>the extent to which they are residential and small business customers</w:t>
      </w:r>
    </w:p>
    <w:p w14:paraId="50BF8798" w14:textId="67F227B8" w:rsidR="009C26A8" w:rsidRPr="00580EE1" w:rsidRDefault="009C26A8" w:rsidP="009C26A8">
      <w:pPr>
        <w:pStyle w:val="ListBullet"/>
      </w:pPr>
      <w:r w:rsidRPr="00580EE1">
        <w:t>the legitimate business interests of participants in the industry</w:t>
      </w:r>
    </w:p>
    <w:p w14:paraId="5EC1A709" w14:textId="77777777" w:rsidR="009C26A8" w:rsidRPr="00580EE1" w:rsidRDefault="009C26A8" w:rsidP="00CA5F87">
      <w:pPr>
        <w:pStyle w:val="ListBulletLast"/>
      </w:pPr>
      <w:r w:rsidRPr="00580EE1">
        <w:t>for codes covering the telecommunications industry, the public interest, including the efficient, equitable and ecologically sustainable supply of goods and carriage services.</w:t>
      </w:r>
    </w:p>
    <w:p w14:paraId="4631F5C9" w14:textId="77777777" w:rsidR="009C26A8" w:rsidRPr="00580EE1" w:rsidRDefault="009C26A8" w:rsidP="009C26A8">
      <w:pPr>
        <w:pStyle w:val="Heading2"/>
      </w:pPr>
      <w:bookmarkStart w:id="201" w:name="_Toc456165445"/>
      <w:bookmarkStart w:id="202" w:name="_Toc456165775"/>
      <w:bookmarkStart w:id="203" w:name="_Toc457357916"/>
      <w:bookmarkStart w:id="204" w:name="_Toc457384353"/>
      <w:bookmarkStart w:id="205" w:name="_Toc457712970"/>
      <w:bookmarkStart w:id="206" w:name="_Toc395876625"/>
      <w:bookmarkStart w:id="207" w:name="_Toc428450653"/>
      <w:r w:rsidRPr="00580EE1">
        <w:t>Consideration of all regulatory options</w:t>
      </w:r>
      <w:bookmarkEnd w:id="201"/>
      <w:bookmarkEnd w:id="202"/>
      <w:bookmarkEnd w:id="203"/>
      <w:bookmarkEnd w:id="204"/>
      <w:bookmarkEnd w:id="205"/>
      <w:bookmarkEnd w:id="206"/>
      <w:bookmarkEnd w:id="207"/>
    </w:p>
    <w:p w14:paraId="05AF00FB" w14:textId="5D1663D9" w:rsidR="009C26A8" w:rsidRPr="00580EE1" w:rsidRDefault="009C26A8" w:rsidP="009C26A8">
      <w:r w:rsidRPr="00580EE1">
        <w:t>An important regulatory policy principle is that regulation must be both effective and efficient in achieving its objectives.</w:t>
      </w:r>
      <w:r w:rsidR="001B2C9D">
        <w:t xml:space="preserve"> </w:t>
      </w:r>
      <w:r w:rsidRPr="00580EE1">
        <w:t xml:space="preserve">In </w:t>
      </w:r>
      <w:r w:rsidR="00502737" w:rsidRPr="00580EE1">
        <w:t>part,</w:t>
      </w:r>
      <w:r w:rsidRPr="00580EE1">
        <w:t xml:space="preserve"> this requires the choice of the best regulatory option.</w:t>
      </w:r>
      <w:r w:rsidR="001B2C9D">
        <w:t xml:space="preserve"> </w:t>
      </w:r>
      <w:r w:rsidRPr="00580EE1">
        <w:t xml:space="preserve">Before commencing to develop a code, industry bodies should </w:t>
      </w:r>
      <w:r w:rsidRPr="00580EE1">
        <w:lastRenderedPageBreak/>
        <w:t xml:space="preserve">consider all available regulatory options, such as guidelines, specifications or voluntary codes. </w:t>
      </w:r>
    </w:p>
    <w:p w14:paraId="25C5524F" w14:textId="3F015ED0" w:rsidR="009C26A8" w:rsidRDefault="009C26A8" w:rsidP="009C26A8">
      <w:r w:rsidRPr="00580EE1">
        <w:t xml:space="preserve">In short, before an industry body commences a code, it should be satisfied that a code registered with </w:t>
      </w:r>
      <w:r>
        <w:t>the ACMA</w:t>
      </w:r>
      <w:r w:rsidRPr="00580EE1">
        <w:t xml:space="preserve"> is the best regulatory solution. Consideration of available regulatory options may result in choosing solutions that do not require a registered code.</w:t>
      </w:r>
      <w:r w:rsidR="001B2C9D">
        <w:t xml:space="preserve"> </w:t>
      </w:r>
      <w:r w:rsidRPr="00580EE1">
        <w:t>For example, it may be concluded in some cases that the development of industry guidelines is more appropriate.</w:t>
      </w:r>
      <w:r>
        <w:t xml:space="preserve"> It is advisable that industry considers consulting the ACMA when considering whether a code is the most appropriate regulatory solution.</w:t>
      </w:r>
    </w:p>
    <w:p w14:paraId="1DF37239" w14:textId="77777777" w:rsidR="009C26A8" w:rsidRPr="00580EE1" w:rsidRDefault="009C26A8" w:rsidP="009C26A8">
      <w:pPr>
        <w:pStyle w:val="Heading2"/>
      </w:pPr>
      <w:bookmarkStart w:id="208" w:name="_Toc456165446"/>
      <w:bookmarkStart w:id="209" w:name="_Toc456165776"/>
      <w:bookmarkStart w:id="210" w:name="_Toc457357917"/>
      <w:bookmarkStart w:id="211" w:name="_Toc457384354"/>
      <w:bookmarkStart w:id="212" w:name="_Toc457712971"/>
      <w:bookmarkStart w:id="213" w:name="_Toc395876626"/>
      <w:bookmarkStart w:id="214" w:name="_Toc428450654"/>
      <w:r w:rsidRPr="00580EE1">
        <w:t>Preparing to draft a code</w:t>
      </w:r>
      <w:bookmarkEnd w:id="208"/>
      <w:bookmarkEnd w:id="209"/>
      <w:bookmarkEnd w:id="210"/>
      <w:bookmarkEnd w:id="211"/>
      <w:bookmarkEnd w:id="212"/>
      <w:bookmarkEnd w:id="213"/>
      <w:bookmarkEnd w:id="214"/>
    </w:p>
    <w:p w14:paraId="1F71C02A" w14:textId="329F2961" w:rsidR="009C26A8" w:rsidRPr="00580EE1" w:rsidRDefault="009C26A8" w:rsidP="00AC46B0">
      <w:pPr>
        <w:spacing w:after="80"/>
      </w:pPr>
      <w:r w:rsidRPr="00580EE1">
        <w:t xml:space="preserve">Satisfying the regulatory requirements for registration of the code with </w:t>
      </w:r>
      <w:r>
        <w:t>the ACMA</w:t>
      </w:r>
      <w:r w:rsidRPr="00580EE1">
        <w:t xml:space="preserve"> means that, in practice, industry bodies will need to plan their approach to code drafting.</w:t>
      </w:r>
      <w:r w:rsidR="001B2C9D">
        <w:t xml:space="preserve"> </w:t>
      </w:r>
      <w:r w:rsidRPr="00580EE1">
        <w:t>It is suggested that industry bodies clarify the following issues before commencing work on drafting the code:</w:t>
      </w:r>
    </w:p>
    <w:p w14:paraId="69E5BB5C" w14:textId="5B4480B2" w:rsidR="009C26A8" w:rsidRPr="00580EE1" w:rsidRDefault="009C26A8" w:rsidP="009C26A8">
      <w:pPr>
        <w:pStyle w:val="ListBullet"/>
      </w:pPr>
      <w:r w:rsidRPr="00580EE1">
        <w:t>the nature of the problem or issue</w:t>
      </w:r>
      <w:r w:rsidR="00502737">
        <w:t>—</w:t>
      </w:r>
      <w:r w:rsidRPr="00580EE1">
        <w:t xml:space="preserve">identifying all sources of evidence </w:t>
      </w:r>
      <w:r w:rsidR="00502737">
        <w:t>that</w:t>
      </w:r>
      <w:r w:rsidR="00502737" w:rsidRPr="00580EE1">
        <w:t xml:space="preserve"> </w:t>
      </w:r>
      <w:r w:rsidRPr="00580EE1">
        <w:t>assist in assessing the extent and</w:t>
      </w:r>
      <w:r w:rsidR="003A0496">
        <w:t xml:space="preserve"> characteristics of the problem</w:t>
      </w:r>
    </w:p>
    <w:p w14:paraId="2D51A9CA" w14:textId="142677D4" w:rsidR="009C26A8" w:rsidRPr="00580EE1" w:rsidRDefault="009C26A8" w:rsidP="009C26A8">
      <w:pPr>
        <w:pStyle w:val="ListBullet"/>
      </w:pPr>
      <w:r w:rsidRPr="00580EE1">
        <w:t>the existing regulatory framework</w:t>
      </w:r>
      <w:r w:rsidR="00502737">
        <w:t>—</w:t>
      </w:r>
      <w:r w:rsidRPr="00580EE1">
        <w:t>identify any gaps in regulatio</w:t>
      </w:r>
      <w:r w:rsidR="003A0496">
        <w:t xml:space="preserve">n </w:t>
      </w:r>
      <w:r w:rsidR="00502737">
        <w:t xml:space="preserve">that </w:t>
      </w:r>
      <w:r w:rsidR="003A0496">
        <w:t>a code needs to address</w:t>
      </w:r>
    </w:p>
    <w:p w14:paraId="30EB7D68" w14:textId="0B0CB1F2" w:rsidR="009C26A8" w:rsidRPr="00580EE1" w:rsidRDefault="009C26A8" w:rsidP="009C26A8">
      <w:pPr>
        <w:pStyle w:val="ListBullet"/>
      </w:pPr>
      <w:r w:rsidRPr="00580EE1">
        <w:t>all the possible regulatory options</w:t>
      </w:r>
      <w:r w:rsidR="00502737">
        <w:t>,</w:t>
      </w:r>
      <w:r w:rsidRPr="00580EE1">
        <w:t xml:space="preserve"> with an understanding about why a registered code is the preferred option </w:t>
      </w:r>
    </w:p>
    <w:p w14:paraId="5536BC26" w14:textId="15F4B123" w:rsidR="009C26A8" w:rsidRPr="00580EE1" w:rsidRDefault="009C26A8" w:rsidP="009C26A8">
      <w:pPr>
        <w:pStyle w:val="ListBullet"/>
      </w:pPr>
      <w:r w:rsidRPr="00580EE1">
        <w:t>the aims and objectives of the code</w:t>
      </w:r>
      <w:r w:rsidR="00502737">
        <w:t>—</w:t>
      </w:r>
      <w:r w:rsidRPr="00580EE1">
        <w:t>describe what the code will achieve and its expected outcomes</w:t>
      </w:r>
    </w:p>
    <w:p w14:paraId="14E845D9" w14:textId="5B78F03D" w:rsidR="00D17131" w:rsidRDefault="009C26A8" w:rsidP="00D17131">
      <w:pPr>
        <w:pStyle w:val="ListBulletLast"/>
      </w:pPr>
      <w:r w:rsidRPr="00580EE1">
        <w:t>who will be affected by the code.</w:t>
      </w:r>
    </w:p>
    <w:p w14:paraId="44EDD643" w14:textId="5B78F03D" w:rsidR="009C26A8" w:rsidRPr="00580EE1" w:rsidRDefault="009C26A8" w:rsidP="009C26A8">
      <w:pPr>
        <w:pStyle w:val="Heading2"/>
      </w:pPr>
      <w:bookmarkStart w:id="215" w:name="_Toc395876627"/>
      <w:bookmarkStart w:id="216" w:name="_Toc428450655"/>
      <w:r w:rsidRPr="00580EE1">
        <w:t xml:space="preserve">The </w:t>
      </w:r>
      <w:r>
        <w:t>e</w:t>
      </w:r>
      <w:r w:rsidRPr="00580EE1">
        <w:t xml:space="preserve">xplanatory </w:t>
      </w:r>
      <w:r>
        <w:t>s</w:t>
      </w:r>
      <w:r w:rsidRPr="00580EE1">
        <w:t>tatement</w:t>
      </w:r>
      <w:bookmarkEnd w:id="215"/>
      <w:bookmarkEnd w:id="216"/>
      <w:r w:rsidRPr="00580EE1">
        <w:t xml:space="preserve"> </w:t>
      </w:r>
    </w:p>
    <w:p w14:paraId="7341A1A7" w14:textId="0EC6BBAA" w:rsidR="009C26A8" w:rsidRPr="00580EE1" w:rsidRDefault="009C26A8" w:rsidP="009C26A8">
      <w:r w:rsidRPr="00580EE1">
        <w:t xml:space="preserve">Industry bodies can assist </w:t>
      </w:r>
      <w:r>
        <w:t>the ACMA</w:t>
      </w:r>
      <w:r w:rsidRPr="00580EE1">
        <w:t xml:space="preserve"> in its decisions regarding the application of the public interest balance test by providing </w:t>
      </w:r>
      <w:r>
        <w:t>e</w:t>
      </w:r>
      <w:r w:rsidRPr="00580EE1">
        <w:t xml:space="preserve">xplanatory </w:t>
      </w:r>
      <w:r>
        <w:t>s</w:t>
      </w:r>
      <w:r w:rsidRPr="00580EE1">
        <w:t>tatements to codes.</w:t>
      </w:r>
      <w:r w:rsidR="001B2C9D">
        <w:t xml:space="preserve"> </w:t>
      </w:r>
      <w:r w:rsidRPr="00580EE1">
        <w:t xml:space="preserve">A suggested template for an </w:t>
      </w:r>
      <w:r>
        <w:t>e</w:t>
      </w:r>
      <w:r w:rsidRPr="00580EE1">
        <w:t xml:space="preserve">xplanatory </w:t>
      </w:r>
      <w:r>
        <w:t>s</w:t>
      </w:r>
      <w:r w:rsidRPr="00580EE1">
        <w:t xml:space="preserve">tatement is included at Appendix </w:t>
      </w:r>
      <w:r w:rsidR="00D200EA">
        <w:t>E</w:t>
      </w:r>
      <w:r w:rsidRPr="00580EE1">
        <w:t>.</w:t>
      </w:r>
    </w:p>
    <w:p w14:paraId="37E3714A" w14:textId="719B4BC2" w:rsidR="009C26A8" w:rsidRDefault="009C26A8" w:rsidP="009C26A8">
      <w:r w:rsidRPr="00580EE1">
        <w:t xml:space="preserve">An </w:t>
      </w:r>
      <w:r>
        <w:t>e</w:t>
      </w:r>
      <w:r w:rsidRPr="00580EE1">
        <w:t xml:space="preserve">xplanatory </w:t>
      </w:r>
      <w:r>
        <w:t>s</w:t>
      </w:r>
      <w:r w:rsidRPr="00580EE1">
        <w:t>tatement can play three important roles.</w:t>
      </w:r>
      <w:r w:rsidR="001B2C9D">
        <w:t xml:space="preserve"> </w:t>
      </w:r>
      <w:r w:rsidRPr="00580EE1">
        <w:t>The first</w:t>
      </w:r>
      <w:r>
        <w:t xml:space="preserve"> role</w:t>
      </w:r>
      <w:r w:rsidRPr="00580EE1">
        <w:t xml:space="preserve"> is to provide an explanation by the industry body to consumers and the industry about the purpose of the code and the policy intention underlying it.</w:t>
      </w:r>
      <w:r w:rsidR="001B2C9D">
        <w:t xml:space="preserve"> </w:t>
      </w:r>
      <w:r>
        <w:t>It can also</w:t>
      </w:r>
      <w:r w:rsidRPr="00580EE1">
        <w:t xml:space="preserve"> assist </w:t>
      </w:r>
      <w:r>
        <w:t>the ACMA</w:t>
      </w:r>
      <w:r w:rsidRPr="00580EE1">
        <w:t xml:space="preserve"> in making judgements as to whether registering the code would satisfy </w:t>
      </w:r>
      <w:r>
        <w:t>the ACMA</w:t>
      </w:r>
      <w:r w:rsidRPr="00580EE1">
        <w:t>'s decision</w:t>
      </w:r>
      <w:r w:rsidR="00502737">
        <w:t>-</w:t>
      </w:r>
      <w:r w:rsidRPr="00580EE1">
        <w:t>making obligations under the public interest balance test.</w:t>
      </w:r>
      <w:r w:rsidR="001B2C9D">
        <w:t xml:space="preserve"> </w:t>
      </w:r>
      <w:r>
        <w:t>An explanatory statement can also</w:t>
      </w:r>
      <w:r w:rsidRPr="00580EE1">
        <w:t xml:space="preserve"> </w:t>
      </w:r>
      <w:r>
        <w:t>aid</w:t>
      </w:r>
      <w:r w:rsidRPr="00580EE1">
        <w:t xml:space="preserve"> </w:t>
      </w:r>
      <w:r>
        <w:t>the ACMA</w:t>
      </w:r>
      <w:r w:rsidRPr="00580EE1">
        <w:t xml:space="preserve"> in its consultation with the Office of </w:t>
      </w:r>
      <w:r>
        <w:t>Best Practice Regulation (OBPR)</w:t>
      </w:r>
      <w:r w:rsidRPr="00580EE1">
        <w:t>.</w:t>
      </w:r>
      <w:r w:rsidR="001B2C9D">
        <w:t xml:space="preserve"> </w:t>
      </w:r>
      <w:r w:rsidRPr="00580EE1">
        <w:t>The role and requirements of the O</w:t>
      </w:r>
      <w:r>
        <w:t>BP</w:t>
      </w:r>
      <w:r w:rsidRPr="00580EE1">
        <w:t xml:space="preserve">R are outlined below. </w:t>
      </w:r>
    </w:p>
    <w:p w14:paraId="2B7DF3D5" w14:textId="414A27C6" w:rsidR="009C26A8" w:rsidRDefault="009C26A8" w:rsidP="009C26A8">
      <w:r w:rsidRPr="00580EE1">
        <w:t xml:space="preserve">While </w:t>
      </w:r>
      <w:r>
        <w:t>the ACMA</w:t>
      </w:r>
      <w:r w:rsidRPr="00580EE1">
        <w:t xml:space="preserve"> is obliged under the Telecommunications Act to make independent assessments in relation to the public interest balance test, </w:t>
      </w:r>
      <w:r>
        <w:t>e</w:t>
      </w:r>
      <w:r w:rsidRPr="00580EE1">
        <w:t xml:space="preserve">xplanatory </w:t>
      </w:r>
      <w:r>
        <w:t>s</w:t>
      </w:r>
      <w:r w:rsidRPr="00580EE1">
        <w:t xml:space="preserve">tatements </w:t>
      </w:r>
      <w:r w:rsidR="006B0A7D">
        <w:t>can provide</w:t>
      </w:r>
      <w:r w:rsidRPr="00580EE1">
        <w:t xml:space="preserve"> important information to </w:t>
      </w:r>
      <w:r>
        <w:t>the ACMA</w:t>
      </w:r>
      <w:r w:rsidRPr="00580EE1">
        <w:t xml:space="preserve"> for use in making its judgements under </w:t>
      </w:r>
      <w:r w:rsidR="00A86C91">
        <w:t>section</w:t>
      </w:r>
      <w:r w:rsidRPr="00580EE1">
        <w:t xml:space="preserve"> 112.</w:t>
      </w:r>
      <w:r w:rsidR="001B2C9D">
        <w:t xml:space="preserve"> </w:t>
      </w:r>
      <w:r w:rsidRPr="00580EE1">
        <w:t xml:space="preserve">Explanatory </w:t>
      </w:r>
      <w:r>
        <w:t>s</w:t>
      </w:r>
      <w:r w:rsidRPr="00580EE1">
        <w:t>tatements give industry bodies the opportunity to represent an industry perspective on the need for the code and the balance achieved in the code between public interest matters and the imposition of administrative and financial burdens.</w:t>
      </w:r>
      <w:r w:rsidR="001B2C9D">
        <w:t xml:space="preserve"> </w:t>
      </w:r>
      <w:r w:rsidRPr="00580EE1">
        <w:t xml:space="preserve">Where an </w:t>
      </w:r>
      <w:r>
        <w:t>e</w:t>
      </w:r>
      <w:r w:rsidRPr="00580EE1">
        <w:t xml:space="preserve">xplanatory </w:t>
      </w:r>
      <w:r>
        <w:t>s</w:t>
      </w:r>
      <w:r w:rsidRPr="00580EE1">
        <w:t xml:space="preserve">tatement is not provided, </w:t>
      </w:r>
      <w:r>
        <w:t>the ACMA</w:t>
      </w:r>
      <w:r w:rsidRPr="00580EE1">
        <w:t xml:space="preserve"> may be obliged to contact the industry body for further information on the anticipated benefits and costs of the code</w:t>
      </w:r>
      <w:r w:rsidR="00502737">
        <w:t>,</w:t>
      </w:r>
      <w:r w:rsidRPr="00580EE1">
        <w:t xml:space="preserve"> which may delay the process of registration.</w:t>
      </w:r>
      <w:r w:rsidR="001B2C9D">
        <w:t xml:space="preserve"> </w:t>
      </w:r>
      <w:r w:rsidRPr="00580EE1">
        <w:t xml:space="preserve">By providing </w:t>
      </w:r>
      <w:r>
        <w:t>e</w:t>
      </w:r>
      <w:r w:rsidRPr="00580EE1">
        <w:t xml:space="preserve">xplanatory </w:t>
      </w:r>
      <w:r>
        <w:t>s</w:t>
      </w:r>
      <w:r w:rsidRPr="00580EE1">
        <w:t xml:space="preserve">tatements </w:t>
      </w:r>
      <w:r w:rsidR="00502737">
        <w:t>that</w:t>
      </w:r>
      <w:r w:rsidR="00502737" w:rsidRPr="00580EE1">
        <w:t xml:space="preserve"> </w:t>
      </w:r>
      <w:r w:rsidRPr="00580EE1">
        <w:t>address all relevant matters requested in this guide</w:t>
      </w:r>
      <w:r w:rsidR="00502737">
        <w:t>,</w:t>
      </w:r>
      <w:r w:rsidRPr="00580EE1">
        <w:t xml:space="preserve"> industry bodies may assist </w:t>
      </w:r>
      <w:r>
        <w:t>the ACMA</w:t>
      </w:r>
      <w:r w:rsidRPr="00580EE1">
        <w:t xml:space="preserve"> in delivering timely decisions on code registration applications.</w:t>
      </w:r>
    </w:p>
    <w:p w14:paraId="1A0004F4" w14:textId="77777777" w:rsidR="009C26A8" w:rsidRPr="00580EE1" w:rsidRDefault="009C26A8" w:rsidP="00AC46B0">
      <w:r>
        <w:lastRenderedPageBreak/>
        <w:t>If a variation to a code is approved, it may also be necessary to revise the corresponding explanatory statement to match the changes made.</w:t>
      </w:r>
    </w:p>
    <w:p w14:paraId="0DCABE90" w14:textId="77777777" w:rsidR="009C26A8" w:rsidRPr="0084721F" w:rsidRDefault="009C26A8" w:rsidP="009C26A8">
      <w:pPr>
        <w:pStyle w:val="Heading3"/>
      </w:pPr>
      <w:bookmarkStart w:id="217" w:name="_Toc456165444"/>
      <w:bookmarkStart w:id="218" w:name="_Toc456165774"/>
      <w:bookmarkStart w:id="219" w:name="_Toc457357915"/>
      <w:bookmarkStart w:id="220" w:name="_Toc457384352"/>
      <w:bookmarkStart w:id="221" w:name="_Toc457712969"/>
      <w:bookmarkStart w:id="222" w:name="_Toc395876628"/>
      <w:bookmarkStart w:id="223" w:name="_Toc428450656"/>
      <w:r w:rsidRPr="0084721F">
        <w:t xml:space="preserve">The </w:t>
      </w:r>
      <w:r w:rsidRPr="009C26A8">
        <w:t>Office</w:t>
      </w:r>
      <w:r w:rsidRPr="0084721F">
        <w:t xml:space="preserve"> of</w:t>
      </w:r>
      <w:bookmarkEnd w:id="217"/>
      <w:bookmarkEnd w:id="218"/>
      <w:bookmarkEnd w:id="219"/>
      <w:bookmarkEnd w:id="220"/>
      <w:bookmarkEnd w:id="221"/>
      <w:r w:rsidRPr="0084721F">
        <w:t xml:space="preserve"> Best Practice Regulation</w:t>
      </w:r>
      <w:bookmarkEnd w:id="222"/>
      <w:bookmarkEnd w:id="223"/>
    </w:p>
    <w:p w14:paraId="35FD5D73" w14:textId="77673B1A" w:rsidR="009C26A8" w:rsidRPr="00580EE1" w:rsidRDefault="009C26A8" w:rsidP="009C26A8">
      <w:r w:rsidRPr="00580EE1">
        <w:t xml:space="preserve">As well as applying the criteria in </w:t>
      </w:r>
      <w:r w:rsidR="00A86C91">
        <w:t>section</w:t>
      </w:r>
      <w:r w:rsidRPr="00580EE1">
        <w:t xml:space="preserve">s 112 and 117 of the Telecommunications Act, </w:t>
      </w:r>
      <w:r>
        <w:t>the ACMA</w:t>
      </w:r>
      <w:r w:rsidRPr="00580EE1">
        <w:t xml:space="preserve"> must also consult with the </w:t>
      </w:r>
      <w:r w:rsidR="0044486C">
        <w:t>OBPR</w:t>
      </w:r>
      <w:r w:rsidRPr="00580EE1">
        <w:t xml:space="preserve"> as part of the code registration process.</w:t>
      </w:r>
      <w:r w:rsidR="001B2C9D">
        <w:t xml:space="preserve"> </w:t>
      </w:r>
      <w:r w:rsidRPr="00580EE1">
        <w:t>Part of this consultation may include the preparation of a Business Cost Calculator and/or a Regulation Impact Statement (RIS)</w:t>
      </w:r>
      <w:r w:rsidR="00502737">
        <w:t>,</w:t>
      </w:r>
      <w:r w:rsidRPr="00580EE1">
        <w:t xml:space="preserve"> which sets out the financial impact of the proposed code on industry and consumers.</w:t>
      </w:r>
      <w:r w:rsidR="001B2C9D">
        <w:t xml:space="preserve"> </w:t>
      </w:r>
      <w:r w:rsidRPr="00580EE1">
        <w:t xml:space="preserve">Some of the information required by </w:t>
      </w:r>
      <w:r>
        <w:t>the ACMA</w:t>
      </w:r>
      <w:r w:rsidRPr="00580EE1">
        <w:t xml:space="preserve"> to satisfy the </w:t>
      </w:r>
      <w:bookmarkStart w:id="224" w:name="OLE_LINK17"/>
      <w:bookmarkStart w:id="225" w:name="OLE_LINK18"/>
      <w:r w:rsidRPr="00580EE1">
        <w:t>OBPR's</w:t>
      </w:r>
      <w:bookmarkEnd w:id="224"/>
      <w:bookmarkEnd w:id="225"/>
      <w:r w:rsidRPr="00580EE1">
        <w:t xml:space="preserve"> criteria can be provided by industry bodies in code Explanatory Statements.</w:t>
      </w:r>
      <w:r w:rsidR="001B2C9D">
        <w:t xml:space="preserve"> </w:t>
      </w:r>
      <w:r w:rsidRPr="00580EE1">
        <w:t>For further information on the role of the OBPR and its requirements</w:t>
      </w:r>
      <w:r w:rsidR="00502737">
        <w:t>,</w:t>
      </w:r>
      <w:r w:rsidRPr="00580EE1">
        <w:t xml:space="preserve"> please see the O</w:t>
      </w:r>
      <w:r w:rsidRPr="0044486C">
        <w:t>BP</w:t>
      </w:r>
      <w:r w:rsidRPr="00580EE1">
        <w:t xml:space="preserve">R's guide </w:t>
      </w:r>
      <w:r w:rsidR="00715A8F">
        <w:rPr>
          <w:i/>
        </w:rPr>
        <w:t>The Australian Government Guide to Regulation (2014)</w:t>
      </w:r>
      <w:r w:rsidR="00FE60A0">
        <w:rPr>
          <w:rStyle w:val="FootnoteReference"/>
          <w:i/>
        </w:rPr>
        <w:footnoteReference w:id="2"/>
      </w:r>
      <w:r w:rsidRPr="00580EE1">
        <w:rPr>
          <w:i/>
        </w:rPr>
        <w:t xml:space="preserve"> </w:t>
      </w:r>
      <w:r w:rsidRPr="00580EE1">
        <w:t>and associated supporting documents.</w:t>
      </w:r>
    </w:p>
    <w:p w14:paraId="53F6D506" w14:textId="77777777" w:rsidR="009C26A8" w:rsidRPr="00580EE1" w:rsidRDefault="009C26A8" w:rsidP="009C26A8">
      <w:pPr>
        <w:pStyle w:val="Heading3"/>
      </w:pPr>
      <w:bookmarkStart w:id="226" w:name="_Toc457712972"/>
      <w:bookmarkStart w:id="227" w:name="_Toc395876629"/>
      <w:bookmarkStart w:id="228" w:name="_Toc428450657"/>
      <w:r w:rsidRPr="00580EE1">
        <w:t xml:space="preserve">The content of the </w:t>
      </w:r>
      <w:r>
        <w:t>e</w:t>
      </w:r>
      <w:r w:rsidRPr="00580EE1">
        <w:t xml:space="preserve">xplanatory </w:t>
      </w:r>
      <w:r>
        <w:t>s</w:t>
      </w:r>
      <w:r w:rsidRPr="00580EE1">
        <w:t>tatement</w:t>
      </w:r>
      <w:bookmarkEnd w:id="226"/>
      <w:bookmarkEnd w:id="227"/>
      <w:bookmarkEnd w:id="228"/>
    </w:p>
    <w:p w14:paraId="3F5735A0" w14:textId="4E534DAE" w:rsidR="009C26A8" w:rsidRPr="00580EE1" w:rsidRDefault="009C26A8" w:rsidP="00AC46B0">
      <w:pPr>
        <w:spacing w:after="80"/>
      </w:pPr>
      <w:r w:rsidRPr="00580EE1">
        <w:t xml:space="preserve">Following planning for code drafting, industry bodies should be well prepared for commencing drafting of an </w:t>
      </w:r>
      <w:r>
        <w:t>e</w:t>
      </w:r>
      <w:r w:rsidRPr="00580EE1">
        <w:t xml:space="preserve">xplanatory </w:t>
      </w:r>
      <w:r>
        <w:t>s</w:t>
      </w:r>
      <w:r w:rsidRPr="00580EE1">
        <w:t>tatement to the code.</w:t>
      </w:r>
      <w:r w:rsidR="001B2C9D">
        <w:t xml:space="preserve"> </w:t>
      </w:r>
      <w:r w:rsidRPr="00580EE1">
        <w:t xml:space="preserve">For an </w:t>
      </w:r>
      <w:r>
        <w:t>e</w:t>
      </w:r>
      <w:r w:rsidRPr="00580EE1">
        <w:t xml:space="preserve">xplanatory </w:t>
      </w:r>
      <w:r>
        <w:t>s</w:t>
      </w:r>
      <w:r w:rsidRPr="00580EE1">
        <w:t>tatement to assist the registration process, it should:</w:t>
      </w:r>
    </w:p>
    <w:p w14:paraId="0FB10AED" w14:textId="5DFC863D" w:rsidR="009C26A8" w:rsidRPr="00580EE1" w:rsidRDefault="009C26A8" w:rsidP="009C26A8">
      <w:pPr>
        <w:pStyle w:val="ListBullet"/>
      </w:pPr>
      <w:r w:rsidRPr="00580EE1">
        <w:t>serve to provide a greater level of background information to the code than is provided by the code objectives</w:t>
      </w:r>
    </w:p>
    <w:p w14:paraId="15FCEABC" w14:textId="1763A549" w:rsidR="009C26A8" w:rsidRPr="00580EE1" w:rsidRDefault="009C26A8" w:rsidP="009C26A8">
      <w:pPr>
        <w:pStyle w:val="ListBullet"/>
      </w:pPr>
      <w:r w:rsidRPr="00580EE1">
        <w:t>outline the problem or issue at hand</w:t>
      </w:r>
      <w:r w:rsidR="00481B69">
        <w:t>,</w:t>
      </w:r>
      <w:r w:rsidRPr="00580EE1">
        <w:t xml:space="preserve"> and the industry and consumer matters the code is designed to address</w:t>
      </w:r>
    </w:p>
    <w:p w14:paraId="1EA6A142" w14:textId="69AF30A5" w:rsidR="009C26A8" w:rsidRPr="00580EE1" w:rsidRDefault="009C26A8" w:rsidP="00607280">
      <w:pPr>
        <w:pStyle w:val="ListBullet"/>
      </w:pPr>
      <w:r w:rsidRPr="00580EE1">
        <w:t>state why the code is required, and the policy outcomes it is expected to achieve</w:t>
      </w:r>
    </w:p>
    <w:p w14:paraId="798511E7" w14:textId="43A9E579" w:rsidR="009C26A8" w:rsidRPr="00580EE1" w:rsidRDefault="009C26A8" w:rsidP="009C26A8">
      <w:pPr>
        <w:pStyle w:val="ListBullet"/>
      </w:pPr>
      <w:r w:rsidRPr="00580EE1">
        <w:t>explain how the code will achieve the policy objectives, for example</w:t>
      </w:r>
      <w:r w:rsidR="00481B69">
        <w:t>,</w:t>
      </w:r>
      <w:r w:rsidRPr="00580EE1">
        <w:t xml:space="preserve"> by requiring particular standards to be met </w:t>
      </w:r>
    </w:p>
    <w:p w14:paraId="010CBC37" w14:textId="2F4362F0" w:rsidR="009C26A8" w:rsidRPr="00580EE1" w:rsidRDefault="009C26A8" w:rsidP="009C26A8">
      <w:pPr>
        <w:pStyle w:val="ListBullet"/>
      </w:pPr>
      <w:r w:rsidRPr="00580EE1">
        <w:t>clearly elaborate the anticipated benefits to consumers, including the numbers of consumers likely to benefit and whether they are small business or residential consumers</w:t>
      </w:r>
    </w:p>
    <w:p w14:paraId="609D2FAB" w14:textId="310BD91F" w:rsidR="009C26A8" w:rsidRPr="00580EE1" w:rsidRDefault="009C26A8" w:rsidP="009C26A8">
      <w:pPr>
        <w:pStyle w:val="ListBullet"/>
      </w:pPr>
      <w:r w:rsidRPr="00580EE1">
        <w:t xml:space="preserve">outline the benefits and costs to industry </w:t>
      </w:r>
      <w:r w:rsidR="00481B69">
        <w:t>that</w:t>
      </w:r>
      <w:r w:rsidR="00481B69" w:rsidRPr="00580EE1">
        <w:t xml:space="preserve"> </w:t>
      </w:r>
      <w:r w:rsidRPr="00580EE1">
        <w:t>are anticipated from the implementation of the code.</w:t>
      </w:r>
      <w:r w:rsidR="001B2C9D">
        <w:t xml:space="preserve"> </w:t>
      </w:r>
      <w:r w:rsidRPr="00580EE1">
        <w:t>It should also provide estimates of the costs to industry participants of complying with the code provisions</w:t>
      </w:r>
    </w:p>
    <w:p w14:paraId="093A9AFA" w14:textId="2E9543EB" w:rsidR="009C26A8" w:rsidRPr="00580EE1" w:rsidRDefault="009C26A8" w:rsidP="009C26A8">
      <w:pPr>
        <w:pStyle w:val="ListBullet"/>
      </w:pPr>
      <w:r w:rsidRPr="00580EE1">
        <w:t>where a code contains delayed implementation clauses, carefully explain the need for the delay and the implications of immediate commencement</w:t>
      </w:r>
    </w:p>
    <w:p w14:paraId="6CDE3630" w14:textId="2F5B570E" w:rsidR="001133A9" w:rsidRPr="00580EE1" w:rsidRDefault="009C26A8" w:rsidP="00AC46B0">
      <w:pPr>
        <w:pStyle w:val="ListBulletLast"/>
      </w:pPr>
      <w:r w:rsidRPr="00580EE1">
        <w:t>address whether there are any other public interest issues raised or addressed by the code.</w:t>
      </w:r>
    </w:p>
    <w:p w14:paraId="578FFDCA" w14:textId="39600DFC" w:rsidR="00B57A82" w:rsidRPr="00580EE1" w:rsidRDefault="0076617A" w:rsidP="00B57A82">
      <w:pPr>
        <w:pStyle w:val="Heading1"/>
      </w:pPr>
      <w:bookmarkStart w:id="229" w:name="_Toc456165453"/>
      <w:bookmarkStart w:id="230" w:name="_Toc456165783"/>
      <w:bookmarkStart w:id="231" w:name="_Toc457357922"/>
      <w:bookmarkStart w:id="232" w:name="_Toc457384359"/>
      <w:bookmarkStart w:id="233" w:name="_Toc457712973"/>
      <w:bookmarkStart w:id="234" w:name="_Toc395876630"/>
      <w:bookmarkStart w:id="235" w:name="_Toc428450658"/>
      <w:r>
        <w:lastRenderedPageBreak/>
        <w:t>E</w:t>
      </w:r>
      <w:r w:rsidRPr="00580EE1">
        <w:t>stablishing the need for a code</w:t>
      </w:r>
      <w:bookmarkEnd w:id="229"/>
      <w:bookmarkEnd w:id="230"/>
      <w:bookmarkEnd w:id="231"/>
      <w:bookmarkEnd w:id="232"/>
      <w:bookmarkEnd w:id="233"/>
      <w:bookmarkEnd w:id="234"/>
      <w:bookmarkEnd w:id="235"/>
    </w:p>
    <w:p w14:paraId="0BDEE23F" w14:textId="0D92B473" w:rsidR="00481B69" w:rsidRDefault="00B57A82" w:rsidP="00B57A82">
      <w:r w:rsidRPr="00580EE1">
        <w:t xml:space="preserve">When a code is presented to </w:t>
      </w:r>
      <w:r>
        <w:t>the ACMA</w:t>
      </w:r>
      <w:r w:rsidRPr="00580EE1">
        <w:t xml:space="preserve"> for registration, either voluntarily by an industry body or in response to a request by </w:t>
      </w:r>
      <w:r>
        <w:t>the ACMA</w:t>
      </w:r>
      <w:r w:rsidRPr="00580EE1">
        <w:t xml:space="preserve"> under </w:t>
      </w:r>
      <w:r w:rsidR="00A86C91">
        <w:t>section</w:t>
      </w:r>
      <w:r w:rsidRPr="00580EE1">
        <w:t xml:space="preserve"> 118 of the Telecommunications Act, </w:t>
      </w:r>
      <w:r>
        <w:t>the ACMA</w:t>
      </w:r>
      <w:r w:rsidRPr="00580EE1">
        <w:t xml:space="preserve"> is required to evaluate whether it is satisfied that the code can be registered on the </w:t>
      </w:r>
      <w:r w:rsidR="00A86C91">
        <w:t>section</w:t>
      </w:r>
      <w:r w:rsidRPr="00580EE1">
        <w:t xml:space="preserve"> 136 Register. </w:t>
      </w:r>
    </w:p>
    <w:p w14:paraId="31B19E8F" w14:textId="51428780" w:rsidR="00B57A82" w:rsidRPr="00580EE1" w:rsidRDefault="00B57A82" w:rsidP="00B57A82">
      <w:r w:rsidRPr="00580EE1">
        <w:t xml:space="preserve">Each code presented to </w:t>
      </w:r>
      <w:r>
        <w:t>the ACMA</w:t>
      </w:r>
      <w:r w:rsidRPr="00580EE1">
        <w:t xml:space="preserve"> must</w:t>
      </w:r>
      <w:r>
        <w:t xml:space="preserve"> </w:t>
      </w:r>
      <w:r w:rsidRPr="00580EE1">
        <w:t xml:space="preserve">be assessed on its merits against the public interest balance test at </w:t>
      </w:r>
      <w:r w:rsidR="00A86C91">
        <w:t>section</w:t>
      </w:r>
      <w:r w:rsidRPr="00580EE1">
        <w:t xml:space="preserve"> 112. </w:t>
      </w:r>
      <w:r>
        <w:t>The ACMA must also be satisfied that all applicable criteria u</w:t>
      </w:r>
      <w:r w:rsidRPr="00580EE1">
        <w:t xml:space="preserve">nder </w:t>
      </w:r>
      <w:r w:rsidR="00A86C91">
        <w:t>section</w:t>
      </w:r>
      <w:r w:rsidRPr="00580EE1">
        <w:t xml:space="preserve"> 117</w:t>
      </w:r>
      <w:r>
        <w:t xml:space="preserve"> </w:t>
      </w:r>
      <w:r w:rsidRPr="00580EE1">
        <w:t>have been met</w:t>
      </w:r>
      <w:r>
        <w:t>,</w:t>
      </w:r>
      <w:r w:rsidRPr="00580EE1">
        <w:t xml:space="preserve"> </w:t>
      </w:r>
      <w:r>
        <w:t>including</w:t>
      </w:r>
      <w:r w:rsidRPr="00580EE1">
        <w:t xml:space="preserve"> </w:t>
      </w:r>
      <w:r>
        <w:t xml:space="preserve">mandatory consultation requirements. In </w:t>
      </w:r>
      <w:r w:rsidRPr="00580EE1">
        <w:t xml:space="preserve">the case of Telecommunications Act </w:t>
      </w:r>
      <w:r>
        <w:t xml:space="preserve">privacy codes, the ACMA must be satisfied that additional criteria in </w:t>
      </w:r>
      <w:r w:rsidR="00A86C91">
        <w:t>section</w:t>
      </w:r>
      <w:r>
        <w:t xml:space="preserve"> 117 requiring consultation with the Information Commissioner have also been met. The </w:t>
      </w:r>
      <w:r w:rsidRPr="00580EE1">
        <w:t xml:space="preserve">ACMA has no discretion to exempt a code registration application from any of the requirements of </w:t>
      </w:r>
      <w:r w:rsidR="00A86C91">
        <w:t>section</w:t>
      </w:r>
      <w:r w:rsidRPr="00580EE1">
        <w:t xml:space="preserve"> 117. </w:t>
      </w:r>
      <w:r w:rsidR="000B2129">
        <w:t>However, when applying to vary a registered code to incorporate a change of a minor nature, the criteria in</w:t>
      </w:r>
      <w:r w:rsidR="006B0A7D">
        <w:t xml:space="preserve"> paragraphs</w:t>
      </w:r>
      <w:r w:rsidR="000B2129">
        <w:t xml:space="preserve"> 119A</w:t>
      </w:r>
      <w:r w:rsidR="006B0A7D">
        <w:t>(1)</w:t>
      </w:r>
      <w:r w:rsidR="000B2129">
        <w:t xml:space="preserve"> (e) and (f) to consult with industry and the public do not apply.</w:t>
      </w:r>
    </w:p>
    <w:p w14:paraId="061CB3B6" w14:textId="77777777" w:rsidR="00B57A82" w:rsidRPr="00580EE1" w:rsidRDefault="00B57A82" w:rsidP="00B57A82">
      <w:pPr>
        <w:pStyle w:val="Heading2"/>
      </w:pPr>
      <w:bookmarkStart w:id="236" w:name="_Toc407079466"/>
      <w:bookmarkStart w:id="237" w:name="_Toc424128402"/>
      <w:bookmarkStart w:id="238" w:name="_Toc456165454"/>
      <w:bookmarkStart w:id="239" w:name="_Toc456165784"/>
      <w:bookmarkStart w:id="240" w:name="_Toc457357923"/>
      <w:bookmarkStart w:id="241" w:name="_Toc457384360"/>
      <w:bookmarkStart w:id="242" w:name="_Toc457712974"/>
      <w:bookmarkStart w:id="243" w:name="_Toc395876631"/>
      <w:bookmarkStart w:id="244" w:name="_Toc428450659"/>
      <w:r w:rsidRPr="00580EE1">
        <w:t>The role of industry bodies</w:t>
      </w:r>
      <w:bookmarkEnd w:id="236"/>
      <w:bookmarkEnd w:id="237"/>
      <w:bookmarkEnd w:id="238"/>
      <w:bookmarkEnd w:id="239"/>
      <w:bookmarkEnd w:id="240"/>
      <w:bookmarkEnd w:id="241"/>
      <w:bookmarkEnd w:id="242"/>
      <w:bookmarkEnd w:id="243"/>
      <w:bookmarkEnd w:id="244"/>
    </w:p>
    <w:p w14:paraId="162705D7" w14:textId="00551C56" w:rsidR="00B57A82" w:rsidRPr="00580EE1" w:rsidRDefault="00B57A82" w:rsidP="00B57A82">
      <w:r w:rsidRPr="00580EE1">
        <w:t>Part 6 of the Telecommunications Act places considerable emphasis on the achievement of industry self-regulatory activities through industry bodies.</w:t>
      </w:r>
      <w:r w:rsidR="001B2C9D">
        <w:t xml:space="preserve"> </w:t>
      </w:r>
      <w:r w:rsidRPr="00580EE1">
        <w:t>Industry bodies will initiate and develop codes in consultation with industry, consumers and government and administer the provisions of registered codes.</w:t>
      </w:r>
    </w:p>
    <w:p w14:paraId="7217CFD6" w14:textId="5F6D3B04" w:rsidR="00B57A82" w:rsidRPr="00580EE1" w:rsidRDefault="00B57A82" w:rsidP="00C01CBD">
      <w:pPr>
        <w:spacing w:after="80"/>
      </w:pPr>
      <w:r w:rsidRPr="00580EE1">
        <w:t xml:space="preserve">The Telecommunications Act requires that industry bodies represent the sections of the </w:t>
      </w:r>
      <w:r w:rsidR="00481B69" w:rsidRPr="00580EE1">
        <w:t>industry, which</w:t>
      </w:r>
      <w:r w:rsidRPr="00580EE1">
        <w:t xml:space="preserve"> will be covered by the code they have developed.</w:t>
      </w:r>
      <w:r w:rsidR="001B2C9D">
        <w:t xml:space="preserve"> </w:t>
      </w:r>
      <w:r w:rsidR="00A86C91">
        <w:t>section</w:t>
      </w:r>
      <w:r w:rsidRPr="00580EE1">
        <w:t>s of the telecommunications industry are defined under subsection 110(2) as:</w:t>
      </w:r>
    </w:p>
    <w:p w14:paraId="168D3091" w14:textId="77777777" w:rsidR="00B57A82" w:rsidRPr="00580EE1" w:rsidRDefault="00B57A82" w:rsidP="00B57A82">
      <w:pPr>
        <w:spacing w:after="120"/>
        <w:ind w:left="1134" w:hanging="414"/>
        <w:rPr>
          <w:i/>
        </w:rPr>
      </w:pPr>
      <w:r w:rsidRPr="00580EE1">
        <w:rPr>
          <w:i/>
        </w:rPr>
        <w:t>(a)</w:t>
      </w:r>
      <w:r w:rsidRPr="00580EE1">
        <w:rPr>
          <w:i/>
        </w:rPr>
        <w:tab/>
        <w:t xml:space="preserve">carriers; </w:t>
      </w:r>
    </w:p>
    <w:p w14:paraId="418CECD6" w14:textId="77777777" w:rsidR="00B57A82" w:rsidRPr="00580EE1" w:rsidRDefault="00B57A82" w:rsidP="00B57A82">
      <w:pPr>
        <w:spacing w:after="120"/>
        <w:ind w:left="1134" w:hanging="414"/>
        <w:rPr>
          <w:i/>
        </w:rPr>
      </w:pPr>
      <w:r w:rsidRPr="00580EE1">
        <w:rPr>
          <w:i/>
        </w:rPr>
        <w:t>(b)</w:t>
      </w:r>
      <w:r w:rsidRPr="00580EE1">
        <w:rPr>
          <w:i/>
        </w:rPr>
        <w:tab/>
        <w:t xml:space="preserve">service providers; </w:t>
      </w:r>
    </w:p>
    <w:p w14:paraId="5666B67E" w14:textId="77777777" w:rsidR="00B57A82" w:rsidRPr="00580EE1" w:rsidRDefault="00B57A82" w:rsidP="00B57A82">
      <w:pPr>
        <w:spacing w:after="120"/>
        <w:ind w:left="1134" w:hanging="414"/>
        <w:rPr>
          <w:i/>
        </w:rPr>
      </w:pPr>
      <w:r w:rsidRPr="00580EE1">
        <w:rPr>
          <w:i/>
        </w:rPr>
        <w:t>(c)</w:t>
      </w:r>
      <w:r w:rsidRPr="00580EE1">
        <w:rPr>
          <w:i/>
        </w:rPr>
        <w:tab/>
        <w:t xml:space="preserve">carriage service providers; </w:t>
      </w:r>
    </w:p>
    <w:p w14:paraId="3D73D711" w14:textId="77777777" w:rsidR="00B57A82" w:rsidRPr="00580EE1" w:rsidRDefault="00B57A82" w:rsidP="00B57A82">
      <w:pPr>
        <w:spacing w:after="120"/>
        <w:ind w:left="1134" w:hanging="414"/>
        <w:rPr>
          <w:i/>
        </w:rPr>
      </w:pPr>
      <w:r w:rsidRPr="00580EE1">
        <w:rPr>
          <w:i/>
        </w:rPr>
        <w:t>(d)</w:t>
      </w:r>
      <w:r w:rsidRPr="00580EE1">
        <w:rPr>
          <w:i/>
        </w:rPr>
        <w:tab/>
        <w:t xml:space="preserve">carriage service providers who supply standard telephone services; </w:t>
      </w:r>
    </w:p>
    <w:p w14:paraId="200E721B" w14:textId="77777777" w:rsidR="00B57A82" w:rsidRPr="00580EE1" w:rsidRDefault="00B57A82" w:rsidP="00B57A82">
      <w:pPr>
        <w:spacing w:after="120"/>
        <w:ind w:left="1134" w:hanging="414"/>
        <w:rPr>
          <w:i/>
        </w:rPr>
      </w:pPr>
      <w:r w:rsidRPr="00580EE1">
        <w:rPr>
          <w:i/>
        </w:rPr>
        <w:t>(e)</w:t>
      </w:r>
      <w:r w:rsidRPr="00580EE1">
        <w:rPr>
          <w:i/>
        </w:rPr>
        <w:tab/>
        <w:t xml:space="preserve">carriage service providers who supply public mobile telecommunications services; </w:t>
      </w:r>
    </w:p>
    <w:p w14:paraId="653C41DC" w14:textId="77777777" w:rsidR="00B57A82" w:rsidRPr="00580EE1" w:rsidRDefault="00B57A82" w:rsidP="00B57A82">
      <w:pPr>
        <w:spacing w:after="120"/>
        <w:ind w:left="1134" w:hanging="414"/>
        <w:rPr>
          <w:i/>
        </w:rPr>
      </w:pPr>
      <w:r w:rsidRPr="00580EE1">
        <w:rPr>
          <w:i/>
        </w:rPr>
        <w:t>(f)</w:t>
      </w:r>
      <w:r w:rsidRPr="00580EE1">
        <w:rPr>
          <w:i/>
        </w:rPr>
        <w:tab/>
        <w:t xml:space="preserve">content service providers; </w:t>
      </w:r>
    </w:p>
    <w:p w14:paraId="53B77CC6" w14:textId="77777777" w:rsidR="00B57A82" w:rsidRPr="00580EE1" w:rsidRDefault="00B57A82" w:rsidP="00B57A82">
      <w:pPr>
        <w:spacing w:after="120"/>
        <w:ind w:left="1134" w:hanging="414"/>
        <w:rPr>
          <w:i/>
        </w:rPr>
      </w:pPr>
      <w:r w:rsidRPr="00580EE1">
        <w:rPr>
          <w:i/>
        </w:rPr>
        <w:t>(g)</w:t>
      </w:r>
      <w:r w:rsidRPr="00580EE1">
        <w:rPr>
          <w:i/>
        </w:rPr>
        <w:tab/>
        <w:t xml:space="preserve">persons who perform cabling work (within the meaning of Division 9 of Part 21); </w:t>
      </w:r>
    </w:p>
    <w:p w14:paraId="413A8854" w14:textId="77777777" w:rsidR="00B57A82" w:rsidRPr="00580EE1" w:rsidRDefault="00B57A82" w:rsidP="00B57A82">
      <w:pPr>
        <w:spacing w:after="120"/>
        <w:ind w:left="1134" w:hanging="414"/>
        <w:rPr>
          <w:i/>
        </w:rPr>
      </w:pPr>
      <w:r w:rsidRPr="00580EE1">
        <w:rPr>
          <w:i/>
        </w:rPr>
        <w:t>(h)</w:t>
      </w:r>
      <w:r w:rsidRPr="00580EE1">
        <w:rPr>
          <w:i/>
        </w:rPr>
        <w:tab/>
        <w:t>persons who manufacture or import customer equipment or customer cabling;</w:t>
      </w:r>
    </w:p>
    <w:p w14:paraId="7D8CD488" w14:textId="77777777" w:rsidR="00B57A82" w:rsidRDefault="00B57A82" w:rsidP="00B57A82">
      <w:pPr>
        <w:spacing w:after="120"/>
        <w:ind w:left="1134" w:hanging="414"/>
        <w:rPr>
          <w:i/>
        </w:rPr>
      </w:pPr>
      <w:r w:rsidRPr="00580EE1">
        <w:rPr>
          <w:i/>
        </w:rPr>
        <w:t>(i)</w:t>
      </w:r>
      <w:r w:rsidRPr="00580EE1">
        <w:rPr>
          <w:i/>
        </w:rPr>
        <w:tab/>
        <w:t>electronic messaging service providers</w:t>
      </w:r>
      <w:r w:rsidR="009C240C">
        <w:rPr>
          <w:i/>
        </w:rPr>
        <w:t>;</w:t>
      </w:r>
    </w:p>
    <w:p w14:paraId="1EC25354" w14:textId="77777777" w:rsidR="00B57A82" w:rsidRDefault="00B57A82" w:rsidP="00B57A82">
      <w:pPr>
        <w:spacing w:after="120"/>
        <w:ind w:left="1134" w:hanging="414"/>
        <w:rPr>
          <w:i/>
        </w:rPr>
      </w:pPr>
      <w:r>
        <w:rPr>
          <w:i/>
        </w:rPr>
        <w:t>(j)</w:t>
      </w:r>
      <w:r>
        <w:rPr>
          <w:i/>
        </w:rPr>
        <w:tab/>
        <w:t>persons who install:</w:t>
      </w:r>
    </w:p>
    <w:p w14:paraId="200382FA" w14:textId="7C7DF52C" w:rsidR="00B57A82" w:rsidRDefault="00B57A82" w:rsidP="00B57A82">
      <w:pPr>
        <w:spacing w:after="120"/>
        <w:ind w:left="1134"/>
        <w:rPr>
          <w:i/>
        </w:rPr>
      </w:pPr>
      <w:r>
        <w:rPr>
          <w:i/>
        </w:rPr>
        <w:t>(i)</w:t>
      </w:r>
      <w:r w:rsidR="001B2C9D">
        <w:rPr>
          <w:i/>
        </w:rPr>
        <w:t xml:space="preserve"> </w:t>
      </w:r>
      <w:r>
        <w:rPr>
          <w:i/>
        </w:rPr>
        <w:t>optical fibre lines; or</w:t>
      </w:r>
    </w:p>
    <w:p w14:paraId="41C472E8" w14:textId="77777777" w:rsidR="00B57A82" w:rsidRPr="00580EE1" w:rsidRDefault="00B57A82" w:rsidP="00B57A82">
      <w:pPr>
        <w:ind w:left="1134"/>
        <w:rPr>
          <w:i/>
        </w:rPr>
      </w:pPr>
      <w:r>
        <w:rPr>
          <w:i/>
        </w:rPr>
        <w:t>(ii) facilities used, or for use, in or in connection with optical fibre lines</w:t>
      </w:r>
    </w:p>
    <w:p w14:paraId="28791010" w14:textId="07338855" w:rsidR="004A0F5A" w:rsidRPr="00580EE1" w:rsidRDefault="004A0F5A" w:rsidP="00C01CBD">
      <w:pPr>
        <w:spacing w:after="80"/>
      </w:pPr>
      <w:r w:rsidRPr="00580EE1">
        <w:t xml:space="preserve">In addition to these definitions, subsection 110(3) gives </w:t>
      </w:r>
      <w:r>
        <w:t>the ACMA</w:t>
      </w:r>
      <w:r w:rsidRPr="00580EE1">
        <w:t xml:space="preserve"> the power to determine a section of the telecommunications industry.</w:t>
      </w:r>
      <w:r w:rsidR="001B2C9D">
        <w:t xml:space="preserve"> </w:t>
      </w:r>
      <w:r w:rsidRPr="00580EE1">
        <w:t xml:space="preserve">Using this power, </w:t>
      </w:r>
      <w:r>
        <w:t>the ACMA</w:t>
      </w:r>
      <w:r w:rsidRPr="00580EE1">
        <w:t xml:space="preserve"> has declared the following groups to be sections of the industry:</w:t>
      </w:r>
    </w:p>
    <w:p w14:paraId="476A113A" w14:textId="329939A9" w:rsidR="004A0F5A" w:rsidRPr="00580EE1" w:rsidRDefault="004A0F5A" w:rsidP="004A0F5A">
      <w:pPr>
        <w:pStyle w:val="ListBullet"/>
      </w:pPr>
      <w:r w:rsidRPr="00580EE1">
        <w:t xml:space="preserve">public number directory </w:t>
      </w:r>
      <w:r w:rsidR="00512B5D">
        <w:t>publishers</w:t>
      </w:r>
    </w:p>
    <w:p w14:paraId="4B23A8A0" w14:textId="3B45CCE1" w:rsidR="004A0F5A" w:rsidRPr="00580EE1" w:rsidRDefault="004A0F5A" w:rsidP="004A0F5A">
      <w:pPr>
        <w:pStyle w:val="ListBullet"/>
      </w:pPr>
      <w:r w:rsidRPr="00580EE1">
        <w:t xml:space="preserve">portability service </w:t>
      </w:r>
      <w:r w:rsidR="007F0C6E">
        <w:t>providers</w:t>
      </w:r>
    </w:p>
    <w:p w14:paraId="3208D1B3" w14:textId="6462F1E7" w:rsidR="004A0F5A" w:rsidRPr="00580EE1" w:rsidRDefault="004A0F5A" w:rsidP="004A0F5A">
      <w:pPr>
        <w:pStyle w:val="ListBullet"/>
      </w:pPr>
      <w:r w:rsidRPr="00580EE1">
        <w:lastRenderedPageBreak/>
        <w:t xml:space="preserve">the National Relay Service </w:t>
      </w:r>
      <w:r w:rsidR="00481B69">
        <w:t>p</w:t>
      </w:r>
      <w:r w:rsidRPr="00580EE1">
        <w:t>rovider</w:t>
      </w:r>
    </w:p>
    <w:p w14:paraId="1761961F" w14:textId="77777777" w:rsidR="004A0F5A" w:rsidRPr="00580EE1" w:rsidRDefault="004A0F5A" w:rsidP="00CA5F87">
      <w:pPr>
        <w:pStyle w:val="ListBulletLast"/>
      </w:pPr>
      <w:r w:rsidRPr="00580EE1">
        <w:t>cabling service operators.</w:t>
      </w:r>
    </w:p>
    <w:p w14:paraId="15C8F1CA" w14:textId="352A5C09" w:rsidR="004A0F5A" w:rsidRPr="00580EE1" w:rsidRDefault="005C369E" w:rsidP="004A0F5A">
      <w:r>
        <w:t xml:space="preserve">Sections </w:t>
      </w:r>
      <w:r w:rsidR="004A0F5A">
        <w:t>110B</w:t>
      </w:r>
      <w:r w:rsidR="004A0F5A" w:rsidRPr="00580EE1">
        <w:t xml:space="preserve"> and 110</w:t>
      </w:r>
      <w:r w:rsidR="004A0F5A">
        <w:t>C</w:t>
      </w:r>
      <w:r w:rsidR="004A0F5A" w:rsidRPr="00580EE1">
        <w:t xml:space="preserve"> of the Telecommunications Act</w:t>
      </w:r>
      <w:r>
        <w:t xml:space="preserve"> also</w:t>
      </w:r>
      <w:r w:rsidR="004A0F5A" w:rsidRPr="00580EE1">
        <w:t xml:space="preserve"> allow </w:t>
      </w:r>
      <w:r w:rsidR="004A0F5A">
        <w:t>the ACMA</w:t>
      </w:r>
      <w:r w:rsidR="004A0F5A" w:rsidRPr="00580EE1">
        <w:t xml:space="preserve"> to determine sections of the telemarketing</w:t>
      </w:r>
      <w:r w:rsidR="004A0F5A">
        <w:t xml:space="preserve"> and fax marketing</w:t>
      </w:r>
      <w:r w:rsidR="004A0F5A" w:rsidRPr="00580EE1">
        <w:t xml:space="preserve"> industries</w:t>
      </w:r>
      <w:r>
        <w:t>,</w:t>
      </w:r>
      <w:r w:rsidR="004A0F5A" w:rsidRPr="00580EE1">
        <w:t xml:space="preserve"> with the default that all persons carrying on, or proposing to carry on the activity</w:t>
      </w:r>
      <w:r w:rsidR="00481B69">
        <w:t>,</w:t>
      </w:r>
      <w:r w:rsidR="004A0F5A" w:rsidRPr="00580EE1">
        <w:t xml:space="preserve"> constitute a single section of each industry operates in the absence of any such determination. </w:t>
      </w:r>
    </w:p>
    <w:p w14:paraId="58F093A5" w14:textId="35520545" w:rsidR="004A0F5A" w:rsidRPr="00580EE1" w:rsidRDefault="004A0F5A" w:rsidP="004A0F5A">
      <w:r w:rsidRPr="00580EE1">
        <w:t xml:space="preserve">Industry bodies do not have to be incorporated associations, but should endeavour to ensure that, in their membership composition, they are as representative as possible of the sections of the </w:t>
      </w:r>
      <w:r w:rsidR="00481B69" w:rsidRPr="00580EE1">
        <w:t>industry, which</w:t>
      </w:r>
      <w:r w:rsidRPr="00580EE1">
        <w:t xml:space="preserve"> are covered by their codes.</w:t>
      </w:r>
      <w:r w:rsidR="001B2C9D">
        <w:t xml:space="preserve"> </w:t>
      </w:r>
      <w:r w:rsidRPr="00580EE1">
        <w:t xml:space="preserve">This will have the dual benefit of fostering the widest possible voluntary industry subscription to their codes, as well as supporting applications for code registration with </w:t>
      </w:r>
      <w:r>
        <w:t>the ACMA</w:t>
      </w:r>
      <w:r w:rsidRPr="00580EE1">
        <w:t>.</w:t>
      </w:r>
    </w:p>
    <w:p w14:paraId="205D02CD" w14:textId="77777777" w:rsidR="00E65359" w:rsidRPr="00580EE1" w:rsidRDefault="00E65359" w:rsidP="00E65359">
      <w:pPr>
        <w:pStyle w:val="Heading2"/>
      </w:pPr>
      <w:bookmarkStart w:id="245" w:name="_Toc407079469"/>
      <w:bookmarkStart w:id="246" w:name="_Toc424128408"/>
      <w:bookmarkStart w:id="247" w:name="_Toc456165456"/>
      <w:bookmarkStart w:id="248" w:name="_Toc456165786"/>
      <w:bookmarkStart w:id="249" w:name="_Toc457357925"/>
      <w:bookmarkStart w:id="250" w:name="_Toc457384362"/>
      <w:bookmarkStart w:id="251" w:name="_Toc457712976"/>
      <w:bookmarkStart w:id="252" w:name="_Toc395876632"/>
      <w:bookmarkStart w:id="253" w:name="_Toc428450660"/>
      <w:r w:rsidRPr="00580EE1">
        <w:t>Code content</w:t>
      </w:r>
      <w:bookmarkEnd w:id="245"/>
      <w:bookmarkEnd w:id="246"/>
      <w:bookmarkEnd w:id="247"/>
      <w:bookmarkEnd w:id="248"/>
      <w:bookmarkEnd w:id="249"/>
      <w:bookmarkEnd w:id="250"/>
      <w:bookmarkEnd w:id="251"/>
      <w:bookmarkEnd w:id="252"/>
      <w:bookmarkEnd w:id="253"/>
      <w:r w:rsidRPr="00580EE1">
        <w:t xml:space="preserve"> </w:t>
      </w:r>
    </w:p>
    <w:p w14:paraId="2B412E7E" w14:textId="26A0E73C" w:rsidR="00E65359" w:rsidRPr="00580EE1" w:rsidRDefault="00E65359" w:rsidP="00E65359">
      <w:r w:rsidRPr="00580EE1">
        <w:t>Industry bodies are encouraged to be proactive in identifying industry issues requiring self-regulation by codes and developing codes to address them.</w:t>
      </w:r>
    </w:p>
    <w:p w14:paraId="7EA15E34" w14:textId="05D3A0FF" w:rsidR="00E65359" w:rsidRPr="00580EE1" w:rsidRDefault="00E65359" w:rsidP="00C01CBD">
      <w:pPr>
        <w:spacing w:after="80"/>
      </w:pPr>
      <w:r w:rsidRPr="00580EE1">
        <w:t>The code must deal with one or more matters rela</w:t>
      </w:r>
      <w:r w:rsidR="00E37505">
        <w:t>ting to the telecommunications,</w:t>
      </w:r>
      <w:r w:rsidR="00D613A5">
        <w:t xml:space="preserve"> </w:t>
      </w:r>
      <w:r w:rsidRPr="00580EE1">
        <w:t xml:space="preserve">telemarketing </w:t>
      </w:r>
      <w:r>
        <w:t xml:space="preserve">or fax marketing </w:t>
      </w:r>
      <w:r w:rsidRPr="00580EE1">
        <w:t>activities of the participants in the section of the industry to which the code relates.</w:t>
      </w:r>
      <w:r w:rsidR="001B2C9D">
        <w:t xml:space="preserve"> </w:t>
      </w:r>
      <w:r w:rsidRPr="00580EE1">
        <w:t>Section 109 defines ‘telecommunications activity’ as:</w:t>
      </w:r>
    </w:p>
    <w:p w14:paraId="0FA7E735" w14:textId="77777777" w:rsidR="00E65359" w:rsidRPr="00580EE1" w:rsidRDefault="00E65359" w:rsidP="00E65359">
      <w:pPr>
        <w:spacing w:after="120"/>
        <w:ind w:left="1134" w:hanging="414"/>
        <w:rPr>
          <w:i/>
        </w:rPr>
      </w:pPr>
      <w:r w:rsidRPr="00580EE1">
        <w:rPr>
          <w:i/>
        </w:rPr>
        <w:t>(a)</w:t>
      </w:r>
      <w:r w:rsidRPr="00580EE1">
        <w:rPr>
          <w:i/>
        </w:rPr>
        <w:tab/>
        <w:t>carrying on business as a carrier; or</w:t>
      </w:r>
    </w:p>
    <w:p w14:paraId="375D888A" w14:textId="77777777" w:rsidR="00E65359" w:rsidRPr="00580EE1" w:rsidRDefault="00E65359" w:rsidP="00E65359">
      <w:pPr>
        <w:spacing w:after="120"/>
        <w:ind w:left="1134" w:hanging="414"/>
        <w:rPr>
          <w:i/>
        </w:rPr>
      </w:pPr>
      <w:r w:rsidRPr="00580EE1">
        <w:rPr>
          <w:i/>
        </w:rPr>
        <w:t>(b)</w:t>
      </w:r>
      <w:r w:rsidRPr="00580EE1">
        <w:rPr>
          <w:i/>
        </w:rPr>
        <w:tab/>
        <w:t>carrying on business as a carriage service provider; or</w:t>
      </w:r>
    </w:p>
    <w:p w14:paraId="1A4BD706" w14:textId="77777777" w:rsidR="00E65359" w:rsidRPr="00580EE1" w:rsidRDefault="00E65359" w:rsidP="00E65359">
      <w:pPr>
        <w:spacing w:after="120"/>
        <w:ind w:left="1134" w:hanging="414"/>
        <w:rPr>
          <w:i/>
        </w:rPr>
      </w:pPr>
      <w:r w:rsidRPr="00580EE1">
        <w:rPr>
          <w:i/>
        </w:rPr>
        <w:t>(c)</w:t>
      </w:r>
      <w:r w:rsidRPr="00580EE1">
        <w:rPr>
          <w:i/>
        </w:rPr>
        <w:tab/>
        <w:t>supplying goods or services for use in connection with the supply of a listed carriage service; or</w:t>
      </w:r>
    </w:p>
    <w:p w14:paraId="6A84C031" w14:textId="77777777" w:rsidR="00E65359" w:rsidRPr="00580EE1" w:rsidRDefault="00E65359" w:rsidP="00E65359">
      <w:pPr>
        <w:spacing w:after="120"/>
        <w:ind w:left="1134" w:hanging="414"/>
        <w:rPr>
          <w:i/>
        </w:rPr>
      </w:pPr>
      <w:r w:rsidRPr="00580EE1">
        <w:rPr>
          <w:i/>
        </w:rPr>
        <w:t>(d)</w:t>
      </w:r>
      <w:r w:rsidRPr="00580EE1">
        <w:rPr>
          <w:i/>
        </w:rPr>
        <w:tab/>
        <w:t>supplying a content service using a listed carriage service; or</w:t>
      </w:r>
    </w:p>
    <w:p w14:paraId="01CE0ECB" w14:textId="77777777" w:rsidR="00E65359" w:rsidRPr="00580EE1" w:rsidRDefault="00E65359" w:rsidP="00E65359">
      <w:pPr>
        <w:spacing w:after="120"/>
        <w:ind w:left="1134" w:hanging="414"/>
        <w:rPr>
          <w:i/>
        </w:rPr>
      </w:pPr>
      <w:r w:rsidRPr="00580EE1">
        <w:rPr>
          <w:i/>
        </w:rPr>
        <w:t>(e)</w:t>
      </w:r>
      <w:r w:rsidRPr="00580EE1">
        <w:rPr>
          <w:i/>
        </w:rPr>
        <w:tab/>
        <w:t>manufacturing or importing customer equipment or customer cabling; or</w:t>
      </w:r>
    </w:p>
    <w:p w14:paraId="591A1FF1" w14:textId="77777777" w:rsidR="00E65359" w:rsidRPr="00580EE1" w:rsidRDefault="00E65359" w:rsidP="00E65359">
      <w:pPr>
        <w:spacing w:after="120"/>
        <w:ind w:left="1134" w:hanging="414"/>
        <w:rPr>
          <w:i/>
        </w:rPr>
      </w:pPr>
      <w:r w:rsidRPr="00580EE1">
        <w:rPr>
          <w:i/>
        </w:rPr>
        <w:t>(f)</w:t>
      </w:r>
      <w:r w:rsidRPr="00580EE1">
        <w:rPr>
          <w:i/>
        </w:rPr>
        <w:tab/>
        <w:t xml:space="preserve">installing, maintaining, operating or providing access to: </w:t>
      </w:r>
    </w:p>
    <w:p w14:paraId="5A48421C" w14:textId="77777777" w:rsidR="00E65359" w:rsidRPr="00580EE1" w:rsidRDefault="00E65359" w:rsidP="00E65359">
      <w:pPr>
        <w:spacing w:after="120"/>
        <w:ind w:left="1854" w:hanging="414"/>
        <w:rPr>
          <w:i/>
        </w:rPr>
      </w:pPr>
      <w:r w:rsidRPr="00580EE1">
        <w:rPr>
          <w:i/>
        </w:rPr>
        <w:t>(i)</w:t>
      </w:r>
      <w:r w:rsidRPr="00580EE1">
        <w:rPr>
          <w:i/>
        </w:rPr>
        <w:tab/>
        <w:t>a telecommunications network; or</w:t>
      </w:r>
    </w:p>
    <w:p w14:paraId="211D09AF" w14:textId="77777777" w:rsidR="00E65359" w:rsidRPr="00580EE1" w:rsidRDefault="00E65359" w:rsidP="00E65359">
      <w:pPr>
        <w:spacing w:after="120"/>
        <w:ind w:left="1854" w:hanging="414"/>
        <w:rPr>
          <w:i/>
        </w:rPr>
      </w:pPr>
      <w:r w:rsidRPr="00580EE1">
        <w:rPr>
          <w:i/>
        </w:rPr>
        <w:t>(ii)</w:t>
      </w:r>
      <w:r w:rsidRPr="00580EE1">
        <w:rPr>
          <w:i/>
        </w:rPr>
        <w:tab/>
        <w:t xml:space="preserve">a facility; </w:t>
      </w:r>
    </w:p>
    <w:p w14:paraId="72094C6C" w14:textId="77777777" w:rsidR="00E65359" w:rsidRPr="00580EE1" w:rsidRDefault="00E65359" w:rsidP="00E65359">
      <w:pPr>
        <w:spacing w:after="120"/>
        <w:ind w:left="1843" w:hanging="709"/>
        <w:rPr>
          <w:i/>
        </w:rPr>
      </w:pPr>
      <w:r w:rsidRPr="00580EE1">
        <w:rPr>
          <w:i/>
        </w:rPr>
        <w:t>used to supply a listed carriage service; or</w:t>
      </w:r>
    </w:p>
    <w:p w14:paraId="69C5C0DF" w14:textId="77777777" w:rsidR="00E65359" w:rsidRPr="00580EE1" w:rsidRDefault="00E65359" w:rsidP="00C01CBD">
      <w:pPr>
        <w:ind w:left="1134" w:hanging="425"/>
        <w:rPr>
          <w:i/>
        </w:rPr>
      </w:pPr>
      <w:r w:rsidRPr="00580EE1">
        <w:rPr>
          <w:i/>
        </w:rPr>
        <w:t>(g)</w:t>
      </w:r>
      <w:r w:rsidRPr="00580EE1">
        <w:rPr>
          <w:i/>
        </w:rPr>
        <w:tab/>
        <w:t>carrying on business as an electronic messaging service provider.</w:t>
      </w:r>
    </w:p>
    <w:p w14:paraId="252064F9" w14:textId="77777777" w:rsidR="00E65359" w:rsidRPr="00580EE1" w:rsidRDefault="00E65359" w:rsidP="00CA5F87">
      <w:pPr>
        <w:spacing w:before="120"/>
      </w:pPr>
      <w:r w:rsidRPr="00580EE1">
        <w:t>Section</w:t>
      </w:r>
      <w:r>
        <w:t>s</w:t>
      </w:r>
      <w:r w:rsidRPr="00580EE1">
        <w:t xml:space="preserve"> </w:t>
      </w:r>
      <w:r>
        <w:t xml:space="preserve">109B and 109C, respectively, </w:t>
      </w:r>
      <w:r w:rsidR="00617AAD">
        <w:t>define</w:t>
      </w:r>
      <w:r>
        <w:t xml:space="preserve"> </w:t>
      </w:r>
      <w:r w:rsidRPr="00580EE1">
        <w:t>‘telemarketing activity’</w:t>
      </w:r>
      <w:r>
        <w:t xml:space="preserve"> and ‘fax marketing activity’</w:t>
      </w:r>
      <w:r w:rsidRPr="00580EE1">
        <w:t>.</w:t>
      </w:r>
    </w:p>
    <w:p w14:paraId="66CE5BFA" w14:textId="3CE7FCF2" w:rsidR="00E65359" w:rsidRPr="00580EE1" w:rsidRDefault="00E65359" w:rsidP="00E65359">
      <w:r w:rsidRPr="00580EE1">
        <w:t xml:space="preserve">In addition, </w:t>
      </w:r>
      <w:r w:rsidR="00A86C91">
        <w:t>section</w:t>
      </w:r>
      <w:r w:rsidRPr="00580EE1">
        <w:t xml:space="preserve"> 113 of the Telecommunications Act provides examples of matters </w:t>
      </w:r>
      <w:r w:rsidR="00481B69">
        <w:t>that</w:t>
      </w:r>
      <w:r w:rsidR="00481B69" w:rsidRPr="00580EE1">
        <w:t xml:space="preserve"> </w:t>
      </w:r>
      <w:r w:rsidRPr="00580EE1">
        <w:t>could be dealt with by codes.</w:t>
      </w:r>
    </w:p>
    <w:p w14:paraId="15AB7684" w14:textId="2ADFB5BE" w:rsidR="00E65359" w:rsidRPr="00580EE1" w:rsidRDefault="00E65359" w:rsidP="00C01CBD">
      <w:pPr>
        <w:spacing w:after="80"/>
      </w:pPr>
      <w:r w:rsidRPr="00580EE1">
        <w:t>Codes must also be consistent with the objects of the Telecommunications Act.</w:t>
      </w:r>
      <w:r w:rsidR="001B2C9D">
        <w:t xml:space="preserve"> </w:t>
      </w:r>
      <w:r w:rsidRPr="00580EE1">
        <w:t>Among other things</w:t>
      </w:r>
      <w:r w:rsidR="00481B69">
        <w:t>,</w:t>
      </w:r>
      <w:r w:rsidRPr="00580EE1">
        <w:t xml:space="preserve"> codes must promote:</w:t>
      </w:r>
    </w:p>
    <w:p w14:paraId="6DEE609F" w14:textId="634C0E17" w:rsidR="00E65359" w:rsidRPr="00580EE1" w:rsidRDefault="00E65359" w:rsidP="00E65359">
      <w:pPr>
        <w:pStyle w:val="ListBullet"/>
      </w:pPr>
      <w:r w:rsidRPr="00580EE1">
        <w:t>the long</w:t>
      </w:r>
      <w:r w:rsidR="00481B69">
        <w:t>-</w:t>
      </w:r>
      <w:r w:rsidRPr="00580EE1">
        <w:t>term interests of end users of telecommunications services</w:t>
      </w:r>
    </w:p>
    <w:p w14:paraId="6CFD9637" w14:textId="2A199725" w:rsidR="00E65359" w:rsidRPr="00580EE1" w:rsidRDefault="00E65359" w:rsidP="00E65359">
      <w:pPr>
        <w:pStyle w:val="ListBullet"/>
      </w:pPr>
      <w:r w:rsidRPr="00580EE1">
        <w:t>the efficiency and international competitiveness of the Australian telecommunications industry</w:t>
      </w:r>
    </w:p>
    <w:p w14:paraId="5778AFE5" w14:textId="32C83CFC" w:rsidR="00E65359" w:rsidRPr="00580EE1" w:rsidRDefault="00E65359" w:rsidP="00E65359">
      <w:pPr>
        <w:pStyle w:val="ListBullet"/>
      </w:pPr>
      <w:r w:rsidRPr="00580EE1">
        <w:t>service innovation, and the efficient, equitable and responsive delivery of telecommunications goods and services</w:t>
      </w:r>
    </w:p>
    <w:p w14:paraId="4C00BE08" w14:textId="46D86185" w:rsidR="00E65359" w:rsidRPr="00580EE1" w:rsidRDefault="00E65359" w:rsidP="00E65359">
      <w:pPr>
        <w:pStyle w:val="ListBullet"/>
      </w:pPr>
      <w:r w:rsidRPr="00580EE1">
        <w:t xml:space="preserve">market participation by all sectors of the Australian telecommunications industry </w:t>
      </w:r>
    </w:p>
    <w:p w14:paraId="53870A94" w14:textId="7621FA37" w:rsidR="00E65359" w:rsidRPr="00580EE1" w:rsidRDefault="00E65359" w:rsidP="00E65359">
      <w:pPr>
        <w:pStyle w:val="ListBullet"/>
        <w:rPr>
          <w:strike/>
        </w:rPr>
      </w:pPr>
      <w:r w:rsidRPr="00580EE1">
        <w:t>an efficient, competitive and responsive telecommunications industry</w:t>
      </w:r>
      <w:r w:rsidRPr="00580EE1">
        <w:rPr>
          <w:strike/>
        </w:rPr>
        <w:t xml:space="preserve"> </w:t>
      </w:r>
    </w:p>
    <w:p w14:paraId="7EADA927" w14:textId="1088F416" w:rsidR="00E65359" w:rsidRPr="00580EE1" w:rsidRDefault="00E65359" w:rsidP="00E65359">
      <w:pPr>
        <w:pStyle w:val="ListBullet"/>
      </w:pPr>
      <w:r w:rsidRPr="00580EE1">
        <w:lastRenderedPageBreak/>
        <w:t xml:space="preserve">appropriate safeguards for telecommunications consumers </w:t>
      </w:r>
    </w:p>
    <w:p w14:paraId="673F31C1" w14:textId="77C580E9" w:rsidR="00E65359" w:rsidRPr="00580EE1" w:rsidRDefault="00E65359" w:rsidP="00E65359">
      <w:pPr>
        <w:pStyle w:val="ListBullet"/>
      </w:pPr>
      <w:r w:rsidRPr="00580EE1">
        <w:t>responsible practices in relation to the sending of commercial electronic messages</w:t>
      </w:r>
    </w:p>
    <w:p w14:paraId="7E64AB3A" w14:textId="77777777" w:rsidR="00E65359" w:rsidRPr="00580EE1" w:rsidRDefault="00E65359" w:rsidP="00CA5F87">
      <w:pPr>
        <w:pStyle w:val="ListBulletLast"/>
      </w:pPr>
      <w:r w:rsidRPr="00580EE1">
        <w:t>responsible practices in relation to the making of telemarketing calls.</w:t>
      </w:r>
    </w:p>
    <w:p w14:paraId="7709C268" w14:textId="60C00D50" w:rsidR="00B57A82" w:rsidRPr="004A0F5A" w:rsidRDefault="00E65359" w:rsidP="00E65359">
      <w:r w:rsidRPr="00580EE1">
        <w:t xml:space="preserve">Before commencing development of a new code, industry bodies should also check </w:t>
      </w:r>
      <w:r>
        <w:t>the ACMA’s Register of Codes (the Register) for</w:t>
      </w:r>
      <w:r w:rsidRPr="00580EE1">
        <w:t xml:space="preserve"> codes </w:t>
      </w:r>
      <w:r w:rsidR="00F51419">
        <w:t>that</w:t>
      </w:r>
      <w:r w:rsidRPr="00580EE1">
        <w:t xml:space="preserve"> deal with similar issues in the same sections of the industry to the matters proposed for coverage by the new code.</w:t>
      </w:r>
      <w:r w:rsidR="001B2C9D">
        <w:t xml:space="preserve"> </w:t>
      </w:r>
      <w:r w:rsidRPr="00580EE1">
        <w:t xml:space="preserve">The Register is kept and maintained by the ACMA as required by </w:t>
      </w:r>
      <w:r w:rsidR="00A86C91">
        <w:t>section</w:t>
      </w:r>
      <w:r w:rsidRPr="00580EE1">
        <w:t xml:space="preserve"> 136 of the Telecommunications Act</w:t>
      </w:r>
      <w:r>
        <w:t xml:space="preserve"> and is available on the ACMA website</w:t>
      </w:r>
      <w:r w:rsidR="00481B69">
        <w:t>:</w:t>
      </w:r>
      <w:r>
        <w:t xml:space="preserve"> </w:t>
      </w:r>
      <w:hyperlink r:id="rId30" w:history="1">
        <w:r w:rsidR="00481B69">
          <w:rPr>
            <w:rStyle w:val="Hyperlink"/>
          </w:rPr>
          <w:t>www.acma.gov.au/theACMA/Library/Corporate-library/Forms-and-registers/register-of-telecommunications-industry-codes-and-standards</w:t>
        </w:r>
      </w:hyperlink>
      <w:r w:rsidRPr="00580EE1">
        <w:t>.</w:t>
      </w:r>
    </w:p>
    <w:p w14:paraId="4C74172D" w14:textId="77777777" w:rsidR="00E65359" w:rsidRPr="00580EE1" w:rsidRDefault="00E65359" w:rsidP="00E65359">
      <w:pPr>
        <w:pStyle w:val="Heading2"/>
      </w:pPr>
      <w:bookmarkStart w:id="254" w:name="_Toc456165474"/>
      <w:bookmarkStart w:id="255" w:name="_Toc456165804"/>
      <w:bookmarkStart w:id="256" w:name="_Toc457357943"/>
      <w:bookmarkStart w:id="257" w:name="_Toc457384391"/>
      <w:bookmarkStart w:id="258" w:name="_Toc457713005"/>
      <w:bookmarkStart w:id="259" w:name="_Toc395876633"/>
      <w:bookmarkStart w:id="260" w:name="_Toc428450661"/>
      <w:r w:rsidRPr="00580EE1">
        <w:t>Consultation</w:t>
      </w:r>
      <w:bookmarkEnd w:id="254"/>
      <w:bookmarkEnd w:id="255"/>
      <w:bookmarkEnd w:id="256"/>
      <w:bookmarkEnd w:id="257"/>
      <w:bookmarkEnd w:id="258"/>
      <w:bookmarkEnd w:id="259"/>
      <w:bookmarkEnd w:id="260"/>
    </w:p>
    <w:p w14:paraId="1CA9FBE1" w14:textId="0B5D4CEA" w:rsidR="00E65359" w:rsidRPr="00580EE1" w:rsidRDefault="00E65359" w:rsidP="00E65359">
      <w:r w:rsidRPr="00580EE1">
        <w:t xml:space="preserve">Industry bodies must undertake consultation during the development of the code in accordance with </w:t>
      </w:r>
      <w:r>
        <w:t>paragraphs</w:t>
      </w:r>
      <w:r w:rsidRPr="00580EE1">
        <w:t xml:space="preserve"> 117(1)(e</w:t>
      </w:r>
      <w:r w:rsidR="00481B69" w:rsidRPr="00580EE1">
        <w:t>)</w:t>
      </w:r>
      <w:r w:rsidR="00481B69">
        <w:t>–</w:t>
      </w:r>
      <w:r w:rsidR="00481B69" w:rsidRPr="00580EE1">
        <w:t>(</w:t>
      </w:r>
      <w:r w:rsidRPr="00580EE1">
        <w:t>k) of the Telecommunications Act.</w:t>
      </w:r>
      <w:r w:rsidR="001B2C9D">
        <w:t xml:space="preserve"> </w:t>
      </w:r>
      <w:r w:rsidRPr="00580EE1">
        <w:t>Part 6 places great importance on broad and thorough consultation with all interested parties.</w:t>
      </w:r>
      <w:r w:rsidR="001B2C9D">
        <w:t xml:space="preserve"> </w:t>
      </w:r>
      <w:r w:rsidRPr="00580EE1">
        <w:t xml:space="preserve">This can occur through the participation of </w:t>
      </w:r>
      <w:r w:rsidR="00481B69">
        <w:t xml:space="preserve">end-user </w:t>
      </w:r>
      <w:r w:rsidRPr="00580EE1">
        <w:t>representatives in the code development process and consultation with end users.</w:t>
      </w:r>
      <w:r w:rsidR="001B2C9D">
        <w:t xml:space="preserve"> </w:t>
      </w:r>
      <w:r w:rsidRPr="00580EE1">
        <w:t xml:space="preserve">The involvement of end-user representatives in the code development process is desirable as it is likely to lead to codes </w:t>
      </w:r>
      <w:r w:rsidR="00481B69">
        <w:t>that</w:t>
      </w:r>
      <w:r w:rsidR="00481B69" w:rsidRPr="00580EE1">
        <w:t xml:space="preserve"> </w:t>
      </w:r>
      <w:r w:rsidRPr="00580EE1">
        <w:t>deal usefully and practically with important issues.</w:t>
      </w:r>
      <w:r w:rsidR="001B2C9D">
        <w:t xml:space="preserve"> </w:t>
      </w:r>
    </w:p>
    <w:p w14:paraId="4030BB1C" w14:textId="127B7768" w:rsidR="00E65359" w:rsidRDefault="00E65359" w:rsidP="00E65359">
      <w:r w:rsidRPr="00580EE1">
        <w:t>Consultation must be full and proper and industry bodies must give consideration to the comments raised during consultation.</w:t>
      </w:r>
      <w:r w:rsidR="001B2C9D">
        <w:t xml:space="preserve"> </w:t>
      </w:r>
      <w:r w:rsidRPr="00580EE1">
        <w:t>Comments should be considered promptly and resolution referred back to the submitter.</w:t>
      </w:r>
      <w:r w:rsidR="001B2C9D">
        <w:t xml:space="preserve"> </w:t>
      </w:r>
      <w:r w:rsidRPr="00580EE1">
        <w:t xml:space="preserve">The following sections of this guide provide guidance to industry bodies in relation to how consultation must be conducted and considered when finalising a code for registration. </w:t>
      </w:r>
      <w:r>
        <w:t xml:space="preserve">The </w:t>
      </w:r>
      <w:r w:rsidRPr="00580EE1">
        <w:t>ACMA, when making decisions relating to the appropriateness of codes under paragraph 117(1)(d), may take into account the extent to which concerns raised in the comments provided to industry bodies are addressed in a code.</w:t>
      </w:r>
      <w:r w:rsidR="004353B9">
        <w:t xml:space="preserve"> Part of this assessment will involve considering views of the TIO, ACCC, </w:t>
      </w:r>
      <w:r w:rsidR="001A7374">
        <w:t>the Office of the Australian Information Commissioner (</w:t>
      </w:r>
      <w:r w:rsidR="004353B9">
        <w:t>OAIC</w:t>
      </w:r>
      <w:r w:rsidR="001A7374">
        <w:t>)</w:t>
      </w:r>
      <w:r w:rsidR="004353B9">
        <w:t xml:space="preserve"> and </w:t>
      </w:r>
      <w:r w:rsidR="001A7374">
        <w:t>a consumer representative body</w:t>
      </w:r>
      <w:r w:rsidR="004353B9">
        <w:t xml:space="preserve"> about matters such as consistency between codes and legislation, the ability of a complaint</w:t>
      </w:r>
      <w:r w:rsidR="00481B69">
        <w:t>s</w:t>
      </w:r>
      <w:r w:rsidR="004353B9">
        <w:t>-handling body to handle complaints under the code and, where relevant, the effect on consumers and/or the community.</w:t>
      </w:r>
    </w:p>
    <w:p w14:paraId="2886E8E1" w14:textId="25A07E57" w:rsidR="00E65359" w:rsidRPr="00580EE1" w:rsidRDefault="00E65359" w:rsidP="00E65359">
      <w:r>
        <w:t xml:space="preserve">The consultation requirements and the parties that must be involved for developing a code also apply before an industry representative body submits a code </w:t>
      </w:r>
      <w:r w:rsidRPr="00225474">
        <w:rPr>
          <w:i/>
        </w:rPr>
        <w:t>variation</w:t>
      </w:r>
      <w:r>
        <w:t xml:space="preserve"> to the ACMA for approval. The consultation requirements when seeking to vary an existing code are set out in paragraphs 119A(e</w:t>
      </w:r>
      <w:r w:rsidR="00481B69">
        <w:t>)–(</w:t>
      </w:r>
      <w:r>
        <w:t>k) of the Telecommunications Act.</w:t>
      </w:r>
    </w:p>
    <w:p w14:paraId="5AA0D30F" w14:textId="77777777" w:rsidR="00E65359" w:rsidRPr="00580EE1" w:rsidRDefault="00E65359" w:rsidP="00E65359">
      <w:pPr>
        <w:pStyle w:val="Heading3"/>
      </w:pPr>
      <w:bookmarkStart w:id="261" w:name="_Toc395876634"/>
      <w:bookmarkStart w:id="262" w:name="_Toc428450662"/>
      <w:r w:rsidRPr="00580EE1">
        <w:t xml:space="preserve">Funding for consumer codes developed </w:t>
      </w:r>
      <w:r>
        <w:t xml:space="preserve">or varied </w:t>
      </w:r>
      <w:r w:rsidRPr="00580EE1">
        <w:t>with consumer representation</w:t>
      </w:r>
      <w:bookmarkEnd w:id="261"/>
      <w:bookmarkEnd w:id="262"/>
    </w:p>
    <w:p w14:paraId="66CDBFB0" w14:textId="77777777" w:rsidR="00E65359" w:rsidRPr="00580EE1" w:rsidRDefault="00E65359" w:rsidP="00E65359">
      <w:r w:rsidRPr="00580EE1">
        <w:t xml:space="preserve">Telecommunications industry bodies can apply to </w:t>
      </w:r>
      <w:r>
        <w:t>the ACMA</w:t>
      </w:r>
      <w:r w:rsidRPr="00580EE1">
        <w:t xml:space="preserve"> for reimbursement of the refundable costs they incur in developing </w:t>
      </w:r>
      <w:r>
        <w:t xml:space="preserve">or varying </w:t>
      </w:r>
      <w:r w:rsidRPr="00580EE1">
        <w:t>consumer-related tel</w:t>
      </w:r>
      <w:r>
        <w:t>ecommunications industry codes.</w:t>
      </w:r>
    </w:p>
    <w:p w14:paraId="7E3FA996" w14:textId="1752FD72" w:rsidR="00E65359" w:rsidRPr="00580EE1" w:rsidRDefault="00E65359" w:rsidP="00E65359">
      <w:r w:rsidRPr="00580EE1">
        <w:t xml:space="preserve">For information about the scheme and how to apply, read </w:t>
      </w:r>
      <w:r>
        <w:t>the ACMA</w:t>
      </w:r>
      <w:r w:rsidRPr="00580EE1">
        <w:t xml:space="preserve">’s </w:t>
      </w:r>
      <w:hyperlink r:id="rId31" w:history="1">
        <w:r w:rsidRPr="00ED568C">
          <w:rPr>
            <w:rStyle w:val="Hyperlink"/>
            <w:i/>
          </w:rPr>
          <w:t>Guide to the Reimbursement of Development Costs for Consumer-Related Telecommunications Industry Codes</w:t>
        </w:r>
      </w:hyperlink>
      <w:r w:rsidR="00ED568C">
        <w:rPr>
          <w:i/>
        </w:rPr>
        <w:t>.</w:t>
      </w:r>
    </w:p>
    <w:p w14:paraId="6B59D9D9" w14:textId="77777777" w:rsidR="00E65359" w:rsidRPr="00580EE1" w:rsidRDefault="00E65359" w:rsidP="00C01CBD">
      <w:pPr>
        <w:spacing w:after="80"/>
      </w:pPr>
      <w:r w:rsidRPr="00580EE1">
        <w:t>The key elements of the scheme are that:</w:t>
      </w:r>
    </w:p>
    <w:p w14:paraId="71074B7F" w14:textId="7108BD3E" w:rsidR="00E65359" w:rsidRPr="00580EE1" w:rsidRDefault="00E65359" w:rsidP="00E65359">
      <w:pPr>
        <w:pStyle w:val="ListBullet"/>
      </w:pPr>
      <w:r w:rsidRPr="00580EE1">
        <w:t xml:space="preserve">only industry bodies and associations can apply for reimbursement </w:t>
      </w:r>
    </w:p>
    <w:p w14:paraId="3FE8361B" w14:textId="455BCF6D" w:rsidR="00E65359" w:rsidRPr="00580EE1" w:rsidRDefault="00E65359" w:rsidP="00E65359">
      <w:pPr>
        <w:pStyle w:val="ListBullet"/>
      </w:pPr>
      <w:r w:rsidRPr="00580EE1">
        <w:t xml:space="preserve">code development </w:t>
      </w:r>
      <w:r>
        <w:t xml:space="preserve">and code variation </w:t>
      </w:r>
      <w:r w:rsidRPr="00580EE1">
        <w:t>costs that may be reimbursed include those incurred through the industry body’s research of the code issues, publication and consultation costs</w:t>
      </w:r>
      <w:r w:rsidR="00481B69">
        <w:t>,</w:t>
      </w:r>
      <w:r w:rsidRPr="00580EE1">
        <w:t xml:space="preserve"> and costs incurred in obtaining the services and involvement of </w:t>
      </w:r>
      <w:r w:rsidRPr="00580EE1">
        <w:lastRenderedPageBreak/>
        <w:t>third parties</w:t>
      </w:r>
      <w:r w:rsidR="00481B69">
        <w:t xml:space="preserve"> (</w:t>
      </w:r>
      <w:r w:rsidRPr="00580EE1">
        <w:t>such as drafters, lawyers and consumer representatives</w:t>
      </w:r>
      <w:r w:rsidR="00481B69">
        <w:t>)</w:t>
      </w:r>
      <w:r w:rsidRPr="00580EE1">
        <w:t>, if such costs were incurred in developing</w:t>
      </w:r>
      <w:r>
        <w:t xml:space="preserve"> or varying</w:t>
      </w:r>
      <w:r w:rsidRPr="00580EE1">
        <w:t xml:space="preserve"> the code</w:t>
      </w:r>
      <w:r w:rsidR="001B2C9D">
        <w:t xml:space="preserve"> </w:t>
      </w:r>
    </w:p>
    <w:p w14:paraId="4A708419" w14:textId="7372C8A1" w:rsidR="00E65359" w:rsidRPr="00580EE1" w:rsidRDefault="00E65359" w:rsidP="00E65359">
      <w:pPr>
        <w:pStyle w:val="ListBullet"/>
      </w:pPr>
      <w:r w:rsidRPr="00580EE1">
        <w:t xml:space="preserve">the code </w:t>
      </w:r>
      <w:r>
        <w:t xml:space="preserve">or code variations </w:t>
      </w:r>
      <w:r w:rsidRPr="00580EE1">
        <w:t xml:space="preserve">must satisfy certain criteria, including that it must deal wholly or mainly with one or more matters relating to the relationship between carriage service providers and their retail customers </w:t>
      </w:r>
    </w:p>
    <w:p w14:paraId="59888833" w14:textId="6E31571F" w:rsidR="00E65359" w:rsidRPr="00580EE1" w:rsidRDefault="00E65359" w:rsidP="00E65359">
      <w:pPr>
        <w:pStyle w:val="ListBullet"/>
      </w:pPr>
      <w:r w:rsidRPr="00580EE1">
        <w:t xml:space="preserve">only telecommunications industry codes </w:t>
      </w:r>
      <w:r>
        <w:t xml:space="preserve">(or code variations) </w:t>
      </w:r>
      <w:r w:rsidRPr="00580EE1">
        <w:t>developed under Part 6 of the Telecommunications Act</w:t>
      </w:r>
      <w:r w:rsidRPr="00580EE1">
        <w:rPr>
          <w:i/>
        </w:rPr>
        <w:t xml:space="preserve"> </w:t>
      </w:r>
      <w:r w:rsidRPr="00580EE1">
        <w:t xml:space="preserve">and submitted to </w:t>
      </w:r>
      <w:r>
        <w:t>the ACMA</w:t>
      </w:r>
      <w:r w:rsidRPr="00580EE1">
        <w:t xml:space="preserve"> for registration are covered by the scheme. The costs of developing industry standards, specifications, guidelines and other supporting arrangements cannot be reimbursed under the scheme</w:t>
      </w:r>
    </w:p>
    <w:p w14:paraId="65DDF38D" w14:textId="77777777" w:rsidR="00E65359" w:rsidRPr="00580EE1" w:rsidRDefault="00E65359" w:rsidP="00CA5F87">
      <w:pPr>
        <w:pStyle w:val="ListBulletLast"/>
      </w:pPr>
      <w:r w:rsidRPr="00580EE1">
        <w:t>some categories of costs have been excluded from the scheme and cannot be reimbursed.</w:t>
      </w:r>
    </w:p>
    <w:p w14:paraId="0ED55F10" w14:textId="77777777" w:rsidR="00E65359" w:rsidRPr="00580EE1" w:rsidRDefault="00E65359" w:rsidP="00E65359">
      <w:pPr>
        <w:pStyle w:val="Heading3"/>
      </w:pPr>
      <w:bookmarkStart w:id="263" w:name="_Toc395876635"/>
      <w:bookmarkStart w:id="264" w:name="_Toc428450663"/>
      <w:r w:rsidRPr="00580EE1">
        <w:t>Mandatory consultation with government agencies and consumer representatives</w:t>
      </w:r>
      <w:bookmarkEnd w:id="263"/>
      <w:bookmarkEnd w:id="264"/>
    </w:p>
    <w:p w14:paraId="2AAC9F70" w14:textId="75E827E2" w:rsidR="00E65359" w:rsidRPr="00580EE1" w:rsidRDefault="00E65359" w:rsidP="00E65359">
      <w:r w:rsidRPr="00580EE1">
        <w:t xml:space="preserve">Industry bodies developing </w:t>
      </w:r>
      <w:r>
        <w:t xml:space="preserve">or seeking to vary </w:t>
      </w:r>
      <w:r w:rsidRPr="00832A9F">
        <w:rPr>
          <w:i/>
        </w:rPr>
        <w:t>telecommunications</w:t>
      </w:r>
      <w:bookmarkStart w:id="265" w:name="OLE_LINK19"/>
      <w:bookmarkStart w:id="266" w:name="OLE_LINK20"/>
      <w:r>
        <w:t xml:space="preserve"> codes </w:t>
      </w:r>
      <w:r w:rsidRPr="00580EE1">
        <w:t xml:space="preserve">must undertake consultation on codes with the ACCC, TIO, at least one consumer representative organisation and, in the case of Telecommunications Act privacy codes under paragraph 113(3)(f), matters related to the </w:t>
      </w:r>
      <w:r w:rsidR="00617AAD">
        <w:t>Australian</w:t>
      </w:r>
      <w:r w:rsidRPr="00580EE1">
        <w:t xml:space="preserve"> Privacy Principles or a code approved under the Privacy Act, the </w:t>
      </w:r>
      <w:r>
        <w:t>Information</w:t>
      </w:r>
      <w:r w:rsidRPr="00580EE1">
        <w:t xml:space="preserve"> Commissioner (these organisations are referred to as ‘agencies’ below).</w:t>
      </w:r>
      <w:r w:rsidR="001B2C9D">
        <w:t xml:space="preserve"> </w:t>
      </w:r>
    </w:p>
    <w:bookmarkEnd w:id="265"/>
    <w:bookmarkEnd w:id="266"/>
    <w:p w14:paraId="3B6D4F20" w14:textId="664F1165" w:rsidR="00E65359" w:rsidRPr="00580EE1" w:rsidRDefault="00E65359" w:rsidP="00E65359">
      <w:r w:rsidRPr="00580EE1">
        <w:t xml:space="preserve">Industry bodies developing </w:t>
      </w:r>
      <w:r w:rsidRPr="00152A43">
        <w:rPr>
          <w:i/>
        </w:rPr>
        <w:t>telemarketing</w:t>
      </w:r>
      <w:r w:rsidRPr="00580EE1">
        <w:t xml:space="preserve"> </w:t>
      </w:r>
      <w:r>
        <w:rPr>
          <w:i/>
        </w:rPr>
        <w:t xml:space="preserve">or fax marketing </w:t>
      </w:r>
      <w:r w:rsidRPr="00580EE1">
        <w:t xml:space="preserve">codes must undertake consultation on codes with the ACCC, at least one consumer representative organisation and, in the case of Telecommunications Act privacy codes under paragraph 113(3)(f), matters related to the </w:t>
      </w:r>
      <w:r w:rsidR="00617AAD">
        <w:t>Australian</w:t>
      </w:r>
      <w:r w:rsidRPr="00580EE1">
        <w:t xml:space="preserve"> Privacy Principles or a code approved under the Privacy Act, the </w:t>
      </w:r>
      <w:r>
        <w:t>Information</w:t>
      </w:r>
      <w:r w:rsidRPr="00580EE1">
        <w:t xml:space="preserve"> Commissioner.</w:t>
      </w:r>
      <w:r w:rsidR="001B2C9D">
        <w:t xml:space="preserve"> </w:t>
      </w:r>
    </w:p>
    <w:p w14:paraId="6B814462" w14:textId="00AAFD2F" w:rsidR="00E65359" w:rsidRPr="00580EE1" w:rsidRDefault="00E65359" w:rsidP="00E65359">
      <w:r w:rsidRPr="00580EE1">
        <w:t>Consultation must provide an adequate and real opportunity for agencies to make comments, including sufficient time in which to make comments.</w:t>
      </w:r>
      <w:r w:rsidR="001B2C9D">
        <w:t xml:space="preserve"> </w:t>
      </w:r>
      <w:r w:rsidRPr="00580EE1">
        <w:t>Industry bodies must take into account, and be able to demonstrate they have taken account of, the views expressed.</w:t>
      </w:r>
      <w:r w:rsidR="001B2C9D">
        <w:t xml:space="preserve"> </w:t>
      </w:r>
    </w:p>
    <w:p w14:paraId="5929418F" w14:textId="3ABF99EA" w:rsidR="00E65359" w:rsidRPr="00580EE1" w:rsidRDefault="00E65359" w:rsidP="00E65359">
      <w:pPr>
        <w:pStyle w:val="BodySubHeader"/>
      </w:pPr>
      <w:bookmarkStart w:id="267" w:name="_Toc395876636"/>
      <w:r w:rsidRPr="00580EE1">
        <w:t xml:space="preserve">Informal </w:t>
      </w:r>
      <w:r w:rsidR="009319B2">
        <w:t>c</w:t>
      </w:r>
      <w:r w:rsidRPr="00580EE1">
        <w:t>onsultation</w:t>
      </w:r>
      <w:bookmarkEnd w:id="267"/>
    </w:p>
    <w:p w14:paraId="1EC502C3" w14:textId="77777777" w:rsidR="00E65359" w:rsidRPr="00580EE1" w:rsidRDefault="00E65359" w:rsidP="00E65359">
      <w:r w:rsidRPr="00580EE1">
        <w:t xml:space="preserve">Informal consultation with these agencies should commence early in the code’s development. </w:t>
      </w:r>
    </w:p>
    <w:p w14:paraId="0707B754" w14:textId="499BE414" w:rsidR="00E65359" w:rsidRPr="00580EE1" w:rsidRDefault="00E65359" w:rsidP="00E65359">
      <w:r w:rsidRPr="00580EE1">
        <w:t>Section 114 enables codes to confer powers and functions on the TIO, if the TIO consents.</w:t>
      </w:r>
      <w:r w:rsidR="001B2C9D">
        <w:t xml:space="preserve"> </w:t>
      </w:r>
      <w:r w:rsidRPr="00580EE1">
        <w:t>Industry bodies are encouraged to commence discussions with the TIO on code consumer complaints processes early in the development phase and</w:t>
      </w:r>
      <w:r w:rsidR="009319B2">
        <w:t>,</w:t>
      </w:r>
      <w:r w:rsidRPr="00580EE1">
        <w:t xml:space="preserve"> where required</w:t>
      </w:r>
      <w:r w:rsidR="009319B2">
        <w:t>,</w:t>
      </w:r>
      <w:r w:rsidRPr="00580EE1">
        <w:t xml:space="preserve"> obtain written consent from the TIO to its involvement in handling complaints </w:t>
      </w:r>
      <w:r w:rsidR="009319B2">
        <w:t>that</w:t>
      </w:r>
      <w:r w:rsidR="009319B2" w:rsidRPr="00580EE1">
        <w:t xml:space="preserve"> </w:t>
      </w:r>
      <w:r w:rsidRPr="00580EE1">
        <w:t>allege breaches of the code.</w:t>
      </w:r>
      <w:r w:rsidR="001B2C9D">
        <w:t xml:space="preserve"> </w:t>
      </w:r>
    </w:p>
    <w:p w14:paraId="4E10C5BD" w14:textId="7C89A2C3" w:rsidR="00E65359" w:rsidRPr="00580EE1" w:rsidRDefault="00E65359" w:rsidP="00E65359">
      <w:r w:rsidRPr="00580EE1">
        <w:t>Industry bodies should also initiate early discussions with the ACCC, particularly on the potential for code provisions to be anti-competitive and the need for an authorisation application.</w:t>
      </w:r>
      <w:r w:rsidR="001B2C9D">
        <w:t xml:space="preserve"> </w:t>
      </w:r>
    </w:p>
    <w:p w14:paraId="747ED4A6" w14:textId="7EEA5128" w:rsidR="00E65359" w:rsidRPr="00580EE1" w:rsidRDefault="00E65359" w:rsidP="00E65359">
      <w:r w:rsidRPr="00580EE1">
        <w:t xml:space="preserve">Consultation with the </w:t>
      </w:r>
      <w:r>
        <w:t>Information</w:t>
      </w:r>
      <w:r w:rsidRPr="00580EE1">
        <w:t xml:space="preserve"> Commissioner should also commence early in the code’s development</w:t>
      </w:r>
      <w:r>
        <w:t xml:space="preserve"> or variation</w:t>
      </w:r>
      <w:r w:rsidRPr="00580EE1">
        <w:t>.</w:t>
      </w:r>
      <w:r w:rsidR="001B2C9D">
        <w:t xml:space="preserve"> </w:t>
      </w:r>
      <w:r w:rsidRPr="00580EE1">
        <w:t xml:space="preserve">Apart from the obligation of industry bodies to consult the </w:t>
      </w:r>
      <w:r>
        <w:t>Information</w:t>
      </w:r>
      <w:r w:rsidRPr="00580EE1">
        <w:t xml:space="preserve"> Commissioner on Telecommunications Act privacy codes under paragraph 113(3)(j), </w:t>
      </w:r>
      <w:r>
        <w:t>the ACMA</w:t>
      </w:r>
      <w:r w:rsidRPr="00580EE1">
        <w:t xml:space="preserve"> is also obliged to consult the </w:t>
      </w:r>
      <w:r>
        <w:t>Information</w:t>
      </w:r>
      <w:r w:rsidRPr="00580EE1">
        <w:t xml:space="preserve"> Commissioner on codes submitted for registration</w:t>
      </w:r>
      <w:r w:rsidR="009319B2">
        <w:t>,</w:t>
      </w:r>
      <w:r w:rsidRPr="00580EE1">
        <w:t xml:space="preserve"> which deal with matters related to the </w:t>
      </w:r>
      <w:r w:rsidR="00DE22D1">
        <w:t>Australian</w:t>
      </w:r>
      <w:r w:rsidR="00DE22D1" w:rsidRPr="00580EE1">
        <w:t xml:space="preserve"> </w:t>
      </w:r>
      <w:r w:rsidRPr="00580EE1">
        <w:t>Privacy Principles or a code approved under the Privacy Act.</w:t>
      </w:r>
      <w:r w:rsidR="001B2C9D">
        <w:t xml:space="preserve"> </w:t>
      </w:r>
      <w:r w:rsidRPr="00580EE1">
        <w:t xml:space="preserve">Industry bodies should note that, as a general guide, any code dealing with the personal information of customers, whether or not it is predominantly a telecommunications privacy code, will require consultation with the </w:t>
      </w:r>
      <w:r>
        <w:t>Information</w:t>
      </w:r>
      <w:r w:rsidRPr="00580EE1">
        <w:t xml:space="preserve"> Commissioner. </w:t>
      </w:r>
    </w:p>
    <w:p w14:paraId="40B0E136" w14:textId="7E387924" w:rsidR="00E65359" w:rsidRPr="00580EE1" w:rsidRDefault="00E65359" w:rsidP="00E65359">
      <w:pPr>
        <w:pStyle w:val="BodySubHeader"/>
      </w:pPr>
      <w:bookmarkStart w:id="268" w:name="_Toc395876637"/>
      <w:r w:rsidRPr="00580EE1">
        <w:lastRenderedPageBreak/>
        <w:t xml:space="preserve">Formal </w:t>
      </w:r>
      <w:r w:rsidR="009319B2">
        <w:t>c</w:t>
      </w:r>
      <w:r w:rsidRPr="00580EE1">
        <w:t>onsultation</w:t>
      </w:r>
      <w:bookmarkEnd w:id="268"/>
    </w:p>
    <w:p w14:paraId="5CBCA6AA" w14:textId="4030B9BA" w:rsidR="00E65359" w:rsidRPr="00580EE1" w:rsidRDefault="00E65359" w:rsidP="00E65359">
      <w:r w:rsidRPr="00580EE1">
        <w:t>Industry bodies must not rely on informal consultation, such as the participation of the agencies in code drafting committees, to satisfy the consultation requirements of a code registration application.</w:t>
      </w:r>
      <w:r w:rsidR="001B2C9D">
        <w:t xml:space="preserve"> </w:t>
      </w:r>
      <w:r w:rsidRPr="00580EE1">
        <w:t>Prior to submission of the code for registration, a formal application must be made to each of the agencies for comment on the code.</w:t>
      </w:r>
      <w:r w:rsidR="001B2C9D">
        <w:t xml:space="preserve"> </w:t>
      </w:r>
      <w:r w:rsidRPr="00580EE1">
        <w:t>Formal comments provided by the agency as part of the registration application must be made on a final draft of the code.</w:t>
      </w:r>
    </w:p>
    <w:p w14:paraId="4C529DA0" w14:textId="77777777" w:rsidR="00C81125" w:rsidRPr="00580EE1" w:rsidRDefault="00C81125" w:rsidP="00C81125">
      <w:pPr>
        <w:pStyle w:val="Heading3"/>
      </w:pPr>
      <w:bookmarkStart w:id="269" w:name="_Toc456165476"/>
      <w:bookmarkStart w:id="270" w:name="_Toc456165806"/>
      <w:bookmarkStart w:id="271" w:name="_Toc457357945"/>
      <w:bookmarkStart w:id="272" w:name="_Toc457384393"/>
      <w:bookmarkStart w:id="273" w:name="_Toc457713007"/>
      <w:bookmarkStart w:id="274" w:name="_Toc395876638"/>
      <w:bookmarkStart w:id="275" w:name="_Toc428450664"/>
      <w:r w:rsidRPr="00580EE1">
        <w:t>Industry and public consultation</w:t>
      </w:r>
      <w:bookmarkEnd w:id="269"/>
      <w:bookmarkEnd w:id="270"/>
      <w:bookmarkEnd w:id="271"/>
      <w:bookmarkEnd w:id="272"/>
      <w:bookmarkEnd w:id="273"/>
      <w:bookmarkEnd w:id="274"/>
      <w:bookmarkEnd w:id="275"/>
    </w:p>
    <w:p w14:paraId="1875E31C" w14:textId="4C8C893F" w:rsidR="00C81125" w:rsidRPr="00580EE1" w:rsidRDefault="00C81125" w:rsidP="00C81125">
      <w:r w:rsidRPr="00580EE1">
        <w:t xml:space="preserve">Industry bodies are also required to undertake broad public consultation with affected industry participants and the </w:t>
      </w:r>
      <w:r w:rsidR="009319B2" w:rsidRPr="00580EE1">
        <w:t>public</w:t>
      </w:r>
      <w:r w:rsidRPr="00580EE1">
        <w:t xml:space="preserve"> prior to submitting a code for registration.</w:t>
      </w:r>
      <w:r w:rsidR="001B2C9D">
        <w:t xml:space="preserve"> </w:t>
      </w:r>
      <w:r w:rsidRPr="00580EE1">
        <w:t>The industry body must invite participants in the affected section or sections of the industry and the public to make submissions on the draft code</w:t>
      </w:r>
      <w:r>
        <w:t xml:space="preserve"> </w:t>
      </w:r>
      <w:r w:rsidRPr="00580EE1">
        <w:t>within the 30</w:t>
      </w:r>
      <w:r w:rsidR="009319B2">
        <w:t>-</w:t>
      </w:r>
      <w:r w:rsidRPr="00580EE1">
        <w:t xml:space="preserve">day minimum period provided by the Telecommunications Act. </w:t>
      </w:r>
    </w:p>
    <w:p w14:paraId="7D9676CB" w14:textId="77777777" w:rsidR="00C81125" w:rsidRPr="00580EE1" w:rsidRDefault="00C81125" w:rsidP="00C81125">
      <w:pPr>
        <w:pStyle w:val="Heading3"/>
      </w:pPr>
      <w:bookmarkStart w:id="276" w:name="_Toc457357946"/>
      <w:bookmarkStart w:id="277" w:name="_Toc457384394"/>
      <w:bookmarkStart w:id="278" w:name="_Toc457713008"/>
      <w:bookmarkStart w:id="279" w:name="_Toc395876639"/>
      <w:bookmarkStart w:id="280" w:name="_Toc428450665"/>
      <w:r w:rsidRPr="00580EE1">
        <w:t>Methods of extending invitations for submission</w:t>
      </w:r>
      <w:bookmarkEnd w:id="276"/>
      <w:bookmarkEnd w:id="277"/>
      <w:bookmarkEnd w:id="278"/>
      <w:bookmarkEnd w:id="279"/>
      <w:bookmarkEnd w:id="280"/>
    </w:p>
    <w:p w14:paraId="105850D8" w14:textId="54A6A9CB" w:rsidR="00C81125" w:rsidRPr="00580EE1" w:rsidRDefault="00C81125" w:rsidP="00C81125">
      <w:r w:rsidRPr="00580EE1">
        <w:t xml:space="preserve">The announcement of invitations to comment on a code </w:t>
      </w:r>
      <w:r>
        <w:t xml:space="preserve">(including a variation) </w:t>
      </w:r>
      <w:r w:rsidRPr="00580EE1">
        <w:t>must be made in ways that are not likely to restrict opportunities for industry and the public to comment on the draft code</w:t>
      </w:r>
      <w:r>
        <w:t xml:space="preserve"> or code variation</w:t>
      </w:r>
      <w:r w:rsidRPr="00580EE1">
        <w:t>.</w:t>
      </w:r>
      <w:r w:rsidR="001B2C9D">
        <w:t xml:space="preserve"> </w:t>
      </w:r>
      <w:r w:rsidRPr="00580EE1">
        <w:t xml:space="preserve">Invitations to comment must be extended in a manner </w:t>
      </w:r>
      <w:r w:rsidR="009319B2">
        <w:t>that</w:t>
      </w:r>
      <w:r w:rsidR="009319B2" w:rsidRPr="00580EE1">
        <w:t xml:space="preserve"> </w:t>
      </w:r>
      <w:r w:rsidRPr="00580EE1">
        <w:t>is appropriate to the target audience.</w:t>
      </w:r>
      <w:r w:rsidR="001B2C9D">
        <w:t xml:space="preserve"> </w:t>
      </w:r>
      <w:r w:rsidRPr="00580EE1">
        <w:t xml:space="preserve">For example, an announcement in a trade journal or website of an invitation to submit comments could be </w:t>
      </w:r>
      <w:r w:rsidR="009319B2">
        <w:t xml:space="preserve">an </w:t>
      </w:r>
      <w:r w:rsidRPr="00580EE1">
        <w:t xml:space="preserve">appropriate notice for participants in the industry, but not for the </w:t>
      </w:r>
      <w:r w:rsidR="009319B2" w:rsidRPr="00580EE1">
        <w:t>public</w:t>
      </w:r>
      <w:r w:rsidRPr="00580EE1">
        <w:t xml:space="preserve">, which would be better targeted through a medium such as </w:t>
      </w:r>
      <w:r w:rsidR="00FA5242">
        <w:t xml:space="preserve">the industry body or association’s website, a media release, social media or </w:t>
      </w:r>
      <w:r w:rsidRPr="00580EE1">
        <w:t>major daily newspapers.</w:t>
      </w:r>
      <w:r w:rsidR="001B2C9D">
        <w:t xml:space="preserve"> </w:t>
      </w:r>
    </w:p>
    <w:p w14:paraId="27223521" w14:textId="18CCB3CE" w:rsidR="00C81125" w:rsidRPr="00580EE1" w:rsidRDefault="00C81125" w:rsidP="00C81125">
      <w:r w:rsidRPr="00580EE1">
        <w:t>Industry bodies should also consider utilising existing consumer, government and industry networks for disseminating information and stimulating discussion and comment on draft codes.</w:t>
      </w:r>
      <w:r w:rsidR="001B2C9D">
        <w:t xml:space="preserve"> </w:t>
      </w:r>
      <w:r w:rsidRPr="00580EE1">
        <w:t>These groups should include representatives of people with disabilities, rural and remote consumers, the elderly</w:t>
      </w:r>
      <w:r w:rsidR="009319B2">
        <w:t>,</w:t>
      </w:r>
      <w:r w:rsidRPr="00580EE1">
        <w:t xml:space="preserve"> and local, state or federal government agencies in addition to other industry bodies.</w:t>
      </w:r>
    </w:p>
    <w:p w14:paraId="665CF17A" w14:textId="151575EA" w:rsidR="00C81125" w:rsidRPr="00580EE1" w:rsidRDefault="00C81125" w:rsidP="00C81125">
      <w:r w:rsidRPr="00580EE1">
        <w:t>Consultation within the industry must be undertaken with participants in the section of the industry to which the code relates.</w:t>
      </w:r>
      <w:r w:rsidR="001B2C9D">
        <w:t xml:space="preserve"> </w:t>
      </w:r>
      <w:r w:rsidRPr="00580EE1">
        <w:t>In some cases, codes will cover more than one section of the industry.</w:t>
      </w:r>
      <w:r w:rsidR="001B2C9D">
        <w:t xml:space="preserve"> </w:t>
      </w:r>
      <w:r w:rsidRPr="00580EE1">
        <w:t xml:space="preserve">Industry bodies must take care to clearly direct invitations to submit comments to all sections of the industry </w:t>
      </w:r>
      <w:r w:rsidR="009319B2">
        <w:t>that</w:t>
      </w:r>
      <w:r w:rsidR="009319B2" w:rsidRPr="00580EE1">
        <w:t xml:space="preserve"> </w:t>
      </w:r>
      <w:r w:rsidRPr="00580EE1">
        <w:t>are covered by the provisions of the code.</w:t>
      </w:r>
      <w:r w:rsidR="001B2C9D">
        <w:t xml:space="preserve"> </w:t>
      </w:r>
      <w:r w:rsidRPr="00580EE1">
        <w:t>In some cases</w:t>
      </w:r>
      <w:r w:rsidR="009319B2">
        <w:t>,</w:t>
      </w:r>
      <w:r w:rsidRPr="00580EE1">
        <w:t xml:space="preserve"> a section of the industry will be small enough to allow a targeted direct mail campaign, or for all participants of the section of the industry to be members of the industry body.</w:t>
      </w:r>
    </w:p>
    <w:p w14:paraId="16A8C1E5" w14:textId="46914C44" w:rsidR="00C81125" w:rsidRPr="00580EE1" w:rsidRDefault="00C81125" w:rsidP="00C81125">
      <w:r w:rsidRPr="00580EE1">
        <w:t>Industry bodies must also aim to ensure that draft codes</w:t>
      </w:r>
      <w:r>
        <w:t xml:space="preserve"> and code variations</w:t>
      </w:r>
      <w:r w:rsidRPr="00580EE1">
        <w:t xml:space="preserve"> are published in ways that do not adversely restrict the likelihood of receiving submissions, particularly from members of the public.</w:t>
      </w:r>
      <w:r w:rsidR="001B2C9D">
        <w:t xml:space="preserve"> </w:t>
      </w:r>
      <w:r w:rsidRPr="00580EE1">
        <w:t xml:space="preserve">Draft codes </w:t>
      </w:r>
      <w:r>
        <w:t xml:space="preserve">and code variations </w:t>
      </w:r>
      <w:r w:rsidRPr="00580EE1">
        <w:t>must be available in the most accessible manner possible, preferably free of charge.</w:t>
      </w:r>
      <w:r w:rsidR="001B2C9D">
        <w:t xml:space="preserve"> </w:t>
      </w:r>
      <w:r w:rsidRPr="00580EE1">
        <w:t>Copies of draft codes</w:t>
      </w:r>
      <w:r>
        <w:t xml:space="preserve"> and variations</w:t>
      </w:r>
      <w:r w:rsidRPr="00580EE1">
        <w:t xml:space="preserve"> </w:t>
      </w:r>
      <w:r>
        <w:t>sh</w:t>
      </w:r>
      <w:r w:rsidRPr="00580EE1">
        <w:t xml:space="preserve">ould </w:t>
      </w:r>
      <w:r>
        <w:t>be available on the relevant industry body’s website.</w:t>
      </w:r>
    </w:p>
    <w:p w14:paraId="6323293C" w14:textId="77777777" w:rsidR="00C81125" w:rsidRDefault="00C81125" w:rsidP="00C81125">
      <w:pPr>
        <w:pStyle w:val="Heading3"/>
      </w:pPr>
      <w:bookmarkStart w:id="281" w:name="_Toc457357947"/>
      <w:bookmarkStart w:id="282" w:name="_Toc457384395"/>
      <w:bookmarkStart w:id="283" w:name="_Toc457713009"/>
      <w:bookmarkStart w:id="284" w:name="_Toc395876640"/>
      <w:bookmarkStart w:id="285" w:name="_Toc428450666"/>
      <w:r w:rsidRPr="00580EE1">
        <w:t>Calculating the consultation period</w:t>
      </w:r>
      <w:bookmarkEnd w:id="281"/>
      <w:bookmarkEnd w:id="282"/>
      <w:bookmarkEnd w:id="283"/>
      <w:bookmarkEnd w:id="284"/>
      <w:bookmarkEnd w:id="285"/>
    </w:p>
    <w:p w14:paraId="56F1C1BB" w14:textId="680613BB" w:rsidR="00C81125" w:rsidRPr="00580EE1" w:rsidRDefault="00C81125" w:rsidP="00C81125">
      <w:r w:rsidRPr="00580EE1">
        <w:t xml:space="preserve">The method by which the </w:t>
      </w:r>
      <w:r w:rsidR="009319B2" w:rsidRPr="00580EE1">
        <w:t>30-day</w:t>
      </w:r>
      <w:r w:rsidRPr="00580EE1">
        <w:t xml:space="preserve"> minimum consultation period is calculated derives from the </w:t>
      </w:r>
      <w:r w:rsidRPr="00580EE1">
        <w:rPr>
          <w:i/>
        </w:rPr>
        <w:t>Acts Interpretation Act 1901</w:t>
      </w:r>
      <w:r w:rsidRPr="00580EE1">
        <w:t>.</w:t>
      </w:r>
      <w:r w:rsidR="001B2C9D">
        <w:t xml:space="preserve"> </w:t>
      </w:r>
      <w:r w:rsidRPr="00580EE1">
        <w:t xml:space="preserve">This Act provides that the consultation period begins on the day immediately following </w:t>
      </w:r>
      <w:r w:rsidRPr="00AC5F57">
        <w:rPr>
          <w:rFonts w:cs="Arial"/>
        </w:rPr>
        <w:t>the day on which the invitation to comment</w:t>
      </w:r>
      <w:r w:rsidRPr="00580EE1">
        <w:t xml:space="preserve"> is announced.</w:t>
      </w:r>
      <w:r w:rsidR="001B2C9D">
        <w:t xml:space="preserve"> </w:t>
      </w:r>
      <w:r w:rsidRPr="00580EE1">
        <w:t>For example, where an invitation for comment first appears on the 14th of the month, the consultation period begins at midnight, which is effectively the 15th.</w:t>
      </w:r>
      <w:r w:rsidR="001B2C9D">
        <w:t xml:space="preserve"> </w:t>
      </w:r>
      <w:r w:rsidRPr="00580EE1">
        <w:t>In addition, the last day of a period is not counted if it is a Saturday, Sunday, public holiday or bank holiday in the place where the period is calculated.</w:t>
      </w:r>
      <w:r w:rsidR="001B2C9D">
        <w:t xml:space="preserve"> </w:t>
      </w:r>
      <w:r w:rsidRPr="00580EE1">
        <w:t xml:space="preserve">If the last day would have been a Saturday, Sunday, public holiday or bank holiday , the last day of the period becomes the next day that is not a Saturday, Sunday, </w:t>
      </w:r>
      <w:r w:rsidR="009319B2">
        <w:t>p</w:t>
      </w:r>
      <w:r w:rsidRPr="00580EE1">
        <w:t xml:space="preserve">ublic </w:t>
      </w:r>
      <w:r w:rsidR="009319B2">
        <w:t>h</w:t>
      </w:r>
      <w:r w:rsidRPr="00580EE1">
        <w:t>oliday or bank holiday.</w:t>
      </w:r>
    </w:p>
    <w:p w14:paraId="13A20218" w14:textId="6486D672" w:rsidR="00E65359" w:rsidRPr="00580EE1" w:rsidRDefault="00C81125" w:rsidP="00C81125">
      <w:r w:rsidRPr="00580EE1">
        <w:lastRenderedPageBreak/>
        <w:t>For invitations to comment sent by post, the minimum specified period of 30 days begins four working days after the invitation was posted.</w:t>
      </w:r>
      <w:r w:rsidR="001B2C9D">
        <w:t xml:space="preserve"> </w:t>
      </w:r>
      <w:r w:rsidRPr="00580EE1">
        <w:t>The 30</w:t>
      </w:r>
      <w:r w:rsidR="009319B2">
        <w:t>-</w:t>
      </w:r>
      <w:r w:rsidRPr="00580EE1">
        <w:t>day period expires at midnight on the 30th day.</w:t>
      </w:r>
    </w:p>
    <w:p w14:paraId="4937206B" w14:textId="77777777" w:rsidR="00C81125" w:rsidRPr="00580EE1" w:rsidRDefault="00C81125" w:rsidP="00C81125">
      <w:pPr>
        <w:pStyle w:val="Heading3"/>
      </w:pPr>
      <w:bookmarkStart w:id="286" w:name="_Toc457357948"/>
      <w:bookmarkStart w:id="287" w:name="_Toc457384396"/>
      <w:bookmarkStart w:id="288" w:name="_Toc457713010"/>
      <w:bookmarkStart w:id="289" w:name="_Toc395876641"/>
      <w:bookmarkStart w:id="290" w:name="_Toc428450667"/>
      <w:r w:rsidRPr="00580EE1">
        <w:t>Meaningful and adequate consultation</w:t>
      </w:r>
      <w:bookmarkEnd w:id="286"/>
      <w:bookmarkEnd w:id="287"/>
      <w:bookmarkEnd w:id="288"/>
      <w:bookmarkEnd w:id="289"/>
      <w:bookmarkEnd w:id="290"/>
      <w:r w:rsidRPr="00580EE1">
        <w:t xml:space="preserve"> </w:t>
      </w:r>
    </w:p>
    <w:p w14:paraId="62E39092" w14:textId="7C490500" w:rsidR="00C81125" w:rsidRPr="00580EE1" w:rsidRDefault="00C81125" w:rsidP="00C81125">
      <w:r w:rsidRPr="00580EE1">
        <w:t xml:space="preserve">Industry bodies should note that the </w:t>
      </w:r>
      <w:r w:rsidR="009319B2" w:rsidRPr="00580EE1">
        <w:t>30-day</w:t>
      </w:r>
      <w:r w:rsidRPr="00580EE1">
        <w:t xml:space="preserve"> consultation period for codes is only a minimum period and serious consideration to a longer consultation period should be given where appropriate.</w:t>
      </w:r>
      <w:r w:rsidR="001B2C9D">
        <w:t xml:space="preserve"> </w:t>
      </w:r>
      <w:r w:rsidRPr="00580EE1">
        <w:t xml:space="preserve">In assessing a code for registration </w:t>
      </w:r>
      <w:r>
        <w:t>(or approval for a code variation)</w:t>
      </w:r>
      <w:r w:rsidR="009319B2">
        <w:t>,</w:t>
      </w:r>
      <w:r>
        <w:t xml:space="preserve"> the ACMA</w:t>
      </w:r>
      <w:r w:rsidRPr="00580EE1">
        <w:t xml:space="preserve"> will not only examine whether the minimum consultation period has been satisfied for the purposes of the Telecommunications Act, but also whether the consultation period has been adequate in all of </w:t>
      </w:r>
      <w:r>
        <w:t>the circumstances.</w:t>
      </w:r>
      <w:r w:rsidR="001B2C9D">
        <w:t xml:space="preserve"> </w:t>
      </w:r>
    </w:p>
    <w:p w14:paraId="4F2E19DD" w14:textId="79C7DA29" w:rsidR="00C81125" w:rsidRPr="00580EE1" w:rsidRDefault="00C81125" w:rsidP="00C81125">
      <w:r w:rsidRPr="00580EE1">
        <w:t xml:space="preserve">In </w:t>
      </w:r>
      <w:r w:rsidR="009319B2" w:rsidRPr="00580EE1">
        <w:t>particular,</w:t>
      </w:r>
      <w:r w:rsidRPr="00580EE1">
        <w:t xml:space="preserve"> </w:t>
      </w:r>
      <w:r>
        <w:t>the ACMA</w:t>
      </w:r>
      <w:r w:rsidRPr="00580EE1">
        <w:t xml:space="preserve"> will focus on whether the affected parties had a reasonable chance to comment on the draft code.</w:t>
      </w:r>
      <w:r w:rsidR="001B2C9D">
        <w:t xml:space="preserve"> </w:t>
      </w:r>
      <w:r w:rsidRPr="00580EE1">
        <w:t xml:space="preserve">Therefore, a </w:t>
      </w:r>
      <w:r w:rsidR="009319B2" w:rsidRPr="00580EE1">
        <w:t>30-day</w:t>
      </w:r>
      <w:r w:rsidRPr="00580EE1">
        <w:t xml:space="preserve"> period that begins on a public holiday or a weekend, or that occurs over Christmas or Easter will not be considered adequate.</w:t>
      </w:r>
      <w:r w:rsidR="001B2C9D">
        <w:t xml:space="preserve"> </w:t>
      </w:r>
      <w:r w:rsidRPr="00580EE1">
        <w:t xml:space="preserve">Furthermore, a </w:t>
      </w:r>
      <w:r w:rsidR="009319B2" w:rsidRPr="00580EE1">
        <w:t>30-day</w:t>
      </w:r>
      <w:r w:rsidRPr="00580EE1">
        <w:t xml:space="preserve"> consultation period</w:t>
      </w:r>
      <w:r w:rsidR="009319B2">
        <w:t>,</w:t>
      </w:r>
      <w:r w:rsidRPr="00580EE1">
        <w:t xml:space="preserve"> where there are other related codes in the public domain that also require comment</w:t>
      </w:r>
      <w:r w:rsidR="009319B2">
        <w:t>,</w:t>
      </w:r>
      <w:r w:rsidRPr="00580EE1">
        <w:t xml:space="preserve"> may not be considered adequate.</w:t>
      </w:r>
      <w:r w:rsidR="001B2C9D">
        <w:t xml:space="preserve"> </w:t>
      </w:r>
      <w:r w:rsidRPr="00580EE1">
        <w:t>Another relevant consideration in deciding on the adequacy of a consultation period is the length and complexity of the code.</w:t>
      </w:r>
      <w:r w:rsidR="001B2C9D">
        <w:t xml:space="preserve"> </w:t>
      </w:r>
      <w:r w:rsidRPr="00580EE1">
        <w:t xml:space="preserve">Where there is any concern or doubt about whether the consultation period would be reasonable, guidance should be sought from </w:t>
      </w:r>
      <w:r>
        <w:t>the ACMA</w:t>
      </w:r>
      <w:r w:rsidRPr="00580EE1">
        <w:t>.</w:t>
      </w:r>
    </w:p>
    <w:p w14:paraId="36A3118C" w14:textId="77777777" w:rsidR="00C81125" w:rsidRPr="00580EE1" w:rsidRDefault="00C81125" w:rsidP="00C81125">
      <w:pPr>
        <w:pStyle w:val="Heading3"/>
      </w:pPr>
      <w:bookmarkStart w:id="291" w:name="_Toc395876642"/>
      <w:bookmarkStart w:id="292" w:name="_Toc428450668"/>
      <w:r w:rsidRPr="00580EE1">
        <w:t>Changes to the code after consultation has occurred</w:t>
      </w:r>
      <w:bookmarkEnd w:id="291"/>
      <w:bookmarkEnd w:id="292"/>
    </w:p>
    <w:p w14:paraId="28E4EEAB" w14:textId="03094591" w:rsidR="00C81125" w:rsidRPr="00580EE1" w:rsidRDefault="00C81125" w:rsidP="00C81125">
      <w:r w:rsidRPr="00580EE1">
        <w:t xml:space="preserve">In cases where substantive changes are made to a code that has already undergone the required public and industry consultation period, the industry body should undertake a second round of comment </w:t>
      </w:r>
      <w:r>
        <w:t>t</w:t>
      </w:r>
      <w:r w:rsidRPr="00580EE1">
        <w:t>o ensure that full and proper consultation is achieved.</w:t>
      </w:r>
      <w:r w:rsidR="001B2C9D">
        <w:t xml:space="preserve"> </w:t>
      </w:r>
      <w:r w:rsidRPr="00580EE1">
        <w:t xml:space="preserve">A second round of public and industry comment would be required, for example, where comment resulted in the application of the code to a new section of the industry or where comment resulted in a substantial change to the nature or scope of the code rules. Where an industry body is uncertain about whether changes are significant enough to require a further round of consultation, it should consult with </w:t>
      </w:r>
      <w:r>
        <w:t>the ACMA</w:t>
      </w:r>
      <w:r w:rsidRPr="00580EE1">
        <w:t>.</w:t>
      </w:r>
    </w:p>
    <w:p w14:paraId="71A4E28C" w14:textId="77777777" w:rsidR="00C81125" w:rsidRPr="00580EE1" w:rsidRDefault="00C81125" w:rsidP="00C81125">
      <w:pPr>
        <w:pStyle w:val="Heading3"/>
      </w:pPr>
      <w:bookmarkStart w:id="293" w:name="_Toc456165477"/>
      <w:bookmarkStart w:id="294" w:name="_Toc456165807"/>
      <w:bookmarkStart w:id="295" w:name="_Toc457357949"/>
      <w:bookmarkStart w:id="296" w:name="_Toc457384397"/>
      <w:bookmarkStart w:id="297" w:name="_Toc457713011"/>
      <w:bookmarkStart w:id="298" w:name="_Toc395876643"/>
      <w:bookmarkStart w:id="299" w:name="_Toc428450669"/>
      <w:r w:rsidRPr="00580EE1">
        <w:t xml:space="preserve">Consultation and </w:t>
      </w:r>
      <w:r>
        <w:t>minor changes to codes</w:t>
      </w:r>
      <w:bookmarkEnd w:id="293"/>
      <w:bookmarkEnd w:id="294"/>
      <w:bookmarkEnd w:id="295"/>
      <w:bookmarkEnd w:id="296"/>
      <w:bookmarkEnd w:id="297"/>
      <w:bookmarkEnd w:id="298"/>
      <w:bookmarkEnd w:id="299"/>
    </w:p>
    <w:p w14:paraId="5D93F930" w14:textId="15BE8A18" w:rsidR="00C81125" w:rsidRPr="00580EE1" w:rsidRDefault="00C81125" w:rsidP="00C81125">
      <w:r w:rsidRPr="00580EE1">
        <w:t xml:space="preserve">Under </w:t>
      </w:r>
      <w:r w:rsidR="00A86C91">
        <w:t>section</w:t>
      </w:r>
      <w:r w:rsidRPr="00580EE1">
        <w:t xml:space="preserve"> </w:t>
      </w:r>
      <w:r w:rsidR="00386998">
        <w:t>119A</w:t>
      </w:r>
      <w:r w:rsidRPr="00580EE1">
        <w:t xml:space="preserve">, changes to registered industry codes </w:t>
      </w:r>
      <w:r>
        <w:t>may</w:t>
      </w:r>
      <w:r w:rsidRPr="00580EE1">
        <w:t xml:space="preserve"> be achieved </w:t>
      </w:r>
      <w:r>
        <w:t xml:space="preserve">by varying one or more of its parts. </w:t>
      </w:r>
      <w:r w:rsidR="000A0550">
        <w:t>As noted above, f</w:t>
      </w:r>
      <w:r>
        <w:t xml:space="preserve">or code variations that </w:t>
      </w:r>
      <w:r w:rsidRPr="00580EE1">
        <w:t xml:space="preserve">differ in only minor respects from the </w:t>
      </w:r>
      <w:r>
        <w:t>existing code</w:t>
      </w:r>
      <w:r w:rsidRPr="00580EE1">
        <w:t xml:space="preserve">, the industry body </w:t>
      </w:r>
      <w:r>
        <w:t xml:space="preserve">making the change </w:t>
      </w:r>
      <w:r w:rsidR="008C5836">
        <w:t>is</w:t>
      </w:r>
      <w:r w:rsidR="008C5836" w:rsidRPr="00580EE1">
        <w:t xml:space="preserve"> </w:t>
      </w:r>
      <w:r w:rsidRPr="00580EE1">
        <w:t xml:space="preserve">not required to undertake </w:t>
      </w:r>
      <w:r w:rsidR="008C5836">
        <w:t xml:space="preserve">formal </w:t>
      </w:r>
      <w:r w:rsidRPr="00580EE1">
        <w:t>industry and public consultation</w:t>
      </w:r>
      <w:r>
        <w:t xml:space="preserve">. </w:t>
      </w:r>
    </w:p>
    <w:p w14:paraId="185E107D" w14:textId="2C8E9ED9" w:rsidR="001133A9" w:rsidRDefault="00C81125" w:rsidP="00C81125">
      <w:r w:rsidRPr="00580EE1">
        <w:t>What constitutes a minor change to a code will differ in individual circumstances.</w:t>
      </w:r>
      <w:r w:rsidR="001B2C9D">
        <w:t xml:space="preserve"> </w:t>
      </w:r>
      <w:r w:rsidRPr="00580EE1">
        <w:t>Nevertheless, as a general rule</w:t>
      </w:r>
      <w:r w:rsidR="009319B2">
        <w:t>,</w:t>
      </w:r>
      <w:r w:rsidRPr="00580EE1">
        <w:t xml:space="preserve"> minor changes are changes that do not alter the meaning or substance of any of the provisions of the code.</w:t>
      </w:r>
      <w:r w:rsidR="001B2C9D">
        <w:t xml:space="preserve"> </w:t>
      </w:r>
      <w:r w:rsidRPr="00580EE1">
        <w:t>Minor changes are likely to be changes that the relevant industry or the public would be unlikely to want to comment on.</w:t>
      </w:r>
      <w:r w:rsidR="001B2C9D">
        <w:t xml:space="preserve"> </w:t>
      </w:r>
      <w:r w:rsidRPr="00580EE1">
        <w:t>One example is the correction of typographical errors.</w:t>
      </w:r>
      <w:r w:rsidR="001B2C9D">
        <w:t xml:space="preserve"> </w:t>
      </w:r>
      <w:r w:rsidRPr="00580EE1">
        <w:t xml:space="preserve">Where there is any doubt about whether affected parties may wish to comment, the code </w:t>
      </w:r>
      <w:r>
        <w:t xml:space="preserve">change </w:t>
      </w:r>
      <w:r w:rsidRPr="00580EE1">
        <w:t>should be resubmitted for consultation.</w:t>
      </w:r>
    </w:p>
    <w:p w14:paraId="4C84F79E" w14:textId="18E3CF92" w:rsidR="001133A9" w:rsidRDefault="001133A9" w:rsidP="001133A9">
      <w:pPr>
        <w:pStyle w:val="Heading2"/>
      </w:pPr>
      <w:bookmarkStart w:id="300" w:name="_Toc428450670"/>
      <w:r>
        <w:t>Planning code development</w:t>
      </w:r>
      <w:bookmarkEnd w:id="300"/>
    </w:p>
    <w:p w14:paraId="6AAB5F8A" w14:textId="48F65A7B" w:rsidR="001133A9" w:rsidRDefault="001133A9" w:rsidP="009F6ADD">
      <w:r>
        <w:t xml:space="preserve">Developing or varying an industry code </w:t>
      </w:r>
      <w:r w:rsidR="00966169">
        <w:t xml:space="preserve">requires careful </w:t>
      </w:r>
      <w:r>
        <w:t>planning. Determining code content, the drafting process, consultation within industry and with</w:t>
      </w:r>
      <w:r w:rsidR="009F6ADD">
        <w:t xml:space="preserve"> other stakeholders and the application process involve</w:t>
      </w:r>
      <w:r w:rsidR="009319B2">
        <w:t>s</w:t>
      </w:r>
      <w:r w:rsidR="009F6ADD">
        <w:t xml:space="preserve"> co-ordination with several parties.</w:t>
      </w:r>
    </w:p>
    <w:p w14:paraId="6FBE970F" w14:textId="5AB7FFE3" w:rsidR="009F6ADD" w:rsidRDefault="009F6ADD" w:rsidP="009F6ADD">
      <w:r>
        <w:t xml:space="preserve">Appendix </w:t>
      </w:r>
      <w:r w:rsidR="00D200EA">
        <w:rPr>
          <w:rFonts w:cs="Arial"/>
        </w:rPr>
        <w:t>F</w:t>
      </w:r>
      <w:r>
        <w:t xml:space="preserve"> offers a framework for representative industry bodies to approach the code development process and the issues that will need to be considered. It breaks up the process into stages</w:t>
      </w:r>
      <w:r w:rsidR="009319B2">
        <w:t>—</w:t>
      </w:r>
      <w:r>
        <w:t xml:space="preserve">from assessing the need </w:t>
      </w:r>
      <w:r w:rsidR="00C56E17">
        <w:t>to create or change</w:t>
      </w:r>
      <w:r>
        <w:t xml:space="preserve"> a</w:t>
      </w:r>
      <w:r w:rsidR="00621936">
        <w:t>n industry</w:t>
      </w:r>
      <w:r>
        <w:t xml:space="preserve"> code, </w:t>
      </w:r>
      <w:r>
        <w:lastRenderedPageBreak/>
        <w:t>setting up a mechanism to steer decision-making and code development, through to submission of the final code or variation to the ACMA for approval.</w:t>
      </w:r>
    </w:p>
    <w:p w14:paraId="6D9370E6" w14:textId="37990CEE" w:rsidR="009F6ADD" w:rsidRPr="001133A9" w:rsidRDefault="00FF39B6" w:rsidP="009F6ADD">
      <w:r>
        <w:t>The framework should also assist industry bodies to plan the tim</w:t>
      </w:r>
      <w:r w:rsidR="00C56E17">
        <w:t>ing</w:t>
      </w:r>
      <w:r>
        <w:t xml:space="preserve"> of their code development process, although the overall timing will vary depending on the complexity of the process</w:t>
      </w:r>
      <w:r w:rsidR="00C56E17">
        <w:t xml:space="preserve"> and the issues covered</w:t>
      </w:r>
      <w:r>
        <w:t xml:space="preserve">. </w:t>
      </w:r>
    </w:p>
    <w:p w14:paraId="6B46E6FA" w14:textId="77777777" w:rsidR="00C81125" w:rsidRPr="00580EE1" w:rsidRDefault="00C81125" w:rsidP="00C81125">
      <w:pPr>
        <w:pStyle w:val="Heading1"/>
      </w:pPr>
      <w:bookmarkStart w:id="301" w:name="_Toc407079492"/>
      <w:bookmarkStart w:id="302" w:name="_Toc424128433"/>
      <w:bookmarkStart w:id="303" w:name="_Toc456165489"/>
      <w:bookmarkStart w:id="304" w:name="_Toc456165819"/>
      <w:bookmarkStart w:id="305" w:name="_Toc457357961"/>
      <w:bookmarkStart w:id="306" w:name="_Toc457384398"/>
      <w:bookmarkStart w:id="307" w:name="_Toc457713012"/>
      <w:bookmarkStart w:id="308" w:name="_Toc395876644"/>
      <w:bookmarkStart w:id="309" w:name="_Toc428450671"/>
      <w:r>
        <w:lastRenderedPageBreak/>
        <w:t>Applying</w:t>
      </w:r>
      <w:r w:rsidRPr="00580EE1">
        <w:t xml:space="preserve"> </w:t>
      </w:r>
      <w:r>
        <w:t>to register</w:t>
      </w:r>
      <w:r w:rsidRPr="00580EE1">
        <w:t xml:space="preserve"> </w:t>
      </w:r>
      <w:r>
        <w:t>a new code</w:t>
      </w:r>
      <w:r w:rsidRPr="00580EE1">
        <w:t xml:space="preserve"> </w:t>
      </w:r>
      <w:r>
        <w:t>or approve a code variation</w:t>
      </w:r>
      <w:bookmarkEnd w:id="301"/>
      <w:bookmarkEnd w:id="302"/>
      <w:bookmarkEnd w:id="303"/>
      <w:bookmarkEnd w:id="304"/>
      <w:bookmarkEnd w:id="305"/>
      <w:bookmarkEnd w:id="306"/>
      <w:bookmarkEnd w:id="307"/>
      <w:bookmarkEnd w:id="308"/>
      <w:bookmarkEnd w:id="309"/>
    </w:p>
    <w:p w14:paraId="1C60C4D9" w14:textId="65AC0225" w:rsidR="009319B2" w:rsidRDefault="00C81125" w:rsidP="00C81125">
      <w:r w:rsidRPr="00580EE1">
        <w:t xml:space="preserve">Following the development of a code and the completion of consultation, industry bodies may choose to apply to </w:t>
      </w:r>
      <w:r>
        <w:t>the ACMA</w:t>
      </w:r>
      <w:r w:rsidRPr="00580EE1">
        <w:t xml:space="preserve"> for inclusion of the code on the </w:t>
      </w:r>
      <w:r w:rsidR="00A86C91">
        <w:t>section</w:t>
      </w:r>
      <w:r w:rsidRPr="00580EE1">
        <w:t xml:space="preserve"> 136 Register (registration).</w:t>
      </w:r>
      <w:r w:rsidR="001B2C9D">
        <w:t xml:space="preserve"> </w:t>
      </w:r>
      <w:r>
        <w:t xml:space="preserve">Similarly, where an industry body or bodies have completed consultation on a variation to a registered code and wish to have the change made formally, they must apply to the ACMA for approval of the variation. </w:t>
      </w:r>
    </w:p>
    <w:p w14:paraId="26464BC6" w14:textId="7B90DBB9" w:rsidR="00C81125" w:rsidRPr="00580EE1" w:rsidRDefault="00C81125" w:rsidP="00C81125">
      <w:r w:rsidRPr="00580EE1">
        <w:t xml:space="preserve">This </w:t>
      </w:r>
      <w:r w:rsidR="005E5F89">
        <w:t>chapter</w:t>
      </w:r>
      <w:r w:rsidR="005E5F89" w:rsidRPr="00580EE1">
        <w:t xml:space="preserve"> </w:t>
      </w:r>
      <w:r w:rsidRPr="00580EE1">
        <w:t xml:space="preserve">provides guidance as to how industry bodies should lodge registration </w:t>
      </w:r>
      <w:r>
        <w:t xml:space="preserve">or approval </w:t>
      </w:r>
      <w:r w:rsidRPr="00580EE1">
        <w:t xml:space="preserve">applications with </w:t>
      </w:r>
      <w:r>
        <w:t>the ACMA. It also explains</w:t>
      </w:r>
      <w:r w:rsidRPr="00580EE1">
        <w:t xml:space="preserve"> the kinds of evidence that should be provided with applications</w:t>
      </w:r>
      <w:r w:rsidR="009319B2">
        <w:t>,</w:t>
      </w:r>
      <w:r w:rsidRPr="00580EE1">
        <w:t xml:space="preserve"> so that </w:t>
      </w:r>
      <w:r>
        <w:t>the ACMA</w:t>
      </w:r>
      <w:r w:rsidRPr="00580EE1">
        <w:t xml:space="preserve"> may be satisfied that the requirements of </w:t>
      </w:r>
      <w:r w:rsidR="00A86C91">
        <w:t>section</w:t>
      </w:r>
      <w:r>
        <w:t>s</w:t>
      </w:r>
      <w:r w:rsidRPr="00580EE1">
        <w:t xml:space="preserve"> 117 </w:t>
      </w:r>
      <w:r>
        <w:t xml:space="preserve">(for new codes) and 119A (for code variations) </w:t>
      </w:r>
      <w:r w:rsidRPr="00580EE1">
        <w:t>have been met.</w:t>
      </w:r>
      <w:r w:rsidR="001B2C9D">
        <w:t xml:space="preserve"> </w:t>
      </w:r>
      <w:r>
        <w:t>F</w:t>
      </w:r>
      <w:r w:rsidRPr="00580EE1">
        <w:t xml:space="preserve">ollowing </w:t>
      </w:r>
      <w:r>
        <w:t>the ACMA</w:t>
      </w:r>
      <w:r w:rsidRPr="00580EE1">
        <w:t xml:space="preserve">'s administrative requirements </w:t>
      </w:r>
      <w:r w:rsidR="00BE53A9">
        <w:t>(</w:t>
      </w:r>
      <w:r w:rsidRPr="00580EE1">
        <w:t>as contained in this guide</w:t>
      </w:r>
      <w:r w:rsidR="00BE53A9">
        <w:t>)</w:t>
      </w:r>
      <w:r w:rsidRPr="00580EE1">
        <w:t xml:space="preserve"> </w:t>
      </w:r>
      <w:r>
        <w:t>will</w:t>
      </w:r>
      <w:r w:rsidRPr="00580EE1">
        <w:t xml:space="preserve"> assist </w:t>
      </w:r>
      <w:r>
        <w:t>the ACMA</w:t>
      </w:r>
      <w:r w:rsidRPr="00580EE1">
        <w:t xml:space="preserve"> in making timely decisions on code registration </w:t>
      </w:r>
      <w:r>
        <w:t xml:space="preserve">and variation </w:t>
      </w:r>
      <w:r w:rsidRPr="00580EE1">
        <w:t>applications.</w:t>
      </w:r>
    </w:p>
    <w:p w14:paraId="71D5B2DC" w14:textId="77777777" w:rsidR="00CA5F87" w:rsidRPr="00580EE1" w:rsidRDefault="00CA5F87" w:rsidP="00CA5F87">
      <w:pPr>
        <w:pStyle w:val="Heading2"/>
      </w:pPr>
      <w:bookmarkStart w:id="310" w:name="_Toc407079493"/>
      <w:bookmarkStart w:id="311" w:name="_Toc424128434"/>
      <w:bookmarkStart w:id="312" w:name="_Toc456165490"/>
      <w:bookmarkStart w:id="313" w:name="_Toc456165820"/>
      <w:bookmarkStart w:id="314" w:name="_Toc457357962"/>
      <w:bookmarkStart w:id="315" w:name="_Toc457384399"/>
      <w:bookmarkStart w:id="316" w:name="_Toc457713013"/>
      <w:bookmarkStart w:id="317" w:name="_Toc395876645"/>
      <w:bookmarkStart w:id="318" w:name="_Toc428450672"/>
      <w:r w:rsidRPr="00580EE1">
        <w:t xml:space="preserve">Presenting </w:t>
      </w:r>
      <w:r>
        <w:t>a new</w:t>
      </w:r>
      <w:r w:rsidRPr="00580EE1">
        <w:t xml:space="preserve"> code to </w:t>
      </w:r>
      <w:r>
        <w:t>the ACMA</w:t>
      </w:r>
      <w:r w:rsidRPr="00580EE1">
        <w:t xml:space="preserve"> for registration</w:t>
      </w:r>
      <w:bookmarkEnd w:id="310"/>
      <w:bookmarkEnd w:id="311"/>
      <w:bookmarkEnd w:id="312"/>
      <w:bookmarkEnd w:id="313"/>
      <w:bookmarkEnd w:id="314"/>
      <w:bookmarkEnd w:id="315"/>
      <w:bookmarkEnd w:id="316"/>
      <w:bookmarkEnd w:id="317"/>
      <w:bookmarkEnd w:id="318"/>
    </w:p>
    <w:p w14:paraId="2E3B8A26" w14:textId="1AE5E148" w:rsidR="00CA5F87" w:rsidRPr="00580EE1" w:rsidRDefault="00CA5F87" w:rsidP="00CA5F87">
      <w:r w:rsidRPr="00580EE1">
        <w:t xml:space="preserve">Registration of an industry code must be initiated by the industry body </w:t>
      </w:r>
      <w:r w:rsidR="00BE53A9">
        <w:t>that</w:t>
      </w:r>
      <w:r w:rsidR="00BE53A9" w:rsidRPr="00580EE1">
        <w:t xml:space="preserve"> </w:t>
      </w:r>
      <w:r w:rsidRPr="00580EE1">
        <w:t>has developed the code.</w:t>
      </w:r>
      <w:r w:rsidR="001B2C9D">
        <w:t xml:space="preserve"> </w:t>
      </w:r>
      <w:r w:rsidRPr="00580EE1">
        <w:t>In order to meet the requirements of paragraph 117(1)(c), code registration applications must be signed by a person who is authorised by the industry body to do so.</w:t>
      </w:r>
      <w:r w:rsidR="001B2C9D">
        <w:t xml:space="preserve"> </w:t>
      </w:r>
      <w:r w:rsidRPr="00580EE1">
        <w:t>Where a code has been initiated by more than one industry body through an affiliation arrangement, the registration application must be signed by an authorised person from each of the industry bodies involved.</w:t>
      </w:r>
    </w:p>
    <w:p w14:paraId="3D2FA0C2" w14:textId="57855879" w:rsidR="00CA5F87" w:rsidRDefault="00CA5F87" w:rsidP="00CA5F87">
      <w:r w:rsidRPr="00580EE1">
        <w:t xml:space="preserve">Industry bodies may commence formal registration proceedings by submitting the code, including an Explanatory Statement </w:t>
      </w:r>
      <w:r w:rsidR="005E5F89">
        <w:t xml:space="preserve">(if prepared) </w:t>
      </w:r>
      <w:r w:rsidRPr="00580EE1">
        <w:t xml:space="preserve">and supporting documentation, to </w:t>
      </w:r>
      <w:r>
        <w:t>the ACMA</w:t>
      </w:r>
      <w:r w:rsidR="00BE53A9">
        <w:t>,</w:t>
      </w:r>
      <w:r w:rsidRPr="00580EE1">
        <w:t xml:space="preserve"> using the form </w:t>
      </w:r>
      <w:r w:rsidRPr="00580EE1">
        <w:rPr>
          <w:i/>
        </w:rPr>
        <w:t xml:space="preserve">Application </w:t>
      </w:r>
      <w:r w:rsidR="005E5F89">
        <w:rPr>
          <w:i/>
        </w:rPr>
        <w:t xml:space="preserve">form </w:t>
      </w:r>
      <w:r w:rsidRPr="00580EE1">
        <w:rPr>
          <w:i/>
        </w:rPr>
        <w:t xml:space="preserve">for registration of </w:t>
      </w:r>
      <w:r>
        <w:rPr>
          <w:i/>
        </w:rPr>
        <w:t>a</w:t>
      </w:r>
      <w:r w:rsidR="005E5F89">
        <w:rPr>
          <w:i/>
        </w:rPr>
        <w:t>n industry code under Part 6 of the</w:t>
      </w:r>
      <w:r>
        <w:rPr>
          <w:i/>
        </w:rPr>
        <w:t xml:space="preserve"> </w:t>
      </w:r>
      <w:r w:rsidR="005E5F89">
        <w:rPr>
          <w:i/>
        </w:rPr>
        <w:t>T</w:t>
      </w:r>
      <w:r w:rsidRPr="00580EE1">
        <w:rPr>
          <w:i/>
        </w:rPr>
        <w:t xml:space="preserve">elecommunications </w:t>
      </w:r>
      <w:r w:rsidR="005E5F89">
        <w:rPr>
          <w:i/>
        </w:rPr>
        <w:t>Act</w:t>
      </w:r>
      <w:r w:rsidRPr="00A86C91">
        <w:rPr>
          <w:i/>
        </w:rPr>
        <w:t>.</w:t>
      </w:r>
      <w:r w:rsidR="001B2C9D" w:rsidRPr="00A86C91">
        <w:t xml:space="preserve"> </w:t>
      </w:r>
      <w:r w:rsidRPr="00A86C91">
        <w:t xml:space="preserve">A copy of this form is </w:t>
      </w:r>
      <w:r w:rsidR="005E5F89" w:rsidRPr="00A86C91">
        <w:t xml:space="preserve">available </w:t>
      </w:r>
      <w:r w:rsidR="00BE53A9" w:rsidRPr="00D90E6C">
        <w:t>on</w:t>
      </w:r>
      <w:r w:rsidR="00BE53A9" w:rsidRPr="00A86C91">
        <w:t xml:space="preserve"> </w:t>
      </w:r>
      <w:r w:rsidR="005E5F89" w:rsidRPr="00A86C91">
        <w:t>the ACMA website</w:t>
      </w:r>
      <w:r w:rsidR="005B5C48" w:rsidRPr="00A86C91">
        <w:t xml:space="preserve"> </w:t>
      </w:r>
      <w:hyperlink r:id="rId32" w:history="1">
        <w:r w:rsidR="005B5C48" w:rsidRPr="00A86C91">
          <w:rPr>
            <w:rStyle w:val="Hyperlink"/>
          </w:rPr>
          <w:t>www.acma.gov.au</w:t>
        </w:r>
      </w:hyperlink>
      <w:r w:rsidRPr="00A86C91">
        <w:t>.</w:t>
      </w:r>
    </w:p>
    <w:p w14:paraId="6736FADB" w14:textId="77777777" w:rsidR="00CA5F87" w:rsidRDefault="00CA5F87" w:rsidP="00CA5F87">
      <w:pPr>
        <w:pStyle w:val="Heading2"/>
      </w:pPr>
      <w:bookmarkStart w:id="319" w:name="_Toc395876646"/>
      <w:bookmarkStart w:id="320" w:name="_Toc428450673"/>
      <w:r>
        <w:t>Presenting a code variation to the ACMA for approval</w:t>
      </w:r>
      <w:bookmarkEnd w:id="319"/>
      <w:bookmarkEnd w:id="320"/>
    </w:p>
    <w:p w14:paraId="43428F3B" w14:textId="77777777" w:rsidR="00CA5F87" w:rsidRDefault="00CA5F87" w:rsidP="00CA5F87">
      <w:r>
        <w:t>Starting the process for approval of a variation to one or more parts of a registered code is similar to initiating code registration. The application must be made by the industry body that has developed the code and the variations. To meet the requirements of paragraph 119A(1)(c), a code variation approval application must be signed by a person authorised by the relevant industry body proposing the variation to do so.</w:t>
      </w:r>
    </w:p>
    <w:p w14:paraId="6B7DA4F2" w14:textId="63720716" w:rsidR="00CA5F87" w:rsidRDefault="00CA5F87" w:rsidP="00CA5F87">
      <w:r>
        <w:t>The application for approval commences by the industry body submitting its draft variation or variations, with an updated explanatory statement</w:t>
      </w:r>
      <w:r w:rsidR="005B5C48">
        <w:t xml:space="preserve"> (where relevant)</w:t>
      </w:r>
      <w:r>
        <w:t xml:space="preserve">, using the form </w:t>
      </w:r>
      <w:r>
        <w:rPr>
          <w:i/>
        </w:rPr>
        <w:t>Application</w:t>
      </w:r>
      <w:r w:rsidR="005B5C48">
        <w:rPr>
          <w:i/>
        </w:rPr>
        <w:t xml:space="preserve"> form</w:t>
      </w:r>
      <w:r>
        <w:rPr>
          <w:i/>
        </w:rPr>
        <w:t xml:space="preserve"> for approval to vary a registered </w:t>
      </w:r>
      <w:r w:rsidR="005B5C48">
        <w:rPr>
          <w:i/>
        </w:rPr>
        <w:t xml:space="preserve">industry code under Part 6 of the </w:t>
      </w:r>
      <w:r>
        <w:rPr>
          <w:i/>
        </w:rPr>
        <w:t xml:space="preserve">Telecommunications </w:t>
      </w:r>
      <w:r w:rsidR="005B5C48">
        <w:rPr>
          <w:i/>
        </w:rPr>
        <w:t>Act</w:t>
      </w:r>
      <w:r>
        <w:rPr>
          <w:i/>
        </w:rPr>
        <w:t>.</w:t>
      </w:r>
      <w:r>
        <w:t xml:space="preserve"> A copy of this form is </w:t>
      </w:r>
      <w:r w:rsidR="00BE53A9">
        <w:t>available on the ACMA website</w:t>
      </w:r>
      <w:r>
        <w:t xml:space="preserve"> </w:t>
      </w:r>
      <w:hyperlink r:id="rId33" w:history="1">
        <w:r w:rsidRPr="004E0EDB">
          <w:rPr>
            <w:rStyle w:val="Hyperlink"/>
          </w:rPr>
          <w:t>www.acma.gov.au</w:t>
        </w:r>
      </w:hyperlink>
      <w:r>
        <w:t>.</w:t>
      </w:r>
    </w:p>
    <w:p w14:paraId="4E2DC1F0" w14:textId="77777777" w:rsidR="00CA5F87" w:rsidRDefault="00CA5F87" w:rsidP="00D90E6C">
      <w:pPr>
        <w:spacing w:after="80"/>
      </w:pPr>
      <w:r>
        <w:t>Applications should include the following:</w:t>
      </w:r>
    </w:p>
    <w:p w14:paraId="4C75EEED" w14:textId="2886BDDF" w:rsidR="00CA5F87" w:rsidRDefault="00BE53A9" w:rsidP="00CA5F87">
      <w:pPr>
        <w:pStyle w:val="ListBullet"/>
      </w:pPr>
      <w:r>
        <w:t>a s</w:t>
      </w:r>
      <w:r w:rsidR="00CA5F87">
        <w:t>igned code variation approval application form</w:t>
      </w:r>
    </w:p>
    <w:p w14:paraId="635BD2A9" w14:textId="542ED68C" w:rsidR="00CA5F87" w:rsidRDefault="00BE53A9" w:rsidP="00CA5F87">
      <w:pPr>
        <w:pStyle w:val="ListBullet"/>
      </w:pPr>
      <w:r>
        <w:t>a c</w:t>
      </w:r>
      <w:r w:rsidR="00CA5F87">
        <w:t>opy of variation or variations</w:t>
      </w:r>
    </w:p>
    <w:p w14:paraId="54AD920F" w14:textId="23E99E17" w:rsidR="00CA5F87" w:rsidRDefault="00BE53A9" w:rsidP="00CA5F87">
      <w:pPr>
        <w:pStyle w:val="ListBullet"/>
      </w:pPr>
      <w:r>
        <w:t xml:space="preserve">a </w:t>
      </w:r>
      <w:r w:rsidR="00CA5F87">
        <w:t>copy of the code with the variations included in way that clearly shows where the variations are made</w:t>
      </w:r>
    </w:p>
    <w:p w14:paraId="21C91C2C" w14:textId="54629B0A" w:rsidR="00CA5F87" w:rsidRDefault="00BE53A9" w:rsidP="00CA5F87">
      <w:pPr>
        <w:pStyle w:val="ListBullet"/>
      </w:pPr>
      <w:r>
        <w:t>a</w:t>
      </w:r>
      <w:r w:rsidR="00CA5F87">
        <w:t xml:space="preserve">n updated code explanatory statement </w:t>
      </w:r>
      <w:r w:rsidR="001304A1">
        <w:t xml:space="preserve">(where relevant) </w:t>
      </w:r>
      <w:r w:rsidR="00CA5F87">
        <w:t>that reflects the variations</w:t>
      </w:r>
    </w:p>
    <w:p w14:paraId="3B4A8BD7" w14:textId="65E2C1CC" w:rsidR="00CA5F87" w:rsidRDefault="00BE53A9" w:rsidP="00CA5F87">
      <w:pPr>
        <w:pStyle w:val="ListBulletLast"/>
      </w:pPr>
      <w:r>
        <w:lastRenderedPageBreak/>
        <w:t>a</w:t>
      </w:r>
      <w:r w:rsidR="00CA5F87">
        <w:t xml:space="preserve">ll </w:t>
      </w:r>
      <w:r w:rsidR="00CA5F87" w:rsidRPr="00CA5F87">
        <w:t>other</w:t>
      </w:r>
      <w:r w:rsidR="00CA5F87">
        <w:t xml:space="preserve"> supporting documentation noted in the remaining part of this chapter</w:t>
      </w:r>
      <w:r w:rsidR="001304A1">
        <w:t>.</w:t>
      </w:r>
    </w:p>
    <w:p w14:paraId="35E3985D" w14:textId="77777777" w:rsidR="00CA5F87" w:rsidRPr="00580EE1" w:rsidRDefault="00CA5F87" w:rsidP="00CA5F87">
      <w:pPr>
        <w:pStyle w:val="Heading2"/>
      </w:pPr>
      <w:bookmarkStart w:id="321" w:name="_Toc407079494"/>
      <w:bookmarkStart w:id="322" w:name="_Toc424128435"/>
      <w:bookmarkStart w:id="323" w:name="_Toc456165491"/>
      <w:bookmarkStart w:id="324" w:name="_Toc456165821"/>
      <w:bookmarkStart w:id="325" w:name="_Toc457357963"/>
      <w:bookmarkStart w:id="326" w:name="_Toc457384400"/>
      <w:bookmarkStart w:id="327" w:name="_Toc457713014"/>
      <w:bookmarkStart w:id="328" w:name="_Toc395876647"/>
      <w:bookmarkStart w:id="329" w:name="_Toc428450674"/>
      <w:r w:rsidRPr="00580EE1">
        <w:t>Providing documentation</w:t>
      </w:r>
      <w:bookmarkEnd w:id="321"/>
      <w:bookmarkEnd w:id="322"/>
      <w:bookmarkEnd w:id="323"/>
      <w:bookmarkEnd w:id="324"/>
      <w:bookmarkEnd w:id="325"/>
      <w:bookmarkEnd w:id="326"/>
      <w:bookmarkEnd w:id="327"/>
      <w:bookmarkEnd w:id="328"/>
      <w:bookmarkEnd w:id="329"/>
    </w:p>
    <w:p w14:paraId="7758F8C8" w14:textId="6424E334" w:rsidR="00CA5F87" w:rsidRPr="00580EE1" w:rsidRDefault="00CA5F87" w:rsidP="00CA5F87">
      <w:r>
        <w:t>As part of an</w:t>
      </w:r>
      <w:r w:rsidRPr="00580EE1">
        <w:t xml:space="preserve"> industry body</w:t>
      </w:r>
      <w:r>
        <w:t xml:space="preserve">’s application, </w:t>
      </w:r>
      <w:r w:rsidRPr="00580EE1">
        <w:t>documentation must</w:t>
      </w:r>
      <w:r>
        <w:t xml:space="preserve"> also</w:t>
      </w:r>
      <w:r w:rsidRPr="00580EE1">
        <w:t xml:space="preserve"> </w:t>
      </w:r>
      <w:r>
        <w:t xml:space="preserve">be </w:t>
      </w:r>
      <w:r w:rsidRPr="00580EE1">
        <w:t>provide</w:t>
      </w:r>
      <w:r>
        <w:t>d</w:t>
      </w:r>
      <w:r w:rsidRPr="00580EE1">
        <w:t xml:space="preserve"> to support claims in relation to all criteria in subsection 117(1) </w:t>
      </w:r>
      <w:r>
        <w:t xml:space="preserve">for code registration, or </w:t>
      </w:r>
      <w:r w:rsidR="00EC12DE">
        <w:t xml:space="preserve">subsection </w:t>
      </w:r>
      <w:r>
        <w:t xml:space="preserve">119A(1) for code variation </w:t>
      </w:r>
      <w:r w:rsidRPr="00580EE1">
        <w:t>of the Telecommunications Act.</w:t>
      </w:r>
      <w:r w:rsidR="001B2C9D">
        <w:t xml:space="preserve"> </w:t>
      </w:r>
      <w:r w:rsidRPr="00580EE1">
        <w:t>A checklist of the required supporting documentation is at the end of this guide.</w:t>
      </w:r>
      <w:r w:rsidR="001B2C9D">
        <w:t xml:space="preserve"> </w:t>
      </w:r>
      <w:r w:rsidRPr="00580EE1">
        <w:t xml:space="preserve">Where the </w:t>
      </w:r>
      <w:r>
        <w:t xml:space="preserve">application </w:t>
      </w:r>
      <w:r w:rsidRPr="00580EE1">
        <w:t>form</w:t>
      </w:r>
      <w:r>
        <w:t>s for</w:t>
      </w:r>
      <w:r w:rsidRPr="00580EE1">
        <w:t xml:space="preserve"> </w:t>
      </w:r>
      <w:r w:rsidRPr="00621004">
        <w:t>registering a code or approving a code variation</w:t>
      </w:r>
      <w:r>
        <w:rPr>
          <w:i/>
        </w:rPr>
        <w:t xml:space="preserve"> </w:t>
      </w:r>
      <w:r w:rsidRPr="00580EE1">
        <w:t xml:space="preserve">request supporting documentation, provision of this documentation is required by </w:t>
      </w:r>
      <w:r>
        <w:t>the ACMA</w:t>
      </w:r>
      <w:r w:rsidRPr="00580EE1">
        <w:t xml:space="preserve"> in order for it to be satisfied that the requirements of subsection 117(1) </w:t>
      </w:r>
      <w:r>
        <w:t xml:space="preserve">or 119A(1) </w:t>
      </w:r>
      <w:r w:rsidRPr="00580EE1">
        <w:t>have been met.</w:t>
      </w:r>
      <w:r w:rsidR="001B2C9D">
        <w:t xml:space="preserve"> </w:t>
      </w:r>
      <w:r w:rsidRPr="00580EE1">
        <w:t xml:space="preserve">Applications that are lodged </w:t>
      </w:r>
      <w:r w:rsidRPr="00D90E6C">
        <w:rPr>
          <w:i/>
        </w:rPr>
        <w:t>without</w:t>
      </w:r>
      <w:r w:rsidRPr="00580EE1">
        <w:t xml:space="preserve"> the required documentation will delay </w:t>
      </w:r>
      <w:r>
        <w:t>the ACMA</w:t>
      </w:r>
      <w:r w:rsidRPr="00580EE1">
        <w:t>’s consideration of the</w:t>
      </w:r>
      <w:r>
        <w:t xml:space="preserve"> new</w:t>
      </w:r>
      <w:r w:rsidRPr="00580EE1">
        <w:t xml:space="preserve"> code</w:t>
      </w:r>
      <w:r>
        <w:t xml:space="preserve"> or variation</w:t>
      </w:r>
      <w:r w:rsidRPr="00580EE1">
        <w:t>.</w:t>
      </w:r>
      <w:r w:rsidR="001B2C9D">
        <w:t xml:space="preserve"> </w:t>
      </w:r>
      <w:r w:rsidRPr="00580EE1">
        <w:t xml:space="preserve">If this documentation cannot be provided, </w:t>
      </w:r>
      <w:r>
        <w:t>the ACMA</w:t>
      </w:r>
      <w:r w:rsidRPr="00580EE1">
        <w:t xml:space="preserve"> is unable to meet the requirements of the Telecommunications Act and </w:t>
      </w:r>
      <w:r>
        <w:t>will not</w:t>
      </w:r>
      <w:r w:rsidRPr="00580EE1">
        <w:t xml:space="preserve"> </w:t>
      </w:r>
      <w:r>
        <w:t xml:space="preserve">be </w:t>
      </w:r>
      <w:r w:rsidRPr="00580EE1">
        <w:t>able to register the code</w:t>
      </w:r>
      <w:r w:rsidRPr="00105B46">
        <w:t xml:space="preserve"> </w:t>
      </w:r>
      <w:r>
        <w:t>or approve a variation</w:t>
      </w:r>
      <w:r w:rsidRPr="00580EE1">
        <w:t xml:space="preserve">. </w:t>
      </w:r>
    </w:p>
    <w:p w14:paraId="2B4CF80F" w14:textId="77777777" w:rsidR="00CA5F87" w:rsidRPr="00580EE1" w:rsidRDefault="00CA5F87" w:rsidP="00CA5F87">
      <w:pPr>
        <w:pStyle w:val="Heading3"/>
      </w:pPr>
      <w:bookmarkStart w:id="330" w:name="_Toc407079495"/>
      <w:bookmarkStart w:id="331" w:name="_Toc424128436"/>
      <w:bookmarkStart w:id="332" w:name="_Toc456165492"/>
      <w:bookmarkStart w:id="333" w:name="_Toc456165822"/>
      <w:bookmarkStart w:id="334" w:name="_Toc457357964"/>
      <w:bookmarkStart w:id="335" w:name="_Toc457384401"/>
      <w:bookmarkStart w:id="336" w:name="_Toc457713015"/>
      <w:bookmarkStart w:id="337" w:name="_Toc395876648"/>
      <w:bookmarkStart w:id="338" w:name="_Toc428450675"/>
      <w:r w:rsidRPr="00580EE1">
        <w:t>Representing a section of the industry</w:t>
      </w:r>
      <w:bookmarkEnd w:id="330"/>
      <w:bookmarkEnd w:id="331"/>
      <w:bookmarkEnd w:id="332"/>
      <w:bookmarkEnd w:id="333"/>
      <w:bookmarkEnd w:id="334"/>
      <w:bookmarkEnd w:id="335"/>
      <w:bookmarkEnd w:id="336"/>
      <w:bookmarkEnd w:id="337"/>
      <w:bookmarkEnd w:id="338"/>
      <w:r w:rsidRPr="00580EE1">
        <w:t xml:space="preserve"> </w:t>
      </w:r>
    </w:p>
    <w:p w14:paraId="42D52467" w14:textId="77777777" w:rsidR="00CA5F87" w:rsidRPr="00580EE1" w:rsidRDefault="00CA5F87" w:rsidP="00D90E6C">
      <w:pPr>
        <w:spacing w:after="80"/>
      </w:pPr>
      <w:r w:rsidRPr="00580EE1">
        <w:t xml:space="preserve">Applications for </w:t>
      </w:r>
      <w:r>
        <w:t xml:space="preserve">code </w:t>
      </w:r>
      <w:r w:rsidRPr="00580EE1">
        <w:t xml:space="preserve">registration </w:t>
      </w:r>
      <w:r>
        <w:t xml:space="preserve">or variation </w:t>
      </w:r>
      <w:r w:rsidRPr="00580EE1">
        <w:t>must clearly indicate the following:</w:t>
      </w:r>
    </w:p>
    <w:p w14:paraId="05E24BCD" w14:textId="23781810" w:rsidR="00CA5F87" w:rsidRPr="00580EE1" w:rsidRDefault="00BE53A9" w:rsidP="00CA5F87">
      <w:pPr>
        <w:pStyle w:val="ListBullet"/>
      </w:pPr>
      <w:r>
        <w:t>t</w:t>
      </w:r>
      <w:r w:rsidR="00CA5F87" w:rsidRPr="00580EE1">
        <w:t>he section or sections of the industry the body claims to represent and to which the code applies</w:t>
      </w:r>
      <w:r w:rsidR="00CA5F87">
        <w:t xml:space="preserve"> as defined in </w:t>
      </w:r>
      <w:r w:rsidR="00A86C91">
        <w:t>section</w:t>
      </w:r>
      <w:r w:rsidR="00CA5F87">
        <w:t>s 110, 110B and 110C of the Telecommunications Act, ensuring that the</w:t>
      </w:r>
      <w:r w:rsidR="00CA5F87" w:rsidRPr="00580EE1">
        <w:t xml:space="preserve"> code itself </w:t>
      </w:r>
      <w:r w:rsidR="00CA5F87">
        <w:t xml:space="preserve">also </w:t>
      </w:r>
      <w:r w:rsidR="00CA5F87" w:rsidRPr="00580EE1">
        <w:t>clearly state</w:t>
      </w:r>
      <w:r w:rsidR="00CA5F87">
        <w:t>s</w:t>
      </w:r>
      <w:r w:rsidR="00CA5F87" w:rsidRPr="00580EE1">
        <w:t xml:space="preserve"> the section or sections of the industry covered by the code</w:t>
      </w:r>
      <w:r w:rsidR="001B2C9D">
        <w:t xml:space="preserve"> </w:t>
      </w:r>
    </w:p>
    <w:p w14:paraId="5582BCC8" w14:textId="513FD256" w:rsidR="00CA5F87" w:rsidRPr="00580EE1" w:rsidRDefault="00BE53A9" w:rsidP="00CA5F87">
      <w:pPr>
        <w:pStyle w:val="ListBulletLast"/>
      </w:pPr>
      <w:r>
        <w:t>s</w:t>
      </w:r>
      <w:r w:rsidR="00CA5F87" w:rsidRPr="00580EE1">
        <w:t>upporting evidence of the industry body’s claim to represent the section or sections of the industry.</w:t>
      </w:r>
    </w:p>
    <w:p w14:paraId="13911F2C" w14:textId="77777777" w:rsidR="00CA5F87" w:rsidRPr="00580EE1" w:rsidRDefault="00CA5F87" w:rsidP="00D90E6C">
      <w:pPr>
        <w:spacing w:after="80"/>
      </w:pPr>
      <w:r w:rsidRPr="00580EE1">
        <w:t>Suitable evidence to support claims to represent sections of the industry could include one, or a combination, of the following:</w:t>
      </w:r>
    </w:p>
    <w:p w14:paraId="5EADA7B7" w14:textId="20ACB364" w:rsidR="00964D54" w:rsidRDefault="00CA5F87" w:rsidP="00CA5F87">
      <w:pPr>
        <w:pStyle w:val="ListBullet"/>
      </w:pPr>
      <w:r w:rsidRPr="00580EE1">
        <w:t xml:space="preserve">membership data verifying membership of key industry players, which collectively provide a representative cross sample of the section or sections of the industry, in relevant areas such as market share and products and services </w:t>
      </w:r>
    </w:p>
    <w:p w14:paraId="4AE9F10D" w14:textId="187513BF" w:rsidR="00964D54" w:rsidRDefault="00966169" w:rsidP="00964D54">
      <w:pPr>
        <w:pStyle w:val="ListBullet"/>
      </w:pPr>
      <w:r>
        <w:t>v</w:t>
      </w:r>
      <w:r w:rsidR="00964D54">
        <w:t xml:space="preserve">erification of affiliations between the body and other industry bodies </w:t>
      </w:r>
      <w:r w:rsidR="00BE53A9">
        <w:t xml:space="preserve">that </w:t>
      </w:r>
      <w:r w:rsidR="00964D54">
        <w:t>also subscribe to the code, with the combined membership forming a majority of participants in the relevant section(s)</w:t>
      </w:r>
    </w:p>
    <w:p w14:paraId="41659EA5" w14:textId="5E834C71" w:rsidR="00CA5F87" w:rsidRPr="00580EE1" w:rsidRDefault="00966169" w:rsidP="00964D54">
      <w:pPr>
        <w:pStyle w:val="ListBullet"/>
      </w:pPr>
      <w:r>
        <w:t>m</w:t>
      </w:r>
      <w:r w:rsidR="00964D54">
        <w:t>embership data verifying membership of key industry players, which collectively provide a representative cross sample of the section or sections of the industry, in relevant areas such as market share and products and services</w:t>
      </w:r>
    </w:p>
    <w:p w14:paraId="7283FA9A" w14:textId="77777777" w:rsidR="00CA5F87" w:rsidRPr="00580EE1" w:rsidRDefault="00CA5F87" w:rsidP="00CA5F87">
      <w:pPr>
        <w:pStyle w:val="ListBulletLast"/>
      </w:pPr>
      <w:r w:rsidRPr="00580EE1">
        <w:t xml:space="preserve">any other information that will assist </w:t>
      </w:r>
      <w:r>
        <w:t>the ACMA</w:t>
      </w:r>
      <w:r w:rsidRPr="00580EE1">
        <w:t xml:space="preserve"> in deciding whether the industry body represents the particular section or sections of the industry.</w:t>
      </w:r>
    </w:p>
    <w:p w14:paraId="301ADFC7" w14:textId="77777777" w:rsidR="00CA5F87" w:rsidRPr="00580EE1" w:rsidRDefault="00CA5F87" w:rsidP="00CA5F87">
      <w:pPr>
        <w:pStyle w:val="Heading3"/>
      </w:pPr>
      <w:bookmarkStart w:id="339" w:name="_Toc407079496"/>
      <w:bookmarkStart w:id="340" w:name="_Toc424128437"/>
      <w:bookmarkStart w:id="341" w:name="_Toc456165493"/>
      <w:bookmarkStart w:id="342" w:name="_Toc456165823"/>
      <w:bookmarkStart w:id="343" w:name="_Toc457357965"/>
      <w:bookmarkStart w:id="344" w:name="_Toc457384402"/>
      <w:bookmarkStart w:id="345" w:name="_Toc457713016"/>
      <w:bookmarkStart w:id="346" w:name="_Toc395876649"/>
      <w:bookmarkStart w:id="347" w:name="_Toc428450676"/>
      <w:r w:rsidRPr="00580EE1">
        <w:t>Substantiating invitations for industry and public submissions</w:t>
      </w:r>
      <w:bookmarkEnd w:id="339"/>
      <w:bookmarkEnd w:id="340"/>
      <w:bookmarkEnd w:id="341"/>
      <w:bookmarkEnd w:id="342"/>
      <w:bookmarkEnd w:id="343"/>
      <w:bookmarkEnd w:id="344"/>
      <w:bookmarkEnd w:id="345"/>
      <w:bookmarkEnd w:id="346"/>
      <w:bookmarkEnd w:id="347"/>
    </w:p>
    <w:p w14:paraId="1207AE9C" w14:textId="3DAEB947" w:rsidR="00CA5F87" w:rsidRDefault="00CA5F87" w:rsidP="00CA5F87">
      <w:r w:rsidRPr="00580EE1">
        <w:t xml:space="preserve">Prior to submission of the code </w:t>
      </w:r>
      <w:r>
        <w:t xml:space="preserve">or code variation </w:t>
      </w:r>
      <w:r w:rsidRPr="00580EE1">
        <w:t xml:space="preserve">to </w:t>
      </w:r>
      <w:r>
        <w:t>the ACMA</w:t>
      </w:r>
      <w:r w:rsidRPr="00580EE1">
        <w:t>, the industry body must have concluded all consultation required by subsection</w:t>
      </w:r>
      <w:r>
        <w:t>s</w:t>
      </w:r>
      <w:r w:rsidRPr="00580EE1">
        <w:t xml:space="preserve"> 117(1)</w:t>
      </w:r>
      <w:r>
        <w:t xml:space="preserve"> or 119A(1)</w:t>
      </w:r>
      <w:r w:rsidRPr="00580EE1">
        <w:t>.</w:t>
      </w:r>
      <w:r w:rsidR="001B2C9D">
        <w:t xml:space="preserve"> </w:t>
      </w:r>
      <w:r w:rsidRPr="00580EE1">
        <w:t xml:space="preserve">All documentation confirming that consultation has been completed should be prepared ready for submission with the code registration </w:t>
      </w:r>
      <w:r>
        <w:t xml:space="preserve">(or variation) </w:t>
      </w:r>
      <w:r w:rsidRPr="00580EE1">
        <w:t xml:space="preserve">application to </w:t>
      </w:r>
      <w:r>
        <w:t>the ACMA.</w:t>
      </w:r>
      <w:r w:rsidR="001B2C9D">
        <w:t xml:space="preserve"> </w:t>
      </w:r>
    </w:p>
    <w:p w14:paraId="4BC25DEE" w14:textId="49D39D3E" w:rsidR="00CA5F87" w:rsidRPr="00580EE1" w:rsidRDefault="00CA5F87" w:rsidP="00D90E6C">
      <w:pPr>
        <w:spacing w:after="80"/>
      </w:pPr>
      <w:r>
        <w:t>In the case of an application for code registration, the ACMA</w:t>
      </w:r>
      <w:r w:rsidRPr="00580EE1">
        <w:t xml:space="preserve"> must be satisfied that a draft code </w:t>
      </w:r>
      <w:r>
        <w:t xml:space="preserve">or any draft variations </w:t>
      </w:r>
      <w:r w:rsidRPr="00580EE1">
        <w:t>w</w:t>
      </w:r>
      <w:r>
        <w:t>ere</w:t>
      </w:r>
      <w:r w:rsidRPr="00580EE1">
        <w:t xml:space="preserve"> published</w:t>
      </w:r>
      <w:r w:rsidR="00BE53A9">
        <w:t>,</w:t>
      </w:r>
      <w:r w:rsidRPr="00580EE1">
        <w:t xml:space="preserve"> and that industry and the public were invited to submit comments. Applications for code registration </w:t>
      </w:r>
      <w:r>
        <w:t xml:space="preserve">or variation </w:t>
      </w:r>
      <w:r w:rsidRPr="00580EE1">
        <w:t xml:space="preserve">should include documentary evidence of: </w:t>
      </w:r>
    </w:p>
    <w:p w14:paraId="7A9A4355" w14:textId="5AB7CD5F" w:rsidR="00CA5F87" w:rsidRPr="00580EE1" w:rsidRDefault="00140E6F" w:rsidP="00CA5F87">
      <w:pPr>
        <w:pStyle w:val="ListBullet"/>
      </w:pPr>
      <w:r>
        <w:t xml:space="preserve">an </w:t>
      </w:r>
      <w:r w:rsidR="00CA5F87" w:rsidRPr="00580EE1">
        <w:t>invitation to participants in each relevant section of the industry to make submissions on the draft code</w:t>
      </w:r>
      <w:r w:rsidR="00CA5F87">
        <w:t xml:space="preserve"> or variation</w:t>
      </w:r>
      <w:r w:rsidR="00CA5F87" w:rsidRPr="00580EE1">
        <w:t>; or</w:t>
      </w:r>
    </w:p>
    <w:p w14:paraId="0B1605D9" w14:textId="584E9C50" w:rsidR="00CA5F87" w:rsidRPr="00580EE1" w:rsidRDefault="00CA5F87" w:rsidP="00CA5F87">
      <w:pPr>
        <w:pStyle w:val="ListBullet"/>
      </w:pPr>
      <w:r w:rsidRPr="00580EE1">
        <w:t>the participation of all members of a section of the industry in the industry body</w:t>
      </w:r>
      <w:r w:rsidR="00140E6F">
        <w:t>.</w:t>
      </w:r>
    </w:p>
    <w:p w14:paraId="6B6B7736" w14:textId="77777777" w:rsidR="00140E6F" w:rsidRDefault="00140E6F" w:rsidP="00666500">
      <w:pPr>
        <w:pStyle w:val="ListBullet"/>
        <w:numPr>
          <w:ilvl w:val="0"/>
          <w:numId w:val="0"/>
        </w:numPr>
      </w:pPr>
      <w:bookmarkStart w:id="348" w:name="_GoBack"/>
    </w:p>
    <w:p w14:paraId="655A7A10" w14:textId="1ED84F6B" w:rsidR="00140E6F" w:rsidRDefault="00140E6F" w:rsidP="00666500">
      <w:pPr>
        <w:pStyle w:val="ListBullet"/>
        <w:numPr>
          <w:ilvl w:val="0"/>
          <w:numId w:val="0"/>
        </w:numPr>
      </w:pPr>
      <w:r>
        <w:lastRenderedPageBreak/>
        <w:t>Documentary evidence should also be provided showing:</w:t>
      </w:r>
    </w:p>
    <w:bookmarkEnd w:id="348"/>
    <w:p w14:paraId="66EB13F2" w14:textId="11D82655" w:rsidR="00CA5F87" w:rsidRPr="00580EE1" w:rsidRDefault="00CA5F87" w:rsidP="00CA5F87">
      <w:pPr>
        <w:pStyle w:val="ListBullet"/>
      </w:pPr>
      <w:r w:rsidRPr="00580EE1">
        <w:t>a copy of the invitation for the submission of comment on the draft code</w:t>
      </w:r>
      <w:r>
        <w:t xml:space="preserve"> or variation</w:t>
      </w:r>
      <w:r w:rsidR="003A0496">
        <w:t xml:space="preserve"> extended to the public</w:t>
      </w:r>
    </w:p>
    <w:p w14:paraId="63691B01" w14:textId="2C433D15" w:rsidR="00CA5F87" w:rsidRPr="00580EE1" w:rsidRDefault="00CA5F87" w:rsidP="00CA5F87">
      <w:pPr>
        <w:pStyle w:val="ListBullet"/>
      </w:pPr>
      <w:r w:rsidRPr="00580EE1">
        <w:t xml:space="preserve">a list of the methods of extending invitations to the industry and the public, such as advertisements posted in newspapers, industry periodicals and </w:t>
      </w:r>
      <w:r>
        <w:t>social</w:t>
      </w:r>
      <w:r w:rsidRPr="00580EE1">
        <w:t xml:space="preserve"> media </w:t>
      </w:r>
    </w:p>
    <w:p w14:paraId="523DEB60" w14:textId="2A8B1CEE" w:rsidR="00CA5F87" w:rsidRPr="00580EE1" w:rsidRDefault="00CA5F87" w:rsidP="00CA5F87">
      <w:pPr>
        <w:pStyle w:val="ListBullet"/>
      </w:pPr>
      <w:r w:rsidRPr="00580EE1">
        <w:t xml:space="preserve">the dates on which invitation to comment was </w:t>
      </w:r>
      <w:r w:rsidRPr="001304A1">
        <w:rPr>
          <w:rFonts w:cs="Arial"/>
        </w:rPr>
        <w:t>issued</w:t>
      </w:r>
    </w:p>
    <w:p w14:paraId="2C7B9EF0" w14:textId="77777777" w:rsidR="00CA5F87" w:rsidRPr="00580EE1" w:rsidRDefault="00CA5F87" w:rsidP="00CA5F87">
      <w:pPr>
        <w:pStyle w:val="ListBullet"/>
      </w:pPr>
      <w:r w:rsidRPr="00580EE1">
        <w:t>publication of the draft code</w:t>
      </w:r>
      <w:r>
        <w:t xml:space="preserve"> or variation</w:t>
      </w:r>
      <w:r w:rsidRPr="00580EE1">
        <w:t xml:space="preserve">, including the ways in which the </w:t>
      </w:r>
      <w:r>
        <w:t>text</w:t>
      </w:r>
      <w:r w:rsidRPr="00580EE1">
        <w:t xml:space="preserve"> was made available and any fees charged; and</w:t>
      </w:r>
    </w:p>
    <w:p w14:paraId="1D8D2798" w14:textId="77777777" w:rsidR="00CA5F87" w:rsidRPr="00580EE1" w:rsidRDefault="00CA5F87" w:rsidP="00CA5F87">
      <w:pPr>
        <w:pStyle w:val="ListBulletLast"/>
      </w:pPr>
      <w:r w:rsidRPr="00580EE1">
        <w:t xml:space="preserve">the period of time, including dates, during which the body received submissions. </w:t>
      </w:r>
    </w:p>
    <w:p w14:paraId="4B34B3DB" w14:textId="77777777" w:rsidR="00CA5F87" w:rsidRPr="00580EE1" w:rsidRDefault="00CA5F87" w:rsidP="00CA5F87">
      <w:pPr>
        <w:pStyle w:val="Heading3"/>
      </w:pPr>
      <w:bookmarkStart w:id="349" w:name="_Toc407079497"/>
      <w:bookmarkStart w:id="350" w:name="_Toc424128438"/>
      <w:bookmarkStart w:id="351" w:name="_Toc456165494"/>
      <w:bookmarkStart w:id="352" w:name="_Toc456165824"/>
      <w:bookmarkStart w:id="353" w:name="_Toc457357966"/>
      <w:bookmarkStart w:id="354" w:name="_Toc457384403"/>
      <w:bookmarkStart w:id="355" w:name="_Toc457713017"/>
      <w:bookmarkStart w:id="356" w:name="_Toc395876650"/>
      <w:bookmarkStart w:id="357" w:name="_Toc428450677"/>
      <w:r w:rsidRPr="00580EE1">
        <w:t>Substantiating consideration given to submissions from industry and the public</w:t>
      </w:r>
      <w:bookmarkEnd w:id="349"/>
      <w:bookmarkEnd w:id="350"/>
      <w:bookmarkEnd w:id="351"/>
      <w:bookmarkEnd w:id="352"/>
      <w:bookmarkEnd w:id="353"/>
      <w:bookmarkEnd w:id="354"/>
      <w:bookmarkEnd w:id="355"/>
      <w:bookmarkEnd w:id="356"/>
      <w:bookmarkEnd w:id="357"/>
    </w:p>
    <w:p w14:paraId="3FE4B6E5" w14:textId="5A9E8141" w:rsidR="00CA5F87" w:rsidRPr="00580EE1" w:rsidRDefault="00CA5F87" w:rsidP="00E370DD">
      <w:pPr>
        <w:spacing w:after="80"/>
      </w:pPr>
      <w:r w:rsidRPr="00580EE1">
        <w:t>Before it can register a code</w:t>
      </w:r>
      <w:r>
        <w:t xml:space="preserve"> or approve code variations</w:t>
      </w:r>
      <w:r w:rsidRPr="00580EE1">
        <w:t xml:space="preserve">, </w:t>
      </w:r>
      <w:r>
        <w:t>the ACMA</w:t>
      </w:r>
      <w:r w:rsidRPr="00580EE1">
        <w:t xml:space="preserve"> must be satisfied that consideration was given by the industry body to the comments it received during the consultation phase.</w:t>
      </w:r>
      <w:r w:rsidR="001B2C9D">
        <w:t xml:space="preserve"> </w:t>
      </w:r>
      <w:r w:rsidRPr="00580EE1">
        <w:t>This requires industry bodies to provide evidence that proper account was taken of the comments provided in submissions during the development of the code</w:t>
      </w:r>
      <w:r>
        <w:t xml:space="preserve"> or proposed code variations</w:t>
      </w:r>
      <w:r w:rsidRPr="00580EE1">
        <w:t>.</w:t>
      </w:r>
      <w:r w:rsidR="001B2C9D">
        <w:t xml:space="preserve"> </w:t>
      </w:r>
      <w:r w:rsidRPr="00580EE1">
        <w:t>Bodies should provide:</w:t>
      </w:r>
    </w:p>
    <w:p w14:paraId="44493CF8" w14:textId="35E1A92F" w:rsidR="00CA5F87" w:rsidRPr="00580EE1" w:rsidRDefault="00CA5F87" w:rsidP="00CA5F87">
      <w:pPr>
        <w:pStyle w:val="ListBullet"/>
      </w:pPr>
      <w:r w:rsidRPr="00580EE1">
        <w:t xml:space="preserve">a list of submitters </w:t>
      </w:r>
    </w:p>
    <w:p w14:paraId="48B4BE66" w14:textId="2D2437EF" w:rsidR="00CA5F87" w:rsidRPr="00580EE1" w:rsidRDefault="00CA5F87" w:rsidP="00CA5F87">
      <w:pPr>
        <w:pStyle w:val="ListBullet"/>
      </w:pPr>
      <w:r w:rsidRPr="00580EE1">
        <w:t xml:space="preserve">summaries of the comments provided </w:t>
      </w:r>
    </w:p>
    <w:p w14:paraId="58F933C2" w14:textId="0DD18384" w:rsidR="00CA5F87" w:rsidRPr="00580EE1" w:rsidRDefault="00CA5F87" w:rsidP="00CA5F87">
      <w:pPr>
        <w:pStyle w:val="ListBullet"/>
      </w:pPr>
      <w:r w:rsidRPr="00580EE1">
        <w:t>summaries of how the comments were incorporated into the code</w:t>
      </w:r>
    </w:p>
    <w:p w14:paraId="6B43781C" w14:textId="77777777" w:rsidR="00CA5F87" w:rsidRPr="00580EE1" w:rsidRDefault="00CA5F87" w:rsidP="00CA5F87">
      <w:pPr>
        <w:pStyle w:val="ListBulletLast"/>
      </w:pPr>
      <w:r w:rsidRPr="00580EE1">
        <w:t xml:space="preserve">if the comments were rejected, summaries of the reasons why the submissions were rejected. </w:t>
      </w:r>
    </w:p>
    <w:p w14:paraId="1663B3D3" w14:textId="77777777" w:rsidR="00CA5F87" w:rsidRPr="00580EE1" w:rsidRDefault="00CA5F87" w:rsidP="00CA5F87">
      <w:pPr>
        <w:pStyle w:val="Heading3"/>
      </w:pPr>
      <w:bookmarkStart w:id="358" w:name="_Toc407079498"/>
      <w:bookmarkStart w:id="359" w:name="_Toc424128439"/>
      <w:bookmarkStart w:id="360" w:name="_Toc456165495"/>
      <w:bookmarkStart w:id="361" w:name="_Toc456165825"/>
      <w:bookmarkStart w:id="362" w:name="_Toc457357967"/>
      <w:bookmarkStart w:id="363" w:name="_Toc457384404"/>
      <w:bookmarkStart w:id="364" w:name="_Toc457713018"/>
      <w:bookmarkStart w:id="365" w:name="_Toc395876651"/>
      <w:bookmarkStart w:id="366" w:name="_Toc428450678"/>
      <w:r w:rsidRPr="00580EE1">
        <w:t>Substantiating consultation with mandatory consultation agencies</w:t>
      </w:r>
      <w:bookmarkEnd w:id="358"/>
      <w:bookmarkEnd w:id="359"/>
      <w:bookmarkEnd w:id="360"/>
      <w:bookmarkEnd w:id="361"/>
      <w:bookmarkEnd w:id="362"/>
      <w:bookmarkEnd w:id="363"/>
      <w:bookmarkEnd w:id="364"/>
      <w:bookmarkEnd w:id="365"/>
      <w:bookmarkEnd w:id="366"/>
    </w:p>
    <w:p w14:paraId="09F65DA1" w14:textId="77777777" w:rsidR="00CA5F87" w:rsidRPr="00580EE1" w:rsidRDefault="00CA5F87" w:rsidP="00CA5F87">
      <w:r w:rsidRPr="00580EE1">
        <w:t>Confirmation of consultation should be obtained from each of the ACCC, the TIO, a consumer representative or representatives and</w:t>
      </w:r>
      <w:r>
        <w:t>,</w:t>
      </w:r>
      <w:r w:rsidRPr="00580EE1">
        <w:t xml:space="preserve"> where required, the </w:t>
      </w:r>
      <w:r>
        <w:t>Information</w:t>
      </w:r>
      <w:r w:rsidRPr="00580EE1">
        <w:t xml:space="preserve"> Commissioner, </w:t>
      </w:r>
      <w:r>
        <w:t>using</w:t>
      </w:r>
      <w:r w:rsidRPr="00580EE1">
        <w:t xml:space="preserve"> the form</w:t>
      </w:r>
      <w:r w:rsidRPr="00580EE1">
        <w:rPr>
          <w:i/>
        </w:rPr>
        <w:t xml:space="preserve"> Certificate of mandatory consultation on</w:t>
      </w:r>
      <w:r>
        <w:rPr>
          <w:i/>
        </w:rPr>
        <w:t xml:space="preserve"> an</w:t>
      </w:r>
      <w:r w:rsidRPr="00580EE1">
        <w:rPr>
          <w:i/>
        </w:rPr>
        <w:t xml:space="preserve"> industry code under Part 6 of the Telecommunications Act 1997</w:t>
      </w:r>
      <w:r>
        <w:rPr>
          <w:i/>
        </w:rPr>
        <w:t xml:space="preserve"> </w:t>
      </w:r>
      <w:r>
        <w:t>(for code registration or co</w:t>
      </w:r>
      <w:r w:rsidR="00ED6A2E">
        <w:t>de variation</w:t>
      </w:r>
      <w:r>
        <w:t>).</w:t>
      </w:r>
      <w:r w:rsidRPr="00580EE1">
        <w:t xml:space="preserve"> One form should be completed and signed by an authorised officer from </w:t>
      </w:r>
      <w:r>
        <w:t>each of the agencies concerned.</w:t>
      </w:r>
    </w:p>
    <w:p w14:paraId="4B7290E6" w14:textId="0E17C3FB" w:rsidR="00CA5F87" w:rsidRPr="00580EE1" w:rsidRDefault="00CA5F87" w:rsidP="00CA5F87">
      <w:r w:rsidRPr="00580EE1">
        <w:t>Consultation with these agencies on codes must be full and proper.</w:t>
      </w:r>
      <w:r w:rsidR="001B2C9D">
        <w:t xml:space="preserve"> </w:t>
      </w:r>
      <w:r w:rsidRPr="00580EE1">
        <w:t xml:space="preserve">Industry bodies should demonstrate in their registration </w:t>
      </w:r>
      <w:r>
        <w:t xml:space="preserve">or approval </w:t>
      </w:r>
      <w:r w:rsidRPr="00580EE1">
        <w:t>applications that they took account of the comments provided by the agencies when developing the code</w:t>
      </w:r>
      <w:r>
        <w:t xml:space="preserve"> or code variations</w:t>
      </w:r>
      <w:r w:rsidRPr="00580EE1">
        <w:t>.</w:t>
      </w:r>
      <w:r w:rsidR="001B2C9D">
        <w:t xml:space="preserve"> </w:t>
      </w:r>
      <w:r w:rsidRPr="00580EE1">
        <w:t xml:space="preserve">This can be demonstrated either by amendment to the code in line with the comments, or by providing to </w:t>
      </w:r>
      <w:r>
        <w:t>the ACMA</w:t>
      </w:r>
      <w:r w:rsidRPr="00580EE1">
        <w:t xml:space="preserve"> a summary of the reasons why comments were rejected for inclusion in the code.</w:t>
      </w:r>
    </w:p>
    <w:p w14:paraId="052DB63A" w14:textId="77777777" w:rsidR="00CA5F87" w:rsidRDefault="00CA5F87" w:rsidP="00CA5F87">
      <w:pPr>
        <w:pStyle w:val="Heading2"/>
      </w:pPr>
      <w:bookmarkStart w:id="367" w:name="_Toc395876652"/>
      <w:bookmarkStart w:id="368" w:name="_Toc428450679"/>
      <w:r>
        <w:t>Format of lodged application documents</w:t>
      </w:r>
      <w:bookmarkEnd w:id="367"/>
      <w:bookmarkEnd w:id="368"/>
    </w:p>
    <w:p w14:paraId="45B48D69" w14:textId="77777777" w:rsidR="00CA5F87" w:rsidRPr="00580EE1" w:rsidRDefault="00CA5F87" w:rsidP="00CA5F87">
      <w:r>
        <w:t>The ACMA will accept all applications for code registration and code variations electronically or by mail, however electronic lodgement is preferred. If lodgement is made electronically, scanned copies of the signed application form and completed and signed certificate of mandatory consultation forms must be provided, with the original signed documents also mailed to the ACMA within three days of electronic lodgement. An e</w:t>
      </w:r>
      <w:r w:rsidRPr="00580EE1">
        <w:t>lectronic cop</w:t>
      </w:r>
      <w:r>
        <w:t>y</w:t>
      </w:r>
      <w:r w:rsidRPr="00580EE1">
        <w:t xml:space="preserve"> of</w:t>
      </w:r>
      <w:r>
        <w:t xml:space="preserve"> the</w:t>
      </w:r>
      <w:r w:rsidRPr="00580EE1">
        <w:t xml:space="preserve"> </w:t>
      </w:r>
      <w:r>
        <w:t xml:space="preserve">draft </w:t>
      </w:r>
      <w:r w:rsidRPr="00580EE1">
        <w:t>code</w:t>
      </w:r>
      <w:r>
        <w:t>, including any code variations,</w:t>
      </w:r>
      <w:r w:rsidRPr="00580EE1">
        <w:t xml:space="preserve"> </w:t>
      </w:r>
      <w:r>
        <w:t xml:space="preserve">and the corresponding explanatory statement </w:t>
      </w:r>
      <w:r w:rsidRPr="00580EE1">
        <w:t>should be provided in Microsoft Word, Rich Text Format (RTF) or Portable Document Format (PDF).</w:t>
      </w:r>
      <w:r>
        <w:t xml:space="preserve"> </w:t>
      </w:r>
    </w:p>
    <w:p w14:paraId="6D4662F0" w14:textId="40C61A9F" w:rsidR="00CA5F87" w:rsidRDefault="00CA5F87" w:rsidP="003935D8">
      <w:pPr>
        <w:pStyle w:val="Heading2"/>
      </w:pPr>
      <w:bookmarkStart w:id="369" w:name="_Toc407079499"/>
      <w:bookmarkStart w:id="370" w:name="_Toc424128440"/>
      <w:bookmarkStart w:id="371" w:name="_Toc456165496"/>
      <w:bookmarkStart w:id="372" w:name="_Toc456165826"/>
      <w:bookmarkStart w:id="373" w:name="_Toc457357968"/>
      <w:bookmarkStart w:id="374" w:name="_Toc457384405"/>
      <w:bookmarkStart w:id="375" w:name="_Toc457713019"/>
      <w:bookmarkStart w:id="376" w:name="_Toc395876653"/>
      <w:bookmarkStart w:id="377" w:name="_Toc428450680"/>
      <w:r w:rsidRPr="00580EE1">
        <w:t>The registration process</w:t>
      </w:r>
      <w:bookmarkStart w:id="378" w:name="_Toc407079500"/>
      <w:bookmarkStart w:id="379" w:name="_Toc424128441"/>
      <w:bookmarkStart w:id="380" w:name="_Toc456165497"/>
      <w:bookmarkStart w:id="381" w:name="_Toc456165827"/>
      <w:bookmarkStart w:id="382" w:name="_Toc457357969"/>
      <w:bookmarkStart w:id="383" w:name="_Toc457384406"/>
      <w:bookmarkStart w:id="384" w:name="_Toc457713020"/>
      <w:bookmarkStart w:id="385" w:name="_Toc395876654"/>
      <w:bookmarkEnd w:id="369"/>
      <w:bookmarkEnd w:id="370"/>
      <w:bookmarkEnd w:id="371"/>
      <w:bookmarkEnd w:id="372"/>
      <w:bookmarkEnd w:id="373"/>
      <w:bookmarkEnd w:id="374"/>
      <w:bookmarkEnd w:id="375"/>
      <w:bookmarkEnd w:id="376"/>
      <w:bookmarkEnd w:id="377"/>
    </w:p>
    <w:p w14:paraId="404E95BC" w14:textId="21B32035" w:rsidR="00CA5F87" w:rsidRPr="00580EE1" w:rsidRDefault="00CA5F87" w:rsidP="00CA5F87">
      <w:pPr>
        <w:pStyle w:val="Heading3"/>
      </w:pPr>
      <w:bookmarkStart w:id="386" w:name="_Toc428450681"/>
      <w:r w:rsidRPr="00580EE1">
        <w:t>Time</w:t>
      </w:r>
      <w:r w:rsidR="00B6650C">
        <w:t xml:space="preserve"> </w:t>
      </w:r>
      <w:r w:rsidRPr="00580EE1">
        <w:t>frames</w:t>
      </w:r>
      <w:bookmarkEnd w:id="378"/>
      <w:bookmarkEnd w:id="379"/>
      <w:bookmarkEnd w:id="380"/>
      <w:bookmarkEnd w:id="381"/>
      <w:bookmarkEnd w:id="382"/>
      <w:bookmarkEnd w:id="383"/>
      <w:bookmarkEnd w:id="384"/>
      <w:bookmarkEnd w:id="385"/>
      <w:bookmarkEnd w:id="386"/>
    </w:p>
    <w:p w14:paraId="21D33393" w14:textId="4774869F" w:rsidR="00CA5F87" w:rsidRPr="00580EE1" w:rsidRDefault="00CA5F87" w:rsidP="00CA5F87">
      <w:r>
        <w:t>The ACMA</w:t>
      </w:r>
      <w:r w:rsidRPr="00580EE1">
        <w:t xml:space="preserve"> will endeavour to assess codes for registration </w:t>
      </w:r>
      <w:r>
        <w:t xml:space="preserve">and approvals to vary codes </w:t>
      </w:r>
      <w:r w:rsidRPr="00580EE1">
        <w:t>in a timely fashion.</w:t>
      </w:r>
      <w:r w:rsidR="001B2C9D">
        <w:t xml:space="preserve"> </w:t>
      </w:r>
      <w:r w:rsidRPr="00580EE1">
        <w:t>However</w:t>
      </w:r>
      <w:r w:rsidR="002816DD">
        <w:t>,</w:t>
      </w:r>
      <w:r w:rsidRPr="00580EE1">
        <w:t xml:space="preserve"> time</w:t>
      </w:r>
      <w:r w:rsidR="00B6650C">
        <w:t xml:space="preserve"> </w:t>
      </w:r>
      <w:r w:rsidRPr="00580EE1">
        <w:t xml:space="preserve">frames for assessment may vary widely, </w:t>
      </w:r>
      <w:r w:rsidRPr="00580EE1">
        <w:lastRenderedPageBreak/>
        <w:t>depending on the complexity of the code</w:t>
      </w:r>
      <w:r>
        <w:t xml:space="preserve"> or variation</w:t>
      </w:r>
      <w:r w:rsidR="008B01A5">
        <w:t>.</w:t>
      </w:r>
      <w:r w:rsidR="001B2C9D">
        <w:t xml:space="preserve"> </w:t>
      </w:r>
      <w:r w:rsidR="008B01A5">
        <w:t>Assessment of</w:t>
      </w:r>
      <w:r w:rsidRPr="00580EE1">
        <w:t xml:space="preserve"> less complex </w:t>
      </w:r>
      <w:r>
        <w:t>applications</w:t>
      </w:r>
      <w:r w:rsidR="00B6650C">
        <w:t>,</w:t>
      </w:r>
      <w:r w:rsidRPr="00580EE1">
        <w:t xml:space="preserve"> for which all documentation is provided</w:t>
      </w:r>
      <w:r w:rsidR="00B6650C">
        <w:t>,</w:t>
      </w:r>
      <w:r w:rsidRPr="00580EE1">
        <w:t xml:space="preserve"> should take approximately two months.</w:t>
      </w:r>
      <w:r w:rsidR="001B2C9D">
        <w:t xml:space="preserve"> </w:t>
      </w:r>
      <w:r w:rsidRPr="00580EE1">
        <w:t xml:space="preserve">Industry bodies can assist </w:t>
      </w:r>
      <w:r>
        <w:t>the ACMA</w:t>
      </w:r>
      <w:r w:rsidRPr="00580EE1">
        <w:t xml:space="preserve"> in delivering timely decisions on code registration </w:t>
      </w:r>
      <w:r>
        <w:t xml:space="preserve">and variation approval </w:t>
      </w:r>
      <w:r w:rsidRPr="00580EE1">
        <w:t xml:space="preserve">applications by ensuring all documentation is provided to </w:t>
      </w:r>
      <w:r>
        <w:t>the ACMA</w:t>
      </w:r>
      <w:r w:rsidRPr="00580EE1">
        <w:t xml:space="preserve"> in accordance with the requirements of this guide. </w:t>
      </w:r>
    </w:p>
    <w:p w14:paraId="3E6E65EB" w14:textId="77777777" w:rsidR="00CA5F87" w:rsidRPr="00580EE1" w:rsidRDefault="00CA5F87" w:rsidP="00CA5F87">
      <w:pPr>
        <w:pStyle w:val="Heading3"/>
      </w:pPr>
      <w:bookmarkStart w:id="387" w:name="_Toc407079501"/>
      <w:bookmarkStart w:id="388" w:name="_Toc424128442"/>
      <w:bookmarkStart w:id="389" w:name="_Toc456165498"/>
      <w:bookmarkStart w:id="390" w:name="_Toc456165828"/>
      <w:bookmarkStart w:id="391" w:name="_Toc457357970"/>
      <w:bookmarkStart w:id="392" w:name="_Toc457384407"/>
      <w:bookmarkStart w:id="393" w:name="_Toc457713021"/>
      <w:bookmarkStart w:id="394" w:name="_Toc395876655"/>
      <w:bookmarkStart w:id="395" w:name="_Toc428450682"/>
      <w:r w:rsidRPr="00580EE1">
        <w:t>Confirmation of receipt</w:t>
      </w:r>
      <w:bookmarkEnd w:id="387"/>
      <w:bookmarkEnd w:id="388"/>
      <w:bookmarkEnd w:id="389"/>
      <w:bookmarkEnd w:id="390"/>
      <w:bookmarkEnd w:id="391"/>
      <w:bookmarkEnd w:id="392"/>
      <w:bookmarkEnd w:id="393"/>
      <w:bookmarkEnd w:id="394"/>
      <w:bookmarkEnd w:id="395"/>
    </w:p>
    <w:p w14:paraId="2C48C835" w14:textId="7AA570A7" w:rsidR="00CA5F87" w:rsidRPr="00580EE1" w:rsidRDefault="00CA5F87" w:rsidP="00CA5F87">
      <w:r>
        <w:t>The ACMA</w:t>
      </w:r>
      <w:r w:rsidRPr="00580EE1">
        <w:t xml:space="preserve"> will acknowledge in writing the receipt of each </w:t>
      </w:r>
      <w:r>
        <w:t xml:space="preserve">application to register an </w:t>
      </w:r>
      <w:r w:rsidRPr="00580EE1">
        <w:t>industry code</w:t>
      </w:r>
      <w:r>
        <w:t xml:space="preserve"> or vary an existing code</w:t>
      </w:r>
      <w:r w:rsidRPr="00580EE1">
        <w:t>.</w:t>
      </w:r>
      <w:r w:rsidR="001B2C9D">
        <w:t xml:space="preserve"> </w:t>
      </w:r>
      <w:r w:rsidRPr="00580EE1">
        <w:t xml:space="preserve">Acknowledgments will </w:t>
      </w:r>
      <w:r w:rsidR="00B6650C">
        <w:t>include</w:t>
      </w:r>
      <w:r w:rsidR="00B6650C" w:rsidRPr="00580EE1">
        <w:t xml:space="preserve"> </w:t>
      </w:r>
      <w:r w:rsidRPr="00580EE1">
        <w:t>an ACMA contact officer for enquiries regarding the progress of the application.</w:t>
      </w:r>
      <w:r w:rsidR="001B2C9D">
        <w:t xml:space="preserve"> </w:t>
      </w:r>
      <w:r w:rsidRPr="00580EE1">
        <w:t xml:space="preserve">Industry bodies will also be notified where applications do not meet </w:t>
      </w:r>
      <w:r>
        <w:t>the ACMA</w:t>
      </w:r>
      <w:r w:rsidRPr="00580EE1">
        <w:t>'s documentation or other requirements.</w:t>
      </w:r>
    </w:p>
    <w:p w14:paraId="7F3558F0" w14:textId="77777777" w:rsidR="00CA5F87" w:rsidRPr="00580EE1" w:rsidRDefault="00CA5F87" w:rsidP="00CA5F87">
      <w:pPr>
        <w:pStyle w:val="Heading3"/>
      </w:pPr>
      <w:bookmarkStart w:id="396" w:name="_Toc407079503"/>
      <w:bookmarkStart w:id="397" w:name="_Toc424128443"/>
      <w:bookmarkStart w:id="398" w:name="_Toc456165499"/>
      <w:bookmarkStart w:id="399" w:name="_Toc456165829"/>
      <w:bookmarkStart w:id="400" w:name="_Toc457357971"/>
      <w:bookmarkStart w:id="401" w:name="_Toc457384408"/>
      <w:bookmarkStart w:id="402" w:name="_Toc457713022"/>
      <w:bookmarkStart w:id="403" w:name="_Toc395876656"/>
      <w:bookmarkStart w:id="404" w:name="_Toc428450683"/>
      <w:r w:rsidRPr="00580EE1">
        <w:t xml:space="preserve">Outcome of </w:t>
      </w:r>
      <w:r>
        <w:t>the ACMA’s</w:t>
      </w:r>
      <w:r w:rsidRPr="00580EE1">
        <w:t xml:space="preserve"> consideration</w:t>
      </w:r>
      <w:bookmarkEnd w:id="396"/>
      <w:bookmarkEnd w:id="397"/>
      <w:bookmarkEnd w:id="398"/>
      <w:bookmarkEnd w:id="399"/>
      <w:bookmarkEnd w:id="400"/>
      <w:bookmarkEnd w:id="401"/>
      <w:bookmarkEnd w:id="402"/>
      <w:bookmarkEnd w:id="403"/>
      <w:bookmarkEnd w:id="404"/>
    </w:p>
    <w:p w14:paraId="3CA1FE87" w14:textId="076E9CE0" w:rsidR="00CA5F87" w:rsidRDefault="00CA5F87" w:rsidP="00CA5F87">
      <w:r w:rsidRPr="00580EE1">
        <w:t xml:space="preserve">Following consideration of a registration application, </w:t>
      </w:r>
      <w:r>
        <w:t>the ACMA</w:t>
      </w:r>
      <w:r w:rsidRPr="00580EE1">
        <w:t xml:space="preserve"> will make a determination as to whether it is satisfied that the code meets the requirements of </w:t>
      </w:r>
      <w:r w:rsidR="00A86C91">
        <w:t>s</w:t>
      </w:r>
      <w:r w:rsidRPr="00580EE1">
        <w:t>ection 117 and whether the code will be registered.</w:t>
      </w:r>
      <w:r w:rsidR="001B2C9D">
        <w:t xml:space="preserve"> </w:t>
      </w:r>
      <w:r w:rsidRPr="00580EE1">
        <w:t>Codes</w:t>
      </w:r>
      <w:r w:rsidR="00A86C91">
        <w:t>,</w:t>
      </w:r>
      <w:r w:rsidRPr="00580EE1">
        <w:t xml:space="preserve"> which satisfy the requirements of </w:t>
      </w:r>
      <w:r w:rsidR="00A86C91">
        <w:t>section</w:t>
      </w:r>
      <w:r w:rsidRPr="00580EE1">
        <w:t xml:space="preserve"> 117 must be included by </w:t>
      </w:r>
      <w:r>
        <w:t>the ACMA</w:t>
      </w:r>
      <w:r w:rsidRPr="00580EE1">
        <w:t xml:space="preserve"> in</w:t>
      </w:r>
      <w:r>
        <w:t xml:space="preserve"> its Register of Industry Codes (as required by</w:t>
      </w:r>
      <w:r w:rsidRPr="00580EE1">
        <w:t xml:space="preserve"> </w:t>
      </w:r>
      <w:r w:rsidR="00A86C91">
        <w:t>section</w:t>
      </w:r>
      <w:r w:rsidRPr="00580EE1">
        <w:t xml:space="preserve"> 136</w:t>
      </w:r>
      <w:r>
        <w:t>)</w:t>
      </w:r>
      <w:r w:rsidRPr="00580EE1">
        <w:t>.</w:t>
      </w:r>
      <w:r w:rsidR="001B2C9D">
        <w:t xml:space="preserve"> </w:t>
      </w:r>
      <w:r w:rsidRPr="00580EE1">
        <w:t xml:space="preserve">Industry bodies will be notified in writing of the outcome of a registration application within two working days of </w:t>
      </w:r>
      <w:r>
        <w:t>the ACMA</w:t>
      </w:r>
      <w:r w:rsidRPr="00580EE1">
        <w:t>’s decision.</w:t>
      </w:r>
    </w:p>
    <w:p w14:paraId="2DAE46F4" w14:textId="3984E65D" w:rsidR="00CA5F87" w:rsidRPr="00580EE1" w:rsidRDefault="00CA5F87" w:rsidP="00CA5F87">
      <w:r>
        <w:t xml:space="preserve">Similarly, after considering an application to vary a code, the ACMA will make a determination as to whether it is satisfied that the code variation or variations meet the requirements of </w:t>
      </w:r>
      <w:r w:rsidR="00A86C91">
        <w:t>section</w:t>
      </w:r>
      <w:r>
        <w:t xml:space="preserve"> 119A and whether the variation or variations will be approved. If approved, the change will be included in </w:t>
      </w:r>
      <w:r w:rsidR="00B6650C">
        <w:t xml:space="preserve">the </w:t>
      </w:r>
      <w:r>
        <w:t>relevant code in the ACMA’s Register of Industry Codes. The industry body or bodies that brought the application will be notified of the ACMA’s determination within two working days of the decision being made.</w:t>
      </w:r>
    </w:p>
    <w:p w14:paraId="11E4C42D" w14:textId="77777777" w:rsidR="00CA5F87" w:rsidRPr="00580EE1" w:rsidRDefault="00CA5F87" w:rsidP="00CA5F87">
      <w:pPr>
        <w:pStyle w:val="Heading3"/>
      </w:pPr>
      <w:bookmarkStart w:id="405" w:name="_Toc457357972"/>
      <w:bookmarkStart w:id="406" w:name="_Toc457384409"/>
      <w:bookmarkStart w:id="407" w:name="_Toc457713023"/>
      <w:bookmarkStart w:id="408" w:name="_Toc395876657"/>
      <w:bookmarkStart w:id="409" w:name="_Toc428450684"/>
      <w:r w:rsidRPr="00580EE1">
        <w:t>Register</w:t>
      </w:r>
      <w:bookmarkEnd w:id="405"/>
      <w:bookmarkEnd w:id="406"/>
      <w:bookmarkEnd w:id="407"/>
      <w:r>
        <w:t xml:space="preserve"> of Industry Codes</w:t>
      </w:r>
      <w:bookmarkEnd w:id="408"/>
      <w:bookmarkEnd w:id="409"/>
    </w:p>
    <w:p w14:paraId="1046BB68" w14:textId="629E63CB" w:rsidR="00CA5F87" w:rsidRDefault="00CA5F87" w:rsidP="00CA5F87">
      <w:r>
        <w:t>The ACMA maintains a list</w:t>
      </w:r>
      <w:r w:rsidRPr="00580EE1">
        <w:t xml:space="preserve"> </w:t>
      </w:r>
      <w:r>
        <w:t>of</w:t>
      </w:r>
      <w:r w:rsidRPr="00580EE1">
        <w:t xml:space="preserve"> all industry codes registered with </w:t>
      </w:r>
      <w:r>
        <w:t>the ACMA</w:t>
      </w:r>
      <w:r w:rsidRPr="00580EE1">
        <w:t xml:space="preserve"> under Part 6 as well as other information as stipulated under </w:t>
      </w:r>
      <w:r w:rsidR="00A86C91">
        <w:t>section</w:t>
      </w:r>
      <w:r w:rsidRPr="00580EE1">
        <w:t xml:space="preserve"> 136 of the Telecommunications Act.</w:t>
      </w:r>
      <w:r w:rsidR="001B2C9D">
        <w:t xml:space="preserve"> </w:t>
      </w:r>
      <w:r w:rsidRPr="00580EE1">
        <w:t xml:space="preserve">Registered codes are on </w:t>
      </w:r>
      <w:r>
        <w:t>available from the ACMA</w:t>
      </w:r>
      <w:r w:rsidRPr="00580EE1">
        <w:t xml:space="preserve">’s website </w:t>
      </w:r>
      <w:r w:rsidR="00B6650C">
        <w:t xml:space="preserve">at </w:t>
      </w:r>
      <w:hyperlink r:id="rId34" w:history="1">
        <w:r w:rsidR="00B6650C">
          <w:rPr>
            <w:rStyle w:val="Hyperlink"/>
          </w:rPr>
          <w:t>www.acma.gov.au/theACMA/Library/Corporate-library/Forms-and-registers/register-of-telecommunications-industry-codes-and-standards</w:t>
        </w:r>
      </w:hyperlink>
      <w:r w:rsidRPr="00580EE1">
        <w:t>.</w:t>
      </w:r>
    </w:p>
    <w:p w14:paraId="04903C15" w14:textId="77777777" w:rsidR="008B4671" w:rsidRPr="00A21D2B" w:rsidRDefault="008B4671" w:rsidP="008B4671">
      <w:pPr>
        <w:pStyle w:val="Heading1"/>
      </w:pPr>
      <w:bookmarkStart w:id="410" w:name="_Toc407079505"/>
      <w:bookmarkStart w:id="411" w:name="_Toc424128445"/>
      <w:bookmarkStart w:id="412" w:name="_Toc456165501"/>
      <w:bookmarkStart w:id="413" w:name="_Toc456165831"/>
      <w:bookmarkStart w:id="414" w:name="_Toc457357973"/>
      <w:bookmarkStart w:id="415" w:name="_Toc457384410"/>
      <w:bookmarkStart w:id="416" w:name="_Toc457713024"/>
      <w:bookmarkStart w:id="417" w:name="_Toc395876658"/>
      <w:bookmarkStart w:id="418" w:name="_Toc428450685"/>
      <w:r>
        <w:lastRenderedPageBreak/>
        <w:t>Code submission c</w:t>
      </w:r>
      <w:r w:rsidRPr="00A21D2B">
        <w:t>hecklist</w:t>
      </w:r>
      <w:bookmarkEnd w:id="410"/>
      <w:bookmarkEnd w:id="411"/>
      <w:bookmarkEnd w:id="412"/>
      <w:bookmarkEnd w:id="413"/>
      <w:bookmarkEnd w:id="414"/>
      <w:bookmarkEnd w:id="415"/>
      <w:bookmarkEnd w:id="416"/>
      <w:bookmarkEnd w:id="417"/>
      <w:bookmarkEnd w:id="418"/>
    </w:p>
    <w:p w14:paraId="1FDE8B1F" w14:textId="77777777" w:rsidR="008B4671" w:rsidRDefault="008B4671" w:rsidP="008B4671">
      <w:r w:rsidRPr="00580EE1">
        <w:t xml:space="preserve">Before submitting a code to </w:t>
      </w:r>
      <w:r>
        <w:t>the ACMA</w:t>
      </w:r>
      <w:r w:rsidRPr="00580EE1">
        <w:t xml:space="preserve"> for registration</w:t>
      </w:r>
      <w:r>
        <w:t xml:space="preserve"> or variation</w:t>
      </w:r>
      <w:r w:rsidRPr="00580EE1">
        <w:t xml:space="preserve">, check that the following </w:t>
      </w:r>
      <w:r>
        <w:t xml:space="preserve">forms and </w:t>
      </w:r>
      <w:r w:rsidRPr="00580EE1">
        <w:t xml:space="preserve">documentation </w:t>
      </w:r>
      <w:r>
        <w:t>are provided with the application:</w:t>
      </w:r>
    </w:p>
    <w:p w14:paraId="378BDF3B" w14:textId="77777777" w:rsidR="008B4671" w:rsidRPr="00580EE1" w:rsidRDefault="008B4671" w:rsidP="00E370DD">
      <w:pPr>
        <w:spacing w:after="80"/>
        <w:rPr>
          <w:b/>
        </w:rPr>
      </w:pPr>
      <w:r>
        <w:rPr>
          <w:b/>
        </w:rPr>
        <w:t>Forms and supporting documents for code registration</w:t>
      </w:r>
    </w:p>
    <w:p w14:paraId="0BFFB267" w14:textId="77777777" w:rsidR="008B4671" w:rsidRDefault="008B4671" w:rsidP="008B4671">
      <w:pPr>
        <w:pStyle w:val="ListBullet"/>
      </w:pPr>
      <w:r w:rsidRPr="00580EE1">
        <w:t xml:space="preserve">Completed and signed </w:t>
      </w:r>
      <w:r w:rsidRPr="00580EE1">
        <w:rPr>
          <w:i/>
        </w:rPr>
        <w:t xml:space="preserve">Application </w:t>
      </w:r>
      <w:r w:rsidR="006A5477">
        <w:rPr>
          <w:i/>
        </w:rPr>
        <w:t xml:space="preserve">form </w:t>
      </w:r>
      <w:r w:rsidRPr="00580EE1">
        <w:rPr>
          <w:i/>
        </w:rPr>
        <w:t xml:space="preserve">for registration of </w:t>
      </w:r>
      <w:r>
        <w:rPr>
          <w:i/>
        </w:rPr>
        <w:t>a</w:t>
      </w:r>
      <w:r w:rsidR="006A5477">
        <w:rPr>
          <w:i/>
        </w:rPr>
        <w:t>n industry code under Part 6 of the</w:t>
      </w:r>
      <w:r>
        <w:rPr>
          <w:i/>
        </w:rPr>
        <w:t xml:space="preserve"> </w:t>
      </w:r>
      <w:r w:rsidR="006A5477">
        <w:rPr>
          <w:i/>
        </w:rPr>
        <w:t>T</w:t>
      </w:r>
      <w:r w:rsidRPr="00580EE1">
        <w:rPr>
          <w:i/>
        </w:rPr>
        <w:t xml:space="preserve">elecommunications </w:t>
      </w:r>
      <w:r w:rsidR="006A5477">
        <w:rPr>
          <w:i/>
        </w:rPr>
        <w:t>Act</w:t>
      </w:r>
      <w:r w:rsidRPr="00035BA0">
        <w:rPr>
          <w:i/>
        </w:rPr>
        <w:t xml:space="preserve"> </w:t>
      </w:r>
      <w:r w:rsidRPr="00580EE1">
        <w:t>attached to the front of the application</w:t>
      </w:r>
      <w:r>
        <w:t xml:space="preserve"> to have a code registered.</w:t>
      </w:r>
    </w:p>
    <w:p w14:paraId="6B6BD655" w14:textId="77777777" w:rsidR="008B4671" w:rsidRDefault="008B4671" w:rsidP="008B4671">
      <w:pPr>
        <w:pStyle w:val="ListBullet"/>
      </w:pPr>
      <w:r>
        <w:t>A c</w:t>
      </w:r>
      <w:r w:rsidRPr="00580EE1">
        <w:t xml:space="preserve">opy of the </w:t>
      </w:r>
      <w:r>
        <w:t xml:space="preserve">draft </w:t>
      </w:r>
      <w:r w:rsidRPr="00580EE1">
        <w:t>code</w:t>
      </w:r>
      <w:r>
        <w:t>,</w:t>
      </w:r>
      <w:r w:rsidRPr="00580EE1">
        <w:t xml:space="preserve"> </w:t>
      </w:r>
      <w:r>
        <w:t xml:space="preserve">ensuring that an electronic copy is </w:t>
      </w:r>
      <w:r w:rsidRPr="00580EE1">
        <w:t>in Word, Rich Text Format (RTF) or Portable Document Format (PDF).</w:t>
      </w:r>
    </w:p>
    <w:p w14:paraId="230A6E92" w14:textId="77777777" w:rsidR="008B4671" w:rsidRDefault="008B4671" w:rsidP="008B4671">
      <w:pPr>
        <w:pStyle w:val="ListBullet"/>
      </w:pPr>
      <w:r w:rsidRPr="00580EE1">
        <w:t xml:space="preserve">Explanatory </w:t>
      </w:r>
      <w:r>
        <w:t>s</w:t>
      </w:r>
      <w:r w:rsidRPr="00580EE1">
        <w:t>tatement to the code</w:t>
      </w:r>
      <w:r w:rsidR="006A5477">
        <w:t xml:space="preserve"> (if one is prepared)</w:t>
      </w:r>
      <w:r>
        <w:t>.</w:t>
      </w:r>
    </w:p>
    <w:p w14:paraId="62409BE5" w14:textId="77777777" w:rsidR="008B4671" w:rsidRDefault="008B4671" w:rsidP="008B4671">
      <w:pPr>
        <w:pStyle w:val="ListBullet"/>
      </w:pPr>
      <w:r w:rsidRPr="00580EE1">
        <w:t>An accurate reference to all documents referenced by the code, for example technical standards, voluntary standards or guidelines.</w:t>
      </w:r>
    </w:p>
    <w:p w14:paraId="63A99D9F" w14:textId="05E6AA08" w:rsidR="008B4671" w:rsidRDefault="008B4671" w:rsidP="008B4671">
      <w:pPr>
        <w:pStyle w:val="ListBullet"/>
      </w:pPr>
      <w:r w:rsidRPr="00580EE1">
        <w:t xml:space="preserve">One completed and signed </w:t>
      </w:r>
      <w:r w:rsidRPr="00636440">
        <w:rPr>
          <w:i/>
        </w:rPr>
        <w:t xml:space="preserve">Certificate of mandatory consultation on </w:t>
      </w:r>
      <w:r>
        <w:rPr>
          <w:i/>
        </w:rPr>
        <w:t xml:space="preserve">an </w:t>
      </w:r>
      <w:r w:rsidRPr="00636440">
        <w:rPr>
          <w:i/>
        </w:rPr>
        <w:t>industry code under Part 6 of the Telecommunications Act 1997</w:t>
      </w:r>
      <w:r>
        <w:rPr>
          <w:i/>
        </w:rPr>
        <w:t xml:space="preserve"> </w:t>
      </w:r>
      <w:r w:rsidRPr="00580EE1">
        <w:t xml:space="preserve">from </w:t>
      </w:r>
      <w:r w:rsidRPr="00636440">
        <w:rPr>
          <w:b/>
          <w:i/>
        </w:rPr>
        <w:t>each</w:t>
      </w:r>
      <w:r w:rsidRPr="00580EE1">
        <w:t xml:space="preserve"> of the ACCC, the TIO</w:t>
      </w:r>
      <w:r>
        <w:t>, the Information Commissioner (where applicable)</w:t>
      </w:r>
      <w:r w:rsidR="00CD7072">
        <w:t>,</w:t>
      </w:r>
      <w:r w:rsidRPr="00580EE1">
        <w:t xml:space="preserve"> and at least one consumer representative body.</w:t>
      </w:r>
    </w:p>
    <w:p w14:paraId="7D10B925" w14:textId="77777777" w:rsidR="008B4671" w:rsidRPr="00035BA0" w:rsidRDefault="008B4671" w:rsidP="008B4671">
      <w:pPr>
        <w:pStyle w:val="ListBullet"/>
      </w:pPr>
      <w:r w:rsidRPr="00035BA0">
        <w:t xml:space="preserve">Supporting evidence of the industry body’s claim to represent the section or sections of the industry to which the code relates. </w:t>
      </w:r>
    </w:p>
    <w:p w14:paraId="4303AE12" w14:textId="76B666E9" w:rsidR="008B4671" w:rsidRPr="00580EE1" w:rsidRDefault="008B4671" w:rsidP="008B4671">
      <w:pPr>
        <w:pStyle w:val="ListBullet"/>
      </w:pPr>
      <w:r w:rsidRPr="00580EE1">
        <w:t>Evidence of publication of the draft code</w:t>
      </w:r>
      <w:r w:rsidR="00B6650C">
        <w:t>,</w:t>
      </w:r>
      <w:r>
        <w:t xml:space="preserve"> </w:t>
      </w:r>
      <w:r w:rsidRPr="00580EE1">
        <w:t>including the ways in which the</w:t>
      </w:r>
      <w:r>
        <w:t xml:space="preserve"> draft</w:t>
      </w:r>
      <w:r w:rsidRPr="00580EE1">
        <w:t xml:space="preserve"> code was made available and charges</w:t>
      </w:r>
      <w:r w:rsidR="006A5477">
        <w:t>,</w:t>
      </w:r>
      <w:r w:rsidRPr="00580EE1">
        <w:t xml:space="preserve"> if any.</w:t>
      </w:r>
    </w:p>
    <w:p w14:paraId="7F39C380" w14:textId="3DB9BAA7" w:rsidR="008B4671" w:rsidRDefault="008B4671" w:rsidP="008B4671">
      <w:pPr>
        <w:pStyle w:val="ListBullet"/>
      </w:pPr>
      <w:r w:rsidRPr="00580EE1">
        <w:t>Evidence of the period of time, including dates of publication of invitations to comment, during which the body received submissions</w:t>
      </w:r>
      <w:r w:rsidR="00B6650C">
        <w:t>.</w:t>
      </w:r>
    </w:p>
    <w:p w14:paraId="660DF2F8" w14:textId="77777777" w:rsidR="008B4671" w:rsidRDefault="008B4671" w:rsidP="008B4671">
      <w:pPr>
        <w:pStyle w:val="ListBullet"/>
      </w:pPr>
      <w:r w:rsidRPr="00035BA0">
        <w:t>Evidence of invitations to participants in each of the relevant section or sections of the industry to make submissions on the draft code and the methods of extending those invitations; or evidence of the participation of all members of the section or sections of the industry in the body.</w:t>
      </w:r>
    </w:p>
    <w:p w14:paraId="402EFC78" w14:textId="77777777" w:rsidR="008B4671" w:rsidRPr="00035BA0" w:rsidRDefault="008B4671" w:rsidP="008B4671">
      <w:pPr>
        <w:pStyle w:val="ListBullet"/>
      </w:pPr>
      <w:r w:rsidRPr="00580EE1">
        <w:t>A list of industry submitters, summaries of the comments provided and the consideration given to comments.</w:t>
      </w:r>
    </w:p>
    <w:p w14:paraId="65986268" w14:textId="77777777" w:rsidR="008B4671" w:rsidRDefault="008B4671" w:rsidP="008B4671">
      <w:pPr>
        <w:pStyle w:val="ListBullet"/>
      </w:pPr>
      <w:r w:rsidRPr="00580EE1">
        <w:t>Evidence of invitations to the public to make submissions on the draft code and the methods of extending those invitations.</w:t>
      </w:r>
    </w:p>
    <w:p w14:paraId="22040F51" w14:textId="77777777" w:rsidR="008B4671" w:rsidRPr="00580EE1" w:rsidRDefault="008B4671" w:rsidP="008B4671">
      <w:pPr>
        <w:pStyle w:val="ListBullet"/>
      </w:pPr>
      <w:r w:rsidRPr="00580EE1">
        <w:t>A list of public submitters, summaries of the comments provided and the consideration given to comments.</w:t>
      </w:r>
    </w:p>
    <w:p w14:paraId="10CC609C" w14:textId="77777777" w:rsidR="008B4671" w:rsidRPr="00A86C91" w:rsidRDefault="008B4671" w:rsidP="008B4671">
      <w:pPr>
        <w:pStyle w:val="ListBullet"/>
      </w:pPr>
      <w:r w:rsidRPr="00580EE1">
        <w:t xml:space="preserve">A summary of consideration given to the comments provided by the ACCC, the TIO </w:t>
      </w:r>
      <w:r w:rsidRPr="00A86C91">
        <w:t>and at least one consumer representative organisation(s).</w:t>
      </w:r>
    </w:p>
    <w:p w14:paraId="0BA2ED68" w14:textId="77777777" w:rsidR="008B4671" w:rsidRPr="00A86C91" w:rsidRDefault="008B4671" w:rsidP="008B4671">
      <w:pPr>
        <w:pStyle w:val="ListBulletLast"/>
      </w:pPr>
      <w:r w:rsidRPr="00A86C91">
        <w:t xml:space="preserve">Where the code deals with a matter under paragraph 113(3)(f) of the </w:t>
      </w:r>
      <w:r w:rsidRPr="00E370DD">
        <w:rPr>
          <w:i/>
        </w:rPr>
        <w:t>Telecommunications Act 1997</w:t>
      </w:r>
      <w:r w:rsidRPr="00A86C91">
        <w:t xml:space="preserve"> (a telecommunications privacy code), a summary of consideration given to the comments provided by the Information Commissioner.</w:t>
      </w:r>
    </w:p>
    <w:p w14:paraId="047A731F" w14:textId="77777777" w:rsidR="008B4671" w:rsidRPr="00A86C91" w:rsidRDefault="008B4671" w:rsidP="00E370DD">
      <w:pPr>
        <w:spacing w:after="80"/>
      </w:pPr>
      <w:r w:rsidRPr="00E370DD">
        <w:rPr>
          <w:b/>
        </w:rPr>
        <w:t>Forms and supporting documents for code variation</w:t>
      </w:r>
    </w:p>
    <w:p w14:paraId="689F128C" w14:textId="77777777" w:rsidR="008B4671" w:rsidRPr="00A86C91" w:rsidRDefault="008B4671" w:rsidP="00E370DD">
      <w:pPr>
        <w:pStyle w:val="ListBullet"/>
      </w:pPr>
      <w:r w:rsidRPr="00A86C91">
        <w:t>Completed and signed Application for approval to vary a registered telecommunications industry code attached to the front of the application.</w:t>
      </w:r>
    </w:p>
    <w:p w14:paraId="39977E18" w14:textId="77777777" w:rsidR="008B4671" w:rsidRPr="00A86C91" w:rsidRDefault="008B4671" w:rsidP="008B4671">
      <w:pPr>
        <w:pStyle w:val="ListBullet"/>
      </w:pPr>
      <w:r w:rsidRPr="00A86C91">
        <w:t xml:space="preserve">A copy of the draft varied code that clearly shows where the variations are </w:t>
      </w:r>
      <w:r w:rsidR="006A5477" w:rsidRPr="00A86C91">
        <w:t xml:space="preserve">to be </w:t>
      </w:r>
      <w:r w:rsidRPr="00A86C91">
        <w:t>made, ensuring that an electronic copy provided is in Word, Rich Text Format (RTF) or Portable Document Format (PDF).</w:t>
      </w:r>
    </w:p>
    <w:p w14:paraId="03CD3484" w14:textId="05E65293" w:rsidR="008B4671" w:rsidRPr="00A86C91" w:rsidRDefault="008B4671" w:rsidP="008B4671">
      <w:pPr>
        <w:pStyle w:val="ListBullet"/>
      </w:pPr>
      <w:r w:rsidRPr="00A86C91">
        <w:t xml:space="preserve">An explanatory statement to the code </w:t>
      </w:r>
      <w:r w:rsidR="006A5477" w:rsidRPr="00A86C91">
        <w:t>(</w:t>
      </w:r>
      <w:r w:rsidR="00E55AF6" w:rsidRPr="00A86C91">
        <w:t xml:space="preserve">where </w:t>
      </w:r>
      <w:r w:rsidR="006A5477" w:rsidRPr="00A86C91">
        <w:t>relevant)</w:t>
      </w:r>
      <w:r w:rsidR="00CD7072" w:rsidRPr="00A86C91">
        <w:t>,</w:t>
      </w:r>
      <w:r w:rsidR="006A5477" w:rsidRPr="00A86C91">
        <w:t xml:space="preserve"> </w:t>
      </w:r>
      <w:r w:rsidRPr="00A86C91">
        <w:t>which takes account of all new code variations</w:t>
      </w:r>
    </w:p>
    <w:p w14:paraId="72645E9A" w14:textId="23B544EB" w:rsidR="008B4671" w:rsidRPr="00A86C91" w:rsidRDefault="008B4671" w:rsidP="008B4671">
      <w:pPr>
        <w:pStyle w:val="ListBullet"/>
      </w:pPr>
      <w:r w:rsidRPr="00A86C91">
        <w:lastRenderedPageBreak/>
        <w:t>An accurate reference to all documents referenced or affected by the code variations, for example</w:t>
      </w:r>
      <w:r w:rsidR="00CD7072" w:rsidRPr="00A86C91">
        <w:t>,</w:t>
      </w:r>
      <w:r w:rsidRPr="00A86C91">
        <w:t xml:space="preserve"> technical standards, voluntary standards or guidelines.</w:t>
      </w:r>
    </w:p>
    <w:p w14:paraId="0F8E320F" w14:textId="2DE72C15" w:rsidR="008B4671" w:rsidRDefault="008B4671" w:rsidP="008B4671">
      <w:pPr>
        <w:pStyle w:val="ListBullet"/>
      </w:pPr>
      <w:r w:rsidRPr="00A86C91">
        <w:t>One completed and signed Certificate of mandatory consultation on an industry code under Part 6 of the Telecommunications</w:t>
      </w:r>
      <w:r w:rsidRPr="00636440">
        <w:t xml:space="preserve"> Act 1997</w:t>
      </w:r>
      <w:r w:rsidRPr="00580EE1">
        <w:t xml:space="preserve"> from </w:t>
      </w:r>
      <w:r w:rsidRPr="00636440">
        <w:rPr>
          <w:b/>
        </w:rPr>
        <w:t>each</w:t>
      </w:r>
      <w:r w:rsidRPr="00580EE1">
        <w:t xml:space="preserve"> of the ACCC, the TIO</w:t>
      </w:r>
      <w:r>
        <w:t>, the Information Commissioner (where applicable)</w:t>
      </w:r>
      <w:r w:rsidR="00CD7072">
        <w:t>,</w:t>
      </w:r>
      <w:r w:rsidRPr="00580EE1">
        <w:t xml:space="preserve"> and at least one consumer representative body.</w:t>
      </w:r>
    </w:p>
    <w:p w14:paraId="5D232384" w14:textId="77777777" w:rsidR="008B4671" w:rsidRPr="00035BA0" w:rsidRDefault="008B4671" w:rsidP="008B4671">
      <w:pPr>
        <w:pStyle w:val="ListBullet"/>
      </w:pPr>
      <w:r w:rsidRPr="00035BA0">
        <w:t xml:space="preserve">Supporting evidence of the industry body’s claim to represent the section or sections of the industry to which the code relates. </w:t>
      </w:r>
    </w:p>
    <w:p w14:paraId="00C8A257" w14:textId="44A0EE9D" w:rsidR="008B4671" w:rsidRPr="00580EE1" w:rsidRDefault="008B4671" w:rsidP="008B4671">
      <w:pPr>
        <w:pStyle w:val="ListBullet"/>
      </w:pPr>
      <w:r w:rsidRPr="00580EE1">
        <w:t>Evidence of publication of the draft code</w:t>
      </w:r>
      <w:r w:rsidR="00CD7072">
        <w:t>,</w:t>
      </w:r>
      <w:r>
        <w:t xml:space="preserve"> </w:t>
      </w:r>
      <w:r w:rsidRPr="00580EE1">
        <w:t xml:space="preserve">including the ways in which the </w:t>
      </w:r>
      <w:r>
        <w:t xml:space="preserve">draft varied </w:t>
      </w:r>
      <w:r w:rsidRPr="00580EE1">
        <w:t>code was made available and charges</w:t>
      </w:r>
      <w:r w:rsidR="00CD7072">
        <w:t>,</w:t>
      </w:r>
      <w:r w:rsidRPr="00580EE1">
        <w:t xml:space="preserve"> if any.</w:t>
      </w:r>
    </w:p>
    <w:p w14:paraId="2C088613" w14:textId="77777777" w:rsidR="008B4671" w:rsidRPr="00035BA0" w:rsidRDefault="008B4671" w:rsidP="008B4671">
      <w:pPr>
        <w:pStyle w:val="ListBullet"/>
      </w:pPr>
      <w:r w:rsidRPr="00580EE1">
        <w:t>Evidence of the period of time, including dates of publication of invitations to comment, during which the body received submissions.</w:t>
      </w:r>
    </w:p>
    <w:p w14:paraId="5E0C4FA8" w14:textId="77777777" w:rsidR="008B4671" w:rsidRPr="00035BA0" w:rsidRDefault="008B4671" w:rsidP="008B4671">
      <w:pPr>
        <w:pStyle w:val="ListBullet"/>
      </w:pPr>
      <w:r w:rsidRPr="00035BA0">
        <w:t xml:space="preserve">Evidence of invitations to participants in each of the relevant section or sections of the industry to make submissions on the draft </w:t>
      </w:r>
      <w:r>
        <w:t xml:space="preserve">varied </w:t>
      </w:r>
      <w:r w:rsidRPr="00035BA0">
        <w:t>code and the methods of extending those invitations; or evidence of the participation of all members of the section or sections of the industry in the body.</w:t>
      </w:r>
    </w:p>
    <w:p w14:paraId="1958D3B0" w14:textId="77777777" w:rsidR="008B4671" w:rsidRDefault="008B4671" w:rsidP="008B4671">
      <w:pPr>
        <w:pStyle w:val="ListBullet"/>
      </w:pPr>
      <w:r w:rsidRPr="00580EE1">
        <w:t>A list of industry submitters, summaries of the comments provided and the consideration given to comments.</w:t>
      </w:r>
    </w:p>
    <w:p w14:paraId="7FBDB517" w14:textId="77777777" w:rsidR="008B4671" w:rsidRPr="00580EE1" w:rsidRDefault="008B4671" w:rsidP="008B4671">
      <w:pPr>
        <w:pStyle w:val="ListBullet"/>
      </w:pPr>
      <w:r w:rsidRPr="00580EE1">
        <w:t xml:space="preserve">Evidence of invitations to the public to make submissions on the draft </w:t>
      </w:r>
      <w:r>
        <w:t xml:space="preserve">varied </w:t>
      </w:r>
      <w:r w:rsidRPr="00580EE1">
        <w:t>code and the methods of extending those invitations.</w:t>
      </w:r>
    </w:p>
    <w:p w14:paraId="2BD92F5D" w14:textId="77777777" w:rsidR="008B4671" w:rsidRDefault="008B4671" w:rsidP="008B4671">
      <w:pPr>
        <w:pStyle w:val="ListBullet"/>
      </w:pPr>
      <w:r w:rsidRPr="00580EE1">
        <w:t>A list of public submitters, summaries of the comments provided and the consideration given to comments.</w:t>
      </w:r>
    </w:p>
    <w:p w14:paraId="45FACDF0" w14:textId="77777777" w:rsidR="008B4671" w:rsidRDefault="008B4671" w:rsidP="008B4671">
      <w:pPr>
        <w:pStyle w:val="ListBullet"/>
      </w:pPr>
      <w:r w:rsidRPr="00580EE1">
        <w:t>A summary of consideration given to the comments provided by the ACCC, the TIO and at least one consumer representative organisation(s).</w:t>
      </w:r>
    </w:p>
    <w:p w14:paraId="4A24D3EE" w14:textId="7167559C" w:rsidR="008B4671" w:rsidRDefault="008B4671" w:rsidP="00E370DD">
      <w:pPr>
        <w:pStyle w:val="ListBulletLast"/>
      </w:pPr>
      <w:r>
        <w:t xml:space="preserve">Where </w:t>
      </w:r>
      <w:r w:rsidRPr="00580EE1">
        <w:t>the code deals with a matter under paragraph 113(3)(f) of the</w:t>
      </w:r>
      <w:r>
        <w:t xml:space="preserve"> </w:t>
      </w:r>
      <w:r w:rsidRPr="00E370DD">
        <w:rPr>
          <w:i/>
        </w:rPr>
        <w:t>Telecommunications Act 1997</w:t>
      </w:r>
      <w:r w:rsidRPr="00A86C91">
        <w:t xml:space="preserve"> (a telecommunications</w:t>
      </w:r>
      <w:r w:rsidRPr="00580EE1">
        <w:t xml:space="preserve"> privacy code)</w:t>
      </w:r>
      <w:r>
        <w:t>, a summary of consideration given to the comments provided by the Information Commissioner.</w:t>
      </w:r>
    </w:p>
    <w:p w14:paraId="01E322FD" w14:textId="244C2CF9" w:rsidR="005C2329" w:rsidRPr="00580EE1" w:rsidRDefault="00CD06E1" w:rsidP="005C2329">
      <w:pPr>
        <w:pStyle w:val="Heading1"/>
      </w:pPr>
      <w:bookmarkStart w:id="419" w:name="_Toc424128446"/>
      <w:bookmarkStart w:id="420" w:name="_Toc456165502"/>
      <w:bookmarkStart w:id="421" w:name="_Toc456165832"/>
      <w:bookmarkStart w:id="422" w:name="_Toc457357974"/>
      <w:bookmarkStart w:id="423" w:name="_Toc457384411"/>
      <w:bookmarkStart w:id="424" w:name="_Toc457713025"/>
      <w:bookmarkStart w:id="425" w:name="_Toc395876659"/>
      <w:bookmarkStart w:id="426" w:name="_Toc428450686"/>
      <w:r>
        <w:lastRenderedPageBreak/>
        <w:t>More</w:t>
      </w:r>
      <w:r w:rsidR="000D5835">
        <w:t xml:space="preserve"> </w:t>
      </w:r>
      <w:r w:rsidR="00CD7072">
        <w:t>i</w:t>
      </w:r>
      <w:r w:rsidR="000D5835">
        <w:t>nformation</w:t>
      </w:r>
      <w:bookmarkEnd w:id="419"/>
      <w:bookmarkEnd w:id="420"/>
      <w:bookmarkEnd w:id="421"/>
      <w:bookmarkEnd w:id="422"/>
      <w:bookmarkEnd w:id="423"/>
      <w:bookmarkEnd w:id="424"/>
      <w:bookmarkEnd w:id="425"/>
      <w:bookmarkEnd w:id="426"/>
    </w:p>
    <w:p w14:paraId="07147B79" w14:textId="79B93E40" w:rsidR="005C2329" w:rsidRDefault="005C2329" w:rsidP="00E370DD">
      <w:pPr>
        <w:spacing w:after="80"/>
      </w:pPr>
      <w:r w:rsidRPr="00580EE1">
        <w:t xml:space="preserve">For </w:t>
      </w:r>
      <w:r w:rsidR="00CD06E1">
        <w:t xml:space="preserve">further </w:t>
      </w:r>
      <w:r w:rsidRPr="00580EE1">
        <w:t xml:space="preserve">advice on the development or registration of telecommunications industry codes under Part 6 of the Telecommunications Act, contact </w:t>
      </w:r>
      <w:r>
        <w:t>the ACMA:</w:t>
      </w:r>
    </w:p>
    <w:p w14:paraId="37D18C99" w14:textId="77777777" w:rsidR="00245932" w:rsidRDefault="00245932" w:rsidP="00245932">
      <w:pPr>
        <w:pStyle w:val="ACMANormalTabbed"/>
        <w:spacing w:after="80"/>
      </w:pPr>
      <w:r w:rsidRPr="005E7226">
        <w:t>By email:</w:t>
      </w:r>
      <w:r w:rsidRPr="005E7226">
        <w:tab/>
      </w:r>
      <w:hyperlink r:id="rId35" w:history="1">
        <w:r w:rsidRPr="005837A0">
          <w:rPr>
            <w:rStyle w:val="Hyperlink"/>
          </w:rPr>
          <w:t>industry.codes@acma.gov.au</w:t>
        </w:r>
      </w:hyperlink>
    </w:p>
    <w:p w14:paraId="7D0B8BE9" w14:textId="52961C67" w:rsidR="00245932" w:rsidRDefault="00245932" w:rsidP="00245932">
      <w:pPr>
        <w:pStyle w:val="ACMANormalTabbed"/>
        <w:spacing w:after="80"/>
      </w:pPr>
      <w:r>
        <w:t>By phone:</w:t>
      </w:r>
      <w:r>
        <w:tab/>
        <w:t>(03) 9963 6800</w:t>
      </w:r>
      <w:r w:rsidR="00820CF1">
        <w:t xml:space="preserve"> (Melbourne </w:t>
      </w:r>
      <w:r w:rsidR="00CD7072">
        <w:t>o</w:t>
      </w:r>
      <w:r w:rsidR="00820CF1">
        <w:t>ffice)</w:t>
      </w:r>
    </w:p>
    <w:p w14:paraId="3F035877" w14:textId="77777777" w:rsidR="00245932" w:rsidRDefault="00245932" w:rsidP="00D5780A">
      <w:pPr>
        <w:pStyle w:val="ACMANormalTabbed"/>
        <w:spacing w:after="0"/>
      </w:pPr>
      <w:r>
        <w:t>By mail:</w:t>
      </w:r>
      <w:r>
        <w:tab/>
      </w:r>
      <w:r w:rsidRPr="005E7226">
        <w:t>The Manager</w:t>
      </w:r>
      <w:r>
        <w:br/>
      </w:r>
      <w:r>
        <w:tab/>
        <w:t>Consumer Interests</w:t>
      </w:r>
      <w:r w:rsidRPr="005E7226">
        <w:t xml:space="preserve"> Section</w:t>
      </w:r>
      <w:r>
        <w:br/>
      </w:r>
      <w:r>
        <w:tab/>
        <w:t>Telecommunication Safeguards Branch</w:t>
      </w:r>
      <w:r>
        <w:br/>
      </w:r>
      <w:r>
        <w:tab/>
      </w:r>
      <w:r w:rsidRPr="005E7226">
        <w:t>Australian Communications and Media Authority</w:t>
      </w:r>
      <w:r>
        <w:br/>
      </w:r>
      <w:r>
        <w:tab/>
      </w:r>
      <w:r w:rsidRPr="005E7226">
        <w:t xml:space="preserve">PO Box </w:t>
      </w:r>
      <w:r>
        <w:t>13112</w:t>
      </w:r>
      <w:r>
        <w:br/>
      </w:r>
      <w:r>
        <w:tab/>
        <w:t>Law Courts</w:t>
      </w:r>
    </w:p>
    <w:p w14:paraId="7E659994" w14:textId="77777777" w:rsidR="00245932" w:rsidRPr="005E7226" w:rsidRDefault="00D5780A" w:rsidP="00E370DD">
      <w:pPr>
        <w:pStyle w:val="ACMANormalTabbed"/>
        <w:spacing w:after="80"/>
      </w:pPr>
      <w:r>
        <w:tab/>
      </w:r>
      <w:r w:rsidR="00245932">
        <w:t>Melbourne</w:t>
      </w:r>
      <w:r w:rsidR="00E97D01">
        <w:t>, VIC 801</w:t>
      </w:r>
      <w:r w:rsidR="00245932">
        <w:t>0</w:t>
      </w:r>
    </w:p>
    <w:p w14:paraId="1AC1C67E" w14:textId="77777777" w:rsidR="00D5780A" w:rsidRDefault="00D5780A" w:rsidP="005C2329">
      <w:r>
        <w:t>Website:</w:t>
      </w:r>
      <w:r>
        <w:tab/>
      </w:r>
      <w:r>
        <w:tab/>
      </w:r>
      <w:hyperlink r:id="rId36" w:history="1">
        <w:r w:rsidRPr="005837A0">
          <w:rPr>
            <w:rStyle w:val="Hyperlink"/>
          </w:rPr>
          <w:t>www.acma.gov.au</w:t>
        </w:r>
      </w:hyperlink>
    </w:p>
    <w:p w14:paraId="72E2EA31" w14:textId="63CC7EB2" w:rsidR="005C2329" w:rsidRPr="00580EE1" w:rsidRDefault="00820CF1" w:rsidP="00E370DD">
      <w:pPr>
        <w:pStyle w:val="Heading2"/>
      </w:pPr>
      <w:bookmarkStart w:id="427" w:name="_Toc428450687"/>
      <w:r>
        <w:t>Other agencies</w:t>
      </w:r>
      <w:bookmarkEnd w:id="427"/>
    </w:p>
    <w:p w14:paraId="47166DFD" w14:textId="3725665B" w:rsidR="00820CF1" w:rsidRDefault="00820CF1" w:rsidP="00E370DD">
      <w:pPr>
        <w:pStyle w:val="Heading3"/>
        <w:spacing w:after="80"/>
      </w:pPr>
      <w:bookmarkStart w:id="428" w:name="_Toc428450688"/>
      <w:r>
        <w:t>Australian Competition and Consumer Commission</w:t>
      </w:r>
      <w:r w:rsidR="005C2329" w:rsidRPr="00580EE1">
        <w:t xml:space="preserve"> (ACCC)</w:t>
      </w:r>
      <w:bookmarkEnd w:id="428"/>
    </w:p>
    <w:p w14:paraId="42866BCF" w14:textId="77777777" w:rsidR="00820CF1" w:rsidRDefault="00820CF1" w:rsidP="00820CF1">
      <w:pPr>
        <w:pStyle w:val="ACMANormalTabbed"/>
        <w:spacing w:after="80"/>
      </w:pPr>
      <w:r>
        <w:t>By phone:</w:t>
      </w:r>
      <w:r>
        <w:tab/>
        <w:t>(02) 6243 1111</w:t>
      </w:r>
    </w:p>
    <w:p w14:paraId="39E2C96E" w14:textId="77777777" w:rsidR="00820CF1" w:rsidRDefault="00820CF1" w:rsidP="00820CF1">
      <w:pPr>
        <w:pStyle w:val="ACMANormalTabbed"/>
        <w:spacing w:after="80"/>
      </w:pPr>
      <w:r>
        <w:t>Hotline:</w:t>
      </w:r>
      <w:r>
        <w:tab/>
        <w:t>1300 302 502</w:t>
      </w:r>
    </w:p>
    <w:p w14:paraId="4C5643A6" w14:textId="77777777" w:rsidR="00820CF1" w:rsidRDefault="00820CF1" w:rsidP="00820CF1">
      <w:pPr>
        <w:pStyle w:val="ACMANormalTabbed"/>
        <w:spacing w:after="0"/>
      </w:pPr>
      <w:r>
        <w:t>By mail:</w:t>
      </w:r>
      <w:r>
        <w:tab/>
        <w:t>GPO Box 3131</w:t>
      </w:r>
    </w:p>
    <w:p w14:paraId="246E041C" w14:textId="77777777" w:rsidR="00820CF1" w:rsidRDefault="00820CF1" w:rsidP="00E370DD">
      <w:pPr>
        <w:pStyle w:val="ACMANormalTabbed"/>
        <w:spacing w:after="80"/>
      </w:pPr>
      <w:r>
        <w:tab/>
        <w:t>Canberra, ACT 2601</w:t>
      </w:r>
    </w:p>
    <w:p w14:paraId="2BA0609E" w14:textId="77777777" w:rsidR="00820CF1" w:rsidRDefault="00820CF1" w:rsidP="00820CF1">
      <w:r>
        <w:t>Website:</w:t>
      </w:r>
      <w:r>
        <w:tab/>
      </w:r>
      <w:r>
        <w:tab/>
      </w:r>
      <w:hyperlink r:id="rId37" w:history="1">
        <w:r w:rsidRPr="005837A0">
          <w:rPr>
            <w:rStyle w:val="Hyperlink"/>
          </w:rPr>
          <w:t>www.accc.gov.au</w:t>
        </w:r>
      </w:hyperlink>
      <w:r>
        <w:t xml:space="preserve"> </w:t>
      </w:r>
    </w:p>
    <w:p w14:paraId="54E3CEB3" w14:textId="30D475EB" w:rsidR="00820CF1" w:rsidRDefault="00820CF1" w:rsidP="00E370DD">
      <w:pPr>
        <w:pStyle w:val="Heading3"/>
        <w:spacing w:after="80"/>
      </w:pPr>
      <w:bookmarkStart w:id="429" w:name="_Toc428450689"/>
      <w:r>
        <w:t>Office</w:t>
      </w:r>
      <w:r w:rsidR="005C2329" w:rsidRPr="00580EE1">
        <w:t xml:space="preserve"> </w:t>
      </w:r>
      <w:r>
        <w:t>of the Australian Information Commissioner</w:t>
      </w:r>
      <w:bookmarkEnd w:id="429"/>
      <w:r w:rsidR="005C2329" w:rsidRPr="00580EE1">
        <w:t xml:space="preserve"> </w:t>
      </w:r>
    </w:p>
    <w:p w14:paraId="427D868A" w14:textId="77777777" w:rsidR="00820CF1" w:rsidRDefault="00820CF1" w:rsidP="00820CF1">
      <w:pPr>
        <w:pStyle w:val="ACMANormalTabbed"/>
        <w:spacing w:after="80"/>
      </w:pPr>
      <w:r>
        <w:t>By phone:</w:t>
      </w:r>
      <w:r>
        <w:tab/>
        <w:t>1300 363 992</w:t>
      </w:r>
    </w:p>
    <w:p w14:paraId="649F29FB" w14:textId="77777777" w:rsidR="00820CF1" w:rsidRDefault="00820CF1" w:rsidP="00820CF1">
      <w:pPr>
        <w:pStyle w:val="ACMANormalTabbed"/>
        <w:spacing w:after="0"/>
      </w:pPr>
      <w:r>
        <w:t>By mail:</w:t>
      </w:r>
      <w:r>
        <w:tab/>
        <w:t xml:space="preserve">GPO Box </w:t>
      </w:r>
      <w:r w:rsidR="00E97D01">
        <w:t>5218</w:t>
      </w:r>
    </w:p>
    <w:p w14:paraId="491A77D2" w14:textId="77777777" w:rsidR="00820CF1" w:rsidRDefault="00820CF1" w:rsidP="00E370DD">
      <w:pPr>
        <w:pStyle w:val="ACMANormalTabbed"/>
        <w:spacing w:after="80"/>
      </w:pPr>
      <w:r>
        <w:tab/>
      </w:r>
      <w:r w:rsidR="00E97D01">
        <w:t>Sydney</w:t>
      </w:r>
      <w:r>
        <w:t xml:space="preserve">, </w:t>
      </w:r>
      <w:r w:rsidR="00E97D01">
        <w:t>NSW 2001</w:t>
      </w:r>
    </w:p>
    <w:p w14:paraId="177393E0" w14:textId="77777777" w:rsidR="005C2329" w:rsidRPr="00DE6D49" w:rsidRDefault="00820CF1" w:rsidP="00820CF1">
      <w:r w:rsidRPr="00DE6D49">
        <w:t>Website:</w:t>
      </w:r>
      <w:r w:rsidRPr="00DE6D49">
        <w:tab/>
      </w:r>
      <w:r w:rsidRPr="00DE6D49">
        <w:tab/>
      </w:r>
      <w:hyperlink r:id="rId38" w:history="1">
        <w:r w:rsidR="00E97D01" w:rsidRPr="00DE6D49">
          <w:rPr>
            <w:rStyle w:val="Hyperlink"/>
          </w:rPr>
          <w:t>www.oaic.gov.au</w:t>
        </w:r>
      </w:hyperlink>
      <w:r w:rsidRPr="00DE6D49">
        <w:t xml:space="preserve"> </w:t>
      </w:r>
    </w:p>
    <w:p w14:paraId="18B7F77F" w14:textId="61BC8F70" w:rsidR="00E97D01" w:rsidRPr="00DE6D49" w:rsidRDefault="00E97D01" w:rsidP="00E370DD">
      <w:pPr>
        <w:pStyle w:val="Heading3"/>
        <w:spacing w:after="80"/>
      </w:pPr>
      <w:bookmarkStart w:id="430" w:name="_Toc428450690"/>
      <w:r w:rsidRPr="00DE6D49">
        <w:rPr>
          <w:bCs w:val="0"/>
        </w:rPr>
        <w:t>Telecommunications Industry Ombudsman</w:t>
      </w:r>
      <w:r w:rsidR="005C2329" w:rsidRPr="00DE6D49">
        <w:rPr>
          <w:bCs w:val="0"/>
        </w:rPr>
        <w:t xml:space="preserve"> (TIO)</w:t>
      </w:r>
      <w:bookmarkEnd w:id="430"/>
    </w:p>
    <w:p w14:paraId="649E84D9" w14:textId="77777777" w:rsidR="00E97D01" w:rsidRPr="00DE6D49" w:rsidRDefault="00E97D01" w:rsidP="00E97D01">
      <w:pPr>
        <w:pStyle w:val="ACMANormalTabbed"/>
        <w:spacing w:after="80"/>
      </w:pPr>
      <w:r w:rsidRPr="00DE6D49">
        <w:t>By phone:</w:t>
      </w:r>
      <w:r w:rsidRPr="00DE6D49">
        <w:tab/>
        <w:t>1800 062 058</w:t>
      </w:r>
    </w:p>
    <w:p w14:paraId="305B5E23" w14:textId="77777777" w:rsidR="00E97D01" w:rsidRPr="00DE6D49" w:rsidRDefault="00E97D01" w:rsidP="00E370DD">
      <w:pPr>
        <w:spacing w:after="80"/>
      </w:pPr>
      <w:r w:rsidRPr="00DE6D49">
        <w:t>Email</w:t>
      </w:r>
      <w:r w:rsidRPr="00DE6D49">
        <w:tab/>
      </w:r>
      <w:r w:rsidRPr="00DE6D49">
        <w:tab/>
      </w:r>
      <w:r w:rsidRPr="00DE6D49">
        <w:tab/>
      </w:r>
      <w:hyperlink r:id="rId39" w:history="1">
        <w:r w:rsidRPr="00DE6D49">
          <w:rPr>
            <w:rStyle w:val="Hyperlink"/>
          </w:rPr>
          <w:t>tio@tio.com.au</w:t>
        </w:r>
      </w:hyperlink>
    </w:p>
    <w:p w14:paraId="3C372E5F" w14:textId="77777777" w:rsidR="00E97D01" w:rsidRPr="00DE6D49" w:rsidRDefault="00E97D01" w:rsidP="00E370DD">
      <w:pPr>
        <w:pStyle w:val="ACMANormalTabbed"/>
        <w:spacing w:after="0"/>
      </w:pPr>
      <w:r w:rsidRPr="00DE6D49">
        <w:t>By mail:</w:t>
      </w:r>
      <w:r w:rsidRPr="00DE6D49">
        <w:tab/>
        <w:t>PO Box 276</w:t>
      </w:r>
    </w:p>
    <w:p w14:paraId="2BFABB32" w14:textId="77777777" w:rsidR="00E97D01" w:rsidRPr="00DE6D49" w:rsidRDefault="00E97D01" w:rsidP="00E97D01">
      <w:pPr>
        <w:pStyle w:val="ACMANormalTabbed"/>
        <w:spacing w:after="0"/>
      </w:pPr>
      <w:r w:rsidRPr="00DE6D49">
        <w:tab/>
        <w:t>Collins Street West,</w:t>
      </w:r>
    </w:p>
    <w:p w14:paraId="4CEC27FB" w14:textId="77777777" w:rsidR="00E97D01" w:rsidRPr="00DE6D49" w:rsidRDefault="00E97D01" w:rsidP="00E370DD">
      <w:pPr>
        <w:pStyle w:val="ACMANormalTabbed"/>
        <w:spacing w:after="80"/>
      </w:pPr>
      <w:r w:rsidRPr="00DE6D49">
        <w:tab/>
        <w:t>Melbourne, VIC 8007</w:t>
      </w:r>
    </w:p>
    <w:p w14:paraId="2B806CB5" w14:textId="03D13B2F" w:rsidR="008B4671" w:rsidRDefault="005C2329" w:rsidP="00E370DD">
      <w:r w:rsidRPr="00E370DD">
        <w:t>Website</w:t>
      </w:r>
      <w:r w:rsidRPr="00DE6D49">
        <w:tab/>
      </w:r>
      <w:r w:rsidR="005F551A" w:rsidRPr="00DE6D49">
        <w:tab/>
      </w:r>
      <w:hyperlink r:id="rId40" w:history="1">
        <w:r w:rsidRPr="00DE6D49">
          <w:rPr>
            <w:rStyle w:val="Hyperlink"/>
          </w:rPr>
          <w:t>www.tio.com.au</w:t>
        </w:r>
      </w:hyperlink>
    </w:p>
    <w:p w14:paraId="1DFC9632" w14:textId="50230286" w:rsidR="009D1652" w:rsidRDefault="009D1652" w:rsidP="00B679DF">
      <w:pPr>
        <w:pStyle w:val="Heading1"/>
        <w:rPr>
          <w:i/>
        </w:rPr>
      </w:pPr>
      <w:bookmarkStart w:id="431" w:name="_Toc428450691"/>
      <w:r>
        <w:lastRenderedPageBreak/>
        <w:t>Appendix A</w:t>
      </w:r>
      <w:r w:rsidR="006D35A1">
        <w:t>—</w:t>
      </w:r>
      <w:r w:rsidR="00B679DF">
        <w:t xml:space="preserve">Extract from the </w:t>
      </w:r>
      <w:r w:rsidR="00B679DF">
        <w:rPr>
          <w:i/>
        </w:rPr>
        <w:t>Telecommunications Act 1997</w:t>
      </w:r>
      <w:bookmarkEnd w:id="431"/>
    </w:p>
    <w:p w14:paraId="7E1AB27C" w14:textId="77777777" w:rsidR="000A600C" w:rsidRPr="00041614" w:rsidRDefault="000A600C" w:rsidP="000A600C">
      <w:pPr>
        <w:pStyle w:val="Heading2"/>
        <w:rPr>
          <w:rFonts w:ascii="Times New Roman" w:hAnsi="Times New Roman" w:cs="Times New Roman"/>
          <w:sz w:val="32"/>
          <w:szCs w:val="32"/>
        </w:rPr>
      </w:pPr>
      <w:bookmarkStart w:id="432" w:name="_Toc395876662"/>
      <w:bookmarkStart w:id="433" w:name="_Toc420934510"/>
      <w:bookmarkStart w:id="434" w:name="_Toc428450692"/>
      <w:r w:rsidRPr="00041614">
        <w:rPr>
          <w:rStyle w:val="CharPartNo"/>
          <w:rFonts w:ascii="Times New Roman" w:hAnsi="Times New Roman" w:cs="Times New Roman"/>
          <w:sz w:val="32"/>
          <w:szCs w:val="32"/>
        </w:rPr>
        <w:t>Part 6</w:t>
      </w:r>
      <w:r w:rsidRPr="00041614">
        <w:rPr>
          <w:rFonts w:ascii="Times New Roman" w:hAnsi="Times New Roman" w:cs="Times New Roman"/>
          <w:sz w:val="32"/>
          <w:szCs w:val="32"/>
        </w:rPr>
        <w:t>—</w:t>
      </w:r>
      <w:r w:rsidRPr="00041614">
        <w:rPr>
          <w:rStyle w:val="CharPartText"/>
          <w:rFonts w:ascii="Times New Roman" w:hAnsi="Times New Roman" w:cs="Times New Roman"/>
          <w:sz w:val="32"/>
          <w:szCs w:val="32"/>
        </w:rPr>
        <w:t>Industry codes and industry standards</w:t>
      </w:r>
      <w:bookmarkEnd w:id="432"/>
      <w:bookmarkEnd w:id="433"/>
      <w:bookmarkEnd w:id="434"/>
    </w:p>
    <w:p w14:paraId="613E3355" w14:textId="77777777" w:rsidR="000A600C" w:rsidRPr="00041614" w:rsidRDefault="000A600C" w:rsidP="00041614">
      <w:pPr>
        <w:pStyle w:val="Heading3"/>
        <w:spacing w:before="240"/>
        <w:rPr>
          <w:rFonts w:ascii="Times New Roman" w:hAnsi="Times New Roman" w:cs="Times New Roman"/>
          <w:sz w:val="28"/>
          <w:szCs w:val="28"/>
        </w:rPr>
      </w:pPr>
      <w:bookmarkStart w:id="435" w:name="_Toc395876663"/>
      <w:bookmarkStart w:id="436" w:name="_Toc420934511"/>
      <w:bookmarkStart w:id="437" w:name="_Toc428450693"/>
      <w:r w:rsidRPr="00041614">
        <w:rPr>
          <w:rStyle w:val="CharDivNo"/>
          <w:rFonts w:cs="Times New Roman"/>
          <w:i w:val="0"/>
          <w:sz w:val="28"/>
          <w:szCs w:val="28"/>
        </w:rPr>
        <w:t>Division 1</w:t>
      </w:r>
      <w:r w:rsidRPr="00041614">
        <w:rPr>
          <w:rFonts w:ascii="Times New Roman" w:hAnsi="Times New Roman" w:cs="Times New Roman"/>
          <w:sz w:val="28"/>
          <w:szCs w:val="28"/>
        </w:rPr>
        <w:t>—</w:t>
      </w:r>
      <w:r w:rsidRPr="00041614">
        <w:rPr>
          <w:rStyle w:val="CharDivText"/>
          <w:rFonts w:ascii="Times New Roman" w:hAnsi="Times New Roman" w:cs="Times New Roman"/>
          <w:sz w:val="28"/>
          <w:szCs w:val="28"/>
        </w:rPr>
        <w:t>Simplified outline</w:t>
      </w:r>
      <w:bookmarkEnd w:id="435"/>
      <w:bookmarkEnd w:id="436"/>
      <w:bookmarkEnd w:id="437"/>
    </w:p>
    <w:p w14:paraId="2A44407C" w14:textId="5A854BCB" w:rsidR="000A600C" w:rsidRPr="00EE6190" w:rsidRDefault="000A600C" w:rsidP="00D755B7">
      <w:pPr>
        <w:pStyle w:val="Heading5"/>
      </w:pPr>
      <w:r w:rsidRPr="00EE6190">
        <w:rPr>
          <w:rStyle w:val="CharSectno"/>
        </w:rPr>
        <w:t>106</w:t>
      </w:r>
      <w:r w:rsidRPr="00EE6190">
        <w:t xml:space="preserve">  Simplified outline</w:t>
      </w:r>
    </w:p>
    <w:p w14:paraId="176AB183" w14:textId="77777777" w:rsidR="000A600C" w:rsidRPr="00EE6190" w:rsidRDefault="000A600C" w:rsidP="000A600C">
      <w:pPr>
        <w:pStyle w:val="subsection"/>
        <w:rPr>
          <w:rFonts w:ascii="Times New Roman" w:hAnsi="Times New Roman"/>
        </w:rPr>
      </w:pPr>
      <w:r w:rsidRPr="00EE6190">
        <w:rPr>
          <w:rFonts w:ascii="Times New Roman" w:hAnsi="Times New Roman"/>
        </w:rPr>
        <w:tab/>
      </w:r>
      <w:r w:rsidRPr="00EE6190">
        <w:rPr>
          <w:rFonts w:ascii="Times New Roman" w:hAnsi="Times New Roman"/>
        </w:rPr>
        <w:tab/>
        <w:t>The following is a simplified outline of this Part.</w:t>
      </w:r>
    </w:p>
    <w:p w14:paraId="7328A79C" w14:textId="77777777" w:rsidR="000A600C" w:rsidRPr="00EE6190" w:rsidRDefault="000A600C" w:rsidP="000A600C">
      <w:pPr>
        <w:pStyle w:val="BoxList"/>
        <w:rPr>
          <w:rFonts w:ascii="Times New Roman" w:hAnsi="Times New Roman"/>
        </w:rPr>
      </w:pPr>
      <w:r w:rsidRPr="00EE6190">
        <w:rPr>
          <w:rFonts w:ascii="Times New Roman" w:hAnsi="Times New Roman"/>
        </w:rPr>
        <w:t>•</w:t>
      </w:r>
      <w:r w:rsidRPr="00EE6190">
        <w:rPr>
          <w:rFonts w:ascii="Times New Roman" w:hAnsi="Times New Roman"/>
        </w:rPr>
        <w:tab/>
        <w:t>Bodies and associations that represent sections of the telecommunications industry, the telemarketing industry or the fax marketing industry may develop industry codes.</w:t>
      </w:r>
    </w:p>
    <w:p w14:paraId="79B2EE46" w14:textId="77777777" w:rsidR="000A600C" w:rsidRPr="00EE6190" w:rsidRDefault="000A600C" w:rsidP="000A600C">
      <w:pPr>
        <w:pStyle w:val="BoxList"/>
        <w:rPr>
          <w:rFonts w:ascii="Times New Roman" w:hAnsi="Times New Roman"/>
        </w:rPr>
      </w:pPr>
      <w:r w:rsidRPr="00EE6190">
        <w:rPr>
          <w:rFonts w:ascii="Times New Roman" w:hAnsi="Times New Roman"/>
        </w:rPr>
        <w:t>•</w:t>
      </w:r>
      <w:r w:rsidRPr="00EE6190">
        <w:rPr>
          <w:rFonts w:ascii="Times New Roman" w:hAnsi="Times New Roman"/>
        </w:rPr>
        <w:tab/>
        <w:t>Industry codes may be registered by the ACMA.</w:t>
      </w:r>
    </w:p>
    <w:p w14:paraId="606BF521" w14:textId="77777777" w:rsidR="000A600C" w:rsidRPr="00EE6190" w:rsidRDefault="000A600C" w:rsidP="000A600C">
      <w:pPr>
        <w:pStyle w:val="BoxList"/>
        <w:rPr>
          <w:rFonts w:ascii="Times New Roman" w:hAnsi="Times New Roman"/>
        </w:rPr>
      </w:pPr>
      <w:r w:rsidRPr="00EE6190">
        <w:rPr>
          <w:rFonts w:ascii="Times New Roman" w:hAnsi="Times New Roman"/>
        </w:rPr>
        <w:t>•</w:t>
      </w:r>
      <w:r w:rsidRPr="00EE6190">
        <w:rPr>
          <w:rFonts w:ascii="Times New Roman" w:hAnsi="Times New Roman"/>
        </w:rPr>
        <w:tab/>
        <w:t>Compliance with an industry code is voluntary unless the ACMA directs a particular participant in the telecommunications industry, the telemarketing industry or the fax marketing industry to comply with the code.</w:t>
      </w:r>
    </w:p>
    <w:p w14:paraId="28A7DD03" w14:textId="77777777" w:rsidR="000A600C" w:rsidRPr="00EE6190" w:rsidRDefault="000A600C" w:rsidP="000A600C">
      <w:pPr>
        <w:pStyle w:val="BoxList"/>
        <w:rPr>
          <w:rFonts w:ascii="Times New Roman" w:hAnsi="Times New Roman"/>
        </w:rPr>
      </w:pPr>
      <w:r w:rsidRPr="00EE6190">
        <w:rPr>
          <w:rFonts w:ascii="Times New Roman" w:hAnsi="Times New Roman"/>
        </w:rPr>
        <w:t>•</w:t>
      </w:r>
      <w:r w:rsidRPr="00EE6190">
        <w:rPr>
          <w:rFonts w:ascii="Times New Roman" w:hAnsi="Times New Roman"/>
        </w:rPr>
        <w:tab/>
        <w:t>The ACMA has a reserve power to make an industry standard if there are no industry codes or if an industry code is deficient.</w:t>
      </w:r>
    </w:p>
    <w:p w14:paraId="4AD696C1" w14:textId="77777777" w:rsidR="000A600C" w:rsidRPr="00EE6190" w:rsidRDefault="000A600C" w:rsidP="000A600C">
      <w:pPr>
        <w:pStyle w:val="BoxList"/>
        <w:rPr>
          <w:rFonts w:ascii="Times New Roman" w:hAnsi="Times New Roman"/>
        </w:rPr>
      </w:pPr>
      <w:r w:rsidRPr="00EE6190">
        <w:rPr>
          <w:rFonts w:ascii="Times New Roman" w:hAnsi="Times New Roman"/>
        </w:rPr>
        <w:t>•</w:t>
      </w:r>
      <w:r w:rsidRPr="00EE6190">
        <w:rPr>
          <w:rFonts w:ascii="Times New Roman" w:hAnsi="Times New Roman"/>
        </w:rPr>
        <w:tab/>
        <w:t>Compliance with industry standards is mandatory.</w:t>
      </w:r>
    </w:p>
    <w:p w14:paraId="25623BB6" w14:textId="77777777" w:rsidR="000A600C" w:rsidRPr="00041614" w:rsidRDefault="000A600C" w:rsidP="000A600C">
      <w:pPr>
        <w:pStyle w:val="Heading3"/>
        <w:pageBreakBefore/>
        <w:rPr>
          <w:rFonts w:ascii="Times New Roman" w:hAnsi="Times New Roman" w:cs="Times New Roman"/>
          <w:i/>
          <w:sz w:val="28"/>
          <w:szCs w:val="28"/>
        </w:rPr>
      </w:pPr>
      <w:bookmarkStart w:id="438" w:name="_Toc395876664"/>
      <w:bookmarkStart w:id="439" w:name="_Toc420934512"/>
      <w:bookmarkStart w:id="440" w:name="_Toc428450694"/>
      <w:r w:rsidRPr="00041614">
        <w:rPr>
          <w:rStyle w:val="CharDivNo"/>
          <w:rFonts w:cs="Times New Roman"/>
          <w:i w:val="0"/>
          <w:sz w:val="28"/>
          <w:szCs w:val="28"/>
        </w:rPr>
        <w:lastRenderedPageBreak/>
        <w:t>Division 2</w:t>
      </w:r>
      <w:r w:rsidRPr="00041614">
        <w:rPr>
          <w:rFonts w:ascii="Times New Roman" w:hAnsi="Times New Roman" w:cs="Times New Roman"/>
          <w:i/>
          <w:sz w:val="28"/>
          <w:szCs w:val="28"/>
        </w:rPr>
        <w:t>—</w:t>
      </w:r>
      <w:r w:rsidRPr="00041614">
        <w:rPr>
          <w:rStyle w:val="CharDivText"/>
          <w:rFonts w:ascii="Times New Roman" w:hAnsi="Times New Roman" w:cs="Times New Roman"/>
          <w:sz w:val="28"/>
          <w:szCs w:val="28"/>
        </w:rPr>
        <w:t>Interpretation</w:t>
      </w:r>
      <w:bookmarkEnd w:id="438"/>
      <w:bookmarkEnd w:id="439"/>
      <w:bookmarkEnd w:id="440"/>
    </w:p>
    <w:p w14:paraId="4499878A" w14:textId="5220624B"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41" w:name="_Toc418083417"/>
      <w:bookmarkEnd w:id="11"/>
      <w:r w:rsidRPr="00871580">
        <w:rPr>
          <w:rFonts w:ascii="Times New Roman" w:hAnsi="Times New Roman"/>
          <w:b/>
          <w:kern w:val="28"/>
          <w:sz w:val="24"/>
          <w:szCs w:val="20"/>
        </w:rPr>
        <w:t>107  Industry codes</w:t>
      </w:r>
      <w:bookmarkEnd w:id="441"/>
    </w:p>
    <w:p w14:paraId="50F18B7A"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r>
      <w:r w:rsidRPr="00871580">
        <w:rPr>
          <w:rFonts w:ascii="Times New Roman" w:hAnsi="Times New Roman"/>
          <w:sz w:val="22"/>
          <w:szCs w:val="20"/>
        </w:rPr>
        <w:tab/>
        <w:t xml:space="preserve">For the purposes of this Part, an </w:t>
      </w:r>
      <w:r w:rsidRPr="00871580">
        <w:rPr>
          <w:rFonts w:ascii="Times New Roman" w:hAnsi="Times New Roman"/>
          <w:b/>
          <w:i/>
          <w:sz w:val="22"/>
          <w:szCs w:val="20"/>
        </w:rPr>
        <w:t>industry code</w:t>
      </w:r>
      <w:r w:rsidRPr="00871580">
        <w:rPr>
          <w:rFonts w:ascii="Times New Roman" w:hAnsi="Times New Roman"/>
          <w:sz w:val="22"/>
          <w:szCs w:val="20"/>
        </w:rPr>
        <w:t xml:space="preserve"> is a code developed under this Part (whether or not in response to a request under this Part).</w:t>
      </w:r>
    </w:p>
    <w:p w14:paraId="5D80B90F" w14:textId="77777777" w:rsidR="00871580" w:rsidRPr="00871580" w:rsidRDefault="00871580" w:rsidP="00871580">
      <w:pPr>
        <w:pStyle w:val="Style1"/>
      </w:pPr>
      <w:bookmarkStart w:id="442" w:name="_Toc418083418"/>
      <w:r w:rsidRPr="00871580">
        <w:t>108  Industry standards</w:t>
      </w:r>
      <w:bookmarkEnd w:id="442"/>
    </w:p>
    <w:p w14:paraId="2E486A50"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r>
      <w:r w:rsidRPr="00871580">
        <w:rPr>
          <w:rFonts w:ascii="Times New Roman" w:hAnsi="Times New Roman"/>
          <w:sz w:val="22"/>
          <w:szCs w:val="20"/>
        </w:rPr>
        <w:tab/>
        <w:t xml:space="preserve">For the purposes of this Part, an </w:t>
      </w:r>
      <w:r w:rsidRPr="00871580">
        <w:rPr>
          <w:rFonts w:ascii="Times New Roman" w:hAnsi="Times New Roman"/>
          <w:b/>
          <w:i/>
          <w:sz w:val="22"/>
          <w:szCs w:val="20"/>
        </w:rPr>
        <w:t>industry standard</w:t>
      </w:r>
      <w:r w:rsidRPr="00871580">
        <w:rPr>
          <w:rFonts w:ascii="Times New Roman" w:hAnsi="Times New Roman"/>
          <w:sz w:val="22"/>
          <w:szCs w:val="20"/>
        </w:rPr>
        <w:t xml:space="preserve"> is a standard determined under this Part.</w:t>
      </w:r>
    </w:p>
    <w:p w14:paraId="2B234E30"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43" w:name="_Toc418083419"/>
      <w:r w:rsidRPr="00871580">
        <w:rPr>
          <w:rFonts w:ascii="Times New Roman" w:hAnsi="Times New Roman"/>
          <w:b/>
          <w:kern w:val="28"/>
          <w:sz w:val="24"/>
          <w:szCs w:val="20"/>
        </w:rPr>
        <w:t>108A  Electronic messaging service provider</w:t>
      </w:r>
      <w:bookmarkEnd w:id="443"/>
    </w:p>
    <w:p w14:paraId="047B5A16"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 xml:space="preserve">For the purposes of this Part, if a person supplies, or proposes to supply, an electronic messaging service to the public, the person is an </w:t>
      </w:r>
      <w:r w:rsidRPr="00871580">
        <w:rPr>
          <w:rFonts w:ascii="Times New Roman" w:hAnsi="Times New Roman"/>
          <w:b/>
          <w:i/>
          <w:sz w:val="22"/>
          <w:szCs w:val="20"/>
        </w:rPr>
        <w:t>electronic messaging service provider</w:t>
      </w:r>
      <w:r w:rsidRPr="00871580">
        <w:rPr>
          <w:rFonts w:ascii="Times New Roman" w:hAnsi="Times New Roman"/>
          <w:sz w:val="22"/>
          <w:szCs w:val="20"/>
        </w:rPr>
        <w:t>.</w:t>
      </w:r>
    </w:p>
    <w:p w14:paraId="0B3BBEE2"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For the purposes of subsection (1), a service is supplied to the public if, and only if, at least one end</w:t>
      </w:r>
      <w:r w:rsidRPr="00871580">
        <w:rPr>
          <w:rFonts w:ascii="Times New Roman" w:hAnsi="Times New Roman"/>
          <w:sz w:val="22"/>
          <w:szCs w:val="20"/>
        </w:rPr>
        <w:noBreakHyphen/>
        <w:t>user of the service is outside the immediate circle of the supplier of the service.</w:t>
      </w:r>
    </w:p>
    <w:p w14:paraId="0E16A31F"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w:t>
      </w:r>
      <w:r w:rsidRPr="00871580">
        <w:rPr>
          <w:rFonts w:ascii="Times New Roman" w:hAnsi="Times New Roman"/>
          <w:sz w:val="22"/>
          <w:szCs w:val="20"/>
        </w:rPr>
        <w:tab/>
        <w:t>In this section:</w:t>
      </w:r>
    </w:p>
    <w:p w14:paraId="157C8686" w14:textId="77777777" w:rsidR="00871580" w:rsidRPr="00871580" w:rsidRDefault="00871580" w:rsidP="00871580">
      <w:pPr>
        <w:spacing w:before="180" w:after="0" w:line="240" w:lineRule="auto"/>
        <w:ind w:left="1134"/>
        <w:rPr>
          <w:rFonts w:ascii="Times New Roman" w:hAnsi="Times New Roman"/>
          <w:sz w:val="22"/>
          <w:szCs w:val="20"/>
        </w:rPr>
      </w:pPr>
      <w:r w:rsidRPr="00871580">
        <w:rPr>
          <w:rFonts w:ascii="Times New Roman" w:hAnsi="Times New Roman"/>
          <w:b/>
          <w:i/>
          <w:sz w:val="22"/>
          <w:szCs w:val="20"/>
        </w:rPr>
        <w:t>electronic message</w:t>
      </w:r>
      <w:r w:rsidRPr="00871580">
        <w:rPr>
          <w:rFonts w:ascii="Times New Roman" w:hAnsi="Times New Roman"/>
          <w:sz w:val="22"/>
          <w:szCs w:val="20"/>
        </w:rPr>
        <w:t xml:space="preserve"> has the same meaning as in the </w:t>
      </w:r>
      <w:r w:rsidRPr="00871580">
        <w:rPr>
          <w:rFonts w:ascii="Times New Roman" w:hAnsi="Times New Roman"/>
          <w:i/>
          <w:sz w:val="22"/>
          <w:szCs w:val="20"/>
        </w:rPr>
        <w:t>Spam Act 2003</w:t>
      </w:r>
      <w:r w:rsidRPr="00871580">
        <w:rPr>
          <w:rFonts w:ascii="Times New Roman" w:hAnsi="Times New Roman"/>
          <w:sz w:val="22"/>
          <w:szCs w:val="20"/>
        </w:rPr>
        <w:t>.</w:t>
      </w:r>
    </w:p>
    <w:p w14:paraId="6541873D" w14:textId="77777777" w:rsidR="00871580" w:rsidRPr="00871580" w:rsidRDefault="00871580" w:rsidP="00871580">
      <w:pPr>
        <w:spacing w:before="180" w:after="0" w:line="240" w:lineRule="auto"/>
        <w:ind w:left="1134"/>
        <w:rPr>
          <w:rFonts w:ascii="Times New Roman" w:hAnsi="Times New Roman"/>
          <w:sz w:val="22"/>
          <w:szCs w:val="20"/>
        </w:rPr>
      </w:pPr>
      <w:r w:rsidRPr="00871580">
        <w:rPr>
          <w:rFonts w:ascii="Times New Roman" w:hAnsi="Times New Roman"/>
          <w:b/>
          <w:i/>
          <w:sz w:val="22"/>
          <w:szCs w:val="20"/>
        </w:rPr>
        <w:t>electronic messaging service</w:t>
      </w:r>
      <w:r w:rsidRPr="00871580">
        <w:rPr>
          <w:rFonts w:ascii="Times New Roman" w:hAnsi="Times New Roman"/>
          <w:sz w:val="22"/>
          <w:szCs w:val="20"/>
        </w:rPr>
        <w:t xml:space="preserve"> means a service that enables any or all of the following electronic messages to be sent or received:</w:t>
      </w:r>
    </w:p>
    <w:p w14:paraId="1DEE10B8"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web</w:t>
      </w:r>
      <w:r w:rsidRPr="00871580">
        <w:rPr>
          <w:rFonts w:ascii="Times New Roman" w:hAnsi="Times New Roman"/>
          <w:sz w:val="22"/>
          <w:szCs w:val="20"/>
        </w:rPr>
        <w:noBreakHyphen/>
        <w:t>based email;</w:t>
      </w:r>
    </w:p>
    <w:p w14:paraId="5104295A"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instant messages;</w:t>
      </w:r>
    </w:p>
    <w:p w14:paraId="27B3389D"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text messages;</w:t>
      </w:r>
    </w:p>
    <w:p w14:paraId="218FAD7D"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messages of a kind specified in the regulations.</w:t>
      </w:r>
    </w:p>
    <w:p w14:paraId="1FFF4EB5" w14:textId="77777777" w:rsidR="00871580" w:rsidRPr="00871580" w:rsidRDefault="00871580" w:rsidP="00871580">
      <w:pPr>
        <w:spacing w:before="180" w:after="0" w:line="240" w:lineRule="auto"/>
        <w:ind w:left="1134"/>
        <w:rPr>
          <w:rFonts w:ascii="Times New Roman" w:hAnsi="Times New Roman"/>
          <w:sz w:val="22"/>
          <w:szCs w:val="20"/>
        </w:rPr>
      </w:pPr>
      <w:r w:rsidRPr="00871580">
        <w:rPr>
          <w:rFonts w:ascii="Times New Roman" w:hAnsi="Times New Roman"/>
          <w:b/>
          <w:i/>
          <w:sz w:val="22"/>
          <w:szCs w:val="20"/>
        </w:rPr>
        <w:t>message</w:t>
      </w:r>
      <w:r w:rsidRPr="00871580">
        <w:rPr>
          <w:rFonts w:ascii="Times New Roman" w:hAnsi="Times New Roman"/>
          <w:sz w:val="22"/>
          <w:szCs w:val="20"/>
        </w:rPr>
        <w:t xml:space="preserve"> has the same meaning as in the </w:t>
      </w:r>
      <w:r w:rsidRPr="00871580">
        <w:rPr>
          <w:rFonts w:ascii="Times New Roman" w:hAnsi="Times New Roman"/>
          <w:i/>
          <w:sz w:val="22"/>
          <w:szCs w:val="20"/>
        </w:rPr>
        <w:t>Spam Act 2003</w:t>
      </w:r>
      <w:r w:rsidRPr="00871580">
        <w:rPr>
          <w:rFonts w:ascii="Times New Roman" w:hAnsi="Times New Roman"/>
          <w:sz w:val="22"/>
          <w:szCs w:val="20"/>
        </w:rPr>
        <w:t>.</w:t>
      </w:r>
    </w:p>
    <w:p w14:paraId="207B355F"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44" w:name="_Toc418083420"/>
      <w:r w:rsidRPr="00871580">
        <w:rPr>
          <w:rFonts w:ascii="Times New Roman" w:hAnsi="Times New Roman"/>
          <w:b/>
          <w:kern w:val="28"/>
          <w:sz w:val="24"/>
          <w:szCs w:val="20"/>
        </w:rPr>
        <w:t>108B  Telecommunications industry</w:t>
      </w:r>
      <w:bookmarkEnd w:id="444"/>
    </w:p>
    <w:p w14:paraId="31BB3928"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r>
      <w:r w:rsidRPr="00871580">
        <w:rPr>
          <w:rFonts w:ascii="Times New Roman" w:hAnsi="Times New Roman"/>
          <w:sz w:val="22"/>
          <w:szCs w:val="20"/>
        </w:rPr>
        <w:tab/>
        <w:t xml:space="preserve">For the purposes of this Part, the </w:t>
      </w:r>
      <w:r w:rsidRPr="00871580">
        <w:rPr>
          <w:rFonts w:ascii="Times New Roman" w:hAnsi="Times New Roman"/>
          <w:b/>
          <w:i/>
          <w:sz w:val="22"/>
          <w:szCs w:val="20"/>
        </w:rPr>
        <w:t>telecommunications industry</w:t>
      </w:r>
      <w:r w:rsidRPr="00871580">
        <w:rPr>
          <w:rFonts w:ascii="Times New Roman" w:hAnsi="Times New Roman"/>
          <w:sz w:val="22"/>
          <w:szCs w:val="20"/>
        </w:rPr>
        <w:t xml:space="preserve"> includes an industry that involves carrying on business as an electronic messaging service provider.</w:t>
      </w:r>
    </w:p>
    <w:p w14:paraId="768C7D7C"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45" w:name="_Toc418083421"/>
      <w:r w:rsidRPr="00871580">
        <w:rPr>
          <w:rFonts w:ascii="Times New Roman" w:hAnsi="Times New Roman"/>
          <w:b/>
          <w:kern w:val="28"/>
          <w:sz w:val="24"/>
          <w:szCs w:val="20"/>
        </w:rPr>
        <w:t>109  Telecommunications activity</w:t>
      </w:r>
      <w:bookmarkEnd w:id="445"/>
    </w:p>
    <w:p w14:paraId="06B6E29B"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r>
      <w:r w:rsidRPr="00871580">
        <w:rPr>
          <w:rFonts w:ascii="Times New Roman" w:hAnsi="Times New Roman"/>
          <w:sz w:val="22"/>
          <w:szCs w:val="20"/>
        </w:rPr>
        <w:tab/>
        <w:t xml:space="preserve">For the purposes of this Part, a </w:t>
      </w:r>
      <w:r w:rsidRPr="00871580">
        <w:rPr>
          <w:rFonts w:ascii="Times New Roman" w:hAnsi="Times New Roman"/>
          <w:b/>
          <w:i/>
          <w:sz w:val="22"/>
          <w:szCs w:val="20"/>
        </w:rPr>
        <w:t>telecommunications activity</w:t>
      </w:r>
      <w:r w:rsidRPr="00871580">
        <w:rPr>
          <w:rFonts w:ascii="Times New Roman" w:hAnsi="Times New Roman"/>
          <w:sz w:val="22"/>
          <w:szCs w:val="20"/>
        </w:rPr>
        <w:t xml:space="preserve"> is an activity that consists of:</w:t>
      </w:r>
    </w:p>
    <w:p w14:paraId="311FFECB"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carrying on business as a carrier; or</w:t>
      </w:r>
    </w:p>
    <w:p w14:paraId="337E8B3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carrying on business as a carriage service provider; or</w:t>
      </w:r>
    </w:p>
    <w:p w14:paraId="18AF6BD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supplying goods or services for use in connection with the supply of a listed carriage service; or</w:t>
      </w:r>
    </w:p>
    <w:p w14:paraId="1CC7D232"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supplying a content service using a listed carriage service; or</w:t>
      </w:r>
    </w:p>
    <w:p w14:paraId="38D79484"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(e)</w:t>
      </w:r>
      <w:r w:rsidRPr="00871580">
        <w:rPr>
          <w:rFonts w:ascii="Times New Roman" w:hAnsi="Times New Roman"/>
          <w:sz w:val="22"/>
          <w:szCs w:val="20"/>
        </w:rPr>
        <w:tab/>
        <w:t>manufacturing or importing customer equipment or customer cabling; or</w:t>
      </w:r>
    </w:p>
    <w:p w14:paraId="4169695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(f)</w:t>
      </w:r>
      <w:r w:rsidRPr="00871580">
        <w:rPr>
          <w:rFonts w:ascii="Times New Roman" w:hAnsi="Times New Roman"/>
          <w:sz w:val="22"/>
          <w:szCs w:val="20"/>
        </w:rPr>
        <w:tab/>
        <w:t>installing, maintaining, operating or providing access to:</w:t>
      </w:r>
    </w:p>
    <w:p w14:paraId="03FA0858"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a telecommunications network; or</w:t>
      </w:r>
    </w:p>
    <w:p w14:paraId="2A1EC920"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lastRenderedPageBreak/>
        <w:tab/>
        <w:t>(ii)</w:t>
      </w:r>
      <w:r w:rsidRPr="00871580">
        <w:rPr>
          <w:rFonts w:ascii="Times New Roman" w:hAnsi="Times New Roman"/>
          <w:sz w:val="22"/>
          <w:szCs w:val="20"/>
        </w:rPr>
        <w:tab/>
        <w:t>a facility;</w:t>
      </w:r>
    </w:p>
    <w:p w14:paraId="7A168A17"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r>
      <w:r w:rsidRPr="00871580">
        <w:rPr>
          <w:rFonts w:ascii="Times New Roman" w:hAnsi="Times New Roman"/>
          <w:sz w:val="22"/>
          <w:szCs w:val="20"/>
        </w:rPr>
        <w:tab/>
        <w:t>used to supply a listed carriage service; or</w:t>
      </w:r>
    </w:p>
    <w:p w14:paraId="4DBCA0C5"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(g)</w:t>
      </w:r>
      <w:r w:rsidRPr="00871580">
        <w:rPr>
          <w:rFonts w:ascii="Times New Roman" w:hAnsi="Times New Roman"/>
          <w:sz w:val="22"/>
          <w:szCs w:val="20"/>
        </w:rPr>
        <w:tab/>
        <w:t>carrying on business as an electronic messaging service provider.</w:t>
      </w:r>
    </w:p>
    <w:p w14:paraId="58708EB1"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46" w:name="_Toc418083422"/>
      <w:r w:rsidRPr="00871580">
        <w:rPr>
          <w:rFonts w:ascii="Times New Roman" w:hAnsi="Times New Roman"/>
          <w:b/>
          <w:kern w:val="28"/>
          <w:sz w:val="24"/>
          <w:szCs w:val="20"/>
        </w:rPr>
        <w:t>109B  Telemarketing activity</w:t>
      </w:r>
      <w:bookmarkEnd w:id="446"/>
    </w:p>
    <w:p w14:paraId="711EF011"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 xml:space="preserve">For the purposes of this Part, a </w:t>
      </w:r>
      <w:r w:rsidRPr="00871580">
        <w:rPr>
          <w:rFonts w:ascii="Times New Roman" w:hAnsi="Times New Roman"/>
          <w:b/>
          <w:i/>
          <w:sz w:val="22"/>
          <w:szCs w:val="20"/>
        </w:rPr>
        <w:t>telemarketing activity</w:t>
      </w:r>
      <w:r w:rsidRPr="00871580">
        <w:rPr>
          <w:rFonts w:ascii="Times New Roman" w:hAnsi="Times New Roman"/>
          <w:sz w:val="22"/>
          <w:szCs w:val="20"/>
        </w:rPr>
        <w:t xml:space="preserve"> is an activity to which subsection (2), (3) or (4) applies.</w:t>
      </w:r>
    </w:p>
    <w:p w14:paraId="4AECBF3A"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This subsection applies to an activity that:</w:t>
      </w:r>
    </w:p>
    <w:p w14:paraId="7770E211"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 xml:space="preserve">is carried on by a person (the </w:t>
      </w:r>
      <w:r w:rsidRPr="00871580">
        <w:rPr>
          <w:rFonts w:ascii="Times New Roman" w:hAnsi="Times New Roman"/>
          <w:b/>
          <w:i/>
          <w:sz w:val="22"/>
          <w:szCs w:val="20"/>
        </w:rPr>
        <w:t>first person</w:t>
      </w:r>
      <w:r w:rsidRPr="00871580">
        <w:rPr>
          <w:rFonts w:ascii="Times New Roman" w:hAnsi="Times New Roman"/>
          <w:sz w:val="22"/>
          <w:szCs w:val="20"/>
        </w:rPr>
        <w:t>) under a contract or arrangement (other than a contract of employment); and</w:t>
      </w:r>
    </w:p>
    <w:p w14:paraId="409DA9C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consists of:</w:t>
      </w:r>
    </w:p>
    <w:p w14:paraId="7B860316"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using telemarketing calls to market, advertise or promote goods or services, where the first person is not the supplier or prospective supplier of the goods or services; or</w:t>
      </w:r>
    </w:p>
    <w:p w14:paraId="5F31691D"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w:t>
      </w:r>
      <w:r w:rsidRPr="00871580">
        <w:rPr>
          <w:rFonts w:ascii="Times New Roman" w:hAnsi="Times New Roman"/>
          <w:sz w:val="22"/>
          <w:szCs w:val="20"/>
        </w:rPr>
        <w:tab/>
        <w:t>using telemarketing calls to advertise or promote a supplier or prospective supplier of goods or services, where the first person is not the supplier or prospective supplier of the goods or services; or</w:t>
      </w:r>
    </w:p>
    <w:p w14:paraId="059A5CC6"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(iii)</w:t>
      </w:r>
      <w:r w:rsidRPr="00871580">
        <w:rPr>
          <w:rFonts w:ascii="Times New Roman" w:hAnsi="Times New Roman"/>
          <w:sz w:val="22"/>
          <w:szCs w:val="20"/>
        </w:rPr>
        <w:tab/>
        <w:t>using telemarketing calls to market, advertise or promote land or interests in land, where the first person is not the supplier or prospective supplier of the land or interests in land; or</w:t>
      </w:r>
    </w:p>
    <w:p w14:paraId="0DE5C63D"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(iv)</w:t>
      </w:r>
      <w:r w:rsidRPr="00871580">
        <w:rPr>
          <w:rFonts w:ascii="Times New Roman" w:hAnsi="Times New Roman"/>
          <w:sz w:val="22"/>
          <w:szCs w:val="20"/>
        </w:rPr>
        <w:tab/>
        <w:t>using telemarketing calls to advertise or promote a supplier or prospective supplier of land or interests in land, where the first person is not the supplier or prospective supplier of the land or interests in land; or</w:t>
      </w:r>
    </w:p>
    <w:p w14:paraId="42F2CF60"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(v)</w:t>
      </w:r>
      <w:r w:rsidRPr="00871580">
        <w:rPr>
          <w:rFonts w:ascii="Times New Roman" w:hAnsi="Times New Roman"/>
          <w:sz w:val="22"/>
          <w:szCs w:val="20"/>
        </w:rPr>
        <w:tab/>
        <w:t>using telemarketing calls to market, advertise or promote business opportunities or investment opportunities, where the first person is not the provider or prospective provider of the business opportunities or investment opportunities; or</w:t>
      </w:r>
    </w:p>
    <w:p w14:paraId="780A7F12"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(vi)</w:t>
      </w:r>
      <w:r w:rsidRPr="00871580">
        <w:rPr>
          <w:rFonts w:ascii="Times New Roman" w:hAnsi="Times New Roman"/>
          <w:sz w:val="22"/>
          <w:szCs w:val="20"/>
        </w:rPr>
        <w:tab/>
        <w:t>using telemarketing calls to advertise or promote a provider, or prospective provider, of business opportunities or investment opportunities, where the first person is not the provider or prospective provider of the business opportunities or investment opportunities.</w:t>
      </w:r>
    </w:p>
    <w:p w14:paraId="45B9D6A4"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w:t>
      </w:r>
      <w:r w:rsidRPr="00871580">
        <w:rPr>
          <w:rFonts w:ascii="Times New Roman" w:hAnsi="Times New Roman"/>
          <w:sz w:val="22"/>
          <w:szCs w:val="20"/>
        </w:rPr>
        <w:tab/>
        <w:t>This subsection applies to an activity carried on by a person if the activity consists of:</w:t>
      </w:r>
    </w:p>
    <w:p w14:paraId="056C2A39"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using telemarketing calls to market, advertise or promote goods or services, where the person is the supplier or prospective supplier of the goods or services; or</w:t>
      </w:r>
    </w:p>
    <w:p w14:paraId="219C7B9D"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using telemarketing calls to advertise or promote a supplier or prospective supplier of goods or services, where the person is the supplier or prospective supplier of the goods or services; or</w:t>
      </w:r>
    </w:p>
    <w:p w14:paraId="0B3F04A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using telemarketing calls to market, advertise or promote land or interests in land, where the person is the supplier or prospective supplier of the land or interests in land; or</w:t>
      </w:r>
    </w:p>
    <w:p w14:paraId="0BA1A97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using telemarketing calls to advertise or promote a supplier or prospective supplier of land or interests in land, where the person is the supplier or prospective supplier of the land or interests in land; or</w:t>
      </w:r>
    </w:p>
    <w:p w14:paraId="53EE582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lastRenderedPageBreak/>
        <w:tab/>
        <w:t>(e)</w:t>
      </w:r>
      <w:r w:rsidRPr="00871580">
        <w:rPr>
          <w:rFonts w:ascii="Times New Roman" w:hAnsi="Times New Roman"/>
          <w:sz w:val="22"/>
          <w:szCs w:val="20"/>
        </w:rPr>
        <w:tab/>
        <w:t>using telemarketing calls to market, advertise or promote business opportunities or investment opportunities, where the person is the provider or prospective provider of the business opportunities or investment opportunities; or</w:t>
      </w:r>
    </w:p>
    <w:p w14:paraId="79B88C8F"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(f)</w:t>
      </w:r>
      <w:r w:rsidRPr="00871580">
        <w:rPr>
          <w:rFonts w:ascii="Times New Roman" w:hAnsi="Times New Roman"/>
          <w:sz w:val="22"/>
          <w:szCs w:val="20"/>
        </w:rPr>
        <w:tab/>
        <w:t>using telemarketing calls to advertise or promote a provider, or prospective provider, of business opportunities or investment opportunities, where the person is the provider or prospective provider of the business opportunities or investment opportunities.</w:t>
      </w:r>
    </w:p>
    <w:p w14:paraId="37F53339"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(4)</w:t>
      </w:r>
      <w:r w:rsidRPr="00871580">
        <w:rPr>
          <w:rFonts w:ascii="Times New Roman" w:hAnsi="Times New Roman"/>
          <w:sz w:val="22"/>
          <w:szCs w:val="20"/>
        </w:rPr>
        <w:tab/>
        <w:t>This subsection applies to an activity carried on by a person if the activity consists of:</w:t>
      </w:r>
    </w:p>
    <w:p w14:paraId="54BAF37D"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using telemarketing calls to solicit donations; or</w:t>
      </w:r>
    </w:p>
    <w:p w14:paraId="231BDDD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using telemarketing calls to conduct opinion polling; or</w:t>
      </w:r>
    </w:p>
    <w:p w14:paraId="7F19B234"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using telemarketing calls to carry out standard questionnaire</w:t>
      </w:r>
      <w:r w:rsidRPr="00871580">
        <w:rPr>
          <w:rFonts w:ascii="Times New Roman" w:hAnsi="Times New Roman"/>
          <w:sz w:val="22"/>
          <w:szCs w:val="20"/>
        </w:rPr>
        <w:noBreakHyphen/>
        <w:t>based research.</w:t>
      </w:r>
    </w:p>
    <w:p w14:paraId="17D66AD5"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(5)</w:t>
      </w:r>
      <w:r w:rsidRPr="00871580">
        <w:rPr>
          <w:rFonts w:ascii="Times New Roman" w:hAnsi="Times New Roman"/>
          <w:sz w:val="22"/>
          <w:szCs w:val="20"/>
        </w:rPr>
        <w:tab/>
        <w:t xml:space="preserve">An expression (other than </w:t>
      </w:r>
      <w:r w:rsidRPr="00871580">
        <w:rPr>
          <w:rFonts w:ascii="Times New Roman" w:hAnsi="Times New Roman"/>
          <w:b/>
          <w:i/>
          <w:sz w:val="22"/>
          <w:szCs w:val="20"/>
        </w:rPr>
        <w:t>telemarketing call</w:t>
      </w:r>
      <w:r w:rsidRPr="00871580">
        <w:rPr>
          <w:rFonts w:ascii="Times New Roman" w:hAnsi="Times New Roman"/>
          <w:sz w:val="22"/>
          <w:szCs w:val="20"/>
        </w:rPr>
        <w:t xml:space="preserve">) used in this section and in section 5 of the </w:t>
      </w:r>
      <w:r w:rsidRPr="00871580">
        <w:rPr>
          <w:rFonts w:ascii="Times New Roman" w:hAnsi="Times New Roman"/>
          <w:i/>
          <w:sz w:val="22"/>
          <w:szCs w:val="20"/>
        </w:rPr>
        <w:t>Do Not Call Register Act 2006</w:t>
      </w:r>
      <w:r w:rsidRPr="00871580">
        <w:rPr>
          <w:rFonts w:ascii="Times New Roman" w:hAnsi="Times New Roman"/>
          <w:sz w:val="22"/>
          <w:szCs w:val="20"/>
        </w:rPr>
        <w:t xml:space="preserve"> has the same meaning in this section as it has in that section.</w:t>
      </w:r>
    </w:p>
    <w:p w14:paraId="17CD1D43"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47" w:name="_Toc418083423"/>
      <w:r w:rsidRPr="00871580">
        <w:rPr>
          <w:rFonts w:ascii="Times New Roman" w:hAnsi="Times New Roman"/>
          <w:b/>
          <w:kern w:val="28"/>
          <w:sz w:val="24"/>
          <w:szCs w:val="20"/>
        </w:rPr>
        <w:t>109C  Fax marketing activity</w:t>
      </w:r>
      <w:bookmarkEnd w:id="447"/>
    </w:p>
    <w:p w14:paraId="32E84970"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 xml:space="preserve">For the purposes of this Part, a </w:t>
      </w:r>
      <w:r w:rsidRPr="00871580">
        <w:rPr>
          <w:rFonts w:ascii="Times New Roman" w:hAnsi="Times New Roman"/>
          <w:b/>
          <w:i/>
          <w:sz w:val="22"/>
          <w:szCs w:val="20"/>
        </w:rPr>
        <w:t>fax marketing activity</w:t>
      </w:r>
      <w:r w:rsidRPr="00871580">
        <w:rPr>
          <w:rFonts w:ascii="Times New Roman" w:hAnsi="Times New Roman"/>
          <w:sz w:val="22"/>
          <w:szCs w:val="20"/>
        </w:rPr>
        <w:t xml:space="preserve"> is an activity to which subsection (2), (3) or (4) applies.</w:t>
      </w:r>
    </w:p>
    <w:p w14:paraId="14562D13"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This subsection applies to an activity that:</w:t>
      </w:r>
    </w:p>
    <w:p w14:paraId="490BEE25"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 xml:space="preserve">is carried on by a person (the </w:t>
      </w:r>
      <w:r w:rsidRPr="00871580">
        <w:rPr>
          <w:rFonts w:ascii="Times New Roman" w:hAnsi="Times New Roman"/>
          <w:b/>
          <w:i/>
          <w:sz w:val="22"/>
          <w:szCs w:val="20"/>
        </w:rPr>
        <w:t>first person</w:t>
      </w:r>
      <w:r w:rsidRPr="00871580">
        <w:rPr>
          <w:rFonts w:ascii="Times New Roman" w:hAnsi="Times New Roman"/>
          <w:sz w:val="22"/>
          <w:szCs w:val="20"/>
        </w:rPr>
        <w:t>) under a contract or arrangement (other than a contract of employment); and</w:t>
      </w:r>
    </w:p>
    <w:p w14:paraId="69BBDCC7"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consists of:</w:t>
      </w:r>
    </w:p>
    <w:p w14:paraId="6711A83D"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using marketing faxes to market, advertise or promote goods or services, where the first person is not the supplier or prospective supplier of the goods or services; or</w:t>
      </w:r>
    </w:p>
    <w:p w14:paraId="2B702638"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w:t>
      </w:r>
      <w:r w:rsidRPr="00871580">
        <w:rPr>
          <w:rFonts w:ascii="Times New Roman" w:hAnsi="Times New Roman"/>
          <w:sz w:val="22"/>
          <w:szCs w:val="20"/>
        </w:rPr>
        <w:tab/>
        <w:t>using marketing faxes to advertise or promote a supplier or prospective supplier of goods or services, where the first person is not the supplier or prospective supplier of the goods or services; or</w:t>
      </w:r>
    </w:p>
    <w:p w14:paraId="08770811"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(iii)</w:t>
      </w:r>
      <w:r w:rsidRPr="00871580">
        <w:rPr>
          <w:rFonts w:ascii="Times New Roman" w:hAnsi="Times New Roman"/>
          <w:sz w:val="22"/>
          <w:szCs w:val="20"/>
        </w:rPr>
        <w:tab/>
        <w:t>using marketing faxes to market, advertise or promote land or interests in land, where the first person is not the supplier or prospective supplier of the land or interests in land; or</w:t>
      </w:r>
    </w:p>
    <w:p w14:paraId="597D1FDC"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(iv)</w:t>
      </w:r>
      <w:r w:rsidRPr="00871580">
        <w:rPr>
          <w:rFonts w:ascii="Times New Roman" w:hAnsi="Times New Roman"/>
          <w:sz w:val="22"/>
          <w:szCs w:val="20"/>
        </w:rPr>
        <w:tab/>
        <w:t>using marketing faxes to advertise or promote a supplier or prospective supplier of land or interests in land, where the first person is not the supplier or prospective supplier of the land or interests in land; or</w:t>
      </w:r>
    </w:p>
    <w:p w14:paraId="303C10CA"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(v)</w:t>
      </w:r>
      <w:r w:rsidRPr="00871580">
        <w:rPr>
          <w:rFonts w:ascii="Times New Roman" w:hAnsi="Times New Roman"/>
          <w:sz w:val="22"/>
          <w:szCs w:val="20"/>
        </w:rPr>
        <w:tab/>
        <w:t>using marketing faxes to market, advertise or promote business opportunities or investment opportunities, where the first person is not the provider or prospective provider of the business opportunities or investment opportunities; or</w:t>
      </w:r>
    </w:p>
    <w:p w14:paraId="0B5CF55F"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(vi)</w:t>
      </w:r>
      <w:r w:rsidRPr="00871580">
        <w:rPr>
          <w:rFonts w:ascii="Times New Roman" w:hAnsi="Times New Roman"/>
          <w:sz w:val="22"/>
          <w:szCs w:val="20"/>
        </w:rPr>
        <w:tab/>
        <w:t>using marketing faxes to advertise or promote a provider, or prospective provider, of business opportunities or investment opportunities, where the first person is not the provider or prospective provider of the business opportunities or investment opportunities.</w:t>
      </w:r>
    </w:p>
    <w:p w14:paraId="083DE4C7"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lastRenderedPageBreak/>
        <w:tab/>
        <w:t>(3)</w:t>
      </w:r>
      <w:r w:rsidRPr="00871580">
        <w:rPr>
          <w:rFonts w:ascii="Times New Roman" w:hAnsi="Times New Roman"/>
          <w:sz w:val="22"/>
          <w:szCs w:val="20"/>
        </w:rPr>
        <w:tab/>
        <w:t>This subsection applies to an activity carried on by a person if the activity consists of:</w:t>
      </w:r>
    </w:p>
    <w:p w14:paraId="497E60A9"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using marketing faxes to market, advertise or promote goods or services, where the person is the supplier or prospective supplier of the goods or services; or</w:t>
      </w:r>
    </w:p>
    <w:p w14:paraId="104F2058"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using marketing faxes to advertise or promote a supplier or prospective supplier of goods or services, where the person is the supplier or prospective supplier of the goods or services; or</w:t>
      </w:r>
    </w:p>
    <w:p w14:paraId="4698877E"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using marketing faxes to market, advertise or promote land or interests in land, where the person is the supplier or prospective supplier of the land or interests in land; or</w:t>
      </w:r>
    </w:p>
    <w:p w14:paraId="6492B71A"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using marketing faxes to advertise or promote a supplier or prospective supplier of land or interests in land, where the person is the supplier or prospective supplier of the land or interests in land; or</w:t>
      </w:r>
    </w:p>
    <w:p w14:paraId="6B87417A"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(e)</w:t>
      </w:r>
      <w:r w:rsidRPr="00871580">
        <w:rPr>
          <w:rFonts w:ascii="Times New Roman" w:hAnsi="Times New Roman"/>
          <w:sz w:val="22"/>
          <w:szCs w:val="20"/>
        </w:rPr>
        <w:tab/>
        <w:t>using marketing faxes to market, advertise or promote business opportunities or investment opportunities, where the person is the provider or prospective provider of the business opportunities or investment opportunities; or</w:t>
      </w:r>
    </w:p>
    <w:p w14:paraId="3EE7C7C7"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(f)</w:t>
      </w:r>
      <w:r w:rsidRPr="00871580">
        <w:rPr>
          <w:rFonts w:ascii="Times New Roman" w:hAnsi="Times New Roman"/>
          <w:sz w:val="22"/>
          <w:szCs w:val="20"/>
        </w:rPr>
        <w:tab/>
        <w:t>using marketing faxes to advertise or promote a provider, or prospective provider, of business opportunities or investment opportunities, where the person is the provider or prospective provider of the business opportunities or investment opportunities.</w:t>
      </w:r>
    </w:p>
    <w:p w14:paraId="5CE7EAD8"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(4)</w:t>
      </w:r>
      <w:r w:rsidRPr="00871580">
        <w:rPr>
          <w:rFonts w:ascii="Times New Roman" w:hAnsi="Times New Roman"/>
          <w:sz w:val="22"/>
          <w:szCs w:val="20"/>
        </w:rPr>
        <w:tab/>
        <w:t>This subsection applies to an activity carried on by a person if the activity consists of:</w:t>
      </w:r>
    </w:p>
    <w:p w14:paraId="48293A3C"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using marketing faxes to solicit donations; or</w:t>
      </w:r>
    </w:p>
    <w:p w14:paraId="70ABDA7F"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using marketing faxes to conduct opinion polling; or</w:t>
      </w:r>
    </w:p>
    <w:p w14:paraId="0BEA3E04"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using marketing faxes to carry out standard questionnaire</w:t>
      </w:r>
      <w:r w:rsidRPr="00871580">
        <w:rPr>
          <w:rFonts w:ascii="Times New Roman" w:hAnsi="Times New Roman"/>
          <w:sz w:val="22"/>
          <w:szCs w:val="20"/>
        </w:rPr>
        <w:noBreakHyphen/>
        <w:t>based research.</w:t>
      </w:r>
    </w:p>
    <w:p w14:paraId="3459C6F1"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(5)</w:t>
      </w:r>
      <w:r w:rsidRPr="00871580">
        <w:rPr>
          <w:rFonts w:ascii="Times New Roman" w:hAnsi="Times New Roman"/>
          <w:sz w:val="22"/>
          <w:szCs w:val="20"/>
        </w:rPr>
        <w:tab/>
        <w:t xml:space="preserve">An expression (other than </w:t>
      </w:r>
      <w:r w:rsidRPr="00871580">
        <w:rPr>
          <w:rFonts w:ascii="Times New Roman" w:hAnsi="Times New Roman"/>
          <w:b/>
          <w:i/>
          <w:sz w:val="22"/>
          <w:szCs w:val="20"/>
        </w:rPr>
        <w:t>marketing fax</w:t>
      </w:r>
      <w:r w:rsidRPr="00871580">
        <w:rPr>
          <w:rFonts w:ascii="Times New Roman" w:hAnsi="Times New Roman"/>
          <w:sz w:val="22"/>
          <w:szCs w:val="20"/>
        </w:rPr>
        <w:t xml:space="preserve">) used in this section and in section 5B of the </w:t>
      </w:r>
      <w:r w:rsidRPr="00871580">
        <w:rPr>
          <w:rFonts w:ascii="Times New Roman" w:hAnsi="Times New Roman"/>
          <w:i/>
          <w:sz w:val="22"/>
          <w:szCs w:val="20"/>
        </w:rPr>
        <w:t>Do Not Call Register Act 2006</w:t>
      </w:r>
      <w:r w:rsidRPr="00871580">
        <w:rPr>
          <w:rFonts w:ascii="Times New Roman" w:hAnsi="Times New Roman"/>
          <w:sz w:val="22"/>
          <w:szCs w:val="20"/>
        </w:rPr>
        <w:t xml:space="preserve"> has the same meaning in this section as it has in that section.</w:t>
      </w:r>
    </w:p>
    <w:p w14:paraId="7331DAD2"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48" w:name="_Toc418083424"/>
      <w:bookmarkStart w:id="449" w:name="_Toc418083464"/>
      <w:r w:rsidRPr="00041614">
        <w:rPr>
          <w:rFonts w:ascii="Times New Roman" w:hAnsi="Times New Roman"/>
          <w:b/>
          <w:kern w:val="28"/>
          <w:sz w:val="24"/>
          <w:szCs w:val="20"/>
        </w:rPr>
        <w:t>110  Sections of the telecommunications industry</w:t>
      </w:r>
      <w:bookmarkEnd w:id="448"/>
    </w:p>
    <w:p w14:paraId="5AA4B13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 xml:space="preserve">For the purposes of this Part, </w:t>
      </w:r>
      <w:r w:rsidRPr="00041614">
        <w:rPr>
          <w:rFonts w:ascii="Times New Roman" w:hAnsi="Times New Roman"/>
          <w:b/>
          <w:i/>
          <w:sz w:val="22"/>
          <w:szCs w:val="20"/>
        </w:rPr>
        <w:t>sections of the telecommunications industry</w:t>
      </w:r>
      <w:r w:rsidRPr="00041614">
        <w:rPr>
          <w:rFonts w:ascii="Times New Roman" w:hAnsi="Times New Roman"/>
          <w:sz w:val="22"/>
          <w:szCs w:val="20"/>
        </w:rPr>
        <w:t xml:space="preserve"> are to be ascertained in accordance with this section.</w:t>
      </w:r>
    </w:p>
    <w:p w14:paraId="7B3029E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For the purposes of this Part, each of the following groups is a </w:t>
      </w:r>
      <w:r w:rsidRPr="00041614">
        <w:rPr>
          <w:rFonts w:ascii="Times New Roman" w:hAnsi="Times New Roman"/>
          <w:b/>
          <w:i/>
          <w:sz w:val="22"/>
          <w:szCs w:val="20"/>
        </w:rPr>
        <w:t>section of the telecommunications industry</w:t>
      </w:r>
      <w:r w:rsidRPr="00041614">
        <w:rPr>
          <w:rFonts w:ascii="Times New Roman" w:hAnsi="Times New Roman"/>
          <w:sz w:val="22"/>
          <w:szCs w:val="20"/>
        </w:rPr>
        <w:t>:</w:t>
      </w:r>
    </w:p>
    <w:p w14:paraId="01C389D7" w14:textId="77777777" w:rsidR="00041614" w:rsidRPr="00041614" w:rsidRDefault="00041614" w:rsidP="00041614">
      <w:pPr>
        <w:keepNext/>
        <w:keepLines/>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carriers;</w:t>
      </w:r>
    </w:p>
    <w:p w14:paraId="458B9C33" w14:textId="77777777" w:rsidR="00041614" w:rsidRPr="00041614" w:rsidRDefault="00041614" w:rsidP="00041614">
      <w:pPr>
        <w:keepNext/>
        <w:keepLines/>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service providers;</w:t>
      </w:r>
    </w:p>
    <w:p w14:paraId="17F438FC" w14:textId="77777777" w:rsidR="00041614" w:rsidRPr="00041614" w:rsidRDefault="00041614" w:rsidP="00041614">
      <w:pPr>
        <w:keepNext/>
        <w:keepLines/>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carriage service providers;</w:t>
      </w:r>
    </w:p>
    <w:p w14:paraId="0F3AC79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carriage service providers who supply standard telephone services;</w:t>
      </w:r>
    </w:p>
    <w:p w14:paraId="5D0857A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carriage service providers who supply public mobile telecommunications services;</w:t>
      </w:r>
    </w:p>
    <w:p w14:paraId="2417936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(f)</w:t>
      </w:r>
      <w:r w:rsidRPr="00041614">
        <w:rPr>
          <w:rFonts w:ascii="Times New Roman" w:hAnsi="Times New Roman"/>
          <w:sz w:val="22"/>
          <w:szCs w:val="20"/>
        </w:rPr>
        <w:tab/>
        <w:t>content service providers;</w:t>
      </w:r>
    </w:p>
    <w:p w14:paraId="377EF2A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(g)</w:t>
      </w:r>
      <w:r w:rsidRPr="00041614">
        <w:rPr>
          <w:rFonts w:ascii="Times New Roman" w:hAnsi="Times New Roman"/>
          <w:sz w:val="22"/>
          <w:szCs w:val="20"/>
        </w:rPr>
        <w:tab/>
        <w:t>persons who perform cabling work (within the meaning of Division 9 of Part 21);</w:t>
      </w:r>
    </w:p>
    <w:p w14:paraId="1C2F731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(h)</w:t>
      </w:r>
      <w:r w:rsidRPr="00041614">
        <w:rPr>
          <w:rFonts w:ascii="Times New Roman" w:hAnsi="Times New Roman"/>
          <w:sz w:val="22"/>
          <w:szCs w:val="20"/>
        </w:rPr>
        <w:tab/>
        <w:t>persons who manufacture or import customer equipment or customer cabling;</w:t>
      </w:r>
    </w:p>
    <w:p w14:paraId="635E25D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electronic messaging service providers;</w:t>
      </w:r>
    </w:p>
    <w:p w14:paraId="2DDDD08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(j)</w:t>
      </w:r>
      <w:r w:rsidRPr="00041614">
        <w:rPr>
          <w:rFonts w:ascii="Times New Roman" w:hAnsi="Times New Roman"/>
          <w:sz w:val="22"/>
          <w:szCs w:val="20"/>
        </w:rPr>
        <w:tab/>
        <w:t>persons who install:</w:t>
      </w:r>
    </w:p>
    <w:p w14:paraId="3196238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optical fibre lines; or</w:t>
      </w:r>
    </w:p>
    <w:p w14:paraId="67DD2936"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facilities used, or for use, in or in connection with optical fibre lines.</w:t>
      </w:r>
    </w:p>
    <w:p w14:paraId="2A82E78B" w14:textId="77777777" w:rsidR="00041614" w:rsidRPr="00041614" w:rsidRDefault="00041614" w:rsidP="00041614">
      <w:pPr>
        <w:keepNext/>
        <w:keepLines/>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 xml:space="preserve">The ACMA may, by written instrument, determine that persons carrying on, or proposing to carry on, one or more specified kinds of telecommunications activity constitute a section of the telecommunications industry for the purposes of this Part. </w:t>
      </w:r>
    </w:p>
    <w:p w14:paraId="7AF97AB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section must be identified in the determination by a unique name and/or number.</w:t>
      </w:r>
    </w:p>
    <w:p w14:paraId="4FE49EC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A determination under subsection (3) has effect accordingly.</w:t>
      </w:r>
    </w:p>
    <w:p w14:paraId="10AD4232"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(6)</w:t>
      </w:r>
      <w:r w:rsidRPr="00041614">
        <w:rPr>
          <w:rFonts w:ascii="Times New Roman" w:hAnsi="Times New Roman"/>
          <w:sz w:val="22"/>
          <w:szCs w:val="20"/>
        </w:rPr>
        <w:tab/>
        <w:t>Sections of the telecommunications industry determined under subsection (3):</w:t>
      </w:r>
    </w:p>
    <w:p w14:paraId="61D1273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need not be mutually exclusive; and</w:t>
      </w:r>
    </w:p>
    <w:p w14:paraId="2FDA6BE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may consist of the aggregate of any 2 or more sections of the telecommunications industry mentioned in subsection (2) or determined under subsection (3); and</w:t>
      </w:r>
    </w:p>
    <w:p w14:paraId="69697D1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may be subsets of a section of the telecommunications industry mentioned in subsection (2) or determined under subsection (3).</w:t>
      </w:r>
    </w:p>
    <w:p w14:paraId="0EF0B9D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(7)</w:t>
      </w:r>
      <w:r w:rsidRPr="00041614">
        <w:rPr>
          <w:rFonts w:ascii="Times New Roman" w:hAnsi="Times New Roman"/>
          <w:sz w:val="22"/>
          <w:szCs w:val="20"/>
        </w:rPr>
        <w:tab/>
        <w:t>Subsection (6) does not, by implication, limit subsection (3).</w:t>
      </w:r>
    </w:p>
    <w:p w14:paraId="441648D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(8)</w:t>
      </w:r>
      <w:r w:rsidRPr="00041614">
        <w:rPr>
          <w:rFonts w:ascii="Times New Roman" w:hAnsi="Times New Roman"/>
          <w:sz w:val="22"/>
          <w:szCs w:val="20"/>
        </w:rPr>
        <w:tab/>
        <w:t xml:space="preserve">A copy of a determination under subsection (3) is to be published in the </w:t>
      </w:r>
      <w:r w:rsidRPr="00041614">
        <w:rPr>
          <w:rFonts w:ascii="Times New Roman" w:hAnsi="Times New Roman"/>
          <w:i/>
          <w:sz w:val="22"/>
          <w:szCs w:val="20"/>
        </w:rPr>
        <w:t>Gazette</w:t>
      </w:r>
      <w:r w:rsidRPr="00041614">
        <w:rPr>
          <w:rFonts w:ascii="Times New Roman" w:hAnsi="Times New Roman"/>
          <w:sz w:val="22"/>
          <w:szCs w:val="20"/>
        </w:rPr>
        <w:t>.</w:t>
      </w:r>
    </w:p>
    <w:p w14:paraId="25F4605B"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0" w:name="_Toc418083425"/>
      <w:r w:rsidRPr="00041614">
        <w:rPr>
          <w:rFonts w:ascii="Times New Roman" w:hAnsi="Times New Roman"/>
          <w:b/>
          <w:kern w:val="28"/>
          <w:sz w:val="24"/>
          <w:szCs w:val="20"/>
        </w:rPr>
        <w:t>110B  Sections of the telemarketing industry</w:t>
      </w:r>
      <w:bookmarkEnd w:id="450"/>
    </w:p>
    <w:p w14:paraId="2B21422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 xml:space="preserve">For the purposes of this Part, </w:t>
      </w:r>
      <w:r w:rsidRPr="00041614">
        <w:rPr>
          <w:rFonts w:ascii="Times New Roman" w:hAnsi="Times New Roman"/>
          <w:b/>
          <w:i/>
          <w:sz w:val="22"/>
          <w:szCs w:val="20"/>
        </w:rPr>
        <w:t>sections of the telemarketing industry</w:t>
      </w:r>
      <w:r w:rsidRPr="00041614">
        <w:rPr>
          <w:rFonts w:ascii="Times New Roman" w:hAnsi="Times New Roman"/>
          <w:sz w:val="22"/>
          <w:szCs w:val="20"/>
        </w:rPr>
        <w:t xml:space="preserve"> are to be ascertained in accordance with this section.</w:t>
      </w:r>
    </w:p>
    <w:p w14:paraId="35F3836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If no determination is in force under subsection (3), all of the persons carrying on, or proposing to carry on, telemarketing activities constitute a single section of the telemarketing industry for the purposes of this Part.</w:t>
      </w:r>
    </w:p>
    <w:p w14:paraId="5A04A07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The ACMA may, by legislative instrument, determine that persons carrying on, or proposing to carry on, one or more specified kinds of telemarketing activity constitute a section of the telemarketing industry for the purposes of this Part.</w:t>
      </w:r>
    </w:p>
    <w:p w14:paraId="7E8DE3B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section must be identified in the determination by a unique name and/or number.</w:t>
      </w:r>
    </w:p>
    <w:p w14:paraId="246559B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A determination under subsection (3) has effect accordingly.</w:t>
      </w:r>
    </w:p>
    <w:p w14:paraId="5F30907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(6)</w:t>
      </w:r>
      <w:r w:rsidRPr="00041614">
        <w:rPr>
          <w:rFonts w:ascii="Times New Roman" w:hAnsi="Times New Roman"/>
          <w:sz w:val="22"/>
          <w:szCs w:val="20"/>
        </w:rPr>
        <w:tab/>
        <w:t>Sections of the telemarketing industry determined under subsection (3):</w:t>
      </w:r>
    </w:p>
    <w:p w14:paraId="6523C34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need not be mutually exclusive; and</w:t>
      </w:r>
    </w:p>
    <w:p w14:paraId="2808748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may consist of the aggregate of any 2 or more sections of the telemarketing industry mentioned in subsection (2) or determined under subsection (3); and</w:t>
      </w:r>
    </w:p>
    <w:p w14:paraId="676A6BA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(c)</w:t>
      </w:r>
      <w:r w:rsidRPr="00041614">
        <w:rPr>
          <w:rFonts w:ascii="Times New Roman" w:hAnsi="Times New Roman"/>
          <w:sz w:val="22"/>
          <w:szCs w:val="20"/>
        </w:rPr>
        <w:tab/>
        <w:t>may be subsets of a section of the telemarketing industry mentioned in subsection (2) or determined under subsection (3).</w:t>
      </w:r>
    </w:p>
    <w:p w14:paraId="78B0C9F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(7)</w:t>
      </w:r>
      <w:r w:rsidRPr="00041614">
        <w:rPr>
          <w:rFonts w:ascii="Times New Roman" w:hAnsi="Times New Roman"/>
          <w:sz w:val="22"/>
          <w:szCs w:val="20"/>
        </w:rPr>
        <w:tab/>
        <w:t>Subsection (6) does not, by implication, limit subsection (3).</w:t>
      </w:r>
    </w:p>
    <w:p w14:paraId="31421DCB"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1" w:name="_Toc418083426"/>
      <w:r w:rsidRPr="00041614">
        <w:rPr>
          <w:rFonts w:ascii="Times New Roman" w:hAnsi="Times New Roman"/>
          <w:b/>
          <w:kern w:val="28"/>
          <w:sz w:val="24"/>
          <w:szCs w:val="20"/>
        </w:rPr>
        <w:t>110C  Sections of the fax marketing industry</w:t>
      </w:r>
      <w:bookmarkEnd w:id="451"/>
    </w:p>
    <w:p w14:paraId="507DCCC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 xml:space="preserve">For the purposes of this Part, </w:t>
      </w:r>
      <w:r w:rsidRPr="00041614">
        <w:rPr>
          <w:rFonts w:ascii="Times New Roman" w:hAnsi="Times New Roman"/>
          <w:b/>
          <w:i/>
          <w:sz w:val="22"/>
          <w:szCs w:val="20"/>
        </w:rPr>
        <w:t>sections of the fax marketing industry</w:t>
      </w:r>
      <w:r w:rsidRPr="00041614">
        <w:rPr>
          <w:rFonts w:ascii="Times New Roman" w:hAnsi="Times New Roman"/>
          <w:sz w:val="22"/>
          <w:szCs w:val="20"/>
        </w:rPr>
        <w:t xml:space="preserve"> are to be ascertained in accordance with this section.</w:t>
      </w:r>
    </w:p>
    <w:p w14:paraId="0526254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If no determination is in force under subsection (3), all of the persons carrying on, or proposing to carry on, fax marketing activities constitute a single section of the fax marketing industry for the purposes of this Part.</w:t>
      </w:r>
    </w:p>
    <w:p w14:paraId="2370914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The ACMA may, by legislative instrument, determine that persons carrying on, or proposing to carry on, one or more specified kinds of fax marketing activity constitute a section of the fax marketing industry for the purposes of this Part.</w:t>
      </w:r>
    </w:p>
    <w:p w14:paraId="3081EFA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section must be identified in the determination by a unique name and/or number.</w:t>
      </w:r>
    </w:p>
    <w:p w14:paraId="03D4204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A determination under subsection (3) has effect accordingly.</w:t>
      </w:r>
    </w:p>
    <w:p w14:paraId="7BE8181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(6)</w:t>
      </w:r>
      <w:r w:rsidRPr="00041614">
        <w:rPr>
          <w:rFonts w:ascii="Times New Roman" w:hAnsi="Times New Roman"/>
          <w:sz w:val="22"/>
          <w:szCs w:val="20"/>
        </w:rPr>
        <w:tab/>
        <w:t>Sections of the fax marketing industry determined under subsection (3):</w:t>
      </w:r>
    </w:p>
    <w:p w14:paraId="11F2113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need not be mutually exclusive; and</w:t>
      </w:r>
    </w:p>
    <w:p w14:paraId="0E8A33A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may consist of the aggregate of any 2 or more sections of the fax marketing industry mentioned in subsection (2) or determined under subsection (3); and</w:t>
      </w:r>
    </w:p>
    <w:p w14:paraId="66EB957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may be subsets of a section of the fax marketing industry mentioned in subsection (2) or determined under subsection (3).</w:t>
      </w:r>
    </w:p>
    <w:p w14:paraId="76D2826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(7)</w:t>
      </w:r>
      <w:r w:rsidRPr="00041614">
        <w:rPr>
          <w:rFonts w:ascii="Times New Roman" w:hAnsi="Times New Roman"/>
          <w:sz w:val="22"/>
          <w:szCs w:val="20"/>
        </w:rPr>
        <w:tab/>
        <w:t>Subsection (6) does not, by implication, limit subsection (3).</w:t>
      </w:r>
    </w:p>
    <w:p w14:paraId="04E1606B"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2" w:name="_Toc418083427"/>
      <w:r w:rsidRPr="00041614">
        <w:rPr>
          <w:rFonts w:ascii="Times New Roman" w:hAnsi="Times New Roman"/>
          <w:b/>
          <w:kern w:val="28"/>
          <w:sz w:val="24"/>
          <w:szCs w:val="20"/>
        </w:rPr>
        <w:t>111  Participants in a section of the telecommunications industry</w:t>
      </w:r>
      <w:bookmarkEnd w:id="452"/>
    </w:p>
    <w:p w14:paraId="553CA8E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 xml:space="preserve">For the purposes of this Part, if a person is a member of a group that constitutes a section of the telecommunications industry, the person is a </w:t>
      </w:r>
      <w:r w:rsidRPr="00041614">
        <w:rPr>
          <w:rFonts w:ascii="Times New Roman" w:hAnsi="Times New Roman"/>
          <w:b/>
          <w:i/>
          <w:sz w:val="22"/>
          <w:szCs w:val="20"/>
        </w:rPr>
        <w:t xml:space="preserve">participant </w:t>
      </w:r>
      <w:r w:rsidRPr="00041614">
        <w:rPr>
          <w:rFonts w:ascii="Times New Roman" w:hAnsi="Times New Roman"/>
          <w:sz w:val="22"/>
          <w:szCs w:val="20"/>
        </w:rPr>
        <w:t>in that section of the telecommunications industry.</w:t>
      </w:r>
    </w:p>
    <w:p w14:paraId="1329BE48"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3" w:name="_Toc418083428"/>
      <w:r w:rsidRPr="00041614">
        <w:rPr>
          <w:rFonts w:ascii="Times New Roman" w:hAnsi="Times New Roman"/>
          <w:b/>
          <w:kern w:val="28"/>
          <w:sz w:val="24"/>
          <w:szCs w:val="20"/>
        </w:rPr>
        <w:t>111AA  Participants in a section of the telemarketing industry</w:t>
      </w:r>
      <w:bookmarkEnd w:id="453"/>
    </w:p>
    <w:p w14:paraId="43758162"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 xml:space="preserve">For the purposes of this Part, if a person is a member of a group that constitutes a section of the telemarketing industry, the person is a </w:t>
      </w:r>
      <w:r w:rsidRPr="00041614">
        <w:rPr>
          <w:rFonts w:ascii="Times New Roman" w:hAnsi="Times New Roman"/>
          <w:b/>
          <w:i/>
          <w:sz w:val="22"/>
          <w:szCs w:val="20"/>
        </w:rPr>
        <w:t xml:space="preserve">participant </w:t>
      </w:r>
      <w:r w:rsidRPr="00041614">
        <w:rPr>
          <w:rFonts w:ascii="Times New Roman" w:hAnsi="Times New Roman"/>
          <w:sz w:val="22"/>
          <w:szCs w:val="20"/>
        </w:rPr>
        <w:t>in that section of the telemarketing industry.</w:t>
      </w:r>
    </w:p>
    <w:p w14:paraId="0DF17368"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4" w:name="_Toc418083429"/>
      <w:r w:rsidRPr="00041614">
        <w:rPr>
          <w:rFonts w:ascii="Times New Roman" w:hAnsi="Times New Roman"/>
          <w:b/>
          <w:kern w:val="28"/>
          <w:sz w:val="24"/>
          <w:szCs w:val="20"/>
        </w:rPr>
        <w:t>111AB  Participants in a section of the fax marketing industry</w:t>
      </w:r>
      <w:bookmarkEnd w:id="454"/>
    </w:p>
    <w:p w14:paraId="02E5185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 xml:space="preserve">For the purposes of this Part, if a person is a member of a group that constitutes a section of the fax marketing industry, the person is a </w:t>
      </w:r>
      <w:r w:rsidRPr="00041614">
        <w:rPr>
          <w:rFonts w:ascii="Times New Roman" w:hAnsi="Times New Roman"/>
          <w:b/>
          <w:i/>
          <w:sz w:val="22"/>
          <w:szCs w:val="20"/>
        </w:rPr>
        <w:t xml:space="preserve">participant </w:t>
      </w:r>
      <w:r w:rsidRPr="00041614">
        <w:rPr>
          <w:rFonts w:ascii="Times New Roman" w:hAnsi="Times New Roman"/>
          <w:sz w:val="22"/>
          <w:szCs w:val="20"/>
        </w:rPr>
        <w:t>in that section of the fax marketing industry.</w:t>
      </w:r>
    </w:p>
    <w:p w14:paraId="29E3F7AF"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5" w:name="_Toc418083430"/>
      <w:r w:rsidRPr="00041614">
        <w:rPr>
          <w:rFonts w:ascii="Times New Roman" w:hAnsi="Times New Roman"/>
          <w:b/>
          <w:kern w:val="28"/>
          <w:sz w:val="24"/>
          <w:szCs w:val="20"/>
        </w:rPr>
        <w:t>111B  Unsolicited commercial electronic messages</w:t>
      </w:r>
      <w:bookmarkEnd w:id="455"/>
    </w:p>
    <w:p w14:paraId="29A1B6E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 xml:space="preserve">For the purposes of this Part, an </w:t>
      </w:r>
      <w:r w:rsidRPr="00041614">
        <w:rPr>
          <w:rFonts w:ascii="Times New Roman" w:hAnsi="Times New Roman"/>
          <w:b/>
          <w:i/>
          <w:sz w:val="22"/>
          <w:szCs w:val="20"/>
        </w:rPr>
        <w:t>unsolicited commercial electronic message</w:t>
      </w:r>
      <w:r w:rsidRPr="00041614">
        <w:rPr>
          <w:rFonts w:ascii="Times New Roman" w:hAnsi="Times New Roman"/>
          <w:sz w:val="22"/>
          <w:szCs w:val="20"/>
        </w:rPr>
        <w:t xml:space="preserve"> is a commercial electronic message that is sent:</w:t>
      </w:r>
    </w:p>
    <w:p w14:paraId="3BF209C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(a)</w:t>
      </w:r>
      <w:r w:rsidRPr="00041614">
        <w:rPr>
          <w:rFonts w:ascii="Times New Roman" w:hAnsi="Times New Roman"/>
          <w:sz w:val="22"/>
          <w:szCs w:val="20"/>
        </w:rPr>
        <w:tab/>
        <w:t>without the consent of the relevant electronic account</w:t>
      </w:r>
      <w:r w:rsidRPr="00041614">
        <w:rPr>
          <w:rFonts w:ascii="Times New Roman" w:hAnsi="Times New Roman"/>
          <w:sz w:val="22"/>
          <w:szCs w:val="20"/>
        </w:rPr>
        <w:noBreakHyphen/>
        <w:t>holder; or</w:t>
      </w:r>
    </w:p>
    <w:p w14:paraId="4F6E76B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to a non</w:t>
      </w:r>
      <w:r w:rsidRPr="00041614">
        <w:rPr>
          <w:rFonts w:ascii="Times New Roman" w:hAnsi="Times New Roman"/>
          <w:sz w:val="22"/>
          <w:szCs w:val="20"/>
        </w:rPr>
        <w:noBreakHyphen/>
        <w:t>existent electronic address.</w:t>
      </w:r>
    </w:p>
    <w:p w14:paraId="5BCDB06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An expression used in this section and in the </w:t>
      </w:r>
      <w:r w:rsidRPr="00041614">
        <w:rPr>
          <w:rFonts w:ascii="Times New Roman" w:hAnsi="Times New Roman"/>
          <w:i/>
          <w:sz w:val="22"/>
          <w:szCs w:val="20"/>
        </w:rPr>
        <w:t>Spam Act 2003</w:t>
      </w:r>
      <w:r w:rsidRPr="00041614">
        <w:rPr>
          <w:rFonts w:ascii="Times New Roman" w:hAnsi="Times New Roman"/>
          <w:sz w:val="22"/>
          <w:szCs w:val="20"/>
        </w:rPr>
        <w:t xml:space="preserve"> has the same meaning in this section as it has in that Act.</w:t>
      </w:r>
    </w:p>
    <w:p w14:paraId="7CF67D9E" w14:textId="77777777" w:rsidR="00041614" w:rsidRPr="00041614" w:rsidRDefault="00041614" w:rsidP="00041614">
      <w:pPr>
        <w:pStyle w:val="Heading3"/>
        <w:pageBreakBefore/>
        <w:rPr>
          <w:rStyle w:val="CharDivNo"/>
          <w:i w:val="0"/>
          <w:sz w:val="28"/>
          <w:szCs w:val="28"/>
        </w:rPr>
      </w:pPr>
      <w:bookmarkStart w:id="456" w:name="_Toc418083431"/>
      <w:bookmarkStart w:id="457" w:name="_Toc428450695"/>
      <w:r w:rsidRPr="00041614">
        <w:rPr>
          <w:rStyle w:val="CharDivNo"/>
          <w:i w:val="0"/>
          <w:sz w:val="28"/>
          <w:szCs w:val="28"/>
        </w:rPr>
        <w:lastRenderedPageBreak/>
        <w:t>Division 3—General principles relating to industry codes and industry standards</w:t>
      </w:r>
      <w:bookmarkEnd w:id="456"/>
      <w:bookmarkEnd w:id="457"/>
    </w:p>
    <w:p w14:paraId="173E1ACD"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8" w:name="_Toc418083432"/>
      <w:r w:rsidRPr="00041614">
        <w:rPr>
          <w:rFonts w:ascii="Times New Roman" w:hAnsi="Times New Roman"/>
          <w:b/>
          <w:kern w:val="28"/>
          <w:sz w:val="24"/>
          <w:szCs w:val="20"/>
        </w:rPr>
        <w:t>112  Statement of regulatory policy</w:t>
      </w:r>
      <w:bookmarkEnd w:id="458"/>
    </w:p>
    <w:p w14:paraId="4496DC7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The Parliament intends that bodies or associations that the ACMA is satisfied represent sections of the telecommunications industry should develop codes (</w:t>
      </w:r>
      <w:r w:rsidRPr="00041614">
        <w:rPr>
          <w:rFonts w:ascii="Times New Roman" w:hAnsi="Times New Roman"/>
          <w:b/>
          <w:i/>
          <w:sz w:val="22"/>
          <w:szCs w:val="20"/>
        </w:rPr>
        <w:t>industry codes</w:t>
      </w:r>
      <w:r w:rsidRPr="00041614">
        <w:rPr>
          <w:rFonts w:ascii="Times New Roman" w:hAnsi="Times New Roman"/>
          <w:sz w:val="22"/>
          <w:szCs w:val="20"/>
        </w:rPr>
        <w:t>) that are to apply to participants in the respective sections of the industry in relation to the telecommunications activities of the participants.</w:t>
      </w:r>
    </w:p>
    <w:p w14:paraId="6A94078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(1B)</w:t>
      </w:r>
      <w:r w:rsidRPr="00041614">
        <w:rPr>
          <w:rFonts w:ascii="Times New Roman" w:hAnsi="Times New Roman"/>
          <w:sz w:val="22"/>
          <w:szCs w:val="20"/>
        </w:rPr>
        <w:tab/>
        <w:t>The Parliament intends that bodies or associations that the ACMA is satisfied represent sections of the telemarketing industry should develop codes (</w:t>
      </w:r>
      <w:r w:rsidRPr="00041614">
        <w:rPr>
          <w:rFonts w:ascii="Times New Roman" w:hAnsi="Times New Roman"/>
          <w:b/>
          <w:i/>
          <w:sz w:val="22"/>
          <w:szCs w:val="20"/>
        </w:rPr>
        <w:t>industry codes</w:t>
      </w:r>
      <w:r w:rsidRPr="00041614">
        <w:rPr>
          <w:rFonts w:ascii="Times New Roman" w:hAnsi="Times New Roman"/>
          <w:sz w:val="22"/>
          <w:szCs w:val="20"/>
        </w:rPr>
        <w:t>) that are to apply to participants in the respective sections of the industry in relation to the telemarketing activities of the participants.</w:t>
      </w:r>
    </w:p>
    <w:p w14:paraId="4BF1F1D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(1C)</w:t>
      </w:r>
      <w:r w:rsidRPr="00041614">
        <w:rPr>
          <w:rFonts w:ascii="Times New Roman" w:hAnsi="Times New Roman"/>
          <w:sz w:val="22"/>
          <w:szCs w:val="20"/>
        </w:rPr>
        <w:tab/>
        <w:t>The Parliament intends that bodies or associations that the ACMA is satisfied represent sections of the fax marketing industry should develop codes (</w:t>
      </w:r>
      <w:r w:rsidRPr="00041614">
        <w:rPr>
          <w:rFonts w:ascii="Times New Roman" w:hAnsi="Times New Roman"/>
          <w:b/>
          <w:i/>
          <w:sz w:val="22"/>
          <w:szCs w:val="20"/>
        </w:rPr>
        <w:t>industry codes</w:t>
      </w:r>
      <w:r w:rsidRPr="00041614">
        <w:rPr>
          <w:rFonts w:ascii="Times New Roman" w:hAnsi="Times New Roman"/>
          <w:sz w:val="22"/>
          <w:szCs w:val="20"/>
        </w:rPr>
        <w:t>) that are to apply to participants in the respective sections of the industry in relation to the fax marketing activities of the participants.</w:t>
      </w:r>
    </w:p>
    <w:p w14:paraId="1BD8254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Parliament intends that the ACMA, in exercising its powers under sections 117, 118, 119, 123, 124, 125, 125AA, 125A and 125B, will act in a manner that, in the opinion of the ACMA, enables public interest considerations to be addressed in a way that does not impose undue financial and administrative burdens on participants in sections of the telecommunications industry, the telemarketing industry or the fax marketing industry.</w:t>
      </w:r>
    </w:p>
    <w:p w14:paraId="4E1B73B4" w14:textId="77777777" w:rsidR="00041614" w:rsidRPr="00041614" w:rsidRDefault="00041614" w:rsidP="00041614">
      <w:pPr>
        <w:keepNext/>
        <w:keepLines/>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In determining whether public interest considerations are being addressed in a way that does not impose undue financial and administrative burdens on participants in sections of the telecommunications industry (other than electronic messaging service providers), the ACMA must have regard to:</w:t>
      </w:r>
    </w:p>
    <w:p w14:paraId="0E32A8D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number of customers who would be likely to benefit from the code or standard concerned; and</w:t>
      </w:r>
    </w:p>
    <w:p w14:paraId="488421E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extent to which those customers are residential or small business customers; and</w:t>
      </w:r>
    </w:p>
    <w:p w14:paraId="1014DCE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legitimate business interests of participants in sections of the telecommunications industry; and</w:t>
      </w:r>
    </w:p>
    <w:p w14:paraId="0B6A6E4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the public interest, including the public interest in the efficient, equitable and ecologically sustainable supply of:</w:t>
      </w:r>
    </w:p>
    <w:p w14:paraId="0D1602D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carriage services; and</w:t>
      </w:r>
    </w:p>
    <w:p w14:paraId="2077086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goods for use in connection with carriage services; and</w:t>
      </w:r>
    </w:p>
    <w:p w14:paraId="11896621" w14:textId="77777777" w:rsidR="00041614" w:rsidRPr="00041614" w:rsidRDefault="00041614" w:rsidP="00666729">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services for use in connection with carriage services;</w:t>
      </w:r>
    </w:p>
    <w:p w14:paraId="5F1FC140" w14:textId="77777777" w:rsidR="00041614" w:rsidRPr="00041614" w:rsidRDefault="00041614" w:rsidP="00666729">
      <w:pPr>
        <w:tabs>
          <w:tab w:val="right" w:pos="1531"/>
        </w:tabs>
        <w:spacing w:before="40" w:after="0" w:line="240" w:lineRule="auto"/>
        <w:ind w:left="1985" w:hanging="1985"/>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in a manner that reflects the legitimate expectations of the Australian community.</w:t>
      </w:r>
    </w:p>
    <w:p w14:paraId="6045961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(3A)</w:t>
      </w:r>
      <w:r w:rsidRPr="00041614">
        <w:rPr>
          <w:rFonts w:ascii="Times New Roman" w:hAnsi="Times New Roman"/>
          <w:sz w:val="22"/>
          <w:szCs w:val="20"/>
        </w:rPr>
        <w:tab/>
        <w:t>In determining whether public interest considerations are being addressed in a way that does not impose undue financial and administrative burdens on participants in the section of the telecommunications industry that consists of electronic messaging service providers, the ACMA must have regard to:</w:t>
      </w:r>
    </w:p>
    <w:p w14:paraId="689C6C3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(a)</w:t>
      </w:r>
      <w:r w:rsidRPr="00041614">
        <w:rPr>
          <w:rFonts w:ascii="Times New Roman" w:hAnsi="Times New Roman"/>
          <w:sz w:val="22"/>
          <w:szCs w:val="20"/>
        </w:rPr>
        <w:tab/>
        <w:t>the number of end</w:t>
      </w:r>
      <w:r w:rsidRPr="00041614">
        <w:rPr>
          <w:rFonts w:ascii="Times New Roman" w:hAnsi="Times New Roman"/>
          <w:sz w:val="22"/>
          <w:szCs w:val="20"/>
        </w:rPr>
        <w:noBreakHyphen/>
        <w:t>users who would be likely to benefit from the code or standard concerned; and</w:t>
      </w:r>
    </w:p>
    <w:p w14:paraId="53EF5A3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extent to which those end</w:t>
      </w:r>
      <w:r w:rsidRPr="00041614">
        <w:rPr>
          <w:rFonts w:ascii="Times New Roman" w:hAnsi="Times New Roman"/>
          <w:sz w:val="22"/>
          <w:szCs w:val="20"/>
        </w:rPr>
        <w:noBreakHyphen/>
        <w:t>users are residential or small business end</w:t>
      </w:r>
      <w:r w:rsidRPr="00041614">
        <w:rPr>
          <w:rFonts w:ascii="Times New Roman" w:hAnsi="Times New Roman"/>
          <w:sz w:val="22"/>
          <w:szCs w:val="20"/>
        </w:rPr>
        <w:noBreakHyphen/>
        <w:t>users; and</w:t>
      </w:r>
    </w:p>
    <w:p w14:paraId="20657FB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legitimate business interests of electronic messaging service providers.</w:t>
      </w:r>
    </w:p>
    <w:p w14:paraId="70E294F4" w14:textId="77777777" w:rsidR="00041614" w:rsidRPr="00041614" w:rsidRDefault="00041614" w:rsidP="00041614">
      <w:pPr>
        <w:keepNext/>
        <w:keepLines/>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(3C)</w:t>
      </w:r>
      <w:r w:rsidRPr="00041614">
        <w:rPr>
          <w:rFonts w:ascii="Times New Roman" w:hAnsi="Times New Roman"/>
          <w:sz w:val="22"/>
          <w:szCs w:val="20"/>
        </w:rPr>
        <w:tab/>
        <w:t>In determining whether public interest considerations are being addressed in a way that does not impose undue financial and administrative burdens on participants in sections of the telemarketing industry, the ACMA must have regard to:</w:t>
      </w:r>
    </w:p>
    <w:p w14:paraId="3F795B4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number of persons who would be likely to benefit from the code or standard concerned; and</w:t>
      </w:r>
    </w:p>
    <w:p w14:paraId="2DAFE91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extent to which those persons are householders or small business operators; and</w:t>
      </w:r>
    </w:p>
    <w:p w14:paraId="508E14E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legitimate business interests of participants in sections of the telemarketing industry.</w:t>
      </w:r>
    </w:p>
    <w:p w14:paraId="75C5FF2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(3D)</w:t>
      </w:r>
      <w:r w:rsidRPr="00041614">
        <w:rPr>
          <w:rFonts w:ascii="Times New Roman" w:hAnsi="Times New Roman"/>
          <w:sz w:val="22"/>
          <w:szCs w:val="20"/>
        </w:rPr>
        <w:tab/>
        <w:t>In determining whether public interest considerations are being addressed in a way that does not impose undue financial and administrative burdens on participants in sections of the fax marketing industry, the ACMA must have regard to:</w:t>
      </w:r>
    </w:p>
    <w:p w14:paraId="47DA24F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number of persons who would be likely to benefit from the code or standard concerned; and</w:t>
      </w:r>
    </w:p>
    <w:p w14:paraId="16C9727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extent to which those persons are householders or small business operators; and</w:t>
      </w:r>
    </w:p>
    <w:p w14:paraId="4938614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legitimate business interests of participants in sections of the fax marketing industry.</w:t>
      </w:r>
    </w:p>
    <w:p w14:paraId="12F8767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Subsections (3), (3A), (3B), (3C) and (3D) do not, by implication, limit the matters to which regard may be had.</w:t>
      </w:r>
    </w:p>
    <w:p w14:paraId="60E4E035"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59" w:name="_Toc418083433"/>
      <w:r w:rsidRPr="00041614">
        <w:rPr>
          <w:rFonts w:ascii="Times New Roman" w:hAnsi="Times New Roman"/>
          <w:b/>
          <w:kern w:val="28"/>
          <w:sz w:val="24"/>
          <w:szCs w:val="20"/>
        </w:rPr>
        <w:t>113  Examples of matters that may be dealt with by industry codes and industry standards</w:t>
      </w:r>
      <w:bookmarkEnd w:id="459"/>
    </w:p>
    <w:p w14:paraId="477A479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sets out examples of matters that may be dealt with by industry codes and industry standards.</w:t>
      </w:r>
    </w:p>
    <w:p w14:paraId="3918583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applicability of a particular example will depend on which section of the telecommunications industry, the telemarketing industry or the fax marketing industry is involved.</w:t>
      </w:r>
    </w:p>
    <w:p w14:paraId="75FE492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The examples are as follows:</w:t>
      </w:r>
    </w:p>
    <w:p w14:paraId="3749E01F" w14:textId="77777777" w:rsidR="00041614" w:rsidRPr="00041614" w:rsidRDefault="00041614" w:rsidP="00041614">
      <w:pPr>
        <w:keepNext/>
        <w:keepLines/>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telling customers about:</w:t>
      </w:r>
    </w:p>
    <w:p w14:paraId="2827D583" w14:textId="77777777" w:rsidR="00041614" w:rsidRPr="00041614" w:rsidRDefault="00041614" w:rsidP="00041614">
      <w:pPr>
        <w:keepNext/>
        <w:keepLines/>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goods or services on offer; and</w:t>
      </w:r>
    </w:p>
    <w:p w14:paraId="1B36CAAC" w14:textId="77777777" w:rsidR="00041614" w:rsidRPr="00041614" w:rsidRDefault="00041614" w:rsidP="00041614">
      <w:pPr>
        <w:keepNext/>
        <w:keepLines/>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prices of those goods or services; and</w:t>
      </w:r>
    </w:p>
    <w:p w14:paraId="2009F849"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the other terms and conditions on which those goods or services are offered;</w:t>
      </w:r>
    </w:p>
    <w:p w14:paraId="3986CD2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giving customers information about performance indicators customers can use to evaluate the quality of services;</w:t>
      </w:r>
    </w:p>
    <w:p w14:paraId="037939B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regular reporting to customers about performance against those performance indicators;</w:t>
      </w:r>
    </w:p>
    <w:p w14:paraId="5CA7240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the internal handling of customer complaints;</w:t>
      </w:r>
    </w:p>
    <w:p w14:paraId="131EDE0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(e)</w:t>
      </w:r>
      <w:r w:rsidRPr="00041614">
        <w:rPr>
          <w:rFonts w:ascii="Times New Roman" w:hAnsi="Times New Roman"/>
          <w:sz w:val="22"/>
          <w:szCs w:val="20"/>
        </w:rPr>
        <w:tab/>
        <w:t>reporting about customer complaints;</w:t>
      </w:r>
    </w:p>
    <w:p w14:paraId="22380A6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(f)</w:t>
      </w:r>
      <w:r w:rsidRPr="00041614">
        <w:rPr>
          <w:rFonts w:ascii="Times New Roman" w:hAnsi="Times New Roman"/>
          <w:sz w:val="22"/>
          <w:szCs w:val="20"/>
        </w:rPr>
        <w:tab/>
        <w:t>privacy and, in particular:</w:t>
      </w:r>
    </w:p>
    <w:p w14:paraId="5AF31DA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protection of personal information; and</w:t>
      </w:r>
    </w:p>
    <w:p w14:paraId="3BC5778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intrusive use of telecommunications by carriers or service providers; and</w:t>
      </w:r>
    </w:p>
    <w:p w14:paraId="2186F9B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the monitoring or recording of communications; and</w:t>
      </w:r>
    </w:p>
    <w:p w14:paraId="5226B77F"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calling number display; and</w:t>
      </w:r>
    </w:p>
    <w:p w14:paraId="325A710F"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(v)</w:t>
      </w:r>
      <w:r w:rsidRPr="00041614">
        <w:rPr>
          <w:rFonts w:ascii="Times New Roman" w:hAnsi="Times New Roman"/>
          <w:sz w:val="22"/>
          <w:szCs w:val="20"/>
        </w:rPr>
        <w:tab/>
        <w:t>the provision of directory products and services;</w:t>
      </w:r>
    </w:p>
    <w:p w14:paraId="52B011D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(g)</w:t>
      </w:r>
      <w:r w:rsidRPr="00041614">
        <w:rPr>
          <w:rFonts w:ascii="Times New Roman" w:hAnsi="Times New Roman"/>
          <w:sz w:val="22"/>
          <w:szCs w:val="20"/>
        </w:rPr>
        <w:tab/>
        <w:t>the “churning” of customers;</w:t>
      </w:r>
    </w:p>
    <w:p w14:paraId="47A8F9D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(h)</w:t>
      </w:r>
      <w:r w:rsidRPr="00041614">
        <w:rPr>
          <w:rFonts w:ascii="Times New Roman" w:hAnsi="Times New Roman"/>
          <w:sz w:val="22"/>
          <w:szCs w:val="20"/>
        </w:rPr>
        <w:tab/>
        <w:t>security deposits given by customers;</w:t>
      </w:r>
    </w:p>
    <w:p w14:paraId="388652D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debt collection practices;</w:t>
      </w:r>
    </w:p>
    <w:p w14:paraId="142443B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(j)</w:t>
      </w:r>
      <w:r w:rsidRPr="00041614">
        <w:rPr>
          <w:rFonts w:ascii="Times New Roman" w:hAnsi="Times New Roman"/>
          <w:sz w:val="22"/>
          <w:szCs w:val="20"/>
        </w:rPr>
        <w:tab/>
        <w:t>customer credit practices;</w:t>
      </w:r>
    </w:p>
    <w:p w14:paraId="4E45AB6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(k)</w:t>
      </w:r>
      <w:r w:rsidRPr="00041614">
        <w:rPr>
          <w:rFonts w:ascii="Times New Roman" w:hAnsi="Times New Roman"/>
          <w:sz w:val="22"/>
          <w:szCs w:val="20"/>
        </w:rPr>
        <w:tab/>
        <w:t>disconnection of customers;</w:t>
      </w:r>
    </w:p>
    <w:p w14:paraId="61CC660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(l)</w:t>
      </w:r>
      <w:r w:rsidRPr="00041614">
        <w:rPr>
          <w:rFonts w:ascii="Times New Roman" w:hAnsi="Times New Roman"/>
          <w:sz w:val="22"/>
          <w:szCs w:val="20"/>
        </w:rPr>
        <w:tab/>
        <w:t>ensuring that customers have an informed basis on which to enter into agreements of a kind mentioned in paragraph 22(2)(d) or (e) or (4)(a) (which deal with boundaries of telecommunications networks);</w:t>
      </w:r>
    </w:p>
    <w:p w14:paraId="7973FB4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(m)</w:t>
      </w:r>
      <w:r w:rsidRPr="00041614">
        <w:rPr>
          <w:rFonts w:ascii="Times New Roman" w:hAnsi="Times New Roman"/>
          <w:sz w:val="22"/>
          <w:szCs w:val="20"/>
        </w:rPr>
        <w:tab/>
        <w:t>the quality of standard telephone services;</w:t>
      </w:r>
    </w:p>
    <w:p w14:paraId="717CBF7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(n)</w:t>
      </w:r>
      <w:r w:rsidRPr="00041614">
        <w:rPr>
          <w:rFonts w:ascii="Times New Roman" w:hAnsi="Times New Roman"/>
          <w:sz w:val="22"/>
          <w:szCs w:val="20"/>
        </w:rPr>
        <w:tab/>
        <w:t>the accuracy of billing of customers of carriage service providers in relation to the supply of standard telephone services;</w:t>
      </w:r>
    </w:p>
    <w:p w14:paraId="59CA3A3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(o)</w:t>
      </w:r>
      <w:r w:rsidRPr="00041614">
        <w:rPr>
          <w:rFonts w:ascii="Times New Roman" w:hAnsi="Times New Roman"/>
          <w:sz w:val="22"/>
          <w:szCs w:val="20"/>
        </w:rPr>
        <w:tab/>
        <w:t>the timeliness and comprehensibility of bills;</w:t>
      </w:r>
    </w:p>
    <w:p w14:paraId="3E28C8F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(p)</w:t>
      </w:r>
      <w:r w:rsidRPr="00041614">
        <w:rPr>
          <w:rFonts w:ascii="Times New Roman" w:hAnsi="Times New Roman"/>
          <w:sz w:val="22"/>
          <w:szCs w:val="20"/>
        </w:rPr>
        <w:tab/>
        <w:t>the procedures to be followed in order to generate standard billing reports to assist in the investigation of customer complaints about bills;</w:t>
      </w:r>
    </w:p>
    <w:p w14:paraId="3DB29C4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(pa)</w:t>
      </w:r>
      <w:r w:rsidRPr="00041614">
        <w:rPr>
          <w:rFonts w:ascii="Times New Roman" w:hAnsi="Times New Roman"/>
          <w:sz w:val="22"/>
          <w:szCs w:val="20"/>
        </w:rPr>
        <w:tab/>
        <w:t>the design features of:</w:t>
      </w:r>
    </w:p>
    <w:p w14:paraId="0821FC8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optical fibre lines; or</w:t>
      </w:r>
    </w:p>
    <w:p w14:paraId="1AE18B61"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facilities used, or for use, in or in connection with optical fibre lines;</w:t>
      </w:r>
    </w:p>
    <w:p w14:paraId="59ACD4E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(pb)</w:t>
      </w:r>
      <w:r w:rsidRPr="00041614">
        <w:rPr>
          <w:rFonts w:ascii="Times New Roman" w:hAnsi="Times New Roman"/>
          <w:sz w:val="22"/>
          <w:szCs w:val="20"/>
        </w:rPr>
        <w:tab/>
        <w:t>performance requirements to be met by:</w:t>
      </w:r>
    </w:p>
    <w:p w14:paraId="567001B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optical fibre lines; or</w:t>
      </w:r>
    </w:p>
    <w:p w14:paraId="21FE05D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facilities used, or for use, in or in connection with optical fibre lines;</w:t>
      </w:r>
    </w:p>
    <w:p w14:paraId="2932224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(pc)</w:t>
      </w:r>
      <w:r w:rsidRPr="00041614">
        <w:rPr>
          <w:rFonts w:ascii="Times New Roman" w:hAnsi="Times New Roman"/>
          <w:sz w:val="22"/>
          <w:szCs w:val="20"/>
        </w:rPr>
        <w:tab/>
        <w:t>the characteristics of carriage services supplied using optical fibre lines;</w:t>
      </w:r>
    </w:p>
    <w:p w14:paraId="035ADC1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(pd)</w:t>
      </w:r>
      <w:r w:rsidRPr="00041614">
        <w:rPr>
          <w:rFonts w:ascii="Times New Roman" w:hAnsi="Times New Roman"/>
          <w:sz w:val="22"/>
          <w:szCs w:val="20"/>
        </w:rPr>
        <w:tab/>
        <w:t>performance requirements to be met by carriage services supplied using optical fibre lines;</w:t>
      </w:r>
    </w:p>
    <w:p w14:paraId="4FB9F1FC" w14:textId="77777777" w:rsidR="00041614" w:rsidRPr="00041614" w:rsidRDefault="00041614" w:rsidP="00041614">
      <w:pPr>
        <w:keepNext/>
        <w:keepLines/>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(q)</w:t>
      </w:r>
      <w:r w:rsidRPr="00041614">
        <w:rPr>
          <w:rFonts w:ascii="Times New Roman" w:hAnsi="Times New Roman"/>
          <w:sz w:val="22"/>
          <w:szCs w:val="20"/>
        </w:rPr>
        <w:tab/>
        <w:t>procedures to be followed by:</w:t>
      </w:r>
    </w:p>
    <w:p w14:paraId="2B854104" w14:textId="77777777" w:rsidR="00041614" w:rsidRPr="00041614" w:rsidRDefault="00041614" w:rsidP="00041614">
      <w:pPr>
        <w:keepNext/>
        <w:keepLines/>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internet service providers; and</w:t>
      </w:r>
    </w:p>
    <w:p w14:paraId="321C029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electronic messaging service providers;</w:t>
      </w:r>
    </w:p>
    <w:p w14:paraId="779BD69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in dealing with unsolicited commercial electronic messages (including procedures relating to the provision or use of regularly updated software for filtering unsolicited commercial electronic messages);</w:t>
      </w:r>
    </w:p>
    <w:p w14:paraId="308404C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(r)</w:t>
      </w:r>
      <w:r w:rsidRPr="00041614">
        <w:rPr>
          <w:rFonts w:ascii="Times New Roman" w:hAnsi="Times New Roman"/>
          <w:sz w:val="22"/>
          <w:szCs w:val="20"/>
        </w:rPr>
        <w:tab/>
        <w:t>giving customers information about the availability, use and appropriate application of software for filtering unsolicited commercial electronic messages;</w:t>
      </w:r>
    </w:p>
    <w:p w14:paraId="53B7D01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(s)</w:t>
      </w:r>
      <w:r w:rsidRPr="00041614">
        <w:rPr>
          <w:rFonts w:ascii="Times New Roman" w:hAnsi="Times New Roman"/>
          <w:sz w:val="22"/>
          <w:szCs w:val="20"/>
        </w:rPr>
        <w:tab/>
        <w:t>action to be taken to assist in the development and evaluation of software for filtering unsolicited commercial electronic messages;</w:t>
      </w:r>
    </w:p>
    <w:p w14:paraId="4DB7942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(t)</w:t>
      </w:r>
      <w:r w:rsidRPr="00041614">
        <w:rPr>
          <w:rFonts w:ascii="Times New Roman" w:hAnsi="Times New Roman"/>
          <w:sz w:val="22"/>
          <w:szCs w:val="20"/>
        </w:rPr>
        <w:tab/>
        <w:t>action to be taken in order to minimise or prevent the sending or delivery of unsolicited commercial electronic messages, including:</w:t>
      </w:r>
    </w:p>
    <w:p w14:paraId="16BB1E5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configuration of servers so as to minimise or prevent the sending or delivery of unsolicited commercial electronic messages; and</w:t>
      </w:r>
    </w:p>
    <w:p w14:paraId="2387D3B6"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shutdown of open relay servers;</w:t>
      </w:r>
    </w:p>
    <w:p w14:paraId="2CD1BA5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(u)</w:t>
      </w:r>
      <w:r w:rsidRPr="00041614">
        <w:rPr>
          <w:rFonts w:ascii="Times New Roman" w:hAnsi="Times New Roman"/>
          <w:sz w:val="22"/>
          <w:szCs w:val="20"/>
        </w:rPr>
        <w:tab/>
        <w:t>action to be taken to ensure responsible practices in relation to the use of commercial electronic messages to market, advertise or promote goods or services to individuals who are under 18 years of age;</w:t>
      </w:r>
    </w:p>
    <w:p w14:paraId="04E78C6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(v)</w:t>
      </w:r>
      <w:r w:rsidRPr="00041614">
        <w:rPr>
          <w:rFonts w:ascii="Times New Roman" w:hAnsi="Times New Roman"/>
          <w:sz w:val="22"/>
          <w:szCs w:val="20"/>
        </w:rPr>
        <w:tab/>
        <w:t>procedures to be followed in relation to the giving of consent by relevant electronic account</w:t>
      </w:r>
      <w:r w:rsidRPr="00041614">
        <w:rPr>
          <w:rFonts w:ascii="Times New Roman" w:hAnsi="Times New Roman"/>
          <w:sz w:val="22"/>
          <w:szCs w:val="20"/>
        </w:rPr>
        <w:noBreakHyphen/>
        <w:t xml:space="preserve">holders (within the meaning of the </w:t>
      </w:r>
      <w:r w:rsidRPr="00041614">
        <w:rPr>
          <w:rFonts w:ascii="Times New Roman" w:hAnsi="Times New Roman"/>
          <w:i/>
          <w:sz w:val="22"/>
          <w:szCs w:val="20"/>
        </w:rPr>
        <w:t>Spam Act 2003</w:t>
      </w:r>
      <w:r w:rsidRPr="00041614">
        <w:rPr>
          <w:rFonts w:ascii="Times New Roman" w:hAnsi="Times New Roman"/>
          <w:sz w:val="22"/>
          <w:szCs w:val="20"/>
        </w:rPr>
        <w:t>) to the sending of commercial electronic messages;</w:t>
      </w:r>
    </w:p>
    <w:p w14:paraId="4202269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(w)</w:t>
      </w:r>
      <w:r w:rsidRPr="00041614">
        <w:rPr>
          <w:rFonts w:ascii="Times New Roman" w:hAnsi="Times New Roman"/>
          <w:sz w:val="22"/>
          <w:szCs w:val="20"/>
        </w:rPr>
        <w:tab/>
        <w:t>record</w:t>
      </w:r>
      <w:r w:rsidRPr="00041614">
        <w:rPr>
          <w:rFonts w:ascii="Times New Roman" w:hAnsi="Times New Roman"/>
          <w:sz w:val="22"/>
          <w:szCs w:val="20"/>
        </w:rPr>
        <w:noBreakHyphen/>
        <w:t>keeping practices to be followed in relation to telemarketing calls made or attempted to be made;</w:t>
      </w:r>
    </w:p>
    <w:p w14:paraId="678FE45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(x)</w:t>
      </w:r>
      <w:r w:rsidRPr="00041614">
        <w:rPr>
          <w:rFonts w:ascii="Times New Roman" w:hAnsi="Times New Roman"/>
          <w:sz w:val="22"/>
          <w:szCs w:val="20"/>
        </w:rPr>
        <w:tab/>
        <w:t>action to be taken to limit the total number of telemarketing calls attempted to be made, by a particular participant in a section of the telemarketing industry, during a particular period, where the recipient answers the attempted call, but the attempted call does not have any content;</w:t>
      </w:r>
    </w:p>
    <w:p w14:paraId="1636F9B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(y)</w:t>
      </w:r>
      <w:r w:rsidRPr="00041614">
        <w:rPr>
          <w:rFonts w:ascii="Times New Roman" w:hAnsi="Times New Roman"/>
          <w:sz w:val="22"/>
          <w:szCs w:val="20"/>
        </w:rPr>
        <w:tab/>
        <w:t>action to be taken to limit the total number of telemarketing calls made, or attempted to be made, by a particular participant in a section of the telemarketing industry, during a particular period to a particular Australian number;</w:t>
      </w:r>
    </w:p>
    <w:p w14:paraId="5617298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(z)</w:t>
      </w:r>
      <w:r w:rsidRPr="00041614">
        <w:rPr>
          <w:rFonts w:ascii="Times New Roman" w:hAnsi="Times New Roman"/>
          <w:sz w:val="22"/>
          <w:szCs w:val="20"/>
        </w:rPr>
        <w:tab/>
        <w:t>record</w:t>
      </w:r>
      <w:r w:rsidRPr="00041614">
        <w:rPr>
          <w:rFonts w:ascii="Times New Roman" w:hAnsi="Times New Roman"/>
          <w:sz w:val="22"/>
          <w:szCs w:val="20"/>
        </w:rPr>
        <w:noBreakHyphen/>
        <w:t>keeping practices to be followed in relation to marketing faxes sent or attempted to be sent;</w:t>
      </w:r>
    </w:p>
    <w:p w14:paraId="51A16C3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(za)</w:t>
      </w:r>
      <w:r w:rsidRPr="00041614">
        <w:rPr>
          <w:rFonts w:ascii="Times New Roman" w:hAnsi="Times New Roman"/>
          <w:sz w:val="22"/>
          <w:szCs w:val="20"/>
        </w:rPr>
        <w:tab/>
        <w:t>action to be taken to limit the total number of marketing faxes sent or attempted to be sent, by a particular participant in a section of the fax marketing industry, during a particular period to a particular Australian number.</w:t>
      </w:r>
    </w:p>
    <w:p w14:paraId="38C19F6C"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0" w:name="_Toc418083434"/>
      <w:r w:rsidRPr="00041614">
        <w:rPr>
          <w:rFonts w:ascii="Times New Roman" w:hAnsi="Times New Roman"/>
          <w:b/>
          <w:kern w:val="28"/>
          <w:sz w:val="24"/>
          <w:szCs w:val="20"/>
        </w:rPr>
        <w:t>114  Industry codes and industry standards may confer powers on the Telecommunications Industry Ombudsman</w:t>
      </w:r>
      <w:bookmarkEnd w:id="460"/>
      <w:r w:rsidRPr="00041614">
        <w:rPr>
          <w:rFonts w:ascii="Times New Roman" w:hAnsi="Times New Roman"/>
          <w:b/>
          <w:kern w:val="28"/>
          <w:sz w:val="24"/>
          <w:szCs w:val="20"/>
        </w:rPr>
        <w:t xml:space="preserve"> </w:t>
      </w:r>
    </w:p>
    <w:p w14:paraId="770DCE7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If the Telecommunications Industry Ombudsman consents, an industry code or industry standard may confer functions and powers on the Telecommunications Industry Ombudsman.</w:t>
      </w:r>
    </w:p>
    <w:p w14:paraId="67B6C26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continuity of a consent under subsection (1) is not affected by:</w:t>
      </w:r>
    </w:p>
    <w:p w14:paraId="694E0B7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 change in the occupancy of the position of Telecommunications Industry Ombudsman; or</w:t>
      </w:r>
    </w:p>
    <w:p w14:paraId="7219D63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a vacancy in the position of Telecommunications Industry Ombudsman that does not continue for more than 4 months.</w:t>
      </w:r>
    </w:p>
    <w:p w14:paraId="643B4ECC"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1" w:name="_Toc418083435"/>
      <w:r w:rsidRPr="00041614">
        <w:rPr>
          <w:rFonts w:ascii="Times New Roman" w:hAnsi="Times New Roman"/>
          <w:b/>
          <w:kern w:val="28"/>
          <w:sz w:val="24"/>
          <w:szCs w:val="20"/>
        </w:rPr>
        <w:t>115  Industry codes and industry standards not to deal with certain design features and performance requirements</w:t>
      </w:r>
      <w:bookmarkEnd w:id="461"/>
    </w:p>
    <w:p w14:paraId="524AD41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For the purposes of this Part, an industry code or an industry standard has no effect:</w:t>
      </w:r>
    </w:p>
    <w:p w14:paraId="1BB6F9A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 xml:space="preserve">to the extent (if any) to which compliance with the code or standard is likely to have the effect (whether direct or indirect) of requiring </w:t>
      </w:r>
      <w:r w:rsidRPr="00041614">
        <w:rPr>
          <w:rFonts w:ascii="Times New Roman" w:hAnsi="Times New Roman"/>
          <w:sz w:val="22"/>
          <w:szCs w:val="20"/>
        </w:rPr>
        <w:lastRenderedPageBreak/>
        <w:t>customer equipment, customer cabling, a telecommunications network or a facility:</w:t>
      </w:r>
    </w:p>
    <w:p w14:paraId="5594553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to have particular design features; or</w:t>
      </w:r>
    </w:p>
    <w:p w14:paraId="3695AE6B"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to meet particular performance requirements; or</w:t>
      </w:r>
    </w:p>
    <w:p w14:paraId="2751026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to the extent (if any) to which it deals with the content of content services.</w:t>
      </w:r>
    </w:p>
    <w:p w14:paraId="69D53653" w14:textId="77777777" w:rsidR="00041614" w:rsidRPr="00041614" w:rsidRDefault="00041614" w:rsidP="00041614">
      <w:pPr>
        <w:keepNext/>
        <w:keepLines/>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rule in subsection (1) does not apply to an industry code or an industry standard to the extent (if any) to which compliance with the code or standard is likely:</w:t>
      </w:r>
    </w:p>
    <w:p w14:paraId="33920E5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to have the indirect effect of requiring customer equipment, customer cabling, a telecommunications network or a facility to have particular design features that relate to:</w:t>
      </w:r>
    </w:p>
    <w:p w14:paraId="053D8AB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accuracy of billing of customers of carriage service providers in relation to the supply of standard telephone services; or</w:t>
      </w:r>
    </w:p>
    <w:p w14:paraId="2500015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quality of standard telephone services; or</w:t>
      </w:r>
    </w:p>
    <w:p w14:paraId="0C3F9B6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a matter specified in the regulations; or</w:t>
      </w:r>
    </w:p>
    <w:p w14:paraId="7F38A3F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to have the direct or indirect effect of requiring customer equipment, customer cabling, a telecommunications network or a facility to meet performance requirements that relate to:</w:t>
      </w:r>
    </w:p>
    <w:p w14:paraId="3AF81340"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accuracy of billing of customers of carriage service providers in relation to the supply of standard telephone services; or</w:t>
      </w:r>
    </w:p>
    <w:p w14:paraId="5A075F4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quality of standard telephone services; or</w:t>
      </w:r>
    </w:p>
    <w:p w14:paraId="67DF2F9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a matter specified in the regulations.</w:t>
      </w:r>
    </w:p>
    <w:p w14:paraId="7832676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The rule in subsection (1) does not apply to an industry code or an industry standard to the extent (if any) to which the code or standard deals with a matter referred to in paragraph 113(3)(f) or (t).</w:t>
      </w:r>
    </w:p>
    <w:p w14:paraId="40B6FF8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 xml:space="preserve">The rule in subsection (1) does not apply to an industry code made for the purposes of Division 2AA of Part V of the </w:t>
      </w:r>
      <w:r w:rsidRPr="00041614">
        <w:rPr>
          <w:rFonts w:ascii="Times New Roman" w:hAnsi="Times New Roman"/>
          <w:i/>
          <w:sz w:val="22"/>
          <w:szCs w:val="20"/>
        </w:rPr>
        <w:t>Copyright Act 1968</w:t>
      </w:r>
      <w:r w:rsidRPr="00041614">
        <w:rPr>
          <w:rFonts w:ascii="Times New Roman" w:hAnsi="Times New Roman"/>
          <w:sz w:val="22"/>
          <w:szCs w:val="20"/>
        </w:rPr>
        <w:t>.</w:t>
      </w:r>
    </w:p>
    <w:p w14:paraId="47753DE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The rule in subsection (1) does not apply to an industry code or an industry standard to the extent (if any) to which compliance with the code or standard is likely to have the effect (whether direct or indirect) of requiring:</w:t>
      </w:r>
    </w:p>
    <w:p w14:paraId="77D47D5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optical fibre lines; or</w:t>
      </w:r>
    </w:p>
    <w:p w14:paraId="2DD8615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facilities used, or for use, in or in connection with optical fibre lines;</w:t>
      </w:r>
    </w:p>
    <w:p w14:paraId="611A58FC"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to:</w:t>
      </w:r>
    </w:p>
    <w:p w14:paraId="4AD49F5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have particular design features; or</w:t>
      </w:r>
    </w:p>
    <w:p w14:paraId="59F2176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meet particular performance requirements.</w:t>
      </w:r>
    </w:p>
    <w:p w14:paraId="3779F210"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2" w:name="_Toc418083436"/>
      <w:r w:rsidRPr="00041614">
        <w:rPr>
          <w:rFonts w:ascii="Times New Roman" w:hAnsi="Times New Roman"/>
          <w:b/>
          <w:kern w:val="28"/>
          <w:sz w:val="24"/>
          <w:szCs w:val="20"/>
        </w:rPr>
        <w:t>116  Industry codes and industry standards not to deal with matters dealt with by codes and standards under Part 9 of the Broadcasting Services Act</w:t>
      </w:r>
      <w:bookmarkEnd w:id="462"/>
    </w:p>
    <w:p w14:paraId="5C48298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 xml:space="preserve">For the purposes of this Part, an industry code or an industry standard that deals with a matter relating to a content service has no effect to the extent </w:t>
      </w:r>
      <w:r w:rsidRPr="00041614">
        <w:rPr>
          <w:rFonts w:ascii="Times New Roman" w:hAnsi="Times New Roman"/>
          <w:sz w:val="22"/>
          <w:szCs w:val="20"/>
        </w:rPr>
        <w:lastRenderedPageBreak/>
        <w:t xml:space="preserve">(if any) to which the matter is dealt with by a code registered, or standard determined, under Part 9 of the </w:t>
      </w:r>
      <w:r w:rsidRPr="00041614">
        <w:rPr>
          <w:rFonts w:ascii="Times New Roman" w:hAnsi="Times New Roman"/>
          <w:i/>
          <w:sz w:val="22"/>
          <w:szCs w:val="20"/>
        </w:rPr>
        <w:t>Broadcasting Services Act 1992</w:t>
      </w:r>
      <w:r w:rsidRPr="00041614">
        <w:rPr>
          <w:rFonts w:ascii="Times New Roman" w:hAnsi="Times New Roman"/>
          <w:sz w:val="22"/>
          <w:szCs w:val="20"/>
        </w:rPr>
        <w:t>.</w:t>
      </w:r>
    </w:p>
    <w:p w14:paraId="576CFD99"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3" w:name="_Toc418083437"/>
      <w:r w:rsidRPr="00041614">
        <w:rPr>
          <w:rFonts w:ascii="Times New Roman" w:hAnsi="Times New Roman"/>
          <w:b/>
          <w:kern w:val="28"/>
          <w:sz w:val="24"/>
          <w:szCs w:val="20"/>
        </w:rPr>
        <w:t xml:space="preserve">116A  Industry codes and standards do not affect </w:t>
      </w:r>
      <w:r w:rsidRPr="00041614">
        <w:rPr>
          <w:rFonts w:ascii="Times New Roman" w:hAnsi="Times New Roman"/>
          <w:b/>
          <w:i/>
          <w:kern w:val="28"/>
          <w:sz w:val="24"/>
          <w:szCs w:val="20"/>
        </w:rPr>
        <w:t>Privacy Act 1988</w:t>
      </w:r>
      <w:bookmarkEnd w:id="463"/>
    </w:p>
    <w:p w14:paraId="0B49B83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 xml:space="preserve">Neither an industry code nor an industry standard derogates from a requirement made by or under the </w:t>
      </w:r>
      <w:r w:rsidRPr="00041614">
        <w:rPr>
          <w:rFonts w:ascii="Times New Roman" w:hAnsi="Times New Roman"/>
          <w:i/>
          <w:sz w:val="22"/>
          <w:szCs w:val="20"/>
        </w:rPr>
        <w:t>Privacy Act 1988</w:t>
      </w:r>
      <w:r w:rsidRPr="00041614">
        <w:rPr>
          <w:rFonts w:ascii="Times New Roman" w:hAnsi="Times New Roman"/>
          <w:sz w:val="22"/>
          <w:szCs w:val="20"/>
        </w:rPr>
        <w:t xml:space="preserve"> or a registered APP code (as defined in that Act).</w:t>
      </w:r>
    </w:p>
    <w:p w14:paraId="262CE375" w14:textId="77777777" w:rsidR="00041614" w:rsidRPr="00041614" w:rsidRDefault="00041614" w:rsidP="00041614">
      <w:pPr>
        <w:keepNext/>
        <w:keepLines/>
        <w:pageBreakBefore/>
        <w:spacing w:before="240" w:after="0" w:line="240" w:lineRule="auto"/>
        <w:ind w:left="1134" w:hanging="1134"/>
        <w:outlineLvl w:val="2"/>
        <w:rPr>
          <w:rFonts w:ascii="Times New Roman" w:hAnsi="Times New Roman"/>
          <w:b/>
          <w:kern w:val="28"/>
          <w:sz w:val="28"/>
          <w:szCs w:val="20"/>
        </w:rPr>
      </w:pPr>
      <w:bookmarkStart w:id="464" w:name="_Toc418083438"/>
      <w:r w:rsidRPr="00041614">
        <w:rPr>
          <w:rFonts w:ascii="Times New Roman" w:hAnsi="Times New Roman"/>
          <w:b/>
          <w:kern w:val="28"/>
          <w:sz w:val="28"/>
          <w:szCs w:val="20"/>
        </w:rPr>
        <w:lastRenderedPageBreak/>
        <w:t>Division 4—Industry codes</w:t>
      </w:r>
      <w:bookmarkEnd w:id="464"/>
    </w:p>
    <w:p w14:paraId="231ED24D"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5" w:name="_Toc418083439"/>
      <w:r w:rsidRPr="00041614">
        <w:rPr>
          <w:rFonts w:ascii="Times New Roman" w:hAnsi="Times New Roman"/>
          <w:b/>
          <w:kern w:val="28"/>
          <w:sz w:val="24"/>
          <w:szCs w:val="20"/>
        </w:rPr>
        <w:t>117  Registration of industry codes</w:t>
      </w:r>
      <w:bookmarkEnd w:id="465"/>
      <w:r w:rsidRPr="00041614">
        <w:rPr>
          <w:rFonts w:ascii="Times New Roman" w:hAnsi="Times New Roman"/>
          <w:b/>
          <w:kern w:val="28"/>
          <w:sz w:val="24"/>
          <w:szCs w:val="20"/>
        </w:rPr>
        <w:t xml:space="preserve"> </w:t>
      </w:r>
    </w:p>
    <w:p w14:paraId="7076A2C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if:</w:t>
      </w:r>
    </w:p>
    <w:p w14:paraId="1250494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ACMA is satisfied that a body or association represents a particular section of the telecommunications industry, the telemarketing industry or the fax marketing industry; and</w:t>
      </w:r>
    </w:p>
    <w:p w14:paraId="2D16C75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that body or association develops an industry code that applies to participants in that section of the industry and deals with one or more matters relating to the telecommunications activities, telemarketing activities or fax marketing activities, as the case may be, of those participants; and</w:t>
      </w:r>
    </w:p>
    <w:p w14:paraId="5DE9F2B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body or association gives a copy of the code to the ACMA; and</w:t>
      </w:r>
    </w:p>
    <w:p w14:paraId="7311A42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the ACMA is satisfied that:</w:t>
      </w:r>
    </w:p>
    <w:p w14:paraId="06D3838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in a case where the code deals with matters of substantial relevance to the community—the code provides appropriate community safeguards for the matters covered by the code; or</w:t>
      </w:r>
    </w:p>
    <w:p w14:paraId="7B69823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in a case where the code does not deal with matters of substantial relevance to the community—the code deals with the matters covered by the code in an appropriate manner; and</w:t>
      </w:r>
    </w:p>
    <w:p w14:paraId="19B596A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the ACMA is satisfied that, before giving the copy of the code to the ACMA:</w:t>
      </w:r>
    </w:p>
    <w:p w14:paraId="6662604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body or association published a draft of the code on its website, and invited participants in that section of the industry to make submissions to the body or association about the draft within a specified period; and</w:t>
      </w:r>
    </w:p>
    <w:p w14:paraId="6713B60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body or association gave consideration to any submissions that were received from participants in that section of the industry within that period; and</w:t>
      </w:r>
    </w:p>
    <w:p w14:paraId="7A3AA2D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the body or association complied with the section 119B publication requirements in relation to any submissions that were received from participants in that section of the industry within that period; and</w:t>
      </w:r>
    </w:p>
    <w:p w14:paraId="36855DA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(f)</w:t>
      </w:r>
      <w:r w:rsidRPr="00041614">
        <w:rPr>
          <w:rFonts w:ascii="Times New Roman" w:hAnsi="Times New Roman"/>
          <w:sz w:val="22"/>
          <w:szCs w:val="20"/>
        </w:rPr>
        <w:tab/>
        <w:t>the ACMA is satisfied that, before giving the copy of the code to the ACMA:</w:t>
      </w:r>
    </w:p>
    <w:p w14:paraId="3566CA2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body or association published a draft of the code on its website, and invited members of the public to make submissions to the body or association about the draft within a specified period; and</w:t>
      </w:r>
    </w:p>
    <w:p w14:paraId="4366F98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body or association gave consideration to any submissions that were received from members of the public within that period; and</w:t>
      </w:r>
    </w:p>
    <w:p w14:paraId="607EF646"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the body or association complied with the section 119B publication requirements in relation to any submissions that were received from members of the public within that period; and</w:t>
      </w:r>
    </w:p>
    <w:p w14:paraId="01BAB38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(g)</w:t>
      </w:r>
      <w:r w:rsidRPr="00041614">
        <w:rPr>
          <w:rFonts w:ascii="Times New Roman" w:hAnsi="Times New Roman"/>
          <w:sz w:val="22"/>
          <w:szCs w:val="20"/>
        </w:rPr>
        <w:tab/>
        <w:t>the ACMA is satisfied that the ACCC has been consulted about the development of the code; and</w:t>
      </w:r>
    </w:p>
    <w:p w14:paraId="7286CCB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(h)</w:t>
      </w:r>
      <w:r w:rsidRPr="00041614">
        <w:rPr>
          <w:rFonts w:ascii="Times New Roman" w:hAnsi="Times New Roman"/>
          <w:sz w:val="22"/>
          <w:szCs w:val="20"/>
        </w:rPr>
        <w:tab/>
        <w:t>except in a case where:</w:t>
      </w:r>
    </w:p>
    <w:p w14:paraId="38684D91"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lastRenderedPageBreak/>
        <w:tab/>
        <w:t>(i)</w:t>
      </w:r>
      <w:r w:rsidRPr="00041614">
        <w:rPr>
          <w:rFonts w:ascii="Times New Roman" w:hAnsi="Times New Roman"/>
          <w:sz w:val="22"/>
          <w:szCs w:val="20"/>
        </w:rPr>
        <w:tab/>
        <w:t>the code applies to participants in a section of the telemarketing industry and deals with one or more matters relating to the telemarketing activities of those participants; or</w:t>
      </w:r>
    </w:p>
    <w:p w14:paraId="1474905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code applies to participants in a section of the fax marketing industry and deals with one or more matters relating to the fax marketing activities of those participants;</w:t>
      </w:r>
    </w:p>
    <w:p w14:paraId="56D30DB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ACMA is satisfied that the Telecommunications Industry Ombudsman has been consulted about the development of the code; and</w:t>
      </w:r>
    </w:p>
    <w:p w14:paraId="79C1D55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ACMA is satisfied that at least one body or association that represents the interests of consumers has been consulted about the development of the code; and</w:t>
      </w:r>
    </w:p>
    <w:p w14:paraId="1C2306E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(j)</w:t>
      </w:r>
      <w:r w:rsidRPr="00041614">
        <w:rPr>
          <w:rFonts w:ascii="Times New Roman" w:hAnsi="Times New Roman"/>
          <w:sz w:val="22"/>
          <w:szCs w:val="20"/>
        </w:rPr>
        <w:tab/>
        <w:t>in a case where the code deals with a matter set out in paragraph 113(3)(f)—the ACMA is satisfied that the Information Commissioner has been consulted by the body or association about the development of the code before the body or association gave the copy of the code to the ACMA; and</w:t>
      </w:r>
    </w:p>
    <w:p w14:paraId="06CBEBA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(k)</w:t>
      </w:r>
      <w:r w:rsidRPr="00041614">
        <w:rPr>
          <w:rFonts w:ascii="Times New Roman" w:hAnsi="Times New Roman"/>
          <w:sz w:val="22"/>
          <w:szCs w:val="20"/>
        </w:rPr>
        <w:tab/>
        <w:t>the ACMA has consulted the Information Commissioner about the code and consequently believes that he or she is satisfied with the code, if the code deals directly or indirectly with a matter dealt with by:</w:t>
      </w:r>
    </w:p>
    <w:p w14:paraId="581B966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Australian Privacy Principles; or</w:t>
      </w:r>
    </w:p>
    <w:p w14:paraId="356573CA"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 xml:space="preserve">other provisions of the </w:t>
      </w:r>
      <w:r w:rsidRPr="00041614">
        <w:rPr>
          <w:rFonts w:ascii="Times New Roman" w:hAnsi="Times New Roman"/>
          <w:i/>
          <w:sz w:val="22"/>
          <w:szCs w:val="20"/>
        </w:rPr>
        <w:t>Privacy Act 1988</w:t>
      </w:r>
      <w:r w:rsidRPr="00041614">
        <w:rPr>
          <w:rFonts w:ascii="Times New Roman" w:hAnsi="Times New Roman"/>
          <w:sz w:val="22"/>
          <w:szCs w:val="20"/>
        </w:rPr>
        <w:t xml:space="preserve"> that relate to those principles; or</w:t>
      </w:r>
    </w:p>
    <w:p w14:paraId="1017D0B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a registered APP code (as defined in that Act) that binds a participant in that section of the telecommunications industry, the telemarketing industry or the fax marketing industry; or</w:t>
      </w:r>
    </w:p>
    <w:p w14:paraId="7CAEEF7E"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provisions of that Act that relate to the registered APP code</w:t>
      </w:r>
    </w:p>
    <w:p w14:paraId="5E26AE02"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ACMA must register the code by including it in the Register of industry codes kept under section 136.</w:t>
      </w:r>
    </w:p>
    <w:p w14:paraId="0CEE58A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A period specified under subparagraph (1)(e)(i) or (1)(f)(i) must run for at least 30 days.</w:t>
      </w:r>
    </w:p>
    <w:p w14:paraId="2ECC7F13" w14:textId="77777777" w:rsidR="00041614" w:rsidRPr="00041614" w:rsidRDefault="00041614" w:rsidP="00041614">
      <w:pPr>
        <w:keepNext/>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If:</w:t>
      </w:r>
    </w:p>
    <w:p w14:paraId="7633C56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 xml:space="preserve">an industry code (the </w:t>
      </w:r>
      <w:r w:rsidRPr="00041614">
        <w:rPr>
          <w:rFonts w:ascii="Times New Roman" w:hAnsi="Times New Roman"/>
          <w:b/>
          <w:i/>
          <w:sz w:val="22"/>
          <w:szCs w:val="20"/>
        </w:rPr>
        <w:t>new code</w:t>
      </w:r>
      <w:r w:rsidRPr="00041614">
        <w:rPr>
          <w:rFonts w:ascii="Times New Roman" w:hAnsi="Times New Roman"/>
          <w:sz w:val="22"/>
          <w:szCs w:val="20"/>
        </w:rPr>
        <w:t>) is registered under this Part; and</w:t>
      </w:r>
    </w:p>
    <w:p w14:paraId="3B2907E4" w14:textId="77777777" w:rsidR="00041614" w:rsidRPr="00041614" w:rsidRDefault="00041614" w:rsidP="00041614">
      <w:pPr>
        <w:keepNext/>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new code is expressed to replace another industry code;</w:t>
      </w:r>
    </w:p>
    <w:p w14:paraId="302078E4"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 xml:space="preserve">the other code ceases to be registered under this Part when the new code is registered. </w:t>
      </w:r>
    </w:p>
    <w:p w14:paraId="68CA8C1B"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An industry code also ceases to be registered when it is removed from the Register of industry codes under section 122A.</w:t>
      </w:r>
    </w:p>
    <w:p w14:paraId="3D6DDA60"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6" w:name="_Toc418083440"/>
      <w:r w:rsidRPr="00041614">
        <w:rPr>
          <w:rFonts w:ascii="Times New Roman" w:hAnsi="Times New Roman"/>
          <w:b/>
          <w:kern w:val="28"/>
          <w:sz w:val="24"/>
          <w:szCs w:val="20"/>
        </w:rPr>
        <w:t>118  ACMA may request codes</w:t>
      </w:r>
      <w:bookmarkEnd w:id="466"/>
    </w:p>
    <w:p w14:paraId="3A5F644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If the ACMA is satisfied that a body or association represents a particular section of the telecommunications industry, the telemarketing industry or the fax marketing industry, the ACMA may, by written notice given to the body or association, request the body or association to:</w:t>
      </w:r>
    </w:p>
    <w:p w14:paraId="7897A62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develop an industry code that applies to participants in that section of the industry and deals with one or more specified matters relating to the telecommunications activities, telemarketing activities or fax marketing activities, as the case may be, of those participants; and</w:t>
      </w:r>
    </w:p>
    <w:p w14:paraId="6CCD16C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(b)</w:t>
      </w:r>
      <w:r w:rsidRPr="00041614">
        <w:rPr>
          <w:rFonts w:ascii="Times New Roman" w:hAnsi="Times New Roman"/>
          <w:sz w:val="22"/>
          <w:szCs w:val="20"/>
        </w:rPr>
        <w:tab/>
        <w:t xml:space="preserve">give the ACMA a copy of the code within the period specified in the notice. </w:t>
      </w:r>
    </w:p>
    <w:p w14:paraId="12EED125"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The ACMA may request the body or association to develop the industry code to replace an earlier industry code that the Information Commissioner (exercising functions under the </w:t>
      </w:r>
      <w:r w:rsidRPr="00041614">
        <w:rPr>
          <w:rFonts w:ascii="Times New Roman" w:hAnsi="Times New Roman"/>
          <w:i/>
          <w:sz w:val="18"/>
          <w:szCs w:val="20"/>
        </w:rPr>
        <w:t>Privacy Act 1988</w:t>
      </w:r>
      <w:r w:rsidRPr="00041614">
        <w:rPr>
          <w:rFonts w:ascii="Times New Roman" w:hAnsi="Times New Roman"/>
          <w:sz w:val="18"/>
          <w:szCs w:val="20"/>
        </w:rPr>
        <w:t>) has advised the ACMA is inconsistent with the Australian Privacy Principles or a relevant registered APP code (as defined in that Act).</w:t>
      </w:r>
    </w:p>
    <w:p w14:paraId="6EDA22A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period specified in a notice under subsection (1) must run for at least 120 days.</w:t>
      </w:r>
    </w:p>
    <w:p w14:paraId="416F381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The ACMA must not make a request under subsection (1) in relation to a particular section of the telecommunications industry, the telemarketing industry or the fax marketing industry unless the ACMA is satisfied that:</w:t>
      </w:r>
    </w:p>
    <w:p w14:paraId="62C73D1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development of the code is necessary or convenient in order to:</w:t>
      </w:r>
    </w:p>
    <w:p w14:paraId="107F95CB"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provide appropriate community safeguards; or</w:t>
      </w:r>
    </w:p>
    <w:p w14:paraId="09A2389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otherwise deal with the performance or conduct of participants in that section of the industry; and</w:t>
      </w:r>
    </w:p>
    <w:p w14:paraId="2F61699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in the absence of the request, it is unlikely that an industry code would be developed within a reasonable period.</w:t>
      </w:r>
    </w:p>
    <w:p w14:paraId="471BDDC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ACMA must not make a request under subsection (1) in relation to a code if:</w:t>
      </w:r>
    </w:p>
    <w:p w14:paraId="1318100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code would deal with a matter referred to in paragraph 113(3)(f) (which relates to privacy); and</w:t>
      </w:r>
    </w:p>
    <w:p w14:paraId="1D2BDC9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compliance with the code would be likely to have the effect (whether direct or indirect) of requiring customer equipment, customer cabling, a telecommunications network or a facility:</w:t>
      </w:r>
    </w:p>
    <w:p w14:paraId="36BA9D51"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to have particular design features; or</w:t>
      </w:r>
    </w:p>
    <w:p w14:paraId="30320E0F"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to meet particular performance requirements.</w:t>
      </w:r>
    </w:p>
    <w:p w14:paraId="0B5222EE"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However, this rule does not apply if the ACMA is satisfied that the benefits to the community from the operation of the code would outweigh the costs of compliance with the code.</w:t>
      </w:r>
    </w:p>
    <w:p w14:paraId="6912B0E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(4AA)</w:t>
      </w:r>
      <w:r w:rsidRPr="00041614">
        <w:rPr>
          <w:rFonts w:ascii="Times New Roman" w:hAnsi="Times New Roman"/>
          <w:sz w:val="22"/>
          <w:szCs w:val="20"/>
        </w:rPr>
        <w:tab/>
        <w:t>The rule in subsection (4) does not apply to a code to the extent (if any) to which compliance with the code is likely to have the effect (whether direct or indirect) of requiring:</w:t>
      </w:r>
    </w:p>
    <w:p w14:paraId="0D19100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optical fibre lines; or</w:t>
      </w:r>
    </w:p>
    <w:p w14:paraId="1588469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facilities used, or for use, in or in connection with optical fibre lines;</w:t>
      </w:r>
    </w:p>
    <w:p w14:paraId="2808E03B"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to:</w:t>
      </w:r>
    </w:p>
    <w:p w14:paraId="778EF4F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have particular design features; or</w:t>
      </w:r>
    </w:p>
    <w:p w14:paraId="4257ECF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meet particular performance requirements.</w:t>
      </w:r>
    </w:p>
    <w:p w14:paraId="422B702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(4A)</w:t>
      </w:r>
      <w:r w:rsidRPr="00041614">
        <w:rPr>
          <w:rFonts w:ascii="Times New Roman" w:hAnsi="Times New Roman"/>
          <w:sz w:val="22"/>
          <w:szCs w:val="20"/>
        </w:rPr>
        <w:tab/>
        <w:t>The ACMA must consult the Information Commissioner before making a request under subsection (1) for the development of an industry code that could reasonably be expected to deal directly or indirectly with a matter dealt with by:</w:t>
      </w:r>
    </w:p>
    <w:p w14:paraId="177AD55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Australian Privacy Principles; or</w:t>
      </w:r>
    </w:p>
    <w:p w14:paraId="5E56915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 xml:space="preserve">other provisions of the </w:t>
      </w:r>
      <w:r w:rsidRPr="00041614">
        <w:rPr>
          <w:rFonts w:ascii="Times New Roman" w:hAnsi="Times New Roman"/>
          <w:i/>
          <w:sz w:val="22"/>
          <w:szCs w:val="20"/>
        </w:rPr>
        <w:t>Privacy Act 1988</w:t>
      </w:r>
      <w:r w:rsidRPr="00041614">
        <w:rPr>
          <w:rFonts w:ascii="Times New Roman" w:hAnsi="Times New Roman"/>
          <w:sz w:val="22"/>
          <w:szCs w:val="20"/>
        </w:rPr>
        <w:t xml:space="preserve"> relating to those principles; or</w:t>
      </w:r>
    </w:p>
    <w:p w14:paraId="3A13902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 xml:space="preserve">a registered APP code (as defined in that Act) that binds one or more participants in the section of the telecommunications industry, </w:t>
      </w:r>
      <w:r w:rsidRPr="00041614">
        <w:rPr>
          <w:rFonts w:ascii="Times New Roman" w:hAnsi="Times New Roman"/>
          <w:sz w:val="22"/>
          <w:szCs w:val="20"/>
        </w:rPr>
        <w:lastRenderedPageBreak/>
        <w:t>the telemarketing industry or the fax marketing industry to which the request relates; or</w:t>
      </w:r>
    </w:p>
    <w:p w14:paraId="1B8EDDB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provisions of that Act that relate to the registered APP code.</w:t>
      </w:r>
    </w:p>
    <w:p w14:paraId="52DBDD37"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The ACMA may vary a notice under subsection (1) by extending the period specified in the notice.</w:t>
      </w:r>
    </w:p>
    <w:p w14:paraId="57C261D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(6)</w:t>
      </w:r>
      <w:r w:rsidRPr="00041614">
        <w:rPr>
          <w:rFonts w:ascii="Times New Roman" w:hAnsi="Times New Roman"/>
          <w:sz w:val="22"/>
          <w:szCs w:val="20"/>
        </w:rPr>
        <w:tab/>
        <w:t xml:space="preserve">Subsection (5) does not, by implication, limit the application of subsection 33(3) of the </w:t>
      </w:r>
      <w:r w:rsidRPr="00041614">
        <w:rPr>
          <w:rFonts w:ascii="Times New Roman" w:hAnsi="Times New Roman"/>
          <w:i/>
          <w:sz w:val="22"/>
          <w:szCs w:val="20"/>
        </w:rPr>
        <w:t>Acts Interpretation Act 1901</w:t>
      </w:r>
      <w:r w:rsidRPr="00041614">
        <w:rPr>
          <w:rFonts w:ascii="Times New Roman" w:hAnsi="Times New Roman"/>
          <w:sz w:val="22"/>
          <w:szCs w:val="20"/>
        </w:rPr>
        <w:t>.</w:t>
      </w:r>
    </w:p>
    <w:p w14:paraId="5731682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(7)</w:t>
      </w:r>
      <w:r w:rsidRPr="00041614">
        <w:rPr>
          <w:rFonts w:ascii="Times New Roman" w:hAnsi="Times New Roman"/>
          <w:sz w:val="22"/>
          <w:szCs w:val="20"/>
        </w:rPr>
        <w:tab/>
        <w:t xml:space="preserve">A notice under subsection (1) may specify indicative targets for achieving progress in the development of the code (for example, a target of 60 days to develop a preliminary draft of the code). </w:t>
      </w:r>
    </w:p>
    <w:p w14:paraId="1D75663A"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7" w:name="_Toc418083441"/>
      <w:r w:rsidRPr="00041614">
        <w:rPr>
          <w:rFonts w:ascii="Times New Roman" w:hAnsi="Times New Roman"/>
          <w:b/>
          <w:kern w:val="28"/>
          <w:sz w:val="24"/>
          <w:szCs w:val="20"/>
        </w:rPr>
        <w:t>119  Publication of notice where no body or association represents a section of the telecommunications industry, the telemarketing industry or the fax marketing industry</w:t>
      </w:r>
      <w:bookmarkEnd w:id="467"/>
    </w:p>
    <w:p w14:paraId="3BDF928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 xml:space="preserve">If the ACMA is satisfied that a particular section of the telecommunications industry, the telemarketing industry or the fax marketing industry is not represented by a body or association, the ACMA may publish a notice in the </w:t>
      </w:r>
      <w:r w:rsidRPr="00041614">
        <w:rPr>
          <w:rFonts w:ascii="Times New Roman" w:hAnsi="Times New Roman"/>
          <w:i/>
          <w:sz w:val="22"/>
          <w:szCs w:val="20"/>
        </w:rPr>
        <w:t>Gazette</w:t>
      </w:r>
      <w:r w:rsidRPr="00041614">
        <w:rPr>
          <w:rFonts w:ascii="Times New Roman" w:hAnsi="Times New Roman"/>
          <w:sz w:val="22"/>
          <w:szCs w:val="20"/>
        </w:rPr>
        <w:t>:</w:t>
      </w:r>
    </w:p>
    <w:p w14:paraId="0B059F5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stating that, if such a body or association were to come into existence within a specified period, the ACMA would be likely to give a notice to that body or association under subsection 118(1); and</w:t>
      </w:r>
    </w:p>
    <w:p w14:paraId="71BD781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setting out the matter or matters relating to telecommunications activities, telemarketing activities or fax marketing activities, as the case may be, that would be likely to be specified in the subsection 118(1) notice.</w:t>
      </w:r>
    </w:p>
    <w:p w14:paraId="0CB59EE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period specified in a notice under subsection (1) must run for at least 60 days.</w:t>
      </w:r>
    </w:p>
    <w:p w14:paraId="2E9E61A2"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8" w:name="_Toc418083442"/>
      <w:r w:rsidRPr="00041614">
        <w:rPr>
          <w:rFonts w:ascii="Times New Roman" w:hAnsi="Times New Roman"/>
          <w:b/>
          <w:kern w:val="28"/>
          <w:sz w:val="24"/>
          <w:szCs w:val="20"/>
        </w:rPr>
        <w:t>119A  Variation of industry codes</w:t>
      </w:r>
      <w:bookmarkEnd w:id="468"/>
    </w:p>
    <w:p w14:paraId="0D14498A"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Scope</w:t>
      </w:r>
    </w:p>
    <w:p w14:paraId="5E55E3C2"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if:</w:t>
      </w:r>
    </w:p>
    <w:p w14:paraId="200F854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an industry code is registered under this Part; and</w:t>
      </w:r>
    </w:p>
    <w:p w14:paraId="0E78118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code:</w:t>
      </w:r>
    </w:p>
    <w:p w14:paraId="2F44B4F1"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applies to participants in a particular section of the telecommunications industry, the telemarketing industry or the fax marketing industry; and</w:t>
      </w:r>
    </w:p>
    <w:p w14:paraId="79DE600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deals with one or more matters relating to the telecommunications activities, telemarketing activities or fax marketing activities, as the case may be, of those participants; and</w:t>
      </w:r>
    </w:p>
    <w:p w14:paraId="631714F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body or association that developed the code gives a draft variation of the code to the ACMA; and</w:t>
      </w:r>
    </w:p>
    <w:p w14:paraId="078CC79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disregarding any provisions of the code that are not affected (whether directly or indirectly) by the variation, the ACMA is satisfied that:</w:t>
      </w:r>
    </w:p>
    <w:p w14:paraId="3ED29120"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lastRenderedPageBreak/>
        <w:tab/>
        <w:t>(i)</w:t>
      </w:r>
      <w:r w:rsidRPr="00041614">
        <w:rPr>
          <w:rFonts w:ascii="Times New Roman" w:hAnsi="Times New Roman"/>
          <w:sz w:val="22"/>
          <w:szCs w:val="20"/>
        </w:rPr>
        <w:tab/>
        <w:t>in a case where the code (as proposed to be varied) deals with matters of substantial relevance to the community—the code (as proposed to be varied) provides appropriate community safeguards for the matters covered by the code (as proposed to be varied); or</w:t>
      </w:r>
    </w:p>
    <w:p w14:paraId="2F16503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in a case where the code (as proposed to be varied) does not deal with matters of substantial relevance to the community—the code (as proposed to be varied) deals with the matters covered by the code (as proposed to be varied) in an appropriate manner; and</w:t>
      </w:r>
    </w:p>
    <w:p w14:paraId="061034C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except in a case where the draft variation is of a minor nature—the ACMA is satisfied that, before giving the copy of the draft variation to the ACMA:</w:t>
      </w:r>
    </w:p>
    <w:p w14:paraId="36C5BE9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body or association published the draft variation on its website and invited participants in that section of the industry to make submissions to the body or association about the draft variation within a specified period; and</w:t>
      </w:r>
    </w:p>
    <w:p w14:paraId="5B2D69D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body or association gave consideration to any submissions that were received from participants in that section of the industry within that period; and</w:t>
      </w:r>
    </w:p>
    <w:p w14:paraId="784245C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the body or association complied with the section 119B publication requirements in relation to any submissions that were received from participants in that section of the industry within that period; and</w:t>
      </w:r>
    </w:p>
    <w:p w14:paraId="217BD9F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(f)</w:t>
      </w:r>
      <w:r w:rsidRPr="00041614">
        <w:rPr>
          <w:rFonts w:ascii="Times New Roman" w:hAnsi="Times New Roman"/>
          <w:sz w:val="22"/>
          <w:szCs w:val="20"/>
        </w:rPr>
        <w:tab/>
        <w:t>except in a case where the draft variation is of a minor nature—the ACMA is satisfied that, before giving the copy of the draft variation to the ACMA:</w:t>
      </w:r>
    </w:p>
    <w:p w14:paraId="2766413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body or association published the draft variation on its website and invited members of the public to make submissions to the body or association about the draft variation within a specified period; and</w:t>
      </w:r>
    </w:p>
    <w:p w14:paraId="18E1667A"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body or association gave consideration to any submissions that were received from members of the public within that period; and</w:t>
      </w:r>
    </w:p>
    <w:p w14:paraId="1A251B5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the body or association complied with the section 119B publication requirements in relation to any submissions that were received from members of the public within that period; and</w:t>
      </w:r>
    </w:p>
    <w:p w14:paraId="1C964A8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(g)</w:t>
      </w:r>
      <w:r w:rsidRPr="00041614">
        <w:rPr>
          <w:rFonts w:ascii="Times New Roman" w:hAnsi="Times New Roman"/>
          <w:sz w:val="22"/>
          <w:szCs w:val="20"/>
        </w:rPr>
        <w:tab/>
        <w:t>the ACMA is satisfied that the ACCC has been consulted about the development of the draft variation; and</w:t>
      </w:r>
    </w:p>
    <w:p w14:paraId="4CB5A47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(h)</w:t>
      </w:r>
      <w:r w:rsidRPr="00041614">
        <w:rPr>
          <w:rFonts w:ascii="Times New Roman" w:hAnsi="Times New Roman"/>
          <w:sz w:val="22"/>
          <w:szCs w:val="20"/>
        </w:rPr>
        <w:tab/>
        <w:t>except in a case where:</w:t>
      </w:r>
    </w:p>
    <w:p w14:paraId="6F731C0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code (as proposed to be varied) applies to participants in a section of the telemarketing industry and deals with one or more matters relating to the telemarketing activities of those participants; or</w:t>
      </w:r>
    </w:p>
    <w:p w14:paraId="2E073E9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the code (as proposed to be varied) applies to participants in a section of the fax marketing industry and deals with one or more matters relating to the fax marketing activities of those participants;</w:t>
      </w:r>
    </w:p>
    <w:p w14:paraId="66F8FF0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ACMA is satisfied that the Telecommunications Industry Ombudsman has been consulted about the development of the draft variation; and</w:t>
      </w:r>
    </w:p>
    <w:p w14:paraId="795D412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(i)</w:t>
      </w:r>
      <w:r w:rsidRPr="00041614">
        <w:rPr>
          <w:rFonts w:ascii="Times New Roman" w:hAnsi="Times New Roman"/>
          <w:sz w:val="22"/>
          <w:szCs w:val="20"/>
        </w:rPr>
        <w:tab/>
        <w:t>the ACMA is satisfied that at least one body or association that represents the interests of consumers has been consulted about the development of the draft variation; and</w:t>
      </w:r>
    </w:p>
    <w:p w14:paraId="099A690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(j)</w:t>
      </w:r>
      <w:r w:rsidRPr="00041614">
        <w:rPr>
          <w:rFonts w:ascii="Times New Roman" w:hAnsi="Times New Roman"/>
          <w:sz w:val="22"/>
          <w:szCs w:val="20"/>
        </w:rPr>
        <w:tab/>
        <w:t>in a case where the draft variation deals with a matter set out in paragraph 113(3)(f)—the ACMA is satisfied that the Information Commissioner has been consulted by the body or association about the development of the draft variation before the body or association gave the copy of the draft variation to the ACMA; and</w:t>
      </w:r>
    </w:p>
    <w:p w14:paraId="03BC6AB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(k)</w:t>
      </w:r>
      <w:r w:rsidRPr="00041614">
        <w:rPr>
          <w:rFonts w:ascii="Times New Roman" w:hAnsi="Times New Roman"/>
          <w:sz w:val="22"/>
          <w:szCs w:val="20"/>
        </w:rPr>
        <w:tab/>
        <w:t>the ACMA has consulted the Information Commissioner about the draft variation and consequently believes that he or she is satisfied with the draft variation, if the draft variation deals directly or indirectly with a matter dealt with by:</w:t>
      </w:r>
    </w:p>
    <w:p w14:paraId="6E55DBC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Australian Privacy Principles; or</w:t>
      </w:r>
    </w:p>
    <w:p w14:paraId="6EDCFBB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other provisions of that Act that relate to those Principles; or</w:t>
      </w:r>
    </w:p>
    <w:p w14:paraId="2EB2868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an approved privacy code (as defined in that Act) that binds a participant in that section of the telecommunications industry, the telemarketing industry or the fax marketing industry; or</w:t>
      </w:r>
    </w:p>
    <w:p w14:paraId="11DF050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provisions of that Act that relate to the approved privacy code.</w:t>
      </w:r>
    </w:p>
    <w:p w14:paraId="33D0317C"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Approval of variation</w:t>
      </w:r>
    </w:p>
    <w:p w14:paraId="5507436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ACMA must, by written notice given to the body or association, approve the draft variation.</w:t>
      </w:r>
    </w:p>
    <w:p w14:paraId="12B0B83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If the ACMA approves the draft variation, the code is varied accordingly.</w:t>
      </w:r>
    </w:p>
    <w:p w14:paraId="2097862C"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Period for making submissions</w:t>
      </w:r>
    </w:p>
    <w:p w14:paraId="7003134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A period specified under subparagraph (1)(e)(i) or (1)(f)(i) must run for at least 30 days.</w:t>
      </w:r>
    </w:p>
    <w:p w14:paraId="4108A8EC"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69" w:name="_Toc418083443"/>
      <w:r w:rsidRPr="00041614">
        <w:rPr>
          <w:rFonts w:ascii="Times New Roman" w:hAnsi="Times New Roman"/>
          <w:b/>
          <w:kern w:val="28"/>
          <w:sz w:val="24"/>
          <w:szCs w:val="20"/>
        </w:rPr>
        <w:t>119B  Publication requirements for submissions</w:t>
      </w:r>
      <w:bookmarkEnd w:id="469"/>
    </w:p>
    <w:p w14:paraId="04453CE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sets out the publication requirements that apply to submissions that:</w:t>
      </w:r>
    </w:p>
    <w:p w14:paraId="6F3D40B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are about a particular draft; and</w:t>
      </w:r>
    </w:p>
    <w:p w14:paraId="1BE91A3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were received by a body or association as mentioned in:</w:t>
      </w:r>
    </w:p>
    <w:p w14:paraId="58A00A3F"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subparagraph 117(1)(e)(iii); or</w:t>
      </w:r>
    </w:p>
    <w:p w14:paraId="0EB5F14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subparagraph 117(1)(f)(iii); or</w:t>
      </w:r>
    </w:p>
    <w:p w14:paraId="74F6C55A"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subparagraph 119A(1)(e)(iii); or</w:t>
      </w:r>
    </w:p>
    <w:p w14:paraId="39FDF83E"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subparagraph 119A(1)(f)(iii).</w:t>
      </w:r>
    </w:p>
    <w:p w14:paraId="5F2947C0"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Publication of submissions</w:t>
      </w:r>
    </w:p>
    <w:p w14:paraId="4DB279C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body or association must publish those submissions on its website.</w:t>
      </w:r>
    </w:p>
    <w:p w14:paraId="52F77A4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Subsection (2) has effect subject to subsections (4) and (6).</w:t>
      </w:r>
    </w:p>
    <w:p w14:paraId="7B1AB03C"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Confidential or commercially sensitive material</w:t>
      </w:r>
    </w:p>
    <w:p w14:paraId="49E7E1B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If:</w:t>
      </w:r>
    </w:p>
    <w:p w14:paraId="5FCADCF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 submission made by a person consists wholly or partly of material that is claimed by the person to be confidential or commercially sensitive; and</w:t>
      </w:r>
    </w:p>
    <w:p w14:paraId="048B74A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(b)</w:t>
      </w:r>
      <w:r w:rsidRPr="00041614">
        <w:rPr>
          <w:rFonts w:ascii="Times New Roman" w:hAnsi="Times New Roman"/>
          <w:sz w:val="22"/>
          <w:szCs w:val="20"/>
        </w:rPr>
        <w:tab/>
        <w:t>the person has requested the body or association not to publish the material; and</w:t>
      </w:r>
    </w:p>
    <w:p w14:paraId="7507EA3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body or association is satisfied that the material is confidential or commercially sensitive;</w:t>
      </w:r>
    </w:p>
    <w:p w14:paraId="4BB1F463"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then:</w:t>
      </w:r>
    </w:p>
    <w:p w14:paraId="04F945B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if the submission consists wholly of the material—the body or association is not required to publish the submission on its website; or</w:t>
      </w:r>
    </w:p>
    <w:p w14:paraId="69F46FD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if:</w:t>
      </w:r>
    </w:p>
    <w:p w14:paraId="6172AC2B"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submission consists partly of the material; and</w:t>
      </w:r>
    </w:p>
    <w:p w14:paraId="0743E88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it is practicable for the body or association to remove the material from the submission;</w:t>
      </w:r>
    </w:p>
    <w:p w14:paraId="533B728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body or association may remove the material from the submission before publishing the submission on its website; or</w:t>
      </w:r>
    </w:p>
    <w:p w14:paraId="2AA4B04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(f)</w:t>
      </w:r>
      <w:r w:rsidRPr="00041614">
        <w:rPr>
          <w:rFonts w:ascii="Times New Roman" w:hAnsi="Times New Roman"/>
          <w:sz w:val="22"/>
          <w:szCs w:val="20"/>
        </w:rPr>
        <w:tab/>
        <w:t>if:</w:t>
      </w:r>
    </w:p>
    <w:p w14:paraId="0B0C7A5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submission consists partly of the material; and</w:t>
      </w:r>
    </w:p>
    <w:p w14:paraId="78BDA1C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it is not practicable for the body or association to remove the material from the submission;</w:t>
      </w:r>
    </w:p>
    <w:p w14:paraId="1DF386F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body or association is not required to publish the submission on its website.</w:t>
      </w:r>
    </w:p>
    <w:p w14:paraId="228E66F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If, under subsection (4), the body or association removes material from a submission before publishing the submission on its website, the body or association must publish on its website a statement to the effect that confidential or commercially sensitive material in the submission has not been published.</w:t>
      </w:r>
    </w:p>
    <w:p w14:paraId="4C10B70B"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Defamatory material</w:t>
      </w:r>
    </w:p>
    <w:p w14:paraId="384B0C5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(6)</w:t>
      </w:r>
      <w:r w:rsidRPr="00041614">
        <w:rPr>
          <w:rFonts w:ascii="Times New Roman" w:hAnsi="Times New Roman"/>
          <w:sz w:val="22"/>
          <w:szCs w:val="20"/>
        </w:rPr>
        <w:tab/>
        <w:t>If the body or association considers that a submission consists wholly or partly of material that is, or is likely to be, defamatory:</w:t>
      </w:r>
    </w:p>
    <w:p w14:paraId="3226572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if the submission consists wholly of the material—the body or association is not required to publish the submission on its website; or</w:t>
      </w:r>
    </w:p>
    <w:p w14:paraId="03EA475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if:</w:t>
      </w:r>
    </w:p>
    <w:p w14:paraId="4DBEA13A"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submission consists partly of the material; and</w:t>
      </w:r>
    </w:p>
    <w:p w14:paraId="253C0DC1"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it is practicable for the body or association to remove the material from the submission;</w:t>
      </w:r>
    </w:p>
    <w:p w14:paraId="0BE87D3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body or association may remove the material from the submission before publishing the submission on its website; or</w:t>
      </w:r>
    </w:p>
    <w:p w14:paraId="71190B4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if:</w:t>
      </w:r>
    </w:p>
    <w:p w14:paraId="68D2DAF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submission consists partly of the material; and</w:t>
      </w:r>
    </w:p>
    <w:p w14:paraId="7C2721D9"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it is not practicable for the body or association to remove the material from the submission;</w:t>
      </w:r>
    </w:p>
    <w:p w14:paraId="044A862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body or association is not required to publish the submission on its website.</w:t>
      </w:r>
    </w:p>
    <w:p w14:paraId="3A097DF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(7)</w:t>
      </w:r>
      <w:r w:rsidRPr="00041614">
        <w:rPr>
          <w:rFonts w:ascii="Times New Roman" w:hAnsi="Times New Roman"/>
          <w:sz w:val="22"/>
          <w:szCs w:val="20"/>
        </w:rPr>
        <w:tab/>
        <w:t>If, under subsection (6), the body or association removes material from a submission before publishing the submission on its website, the body or association must publish on its website a statement to the effect that material in the submission has not been published on the grounds that the material is, or is likely to be, defamatory.</w:t>
      </w:r>
    </w:p>
    <w:p w14:paraId="1932CAAC"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lastRenderedPageBreak/>
        <w:t>Statistical statement</w:t>
      </w:r>
    </w:p>
    <w:p w14:paraId="4C95DCB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(8)</w:t>
      </w:r>
      <w:r w:rsidRPr="00041614">
        <w:rPr>
          <w:rFonts w:ascii="Times New Roman" w:hAnsi="Times New Roman"/>
          <w:sz w:val="22"/>
          <w:szCs w:val="20"/>
        </w:rPr>
        <w:tab/>
        <w:t>The body or association must publish on its website a statement that sets out:</w:t>
      </w:r>
    </w:p>
    <w:p w14:paraId="2C40FCB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total number of those submissions; and</w:t>
      </w:r>
    </w:p>
    <w:p w14:paraId="542D01E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if a number of those submissions have not been published, or have been published in a modified form, because of subsection (4) or (6)—that number.</w:t>
      </w:r>
    </w:p>
    <w:p w14:paraId="5DAFD96E"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0" w:name="_Toc418083444"/>
      <w:r w:rsidRPr="00041614">
        <w:rPr>
          <w:rFonts w:ascii="Times New Roman" w:hAnsi="Times New Roman"/>
          <w:b/>
          <w:kern w:val="28"/>
          <w:sz w:val="24"/>
          <w:szCs w:val="20"/>
        </w:rPr>
        <w:t>120  Replacement of industry codes</w:t>
      </w:r>
      <w:bookmarkEnd w:id="470"/>
    </w:p>
    <w:p w14:paraId="3E35463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Changes to an industry code may be achieved by replacing the code instead of varying the code. However, this does not prevent the ACMA from removing under section 122A an industry code, or a provision of an industry code, from the Register of industry codes kept under this Part.</w:t>
      </w:r>
    </w:p>
    <w:p w14:paraId="1CD3DCD0"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1" w:name="_Toc418083445"/>
      <w:r w:rsidRPr="00041614">
        <w:rPr>
          <w:rFonts w:ascii="Times New Roman" w:hAnsi="Times New Roman"/>
          <w:b/>
          <w:kern w:val="28"/>
          <w:sz w:val="24"/>
          <w:szCs w:val="20"/>
        </w:rPr>
        <w:t>121  Directions about compliance with industry codes</w:t>
      </w:r>
      <w:bookmarkEnd w:id="471"/>
    </w:p>
    <w:p w14:paraId="06CAE4D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If:</w:t>
      </w:r>
    </w:p>
    <w:p w14:paraId="30B8E3D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 person is a participant in a particular section of the telecommunications industry, the telemarketing industry or the fax marketing industry; and</w:t>
      </w:r>
    </w:p>
    <w:p w14:paraId="4008A41D" w14:textId="77777777" w:rsidR="00041614" w:rsidRPr="00041614" w:rsidRDefault="00041614" w:rsidP="00041614">
      <w:pPr>
        <w:keepNext/>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ACMA is satisfied that the person has contravened or is contravening an industry code that:</w:t>
      </w:r>
    </w:p>
    <w:p w14:paraId="268CC88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is registered under this Part; and</w:t>
      </w:r>
    </w:p>
    <w:p w14:paraId="01F67ECD" w14:textId="77777777" w:rsidR="00041614" w:rsidRPr="00041614" w:rsidRDefault="00041614" w:rsidP="00041614">
      <w:pPr>
        <w:keepNext/>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applies to participants in that section of the industry;</w:t>
      </w:r>
    </w:p>
    <w:p w14:paraId="686B2D13"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 ACMA may, by written notice given to the person, direct the person to comply with the industry code.</w:t>
      </w:r>
    </w:p>
    <w:p w14:paraId="72AD315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(1A)</w:t>
      </w:r>
      <w:r w:rsidRPr="00041614">
        <w:rPr>
          <w:rFonts w:ascii="Times New Roman" w:hAnsi="Times New Roman"/>
          <w:sz w:val="22"/>
          <w:szCs w:val="20"/>
        </w:rPr>
        <w:tab/>
        <w:t xml:space="preserve">If the ACMA is satisfied that the contravention of the industry code relates directly or indirectly to a matter dealt with by the Australian Privacy Principles or by a registered APP code (within the meaning of the </w:t>
      </w:r>
      <w:r w:rsidRPr="00041614">
        <w:rPr>
          <w:rFonts w:ascii="Times New Roman" w:hAnsi="Times New Roman"/>
          <w:i/>
          <w:sz w:val="22"/>
          <w:szCs w:val="20"/>
        </w:rPr>
        <w:t>Privacy Act 1988</w:t>
      </w:r>
      <w:r w:rsidRPr="00041614">
        <w:rPr>
          <w:rFonts w:ascii="Times New Roman" w:hAnsi="Times New Roman"/>
          <w:sz w:val="22"/>
          <w:szCs w:val="20"/>
        </w:rPr>
        <w:t>), the ACMA must consult the Information Commissioner before giving the direction.</w:t>
      </w:r>
    </w:p>
    <w:p w14:paraId="794B5FC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(1B)</w:t>
      </w:r>
      <w:r w:rsidRPr="00041614">
        <w:rPr>
          <w:rFonts w:ascii="Times New Roman" w:hAnsi="Times New Roman"/>
          <w:sz w:val="22"/>
          <w:szCs w:val="20"/>
        </w:rPr>
        <w:tab/>
        <w:t>If:</w:t>
      </w:r>
    </w:p>
    <w:p w14:paraId="5BA6288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 xml:space="preserve">at a time when an industry code (the </w:t>
      </w:r>
      <w:r w:rsidRPr="00041614">
        <w:rPr>
          <w:rFonts w:ascii="Times New Roman" w:hAnsi="Times New Roman"/>
          <w:b/>
          <w:i/>
          <w:sz w:val="22"/>
          <w:szCs w:val="20"/>
        </w:rPr>
        <w:t>original code</w:t>
      </w:r>
      <w:r w:rsidRPr="00041614">
        <w:rPr>
          <w:rFonts w:ascii="Times New Roman" w:hAnsi="Times New Roman"/>
          <w:sz w:val="22"/>
          <w:szCs w:val="20"/>
        </w:rPr>
        <w:t>) was registered under this Part, a direction could have been given to a person under subsection (1) in respect of the original code; and</w:t>
      </w:r>
    </w:p>
    <w:p w14:paraId="106E087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original code has been replaced by another code that is registered under this Part; and</w:t>
      </w:r>
    </w:p>
    <w:p w14:paraId="6848220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person could have been given a direction under subsection (1) in respect of the replacement code, if the conduct concerned had occurred after the replacement code was registered;</w:t>
      </w:r>
    </w:p>
    <w:p w14:paraId="324F8F50"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then, during the period when the replacement code is registered under this Part, the person may be given a direction under subsection (1) in respect of the replacement code.</w:t>
      </w:r>
    </w:p>
    <w:p w14:paraId="3139BF3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A person must comply with a direction under subsection (1).</w:t>
      </w:r>
    </w:p>
    <w:p w14:paraId="0F68671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A person must not:</w:t>
      </w:r>
    </w:p>
    <w:p w14:paraId="334777E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aid, abet, counsel or procure a contravention of subsection (2); or</w:t>
      </w:r>
    </w:p>
    <w:p w14:paraId="57CED81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(b)</w:t>
      </w:r>
      <w:r w:rsidRPr="00041614">
        <w:rPr>
          <w:rFonts w:ascii="Times New Roman" w:hAnsi="Times New Roman"/>
          <w:sz w:val="22"/>
          <w:szCs w:val="20"/>
        </w:rPr>
        <w:tab/>
        <w:t>induce, whether by threats or promises or otherwise, a contravention of subsection (2); or</w:t>
      </w:r>
    </w:p>
    <w:p w14:paraId="3545C78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be in any way, directly or indirectly, knowingly concerned in, or party to, a contravention of subsection (2); or</w:t>
      </w:r>
    </w:p>
    <w:p w14:paraId="5104243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conspire with others to effect a contravention of subsection (2).</w:t>
      </w:r>
    </w:p>
    <w:p w14:paraId="26EF19B8" w14:textId="77777777" w:rsidR="00041614" w:rsidRPr="00041614" w:rsidRDefault="00041614" w:rsidP="00041614">
      <w:pPr>
        <w:keepNext/>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 xml:space="preserve">Subsections (2) and (3) are </w:t>
      </w:r>
      <w:r w:rsidRPr="00041614">
        <w:rPr>
          <w:rFonts w:ascii="Times New Roman" w:hAnsi="Times New Roman"/>
          <w:b/>
          <w:i/>
          <w:sz w:val="22"/>
          <w:szCs w:val="20"/>
        </w:rPr>
        <w:t>civil penalty provisions</w:t>
      </w:r>
      <w:r w:rsidRPr="00041614">
        <w:rPr>
          <w:rFonts w:ascii="Times New Roman" w:hAnsi="Times New Roman"/>
          <w:sz w:val="22"/>
          <w:szCs w:val="20"/>
        </w:rPr>
        <w:t>.</w:t>
      </w:r>
    </w:p>
    <w:p w14:paraId="3DBA6E5A"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Part 31 provides for pecuniary penalties for breaches of civil penalty provisions.</w:t>
      </w:r>
    </w:p>
    <w:p w14:paraId="3428499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 xml:space="preserve">A direction under subsection (1) is not a legislative instrument for the purposes of the </w:t>
      </w:r>
      <w:r w:rsidRPr="00041614">
        <w:rPr>
          <w:rFonts w:ascii="Times New Roman" w:hAnsi="Times New Roman"/>
          <w:i/>
          <w:sz w:val="22"/>
          <w:szCs w:val="20"/>
        </w:rPr>
        <w:t>Legislative Instruments Act 2003</w:t>
      </w:r>
      <w:r w:rsidRPr="00041614">
        <w:rPr>
          <w:rFonts w:ascii="Times New Roman" w:hAnsi="Times New Roman"/>
          <w:sz w:val="22"/>
          <w:szCs w:val="20"/>
        </w:rPr>
        <w:t>.</w:t>
      </w:r>
    </w:p>
    <w:p w14:paraId="089CDA7D"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2" w:name="_Toc418083446"/>
      <w:r w:rsidRPr="00041614">
        <w:rPr>
          <w:rFonts w:ascii="Times New Roman" w:hAnsi="Times New Roman"/>
          <w:b/>
          <w:kern w:val="28"/>
          <w:sz w:val="24"/>
          <w:szCs w:val="20"/>
        </w:rPr>
        <w:t>122  Formal warnings—breach of industry codes</w:t>
      </w:r>
      <w:bookmarkEnd w:id="472"/>
    </w:p>
    <w:p w14:paraId="0476A7B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to a person who is a participant in a particular section of the telecommunications industry, the telemarketing industry or the fax marketing industry.</w:t>
      </w:r>
    </w:p>
    <w:p w14:paraId="570C8A5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ACMA may issue a formal warning if the person contravenes an industry code registered under this Part.</w:t>
      </w:r>
    </w:p>
    <w:p w14:paraId="17251A2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 xml:space="preserve">If the ACMA is satisfied that the contravention of the industry code relates directly or indirectly to a matter dealt with by the Australian Privacy Principles or by a registered APP code (within the meaning of the </w:t>
      </w:r>
      <w:r w:rsidRPr="00041614">
        <w:rPr>
          <w:rFonts w:ascii="Times New Roman" w:hAnsi="Times New Roman"/>
          <w:i/>
          <w:sz w:val="22"/>
          <w:szCs w:val="20"/>
        </w:rPr>
        <w:t>Privacy Act 1988</w:t>
      </w:r>
      <w:r w:rsidRPr="00041614">
        <w:rPr>
          <w:rFonts w:ascii="Times New Roman" w:hAnsi="Times New Roman"/>
          <w:sz w:val="22"/>
          <w:szCs w:val="20"/>
        </w:rPr>
        <w:t>), the ACMA must consult the Information Commissioner before issuing the warning.</w:t>
      </w:r>
    </w:p>
    <w:p w14:paraId="05693A7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If:</w:t>
      </w:r>
    </w:p>
    <w:p w14:paraId="30F58B9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 xml:space="preserve">at a time when an industry code (the </w:t>
      </w:r>
      <w:r w:rsidRPr="00041614">
        <w:rPr>
          <w:rFonts w:ascii="Times New Roman" w:hAnsi="Times New Roman"/>
          <w:b/>
          <w:i/>
          <w:sz w:val="22"/>
          <w:szCs w:val="20"/>
        </w:rPr>
        <w:t>original code</w:t>
      </w:r>
      <w:r w:rsidRPr="00041614">
        <w:rPr>
          <w:rFonts w:ascii="Times New Roman" w:hAnsi="Times New Roman"/>
          <w:sz w:val="22"/>
          <w:szCs w:val="20"/>
        </w:rPr>
        <w:t>) was registered under this Part, a formal warning could have been given to a person under subsection (2) in respect of the original code; and</w:t>
      </w:r>
    </w:p>
    <w:p w14:paraId="56F963A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original code has been replaced by another code that is registered under this Part; and</w:t>
      </w:r>
    </w:p>
    <w:p w14:paraId="38707C7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person could have been given a formal warning under subsection (2) in respect of the replacement code, if the conduct concerned had occurred after the replacement code was registered;</w:t>
      </w:r>
    </w:p>
    <w:p w14:paraId="4E63E507"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then, during the period when the replacement code is registered under this Part, the person may be given a formal warning under subsection (2) in respect of the replacement code.</w:t>
      </w:r>
    </w:p>
    <w:p w14:paraId="69562AC9"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3" w:name="_Toc418083447"/>
      <w:r w:rsidRPr="00041614">
        <w:rPr>
          <w:rFonts w:ascii="Times New Roman" w:hAnsi="Times New Roman"/>
          <w:b/>
          <w:kern w:val="28"/>
          <w:sz w:val="24"/>
          <w:szCs w:val="20"/>
        </w:rPr>
        <w:t>122A  De</w:t>
      </w:r>
      <w:r w:rsidRPr="00041614">
        <w:rPr>
          <w:rFonts w:ascii="Times New Roman" w:hAnsi="Times New Roman"/>
          <w:b/>
          <w:kern w:val="28"/>
          <w:sz w:val="24"/>
          <w:szCs w:val="20"/>
        </w:rPr>
        <w:noBreakHyphen/>
        <w:t>registering industry codes and provisions of industry codes</w:t>
      </w:r>
      <w:bookmarkEnd w:id="473"/>
    </w:p>
    <w:p w14:paraId="29B45AC8" w14:textId="77777777" w:rsidR="00041614" w:rsidRPr="00041614" w:rsidRDefault="00041614" w:rsidP="00041614">
      <w:pPr>
        <w:keepNext/>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The ACMA may remove from the Register of industry codes kept under section 136:</w:t>
      </w:r>
    </w:p>
    <w:p w14:paraId="070B648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an industry code; or</w:t>
      </w:r>
    </w:p>
    <w:p w14:paraId="5B1B650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a provision of an industry code.</w:t>
      </w:r>
    </w:p>
    <w:p w14:paraId="44FFB847"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An industry code ceases to be registered when it is removed from the Register.</w:t>
      </w:r>
    </w:p>
    <w:p w14:paraId="214D438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If the ACMA removes a provision of an industry code from the Register, this Part has effect in relation to things occurring after the removal of the provision as if the code registered under this Part did not include the provision removed.</w:t>
      </w:r>
    </w:p>
    <w:p w14:paraId="2C2358D2" w14:textId="77777777" w:rsidR="00041614" w:rsidRPr="00041614" w:rsidRDefault="00041614" w:rsidP="00041614">
      <w:pPr>
        <w:keepNext/>
        <w:keepLines/>
        <w:pageBreakBefore/>
        <w:spacing w:before="240" w:after="0" w:line="240" w:lineRule="auto"/>
        <w:ind w:left="1134" w:hanging="1134"/>
        <w:outlineLvl w:val="2"/>
        <w:rPr>
          <w:rFonts w:ascii="Times New Roman" w:hAnsi="Times New Roman"/>
          <w:b/>
          <w:kern w:val="28"/>
          <w:sz w:val="28"/>
          <w:szCs w:val="20"/>
        </w:rPr>
      </w:pPr>
      <w:bookmarkStart w:id="474" w:name="_Toc418083448"/>
      <w:r w:rsidRPr="00041614">
        <w:rPr>
          <w:rFonts w:ascii="Times New Roman" w:hAnsi="Times New Roman"/>
          <w:b/>
          <w:kern w:val="28"/>
          <w:sz w:val="28"/>
          <w:szCs w:val="20"/>
        </w:rPr>
        <w:lastRenderedPageBreak/>
        <w:t>Division 5—Industry standards</w:t>
      </w:r>
      <w:bookmarkEnd w:id="474"/>
    </w:p>
    <w:p w14:paraId="63134987"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5" w:name="_Toc418083449"/>
      <w:r w:rsidRPr="00041614">
        <w:rPr>
          <w:rFonts w:ascii="Times New Roman" w:hAnsi="Times New Roman"/>
          <w:b/>
          <w:kern w:val="28"/>
          <w:sz w:val="24"/>
          <w:szCs w:val="20"/>
        </w:rPr>
        <w:t>123  ACMA may determine an industry standard if a request for an industry code is not complied with</w:t>
      </w:r>
      <w:bookmarkEnd w:id="475"/>
      <w:r w:rsidRPr="00041614">
        <w:rPr>
          <w:rFonts w:ascii="Times New Roman" w:hAnsi="Times New Roman"/>
          <w:b/>
          <w:kern w:val="28"/>
          <w:sz w:val="24"/>
          <w:szCs w:val="20"/>
        </w:rPr>
        <w:t xml:space="preserve"> </w:t>
      </w:r>
    </w:p>
    <w:p w14:paraId="75F8A6B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if:</w:t>
      </w:r>
    </w:p>
    <w:p w14:paraId="5F1FCEA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ACMA has made a request under subsection 118(1) in relation to the development of a code that is to:</w:t>
      </w:r>
    </w:p>
    <w:p w14:paraId="6247F4B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apply to participants in a particular section of the telecommunications industry, the telemarketing industry or the fax marketing industry; and</w:t>
      </w:r>
    </w:p>
    <w:p w14:paraId="7D833F8E"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deal with one or more matters relating to the telecommunications activities, telemarketing activities or fax marketing activities, as the case may be, of those participants; and</w:t>
      </w:r>
    </w:p>
    <w:p w14:paraId="2F2A243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any of the following conditions is satisfied:</w:t>
      </w:r>
    </w:p>
    <w:p w14:paraId="7EBB6482"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the request is not complied with;</w:t>
      </w:r>
    </w:p>
    <w:p w14:paraId="760BC0F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if indicative targets for achieving progress in the development of the code were specified in the notice of request—any of those indicative targets were not met;</w:t>
      </w:r>
    </w:p>
    <w:p w14:paraId="3BF6B9BE"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the request is complied with, but the ACMA subsequently refuses to register the code; and</w:t>
      </w:r>
    </w:p>
    <w:p w14:paraId="03408B2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ACMA is satisfied that it is necessary or convenient for the ACMA to determine a standard in order to:</w:t>
      </w:r>
    </w:p>
    <w:p w14:paraId="5E27754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provide appropriate community safeguards in relation to that matter or those matters; or</w:t>
      </w:r>
    </w:p>
    <w:p w14:paraId="2ACA9596"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otherwise regulate adequately participants in that section of the industry in relation to that matter or those matters.</w:t>
      </w:r>
    </w:p>
    <w:p w14:paraId="38D96AD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The ACMA may, by legislative instrument, determine a standard that applies to participants in that section of the industry and deals with that matter or those matters. A standard under this subsection is to be known as an </w:t>
      </w:r>
      <w:r w:rsidRPr="00041614">
        <w:rPr>
          <w:rFonts w:ascii="Times New Roman" w:hAnsi="Times New Roman"/>
          <w:b/>
          <w:i/>
          <w:sz w:val="22"/>
          <w:szCs w:val="20"/>
        </w:rPr>
        <w:t>industry standard</w:t>
      </w:r>
      <w:r w:rsidRPr="00041614">
        <w:rPr>
          <w:rFonts w:ascii="Times New Roman" w:hAnsi="Times New Roman"/>
          <w:sz w:val="22"/>
          <w:szCs w:val="20"/>
        </w:rPr>
        <w:t>.</w:t>
      </w:r>
    </w:p>
    <w:p w14:paraId="07E4A1A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Before determining an industry standard under this section, the ACMA must consult the body or association to whom the request mentioned in paragraph (1)(a) was made.</w:t>
      </w:r>
    </w:p>
    <w:p w14:paraId="691A84EB"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6" w:name="_Toc418083450"/>
      <w:r w:rsidRPr="00041614">
        <w:rPr>
          <w:rFonts w:ascii="Times New Roman" w:hAnsi="Times New Roman"/>
          <w:b/>
          <w:kern w:val="28"/>
          <w:sz w:val="24"/>
          <w:szCs w:val="20"/>
        </w:rPr>
        <w:t>124  ACMA may determine industry standard where no industry body or association formed</w:t>
      </w:r>
      <w:bookmarkEnd w:id="476"/>
    </w:p>
    <w:p w14:paraId="396A11E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if:</w:t>
      </w:r>
    </w:p>
    <w:p w14:paraId="353C846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ACMA is satisfied that a particular section of the telecommunications industry, the telemarketing industry or the fax marketing industry is not represented by a body or association; and</w:t>
      </w:r>
    </w:p>
    <w:p w14:paraId="6DB169C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ACMA has published a notice under subsection 119(1) relating to that section of the industry; and</w:t>
      </w:r>
    </w:p>
    <w:p w14:paraId="4A3477E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that notice:</w:t>
      </w:r>
    </w:p>
    <w:p w14:paraId="59E9773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states that, if such a body or association were to come into existence within a particular period, the ACMA would be likely to give a notice to that body or association under subsection 118(1); and</w:t>
      </w:r>
    </w:p>
    <w:p w14:paraId="6C8F7B0E"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lastRenderedPageBreak/>
        <w:tab/>
        <w:t>(ii)</w:t>
      </w:r>
      <w:r w:rsidRPr="00041614">
        <w:rPr>
          <w:rFonts w:ascii="Times New Roman" w:hAnsi="Times New Roman"/>
          <w:sz w:val="22"/>
          <w:szCs w:val="20"/>
        </w:rPr>
        <w:tab/>
        <w:t>sets out one or more matters relating to the telecommunications activities, telemarketing activities or fax marketing activities, as the case may be, of the participants in that section of the industry; and</w:t>
      </w:r>
    </w:p>
    <w:p w14:paraId="5770AE8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no such body or association comes into existence within that period; and</w:t>
      </w:r>
    </w:p>
    <w:p w14:paraId="18E3BD1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the ACMA is satisfied that it is necessary or convenient for the ACMA to determine a standard in order to:</w:t>
      </w:r>
    </w:p>
    <w:p w14:paraId="73DB0675"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provide appropriate community safeguards in relation to that matter or those matters; or</w:t>
      </w:r>
    </w:p>
    <w:p w14:paraId="3493992F"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otherwise regulate adequately participants in that section of the industry in relation to that matter or those matters.</w:t>
      </w:r>
    </w:p>
    <w:p w14:paraId="1D68827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The ACMA may, by legislative instrument, determine a standard that applies to participants in that section of the industry and deals with that matter or those matters. A standard under this subsection is to be known as an </w:t>
      </w:r>
      <w:r w:rsidRPr="00041614">
        <w:rPr>
          <w:rFonts w:ascii="Times New Roman" w:hAnsi="Times New Roman"/>
          <w:b/>
          <w:i/>
          <w:sz w:val="22"/>
          <w:szCs w:val="20"/>
        </w:rPr>
        <w:t>industry standard</w:t>
      </w:r>
      <w:r w:rsidRPr="00041614">
        <w:rPr>
          <w:rFonts w:ascii="Times New Roman" w:hAnsi="Times New Roman"/>
          <w:sz w:val="22"/>
          <w:szCs w:val="20"/>
        </w:rPr>
        <w:t>.</w:t>
      </w:r>
    </w:p>
    <w:p w14:paraId="4D6188F0"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7" w:name="_Toc418083451"/>
      <w:r w:rsidRPr="00041614">
        <w:rPr>
          <w:rFonts w:ascii="Times New Roman" w:hAnsi="Times New Roman"/>
          <w:b/>
          <w:kern w:val="28"/>
          <w:sz w:val="24"/>
          <w:szCs w:val="20"/>
        </w:rPr>
        <w:t>125  ACMA may determine industry standards where industry codes fail</w:t>
      </w:r>
      <w:bookmarkEnd w:id="477"/>
    </w:p>
    <w:p w14:paraId="31CF2F23" w14:textId="77777777" w:rsidR="00041614" w:rsidRPr="00041614" w:rsidRDefault="00041614" w:rsidP="00041614">
      <w:pPr>
        <w:keepNext/>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if:</w:t>
      </w:r>
    </w:p>
    <w:p w14:paraId="74502448" w14:textId="77777777" w:rsidR="00041614" w:rsidRPr="00041614" w:rsidRDefault="00041614" w:rsidP="00041614">
      <w:pPr>
        <w:keepNext/>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an industry code that:</w:t>
      </w:r>
    </w:p>
    <w:p w14:paraId="418CE4C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applies to participants in a particular section of the telecommunications industry, the telemarketing industry or the fax marketing industry; and</w:t>
      </w:r>
    </w:p>
    <w:p w14:paraId="5532760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deals with one or more matters relating to the telecommunications activities, telemarketing activities or fax marketing activities, as the case may be, of those participants;</w:t>
      </w:r>
    </w:p>
    <w:p w14:paraId="0BE7819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has been registered under this Part for at least 180 days; and</w:t>
      </w:r>
    </w:p>
    <w:p w14:paraId="4B62CEB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ACMA is satisfied that the code is deficient (as defined by subsection (7)); and</w:t>
      </w:r>
    </w:p>
    <w:p w14:paraId="28A185B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 xml:space="preserve">the ACMA has given the body or association that developed the code a written notice requesting that deficiencies in the code be addressed within a specified period; and </w:t>
      </w:r>
    </w:p>
    <w:p w14:paraId="5794B18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that period ends and the ACMA is satisfied that it is necessary or convenient for the ACMA to determine a standard that applies to participants in that section of the industry and deals with that matter or those matters.</w:t>
      </w:r>
    </w:p>
    <w:p w14:paraId="7E6A4F6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period specified in a notice under paragraph (1)(c) must run for at least 30 days.</w:t>
      </w:r>
    </w:p>
    <w:p w14:paraId="4F75A67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 xml:space="preserve">The ACMA may, by legislative instrument, determine a standard that applies to participants in that section of the industry and deals with that matter or those matters. A standard under this subsection is to be known as an </w:t>
      </w:r>
      <w:r w:rsidRPr="00041614">
        <w:rPr>
          <w:rFonts w:ascii="Times New Roman" w:hAnsi="Times New Roman"/>
          <w:b/>
          <w:i/>
          <w:sz w:val="22"/>
          <w:szCs w:val="20"/>
        </w:rPr>
        <w:t>industry standard</w:t>
      </w:r>
      <w:r w:rsidRPr="00041614">
        <w:rPr>
          <w:rFonts w:ascii="Times New Roman" w:hAnsi="Times New Roman"/>
          <w:sz w:val="22"/>
          <w:szCs w:val="20"/>
        </w:rPr>
        <w:t>.</w:t>
      </w:r>
    </w:p>
    <w:p w14:paraId="6F811BE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If the ACMA is satisfied that a body or association represents that section of the industry, the ACMA must consult the body or association before determining an industry standard under subsection (3).</w:t>
      </w:r>
    </w:p>
    <w:p w14:paraId="4717FE27"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(6)</w:t>
      </w:r>
      <w:r w:rsidRPr="00041614">
        <w:rPr>
          <w:rFonts w:ascii="Times New Roman" w:hAnsi="Times New Roman"/>
          <w:sz w:val="22"/>
          <w:szCs w:val="20"/>
        </w:rPr>
        <w:tab/>
        <w:t>The industry code ceases to be registered under this Part on the day on which the industry standard comes into force.</w:t>
      </w:r>
    </w:p>
    <w:p w14:paraId="7E7DEF9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lastRenderedPageBreak/>
        <w:tab/>
        <w:t>(7)</w:t>
      </w:r>
      <w:r w:rsidRPr="00041614">
        <w:rPr>
          <w:rFonts w:ascii="Times New Roman" w:hAnsi="Times New Roman"/>
          <w:sz w:val="22"/>
          <w:szCs w:val="20"/>
        </w:rPr>
        <w:tab/>
        <w:t xml:space="preserve">For the purposes of this section, an industry code that applies to participants in a particular section of the telecommunications industry, the telemarketing industry or the fax marketing industry and deals with one or more matters relating to the telecommunications activities,  telemarketing activities or fax marketing activities, as the case may be, of those participants is </w:t>
      </w:r>
      <w:r w:rsidRPr="00041614">
        <w:rPr>
          <w:rFonts w:ascii="Times New Roman" w:hAnsi="Times New Roman"/>
          <w:b/>
          <w:i/>
          <w:sz w:val="22"/>
          <w:szCs w:val="20"/>
        </w:rPr>
        <w:t xml:space="preserve">deficient </w:t>
      </w:r>
      <w:r w:rsidRPr="00041614">
        <w:rPr>
          <w:rFonts w:ascii="Times New Roman" w:hAnsi="Times New Roman"/>
          <w:sz w:val="22"/>
          <w:szCs w:val="20"/>
        </w:rPr>
        <w:t>if, and only if:</w:t>
      </w:r>
    </w:p>
    <w:p w14:paraId="405E44E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code is not operating to provide appropriate community safeguards in relation to that matter or those matters; or</w:t>
      </w:r>
    </w:p>
    <w:p w14:paraId="7B856CD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code is not otherwise operating to regulate adequately participants in that section of the industry in relation to that matter or those matters.</w:t>
      </w:r>
    </w:p>
    <w:p w14:paraId="48AD4CAC"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8" w:name="_Toc418083452"/>
      <w:r w:rsidRPr="00041614">
        <w:rPr>
          <w:rFonts w:ascii="Times New Roman" w:hAnsi="Times New Roman"/>
          <w:b/>
          <w:kern w:val="28"/>
          <w:sz w:val="24"/>
          <w:szCs w:val="20"/>
        </w:rPr>
        <w:t>125AA  ACMA must determine an industry standard if directed by the Minister</w:t>
      </w:r>
      <w:bookmarkEnd w:id="478"/>
    </w:p>
    <w:p w14:paraId="3B6330E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The ACMA may, by legislative instrument, determine a standard that:</w:t>
      </w:r>
    </w:p>
    <w:p w14:paraId="6759217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applies to participants in a particular section of the telecommunications industry; and</w:t>
      </w:r>
    </w:p>
    <w:p w14:paraId="616651A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deals with one or more matters relating to the telecommunications activities of those participants.</w:t>
      </w:r>
    </w:p>
    <w:p w14:paraId="2D57A267"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 1:</w:t>
      </w:r>
      <w:r w:rsidRPr="00041614">
        <w:rPr>
          <w:rFonts w:ascii="Times New Roman" w:hAnsi="Times New Roman"/>
          <w:sz w:val="18"/>
          <w:szCs w:val="20"/>
        </w:rPr>
        <w:tab/>
        <w:t>For examples of matters that may be dealt with by industry standards, see section 113.</w:t>
      </w:r>
    </w:p>
    <w:p w14:paraId="15FE1360"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 2:</w:t>
      </w:r>
      <w:r w:rsidRPr="00041614">
        <w:rPr>
          <w:rFonts w:ascii="Times New Roman" w:hAnsi="Times New Roman"/>
          <w:sz w:val="18"/>
          <w:szCs w:val="20"/>
        </w:rPr>
        <w:tab/>
        <w:t xml:space="preserve">For variation and revocation, see subsection 33(3) of the </w:t>
      </w:r>
      <w:r w:rsidRPr="00041614">
        <w:rPr>
          <w:rFonts w:ascii="Times New Roman" w:hAnsi="Times New Roman"/>
          <w:i/>
          <w:sz w:val="18"/>
          <w:szCs w:val="20"/>
        </w:rPr>
        <w:t>Acts Interpretation Act 1901</w:t>
      </w:r>
      <w:r w:rsidRPr="00041614">
        <w:rPr>
          <w:rFonts w:ascii="Times New Roman" w:hAnsi="Times New Roman"/>
          <w:sz w:val="18"/>
          <w:szCs w:val="20"/>
        </w:rPr>
        <w:t>.</w:t>
      </w:r>
    </w:p>
    <w:p w14:paraId="4F3A081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A standard under subsection (1) is to be known as an </w:t>
      </w:r>
      <w:r w:rsidRPr="00041614">
        <w:rPr>
          <w:rFonts w:ascii="Times New Roman" w:hAnsi="Times New Roman"/>
          <w:b/>
          <w:i/>
          <w:sz w:val="22"/>
          <w:szCs w:val="20"/>
        </w:rPr>
        <w:t>industry standard</w:t>
      </w:r>
      <w:r w:rsidRPr="00041614">
        <w:rPr>
          <w:rFonts w:ascii="Times New Roman" w:hAnsi="Times New Roman"/>
          <w:sz w:val="22"/>
          <w:szCs w:val="20"/>
        </w:rPr>
        <w:t>.</w:t>
      </w:r>
    </w:p>
    <w:p w14:paraId="005444E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If the ACMA is satisfied that a body or association represents that section of the telecommunications industry, the ACMA must consult the body or association before determining a standard under subsection (1).</w:t>
      </w:r>
    </w:p>
    <w:p w14:paraId="3BE310E7"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Minister may, in writing, direct the ACMA to:</w:t>
      </w:r>
    </w:p>
    <w:p w14:paraId="110C4B5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determine a standard under subsection (1) that:</w:t>
      </w:r>
    </w:p>
    <w:p w14:paraId="1FB3B75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applies to participants in a specified section of the telecommunications industry; and</w:t>
      </w:r>
    </w:p>
    <w:p w14:paraId="4C8CE01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deals with one or more specified matters relating to the telecommunications activities of those participants; and</w:t>
      </w:r>
    </w:p>
    <w:p w14:paraId="537EA72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do so within a specified period.</w:t>
      </w:r>
    </w:p>
    <w:p w14:paraId="3CDE7AB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The ACMA must not determine a standard under subsection (1) unless it does so in accordance with a direction under subsection (4).</w:t>
      </w:r>
    </w:p>
    <w:p w14:paraId="3E16EDF7"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79" w:name="_Toc418083453"/>
      <w:r w:rsidRPr="00041614">
        <w:rPr>
          <w:rFonts w:ascii="Times New Roman" w:hAnsi="Times New Roman"/>
          <w:b/>
          <w:kern w:val="28"/>
          <w:sz w:val="24"/>
          <w:szCs w:val="20"/>
        </w:rPr>
        <w:t>125A  ACMA must determine certain industry standards relating to the telemarketing industry</w:t>
      </w:r>
      <w:bookmarkEnd w:id="479"/>
    </w:p>
    <w:p w14:paraId="10B3DFA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 xml:space="preserve">Before the commencement of Part 2 of the </w:t>
      </w:r>
      <w:r w:rsidRPr="00041614">
        <w:rPr>
          <w:rFonts w:ascii="Times New Roman" w:hAnsi="Times New Roman"/>
          <w:i/>
          <w:sz w:val="22"/>
          <w:szCs w:val="20"/>
        </w:rPr>
        <w:t>Do Not Call Register Act 2006</w:t>
      </w:r>
      <w:r w:rsidRPr="00041614">
        <w:rPr>
          <w:rFonts w:ascii="Times New Roman" w:hAnsi="Times New Roman"/>
          <w:sz w:val="22"/>
          <w:szCs w:val="20"/>
        </w:rPr>
        <w:t>, the ACMA must, by legislative instrument, determine a standard that:</w:t>
      </w:r>
    </w:p>
    <w:p w14:paraId="5F97784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applies to participants in each section of the telemarketing industry; and</w:t>
      </w:r>
    </w:p>
    <w:p w14:paraId="50EE5CF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deals with the following matters relating to the telemarketing activities of those participants:</w:t>
      </w:r>
    </w:p>
    <w:p w14:paraId="63713E67"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lastRenderedPageBreak/>
        <w:tab/>
        <w:t>(i)</w:t>
      </w:r>
      <w:r w:rsidRPr="00041614">
        <w:rPr>
          <w:rFonts w:ascii="Times New Roman" w:hAnsi="Times New Roman"/>
          <w:sz w:val="22"/>
          <w:szCs w:val="20"/>
        </w:rPr>
        <w:tab/>
        <w:t>restricting the hours and/or days during which telemarketing calls may be made or attempted to be made;</w:t>
      </w:r>
    </w:p>
    <w:p w14:paraId="0A73EAF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requiring that a telemarketing call must contain specified information about the relevant participant;</w:t>
      </w:r>
    </w:p>
    <w:p w14:paraId="1C0A78C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requiring that, if a person other than the relevant participant caused a telemarketing call to be made, the call must contain specified information about the person who caused the call to be made;</w:t>
      </w:r>
    </w:p>
    <w:p w14:paraId="58C90D3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requiring the relevant participant to terminate a telemarketing call if a specified event happens;</w:t>
      </w:r>
    </w:p>
    <w:p w14:paraId="340DC2EA"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(v)</w:t>
      </w:r>
      <w:r w:rsidRPr="00041614">
        <w:rPr>
          <w:rFonts w:ascii="Times New Roman" w:hAnsi="Times New Roman"/>
          <w:sz w:val="22"/>
          <w:szCs w:val="20"/>
        </w:rPr>
        <w:tab/>
        <w:t>requiring the relevant participant to ensure that calling line identification is enabled in respect of the making of a telemarketing call; and</w:t>
      </w:r>
    </w:p>
    <w:p w14:paraId="0EFB581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 xml:space="preserve">is expressed to commence at the same time as the commencement of Part 2 of the </w:t>
      </w:r>
      <w:r w:rsidRPr="00041614">
        <w:rPr>
          <w:rFonts w:ascii="Times New Roman" w:hAnsi="Times New Roman"/>
          <w:i/>
          <w:sz w:val="22"/>
          <w:szCs w:val="20"/>
        </w:rPr>
        <w:t>Do Not Call Register Act 2006</w:t>
      </w:r>
      <w:r w:rsidRPr="00041614">
        <w:rPr>
          <w:rFonts w:ascii="Times New Roman" w:hAnsi="Times New Roman"/>
          <w:sz w:val="22"/>
          <w:szCs w:val="20"/>
        </w:rPr>
        <w:t>.</w:t>
      </w:r>
    </w:p>
    <w:p w14:paraId="5B70007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A standard under subsection (1) is to be known as an </w:t>
      </w:r>
      <w:r w:rsidRPr="00041614">
        <w:rPr>
          <w:rFonts w:ascii="Times New Roman" w:hAnsi="Times New Roman"/>
          <w:b/>
          <w:i/>
          <w:sz w:val="22"/>
          <w:szCs w:val="20"/>
        </w:rPr>
        <w:t>industry standard</w:t>
      </w:r>
      <w:r w:rsidRPr="00041614">
        <w:rPr>
          <w:rFonts w:ascii="Times New Roman" w:hAnsi="Times New Roman"/>
          <w:sz w:val="22"/>
          <w:szCs w:val="20"/>
        </w:rPr>
        <w:t>.</w:t>
      </w:r>
    </w:p>
    <w:p w14:paraId="72CF9ED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If the ACMA is satisfied that a body or association represents a section of the telemarketing industry, the ACMA must consult the body or association before determining a standard under subsection (1).</w:t>
      </w:r>
    </w:p>
    <w:p w14:paraId="220D795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 xml:space="preserve">The ACMA must ensure that a standard is in force under subsection (1) at all times after the commencement of Part 2 of the </w:t>
      </w:r>
      <w:r w:rsidRPr="00041614">
        <w:rPr>
          <w:rFonts w:ascii="Times New Roman" w:hAnsi="Times New Roman"/>
          <w:i/>
          <w:sz w:val="22"/>
          <w:szCs w:val="20"/>
        </w:rPr>
        <w:t>Do Not Call Register Act 2006</w:t>
      </w:r>
      <w:r w:rsidRPr="00041614">
        <w:rPr>
          <w:rFonts w:ascii="Times New Roman" w:hAnsi="Times New Roman"/>
          <w:sz w:val="22"/>
          <w:szCs w:val="20"/>
        </w:rPr>
        <w:t>.</w:t>
      </w:r>
    </w:p>
    <w:p w14:paraId="79F5EE46"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0" w:name="_Toc418083454"/>
      <w:r w:rsidRPr="00041614">
        <w:rPr>
          <w:rFonts w:ascii="Times New Roman" w:hAnsi="Times New Roman"/>
          <w:b/>
          <w:kern w:val="28"/>
          <w:sz w:val="24"/>
          <w:szCs w:val="20"/>
        </w:rPr>
        <w:t>125B  ACMA must determine certain industry standards relating to the fax marketing industry</w:t>
      </w:r>
      <w:bookmarkEnd w:id="480"/>
    </w:p>
    <w:p w14:paraId="6AC2FF8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The ACMA may, by legislative instrument, determine a standard that:</w:t>
      </w:r>
    </w:p>
    <w:p w14:paraId="55D26B1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applies to participants in each section of the fax marketing industry; and</w:t>
      </w:r>
    </w:p>
    <w:p w14:paraId="0463F56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deals with the following matters relating to the fax marketing activities of those participants:</w:t>
      </w:r>
    </w:p>
    <w:p w14:paraId="09CB31CA"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restricting the hours and/or days during which marketing faxes may be sent, or attempted to be sent, to an Australian number;</w:t>
      </w:r>
    </w:p>
    <w:p w14:paraId="5341C80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requiring that a marketing fax sent to an Australian number must contain specified information about the person who authorised the sending of the fax;</w:t>
      </w:r>
    </w:p>
    <w:p w14:paraId="1DA3B6D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restricting the total number of marketing faxes sent, or attempted to be sent, by the relevant participant during a particular period to a particular Australian number;</w:t>
      </w:r>
    </w:p>
    <w:p w14:paraId="2CAA5170"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 xml:space="preserve">requiring that, if a marketing fax sent to an Australian number is authorised by a particular person (the </w:t>
      </w:r>
      <w:r w:rsidRPr="00041614">
        <w:rPr>
          <w:rFonts w:ascii="Times New Roman" w:hAnsi="Times New Roman"/>
          <w:b/>
          <w:i/>
          <w:sz w:val="22"/>
          <w:szCs w:val="20"/>
        </w:rPr>
        <w:t>authorising person</w:t>
      </w:r>
      <w:r w:rsidRPr="00041614">
        <w:rPr>
          <w:rFonts w:ascii="Times New Roman" w:hAnsi="Times New Roman"/>
          <w:sz w:val="22"/>
          <w:szCs w:val="20"/>
        </w:rPr>
        <w:t>), the fax must contain information about how the recipient of the fax may send a message to the effect that the recipient does not want to receive any marketing faxes authorised by the authorising person.</w:t>
      </w:r>
    </w:p>
    <w:p w14:paraId="1D030EC8"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For variation and revocation, see subsection 33(3) of the </w:t>
      </w:r>
      <w:r w:rsidRPr="00041614">
        <w:rPr>
          <w:rFonts w:ascii="Times New Roman" w:hAnsi="Times New Roman"/>
          <w:i/>
          <w:sz w:val="18"/>
          <w:szCs w:val="20"/>
        </w:rPr>
        <w:t>Acts Interpretation Act 1901</w:t>
      </w:r>
      <w:r w:rsidRPr="00041614">
        <w:rPr>
          <w:rFonts w:ascii="Times New Roman" w:hAnsi="Times New Roman"/>
          <w:sz w:val="18"/>
          <w:szCs w:val="20"/>
        </w:rPr>
        <w:t>.</w:t>
      </w:r>
    </w:p>
    <w:p w14:paraId="195AC10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A standard under subsection (1) is to be known as an </w:t>
      </w:r>
      <w:r w:rsidRPr="00041614">
        <w:rPr>
          <w:rFonts w:ascii="Times New Roman" w:hAnsi="Times New Roman"/>
          <w:b/>
          <w:i/>
          <w:sz w:val="22"/>
          <w:szCs w:val="20"/>
        </w:rPr>
        <w:t>industry standard</w:t>
      </w:r>
      <w:r w:rsidRPr="00041614">
        <w:rPr>
          <w:rFonts w:ascii="Times New Roman" w:hAnsi="Times New Roman"/>
          <w:sz w:val="22"/>
          <w:szCs w:val="20"/>
        </w:rPr>
        <w:t>.</w:t>
      </w:r>
    </w:p>
    <w:p w14:paraId="49AB45F7"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lastRenderedPageBreak/>
        <w:tab/>
        <w:t>(3)</w:t>
      </w:r>
      <w:r w:rsidRPr="00041614">
        <w:rPr>
          <w:rFonts w:ascii="Times New Roman" w:hAnsi="Times New Roman"/>
          <w:sz w:val="22"/>
          <w:szCs w:val="20"/>
        </w:rPr>
        <w:tab/>
        <w:t>If the ACMA is satisfied that a body or association represents a section of the fax marketing industry, the ACMA must consult the body or association before determining a standard under subsection (1).</w:t>
      </w:r>
    </w:p>
    <w:p w14:paraId="4AA7DF3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ACMA must ensure that a standard is in force under subsection (1) at all times after the commencement of this section.</w:t>
      </w:r>
    </w:p>
    <w:p w14:paraId="252AE33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 xml:space="preserve">For the purposes of this section, </w:t>
      </w:r>
      <w:r w:rsidRPr="00041614">
        <w:rPr>
          <w:rFonts w:ascii="Times New Roman" w:hAnsi="Times New Roman"/>
          <w:b/>
          <w:i/>
          <w:sz w:val="22"/>
          <w:szCs w:val="20"/>
        </w:rPr>
        <w:t>authorise</w:t>
      </w:r>
      <w:r w:rsidRPr="00041614">
        <w:rPr>
          <w:rFonts w:ascii="Times New Roman" w:hAnsi="Times New Roman"/>
          <w:sz w:val="22"/>
          <w:szCs w:val="20"/>
        </w:rPr>
        <w:t xml:space="preserve">, when used in relation to a marketing fax, has the same meaning as in the </w:t>
      </w:r>
      <w:r w:rsidRPr="00041614">
        <w:rPr>
          <w:rFonts w:ascii="Times New Roman" w:hAnsi="Times New Roman"/>
          <w:i/>
          <w:sz w:val="22"/>
          <w:szCs w:val="20"/>
        </w:rPr>
        <w:t>Do Not Call Register Act 2006</w:t>
      </w:r>
      <w:r w:rsidRPr="00041614">
        <w:rPr>
          <w:rFonts w:ascii="Times New Roman" w:hAnsi="Times New Roman"/>
          <w:sz w:val="22"/>
          <w:szCs w:val="20"/>
        </w:rPr>
        <w:t>.</w:t>
      </w:r>
    </w:p>
    <w:p w14:paraId="795BDBEB"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1" w:name="_Toc418083455"/>
      <w:r w:rsidRPr="00041614">
        <w:rPr>
          <w:rFonts w:ascii="Times New Roman" w:hAnsi="Times New Roman"/>
          <w:b/>
          <w:kern w:val="28"/>
          <w:sz w:val="24"/>
          <w:szCs w:val="20"/>
        </w:rPr>
        <w:t>126  Industry standards not to be determined for certain privacy matters</w:t>
      </w:r>
      <w:bookmarkEnd w:id="481"/>
    </w:p>
    <w:p w14:paraId="5410BAE2"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ACMA must not determine an industry standard if:</w:t>
      </w:r>
    </w:p>
    <w:p w14:paraId="20DE5B5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standard would deal with a matter referred to in paragraph 113(3)(f) (which relates to privacy); and</w:t>
      </w:r>
    </w:p>
    <w:p w14:paraId="0D62563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compliance with the standard would be likely to have the effect (whether direct or indirect) of requiring customer equipment, customer cabling, a telecommunications network or a facility:</w:t>
      </w:r>
    </w:p>
    <w:p w14:paraId="10927EB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to have particular design features; or</w:t>
      </w:r>
    </w:p>
    <w:p w14:paraId="5F14A459"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to meet particular performance requirements.</w:t>
      </w:r>
    </w:p>
    <w:p w14:paraId="35F1D10F"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However, this rule does not apply if the ACMA is satisfied that the benefits to the community from the operation of the standard would outweigh the costs of compliance with the standard.</w:t>
      </w:r>
    </w:p>
    <w:p w14:paraId="18EE076A"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2" w:name="_Toc418083456"/>
      <w:r w:rsidRPr="00041614">
        <w:rPr>
          <w:rFonts w:ascii="Times New Roman" w:hAnsi="Times New Roman"/>
          <w:b/>
          <w:kern w:val="28"/>
          <w:sz w:val="24"/>
          <w:szCs w:val="20"/>
        </w:rPr>
        <w:t>128  Compliance with industry standards</w:t>
      </w:r>
      <w:bookmarkEnd w:id="482"/>
    </w:p>
    <w:p w14:paraId="7E9F349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If an industry standard that applies to participants in a particular section of the telecommunications industry, the telemarketing industry or the fax marketing industry is registered under this Part, each participant in that section of the industry must comply with the standard.</w:t>
      </w:r>
    </w:p>
    <w:p w14:paraId="3CB25356" w14:textId="77777777" w:rsidR="00041614" w:rsidRPr="00041614" w:rsidRDefault="00041614" w:rsidP="00041614">
      <w:pPr>
        <w:keepNext/>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A person must not:</w:t>
      </w:r>
    </w:p>
    <w:p w14:paraId="2033DE1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aid, abet, counsel or procure a contravention of subsection (1); or</w:t>
      </w:r>
    </w:p>
    <w:p w14:paraId="00DBD5A7"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induce, whether by threats or promises or otherwise, a contravention of subsection (1); or</w:t>
      </w:r>
    </w:p>
    <w:p w14:paraId="0CA00B1D"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be in any way, directly or indirectly, knowingly concerned in, or party to, a contravention of subsection (1); or</w:t>
      </w:r>
    </w:p>
    <w:p w14:paraId="72D707C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conspire with others to effect a contravention of subsection (1).</w:t>
      </w:r>
    </w:p>
    <w:p w14:paraId="3E52B4D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 xml:space="preserve">Subsections (1) and (2) are </w:t>
      </w:r>
      <w:r w:rsidRPr="00041614">
        <w:rPr>
          <w:rFonts w:ascii="Times New Roman" w:hAnsi="Times New Roman"/>
          <w:b/>
          <w:i/>
          <w:sz w:val="22"/>
          <w:szCs w:val="20"/>
        </w:rPr>
        <w:t>civil penalty provisions</w:t>
      </w:r>
      <w:r w:rsidRPr="00041614">
        <w:rPr>
          <w:rFonts w:ascii="Times New Roman" w:hAnsi="Times New Roman"/>
          <w:sz w:val="22"/>
          <w:szCs w:val="20"/>
        </w:rPr>
        <w:t>.</w:t>
      </w:r>
    </w:p>
    <w:p w14:paraId="05EFDC32"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Part 31 provides for pecuniary penalties for breaches of civil penalty provisions.</w:t>
      </w:r>
    </w:p>
    <w:p w14:paraId="5DDF1FF6"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3" w:name="_Toc418083457"/>
      <w:r w:rsidRPr="00041614">
        <w:rPr>
          <w:rFonts w:ascii="Times New Roman" w:hAnsi="Times New Roman"/>
          <w:b/>
          <w:kern w:val="28"/>
          <w:sz w:val="24"/>
          <w:szCs w:val="20"/>
        </w:rPr>
        <w:t>129  Formal warnings—breach of industry standards</w:t>
      </w:r>
      <w:bookmarkEnd w:id="483"/>
      <w:r w:rsidRPr="00041614">
        <w:rPr>
          <w:rFonts w:ascii="Times New Roman" w:hAnsi="Times New Roman"/>
          <w:b/>
          <w:kern w:val="28"/>
          <w:sz w:val="24"/>
          <w:szCs w:val="20"/>
        </w:rPr>
        <w:t xml:space="preserve"> </w:t>
      </w:r>
    </w:p>
    <w:p w14:paraId="53DA0A3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to a person who is a participant in a particular section of the telecommunications industry, the telemarketing industry or the fax marketing industry.</w:t>
      </w:r>
    </w:p>
    <w:p w14:paraId="6EC7B93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ACMA may issue a formal warning if the person contravenes an industry standard registered under this Part.</w:t>
      </w:r>
    </w:p>
    <w:p w14:paraId="7F1AA616"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4" w:name="_Toc418083458"/>
      <w:r w:rsidRPr="00041614">
        <w:rPr>
          <w:rFonts w:ascii="Times New Roman" w:hAnsi="Times New Roman"/>
          <w:b/>
          <w:kern w:val="28"/>
          <w:sz w:val="24"/>
          <w:szCs w:val="20"/>
        </w:rPr>
        <w:lastRenderedPageBreak/>
        <w:t>130  Variation of industry standards</w:t>
      </w:r>
      <w:bookmarkEnd w:id="484"/>
      <w:r w:rsidRPr="00041614">
        <w:rPr>
          <w:rFonts w:ascii="Times New Roman" w:hAnsi="Times New Roman"/>
          <w:b/>
          <w:kern w:val="28"/>
          <w:sz w:val="24"/>
          <w:szCs w:val="20"/>
        </w:rPr>
        <w:t xml:space="preserve"> </w:t>
      </w:r>
    </w:p>
    <w:p w14:paraId="3C62921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The ACMA may, by legislative instrument, vary an industry standard that applies to participants in a particular section of the telecommunications industry, the telemarketing industry or the fax marketing industry if it is satisfied that it is necessary or convenient to do so to:</w:t>
      </w:r>
    </w:p>
    <w:p w14:paraId="2C8BCFE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 xml:space="preserve">provide appropriate community safeguards in relation to one or more matters relating to the telecommunications activities, telemarketing activities or fax marketing activities, as the case may be, of those participants; and </w:t>
      </w:r>
    </w:p>
    <w:p w14:paraId="0AB2BBD0" w14:textId="77777777" w:rsidR="00041614" w:rsidRPr="00041614" w:rsidRDefault="00041614" w:rsidP="00041614">
      <w:pPr>
        <w:keepLines/>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otherwise regulate adequately those participants in relation to one or more matters relating to the telecommunications activities, telemarketing activities or fax marketing activities, as the case may be, of those participants.</w:t>
      </w:r>
    </w:p>
    <w:p w14:paraId="05DBE293" w14:textId="77777777" w:rsidR="00041614" w:rsidRPr="00041614" w:rsidRDefault="00041614" w:rsidP="00041614">
      <w:pPr>
        <w:keepLines/>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The ACMA may be satisfied that it is necessary or convenient to vary an industry standard that is inconsistent with the Australian Privacy Principles or a registered APP code (as defined in the </w:t>
      </w:r>
      <w:r w:rsidRPr="00041614">
        <w:rPr>
          <w:rFonts w:ascii="Times New Roman" w:hAnsi="Times New Roman"/>
          <w:i/>
          <w:sz w:val="18"/>
          <w:szCs w:val="20"/>
        </w:rPr>
        <w:t>Privacy Act 1988</w:t>
      </w:r>
      <w:r w:rsidRPr="00041614">
        <w:rPr>
          <w:rFonts w:ascii="Times New Roman" w:hAnsi="Times New Roman"/>
          <w:sz w:val="18"/>
          <w:szCs w:val="20"/>
        </w:rPr>
        <w:t>), following advice given by the Information Commissioner in the exercise of his or her functions under that Act.</w:t>
      </w:r>
    </w:p>
    <w:p w14:paraId="5F8FC3DE"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5" w:name="_Toc418083459"/>
      <w:r w:rsidRPr="00041614">
        <w:rPr>
          <w:rFonts w:ascii="Times New Roman" w:hAnsi="Times New Roman"/>
          <w:b/>
          <w:kern w:val="28"/>
          <w:sz w:val="24"/>
          <w:szCs w:val="20"/>
        </w:rPr>
        <w:t>131  Revocation of industry standards</w:t>
      </w:r>
      <w:bookmarkEnd w:id="485"/>
    </w:p>
    <w:p w14:paraId="295A0AC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The ACMA may, by legislative instrument, revoke an industry standard.</w:t>
      </w:r>
    </w:p>
    <w:p w14:paraId="7E5BE95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If:</w:t>
      </w:r>
    </w:p>
    <w:p w14:paraId="27140DF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an industry code is registered under this Part; and</w:t>
      </w:r>
    </w:p>
    <w:p w14:paraId="4768A8B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code is expressed to replace an industry standard;</w:t>
      </w:r>
    </w:p>
    <w:p w14:paraId="151CD16B"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 industry standard is revoked when the code is registered.</w:t>
      </w:r>
    </w:p>
    <w:p w14:paraId="0D9AA90D"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6" w:name="_Toc418083460"/>
      <w:r w:rsidRPr="00041614">
        <w:rPr>
          <w:rFonts w:ascii="Times New Roman" w:hAnsi="Times New Roman"/>
          <w:b/>
          <w:kern w:val="28"/>
          <w:sz w:val="24"/>
          <w:szCs w:val="20"/>
        </w:rPr>
        <w:t>132  Public consultation on industry standards</w:t>
      </w:r>
      <w:bookmarkEnd w:id="486"/>
    </w:p>
    <w:p w14:paraId="01540D8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Before determining or varying an industry standard, the ACMA must:</w:t>
      </w:r>
    </w:p>
    <w:p w14:paraId="1097913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cause to be published in a newspaper circulating in each State a notice:</w:t>
      </w:r>
    </w:p>
    <w:p w14:paraId="21A9D188"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stating that the ACMA has prepared a draft of the industry standard or variation; and</w:t>
      </w:r>
    </w:p>
    <w:p w14:paraId="0AD80D6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stating that free copies of the draft will be made available to members of the public during normal office hours throughout the period specified in the notice; and</w:t>
      </w:r>
    </w:p>
    <w:p w14:paraId="1D8648E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specifying the place or places where the copies will be available; and</w:t>
      </w:r>
    </w:p>
    <w:p w14:paraId="43A85F89"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inviting interested persons to give written comments about the draft to the ACMA within the period specified under subparagraph (ii); and</w:t>
      </w:r>
    </w:p>
    <w:p w14:paraId="2D65EC2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make copies of the draft available in accordance with the notice.</w:t>
      </w:r>
    </w:p>
    <w:p w14:paraId="3A20E94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period specified under subparagraph (1)(a)(ii) must run for at least 30 days after the publication of the notice.</w:t>
      </w:r>
    </w:p>
    <w:p w14:paraId="1BA3597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Subsection (1) does not apply to a variation if the variation is of a minor nature.</w:t>
      </w:r>
    </w:p>
    <w:p w14:paraId="64AADA1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 xml:space="preserve">If interested persons have given comments in accordance with a notice under subsection (1), the ACMA must have due regard to those </w:t>
      </w:r>
      <w:r w:rsidRPr="00041614">
        <w:rPr>
          <w:rFonts w:ascii="Times New Roman" w:hAnsi="Times New Roman"/>
          <w:sz w:val="22"/>
          <w:szCs w:val="20"/>
        </w:rPr>
        <w:lastRenderedPageBreak/>
        <w:t>comments in determining or varying the industry standard, as the case may be.</w:t>
      </w:r>
    </w:p>
    <w:p w14:paraId="097D1A8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In this section:</w:t>
      </w:r>
    </w:p>
    <w:p w14:paraId="1F7001D7" w14:textId="77777777" w:rsidR="00041614" w:rsidRPr="00041614" w:rsidRDefault="00041614" w:rsidP="00041614">
      <w:pPr>
        <w:spacing w:before="180" w:after="0" w:line="240" w:lineRule="auto"/>
        <w:ind w:left="1134"/>
        <w:rPr>
          <w:rFonts w:ascii="Times New Roman" w:hAnsi="Times New Roman"/>
          <w:sz w:val="22"/>
          <w:szCs w:val="20"/>
        </w:rPr>
      </w:pPr>
      <w:r w:rsidRPr="00041614">
        <w:rPr>
          <w:rFonts w:ascii="Times New Roman" w:hAnsi="Times New Roman"/>
          <w:b/>
          <w:i/>
          <w:sz w:val="22"/>
          <w:szCs w:val="20"/>
        </w:rPr>
        <w:t>State</w:t>
      </w:r>
      <w:r w:rsidRPr="00041614">
        <w:rPr>
          <w:rFonts w:ascii="Times New Roman" w:hAnsi="Times New Roman"/>
          <w:sz w:val="22"/>
          <w:szCs w:val="20"/>
        </w:rPr>
        <w:t xml:space="preserve"> includes the </w:t>
      </w:r>
      <w:smartTag w:uri="urn:schemas-microsoft-com:office:smarttags" w:element="State">
        <w:smartTag w:uri="urn:schemas-microsoft-com:office:smarttags" w:element="place">
          <w:r w:rsidRPr="00041614">
            <w:rPr>
              <w:rFonts w:ascii="Times New Roman" w:hAnsi="Times New Roman"/>
              <w:sz w:val="22"/>
              <w:szCs w:val="20"/>
            </w:rPr>
            <w:t>Northern Territory</w:t>
          </w:r>
        </w:smartTag>
      </w:smartTag>
      <w:r w:rsidRPr="00041614">
        <w:rPr>
          <w:rFonts w:ascii="Times New Roman" w:hAnsi="Times New Roman"/>
          <w:sz w:val="22"/>
          <w:szCs w:val="20"/>
        </w:rPr>
        <w:t xml:space="preserve"> and the </w:t>
      </w:r>
      <w:smartTag w:uri="urn:schemas-microsoft-com:office:smarttags" w:element="State">
        <w:smartTag w:uri="urn:schemas-microsoft-com:office:smarttags" w:element="place">
          <w:r w:rsidRPr="00041614">
            <w:rPr>
              <w:rFonts w:ascii="Times New Roman" w:hAnsi="Times New Roman"/>
              <w:sz w:val="22"/>
              <w:szCs w:val="20"/>
            </w:rPr>
            <w:t>Australian Capital Territory</w:t>
          </w:r>
        </w:smartTag>
      </w:smartTag>
      <w:r w:rsidRPr="00041614">
        <w:rPr>
          <w:rFonts w:ascii="Times New Roman" w:hAnsi="Times New Roman"/>
          <w:sz w:val="22"/>
          <w:szCs w:val="20"/>
        </w:rPr>
        <w:t>.</w:t>
      </w:r>
    </w:p>
    <w:p w14:paraId="2703698D"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7" w:name="_Toc418083461"/>
      <w:r w:rsidRPr="00041614">
        <w:rPr>
          <w:rFonts w:ascii="Times New Roman" w:hAnsi="Times New Roman"/>
          <w:b/>
          <w:kern w:val="28"/>
          <w:sz w:val="24"/>
          <w:szCs w:val="20"/>
        </w:rPr>
        <w:t>133  Consultation with ACCC and the Telecommunications Industry Ombudsman</w:t>
      </w:r>
      <w:bookmarkEnd w:id="487"/>
    </w:p>
    <w:p w14:paraId="48F514E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Before determining or varying an industry standard, the ACMA must consult the ACCC.</w:t>
      </w:r>
    </w:p>
    <w:p w14:paraId="7D2F8AC0"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(1A)</w:t>
      </w:r>
      <w:r w:rsidRPr="00041614">
        <w:rPr>
          <w:rFonts w:ascii="Times New Roman" w:hAnsi="Times New Roman"/>
          <w:sz w:val="22"/>
          <w:szCs w:val="20"/>
        </w:rPr>
        <w:tab/>
        <w:t>Before determining or varying an industry standard (other than an industry standard under section 125A or 125B), the ACMA must consult the Telecommunications Industry Ombudsman.</w:t>
      </w:r>
    </w:p>
    <w:p w14:paraId="23EAE7B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Before revoking an industry standard under subsection 131(1), the ACMA must consult the ACCC and the Telecommunications Industry Ombudsman.</w:t>
      </w:r>
    </w:p>
    <w:p w14:paraId="05C8ADB4"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8" w:name="_Toc418083462"/>
      <w:r w:rsidRPr="00041614">
        <w:rPr>
          <w:rFonts w:ascii="Times New Roman" w:hAnsi="Times New Roman"/>
          <w:b/>
          <w:kern w:val="28"/>
          <w:sz w:val="24"/>
          <w:szCs w:val="20"/>
        </w:rPr>
        <w:t>134  Consultation with Information Commissioner</w:t>
      </w:r>
      <w:bookmarkEnd w:id="488"/>
    </w:p>
    <w:p w14:paraId="7EBC91C7"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This section applies to an industry standard that deals with a matter set out in paragraph 113(3)(f), including a matter dealt with by:</w:t>
      </w:r>
    </w:p>
    <w:p w14:paraId="233172C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Australian Privacy Principles; or</w:t>
      </w:r>
    </w:p>
    <w:p w14:paraId="3B0C52D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 xml:space="preserve">other provisions of the </w:t>
      </w:r>
      <w:r w:rsidRPr="00041614">
        <w:rPr>
          <w:rFonts w:ascii="Times New Roman" w:hAnsi="Times New Roman"/>
          <w:i/>
          <w:sz w:val="22"/>
          <w:szCs w:val="20"/>
        </w:rPr>
        <w:t>Privacy Act 1988</w:t>
      </w:r>
      <w:r w:rsidRPr="00041614">
        <w:rPr>
          <w:rFonts w:ascii="Times New Roman" w:hAnsi="Times New Roman"/>
          <w:sz w:val="22"/>
          <w:szCs w:val="20"/>
        </w:rPr>
        <w:t xml:space="preserve"> relating to those principles; or</w:t>
      </w:r>
    </w:p>
    <w:p w14:paraId="62D3F90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a registered APP code (as defined in that Act); or</w:t>
      </w:r>
    </w:p>
    <w:p w14:paraId="7906187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provisions of that Act that relate to a registered APP code.</w:t>
      </w:r>
    </w:p>
    <w:p w14:paraId="79E6C9D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Before determining or varying the industry standard, the ACMA must consult the Information Commissioner.</w:t>
      </w:r>
    </w:p>
    <w:p w14:paraId="25DAAB0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Before revoking the industry standard under subsection 131(1), the ACMA must consult the Information Commissioner.</w:t>
      </w:r>
    </w:p>
    <w:p w14:paraId="50DF141D"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bookmarkStart w:id="489" w:name="_Toc418083463"/>
      <w:r w:rsidRPr="00041614">
        <w:rPr>
          <w:rFonts w:ascii="Times New Roman" w:hAnsi="Times New Roman"/>
          <w:b/>
          <w:kern w:val="28"/>
          <w:sz w:val="24"/>
          <w:szCs w:val="20"/>
        </w:rPr>
        <w:t>135  Consultation with consumer body</w:t>
      </w:r>
      <w:bookmarkEnd w:id="489"/>
    </w:p>
    <w:p w14:paraId="191372B5"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Before determining or varying an industry standard, the ACMA must consult at least one body or association that represents the interests of consumers.</w:t>
      </w:r>
    </w:p>
    <w:p w14:paraId="1A2438E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Before revoking an industry standard under subsection 131(1), the ACMA must consult at least one body or association that represents the interests of consumers.</w:t>
      </w:r>
    </w:p>
    <w:p w14:paraId="7AA7199A"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r w:rsidRPr="00041614">
        <w:rPr>
          <w:rFonts w:ascii="Times New Roman" w:hAnsi="Times New Roman"/>
          <w:b/>
          <w:kern w:val="28"/>
          <w:sz w:val="24"/>
          <w:szCs w:val="20"/>
        </w:rPr>
        <w:t>135A  Consultation with the States and Territories</w:t>
      </w:r>
    </w:p>
    <w:p w14:paraId="778E318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Before determining or varying an industry standard under section 125A or 125B, the ACMA must consult:</w:t>
      </w:r>
    </w:p>
    <w:p w14:paraId="250F5A1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each State; and</w:t>
      </w:r>
    </w:p>
    <w:p w14:paraId="58FF1D6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 xml:space="preserve">the </w:t>
      </w:r>
      <w:smartTag w:uri="urn:schemas-microsoft-com:office:smarttags" w:element="State">
        <w:smartTag w:uri="urn:schemas-microsoft-com:office:smarttags" w:element="place">
          <w:r w:rsidRPr="00041614">
            <w:rPr>
              <w:rFonts w:ascii="Times New Roman" w:hAnsi="Times New Roman"/>
              <w:sz w:val="22"/>
              <w:szCs w:val="20"/>
            </w:rPr>
            <w:t>Australian Capital Territory</w:t>
          </w:r>
        </w:smartTag>
      </w:smartTag>
      <w:r w:rsidRPr="00041614">
        <w:rPr>
          <w:rFonts w:ascii="Times New Roman" w:hAnsi="Times New Roman"/>
          <w:sz w:val="22"/>
          <w:szCs w:val="20"/>
        </w:rPr>
        <w:t>; and</w:t>
      </w:r>
    </w:p>
    <w:p w14:paraId="4E1819D0"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 xml:space="preserve">the </w:t>
      </w:r>
      <w:smartTag w:uri="urn:schemas-microsoft-com:office:smarttags" w:element="State">
        <w:smartTag w:uri="urn:schemas-microsoft-com:office:smarttags" w:element="place">
          <w:r w:rsidRPr="00041614">
            <w:rPr>
              <w:rFonts w:ascii="Times New Roman" w:hAnsi="Times New Roman"/>
              <w:sz w:val="22"/>
              <w:szCs w:val="20"/>
            </w:rPr>
            <w:t>Northern Territory</w:t>
          </w:r>
        </w:smartTag>
      </w:smartTag>
      <w:r w:rsidRPr="00041614">
        <w:rPr>
          <w:rFonts w:ascii="Times New Roman" w:hAnsi="Times New Roman"/>
          <w:sz w:val="22"/>
          <w:szCs w:val="20"/>
        </w:rPr>
        <w:t>.</w:t>
      </w:r>
    </w:p>
    <w:p w14:paraId="0DA32425" w14:textId="77777777" w:rsidR="00041614" w:rsidRPr="00041614" w:rsidRDefault="00041614" w:rsidP="00041614">
      <w:pPr>
        <w:keepNext/>
        <w:keepLines/>
        <w:pageBreakBefore/>
        <w:spacing w:before="240" w:after="0" w:line="240" w:lineRule="auto"/>
        <w:ind w:left="1134" w:hanging="1134"/>
        <w:outlineLvl w:val="2"/>
        <w:rPr>
          <w:rFonts w:ascii="Times New Roman" w:hAnsi="Times New Roman"/>
          <w:b/>
          <w:kern w:val="28"/>
          <w:sz w:val="28"/>
          <w:szCs w:val="20"/>
        </w:rPr>
      </w:pPr>
      <w:r w:rsidRPr="00041614">
        <w:rPr>
          <w:rFonts w:ascii="Times New Roman" w:hAnsi="Times New Roman"/>
          <w:b/>
          <w:kern w:val="28"/>
          <w:sz w:val="28"/>
          <w:szCs w:val="20"/>
        </w:rPr>
        <w:lastRenderedPageBreak/>
        <w:t>Division 6—Register of industry codes and industry standards</w:t>
      </w:r>
    </w:p>
    <w:p w14:paraId="46AE6247"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r w:rsidRPr="00041614">
        <w:rPr>
          <w:rFonts w:ascii="Times New Roman" w:hAnsi="Times New Roman"/>
          <w:b/>
          <w:kern w:val="28"/>
          <w:sz w:val="24"/>
          <w:szCs w:val="20"/>
        </w:rPr>
        <w:t>136  ACMA to maintain Register of industry codes and industry standards</w:t>
      </w:r>
    </w:p>
    <w:p w14:paraId="2AFD188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The ACMA is to maintain a Register in which the ACMA includes:</w:t>
      </w:r>
    </w:p>
    <w:p w14:paraId="4AA2F1F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all industry codes required to be registered under this Part, as those codes are in force from time to time; and</w:t>
      </w:r>
    </w:p>
    <w:p w14:paraId="6829ABC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all industry standards; and</w:t>
      </w:r>
    </w:p>
    <w:p w14:paraId="21AF043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all requests made under section 118; and</w:t>
      </w:r>
    </w:p>
    <w:p w14:paraId="5240E06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all notices under section 119; and</w:t>
      </w:r>
    </w:p>
    <w:p w14:paraId="1DECF0D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all directions given under section 121.</w:t>
      </w:r>
    </w:p>
    <w:p w14:paraId="25E0F8E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(1A)</w:t>
      </w:r>
      <w:r w:rsidRPr="00041614">
        <w:rPr>
          <w:rFonts w:ascii="Times New Roman" w:hAnsi="Times New Roman"/>
          <w:sz w:val="22"/>
          <w:szCs w:val="20"/>
        </w:rPr>
        <w:tab/>
        <w:t>Paragraph (1)(a) does not require the ACMA to continue to include in the Register an industry code, or a provision of an industry code, removed from the Register under section 122A.</w:t>
      </w:r>
    </w:p>
    <w:p w14:paraId="42BA36C6"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Register may be maintained by electronic means.</w:t>
      </w:r>
    </w:p>
    <w:p w14:paraId="7CD416E1"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 xml:space="preserve">A person may, on payment of the charge (if any) fixed by a determination under section 60 of the </w:t>
      </w:r>
      <w:r w:rsidRPr="00041614">
        <w:rPr>
          <w:rFonts w:ascii="Times New Roman" w:hAnsi="Times New Roman"/>
          <w:i/>
          <w:sz w:val="22"/>
          <w:szCs w:val="20"/>
        </w:rPr>
        <w:t>Australian Communications and Media Authority Act 2005</w:t>
      </w:r>
      <w:r w:rsidRPr="00041614">
        <w:rPr>
          <w:rFonts w:ascii="Times New Roman" w:hAnsi="Times New Roman"/>
          <w:sz w:val="22"/>
          <w:szCs w:val="20"/>
        </w:rPr>
        <w:t>:</w:t>
      </w:r>
    </w:p>
    <w:p w14:paraId="6F7EA47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inspect the Register; and</w:t>
      </w:r>
    </w:p>
    <w:p w14:paraId="6878EE8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make a copy of, or take extracts from, the Register.</w:t>
      </w:r>
    </w:p>
    <w:p w14:paraId="0262B36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For the purposes of this section, if the Register is maintained by electronic means, a person is taken to have made a copy of, or taken an extract from, the Register if the ACMA gives the person a printout of, or of the relevant parts of, the Register.</w:t>
      </w:r>
    </w:p>
    <w:p w14:paraId="1F88C5B8"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If a person requests that a copy be provided in an electronic form, the ACMA may provide the relevant information:</w:t>
      </w:r>
    </w:p>
    <w:p w14:paraId="5D15D4C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on a data processing device; or</w:t>
      </w:r>
    </w:p>
    <w:p w14:paraId="299091DD" w14:textId="77777777" w:rsidR="00041614" w:rsidRPr="00041614" w:rsidRDefault="00041614" w:rsidP="00041614">
      <w:pPr>
        <w:tabs>
          <w:tab w:val="right" w:pos="1531"/>
        </w:tabs>
        <w:spacing w:before="40" w:after="0" w:line="240" w:lineRule="auto"/>
        <w:ind w:left="1644" w:hanging="1644"/>
        <w:rPr>
          <w:rFonts w:ascii="Times New Roman" w:hAnsi="Times New Roman"/>
          <w:sz w:val="18"/>
          <w:szCs w:val="20"/>
        </w:rPr>
      </w:pPr>
      <w:r w:rsidRPr="00041614">
        <w:rPr>
          <w:rFonts w:ascii="Times New Roman" w:hAnsi="Times New Roman"/>
          <w:sz w:val="22"/>
          <w:szCs w:val="20"/>
        </w:rPr>
        <w:tab/>
        <w:t>(b)</w:t>
      </w:r>
      <w:r w:rsidRPr="00041614">
        <w:rPr>
          <w:rFonts w:ascii="Times New Roman" w:hAnsi="Times New Roman"/>
          <w:sz w:val="22"/>
          <w:szCs w:val="20"/>
        </w:rPr>
        <w:tab/>
        <w:t>by way of electronic transmission</w:t>
      </w:r>
      <w:r w:rsidRPr="00041614">
        <w:rPr>
          <w:rFonts w:ascii="Times New Roman" w:hAnsi="Times New Roman"/>
          <w:sz w:val="18"/>
          <w:szCs w:val="20"/>
        </w:rPr>
        <w:t>.</w:t>
      </w:r>
    </w:p>
    <w:p w14:paraId="2A388E46" w14:textId="77777777" w:rsidR="00041614" w:rsidRPr="00041614" w:rsidRDefault="00041614" w:rsidP="00041614">
      <w:pPr>
        <w:keepNext/>
        <w:keepLines/>
        <w:pageBreakBefore/>
        <w:spacing w:before="240" w:after="0" w:line="240" w:lineRule="auto"/>
        <w:ind w:left="1134" w:hanging="1134"/>
        <w:outlineLvl w:val="2"/>
        <w:rPr>
          <w:rFonts w:ascii="Times New Roman" w:hAnsi="Times New Roman"/>
          <w:b/>
          <w:kern w:val="28"/>
          <w:sz w:val="28"/>
          <w:szCs w:val="20"/>
        </w:rPr>
      </w:pPr>
      <w:r w:rsidRPr="00041614">
        <w:rPr>
          <w:rFonts w:ascii="Times New Roman" w:hAnsi="Times New Roman"/>
          <w:b/>
          <w:kern w:val="28"/>
          <w:sz w:val="28"/>
          <w:szCs w:val="20"/>
        </w:rPr>
        <w:lastRenderedPageBreak/>
        <w:t>Division 6A—Reimbursement of costs of development or variation of consumer</w:t>
      </w:r>
      <w:r w:rsidRPr="00041614">
        <w:rPr>
          <w:rFonts w:ascii="Times New Roman" w:hAnsi="Times New Roman"/>
          <w:b/>
          <w:kern w:val="28"/>
          <w:sz w:val="28"/>
          <w:szCs w:val="20"/>
        </w:rPr>
        <w:noBreakHyphen/>
        <w:t>related industry codes</w:t>
      </w:r>
    </w:p>
    <w:p w14:paraId="56B6D5BD"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r w:rsidRPr="00041614">
        <w:rPr>
          <w:rFonts w:ascii="Times New Roman" w:hAnsi="Times New Roman"/>
          <w:b/>
          <w:kern w:val="28"/>
          <w:sz w:val="24"/>
          <w:szCs w:val="20"/>
        </w:rPr>
        <w:t>136A  Application for eligibility for reimbursement of costs of development or variation of consumer</w:t>
      </w:r>
      <w:r w:rsidRPr="00041614">
        <w:rPr>
          <w:rFonts w:ascii="Times New Roman" w:hAnsi="Times New Roman"/>
          <w:b/>
          <w:kern w:val="28"/>
          <w:sz w:val="24"/>
          <w:szCs w:val="20"/>
        </w:rPr>
        <w:noBreakHyphen/>
        <w:t>related industry code</w:t>
      </w:r>
    </w:p>
    <w:p w14:paraId="3F32AA5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If a body or association proposes to develop or vary an industry code that:</w:t>
      </w:r>
    </w:p>
    <w:p w14:paraId="15BDE76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applies to participants in a particular section of the telecommunications industry; and</w:t>
      </w:r>
    </w:p>
    <w:p w14:paraId="31626648"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deals with one or more matters relating to the telecommunications activities of those participants; and</w:t>
      </w:r>
    </w:p>
    <w:p w14:paraId="26FA9D2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deals wholly or mainly with one or more matters relating to the relationship between carriage service providers and their retail customers;</w:t>
      </w:r>
    </w:p>
    <w:p w14:paraId="776C3942"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 body or association may apply to the ACMA for a declaration that the body or association is eligible for reimbursement of refundable costs incurred by it in developing the code or varying the code, as the case may be.</w:t>
      </w:r>
    </w:p>
    <w:p w14:paraId="0DDD937D"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For </w:t>
      </w:r>
      <w:r w:rsidRPr="00041614">
        <w:rPr>
          <w:rFonts w:ascii="Times New Roman" w:hAnsi="Times New Roman"/>
          <w:b/>
          <w:i/>
          <w:sz w:val="18"/>
          <w:szCs w:val="20"/>
        </w:rPr>
        <w:t>refundable cost</w:t>
      </w:r>
      <w:r w:rsidRPr="00041614">
        <w:rPr>
          <w:rFonts w:ascii="Times New Roman" w:hAnsi="Times New Roman"/>
          <w:sz w:val="18"/>
          <w:szCs w:val="20"/>
        </w:rPr>
        <w:t>, see section 136E.</w:t>
      </w:r>
    </w:p>
    <w:p w14:paraId="086FD54A"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Form of application etc.</w:t>
      </w:r>
    </w:p>
    <w:p w14:paraId="4556382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An application must be:</w:t>
      </w:r>
    </w:p>
    <w:p w14:paraId="17B5C3F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in writing; and</w:t>
      </w:r>
    </w:p>
    <w:p w14:paraId="332C3F6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in accordance with the form approved in writing by the ACMA; and</w:t>
      </w:r>
    </w:p>
    <w:p w14:paraId="4389871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accompanied by:</w:t>
      </w:r>
    </w:p>
    <w:p w14:paraId="0E0F94E9"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an estimate of the total of the refundable costs likely to be incurred by the body or association in developing the code or varying the code, as the case may be; and</w:t>
      </w:r>
    </w:p>
    <w:p w14:paraId="06D05A2F"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a statement breaking down that estimate into categories of refundable costs.</w:t>
      </w:r>
    </w:p>
    <w:p w14:paraId="02205EA5"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Further information</w:t>
      </w:r>
    </w:p>
    <w:p w14:paraId="2EDBA1C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The ACMA may, within 20 business days after an application is made, request the applicant to give the ACMA, within the period specified in the request, further information about the application.</w:t>
      </w:r>
    </w:p>
    <w:p w14:paraId="3ADB28B7"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ACMA may refuse to consider the application until the applicant gives the ACMA the information.</w:t>
      </w:r>
    </w:p>
    <w:p w14:paraId="04B5CCE6"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Definition</w:t>
      </w:r>
    </w:p>
    <w:p w14:paraId="4D8253E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In this section:</w:t>
      </w:r>
    </w:p>
    <w:p w14:paraId="1BDA3956" w14:textId="77777777" w:rsidR="00041614" w:rsidRPr="00041614" w:rsidRDefault="00041614" w:rsidP="00041614">
      <w:pPr>
        <w:spacing w:before="180" w:after="0" w:line="240" w:lineRule="auto"/>
        <w:ind w:left="1134"/>
        <w:rPr>
          <w:rFonts w:ascii="Times New Roman" w:hAnsi="Times New Roman"/>
          <w:sz w:val="22"/>
          <w:szCs w:val="20"/>
        </w:rPr>
      </w:pPr>
      <w:r w:rsidRPr="00041614">
        <w:rPr>
          <w:rFonts w:ascii="Times New Roman" w:hAnsi="Times New Roman"/>
          <w:b/>
          <w:i/>
          <w:sz w:val="22"/>
          <w:szCs w:val="20"/>
        </w:rPr>
        <w:t>business day</w:t>
      </w:r>
      <w:r w:rsidRPr="00041614">
        <w:rPr>
          <w:rFonts w:ascii="Times New Roman" w:hAnsi="Times New Roman"/>
          <w:sz w:val="22"/>
          <w:szCs w:val="20"/>
        </w:rPr>
        <w:t xml:space="preserve"> means a day on which the ACMA is open for business in the </w:t>
      </w:r>
      <w:smartTag w:uri="urn:schemas-microsoft-com:office:smarttags" w:element="State">
        <w:smartTag w:uri="urn:schemas-microsoft-com:office:smarttags" w:element="place">
          <w:r w:rsidRPr="00041614">
            <w:rPr>
              <w:rFonts w:ascii="Times New Roman" w:hAnsi="Times New Roman"/>
              <w:sz w:val="22"/>
              <w:szCs w:val="20"/>
            </w:rPr>
            <w:t>Australian Capital Territory</w:t>
          </w:r>
        </w:smartTag>
      </w:smartTag>
      <w:r w:rsidRPr="00041614">
        <w:rPr>
          <w:rFonts w:ascii="Times New Roman" w:hAnsi="Times New Roman"/>
          <w:sz w:val="22"/>
          <w:szCs w:val="20"/>
        </w:rPr>
        <w:t xml:space="preserve"> and in </w:t>
      </w:r>
      <w:smartTag w:uri="urn:schemas-microsoft-com:office:smarttags" w:element="State">
        <w:smartTag w:uri="urn:schemas-microsoft-com:office:smarttags" w:element="place">
          <w:r w:rsidRPr="00041614">
            <w:rPr>
              <w:rFonts w:ascii="Times New Roman" w:hAnsi="Times New Roman"/>
              <w:sz w:val="22"/>
              <w:szCs w:val="20"/>
            </w:rPr>
            <w:t>Victoria</w:t>
          </w:r>
        </w:smartTag>
      </w:smartTag>
      <w:r w:rsidRPr="00041614">
        <w:rPr>
          <w:rFonts w:ascii="Times New Roman" w:hAnsi="Times New Roman"/>
          <w:sz w:val="22"/>
          <w:szCs w:val="20"/>
        </w:rPr>
        <w:t>.</w:t>
      </w:r>
    </w:p>
    <w:p w14:paraId="1DD65F5A"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r w:rsidRPr="00041614">
        <w:rPr>
          <w:rFonts w:ascii="Times New Roman" w:hAnsi="Times New Roman"/>
          <w:b/>
          <w:kern w:val="28"/>
          <w:sz w:val="24"/>
          <w:szCs w:val="20"/>
        </w:rPr>
        <w:lastRenderedPageBreak/>
        <w:t>136B  Declaration of eligibility for reimbursement of costs of development or variation of consumer</w:t>
      </w:r>
      <w:r w:rsidRPr="00041614">
        <w:rPr>
          <w:rFonts w:ascii="Times New Roman" w:hAnsi="Times New Roman"/>
          <w:b/>
          <w:kern w:val="28"/>
          <w:sz w:val="24"/>
          <w:szCs w:val="20"/>
        </w:rPr>
        <w:noBreakHyphen/>
        <w:t>related industry code</w:t>
      </w:r>
    </w:p>
    <w:p w14:paraId="4414C1A2"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Development of code</w:t>
      </w:r>
    </w:p>
    <w:p w14:paraId="6B5537B2"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If a body or association makes an application under subsection 136A(1) for a declaration in relation to the development of a code, the ACMA must make the declaration if it is satisfied that:</w:t>
      </w:r>
    </w:p>
    <w:p w14:paraId="3F468B5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body or association represents the section of the telecommunications industry referred to in paragraph 136A(1)(a); and</w:t>
      </w:r>
    </w:p>
    <w:p w14:paraId="105B92BF"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code will deal wholly or mainly with one or more matters relating to the relationship between carriage service providers and their retail customers; and</w:t>
      </w:r>
    </w:p>
    <w:p w14:paraId="2419679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process for developing the code, as outlined in the application, is likely to ensure that the interests of those retail customers are adequately represented in relation to the development of the code; and</w:t>
      </w:r>
    </w:p>
    <w:p w14:paraId="7DA76976"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the total of the refundable costs likely to be incurred by the body or association in developing the code, as set out in the estimate that accompanied the application, is reasonable.</w:t>
      </w:r>
    </w:p>
    <w:p w14:paraId="1A85C5C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If the ACMA is not satisfied as to the matters set out in subsection (1), the ACMA must, by written notice given to the applicant, refuse to make the declaration.</w:t>
      </w:r>
    </w:p>
    <w:p w14:paraId="190080EA"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Variation of code</w:t>
      </w:r>
    </w:p>
    <w:p w14:paraId="435E57E4"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(2A)</w:t>
      </w:r>
      <w:r w:rsidRPr="00041614">
        <w:rPr>
          <w:rFonts w:ascii="Times New Roman" w:hAnsi="Times New Roman"/>
          <w:sz w:val="22"/>
          <w:szCs w:val="20"/>
        </w:rPr>
        <w:tab/>
        <w:t>If a body or association makes an application under subsection 136A(1) for a declaration in relation to the variation of a code, the ACMA must make the declaration if it is satisfied that:</w:t>
      </w:r>
    </w:p>
    <w:p w14:paraId="155E993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body or association represents the section of the telecommunications industry referred to in paragraph 136A(1)(a); and</w:t>
      </w:r>
    </w:p>
    <w:p w14:paraId="6928FFE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code is registered under this Part; and</w:t>
      </w:r>
    </w:p>
    <w:p w14:paraId="64EE968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code deals wholly or mainly with one or more matters relating to the relationship between carriage service providers and their retail customers; and</w:t>
      </w:r>
    </w:p>
    <w:p w14:paraId="3012008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the process for varying the code, as outlined in the application, is likely to ensure that the interests of those retail customers are adequately represented in relation to the variation of the code; and</w:t>
      </w:r>
    </w:p>
    <w:p w14:paraId="3DAA1C9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the total of the refundable costs likely to be incurred by the body or association in varying the code, as set out in the estimate that accompanied the application, is reasonable.</w:t>
      </w:r>
    </w:p>
    <w:p w14:paraId="4216E05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(2B)</w:t>
      </w:r>
      <w:r w:rsidRPr="00041614">
        <w:rPr>
          <w:rFonts w:ascii="Times New Roman" w:hAnsi="Times New Roman"/>
          <w:sz w:val="22"/>
          <w:szCs w:val="20"/>
        </w:rPr>
        <w:tab/>
        <w:t>If the ACMA is not satisfied as to the matters set out in subsection (2A), the ACMA must, by written notice given to the applicant, refuse to make the declaration.</w:t>
      </w:r>
    </w:p>
    <w:p w14:paraId="02AA02AA"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General provisions</w:t>
      </w:r>
    </w:p>
    <w:p w14:paraId="4F34F40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A declaration under this section is irrevocable, and remains in force for 2 years.</w:t>
      </w:r>
    </w:p>
    <w:p w14:paraId="3D83445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lastRenderedPageBreak/>
        <w:tab/>
        <w:t>(4)</w:t>
      </w:r>
      <w:r w:rsidRPr="00041614">
        <w:rPr>
          <w:rFonts w:ascii="Times New Roman" w:hAnsi="Times New Roman"/>
          <w:sz w:val="22"/>
          <w:szCs w:val="20"/>
        </w:rPr>
        <w:tab/>
        <w:t xml:space="preserve">A declaration under this section is not a legislative instrument for the purposes of the </w:t>
      </w:r>
      <w:r w:rsidRPr="00041614">
        <w:rPr>
          <w:rFonts w:ascii="Times New Roman" w:hAnsi="Times New Roman"/>
          <w:i/>
          <w:sz w:val="22"/>
          <w:szCs w:val="20"/>
        </w:rPr>
        <w:t>Legislative Instruments Act 2003</w:t>
      </w:r>
      <w:r w:rsidRPr="00041614">
        <w:rPr>
          <w:rFonts w:ascii="Times New Roman" w:hAnsi="Times New Roman"/>
          <w:sz w:val="22"/>
          <w:szCs w:val="20"/>
        </w:rPr>
        <w:t>.</w:t>
      </w:r>
    </w:p>
    <w:p w14:paraId="6FE23949"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r w:rsidRPr="00041614">
        <w:rPr>
          <w:rFonts w:ascii="Times New Roman" w:hAnsi="Times New Roman"/>
          <w:b/>
          <w:kern w:val="28"/>
          <w:sz w:val="24"/>
          <w:szCs w:val="20"/>
        </w:rPr>
        <w:t>136C  Reimbursement of costs of developing or varying consumer</w:t>
      </w:r>
      <w:r w:rsidRPr="00041614">
        <w:rPr>
          <w:rFonts w:ascii="Times New Roman" w:hAnsi="Times New Roman"/>
          <w:b/>
          <w:kern w:val="28"/>
          <w:sz w:val="24"/>
          <w:szCs w:val="20"/>
        </w:rPr>
        <w:noBreakHyphen/>
        <w:t>related industry code</w:t>
      </w:r>
    </w:p>
    <w:p w14:paraId="54BCAABE"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Reimbursement of costs—development of code</w:t>
      </w:r>
    </w:p>
    <w:p w14:paraId="64EF135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If:</w:t>
      </w:r>
    </w:p>
    <w:p w14:paraId="42C6B68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 section 136B declaration was made in relation to the development of an industry code by a body or association; and</w:t>
      </w:r>
    </w:p>
    <w:p w14:paraId="5C55D19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when the section 136B declaration was in force, the body or association gave a copy of the code to the ACMA under section 117; and</w:t>
      </w:r>
    </w:p>
    <w:p w14:paraId="635607D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ACMA is satisfied that the code deals wholly or mainly with one or more matters relating to the relationship between carriage service providers and their retail customers; and</w:t>
      </w:r>
    </w:p>
    <w:p w14:paraId="76786EBE"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the ACMA is satisfied that the process for the development of the code ensured that the interests of those retail customers were adequately represented in relation to the development of the code; and</w:t>
      </w:r>
    </w:p>
    <w:p w14:paraId="053D577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the copy of the code was accompanied by:</w:t>
      </w:r>
    </w:p>
    <w:p w14:paraId="1D519EE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a written statement itemising one or more costs incurred by the body or association in developing the code; and</w:t>
      </w:r>
    </w:p>
    <w:p w14:paraId="5F4953D0"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a written claim for reimbursement of those costs; and</w:t>
      </w:r>
    </w:p>
    <w:p w14:paraId="1B213B3D"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a written declaration by an approved auditor that he or she is of the opinion that the subparagraph (i) statement complies with the approved auditing requirements; and</w:t>
      </w:r>
    </w:p>
    <w:p w14:paraId="64EA637B"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a written statement describing the process for the development of the code; and</w:t>
      </w:r>
    </w:p>
    <w:p w14:paraId="0EF75B19"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(f)</w:t>
      </w:r>
      <w:r w:rsidRPr="00041614">
        <w:rPr>
          <w:rFonts w:ascii="Times New Roman" w:hAnsi="Times New Roman"/>
          <w:sz w:val="22"/>
          <w:szCs w:val="20"/>
        </w:rPr>
        <w:tab/>
        <w:t>the ACMA is satisfied that each of the costs itemised in the subparagraph (e)(i) statement:</w:t>
      </w:r>
    </w:p>
    <w:p w14:paraId="426E99C3"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is a refundable cost incurred by the body or association in developing the code; and</w:t>
      </w:r>
    </w:p>
    <w:p w14:paraId="280D92DA"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was incurred when the section 136B declaration was in force;</w:t>
      </w:r>
    </w:p>
    <w:p w14:paraId="2BC773D6"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 ACMA must, by written notice given to the body or association, determine that the body or association is entitled to be paid a specified amount.</w:t>
      </w:r>
    </w:p>
    <w:p w14:paraId="1DB3ACE4"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For </w:t>
      </w:r>
      <w:r w:rsidRPr="00041614">
        <w:rPr>
          <w:rFonts w:ascii="Times New Roman" w:hAnsi="Times New Roman"/>
          <w:b/>
          <w:i/>
          <w:sz w:val="18"/>
          <w:szCs w:val="20"/>
        </w:rPr>
        <w:t>refundable cost</w:t>
      </w:r>
      <w:r w:rsidRPr="00041614">
        <w:rPr>
          <w:rFonts w:ascii="Times New Roman" w:hAnsi="Times New Roman"/>
          <w:sz w:val="18"/>
          <w:szCs w:val="20"/>
        </w:rPr>
        <w:t>, see section 136E.</w:t>
      </w:r>
    </w:p>
    <w:p w14:paraId="10FC59A2"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The specified amount must be equal to whichever is the lesser of the following:</w:t>
      </w:r>
    </w:p>
    <w:p w14:paraId="3C07552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total of the costs itemised in the subparagraph (1)(e)(i) statement;</w:t>
      </w:r>
    </w:p>
    <w:p w14:paraId="005B511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estimate that accompanied the application for the section 136B declaration.</w:t>
      </w:r>
    </w:p>
    <w:p w14:paraId="4A431D4C"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w:t>
      </w:r>
      <w:r w:rsidRPr="00041614">
        <w:rPr>
          <w:rFonts w:ascii="Times New Roman" w:hAnsi="Times New Roman"/>
          <w:sz w:val="22"/>
          <w:szCs w:val="20"/>
        </w:rPr>
        <w:tab/>
        <w:t>The ACMA, on behalf of the Commonwealth, must pay the specified amount to the body or association within 30 days after the day on which the body or association was notified under subsection (1) of its entitlement to be paid that amount.</w:t>
      </w:r>
    </w:p>
    <w:p w14:paraId="0BC7D810"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lastRenderedPageBreak/>
        <w:t>Reimbursement of costs—variation of code</w:t>
      </w:r>
    </w:p>
    <w:p w14:paraId="0CB88B7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(3A)</w:t>
      </w:r>
      <w:r w:rsidRPr="00041614">
        <w:rPr>
          <w:rFonts w:ascii="Times New Roman" w:hAnsi="Times New Roman"/>
          <w:sz w:val="22"/>
          <w:szCs w:val="20"/>
        </w:rPr>
        <w:tab/>
        <w:t>If:</w:t>
      </w:r>
    </w:p>
    <w:p w14:paraId="1ECA5FA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 section 136B declaration was made in relation to the variation of an industry code by a body or association; and</w:t>
      </w:r>
    </w:p>
    <w:p w14:paraId="54C3FE81"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when the section 136B declaration was in force, the body or association gave a copy of the variation to the ACMA under section 119A; and</w:t>
      </w:r>
    </w:p>
    <w:p w14:paraId="7E07723A"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ACMA is satisfied that the code deals wholly or mainly with one or more matters relating to the relationship between carriage service providers and their retail customers; and</w:t>
      </w:r>
    </w:p>
    <w:p w14:paraId="7EB6135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(d)</w:t>
      </w:r>
      <w:r w:rsidRPr="00041614">
        <w:rPr>
          <w:rFonts w:ascii="Times New Roman" w:hAnsi="Times New Roman"/>
          <w:sz w:val="22"/>
          <w:szCs w:val="20"/>
        </w:rPr>
        <w:tab/>
        <w:t>the ACMA is satisfied that the process for the variation of the code ensured that the interests of those retail customers were adequately represented in relation to the variation of the code; and</w:t>
      </w:r>
    </w:p>
    <w:p w14:paraId="2A106BE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(e)</w:t>
      </w:r>
      <w:r w:rsidRPr="00041614">
        <w:rPr>
          <w:rFonts w:ascii="Times New Roman" w:hAnsi="Times New Roman"/>
          <w:sz w:val="22"/>
          <w:szCs w:val="20"/>
        </w:rPr>
        <w:tab/>
        <w:t>the copy of the variation was accompanied by:</w:t>
      </w:r>
    </w:p>
    <w:p w14:paraId="5307AC5F"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a written statement itemising one or more costs incurred by the body or association in varying the code; and</w:t>
      </w:r>
    </w:p>
    <w:p w14:paraId="686C883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a written claim for reimbursement of those costs; and</w:t>
      </w:r>
    </w:p>
    <w:p w14:paraId="26B349D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(iii)</w:t>
      </w:r>
      <w:r w:rsidRPr="00041614">
        <w:rPr>
          <w:rFonts w:ascii="Times New Roman" w:hAnsi="Times New Roman"/>
          <w:sz w:val="22"/>
          <w:szCs w:val="20"/>
        </w:rPr>
        <w:tab/>
        <w:t>a written declaration by an approved auditor that he or she is of the opinion that the subparagraph (i) statement complies with the approved auditing requirements; and</w:t>
      </w:r>
    </w:p>
    <w:p w14:paraId="4724104C"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(iv)</w:t>
      </w:r>
      <w:r w:rsidRPr="00041614">
        <w:rPr>
          <w:rFonts w:ascii="Times New Roman" w:hAnsi="Times New Roman"/>
          <w:sz w:val="22"/>
          <w:szCs w:val="20"/>
        </w:rPr>
        <w:tab/>
        <w:t>a written statement describing the process for the variation of the code; and</w:t>
      </w:r>
    </w:p>
    <w:p w14:paraId="4D921BFC"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(f)</w:t>
      </w:r>
      <w:r w:rsidRPr="00041614">
        <w:rPr>
          <w:rFonts w:ascii="Times New Roman" w:hAnsi="Times New Roman"/>
          <w:sz w:val="22"/>
          <w:szCs w:val="20"/>
        </w:rPr>
        <w:tab/>
        <w:t>the ACMA is satisfied that each of the costs itemised in the subparagraph (e)(i) statement:</w:t>
      </w:r>
    </w:p>
    <w:p w14:paraId="79486D5B"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w:t>
      </w:r>
      <w:r w:rsidRPr="00041614">
        <w:rPr>
          <w:rFonts w:ascii="Times New Roman" w:hAnsi="Times New Roman"/>
          <w:sz w:val="22"/>
          <w:szCs w:val="20"/>
        </w:rPr>
        <w:tab/>
        <w:t>is a refundable cost incurred by the body or association in varying the code; and</w:t>
      </w:r>
    </w:p>
    <w:p w14:paraId="6A9841F4" w14:textId="77777777" w:rsidR="00041614" w:rsidRPr="00041614" w:rsidRDefault="00041614" w:rsidP="00041614">
      <w:pPr>
        <w:tabs>
          <w:tab w:val="right" w:pos="1985"/>
        </w:tabs>
        <w:spacing w:before="40" w:after="0" w:line="240" w:lineRule="auto"/>
        <w:ind w:left="2098" w:hanging="2098"/>
        <w:rPr>
          <w:rFonts w:ascii="Times New Roman" w:hAnsi="Times New Roman"/>
          <w:sz w:val="22"/>
          <w:szCs w:val="20"/>
        </w:rPr>
      </w:pPr>
      <w:r w:rsidRPr="00041614">
        <w:rPr>
          <w:rFonts w:ascii="Times New Roman" w:hAnsi="Times New Roman"/>
          <w:sz w:val="22"/>
          <w:szCs w:val="20"/>
        </w:rPr>
        <w:tab/>
        <w:t>(ii)</w:t>
      </w:r>
      <w:r w:rsidRPr="00041614">
        <w:rPr>
          <w:rFonts w:ascii="Times New Roman" w:hAnsi="Times New Roman"/>
          <w:sz w:val="22"/>
          <w:szCs w:val="20"/>
        </w:rPr>
        <w:tab/>
        <w:t>was incurred when the section 136B declaration was in force;</w:t>
      </w:r>
    </w:p>
    <w:p w14:paraId="6E271E41"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 ACMA must, by written notice given to the body or association, determine that the body or association is entitled to be paid a specified amount.</w:t>
      </w:r>
    </w:p>
    <w:p w14:paraId="6DC0A40A"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For </w:t>
      </w:r>
      <w:r w:rsidRPr="00041614">
        <w:rPr>
          <w:rFonts w:ascii="Times New Roman" w:hAnsi="Times New Roman"/>
          <w:b/>
          <w:i/>
          <w:sz w:val="18"/>
          <w:szCs w:val="20"/>
        </w:rPr>
        <w:t>refundable cost</w:t>
      </w:r>
      <w:r w:rsidRPr="00041614">
        <w:rPr>
          <w:rFonts w:ascii="Times New Roman" w:hAnsi="Times New Roman"/>
          <w:sz w:val="18"/>
          <w:szCs w:val="20"/>
        </w:rPr>
        <w:t>, see section 136E.</w:t>
      </w:r>
    </w:p>
    <w:p w14:paraId="1261FA5D"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(3B)</w:t>
      </w:r>
      <w:r w:rsidRPr="00041614">
        <w:rPr>
          <w:rFonts w:ascii="Times New Roman" w:hAnsi="Times New Roman"/>
          <w:sz w:val="22"/>
          <w:szCs w:val="20"/>
        </w:rPr>
        <w:tab/>
        <w:t>The specified amount must be equal to whichever is the lesser of the following:</w:t>
      </w:r>
    </w:p>
    <w:p w14:paraId="53CE767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the total of the costs itemised in the subparagraph (3A)(e)(i) statement;</w:t>
      </w:r>
    </w:p>
    <w:p w14:paraId="32A35AF2"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the estimate that accompanied the application for the section 136B declaration.</w:t>
      </w:r>
    </w:p>
    <w:p w14:paraId="3FE4B3BB"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(3C)</w:t>
      </w:r>
      <w:r w:rsidRPr="00041614">
        <w:rPr>
          <w:rFonts w:ascii="Times New Roman" w:hAnsi="Times New Roman"/>
          <w:sz w:val="22"/>
          <w:szCs w:val="20"/>
        </w:rPr>
        <w:tab/>
        <w:t>The ACMA, on behalf of the Commonwealth, must pay the specified amount to the body or association within 30 days after the day on which the body or association was notified under subsection (3A) of its entitlement to be paid that amount.</w:t>
      </w:r>
    </w:p>
    <w:p w14:paraId="43CFE127"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Appropriation</w:t>
      </w:r>
    </w:p>
    <w:p w14:paraId="18FD754E"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(4)</w:t>
      </w:r>
      <w:r w:rsidRPr="00041614">
        <w:rPr>
          <w:rFonts w:ascii="Times New Roman" w:hAnsi="Times New Roman"/>
          <w:sz w:val="22"/>
          <w:szCs w:val="20"/>
        </w:rPr>
        <w:tab/>
        <w:t>The Consolidated Revenue Fund is appropriated for payments under this section.</w:t>
      </w:r>
    </w:p>
    <w:p w14:paraId="4E89E689" w14:textId="77777777" w:rsidR="00041614" w:rsidRPr="00041614" w:rsidRDefault="00041614" w:rsidP="00041614">
      <w:pPr>
        <w:keepNext/>
        <w:keepLines/>
        <w:spacing w:before="240" w:after="0" w:line="240" w:lineRule="auto"/>
        <w:ind w:left="1134"/>
        <w:rPr>
          <w:rFonts w:ascii="Times New Roman" w:hAnsi="Times New Roman"/>
          <w:i/>
          <w:sz w:val="22"/>
          <w:szCs w:val="20"/>
        </w:rPr>
      </w:pPr>
      <w:r w:rsidRPr="00041614">
        <w:rPr>
          <w:rFonts w:ascii="Times New Roman" w:hAnsi="Times New Roman"/>
          <w:i/>
          <w:sz w:val="22"/>
          <w:szCs w:val="20"/>
        </w:rPr>
        <w:t>Approved auditors and approved auditing requirements</w:t>
      </w:r>
    </w:p>
    <w:p w14:paraId="1B5DEE4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(5)</w:t>
      </w:r>
      <w:r w:rsidRPr="00041614">
        <w:rPr>
          <w:rFonts w:ascii="Times New Roman" w:hAnsi="Times New Roman"/>
          <w:sz w:val="22"/>
          <w:szCs w:val="20"/>
        </w:rPr>
        <w:tab/>
        <w:t>The ACMA may make a written determination specifying:</w:t>
      </w:r>
    </w:p>
    <w:p w14:paraId="7D8A47AB"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lastRenderedPageBreak/>
        <w:tab/>
        <w:t>(a)</w:t>
      </w:r>
      <w:r w:rsidRPr="00041614">
        <w:rPr>
          <w:rFonts w:ascii="Times New Roman" w:hAnsi="Times New Roman"/>
          <w:sz w:val="22"/>
          <w:szCs w:val="20"/>
        </w:rPr>
        <w:tab/>
        <w:t xml:space="preserve">the persons who are to be </w:t>
      </w:r>
      <w:r w:rsidRPr="00041614">
        <w:rPr>
          <w:rFonts w:ascii="Times New Roman" w:hAnsi="Times New Roman"/>
          <w:b/>
          <w:i/>
          <w:sz w:val="22"/>
          <w:szCs w:val="20"/>
        </w:rPr>
        <w:t>approved auditors</w:t>
      </w:r>
      <w:r w:rsidRPr="00041614">
        <w:rPr>
          <w:rFonts w:ascii="Times New Roman" w:hAnsi="Times New Roman"/>
          <w:sz w:val="22"/>
          <w:szCs w:val="20"/>
        </w:rPr>
        <w:t xml:space="preserve"> for the purposes of this section; and</w:t>
      </w:r>
    </w:p>
    <w:p w14:paraId="3CEC6854"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 xml:space="preserve">the requirements that are to be </w:t>
      </w:r>
      <w:r w:rsidRPr="00041614">
        <w:rPr>
          <w:rFonts w:ascii="Times New Roman" w:hAnsi="Times New Roman"/>
          <w:b/>
          <w:i/>
          <w:sz w:val="22"/>
          <w:szCs w:val="20"/>
        </w:rPr>
        <w:t>approved auditing requirements</w:t>
      </w:r>
      <w:r w:rsidRPr="00041614">
        <w:rPr>
          <w:rFonts w:ascii="Times New Roman" w:hAnsi="Times New Roman"/>
          <w:sz w:val="22"/>
          <w:szCs w:val="20"/>
        </w:rPr>
        <w:t xml:space="preserve"> for the purposes of this section.</w:t>
      </w:r>
    </w:p>
    <w:p w14:paraId="546B2612"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For specification by class, see subsection 13(3) of the </w:t>
      </w:r>
      <w:r w:rsidRPr="00041614">
        <w:rPr>
          <w:rFonts w:ascii="Times New Roman" w:hAnsi="Times New Roman"/>
          <w:i/>
          <w:sz w:val="18"/>
          <w:szCs w:val="20"/>
        </w:rPr>
        <w:t>Legislative Instruments Act 2003</w:t>
      </w:r>
      <w:r w:rsidRPr="00041614">
        <w:rPr>
          <w:rFonts w:ascii="Times New Roman" w:hAnsi="Times New Roman"/>
          <w:sz w:val="18"/>
          <w:szCs w:val="20"/>
        </w:rPr>
        <w:t>.</w:t>
      </w:r>
    </w:p>
    <w:p w14:paraId="2DA06C4A"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(6)</w:t>
      </w:r>
      <w:r w:rsidRPr="00041614">
        <w:rPr>
          <w:rFonts w:ascii="Times New Roman" w:hAnsi="Times New Roman"/>
          <w:sz w:val="22"/>
          <w:szCs w:val="20"/>
        </w:rPr>
        <w:tab/>
        <w:t>A determination under subsection (5) has effect accordingly.</w:t>
      </w:r>
    </w:p>
    <w:p w14:paraId="7E670DFF"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(7)</w:t>
      </w:r>
      <w:r w:rsidRPr="00041614">
        <w:rPr>
          <w:rFonts w:ascii="Times New Roman" w:hAnsi="Times New Roman"/>
          <w:sz w:val="22"/>
          <w:szCs w:val="20"/>
        </w:rPr>
        <w:tab/>
        <w:t xml:space="preserve">A determination under subsection (5) is a legislative instrument for the purposes of the </w:t>
      </w:r>
      <w:r w:rsidRPr="00041614">
        <w:rPr>
          <w:rFonts w:ascii="Times New Roman" w:hAnsi="Times New Roman"/>
          <w:i/>
          <w:sz w:val="22"/>
          <w:szCs w:val="20"/>
        </w:rPr>
        <w:t>Legislative Instruments Act 2003</w:t>
      </w:r>
      <w:r w:rsidRPr="00041614">
        <w:rPr>
          <w:rFonts w:ascii="Times New Roman" w:hAnsi="Times New Roman"/>
          <w:sz w:val="22"/>
          <w:szCs w:val="20"/>
        </w:rPr>
        <w:t>.</w:t>
      </w:r>
    </w:p>
    <w:p w14:paraId="5290FBE7"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r w:rsidRPr="00041614">
        <w:rPr>
          <w:rFonts w:ascii="Times New Roman" w:hAnsi="Times New Roman"/>
          <w:b/>
          <w:kern w:val="28"/>
          <w:sz w:val="24"/>
          <w:szCs w:val="20"/>
        </w:rPr>
        <w:t>136D  Costs—transactions between persons not at arm’s length</w:t>
      </w:r>
    </w:p>
    <w:p w14:paraId="1F1CA7F5" w14:textId="77777777" w:rsidR="00041614" w:rsidRPr="00041614" w:rsidRDefault="00041614" w:rsidP="00041614">
      <w:pPr>
        <w:keepNext/>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r>
      <w:r w:rsidRPr="00041614">
        <w:rPr>
          <w:rFonts w:ascii="Times New Roman" w:hAnsi="Times New Roman"/>
          <w:sz w:val="22"/>
          <w:szCs w:val="20"/>
        </w:rPr>
        <w:tab/>
        <w:t>If:</w:t>
      </w:r>
    </w:p>
    <w:p w14:paraId="29643015"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(a)</w:t>
      </w:r>
      <w:r w:rsidRPr="00041614">
        <w:rPr>
          <w:rFonts w:ascii="Times New Roman" w:hAnsi="Times New Roman"/>
          <w:sz w:val="22"/>
          <w:szCs w:val="20"/>
        </w:rPr>
        <w:tab/>
        <w:t>a body or association has incurred a cost in connection with a transaction where the parties to the transaction are not dealing with each other at arm’s length in relation to the transaction; and</w:t>
      </w:r>
    </w:p>
    <w:p w14:paraId="03955373" w14:textId="77777777" w:rsidR="00041614" w:rsidRPr="00041614" w:rsidRDefault="00041614" w:rsidP="00041614">
      <w:pPr>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(b)</w:t>
      </w:r>
      <w:r w:rsidRPr="00041614">
        <w:rPr>
          <w:rFonts w:ascii="Times New Roman" w:hAnsi="Times New Roman"/>
          <w:sz w:val="22"/>
          <w:szCs w:val="20"/>
        </w:rPr>
        <w:tab/>
        <w:t>apart from this section, the cost is counted for the purposes of the application of this Division to the body or association; and</w:t>
      </w:r>
    </w:p>
    <w:p w14:paraId="12AF10A3" w14:textId="77777777" w:rsidR="00041614" w:rsidRPr="00041614" w:rsidRDefault="00041614" w:rsidP="00041614">
      <w:pPr>
        <w:keepNext/>
        <w:tabs>
          <w:tab w:val="right" w:pos="1531"/>
        </w:tabs>
        <w:spacing w:before="40" w:after="0" w:line="240" w:lineRule="auto"/>
        <w:ind w:left="1644" w:hanging="1644"/>
        <w:rPr>
          <w:rFonts w:ascii="Times New Roman" w:hAnsi="Times New Roman"/>
          <w:sz w:val="22"/>
          <w:szCs w:val="20"/>
        </w:rPr>
      </w:pPr>
      <w:r w:rsidRPr="00041614">
        <w:rPr>
          <w:rFonts w:ascii="Times New Roman" w:hAnsi="Times New Roman"/>
          <w:sz w:val="22"/>
          <w:szCs w:val="20"/>
        </w:rPr>
        <w:tab/>
        <w:t>(c)</w:t>
      </w:r>
      <w:r w:rsidRPr="00041614">
        <w:rPr>
          <w:rFonts w:ascii="Times New Roman" w:hAnsi="Times New Roman"/>
          <w:sz w:val="22"/>
          <w:szCs w:val="20"/>
        </w:rPr>
        <w:tab/>
        <w:t>the amount of the cost is greater than is reasonable;</w:t>
      </w:r>
    </w:p>
    <w:p w14:paraId="611DF6FC" w14:textId="77777777" w:rsidR="00041614" w:rsidRPr="00041614" w:rsidRDefault="00041614" w:rsidP="00041614">
      <w:pPr>
        <w:spacing w:before="40" w:after="0" w:line="240" w:lineRule="auto"/>
        <w:ind w:left="1134"/>
        <w:rPr>
          <w:rFonts w:ascii="Times New Roman" w:hAnsi="Times New Roman"/>
          <w:sz w:val="22"/>
          <w:szCs w:val="20"/>
        </w:rPr>
      </w:pPr>
      <w:r w:rsidRPr="00041614">
        <w:rPr>
          <w:rFonts w:ascii="Times New Roman" w:hAnsi="Times New Roman"/>
          <w:sz w:val="22"/>
          <w:szCs w:val="20"/>
        </w:rPr>
        <w:t>the amount of the cost is taken, for the purposes of the application of this Division in relation to the body or association, to be the amount that would have been reasonable if the parties were dealing with each other at arm’s length.</w:t>
      </w:r>
    </w:p>
    <w:p w14:paraId="5598FD1C" w14:textId="77777777" w:rsidR="00041614" w:rsidRPr="00041614" w:rsidRDefault="00041614" w:rsidP="00041614">
      <w:pPr>
        <w:keepNext/>
        <w:keepLines/>
        <w:spacing w:before="280" w:after="0" w:line="240" w:lineRule="auto"/>
        <w:ind w:left="1134" w:hanging="1134"/>
        <w:outlineLvl w:val="4"/>
        <w:rPr>
          <w:rFonts w:ascii="Times New Roman" w:hAnsi="Times New Roman"/>
          <w:b/>
          <w:kern w:val="28"/>
          <w:sz w:val="24"/>
          <w:szCs w:val="20"/>
        </w:rPr>
      </w:pPr>
      <w:r w:rsidRPr="00041614">
        <w:rPr>
          <w:rFonts w:ascii="Times New Roman" w:hAnsi="Times New Roman"/>
          <w:b/>
          <w:kern w:val="28"/>
          <w:sz w:val="24"/>
          <w:szCs w:val="20"/>
        </w:rPr>
        <w:t>136E  Refundable cost</w:t>
      </w:r>
    </w:p>
    <w:p w14:paraId="6932F3A9"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(1)</w:t>
      </w:r>
      <w:r w:rsidRPr="00041614">
        <w:rPr>
          <w:rFonts w:ascii="Times New Roman" w:hAnsi="Times New Roman"/>
          <w:sz w:val="22"/>
          <w:szCs w:val="20"/>
        </w:rPr>
        <w:tab/>
        <w:t xml:space="preserve">For the purposes of this Division, a </w:t>
      </w:r>
      <w:r w:rsidRPr="00041614">
        <w:rPr>
          <w:rFonts w:ascii="Times New Roman" w:hAnsi="Times New Roman"/>
          <w:b/>
          <w:i/>
          <w:sz w:val="22"/>
          <w:szCs w:val="20"/>
        </w:rPr>
        <w:t>refundable cost</w:t>
      </w:r>
      <w:r w:rsidRPr="00041614">
        <w:rPr>
          <w:rFonts w:ascii="Times New Roman" w:hAnsi="Times New Roman"/>
          <w:sz w:val="22"/>
          <w:szCs w:val="20"/>
        </w:rPr>
        <w:t xml:space="preserve"> incurred by a body or association in developing or varying a code is a cost incurred by the body or association in developing the code or varying the code, as the case may be, other than a cost specified in a written determination made by the ACMA under this subsection.</w:t>
      </w:r>
    </w:p>
    <w:p w14:paraId="62BA8816" w14:textId="77777777" w:rsidR="00041614" w:rsidRPr="00041614" w:rsidRDefault="00041614" w:rsidP="00041614">
      <w:pPr>
        <w:spacing w:before="122" w:after="0" w:line="240" w:lineRule="auto"/>
        <w:ind w:left="1985" w:hanging="851"/>
        <w:rPr>
          <w:rFonts w:ascii="Times New Roman" w:hAnsi="Times New Roman"/>
          <w:sz w:val="18"/>
          <w:szCs w:val="20"/>
        </w:rPr>
      </w:pPr>
      <w:r w:rsidRPr="00041614">
        <w:rPr>
          <w:rFonts w:ascii="Times New Roman" w:hAnsi="Times New Roman"/>
          <w:sz w:val="18"/>
          <w:szCs w:val="20"/>
        </w:rPr>
        <w:t>Note:</w:t>
      </w:r>
      <w:r w:rsidRPr="00041614">
        <w:rPr>
          <w:rFonts w:ascii="Times New Roman" w:hAnsi="Times New Roman"/>
          <w:sz w:val="18"/>
          <w:szCs w:val="20"/>
        </w:rPr>
        <w:tab/>
        <w:t xml:space="preserve">For specification by class, see subsection 13(3) of the </w:t>
      </w:r>
      <w:r w:rsidRPr="00041614">
        <w:rPr>
          <w:rFonts w:ascii="Times New Roman" w:hAnsi="Times New Roman"/>
          <w:i/>
          <w:sz w:val="18"/>
          <w:szCs w:val="20"/>
        </w:rPr>
        <w:t>Legislative Instruments Act 2003</w:t>
      </w:r>
      <w:r w:rsidRPr="00041614">
        <w:rPr>
          <w:rFonts w:ascii="Times New Roman" w:hAnsi="Times New Roman"/>
          <w:sz w:val="18"/>
          <w:szCs w:val="20"/>
        </w:rPr>
        <w:t>.</w:t>
      </w:r>
    </w:p>
    <w:p w14:paraId="2903B133" w14:textId="77777777" w:rsidR="00041614" w:rsidRPr="00041614" w:rsidRDefault="00041614" w:rsidP="00041614">
      <w:pPr>
        <w:tabs>
          <w:tab w:val="right" w:pos="1021"/>
        </w:tabs>
        <w:spacing w:before="180" w:after="0" w:line="240" w:lineRule="auto"/>
        <w:ind w:left="1134" w:hanging="1134"/>
        <w:rPr>
          <w:rFonts w:ascii="Times New Roman" w:hAnsi="Times New Roman"/>
          <w:sz w:val="22"/>
          <w:szCs w:val="20"/>
        </w:rPr>
      </w:pPr>
      <w:r w:rsidRPr="00041614">
        <w:rPr>
          <w:rFonts w:ascii="Times New Roman" w:hAnsi="Times New Roman"/>
          <w:sz w:val="22"/>
          <w:szCs w:val="20"/>
        </w:rPr>
        <w:tab/>
        <w:t>(2)</w:t>
      </w:r>
      <w:r w:rsidRPr="00041614">
        <w:rPr>
          <w:rFonts w:ascii="Times New Roman" w:hAnsi="Times New Roman"/>
          <w:sz w:val="22"/>
          <w:szCs w:val="20"/>
        </w:rPr>
        <w:tab/>
        <w:t xml:space="preserve">A determination under subsection (1) is a legislative instrument for the purposes of the </w:t>
      </w:r>
      <w:r w:rsidRPr="00041614">
        <w:rPr>
          <w:rFonts w:ascii="Times New Roman" w:hAnsi="Times New Roman"/>
          <w:i/>
          <w:sz w:val="22"/>
          <w:szCs w:val="20"/>
        </w:rPr>
        <w:t>Legislative Instruments Act 2003</w:t>
      </w:r>
      <w:r w:rsidRPr="00041614">
        <w:rPr>
          <w:rFonts w:ascii="Times New Roman" w:hAnsi="Times New Roman"/>
          <w:sz w:val="22"/>
          <w:szCs w:val="20"/>
        </w:rPr>
        <w:t>.</w:t>
      </w:r>
    </w:p>
    <w:p w14:paraId="0DB1B903" w14:textId="77777777" w:rsidR="00041614" w:rsidRDefault="00041614" w:rsidP="00871580">
      <w:pPr>
        <w:keepNext/>
        <w:keepLines/>
        <w:spacing w:before="280" w:after="0" w:line="240" w:lineRule="auto"/>
        <w:ind w:left="1134" w:hanging="1134"/>
        <w:outlineLvl w:val="4"/>
        <w:rPr>
          <w:rFonts w:ascii="Times New Roman" w:hAnsi="Times New Roman"/>
          <w:b/>
          <w:kern w:val="28"/>
          <w:sz w:val="24"/>
          <w:szCs w:val="20"/>
        </w:rPr>
      </w:pPr>
    </w:p>
    <w:p w14:paraId="76136681"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r w:rsidRPr="00871580">
        <w:rPr>
          <w:rFonts w:ascii="Times New Roman" w:hAnsi="Times New Roman"/>
          <w:b/>
          <w:kern w:val="28"/>
          <w:sz w:val="24"/>
          <w:szCs w:val="20"/>
        </w:rPr>
        <w:t>135A  Consultation with the States and Territories</w:t>
      </w:r>
      <w:bookmarkEnd w:id="449"/>
    </w:p>
    <w:p w14:paraId="61504877"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r>
      <w:r w:rsidRPr="00871580">
        <w:rPr>
          <w:rFonts w:ascii="Times New Roman" w:hAnsi="Times New Roman"/>
          <w:sz w:val="22"/>
          <w:szCs w:val="20"/>
        </w:rPr>
        <w:tab/>
        <w:t>Before determining or varying an industry standard under section 125A or 125B, the ACMA must consult:</w:t>
      </w:r>
    </w:p>
    <w:p w14:paraId="5FF8E2C2"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each State; and</w:t>
      </w:r>
    </w:p>
    <w:p w14:paraId="6A200B09"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 xml:space="preserve">the </w:t>
      </w:r>
      <w:smartTag w:uri="urn:schemas-microsoft-com:office:smarttags" w:element="State">
        <w:smartTag w:uri="urn:schemas-microsoft-com:office:smarttags" w:element="place">
          <w:r w:rsidRPr="00871580">
            <w:rPr>
              <w:rFonts w:ascii="Times New Roman" w:hAnsi="Times New Roman"/>
              <w:sz w:val="22"/>
              <w:szCs w:val="20"/>
            </w:rPr>
            <w:t>Australian Capital Territory</w:t>
          </w:r>
        </w:smartTag>
      </w:smartTag>
      <w:r w:rsidRPr="00871580">
        <w:rPr>
          <w:rFonts w:ascii="Times New Roman" w:hAnsi="Times New Roman"/>
          <w:sz w:val="22"/>
          <w:szCs w:val="20"/>
        </w:rPr>
        <w:t>; and</w:t>
      </w:r>
    </w:p>
    <w:p w14:paraId="6A543AF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 xml:space="preserve">the </w:t>
      </w:r>
      <w:smartTag w:uri="urn:schemas-microsoft-com:office:smarttags" w:element="State">
        <w:smartTag w:uri="urn:schemas-microsoft-com:office:smarttags" w:element="place">
          <w:r w:rsidRPr="00871580">
            <w:rPr>
              <w:rFonts w:ascii="Times New Roman" w:hAnsi="Times New Roman"/>
              <w:sz w:val="22"/>
              <w:szCs w:val="20"/>
            </w:rPr>
            <w:t>Northern Territory</w:t>
          </w:r>
        </w:smartTag>
      </w:smartTag>
      <w:r w:rsidRPr="00871580">
        <w:rPr>
          <w:rFonts w:ascii="Times New Roman" w:hAnsi="Times New Roman"/>
          <w:sz w:val="22"/>
          <w:szCs w:val="20"/>
        </w:rPr>
        <w:t>.</w:t>
      </w:r>
    </w:p>
    <w:p w14:paraId="3C665E95" w14:textId="77777777" w:rsidR="00871580" w:rsidRPr="00871580" w:rsidRDefault="00871580" w:rsidP="00871580">
      <w:pPr>
        <w:keepNext/>
        <w:keepLines/>
        <w:pageBreakBefore/>
        <w:spacing w:before="240" w:after="0" w:line="240" w:lineRule="auto"/>
        <w:ind w:left="1134" w:hanging="1134"/>
        <w:outlineLvl w:val="2"/>
        <w:rPr>
          <w:rFonts w:ascii="Times New Roman" w:hAnsi="Times New Roman"/>
          <w:b/>
          <w:kern w:val="28"/>
          <w:sz w:val="28"/>
          <w:szCs w:val="20"/>
        </w:rPr>
      </w:pPr>
      <w:bookmarkStart w:id="490" w:name="_Toc418083465"/>
      <w:r w:rsidRPr="00871580">
        <w:rPr>
          <w:rFonts w:ascii="Times New Roman" w:hAnsi="Times New Roman"/>
          <w:b/>
          <w:kern w:val="28"/>
          <w:sz w:val="28"/>
          <w:szCs w:val="20"/>
        </w:rPr>
        <w:lastRenderedPageBreak/>
        <w:t>Division 6—Register of industry codes and industry standards</w:t>
      </w:r>
      <w:bookmarkEnd w:id="490"/>
    </w:p>
    <w:p w14:paraId="3E475FF5"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91" w:name="_Toc418083466"/>
      <w:r w:rsidRPr="00871580">
        <w:rPr>
          <w:rFonts w:ascii="Times New Roman" w:hAnsi="Times New Roman"/>
          <w:b/>
          <w:kern w:val="28"/>
          <w:sz w:val="24"/>
          <w:szCs w:val="20"/>
        </w:rPr>
        <w:t>136  ACMA to maintain Register of industry codes and industry standards</w:t>
      </w:r>
      <w:bookmarkEnd w:id="491"/>
    </w:p>
    <w:p w14:paraId="53390E13"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The ACMA is to maintain a Register in which the ACMA includes:</w:t>
      </w:r>
    </w:p>
    <w:p w14:paraId="4EDDC119"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all industry codes required to be registered under this Part, as those codes are in force from time to time; and</w:t>
      </w:r>
    </w:p>
    <w:p w14:paraId="2C45BFE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all industry standards; and</w:t>
      </w:r>
    </w:p>
    <w:p w14:paraId="0ADF3F3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all requests made under section 118; and</w:t>
      </w:r>
    </w:p>
    <w:p w14:paraId="3188A2A1"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all notices under section 119; and</w:t>
      </w:r>
    </w:p>
    <w:p w14:paraId="61D3D42D"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(e)</w:t>
      </w:r>
      <w:r w:rsidRPr="00871580">
        <w:rPr>
          <w:rFonts w:ascii="Times New Roman" w:hAnsi="Times New Roman"/>
          <w:sz w:val="22"/>
          <w:szCs w:val="20"/>
        </w:rPr>
        <w:tab/>
        <w:t>all directions given under section 121.</w:t>
      </w:r>
    </w:p>
    <w:p w14:paraId="167FAC73"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(1A)</w:t>
      </w:r>
      <w:r w:rsidRPr="00871580">
        <w:rPr>
          <w:rFonts w:ascii="Times New Roman" w:hAnsi="Times New Roman"/>
          <w:sz w:val="22"/>
          <w:szCs w:val="20"/>
        </w:rPr>
        <w:tab/>
        <w:t>Paragraph (1)(a) does not require the ACMA to continue to include in the Register an industry code, or a provision of an industry code, removed from the Register under section 122A.</w:t>
      </w:r>
    </w:p>
    <w:p w14:paraId="3B07730C"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The Register may be maintained by electronic means.</w:t>
      </w:r>
    </w:p>
    <w:p w14:paraId="27D560D6"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w:t>
      </w:r>
      <w:r w:rsidRPr="00871580">
        <w:rPr>
          <w:rFonts w:ascii="Times New Roman" w:hAnsi="Times New Roman"/>
          <w:sz w:val="22"/>
          <w:szCs w:val="20"/>
        </w:rPr>
        <w:tab/>
        <w:t xml:space="preserve">A person may, on payment of the charge (if any) fixed by a determination under section 60 of the </w:t>
      </w:r>
      <w:r w:rsidRPr="00871580">
        <w:rPr>
          <w:rFonts w:ascii="Times New Roman" w:hAnsi="Times New Roman"/>
          <w:i/>
          <w:sz w:val="22"/>
          <w:szCs w:val="20"/>
        </w:rPr>
        <w:t>Australian Communications and Media Authority Act 2005</w:t>
      </w:r>
      <w:r w:rsidRPr="00871580">
        <w:rPr>
          <w:rFonts w:ascii="Times New Roman" w:hAnsi="Times New Roman"/>
          <w:sz w:val="22"/>
          <w:szCs w:val="20"/>
        </w:rPr>
        <w:t>:</w:t>
      </w:r>
    </w:p>
    <w:p w14:paraId="3FF0C48A"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inspect the Register; and</w:t>
      </w:r>
    </w:p>
    <w:p w14:paraId="12B0B0F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make a copy of, or take extracts from, the Register.</w:t>
      </w:r>
    </w:p>
    <w:p w14:paraId="1F818424"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(4)</w:t>
      </w:r>
      <w:r w:rsidRPr="00871580">
        <w:rPr>
          <w:rFonts w:ascii="Times New Roman" w:hAnsi="Times New Roman"/>
          <w:sz w:val="22"/>
          <w:szCs w:val="20"/>
        </w:rPr>
        <w:tab/>
        <w:t>For the purposes of this section, if the Register is maintained by electronic means, a person is taken to have made a copy of, or taken an extract from, the Register if the ACMA gives the person a printout of, or of the relevant parts of, the Register.</w:t>
      </w:r>
    </w:p>
    <w:p w14:paraId="46B72A73"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(5)</w:t>
      </w:r>
      <w:r w:rsidRPr="00871580">
        <w:rPr>
          <w:rFonts w:ascii="Times New Roman" w:hAnsi="Times New Roman"/>
          <w:sz w:val="22"/>
          <w:szCs w:val="20"/>
        </w:rPr>
        <w:tab/>
        <w:t>If a person requests that a copy be provided in an electronic form, the ACMA may provide the relevant information:</w:t>
      </w:r>
    </w:p>
    <w:p w14:paraId="7BE461A7"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on a data processing device; or</w:t>
      </w:r>
    </w:p>
    <w:p w14:paraId="038348BF" w14:textId="77777777" w:rsidR="00871580" w:rsidRPr="00871580" w:rsidRDefault="00871580" w:rsidP="00871580">
      <w:pPr>
        <w:tabs>
          <w:tab w:val="right" w:pos="1531"/>
        </w:tabs>
        <w:spacing w:before="40" w:after="0" w:line="240" w:lineRule="auto"/>
        <w:ind w:left="1644" w:hanging="1644"/>
        <w:rPr>
          <w:rFonts w:ascii="Times New Roman" w:hAnsi="Times New Roman"/>
          <w:sz w:val="18"/>
          <w:szCs w:val="20"/>
        </w:rPr>
      </w:pPr>
      <w:r w:rsidRPr="00871580">
        <w:rPr>
          <w:rFonts w:ascii="Times New Roman" w:hAnsi="Times New Roman"/>
          <w:sz w:val="22"/>
          <w:szCs w:val="20"/>
        </w:rPr>
        <w:tab/>
        <w:t>(b)</w:t>
      </w:r>
      <w:r w:rsidRPr="00871580">
        <w:rPr>
          <w:rFonts w:ascii="Times New Roman" w:hAnsi="Times New Roman"/>
          <w:sz w:val="22"/>
          <w:szCs w:val="20"/>
        </w:rPr>
        <w:tab/>
        <w:t>by way of electronic transmission</w:t>
      </w:r>
      <w:r w:rsidRPr="00871580">
        <w:rPr>
          <w:rFonts w:ascii="Times New Roman" w:hAnsi="Times New Roman"/>
          <w:sz w:val="18"/>
          <w:szCs w:val="20"/>
        </w:rPr>
        <w:t>.</w:t>
      </w:r>
    </w:p>
    <w:p w14:paraId="5E8A6B47" w14:textId="77777777" w:rsidR="00871580" w:rsidRPr="00871580" w:rsidRDefault="00871580" w:rsidP="00871580">
      <w:pPr>
        <w:keepNext/>
        <w:keepLines/>
        <w:pageBreakBefore/>
        <w:spacing w:before="240" w:after="0" w:line="240" w:lineRule="auto"/>
        <w:ind w:left="1134" w:hanging="1134"/>
        <w:outlineLvl w:val="2"/>
        <w:rPr>
          <w:rFonts w:ascii="Times New Roman" w:hAnsi="Times New Roman"/>
          <w:b/>
          <w:kern w:val="28"/>
          <w:sz w:val="28"/>
          <w:szCs w:val="20"/>
        </w:rPr>
      </w:pPr>
      <w:bookmarkStart w:id="492" w:name="_Toc418083467"/>
      <w:r w:rsidRPr="00871580">
        <w:rPr>
          <w:rFonts w:ascii="Times New Roman" w:hAnsi="Times New Roman"/>
          <w:b/>
          <w:kern w:val="28"/>
          <w:sz w:val="28"/>
          <w:szCs w:val="20"/>
        </w:rPr>
        <w:lastRenderedPageBreak/>
        <w:t>Division 6A—Reimbursement of costs of development or variation of consumer</w:t>
      </w:r>
      <w:r w:rsidRPr="00871580">
        <w:rPr>
          <w:rFonts w:ascii="Times New Roman" w:hAnsi="Times New Roman"/>
          <w:b/>
          <w:kern w:val="28"/>
          <w:sz w:val="28"/>
          <w:szCs w:val="20"/>
        </w:rPr>
        <w:noBreakHyphen/>
        <w:t>related industry codes</w:t>
      </w:r>
      <w:bookmarkEnd w:id="492"/>
    </w:p>
    <w:p w14:paraId="7F425CDA"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93" w:name="_Toc418083468"/>
      <w:r w:rsidRPr="00871580">
        <w:rPr>
          <w:rFonts w:ascii="Times New Roman" w:hAnsi="Times New Roman"/>
          <w:b/>
          <w:kern w:val="28"/>
          <w:sz w:val="24"/>
          <w:szCs w:val="20"/>
        </w:rPr>
        <w:t>136A  Application for eligibility for reimbursement of costs of development or variation of consumer</w:t>
      </w:r>
      <w:r w:rsidRPr="00871580">
        <w:rPr>
          <w:rFonts w:ascii="Times New Roman" w:hAnsi="Times New Roman"/>
          <w:b/>
          <w:kern w:val="28"/>
          <w:sz w:val="24"/>
          <w:szCs w:val="20"/>
        </w:rPr>
        <w:noBreakHyphen/>
        <w:t>related industry code</w:t>
      </w:r>
      <w:bookmarkEnd w:id="493"/>
    </w:p>
    <w:p w14:paraId="2FF12423"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If a body or association proposes to develop or vary an industry code that:</w:t>
      </w:r>
    </w:p>
    <w:p w14:paraId="51041FD1"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applies to participants in a particular section of the telecommunications industry; and</w:t>
      </w:r>
    </w:p>
    <w:p w14:paraId="26456B3F"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deals with one or more matters relating to the telecommunications activities of those participants; and</w:t>
      </w:r>
    </w:p>
    <w:p w14:paraId="50300CF4"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deals wholly or mainly with one or more matters relating to the relationship between carriage service providers and their retail customers;</w:t>
      </w:r>
    </w:p>
    <w:p w14:paraId="5E6DC7E7" w14:textId="77777777" w:rsidR="00871580" w:rsidRPr="00871580" w:rsidRDefault="00871580" w:rsidP="00871580">
      <w:pPr>
        <w:spacing w:before="40" w:after="0" w:line="240" w:lineRule="auto"/>
        <w:ind w:left="1134"/>
        <w:rPr>
          <w:rFonts w:ascii="Times New Roman" w:hAnsi="Times New Roman"/>
          <w:sz w:val="22"/>
          <w:szCs w:val="20"/>
        </w:rPr>
      </w:pPr>
      <w:r w:rsidRPr="00871580">
        <w:rPr>
          <w:rFonts w:ascii="Times New Roman" w:hAnsi="Times New Roman"/>
          <w:sz w:val="22"/>
          <w:szCs w:val="20"/>
        </w:rPr>
        <w:t>the body or association may apply to the ACMA for a declaration that the body or association is eligible for reimbursement of refundable costs incurred by it in developing the code or varying the code, as the case may be.</w:t>
      </w:r>
    </w:p>
    <w:p w14:paraId="349ACBE6" w14:textId="77777777" w:rsidR="00871580" w:rsidRPr="00871580" w:rsidRDefault="00871580" w:rsidP="00871580">
      <w:pPr>
        <w:spacing w:before="122" w:after="0" w:line="240" w:lineRule="auto"/>
        <w:ind w:left="1985" w:hanging="851"/>
        <w:rPr>
          <w:rFonts w:ascii="Times New Roman" w:hAnsi="Times New Roman"/>
          <w:sz w:val="18"/>
          <w:szCs w:val="20"/>
        </w:rPr>
      </w:pPr>
      <w:r w:rsidRPr="00871580">
        <w:rPr>
          <w:rFonts w:ascii="Times New Roman" w:hAnsi="Times New Roman"/>
          <w:sz w:val="18"/>
          <w:szCs w:val="20"/>
        </w:rPr>
        <w:t>Note:</w:t>
      </w:r>
      <w:r w:rsidRPr="00871580">
        <w:rPr>
          <w:rFonts w:ascii="Times New Roman" w:hAnsi="Times New Roman"/>
          <w:sz w:val="18"/>
          <w:szCs w:val="20"/>
        </w:rPr>
        <w:tab/>
        <w:t xml:space="preserve">For </w:t>
      </w:r>
      <w:r w:rsidRPr="00871580">
        <w:rPr>
          <w:rFonts w:ascii="Times New Roman" w:hAnsi="Times New Roman"/>
          <w:b/>
          <w:i/>
          <w:sz w:val="18"/>
          <w:szCs w:val="20"/>
        </w:rPr>
        <w:t>refundable cost</w:t>
      </w:r>
      <w:r w:rsidRPr="00871580">
        <w:rPr>
          <w:rFonts w:ascii="Times New Roman" w:hAnsi="Times New Roman"/>
          <w:sz w:val="18"/>
          <w:szCs w:val="20"/>
        </w:rPr>
        <w:t>, see section 136E.</w:t>
      </w:r>
    </w:p>
    <w:p w14:paraId="318D0E5F"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Form of application etc.</w:t>
      </w:r>
    </w:p>
    <w:p w14:paraId="0B6D27DC"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An application must be:</w:t>
      </w:r>
    </w:p>
    <w:p w14:paraId="759ED22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in writing; and</w:t>
      </w:r>
    </w:p>
    <w:p w14:paraId="68F00019"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in accordance with the form approved in writing by the ACMA; and</w:t>
      </w:r>
    </w:p>
    <w:p w14:paraId="5A409D44"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accompanied by:</w:t>
      </w:r>
    </w:p>
    <w:p w14:paraId="7BDE1FE7"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an estimate of the total of the refundable costs likely to be incurred by the body or association in developing the code or varying the code, as the case may be; and</w:t>
      </w:r>
    </w:p>
    <w:p w14:paraId="137AD7D5"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w:t>
      </w:r>
      <w:r w:rsidRPr="00871580">
        <w:rPr>
          <w:rFonts w:ascii="Times New Roman" w:hAnsi="Times New Roman"/>
          <w:sz w:val="22"/>
          <w:szCs w:val="20"/>
        </w:rPr>
        <w:tab/>
        <w:t>a statement breaking down that estimate into categories of refundable costs.</w:t>
      </w:r>
    </w:p>
    <w:p w14:paraId="6AB6C40B"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Further information</w:t>
      </w:r>
    </w:p>
    <w:p w14:paraId="008BC6A5"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w:t>
      </w:r>
      <w:r w:rsidRPr="00871580">
        <w:rPr>
          <w:rFonts w:ascii="Times New Roman" w:hAnsi="Times New Roman"/>
          <w:sz w:val="22"/>
          <w:szCs w:val="20"/>
        </w:rPr>
        <w:tab/>
        <w:t>The ACMA may, within 20 business days after an application is made, request the applicant to give the ACMA, within the period specified in the request, further information about the application.</w:t>
      </w:r>
    </w:p>
    <w:p w14:paraId="0D5069F5"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(4)</w:t>
      </w:r>
      <w:r w:rsidRPr="00871580">
        <w:rPr>
          <w:rFonts w:ascii="Times New Roman" w:hAnsi="Times New Roman"/>
          <w:sz w:val="22"/>
          <w:szCs w:val="20"/>
        </w:rPr>
        <w:tab/>
        <w:t>The ACMA may refuse to consider the application until the applicant gives the ACMA the information.</w:t>
      </w:r>
    </w:p>
    <w:p w14:paraId="60FD9074"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Definition</w:t>
      </w:r>
    </w:p>
    <w:p w14:paraId="7A9B9D2C"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(5)</w:t>
      </w:r>
      <w:r w:rsidRPr="00871580">
        <w:rPr>
          <w:rFonts w:ascii="Times New Roman" w:hAnsi="Times New Roman"/>
          <w:sz w:val="22"/>
          <w:szCs w:val="20"/>
        </w:rPr>
        <w:tab/>
        <w:t>In this section:</w:t>
      </w:r>
    </w:p>
    <w:p w14:paraId="3EE9A037" w14:textId="77777777" w:rsidR="00871580" w:rsidRPr="00871580" w:rsidRDefault="00871580" w:rsidP="00871580">
      <w:pPr>
        <w:spacing w:before="180" w:after="0" w:line="240" w:lineRule="auto"/>
        <w:ind w:left="1134"/>
        <w:rPr>
          <w:rFonts w:ascii="Times New Roman" w:hAnsi="Times New Roman"/>
          <w:sz w:val="22"/>
          <w:szCs w:val="20"/>
        </w:rPr>
      </w:pPr>
      <w:r w:rsidRPr="00871580">
        <w:rPr>
          <w:rFonts w:ascii="Times New Roman" w:hAnsi="Times New Roman"/>
          <w:b/>
          <w:i/>
          <w:sz w:val="22"/>
          <w:szCs w:val="20"/>
        </w:rPr>
        <w:t>business day</w:t>
      </w:r>
      <w:r w:rsidRPr="00871580">
        <w:rPr>
          <w:rFonts w:ascii="Times New Roman" w:hAnsi="Times New Roman"/>
          <w:sz w:val="22"/>
          <w:szCs w:val="20"/>
        </w:rPr>
        <w:t xml:space="preserve"> means a day on which the ACMA is open for business in the </w:t>
      </w:r>
      <w:smartTag w:uri="urn:schemas-microsoft-com:office:smarttags" w:element="State">
        <w:smartTag w:uri="urn:schemas-microsoft-com:office:smarttags" w:element="place">
          <w:r w:rsidRPr="00871580">
            <w:rPr>
              <w:rFonts w:ascii="Times New Roman" w:hAnsi="Times New Roman"/>
              <w:sz w:val="22"/>
              <w:szCs w:val="20"/>
            </w:rPr>
            <w:t>Australian Capital Territory</w:t>
          </w:r>
        </w:smartTag>
      </w:smartTag>
      <w:r w:rsidRPr="00871580">
        <w:rPr>
          <w:rFonts w:ascii="Times New Roman" w:hAnsi="Times New Roman"/>
          <w:sz w:val="22"/>
          <w:szCs w:val="20"/>
        </w:rPr>
        <w:t xml:space="preserve"> and in </w:t>
      </w:r>
      <w:smartTag w:uri="urn:schemas-microsoft-com:office:smarttags" w:element="State">
        <w:smartTag w:uri="urn:schemas-microsoft-com:office:smarttags" w:element="place">
          <w:r w:rsidRPr="00871580">
            <w:rPr>
              <w:rFonts w:ascii="Times New Roman" w:hAnsi="Times New Roman"/>
              <w:sz w:val="22"/>
              <w:szCs w:val="20"/>
            </w:rPr>
            <w:t>Victoria</w:t>
          </w:r>
        </w:smartTag>
      </w:smartTag>
      <w:r w:rsidRPr="00871580">
        <w:rPr>
          <w:rFonts w:ascii="Times New Roman" w:hAnsi="Times New Roman"/>
          <w:sz w:val="22"/>
          <w:szCs w:val="20"/>
        </w:rPr>
        <w:t>.</w:t>
      </w:r>
    </w:p>
    <w:p w14:paraId="23B421F1"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94" w:name="_Toc418083469"/>
      <w:r w:rsidRPr="00871580">
        <w:rPr>
          <w:rFonts w:ascii="Times New Roman" w:hAnsi="Times New Roman"/>
          <w:b/>
          <w:kern w:val="28"/>
          <w:sz w:val="24"/>
          <w:szCs w:val="20"/>
        </w:rPr>
        <w:lastRenderedPageBreak/>
        <w:t>136B  Declaration of eligibility for reimbursement of costs of development or variation of consumer</w:t>
      </w:r>
      <w:r w:rsidRPr="00871580">
        <w:rPr>
          <w:rFonts w:ascii="Times New Roman" w:hAnsi="Times New Roman"/>
          <w:b/>
          <w:kern w:val="28"/>
          <w:sz w:val="24"/>
          <w:szCs w:val="20"/>
        </w:rPr>
        <w:noBreakHyphen/>
        <w:t>related industry code</w:t>
      </w:r>
      <w:bookmarkEnd w:id="494"/>
    </w:p>
    <w:p w14:paraId="5086EAB9"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Development of code</w:t>
      </w:r>
    </w:p>
    <w:p w14:paraId="62E7A2AE"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If a body or association makes an application under subsection 136A(1) for a declaration in relation to the development of a code, the ACMA must make the declaration if it is satisfied that:</w:t>
      </w:r>
    </w:p>
    <w:p w14:paraId="6B58E77E"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the body or association represents the section of the telecommunications industry referred to in paragraph 136A(1)(a); and</w:t>
      </w:r>
    </w:p>
    <w:p w14:paraId="4CB5B765"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the code will deal wholly or mainly with one or more matters relating to the relationship between carriage service providers and their retail customers; and</w:t>
      </w:r>
    </w:p>
    <w:p w14:paraId="724989CF"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the process for developing the code, as outlined in the application, is likely to ensure that the interests of those retail customers are adequately represented in relation to the development of the code; and</w:t>
      </w:r>
    </w:p>
    <w:p w14:paraId="0A38CE87"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the total of the refundable costs likely to be incurred by the body or association in developing the code, as set out in the estimate that accompanied the application, is reasonable.</w:t>
      </w:r>
    </w:p>
    <w:p w14:paraId="4057BC21"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If the ACMA is not satisfied as to the matters set out in subsection (1), the ACMA must, by written notice given to the applicant, refuse to make the declaration.</w:t>
      </w:r>
    </w:p>
    <w:p w14:paraId="00D9027A"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Variation of code</w:t>
      </w:r>
    </w:p>
    <w:p w14:paraId="2040B68C"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(2A)</w:t>
      </w:r>
      <w:r w:rsidRPr="00871580">
        <w:rPr>
          <w:rFonts w:ascii="Times New Roman" w:hAnsi="Times New Roman"/>
          <w:sz w:val="22"/>
          <w:szCs w:val="20"/>
        </w:rPr>
        <w:tab/>
        <w:t>If a body or association makes an application under subsection 136A(1) for a declaration in relation to the variation of a code, the ACMA must make the declaration if it is satisfied that:</w:t>
      </w:r>
    </w:p>
    <w:p w14:paraId="6DA7E37D"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the body or association represents the section of the telecommunications industry referred to in paragraph 136A(1)(a); and</w:t>
      </w:r>
    </w:p>
    <w:p w14:paraId="5CCF1474"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the code is registered under this Part; and</w:t>
      </w:r>
    </w:p>
    <w:p w14:paraId="0F5086E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the code deals wholly or mainly with one or more matters relating to the relationship between carriage service providers and their retail customers; and</w:t>
      </w:r>
    </w:p>
    <w:p w14:paraId="1F5305F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the process for varying the code, as outlined in the application, is likely to ensure that the interests of those retail customers are adequately represented in relation to the variation of the code; and</w:t>
      </w:r>
    </w:p>
    <w:p w14:paraId="4F1865E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(e)</w:t>
      </w:r>
      <w:r w:rsidRPr="00871580">
        <w:rPr>
          <w:rFonts w:ascii="Times New Roman" w:hAnsi="Times New Roman"/>
          <w:sz w:val="22"/>
          <w:szCs w:val="20"/>
        </w:rPr>
        <w:tab/>
        <w:t>the total of the refundable costs likely to be incurred by the body or association in varying the code, as set out in the estimate that accompanied the application, is reasonable.</w:t>
      </w:r>
    </w:p>
    <w:p w14:paraId="7609A627"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(2B)</w:t>
      </w:r>
      <w:r w:rsidRPr="00871580">
        <w:rPr>
          <w:rFonts w:ascii="Times New Roman" w:hAnsi="Times New Roman"/>
          <w:sz w:val="22"/>
          <w:szCs w:val="20"/>
        </w:rPr>
        <w:tab/>
        <w:t>If the ACMA is not satisfied as to the matters set out in subsection (2A), the ACMA must, by written notice given to the applicant, refuse to make the declaration.</w:t>
      </w:r>
    </w:p>
    <w:p w14:paraId="6B382D90"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General provisions</w:t>
      </w:r>
    </w:p>
    <w:p w14:paraId="6538CFD7"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w:t>
      </w:r>
      <w:r w:rsidRPr="00871580">
        <w:rPr>
          <w:rFonts w:ascii="Times New Roman" w:hAnsi="Times New Roman"/>
          <w:sz w:val="22"/>
          <w:szCs w:val="20"/>
        </w:rPr>
        <w:tab/>
        <w:t>A declaration under this section is irrevocable, and remains in force for 2 years.</w:t>
      </w:r>
    </w:p>
    <w:p w14:paraId="4F8A65EA"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lastRenderedPageBreak/>
        <w:tab/>
        <w:t>(4)</w:t>
      </w:r>
      <w:r w:rsidRPr="00871580">
        <w:rPr>
          <w:rFonts w:ascii="Times New Roman" w:hAnsi="Times New Roman"/>
          <w:sz w:val="22"/>
          <w:szCs w:val="20"/>
        </w:rPr>
        <w:tab/>
        <w:t xml:space="preserve">A declaration under this section is not a legislative instrument for the purposes of the </w:t>
      </w:r>
      <w:r w:rsidRPr="00871580">
        <w:rPr>
          <w:rFonts w:ascii="Times New Roman" w:hAnsi="Times New Roman"/>
          <w:i/>
          <w:sz w:val="22"/>
          <w:szCs w:val="20"/>
        </w:rPr>
        <w:t>Legislative Instruments Act 2003</w:t>
      </w:r>
      <w:r w:rsidRPr="00871580">
        <w:rPr>
          <w:rFonts w:ascii="Times New Roman" w:hAnsi="Times New Roman"/>
          <w:sz w:val="22"/>
          <w:szCs w:val="20"/>
        </w:rPr>
        <w:t>.</w:t>
      </w:r>
    </w:p>
    <w:p w14:paraId="0B7490B0"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95" w:name="_Toc418083470"/>
      <w:r w:rsidRPr="00871580">
        <w:rPr>
          <w:rFonts w:ascii="Times New Roman" w:hAnsi="Times New Roman"/>
          <w:b/>
          <w:kern w:val="28"/>
          <w:sz w:val="24"/>
          <w:szCs w:val="20"/>
        </w:rPr>
        <w:t>136C  Reimbursement of costs of developing or varying consumer</w:t>
      </w:r>
      <w:r w:rsidRPr="00871580">
        <w:rPr>
          <w:rFonts w:ascii="Times New Roman" w:hAnsi="Times New Roman"/>
          <w:b/>
          <w:kern w:val="28"/>
          <w:sz w:val="24"/>
          <w:szCs w:val="20"/>
        </w:rPr>
        <w:noBreakHyphen/>
        <w:t>related industry code</w:t>
      </w:r>
      <w:bookmarkEnd w:id="495"/>
    </w:p>
    <w:p w14:paraId="11DF58C7"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Reimbursement of costs—development of code</w:t>
      </w:r>
    </w:p>
    <w:p w14:paraId="405D7D8B"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If:</w:t>
      </w:r>
    </w:p>
    <w:p w14:paraId="5DA620A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a section 136B declaration was made in relation to the development of an industry code by a body or association; and</w:t>
      </w:r>
    </w:p>
    <w:p w14:paraId="493E7FE1"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when the section 136B declaration was in force, the body or association gave a copy of the code to the ACMA under section 117; and</w:t>
      </w:r>
    </w:p>
    <w:p w14:paraId="7DBCA7D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the ACMA is satisfied that the code deals wholly or mainly with one or more matters relating to the relationship between carriage service providers and their retail customers; and</w:t>
      </w:r>
    </w:p>
    <w:p w14:paraId="497FB96C"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the ACMA is satisfied that the process for the development of the code ensured that the interests of those retail customers were adequately represented in relation to the development of the code; and</w:t>
      </w:r>
    </w:p>
    <w:p w14:paraId="43F947AA"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(e)</w:t>
      </w:r>
      <w:r w:rsidRPr="00871580">
        <w:rPr>
          <w:rFonts w:ascii="Times New Roman" w:hAnsi="Times New Roman"/>
          <w:sz w:val="22"/>
          <w:szCs w:val="20"/>
        </w:rPr>
        <w:tab/>
        <w:t>the copy of the code was accompanied by:</w:t>
      </w:r>
    </w:p>
    <w:p w14:paraId="4D3F2005"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a written statement itemising one or more costs incurred by the body or association in developing the code; and</w:t>
      </w:r>
    </w:p>
    <w:p w14:paraId="09BC42CD"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w:t>
      </w:r>
      <w:r w:rsidRPr="00871580">
        <w:rPr>
          <w:rFonts w:ascii="Times New Roman" w:hAnsi="Times New Roman"/>
          <w:sz w:val="22"/>
          <w:szCs w:val="20"/>
        </w:rPr>
        <w:tab/>
        <w:t>a written claim for reimbursement of those costs; and</w:t>
      </w:r>
    </w:p>
    <w:p w14:paraId="165B63EE"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(iii)</w:t>
      </w:r>
      <w:r w:rsidRPr="00871580">
        <w:rPr>
          <w:rFonts w:ascii="Times New Roman" w:hAnsi="Times New Roman"/>
          <w:sz w:val="22"/>
          <w:szCs w:val="20"/>
        </w:rPr>
        <w:tab/>
        <w:t>a written declaration by an approved auditor that he or she is of the opinion that the subparagraph (i) statement complies with the approved auditing requirements; and</w:t>
      </w:r>
    </w:p>
    <w:p w14:paraId="4B155071"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(iv)</w:t>
      </w:r>
      <w:r w:rsidRPr="00871580">
        <w:rPr>
          <w:rFonts w:ascii="Times New Roman" w:hAnsi="Times New Roman"/>
          <w:sz w:val="22"/>
          <w:szCs w:val="20"/>
        </w:rPr>
        <w:tab/>
        <w:t>a written statement describing the process for the development of the code; and</w:t>
      </w:r>
    </w:p>
    <w:p w14:paraId="0BBBD49F"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(f)</w:t>
      </w:r>
      <w:r w:rsidRPr="00871580">
        <w:rPr>
          <w:rFonts w:ascii="Times New Roman" w:hAnsi="Times New Roman"/>
          <w:sz w:val="22"/>
          <w:szCs w:val="20"/>
        </w:rPr>
        <w:tab/>
        <w:t>the ACMA is satisfied that each of the costs itemised in the subparagraph (e)(i) statement:</w:t>
      </w:r>
    </w:p>
    <w:p w14:paraId="3FD89BDF"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is a refundable cost incurred by the body or association in developing the code; and</w:t>
      </w:r>
    </w:p>
    <w:p w14:paraId="73E0981E"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w:t>
      </w:r>
      <w:r w:rsidRPr="00871580">
        <w:rPr>
          <w:rFonts w:ascii="Times New Roman" w:hAnsi="Times New Roman"/>
          <w:sz w:val="22"/>
          <w:szCs w:val="20"/>
        </w:rPr>
        <w:tab/>
        <w:t>was incurred when the section 136B declaration was in force;</w:t>
      </w:r>
    </w:p>
    <w:p w14:paraId="0A38BC80" w14:textId="77777777" w:rsidR="00871580" w:rsidRPr="00871580" w:rsidRDefault="00871580" w:rsidP="00871580">
      <w:pPr>
        <w:spacing w:before="40" w:after="0" w:line="240" w:lineRule="auto"/>
        <w:ind w:left="1134"/>
        <w:rPr>
          <w:rFonts w:ascii="Times New Roman" w:hAnsi="Times New Roman"/>
          <w:sz w:val="22"/>
          <w:szCs w:val="20"/>
        </w:rPr>
      </w:pPr>
      <w:r w:rsidRPr="00871580">
        <w:rPr>
          <w:rFonts w:ascii="Times New Roman" w:hAnsi="Times New Roman"/>
          <w:sz w:val="22"/>
          <w:szCs w:val="20"/>
        </w:rPr>
        <w:t>the ACMA must, by written notice given to the body or association, determine that the body or association is entitled to be paid a specified amount.</w:t>
      </w:r>
    </w:p>
    <w:p w14:paraId="3DA428E2" w14:textId="77777777" w:rsidR="00871580" w:rsidRPr="00871580" w:rsidRDefault="00871580" w:rsidP="00871580">
      <w:pPr>
        <w:spacing w:before="122" w:after="0" w:line="240" w:lineRule="auto"/>
        <w:ind w:left="1985" w:hanging="851"/>
        <w:rPr>
          <w:rFonts w:ascii="Times New Roman" w:hAnsi="Times New Roman"/>
          <w:sz w:val="18"/>
          <w:szCs w:val="20"/>
        </w:rPr>
      </w:pPr>
      <w:r w:rsidRPr="00871580">
        <w:rPr>
          <w:rFonts w:ascii="Times New Roman" w:hAnsi="Times New Roman"/>
          <w:sz w:val="18"/>
          <w:szCs w:val="20"/>
        </w:rPr>
        <w:t>Note:</w:t>
      </w:r>
      <w:r w:rsidRPr="00871580">
        <w:rPr>
          <w:rFonts w:ascii="Times New Roman" w:hAnsi="Times New Roman"/>
          <w:sz w:val="18"/>
          <w:szCs w:val="20"/>
        </w:rPr>
        <w:tab/>
        <w:t xml:space="preserve">For </w:t>
      </w:r>
      <w:r w:rsidRPr="00871580">
        <w:rPr>
          <w:rFonts w:ascii="Times New Roman" w:hAnsi="Times New Roman"/>
          <w:b/>
          <w:i/>
          <w:sz w:val="18"/>
          <w:szCs w:val="20"/>
        </w:rPr>
        <w:t>refundable cost</w:t>
      </w:r>
      <w:r w:rsidRPr="00871580">
        <w:rPr>
          <w:rFonts w:ascii="Times New Roman" w:hAnsi="Times New Roman"/>
          <w:sz w:val="18"/>
          <w:szCs w:val="20"/>
        </w:rPr>
        <w:t>, see section 136E.</w:t>
      </w:r>
    </w:p>
    <w:p w14:paraId="5DC12A49"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The specified amount must be equal to whichever is the lesser of the following:</w:t>
      </w:r>
    </w:p>
    <w:p w14:paraId="56801799"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the total of the costs itemised in the subparagraph (1)(e)(i) statement;</w:t>
      </w:r>
    </w:p>
    <w:p w14:paraId="0B1623B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the estimate that accompanied the application for the section 136B declaration.</w:t>
      </w:r>
    </w:p>
    <w:p w14:paraId="6B6438B5"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w:t>
      </w:r>
      <w:r w:rsidRPr="00871580">
        <w:rPr>
          <w:rFonts w:ascii="Times New Roman" w:hAnsi="Times New Roman"/>
          <w:sz w:val="22"/>
          <w:szCs w:val="20"/>
        </w:rPr>
        <w:tab/>
        <w:t>The ACMA, on behalf of the Commonwealth, must pay the specified amount to the body or association within 30 days after the day on which the body or association was notified under subsection (1) of its entitlement to be paid that amount.</w:t>
      </w:r>
    </w:p>
    <w:p w14:paraId="7EE057CF"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lastRenderedPageBreak/>
        <w:t>Reimbursement of costs—variation of code</w:t>
      </w:r>
    </w:p>
    <w:p w14:paraId="7F959B4E"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(3A)</w:t>
      </w:r>
      <w:r w:rsidRPr="00871580">
        <w:rPr>
          <w:rFonts w:ascii="Times New Roman" w:hAnsi="Times New Roman"/>
          <w:sz w:val="22"/>
          <w:szCs w:val="20"/>
        </w:rPr>
        <w:tab/>
        <w:t>If:</w:t>
      </w:r>
    </w:p>
    <w:p w14:paraId="2973E9F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a section 136B declaration was made in relation to the variation of an industry code by a body or association; and</w:t>
      </w:r>
    </w:p>
    <w:p w14:paraId="5EE3482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when the section 136B declaration was in force, the body or association gave a copy of the variation to the ACMA under section 119A; and</w:t>
      </w:r>
    </w:p>
    <w:p w14:paraId="5052D19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the ACMA is satisfied that the code deals wholly or mainly with one or more matters relating to the relationship between carriage service providers and their retail customers; and</w:t>
      </w:r>
    </w:p>
    <w:p w14:paraId="143F38CB"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(d)</w:t>
      </w:r>
      <w:r w:rsidRPr="00871580">
        <w:rPr>
          <w:rFonts w:ascii="Times New Roman" w:hAnsi="Times New Roman"/>
          <w:sz w:val="22"/>
          <w:szCs w:val="20"/>
        </w:rPr>
        <w:tab/>
        <w:t>the ACMA is satisfied that the process for the variation of the code ensured that the interests of those retail customers were adequately represented in relation to the variation of the code; and</w:t>
      </w:r>
    </w:p>
    <w:p w14:paraId="58727A4B"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(e)</w:t>
      </w:r>
      <w:r w:rsidRPr="00871580">
        <w:rPr>
          <w:rFonts w:ascii="Times New Roman" w:hAnsi="Times New Roman"/>
          <w:sz w:val="22"/>
          <w:szCs w:val="20"/>
        </w:rPr>
        <w:tab/>
        <w:t>the copy of the variation was accompanied by:</w:t>
      </w:r>
    </w:p>
    <w:p w14:paraId="3ACA7214"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a written statement itemising one or more costs incurred by the body or association in varying the code; and</w:t>
      </w:r>
    </w:p>
    <w:p w14:paraId="03873326"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w:t>
      </w:r>
      <w:r w:rsidRPr="00871580">
        <w:rPr>
          <w:rFonts w:ascii="Times New Roman" w:hAnsi="Times New Roman"/>
          <w:sz w:val="22"/>
          <w:szCs w:val="20"/>
        </w:rPr>
        <w:tab/>
        <w:t>a written claim for reimbursement of those costs; and</w:t>
      </w:r>
    </w:p>
    <w:p w14:paraId="74C1F006"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(iii)</w:t>
      </w:r>
      <w:r w:rsidRPr="00871580">
        <w:rPr>
          <w:rFonts w:ascii="Times New Roman" w:hAnsi="Times New Roman"/>
          <w:sz w:val="22"/>
          <w:szCs w:val="20"/>
        </w:rPr>
        <w:tab/>
        <w:t>a written declaration by an approved auditor that he or she is of the opinion that the subparagraph (i) statement complies with the approved auditing requirements; and</w:t>
      </w:r>
    </w:p>
    <w:p w14:paraId="4F22115C"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(iv)</w:t>
      </w:r>
      <w:r w:rsidRPr="00871580">
        <w:rPr>
          <w:rFonts w:ascii="Times New Roman" w:hAnsi="Times New Roman"/>
          <w:sz w:val="22"/>
          <w:szCs w:val="20"/>
        </w:rPr>
        <w:tab/>
        <w:t>a written statement describing the process for the variation of the code; and</w:t>
      </w:r>
    </w:p>
    <w:p w14:paraId="6900E7F0"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(f)</w:t>
      </w:r>
      <w:r w:rsidRPr="00871580">
        <w:rPr>
          <w:rFonts w:ascii="Times New Roman" w:hAnsi="Times New Roman"/>
          <w:sz w:val="22"/>
          <w:szCs w:val="20"/>
        </w:rPr>
        <w:tab/>
        <w:t>the ACMA is satisfied that each of the costs itemised in the subparagraph (e)(i) statement:</w:t>
      </w:r>
    </w:p>
    <w:p w14:paraId="62CEC325"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w:t>
      </w:r>
      <w:r w:rsidRPr="00871580">
        <w:rPr>
          <w:rFonts w:ascii="Times New Roman" w:hAnsi="Times New Roman"/>
          <w:sz w:val="22"/>
          <w:szCs w:val="20"/>
        </w:rPr>
        <w:tab/>
        <w:t>is a refundable cost incurred by the body or association in varying the code; and</w:t>
      </w:r>
    </w:p>
    <w:p w14:paraId="31213DEE" w14:textId="77777777" w:rsidR="00871580" w:rsidRPr="00871580" w:rsidRDefault="00871580" w:rsidP="00871580">
      <w:pPr>
        <w:tabs>
          <w:tab w:val="right" w:pos="1985"/>
        </w:tabs>
        <w:spacing w:before="40" w:after="0" w:line="240" w:lineRule="auto"/>
        <w:ind w:left="2098" w:hanging="2098"/>
        <w:rPr>
          <w:rFonts w:ascii="Times New Roman" w:hAnsi="Times New Roman"/>
          <w:sz w:val="22"/>
          <w:szCs w:val="20"/>
        </w:rPr>
      </w:pPr>
      <w:r w:rsidRPr="00871580">
        <w:rPr>
          <w:rFonts w:ascii="Times New Roman" w:hAnsi="Times New Roman"/>
          <w:sz w:val="22"/>
          <w:szCs w:val="20"/>
        </w:rPr>
        <w:tab/>
        <w:t>(ii)</w:t>
      </w:r>
      <w:r w:rsidRPr="00871580">
        <w:rPr>
          <w:rFonts w:ascii="Times New Roman" w:hAnsi="Times New Roman"/>
          <w:sz w:val="22"/>
          <w:szCs w:val="20"/>
        </w:rPr>
        <w:tab/>
        <w:t>was incurred when the section 136B declaration was in force;</w:t>
      </w:r>
    </w:p>
    <w:p w14:paraId="6351A4FB" w14:textId="77777777" w:rsidR="00871580" w:rsidRPr="00871580" w:rsidRDefault="00871580" w:rsidP="00871580">
      <w:pPr>
        <w:spacing w:before="40" w:after="0" w:line="240" w:lineRule="auto"/>
        <w:ind w:left="1134"/>
        <w:rPr>
          <w:rFonts w:ascii="Times New Roman" w:hAnsi="Times New Roman"/>
          <w:sz w:val="22"/>
          <w:szCs w:val="20"/>
        </w:rPr>
      </w:pPr>
      <w:r w:rsidRPr="00871580">
        <w:rPr>
          <w:rFonts w:ascii="Times New Roman" w:hAnsi="Times New Roman"/>
          <w:sz w:val="22"/>
          <w:szCs w:val="20"/>
        </w:rPr>
        <w:t>the ACMA must, by written notice given to the body or association, determine that the body or association is entitled to be paid a specified amount.</w:t>
      </w:r>
    </w:p>
    <w:p w14:paraId="4E332300" w14:textId="77777777" w:rsidR="00871580" w:rsidRPr="00871580" w:rsidRDefault="00871580" w:rsidP="00871580">
      <w:pPr>
        <w:spacing w:before="122" w:after="0" w:line="240" w:lineRule="auto"/>
        <w:ind w:left="1985" w:hanging="851"/>
        <w:rPr>
          <w:rFonts w:ascii="Times New Roman" w:hAnsi="Times New Roman"/>
          <w:sz w:val="18"/>
          <w:szCs w:val="20"/>
        </w:rPr>
      </w:pPr>
      <w:r w:rsidRPr="00871580">
        <w:rPr>
          <w:rFonts w:ascii="Times New Roman" w:hAnsi="Times New Roman"/>
          <w:sz w:val="18"/>
          <w:szCs w:val="20"/>
        </w:rPr>
        <w:t>Note:</w:t>
      </w:r>
      <w:r w:rsidRPr="00871580">
        <w:rPr>
          <w:rFonts w:ascii="Times New Roman" w:hAnsi="Times New Roman"/>
          <w:sz w:val="18"/>
          <w:szCs w:val="20"/>
        </w:rPr>
        <w:tab/>
        <w:t xml:space="preserve">For </w:t>
      </w:r>
      <w:r w:rsidRPr="00871580">
        <w:rPr>
          <w:rFonts w:ascii="Times New Roman" w:hAnsi="Times New Roman"/>
          <w:b/>
          <w:i/>
          <w:sz w:val="18"/>
          <w:szCs w:val="20"/>
        </w:rPr>
        <w:t>refundable cost</w:t>
      </w:r>
      <w:r w:rsidRPr="00871580">
        <w:rPr>
          <w:rFonts w:ascii="Times New Roman" w:hAnsi="Times New Roman"/>
          <w:sz w:val="18"/>
          <w:szCs w:val="20"/>
        </w:rPr>
        <w:t>, see section 136E.</w:t>
      </w:r>
    </w:p>
    <w:p w14:paraId="1AD28D78"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(3B)</w:t>
      </w:r>
      <w:r w:rsidRPr="00871580">
        <w:rPr>
          <w:rFonts w:ascii="Times New Roman" w:hAnsi="Times New Roman"/>
          <w:sz w:val="22"/>
          <w:szCs w:val="20"/>
        </w:rPr>
        <w:tab/>
        <w:t>The specified amount must be equal to whichever is the lesser of the following:</w:t>
      </w:r>
    </w:p>
    <w:p w14:paraId="1A89FF99"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the total of the costs itemised in the subparagraph (3A)(e)(i) statement;</w:t>
      </w:r>
    </w:p>
    <w:p w14:paraId="3B1F639A"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the estimate that accompanied the application for the section 136B declaration.</w:t>
      </w:r>
    </w:p>
    <w:p w14:paraId="3E3CEEAD"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(3C)</w:t>
      </w:r>
      <w:r w:rsidRPr="00871580">
        <w:rPr>
          <w:rFonts w:ascii="Times New Roman" w:hAnsi="Times New Roman"/>
          <w:sz w:val="22"/>
          <w:szCs w:val="20"/>
        </w:rPr>
        <w:tab/>
        <w:t>The ACMA, on behalf of the Commonwealth, must pay the specified amount to the body or association within 30 days after the day on which the body or association was notified under subsection (3A) of its entitlement to be paid that amount.</w:t>
      </w:r>
    </w:p>
    <w:p w14:paraId="429D339F"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Appropriation</w:t>
      </w:r>
    </w:p>
    <w:p w14:paraId="23D22D43"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(4)</w:t>
      </w:r>
      <w:r w:rsidRPr="00871580">
        <w:rPr>
          <w:rFonts w:ascii="Times New Roman" w:hAnsi="Times New Roman"/>
          <w:sz w:val="22"/>
          <w:szCs w:val="20"/>
        </w:rPr>
        <w:tab/>
        <w:t>The Consolidated Revenue Fund is appropriated for payments under this section.</w:t>
      </w:r>
    </w:p>
    <w:p w14:paraId="511F164A" w14:textId="77777777" w:rsidR="00871580" w:rsidRPr="00871580" w:rsidRDefault="00871580" w:rsidP="00871580">
      <w:pPr>
        <w:keepNext/>
        <w:keepLines/>
        <w:spacing w:before="240" w:after="0" w:line="240" w:lineRule="auto"/>
        <w:ind w:left="1134"/>
        <w:rPr>
          <w:rFonts w:ascii="Times New Roman" w:hAnsi="Times New Roman"/>
          <w:i/>
          <w:sz w:val="22"/>
          <w:szCs w:val="20"/>
        </w:rPr>
      </w:pPr>
      <w:r w:rsidRPr="00871580">
        <w:rPr>
          <w:rFonts w:ascii="Times New Roman" w:hAnsi="Times New Roman"/>
          <w:i/>
          <w:sz w:val="22"/>
          <w:szCs w:val="20"/>
        </w:rPr>
        <w:t>Approved auditors and approved auditing requirements</w:t>
      </w:r>
    </w:p>
    <w:p w14:paraId="30A70281"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(5)</w:t>
      </w:r>
      <w:r w:rsidRPr="00871580">
        <w:rPr>
          <w:rFonts w:ascii="Times New Roman" w:hAnsi="Times New Roman"/>
          <w:sz w:val="22"/>
          <w:szCs w:val="20"/>
        </w:rPr>
        <w:tab/>
        <w:t>The ACMA may make a written determination specifying:</w:t>
      </w:r>
    </w:p>
    <w:p w14:paraId="1217DEBD"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lastRenderedPageBreak/>
        <w:tab/>
        <w:t>(a)</w:t>
      </w:r>
      <w:r w:rsidRPr="00871580">
        <w:rPr>
          <w:rFonts w:ascii="Times New Roman" w:hAnsi="Times New Roman"/>
          <w:sz w:val="22"/>
          <w:szCs w:val="20"/>
        </w:rPr>
        <w:tab/>
        <w:t xml:space="preserve">the persons who are to be </w:t>
      </w:r>
      <w:r w:rsidRPr="00871580">
        <w:rPr>
          <w:rFonts w:ascii="Times New Roman" w:hAnsi="Times New Roman"/>
          <w:b/>
          <w:i/>
          <w:sz w:val="22"/>
          <w:szCs w:val="20"/>
        </w:rPr>
        <w:t>approved auditors</w:t>
      </w:r>
      <w:r w:rsidRPr="00871580">
        <w:rPr>
          <w:rFonts w:ascii="Times New Roman" w:hAnsi="Times New Roman"/>
          <w:sz w:val="22"/>
          <w:szCs w:val="20"/>
        </w:rPr>
        <w:t xml:space="preserve"> for the purposes of this section; and</w:t>
      </w:r>
    </w:p>
    <w:p w14:paraId="38C8C443"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 xml:space="preserve">the requirements that are to be </w:t>
      </w:r>
      <w:r w:rsidRPr="00871580">
        <w:rPr>
          <w:rFonts w:ascii="Times New Roman" w:hAnsi="Times New Roman"/>
          <w:b/>
          <w:i/>
          <w:sz w:val="22"/>
          <w:szCs w:val="20"/>
        </w:rPr>
        <w:t>approved auditing requirements</w:t>
      </w:r>
      <w:r w:rsidRPr="00871580">
        <w:rPr>
          <w:rFonts w:ascii="Times New Roman" w:hAnsi="Times New Roman"/>
          <w:sz w:val="22"/>
          <w:szCs w:val="20"/>
        </w:rPr>
        <w:t xml:space="preserve"> for the purposes of this section.</w:t>
      </w:r>
    </w:p>
    <w:p w14:paraId="091E22BF" w14:textId="77777777" w:rsidR="00871580" w:rsidRPr="00871580" w:rsidRDefault="00871580" w:rsidP="00871580">
      <w:pPr>
        <w:spacing w:before="122" w:after="0" w:line="240" w:lineRule="auto"/>
        <w:ind w:left="1985" w:hanging="851"/>
        <w:rPr>
          <w:rFonts w:ascii="Times New Roman" w:hAnsi="Times New Roman"/>
          <w:sz w:val="18"/>
          <w:szCs w:val="20"/>
        </w:rPr>
      </w:pPr>
      <w:r w:rsidRPr="00871580">
        <w:rPr>
          <w:rFonts w:ascii="Times New Roman" w:hAnsi="Times New Roman"/>
          <w:sz w:val="18"/>
          <w:szCs w:val="20"/>
        </w:rPr>
        <w:t>Note:</w:t>
      </w:r>
      <w:r w:rsidRPr="00871580">
        <w:rPr>
          <w:rFonts w:ascii="Times New Roman" w:hAnsi="Times New Roman"/>
          <w:sz w:val="18"/>
          <w:szCs w:val="20"/>
        </w:rPr>
        <w:tab/>
        <w:t xml:space="preserve">For specification by class, see subsection 13(3) of the </w:t>
      </w:r>
      <w:r w:rsidRPr="00871580">
        <w:rPr>
          <w:rFonts w:ascii="Times New Roman" w:hAnsi="Times New Roman"/>
          <w:i/>
          <w:sz w:val="18"/>
          <w:szCs w:val="20"/>
        </w:rPr>
        <w:t>Legislative Instruments Act 2003</w:t>
      </w:r>
      <w:r w:rsidRPr="00871580">
        <w:rPr>
          <w:rFonts w:ascii="Times New Roman" w:hAnsi="Times New Roman"/>
          <w:sz w:val="18"/>
          <w:szCs w:val="20"/>
        </w:rPr>
        <w:t>.</w:t>
      </w:r>
    </w:p>
    <w:p w14:paraId="6427BC25"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(6)</w:t>
      </w:r>
      <w:r w:rsidRPr="00871580">
        <w:rPr>
          <w:rFonts w:ascii="Times New Roman" w:hAnsi="Times New Roman"/>
          <w:sz w:val="22"/>
          <w:szCs w:val="20"/>
        </w:rPr>
        <w:tab/>
        <w:t>A determination under subsection (5) has effect accordingly.</w:t>
      </w:r>
    </w:p>
    <w:p w14:paraId="6369D193"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(7)</w:t>
      </w:r>
      <w:r w:rsidRPr="00871580">
        <w:rPr>
          <w:rFonts w:ascii="Times New Roman" w:hAnsi="Times New Roman"/>
          <w:sz w:val="22"/>
          <w:szCs w:val="20"/>
        </w:rPr>
        <w:tab/>
        <w:t xml:space="preserve">A determination under subsection (5) is a legislative instrument for the purposes of the </w:t>
      </w:r>
      <w:r w:rsidRPr="00871580">
        <w:rPr>
          <w:rFonts w:ascii="Times New Roman" w:hAnsi="Times New Roman"/>
          <w:i/>
          <w:sz w:val="22"/>
          <w:szCs w:val="20"/>
        </w:rPr>
        <w:t>Legislative Instruments Act 2003</w:t>
      </w:r>
      <w:r w:rsidRPr="00871580">
        <w:rPr>
          <w:rFonts w:ascii="Times New Roman" w:hAnsi="Times New Roman"/>
          <w:sz w:val="22"/>
          <w:szCs w:val="20"/>
        </w:rPr>
        <w:t>.</w:t>
      </w:r>
    </w:p>
    <w:p w14:paraId="6D99D116"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96" w:name="_Toc418083471"/>
      <w:r w:rsidRPr="00871580">
        <w:rPr>
          <w:rFonts w:ascii="Times New Roman" w:hAnsi="Times New Roman"/>
          <w:b/>
          <w:kern w:val="28"/>
          <w:sz w:val="24"/>
          <w:szCs w:val="20"/>
        </w:rPr>
        <w:t>136D  Costs—transactions between persons not at arm’s length</w:t>
      </w:r>
      <w:bookmarkEnd w:id="496"/>
    </w:p>
    <w:p w14:paraId="40F72D48" w14:textId="77777777" w:rsidR="00871580" w:rsidRPr="00871580" w:rsidRDefault="00871580" w:rsidP="00871580">
      <w:pPr>
        <w:keepNext/>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r>
      <w:r w:rsidRPr="00871580">
        <w:rPr>
          <w:rFonts w:ascii="Times New Roman" w:hAnsi="Times New Roman"/>
          <w:sz w:val="22"/>
          <w:szCs w:val="20"/>
        </w:rPr>
        <w:tab/>
        <w:t>If:</w:t>
      </w:r>
    </w:p>
    <w:p w14:paraId="6590F966"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(a)</w:t>
      </w:r>
      <w:r w:rsidRPr="00871580">
        <w:rPr>
          <w:rFonts w:ascii="Times New Roman" w:hAnsi="Times New Roman"/>
          <w:sz w:val="22"/>
          <w:szCs w:val="20"/>
        </w:rPr>
        <w:tab/>
        <w:t>a body or association has incurred a cost in connection with a transaction where the parties to the transaction are not dealing with each other at arm’s length in relation to the transaction; and</w:t>
      </w:r>
    </w:p>
    <w:p w14:paraId="05BC9A85" w14:textId="77777777" w:rsidR="00871580" w:rsidRPr="00871580" w:rsidRDefault="00871580" w:rsidP="00871580">
      <w:pPr>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(b)</w:t>
      </w:r>
      <w:r w:rsidRPr="00871580">
        <w:rPr>
          <w:rFonts w:ascii="Times New Roman" w:hAnsi="Times New Roman"/>
          <w:sz w:val="22"/>
          <w:szCs w:val="20"/>
        </w:rPr>
        <w:tab/>
        <w:t>apart from this section, the cost is counted for the purposes of the application of this Division to the body or association; and</w:t>
      </w:r>
    </w:p>
    <w:p w14:paraId="2F809957" w14:textId="77777777" w:rsidR="00871580" w:rsidRPr="00871580" w:rsidRDefault="00871580" w:rsidP="00871580">
      <w:pPr>
        <w:keepNext/>
        <w:tabs>
          <w:tab w:val="right" w:pos="1531"/>
        </w:tabs>
        <w:spacing w:before="40" w:after="0" w:line="240" w:lineRule="auto"/>
        <w:ind w:left="1644" w:hanging="1644"/>
        <w:rPr>
          <w:rFonts w:ascii="Times New Roman" w:hAnsi="Times New Roman"/>
          <w:sz w:val="22"/>
          <w:szCs w:val="20"/>
        </w:rPr>
      </w:pPr>
      <w:r w:rsidRPr="00871580">
        <w:rPr>
          <w:rFonts w:ascii="Times New Roman" w:hAnsi="Times New Roman"/>
          <w:sz w:val="22"/>
          <w:szCs w:val="20"/>
        </w:rPr>
        <w:tab/>
        <w:t>(c)</w:t>
      </w:r>
      <w:r w:rsidRPr="00871580">
        <w:rPr>
          <w:rFonts w:ascii="Times New Roman" w:hAnsi="Times New Roman"/>
          <w:sz w:val="22"/>
          <w:szCs w:val="20"/>
        </w:rPr>
        <w:tab/>
        <w:t>the amount of the cost is greater than is reasonable;</w:t>
      </w:r>
    </w:p>
    <w:p w14:paraId="73875AD8" w14:textId="77777777" w:rsidR="00871580" w:rsidRPr="00871580" w:rsidRDefault="00871580" w:rsidP="00871580">
      <w:pPr>
        <w:spacing w:before="40" w:after="0" w:line="240" w:lineRule="auto"/>
        <w:ind w:left="1134"/>
        <w:rPr>
          <w:rFonts w:ascii="Times New Roman" w:hAnsi="Times New Roman"/>
          <w:sz w:val="22"/>
          <w:szCs w:val="20"/>
        </w:rPr>
      </w:pPr>
      <w:r w:rsidRPr="00871580">
        <w:rPr>
          <w:rFonts w:ascii="Times New Roman" w:hAnsi="Times New Roman"/>
          <w:sz w:val="22"/>
          <w:szCs w:val="20"/>
        </w:rPr>
        <w:t>the amount of the cost is taken, for the purposes of the application of this Division in relation to the body or association, to be the amount that would have been reasonable if the parties were dealing with each other at arm’s length.</w:t>
      </w:r>
    </w:p>
    <w:p w14:paraId="2AB5122C" w14:textId="77777777" w:rsidR="00871580" w:rsidRPr="00871580" w:rsidRDefault="00871580" w:rsidP="00871580">
      <w:pPr>
        <w:keepNext/>
        <w:keepLines/>
        <w:spacing w:before="280" w:after="0" w:line="240" w:lineRule="auto"/>
        <w:ind w:left="1134" w:hanging="1134"/>
        <w:outlineLvl w:val="4"/>
        <w:rPr>
          <w:rFonts w:ascii="Times New Roman" w:hAnsi="Times New Roman"/>
          <w:b/>
          <w:kern w:val="28"/>
          <w:sz w:val="24"/>
          <w:szCs w:val="20"/>
        </w:rPr>
      </w:pPr>
      <w:bookmarkStart w:id="497" w:name="_Toc418083472"/>
      <w:r w:rsidRPr="00871580">
        <w:rPr>
          <w:rFonts w:ascii="Times New Roman" w:hAnsi="Times New Roman"/>
          <w:b/>
          <w:kern w:val="28"/>
          <w:sz w:val="24"/>
          <w:szCs w:val="20"/>
        </w:rPr>
        <w:t>136E  Refundable cost</w:t>
      </w:r>
      <w:bookmarkEnd w:id="497"/>
    </w:p>
    <w:p w14:paraId="7F86E5A4"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(1)</w:t>
      </w:r>
      <w:r w:rsidRPr="00871580">
        <w:rPr>
          <w:rFonts w:ascii="Times New Roman" w:hAnsi="Times New Roman"/>
          <w:sz w:val="22"/>
          <w:szCs w:val="20"/>
        </w:rPr>
        <w:tab/>
        <w:t xml:space="preserve">For the purposes of this Division, a </w:t>
      </w:r>
      <w:r w:rsidRPr="00871580">
        <w:rPr>
          <w:rFonts w:ascii="Times New Roman" w:hAnsi="Times New Roman"/>
          <w:b/>
          <w:i/>
          <w:sz w:val="22"/>
          <w:szCs w:val="20"/>
        </w:rPr>
        <w:t>refundable cost</w:t>
      </w:r>
      <w:r w:rsidRPr="00871580">
        <w:rPr>
          <w:rFonts w:ascii="Times New Roman" w:hAnsi="Times New Roman"/>
          <w:sz w:val="22"/>
          <w:szCs w:val="20"/>
        </w:rPr>
        <w:t xml:space="preserve"> incurred by a body or association in developing or varying a code is a cost incurred by the body or association in developing the code or varying the code, as the case may be, other than a cost specified in a written determination made by the ACMA under this subsection.</w:t>
      </w:r>
    </w:p>
    <w:p w14:paraId="7524C59A" w14:textId="77777777" w:rsidR="00871580" w:rsidRPr="00871580" w:rsidRDefault="00871580" w:rsidP="00871580">
      <w:pPr>
        <w:spacing w:before="122" w:after="0" w:line="240" w:lineRule="auto"/>
        <w:ind w:left="1985" w:hanging="851"/>
        <w:rPr>
          <w:rFonts w:ascii="Times New Roman" w:hAnsi="Times New Roman"/>
          <w:sz w:val="18"/>
          <w:szCs w:val="20"/>
        </w:rPr>
      </w:pPr>
      <w:r w:rsidRPr="00871580">
        <w:rPr>
          <w:rFonts w:ascii="Times New Roman" w:hAnsi="Times New Roman"/>
          <w:sz w:val="18"/>
          <w:szCs w:val="20"/>
        </w:rPr>
        <w:t>Note:</w:t>
      </w:r>
      <w:r w:rsidRPr="00871580">
        <w:rPr>
          <w:rFonts w:ascii="Times New Roman" w:hAnsi="Times New Roman"/>
          <w:sz w:val="18"/>
          <w:szCs w:val="20"/>
        </w:rPr>
        <w:tab/>
        <w:t xml:space="preserve">For specification by class, see subsection 13(3) of the </w:t>
      </w:r>
      <w:r w:rsidRPr="00871580">
        <w:rPr>
          <w:rFonts w:ascii="Times New Roman" w:hAnsi="Times New Roman"/>
          <w:i/>
          <w:sz w:val="18"/>
          <w:szCs w:val="20"/>
        </w:rPr>
        <w:t>Legislative Instruments Act 2003</w:t>
      </w:r>
      <w:r w:rsidRPr="00871580">
        <w:rPr>
          <w:rFonts w:ascii="Times New Roman" w:hAnsi="Times New Roman"/>
          <w:sz w:val="18"/>
          <w:szCs w:val="20"/>
        </w:rPr>
        <w:t>.</w:t>
      </w:r>
    </w:p>
    <w:p w14:paraId="1EBD9D0F" w14:textId="77777777" w:rsidR="00871580" w:rsidRPr="00871580" w:rsidRDefault="00871580" w:rsidP="00871580">
      <w:pPr>
        <w:tabs>
          <w:tab w:val="right" w:pos="1021"/>
        </w:tabs>
        <w:spacing w:before="180" w:after="0" w:line="240" w:lineRule="auto"/>
        <w:ind w:left="1134" w:hanging="1134"/>
        <w:rPr>
          <w:rFonts w:ascii="Times New Roman" w:hAnsi="Times New Roman"/>
          <w:sz w:val="22"/>
          <w:szCs w:val="20"/>
        </w:rPr>
      </w:pPr>
      <w:r w:rsidRPr="00871580">
        <w:rPr>
          <w:rFonts w:ascii="Times New Roman" w:hAnsi="Times New Roman"/>
          <w:sz w:val="22"/>
          <w:szCs w:val="20"/>
        </w:rPr>
        <w:tab/>
        <w:t>(2)</w:t>
      </w:r>
      <w:r w:rsidRPr="00871580">
        <w:rPr>
          <w:rFonts w:ascii="Times New Roman" w:hAnsi="Times New Roman"/>
          <w:sz w:val="22"/>
          <w:szCs w:val="20"/>
        </w:rPr>
        <w:tab/>
        <w:t xml:space="preserve">A determination under subsection (1) is a legislative instrument for the purposes of the </w:t>
      </w:r>
      <w:r w:rsidRPr="00871580">
        <w:rPr>
          <w:rFonts w:ascii="Times New Roman" w:hAnsi="Times New Roman"/>
          <w:i/>
          <w:sz w:val="22"/>
          <w:szCs w:val="20"/>
        </w:rPr>
        <w:t>Legislative Instruments Act 2003</w:t>
      </w:r>
      <w:r w:rsidRPr="00871580">
        <w:rPr>
          <w:rFonts w:ascii="Times New Roman" w:hAnsi="Times New Roman"/>
          <w:sz w:val="22"/>
          <w:szCs w:val="20"/>
        </w:rPr>
        <w:t>.</w:t>
      </w:r>
    </w:p>
    <w:p w14:paraId="6C1AEDF9" w14:textId="6877EC50" w:rsidR="00350467" w:rsidRDefault="00D96860" w:rsidP="00D96860">
      <w:pPr>
        <w:pStyle w:val="Heading1"/>
      </w:pPr>
      <w:bookmarkStart w:id="498" w:name="_Toc428450696"/>
      <w:r>
        <w:lastRenderedPageBreak/>
        <w:t xml:space="preserve">Appendix </w:t>
      </w:r>
      <w:r w:rsidR="00343367">
        <w:t>B—</w:t>
      </w:r>
      <w:r>
        <w:t>Code drafting principles</w:t>
      </w:r>
      <w:bookmarkEnd w:id="498"/>
    </w:p>
    <w:p w14:paraId="6028531B" w14:textId="23E7212F" w:rsidR="00D96860" w:rsidRPr="00580EE1" w:rsidRDefault="00D96860" w:rsidP="00D96860">
      <w:r w:rsidRPr="00580EE1">
        <w:t>Because registered codes are a form of regulation under the Telecommunications Act</w:t>
      </w:r>
      <w:r w:rsidR="00343367">
        <w:t>,</w:t>
      </w:r>
      <w:r w:rsidRPr="00580EE1">
        <w:t xml:space="preserve"> they must be drafted in accordance with certain legal drafting principles.</w:t>
      </w:r>
      <w:r w:rsidR="001B2C9D">
        <w:t xml:space="preserve"> </w:t>
      </w:r>
      <w:r w:rsidRPr="00580EE1">
        <w:t>Drafting documents according to legal drafting principles is a specialised skill.</w:t>
      </w:r>
      <w:r w:rsidR="001B2C9D">
        <w:t xml:space="preserve"> </w:t>
      </w:r>
      <w:r w:rsidRPr="00580EE1">
        <w:t>Industry bodies should consider obtaining assistance from a person or organisation with the appropriate level of legal drafting expertise before a code is submitted to</w:t>
      </w:r>
      <w:r>
        <w:t xml:space="preserve"> </w:t>
      </w:r>
      <w:r w:rsidRPr="003F3E7A">
        <w:t>the</w:t>
      </w:r>
      <w:r>
        <w:t xml:space="preserve"> A</w:t>
      </w:r>
      <w:r w:rsidRPr="00580EE1">
        <w:t>CMA for registrat</w:t>
      </w:r>
      <w:r>
        <w:t>ion</w:t>
      </w:r>
      <w:r w:rsidR="001B2C9D">
        <w:t xml:space="preserve">. </w:t>
      </w:r>
    </w:p>
    <w:p w14:paraId="06091126" w14:textId="74F0D3D3" w:rsidR="00D96860" w:rsidRPr="00580EE1" w:rsidRDefault="00D96860" w:rsidP="00D96860">
      <w:r w:rsidRPr="00580EE1">
        <w:t>The following generic principles are provided as a brief guide to the legal drafting principles that an industry body should follow when drafting a code.</w:t>
      </w:r>
      <w:r w:rsidR="001B2C9D">
        <w:t xml:space="preserve"> </w:t>
      </w:r>
      <w:r w:rsidRPr="00580EE1">
        <w:t>They are not a substitute for spe</w:t>
      </w:r>
      <w:r>
        <w:t>cialised legal drafting advice.</w:t>
      </w:r>
    </w:p>
    <w:p w14:paraId="24E38638" w14:textId="77777777" w:rsidR="00D96860" w:rsidRPr="00580EE1" w:rsidRDefault="00D96860" w:rsidP="00D96860">
      <w:pPr>
        <w:pStyle w:val="Heading2"/>
      </w:pPr>
      <w:bookmarkStart w:id="499" w:name="_Toc420934522"/>
      <w:bookmarkStart w:id="500" w:name="_Toc428450697"/>
      <w:r w:rsidRPr="00580EE1">
        <w:t>Structure</w:t>
      </w:r>
      <w:bookmarkEnd w:id="499"/>
      <w:bookmarkEnd w:id="500"/>
    </w:p>
    <w:p w14:paraId="47A0DAA6" w14:textId="55FB37FE" w:rsidR="00D96860" w:rsidRPr="00580EE1" w:rsidRDefault="00D96860" w:rsidP="00D96860">
      <w:pPr>
        <w:pStyle w:val="ListBullet"/>
      </w:pPr>
      <w:r w:rsidRPr="00580EE1">
        <w:t>Assess the structure of the document as a whole.</w:t>
      </w:r>
      <w:r w:rsidR="001B2C9D">
        <w:t xml:space="preserve"> </w:t>
      </w:r>
      <w:r w:rsidRPr="00580EE1">
        <w:t>Look at each constituent part to see how it contributes to the whole document.</w:t>
      </w:r>
    </w:p>
    <w:p w14:paraId="00F0F703" w14:textId="77777777" w:rsidR="00D96860" w:rsidRPr="00580EE1" w:rsidRDefault="00D96860" w:rsidP="00D96860">
      <w:pPr>
        <w:pStyle w:val="ListBullet"/>
      </w:pPr>
      <w:r w:rsidRPr="00580EE1">
        <w:t xml:space="preserve">Make sure that the code has a </w:t>
      </w:r>
      <w:r>
        <w:t>logical</w:t>
      </w:r>
      <w:r w:rsidRPr="00580EE1">
        <w:t xml:space="preserve"> order and flows from one provision to another. </w:t>
      </w:r>
    </w:p>
    <w:p w14:paraId="3740E65D" w14:textId="77777777" w:rsidR="00D96860" w:rsidRPr="00580EE1" w:rsidRDefault="00D96860" w:rsidP="00D96860">
      <w:pPr>
        <w:pStyle w:val="ListBullet"/>
      </w:pPr>
      <w:r w:rsidRPr="00580EE1">
        <w:t>Use structuring tools to achieve clarity such as:</w:t>
      </w:r>
    </w:p>
    <w:p w14:paraId="4FD24112" w14:textId="618286B7" w:rsidR="00D96860" w:rsidRPr="00580EE1" w:rsidRDefault="00D96860" w:rsidP="00D96860">
      <w:pPr>
        <w:pStyle w:val="ListBullet2"/>
      </w:pPr>
      <w:r w:rsidRPr="00580EE1">
        <w:t>paragraphing, definitions, and punctuation</w:t>
      </w:r>
    </w:p>
    <w:p w14:paraId="50173930" w14:textId="77777777" w:rsidR="00D96860" w:rsidRPr="00580EE1" w:rsidRDefault="00D96860" w:rsidP="00D96860">
      <w:pPr>
        <w:pStyle w:val="ListBullet2"/>
      </w:pPr>
      <w:r w:rsidRPr="00580EE1">
        <w:t>schedules, plans and appendices.</w:t>
      </w:r>
    </w:p>
    <w:p w14:paraId="25F9C4A0" w14:textId="77777777" w:rsidR="00D96860" w:rsidRPr="00580EE1" w:rsidRDefault="00D96860" w:rsidP="00D96860">
      <w:pPr>
        <w:pStyle w:val="ListBullet"/>
      </w:pPr>
      <w:r w:rsidRPr="00580EE1">
        <w:t>Keep words, sentences and provisions short.</w:t>
      </w:r>
    </w:p>
    <w:p w14:paraId="79F8EDF6" w14:textId="77777777" w:rsidR="00D96860" w:rsidRPr="00580EE1" w:rsidRDefault="00D96860" w:rsidP="00D96860">
      <w:pPr>
        <w:pStyle w:val="ListBullet"/>
      </w:pPr>
      <w:r w:rsidRPr="00580EE1">
        <w:t>Use headings to clearly signal issues and subjects.</w:t>
      </w:r>
    </w:p>
    <w:p w14:paraId="5DCDED47" w14:textId="77777777" w:rsidR="00D96860" w:rsidRPr="00580EE1" w:rsidRDefault="00D96860" w:rsidP="00D96860">
      <w:pPr>
        <w:pStyle w:val="ListBulletLast"/>
      </w:pPr>
      <w:r w:rsidRPr="00580EE1">
        <w:t>Number paragraphs.</w:t>
      </w:r>
    </w:p>
    <w:p w14:paraId="4014A0D3" w14:textId="77777777" w:rsidR="00D96860" w:rsidRPr="00580EE1" w:rsidRDefault="00D96860" w:rsidP="00D96860">
      <w:pPr>
        <w:pStyle w:val="Heading2"/>
      </w:pPr>
      <w:bookmarkStart w:id="501" w:name="_Toc420934523"/>
      <w:bookmarkStart w:id="502" w:name="_Toc428450698"/>
      <w:r w:rsidRPr="00580EE1">
        <w:t>Language</w:t>
      </w:r>
      <w:bookmarkEnd w:id="501"/>
      <w:bookmarkEnd w:id="502"/>
    </w:p>
    <w:p w14:paraId="726A84EF" w14:textId="77777777" w:rsidR="00D96860" w:rsidRPr="00580EE1" w:rsidRDefault="00D96860" w:rsidP="00D96860">
      <w:pPr>
        <w:pStyle w:val="ListBullet"/>
      </w:pPr>
      <w:r w:rsidRPr="00580EE1">
        <w:t xml:space="preserve">Keep language simple by avoiding long and uncommon words. </w:t>
      </w:r>
    </w:p>
    <w:p w14:paraId="7B7AAD32" w14:textId="77777777" w:rsidR="00D96860" w:rsidRPr="00580EE1" w:rsidRDefault="00D96860" w:rsidP="00D96860">
      <w:pPr>
        <w:pStyle w:val="ListBulletLast"/>
      </w:pPr>
      <w:r w:rsidRPr="00580EE1">
        <w:t>Use plain English where possible as this will aid understanding for all readers.</w:t>
      </w:r>
    </w:p>
    <w:p w14:paraId="2C53586B" w14:textId="77777777" w:rsidR="00D96860" w:rsidRPr="00580EE1" w:rsidRDefault="00D96860" w:rsidP="00D96860">
      <w:pPr>
        <w:pStyle w:val="Heading2"/>
      </w:pPr>
      <w:bookmarkStart w:id="503" w:name="_Toc420934524"/>
      <w:bookmarkStart w:id="504" w:name="_Toc428450699"/>
      <w:r w:rsidRPr="00580EE1">
        <w:t>Definitions</w:t>
      </w:r>
      <w:bookmarkEnd w:id="503"/>
      <w:bookmarkEnd w:id="504"/>
    </w:p>
    <w:p w14:paraId="1473C116" w14:textId="77777777" w:rsidR="00D96860" w:rsidRPr="00580EE1" w:rsidRDefault="00D96860" w:rsidP="00D96860">
      <w:pPr>
        <w:pStyle w:val="ListBullet"/>
      </w:pPr>
      <w:r w:rsidRPr="00580EE1">
        <w:t>Use definitions in the following situations:</w:t>
      </w:r>
    </w:p>
    <w:p w14:paraId="37C33605" w14:textId="677711D7" w:rsidR="00D96860" w:rsidRPr="00580EE1" w:rsidRDefault="00D96860" w:rsidP="00D96860">
      <w:pPr>
        <w:pStyle w:val="ListBullet2"/>
      </w:pPr>
      <w:r w:rsidRPr="00580EE1">
        <w:t>when a word has broader than usual meaning</w:t>
      </w:r>
    </w:p>
    <w:p w14:paraId="56FC2D2A" w14:textId="5DF44C81" w:rsidR="00D96860" w:rsidRPr="00580EE1" w:rsidRDefault="00D96860" w:rsidP="00D96860">
      <w:pPr>
        <w:pStyle w:val="ListBullet2"/>
      </w:pPr>
      <w:r w:rsidRPr="00580EE1">
        <w:t>when a word has a narrower meaning than usual</w:t>
      </w:r>
    </w:p>
    <w:p w14:paraId="235D8BD0" w14:textId="0027E42F" w:rsidR="00D96860" w:rsidRPr="00580EE1" w:rsidRDefault="00D96860" w:rsidP="00D96860">
      <w:pPr>
        <w:pStyle w:val="ListBullet2"/>
      </w:pPr>
      <w:r w:rsidRPr="00580EE1">
        <w:t>if the meaning of the word is uncertain</w:t>
      </w:r>
    </w:p>
    <w:p w14:paraId="56C95F16" w14:textId="219FEC4F" w:rsidR="00D96860" w:rsidRPr="00580EE1" w:rsidRDefault="00D96860" w:rsidP="00D96860">
      <w:pPr>
        <w:pStyle w:val="ListBullet2"/>
      </w:pPr>
      <w:r w:rsidRPr="00580EE1">
        <w:t>for technical terms not normally used outside the industry</w:t>
      </w:r>
    </w:p>
    <w:p w14:paraId="0651B57F" w14:textId="77777777" w:rsidR="00D96860" w:rsidRPr="00580EE1" w:rsidRDefault="00D96860" w:rsidP="00D96860">
      <w:pPr>
        <w:pStyle w:val="ListBullet2"/>
      </w:pPr>
      <w:r w:rsidRPr="00580EE1">
        <w:t>for use in place of cross references.</w:t>
      </w:r>
    </w:p>
    <w:p w14:paraId="07AC8F33" w14:textId="0F394ECC" w:rsidR="00D96860" w:rsidRPr="00580EE1" w:rsidRDefault="00D96860" w:rsidP="00D96860">
      <w:pPr>
        <w:pStyle w:val="ListBullet"/>
      </w:pPr>
      <w:r w:rsidRPr="00580EE1">
        <w:t>Defined terms used in the body of the code must be able to be substituted for the full definition in each case.</w:t>
      </w:r>
      <w:r w:rsidR="001B2C9D">
        <w:t xml:space="preserve"> </w:t>
      </w:r>
      <w:r w:rsidRPr="00580EE1">
        <w:t>If definitions cannot be substituted then the definition may have to be changed.</w:t>
      </w:r>
    </w:p>
    <w:p w14:paraId="01FE44A3" w14:textId="77777777" w:rsidR="00D96860" w:rsidRPr="00580EE1" w:rsidRDefault="00D96860" w:rsidP="00D96860">
      <w:pPr>
        <w:pStyle w:val="ListBullet"/>
      </w:pPr>
      <w:r w:rsidRPr="00580EE1">
        <w:t>Consider the following when framing a definition:</w:t>
      </w:r>
    </w:p>
    <w:p w14:paraId="129BE208" w14:textId="15698118" w:rsidR="00D96860" w:rsidRPr="00580EE1" w:rsidRDefault="00D96860" w:rsidP="00D96860">
      <w:pPr>
        <w:pStyle w:val="ListBullet2"/>
      </w:pPr>
      <w:r w:rsidRPr="00580EE1">
        <w:t>is this a different meaning to normal?</w:t>
      </w:r>
    </w:p>
    <w:p w14:paraId="013B04F6" w14:textId="24908F26" w:rsidR="00D96860" w:rsidRPr="00580EE1" w:rsidRDefault="00D96860" w:rsidP="00D96860">
      <w:pPr>
        <w:pStyle w:val="ListBullet2"/>
      </w:pPr>
      <w:r w:rsidRPr="00580EE1">
        <w:t>what would others in the industry understand?</w:t>
      </w:r>
    </w:p>
    <w:p w14:paraId="59C7E772" w14:textId="58D070A2" w:rsidR="00D96860" w:rsidRPr="00580EE1" w:rsidRDefault="00D96860" w:rsidP="00E370DD">
      <w:pPr>
        <w:pStyle w:val="ListBullet2"/>
      </w:pPr>
      <w:r w:rsidRPr="00580EE1">
        <w:t>what would consumers understand?</w:t>
      </w:r>
    </w:p>
    <w:p w14:paraId="6506F1C7" w14:textId="77777777" w:rsidR="00D96860" w:rsidRPr="00580EE1" w:rsidRDefault="00D96860" w:rsidP="0072565A">
      <w:pPr>
        <w:pStyle w:val="Heading2"/>
      </w:pPr>
      <w:bookmarkStart w:id="505" w:name="_Toc456165508"/>
      <w:bookmarkStart w:id="506" w:name="_Toc456165838"/>
      <w:bookmarkStart w:id="507" w:name="_Toc420934525"/>
      <w:bookmarkStart w:id="508" w:name="_Toc428450700"/>
      <w:r w:rsidRPr="00580EE1">
        <w:lastRenderedPageBreak/>
        <w:t>Changing defined terms</w:t>
      </w:r>
      <w:bookmarkEnd w:id="505"/>
      <w:bookmarkEnd w:id="506"/>
      <w:bookmarkEnd w:id="507"/>
      <w:bookmarkEnd w:id="508"/>
    </w:p>
    <w:p w14:paraId="567658AD" w14:textId="77777777" w:rsidR="00D96860" w:rsidRPr="00580EE1" w:rsidRDefault="00D96860" w:rsidP="00D96860">
      <w:pPr>
        <w:pStyle w:val="ListBullet"/>
      </w:pPr>
      <w:r w:rsidRPr="00580EE1">
        <w:t>Try not to change the meaning of a defined term in other parts of the document.</w:t>
      </w:r>
    </w:p>
    <w:p w14:paraId="1534C895" w14:textId="77777777" w:rsidR="00D96860" w:rsidRPr="00580EE1" w:rsidRDefault="00D96860" w:rsidP="00D96860">
      <w:pPr>
        <w:pStyle w:val="ListBulletLast"/>
      </w:pPr>
      <w:r w:rsidRPr="00580EE1">
        <w:t>Where the meaning of defined terms change, repeat the defined term in each section with the qualification.</w:t>
      </w:r>
    </w:p>
    <w:p w14:paraId="24FFA68A" w14:textId="77777777" w:rsidR="00D96860" w:rsidRPr="00580EE1" w:rsidRDefault="00D96860" w:rsidP="00D96860">
      <w:pPr>
        <w:pStyle w:val="Heading2"/>
      </w:pPr>
      <w:bookmarkStart w:id="509" w:name="_Toc456165509"/>
      <w:bookmarkStart w:id="510" w:name="_Toc456165839"/>
      <w:bookmarkStart w:id="511" w:name="_Toc420934526"/>
      <w:bookmarkStart w:id="512" w:name="_Toc428450701"/>
      <w:r w:rsidRPr="00580EE1">
        <w:t>What should definitions not do</w:t>
      </w:r>
      <w:bookmarkEnd w:id="509"/>
      <w:bookmarkEnd w:id="510"/>
      <w:r w:rsidRPr="00580EE1">
        <w:t>?</w:t>
      </w:r>
      <w:bookmarkEnd w:id="511"/>
      <w:bookmarkEnd w:id="512"/>
    </w:p>
    <w:p w14:paraId="7EA4CEA0" w14:textId="4F7DC9CC" w:rsidR="00D96860" w:rsidRPr="00580EE1" w:rsidRDefault="00D96860" w:rsidP="00D96860">
      <w:pPr>
        <w:pStyle w:val="ListBullet"/>
      </w:pPr>
      <w:r w:rsidRPr="00580EE1">
        <w:t>Do not use definitions as substitutes for substantive provisions.</w:t>
      </w:r>
      <w:r w:rsidR="001B2C9D">
        <w:t xml:space="preserve"> </w:t>
      </w:r>
    </w:p>
    <w:p w14:paraId="1397CFCE" w14:textId="77777777" w:rsidR="00D96860" w:rsidRPr="00580EE1" w:rsidRDefault="00D96860" w:rsidP="00D96860">
      <w:pPr>
        <w:pStyle w:val="ListBullet"/>
      </w:pPr>
      <w:r w:rsidRPr="00580EE1">
        <w:t xml:space="preserve">Do not try to impose conditions in definitions. </w:t>
      </w:r>
    </w:p>
    <w:p w14:paraId="420BD918" w14:textId="77777777" w:rsidR="00D96860" w:rsidRPr="00580EE1" w:rsidRDefault="00D96860" w:rsidP="00D96860">
      <w:pPr>
        <w:pStyle w:val="ListBulletLast"/>
      </w:pPr>
      <w:r w:rsidRPr="00580EE1">
        <w:t>Do not omit substantive provisions altogether.</w:t>
      </w:r>
    </w:p>
    <w:p w14:paraId="5B943D97" w14:textId="77777777" w:rsidR="00D96860" w:rsidRPr="00580EE1" w:rsidRDefault="00D96860" w:rsidP="00D96860">
      <w:pPr>
        <w:pStyle w:val="Heading2"/>
      </w:pPr>
      <w:bookmarkStart w:id="513" w:name="_Toc456165510"/>
      <w:bookmarkStart w:id="514" w:name="_Toc456165840"/>
      <w:bookmarkStart w:id="515" w:name="_Toc420934527"/>
      <w:bookmarkStart w:id="516" w:name="_Toc428450702"/>
      <w:r w:rsidRPr="00580EE1">
        <w:t>Precedents</w:t>
      </w:r>
      <w:bookmarkEnd w:id="513"/>
      <w:bookmarkEnd w:id="514"/>
      <w:bookmarkEnd w:id="515"/>
      <w:bookmarkEnd w:id="516"/>
    </w:p>
    <w:p w14:paraId="610BBBD2" w14:textId="27B373DF" w:rsidR="00D96860" w:rsidRPr="00580EE1" w:rsidRDefault="00D96860" w:rsidP="00D96860">
      <w:pPr>
        <w:pStyle w:val="ListBulletLast"/>
      </w:pPr>
      <w:r w:rsidRPr="00580EE1">
        <w:t>Borrow precedents with care.</w:t>
      </w:r>
      <w:r w:rsidR="001B2C9D">
        <w:t xml:space="preserve"> </w:t>
      </w:r>
      <w:r w:rsidRPr="00580EE1">
        <w:t>A precedent has usually been drafted for a different purpose and may contain unsuitable information or unsuitable definitions.</w:t>
      </w:r>
    </w:p>
    <w:p w14:paraId="1A314BB2" w14:textId="77777777" w:rsidR="00D96860" w:rsidRPr="00580EE1" w:rsidRDefault="00D96860" w:rsidP="00D96860">
      <w:pPr>
        <w:pStyle w:val="Heading2"/>
      </w:pPr>
      <w:bookmarkStart w:id="517" w:name="_Toc420934528"/>
      <w:bookmarkStart w:id="518" w:name="_Toc428450703"/>
      <w:r w:rsidRPr="00580EE1">
        <w:t>Style</w:t>
      </w:r>
      <w:bookmarkEnd w:id="517"/>
      <w:bookmarkEnd w:id="518"/>
    </w:p>
    <w:p w14:paraId="7031AE6C" w14:textId="2A7106E8" w:rsidR="00D96860" w:rsidRPr="00580EE1" w:rsidRDefault="00D96860" w:rsidP="00D96860">
      <w:pPr>
        <w:pStyle w:val="ListBullet"/>
      </w:pPr>
      <w:r w:rsidRPr="00580EE1">
        <w:t>Avoid bullet points in codes.</w:t>
      </w:r>
      <w:r w:rsidR="001B2C9D">
        <w:t xml:space="preserve"> </w:t>
      </w:r>
      <w:r w:rsidRPr="00580EE1">
        <w:t>Number all paragraphs.</w:t>
      </w:r>
    </w:p>
    <w:p w14:paraId="3CFD5F5E" w14:textId="77777777" w:rsidR="00D96860" w:rsidRPr="00580EE1" w:rsidRDefault="00D96860" w:rsidP="00D96860">
      <w:pPr>
        <w:pStyle w:val="ListBullet"/>
      </w:pPr>
      <w:r w:rsidRPr="00580EE1">
        <w:t>Avoid visually distracting paragraphs.</w:t>
      </w:r>
    </w:p>
    <w:p w14:paraId="5F4075FC" w14:textId="77777777" w:rsidR="00D96860" w:rsidRPr="00580EE1" w:rsidRDefault="00D96860" w:rsidP="00D96860">
      <w:pPr>
        <w:pStyle w:val="ListBullet"/>
      </w:pPr>
      <w:r w:rsidRPr="00580EE1">
        <w:t>Use short provisions and subprovisions.</w:t>
      </w:r>
    </w:p>
    <w:p w14:paraId="46FB2069" w14:textId="1EA6197A" w:rsidR="00D96860" w:rsidRPr="00580EE1" w:rsidRDefault="00D96860" w:rsidP="00D96860">
      <w:pPr>
        <w:pStyle w:val="ListBulletLast"/>
      </w:pPr>
      <w:r w:rsidRPr="00580EE1">
        <w:t xml:space="preserve">If there are up to </w:t>
      </w:r>
      <w:r w:rsidR="00343367">
        <w:t>four</w:t>
      </w:r>
      <w:r w:rsidR="00343367" w:rsidRPr="00580EE1">
        <w:t xml:space="preserve"> </w:t>
      </w:r>
      <w:r w:rsidRPr="00580EE1">
        <w:t xml:space="preserve">or </w:t>
      </w:r>
      <w:r w:rsidR="00343367">
        <w:t>five</w:t>
      </w:r>
      <w:r w:rsidRPr="00580EE1">
        <w:t xml:space="preserve"> subprovisions in a provision consider splitting the provision into </w:t>
      </w:r>
      <w:r w:rsidR="00343367">
        <w:t>two</w:t>
      </w:r>
      <w:r w:rsidRPr="00580EE1">
        <w:t xml:space="preserve"> or more provisions.</w:t>
      </w:r>
    </w:p>
    <w:p w14:paraId="2B172A26" w14:textId="77777777" w:rsidR="00D96860" w:rsidRPr="00580EE1" w:rsidRDefault="00D96860" w:rsidP="00D96860">
      <w:pPr>
        <w:pStyle w:val="Heading2"/>
      </w:pPr>
      <w:bookmarkStart w:id="519" w:name="_Toc456165511"/>
      <w:bookmarkStart w:id="520" w:name="_Toc420934529"/>
      <w:bookmarkStart w:id="521" w:name="_Toc428450704"/>
      <w:r w:rsidRPr="00580EE1">
        <w:t>Time</w:t>
      </w:r>
      <w:bookmarkEnd w:id="519"/>
      <w:bookmarkEnd w:id="520"/>
      <w:bookmarkEnd w:id="521"/>
    </w:p>
    <w:p w14:paraId="32B8AAA7" w14:textId="77777777" w:rsidR="00D96860" w:rsidRPr="00580EE1" w:rsidRDefault="00D96860" w:rsidP="00D96860">
      <w:pPr>
        <w:pStyle w:val="ListBullet"/>
      </w:pPr>
      <w:r w:rsidRPr="00580EE1">
        <w:t>Define periods of time in the following manner:</w:t>
      </w:r>
    </w:p>
    <w:p w14:paraId="7177A101" w14:textId="0B8A3B08" w:rsidR="00D96860" w:rsidRPr="00580EE1" w:rsidRDefault="00D96860" w:rsidP="00D96860">
      <w:pPr>
        <w:pStyle w:val="ListBullet2"/>
      </w:pPr>
      <w:r w:rsidRPr="00580EE1">
        <w:t>30 days, commencing on the day after...</w:t>
      </w:r>
    </w:p>
    <w:p w14:paraId="1568A97D" w14:textId="5107646C" w:rsidR="00D96860" w:rsidRPr="00580EE1" w:rsidRDefault="00D96860" w:rsidP="00D96860">
      <w:pPr>
        <w:pStyle w:val="ListBullet2"/>
      </w:pPr>
      <w:r w:rsidRPr="00580EE1">
        <w:t>within a period of 30 days, including the day on which...</w:t>
      </w:r>
    </w:p>
    <w:p w14:paraId="6B3AD947" w14:textId="77777777" w:rsidR="00D96860" w:rsidRPr="00580EE1" w:rsidRDefault="00D96860" w:rsidP="00D96860">
      <w:pPr>
        <w:pStyle w:val="ListBullet2"/>
      </w:pPr>
      <w:r w:rsidRPr="00580EE1">
        <w:t>on and from the day on which.....</w:t>
      </w:r>
    </w:p>
    <w:p w14:paraId="4BAE73D3" w14:textId="77777777" w:rsidR="00D96860" w:rsidRPr="00580EE1" w:rsidRDefault="00D96860" w:rsidP="00D96860">
      <w:pPr>
        <w:pStyle w:val="Heading2"/>
      </w:pPr>
      <w:bookmarkStart w:id="522" w:name="_Toc456165512"/>
      <w:bookmarkStart w:id="523" w:name="_Toc420934530"/>
      <w:bookmarkStart w:id="524" w:name="_Toc428450705"/>
      <w:r w:rsidRPr="00580EE1">
        <w:t>When drafting is finished</w:t>
      </w:r>
      <w:bookmarkEnd w:id="522"/>
      <w:bookmarkEnd w:id="523"/>
      <w:bookmarkEnd w:id="524"/>
    </w:p>
    <w:p w14:paraId="7E9E4961" w14:textId="77777777" w:rsidR="00D96860" w:rsidRPr="00580EE1" w:rsidRDefault="00D96860" w:rsidP="00D96860">
      <w:pPr>
        <w:pStyle w:val="ListBullet"/>
      </w:pPr>
      <w:r w:rsidRPr="00580EE1">
        <w:t>Check, check and check it again.</w:t>
      </w:r>
      <w:r>
        <w:t xml:space="preserve"> </w:t>
      </w:r>
      <w:r w:rsidRPr="00580EE1">
        <w:t>Look for:</w:t>
      </w:r>
    </w:p>
    <w:p w14:paraId="19720561" w14:textId="23A47050" w:rsidR="00D96860" w:rsidRPr="00580EE1" w:rsidRDefault="00D96860" w:rsidP="00D96860">
      <w:pPr>
        <w:pStyle w:val="ListBullet2"/>
      </w:pPr>
      <w:r w:rsidRPr="00580EE1">
        <w:t>order and arrangement of provisions</w:t>
      </w:r>
    </w:p>
    <w:p w14:paraId="46450685" w14:textId="76757A63" w:rsidR="00D96860" w:rsidRPr="00580EE1" w:rsidRDefault="00D96860" w:rsidP="00D96860">
      <w:pPr>
        <w:pStyle w:val="ListBullet2"/>
      </w:pPr>
      <w:r w:rsidRPr="00580EE1">
        <w:t>consistency of language</w:t>
      </w:r>
    </w:p>
    <w:p w14:paraId="61180391" w14:textId="13E51331" w:rsidR="00D96860" w:rsidRPr="00580EE1" w:rsidRDefault="00D96860" w:rsidP="00D96860">
      <w:pPr>
        <w:pStyle w:val="ListBullet2"/>
      </w:pPr>
      <w:r w:rsidRPr="00580EE1">
        <w:t>accuracy of references and cross references</w:t>
      </w:r>
    </w:p>
    <w:p w14:paraId="714DB70D" w14:textId="652C2B52" w:rsidR="00D96860" w:rsidRPr="00580EE1" w:rsidRDefault="00D96860" w:rsidP="00D96860">
      <w:pPr>
        <w:pStyle w:val="ListBullet2"/>
      </w:pPr>
      <w:r w:rsidRPr="00580EE1">
        <w:t>correct numbering of clauses and paragraphs</w:t>
      </w:r>
    </w:p>
    <w:p w14:paraId="05485EAE" w14:textId="6A86C5FF" w:rsidR="00D96860" w:rsidRDefault="00D96860" w:rsidP="00E370DD">
      <w:pPr>
        <w:pStyle w:val="ListBullet2"/>
      </w:pPr>
      <w:r w:rsidRPr="00580EE1">
        <w:t>spelling and punctuation.</w:t>
      </w:r>
    </w:p>
    <w:p w14:paraId="4464F468" w14:textId="4F66C657" w:rsidR="007427C5" w:rsidRDefault="007427C5" w:rsidP="007427C5">
      <w:pPr>
        <w:pStyle w:val="Heading1"/>
      </w:pPr>
      <w:bookmarkStart w:id="525" w:name="_Toc428450706"/>
      <w:r>
        <w:lastRenderedPageBreak/>
        <w:t xml:space="preserve">Appendix </w:t>
      </w:r>
      <w:r w:rsidR="00343367">
        <w:t>C—</w:t>
      </w:r>
      <w:r>
        <w:t>Drafting checklist: what codes must contain</w:t>
      </w:r>
      <w:bookmarkEnd w:id="525"/>
    </w:p>
    <w:p w14:paraId="70010049" w14:textId="77777777" w:rsidR="007427C5" w:rsidRPr="00580EE1" w:rsidRDefault="007427C5" w:rsidP="007427C5">
      <w:pPr>
        <w:pStyle w:val="Heading2"/>
      </w:pPr>
      <w:bookmarkStart w:id="526" w:name="_Toc420934532"/>
      <w:bookmarkStart w:id="527" w:name="_Toc428450707"/>
      <w:r w:rsidRPr="00580EE1">
        <w:t>Application of the code</w:t>
      </w:r>
      <w:bookmarkEnd w:id="526"/>
      <w:bookmarkEnd w:id="527"/>
      <w:r w:rsidRPr="00580EE1">
        <w:t xml:space="preserve"> </w:t>
      </w:r>
    </w:p>
    <w:p w14:paraId="7174EDCC" w14:textId="34D3D75D" w:rsidR="007427C5" w:rsidRPr="00580EE1" w:rsidRDefault="007427C5" w:rsidP="007427C5">
      <w:pPr>
        <w:pStyle w:val="ListBullet"/>
      </w:pPr>
      <w:r w:rsidRPr="00580EE1">
        <w:t>the name of the code</w:t>
      </w:r>
    </w:p>
    <w:p w14:paraId="2DD39FED" w14:textId="561DEF94" w:rsidR="007427C5" w:rsidRPr="00580EE1" w:rsidRDefault="007427C5" w:rsidP="007427C5">
      <w:pPr>
        <w:pStyle w:val="ListBullet"/>
      </w:pPr>
      <w:r w:rsidRPr="00580EE1">
        <w:t>the name of the industry body which is initiating and administering the code</w:t>
      </w:r>
    </w:p>
    <w:p w14:paraId="2AAB0178" w14:textId="557CE41F" w:rsidR="007427C5" w:rsidRPr="00580EE1" w:rsidRDefault="007427C5" w:rsidP="007427C5">
      <w:pPr>
        <w:pStyle w:val="ListBullet"/>
      </w:pPr>
      <w:r w:rsidRPr="00580EE1">
        <w:t>the date of commencement of the code</w:t>
      </w:r>
    </w:p>
    <w:p w14:paraId="7D641F2C" w14:textId="577422D8" w:rsidR="007427C5" w:rsidRPr="00580EE1" w:rsidRDefault="007427C5" w:rsidP="007427C5">
      <w:pPr>
        <w:pStyle w:val="ListBullet"/>
      </w:pPr>
      <w:r>
        <w:t xml:space="preserve">whether </w:t>
      </w:r>
      <w:r w:rsidRPr="00580EE1">
        <w:t>the</w:t>
      </w:r>
      <w:r>
        <w:t xml:space="preserve"> </w:t>
      </w:r>
      <w:r w:rsidRPr="00580EE1">
        <w:t>code deals with one or more matters relating to telecommunications,</w:t>
      </w:r>
      <w:r w:rsidR="001B2C9D">
        <w:t xml:space="preserve"> </w:t>
      </w:r>
      <w:r>
        <w:t>fax marketing</w:t>
      </w:r>
      <w:r w:rsidRPr="00580EE1">
        <w:t xml:space="preserve"> or telemarketing activities</w:t>
      </w:r>
    </w:p>
    <w:p w14:paraId="050CDF3D" w14:textId="77777777" w:rsidR="007427C5" w:rsidRPr="00580EE1" w:rsidRDefault="007427C5" w:rsidP="007427C5">
      <w:pPr>
        <w:pStyle w:val="ListBulletLast"/>
      </w:pPr>
      <w:r w:rsidRPr="00580EE1">
        <w:t>the section or sect</w:t>
      </w:r>
      <w:r w:rsidR="0072565A">
        <w:t>ions of the telecommunications,</w:t>
      </w:r>
      <w:r>
        <w:t xml:space="preserve"> </w:t>
      </w:r>
      <w:r w:rsidR="0072565A" w:rsidRPr="00580EE1">
        <w:t xml:space="preserve">telemarketing </w:t>
      </w:r>
      <w:r w:rsidR="0072565A">
        <w:t xml:space="preserve">or </w:t>
      </w:r>
      <w:r>
        <w:t>fax marketing</w:t>
      </w:r>
      <w:r w:rsidRPr="00580EE1">
        <w:t xml:space="preserve"> industry to which the code applies.</w:t>
      </w:r>
    </w:p>
    <w:p w14:paraId="59DCCB33" w14:textId="77777777" w:rsidR="007427C5" w:rsidRPr="00580EE1" w:rsidRDefault="007427C5" w:rsidP="007427C5">
      <w:pPr>
        <w:pStyle w:val="Heading2"/>
      </w:pPr>
      <w:bookmarkStart w:id="528" w:name="_Toc420934533"/>
      <w:bookmarkStart w:id="529" w:name="_Toc428450708"/>
      <w:r w:rsidRPr="00580EE1">
        <w:t>Content</w:t>
      </w:r>
      <w:bookmarkEnd w:id="528"/>
      <w:bookmarkEnd w:id="529"/>
    </w:p>
    <w:p w14:paraId="066C4B88" w14:textId="77D427AF" w:rsidR="007427C5" w:rsidRPr="00580EE1" w:rsidRDefault="007427C5" w:rsidP="007427C5">
      <w:pPr>
        <w:pStyle w:val="ListBullet"/>
      </w:pPr>
      <w:r w:rsidRPr="00580EE1">
        <w:t>consistent with the objects of the Telecommunications Act</w:t>
      </w:r>
    </w:p>
    <w:p w14:paraId="039A5862" w14:textId="21036262" w:rsidR="007427C5" w:rsidRPr="00580EE1" w:rsidRDefault="007427C5" w:rsidP="007427C5">
      <w:pPr>
        <w:pStyle w:val="ListBullet"/>
      </w:pPr>
      <w:r w:rsidRPr="00580EE1">
        <w:t>consistent with the provisions of the Telecommunications Act and with other legislation</w:t>
      </w:r>
    </w:p>
    <w:p w14:paraId="533D4F03" w14:textId="19E1FC2E" w:rsidR="007427C5" w:rsidRPr="00580EE1" w:rsidRDefault="007427C5" w:rsidP="007427C5">
      <w:pPr>
        <w:pStyle w:val="ListBullet"/>
      </w:pPr>
      <w:r w:rsidRPr="00580EE1">
        <w:t>consistent with codes already registered with</w:t>
      </w:r>
      <w:r>
        <w:t xml:space="preserve"> </w:t>
      </w:r>
      <w:r w:rsidRPr="003F3E7A">
        <w:t>the</w:t>
      </w:r>
      <w:r>
        <w:t xml:space="preserve"> </w:t>
      </w:r>
      <w:r w:rsidRPr="00580EE1">
        <w:t>ACMA</w:t>
      </w:r>
    </w:p>
    <w:p w14:paraId="720D14C2" w14:textId="0D943B7E" w:rsidR="007427C5" w:rsidRPr="00580EE1" w:rsidRDefault="007427C5" w:rsidP="007427C5">
      <w:pPr>
        <w:pStyle w:val="ListBullet"/>
      </w:pPr>
      <w:r w:rsidRPr="00580EE1">
        <w:t>contains a comprehensive set of rules which are directed at achieving, and measuring the achievement of, the code objectives</w:t>
      </w:r>
    </w:p>
    <w:p w14:paraId="7AE23B2D" w14:textId="0ABB0EE4" w:rsidR="007427C5" w:rsidRPr="00580EE1" w:rsidRDefault="007427C5" w:rsidP="007427C5">
      <w:pPr>
        <w:pStyle w:val="ListBullet"/>
      </w:pPr>
      <w:r w:rsidRPr="00580EE1">
        <w:t>rules are expressed predominantly in mandatory terms such as ‘must’ instead of ‘should’ or ‘may’</w:t>
      </w:r>
    </w:p>
    <w:p w14:paraId="54053258" w14:textId="45370A8F" w:rsidR="007427C5" w:rsidRPr="00580EE1" w:rsidRDefault="007427C5" w:rsidP="007427C5">
      <w:pPr>
        <w:pStyle w:val="ListBullet"/>
      </w:pPr>
      <w:r w:rsidRPr="00580EE1">
        <w:t xml:space="preserve">substantially relates to matters that are within </w:t>
      </w:r>
      <w:r w:rsidRPr="003F3E7A">
        <w:t>the</w:t>
      </w:r>
      <w:r>
        <w:t xml:space="preserve"> </w:t>
      </w:r>
      <w:r w:rsidRPr="00580EE1">
        <w:t>ACMA's jurisdiction</w:t>
      </w:r>
    </w:p>
    <w:p w14:paraId="666943B1" w14:textId="6B9CDF98" w:rsidR="007427C5" w:rsidRPr="00580EE1" w:rsidRDefault="007427C5" w:rsidP="007427C5">
      <w:pPr>
        <w:pStyle w:val="ListBullet"/>
      </w:pPr>
      <w:r w:rsidRPr="00580EE1">
        <w:t>does not prescribe pecuniary penalties for breaches of code rules</w:t>
      </w:r>
    </w:p>
    <w:p w14:paraId="6F56C274" w14:textId="7C3ACDA4" w:rsidR="007427C5" w:rsidRPr="00580EE1" w:rsidRDefault="007427C5" w:rsidP="007427C5">
      <w:pPr>
        <w:pStyle w:val="ListBullet"/>
      </w:pPr>
      <w:r w:rsidRPr="00580EE1">
        <w:t>does not include clauses that indemnify one party against loss suffered as a result of a breach of a code</w:t>
      </w:r>
    </w:p>
    <w:p w14:paraId="6E6EBE38" w14:textId="76EFFD7E" w:rsidR="007427C5" w:rsidRPr="00580EE1" w:rsidRDefault="007427C5" w:rsidP="007427C5">
      <w:pPr>
        <w:pStyle w:val="ListBullet"/>
      </w:pPr>
      <w:r w:rsidRPr="00580EE1">
        <w:t>if it references other documents, such as compliance standards or guidelines, these clauses are appropriately drafted</w:t>
      </w:r>
    </w:p>
    <w:p w14:paraId="298461B5" w14:textId="6FDCC0C8" w:rsidR="007427C5" w:rsidRPr="00580EE1" w:rsidRDefault="007427C5" w:rsidP="007427C5">
      <w:pPr>
        <w:pStyle w:val="ListBullet"/>
      </w:pPr>
      <w:r w:rsidRPr="00580EE1">
        <w:t>if it references bilateral agreements, these clauses are appropriately drafted</w:t>
      </w:r>
    </w:p>
    <w:p w14:paraId="56A51DDE" w14:textId="77777777" w:rsidR="007427C5" w:rsidRPr="00580EE1" w:rsidRDefault="007427C5" w:rsidP="007427C5">
      <w:pPr>
        <w:pStyle w:val="ListBulletLast"/>
      </w:pPr>
      <w:r w:rsidRPr="00580EE1">
        <w:t>if it references agency agreements, these clauses are appropriately drafted.</w:t>
      </w:r>
    </w:p>
    <w:p w14:paraId="1777A192" w14:textId="77777777" w:rsidR="007427C5" w:rsidRPr="00580EE1" w:rsidRDefault="007427C5" w:rsidP="007427C5">
      <w:pPr>
        <w:pStyle w:val="Heading2"/>
      </w:pPr>
      <w:bookmarkStart w:id="530" w:name="_Toc420934534"/>
      <w:bookmarkStart w:id="531" w:name="_Toc428450709"/>
      <w:r w:rsidRPr="00580EE1">
        <w:t>Administration</w:t>
      </w:r>
      <w:bookmarkEnd w:id="530"/>
      <w:bookmarkEnd w:id="531"/>
      <w:r w:rsidRPr="00580EE1">
        <w:t xml:space="preserve"> </w:t>
      </w:r>
    </w:p>
    <w:p w14:paraId="637E224C" w14:textId="02DCBC29" w:rsidR="007427C5" w:rsidRPr="00580EE1" w:rsidRDefault="007427C5" w:rsidP="007427C5">
      <w:pPr>
        <w:pStyle w:val="ListBullet"/>
      </w:pPr>
      <w:r w:rsidRPr="00580EE1">
        <w:t>contains appropriate code administration, including provisions for complaint handling, sanctions, monitoring and review</w:t>
      </w:r>
    </w:p>
    <w:p w14:paraId="78F6A9A7" w14:textId="24B9479A" w:rsidR="007427C5" w:rsidRPr="00580EE1" w:rsidRDefault="007427C5" w:rsidP="007427C5">
      <w:pPr>
        <w:pStyle w:val="ListBulletLast"/>
      </w:pPr>
      <w:r w:rsidRPr="00580EE1">
        <w:t>specifies the complaint</w:t>
      </w:r>
      <w:r w:rsidR="007505A2">
        <w:t>s-</w:t>
      </w:r>
      <w:r w:rsidRPr="00580EE1">
        <w:t>handling body, what functions and powers will be undertaken, and which code provisions they relate to.</w:t>
      </w:r>
    </w:p>
    <w:p w14:paraId="29D76906" w14:textId="77777777" w:rsidR="007427C5" w:rsidRPr="00580EE1" w:rsidRDefault="007427C5" w:rsidP="007427C5">
      <w:pPr>
        <w:pStyle w:val="Heading2"/>
      </w:pPr>
      <w:bookmarkStart w:id="532" w:name="_Toc420934535"/>
      <w:bookmarkStart w:id="533" w:name="_Toc428450710"/>
      <w:r w:rsidRPr="00580EE1">
        <w:t>Consultation</w:t>
      </w:r>
      <w:bookmarkEnd w:id="532"/>
      <w:bookmarkEnd w:id="533"/>
      <w:r w:rsidRPr="00580EE1">
        <w:t xml:space="preserve"> </w:t>
      </w:r>
    </w:p>
    <w:p w14:paraId="47E4E0AC" w14:textId="77777777" w:rsidR="007427C5" w:rsidRPr="00580EE1" w:rsidRDefault="007427C5" w:rsidP="007427C5">
      <w:pPr>
        <w:pStyle w:val="ListBulletLast"/>
      </w:pPr>
      <w:r w:rsidRPr="00580EE1">
        <w:t>addresses the concerns of the groups and individuals consulted during the development of the code.</w:t>
      </w:r>
    </w:p>
    <w:p w14:paraId="328C09FE" w14:textId="77777777" w:rsidR="007427C5" w:rsidRPr="00580EE1" w:rsidRDefault="007427C5" w:rsidP="007427C5">
      <w:pPr>
        <w:pStyle w:val="Heading2"/>
      </w:pPr>
      <w:bookmarkStart w:id="534" w:name="_Toc420934536"/>
      <w:bookmarkStart w:id="535" w:name="_Toc428450711"/>
      <w:r w:rsidRPr="00580EE1">
        <w:t>Replacement codes</w:t>
      </w:r>
      <w:bookmarkEnd w:id="534"/>
      <w:bookmarkEnd w:id="535"/>
    </w:p>
    <w:p w14:paraId="41681124" w14:textId="1D69A0EC" w:rsidR="007427C5" w:rsidRDefault="007427C5" w:rsidP="007427C5">
      <w:pPr>
        <w:pStyle w:val="ListBullet"/>
      </w:pPr>
      <w:r w:rsidRPr="00580EE1">
        <w:t xml:space="preserve">states clearly that the code is intended to replace a code already on the </w:t>
      </w:r>
      <w:r w:rsidR="00A86C91">
        <w:t>section</w:t>
      </w:r>
      <w:r w:rsidRPr="00580EE1">
        <w:t xml:space="preserve"> 136 Register.</w:t>
      </w:r>
    </w:p>
    <w:p w14:paraId="506670F0" w14:textId="784F3926" w:rsidR="00622275" w:rsidRDefault="00622275" w:rsidP="00622275">
      <w:pPr>
        <w:pStyle w:val="Heading1"/>
      </w:pPr>
      <w:bookmarkStart w:id="536" w:name="_Toc428450712"/>
      <w:r>
        <w:lastRenderedPageBreak/>
        <w:t xml:space="preserve">Appendix </w:t>
      </w:r>
      <w:r w:rsidR="00343367">
        <w:t>D—</w:t>
      </w:r>
      <w:r>
        <w:t>Bilateral clauses</w:t>
      </w:r>
      <w:bookmarkEnd w:id="536"/>
    </w:p>
    <w:p w14:paraId="0BAE7E10" w14:textId="77777777" w:rsidR="00622275" w:rsidRPr="00B25703" w:rsidRDefault="00622275" w:rsidP="00B25703">
      <w:pPr>
        <w:tabs>
          <w:tab w:val="left" w:pos="426"/>
        </w:tabs>
        <w:ind w:left="426" w:hanging="426"/>
        <w:rPr>
          <w:b/>
        </w:rPr>
      </w:pPr>
      <w:r w:rsidRPr="00B25703">
        <w:rPr>
          <w:b/>
        </w:rPr>
        <w:t>1.</w:t>
      </w:r>
      <w:r w:rsidRPr="00B25703">
        <w:rPr>
          <w:b/>
        </w:rPr>
        <w:tab/>
        <w:t xml:space="preserve">Where bilaterals are required under statute (e.g. </w:t>
      </w:r>
      <w:r w:rsidRPr="00B25703">
        <w:rPr>
          <w:b/>
          <w:i/>
          <w:iCs/>
        </w:rPr>
        <w:t>Competition and Consumer Act 2010</w:t>
      </w:r>
      <w:r w:rsidRPr="00B25703">
        <w:rPr>
          <w:b/>
        </w:rPr>
        <w:t>)</w:t>
      </w:r>
    </w:p>
    <w:p w14:paraId="4026ECC7" w14:textId="12506895" w:rsidR="00622275" w:rsidRPr="00580EE1" w:rsidRDefault="00622275" w:rsidP="00622275">
      <w:pPr>
        <w:spacing w:before="120"/>
        <w:ind w:left="1418" w:hanging="1418"/>
      </w:pPr>
      <w:r w:rsidRPr="00580EE1">
        <w:t>Clause x.1</w:t>
      </w:r>
      <w:r w:rsidRPr="00580EE1">
        <w:tab/>
        <w:t>This Code sets minimum acceptable practices, which do not unnecessarily limit industry’s ability to improve on the minimum level.</w:t>
      </w:r>
      <w:r w:rsidR="001B2C9D">
        <w:t xml:space="preserve"> </w:t>
      </w:r>
      <w:r w:rsidRPr="00580EE1">
        <w:t>This Code does not constrain two or more individual industry participants agreeing to different arrangements provided that those arrangements meet the minimum level defined in this Code.</w:t>
      </w:r>
    </w:p>
    <w:p w14:paraId="30565447" w14:textId="31C8E6AF" w:rsidR="00622275" w:rsidRPr="00580EE1" w:rsidRDefault="00622275" w:rsidP="00622275">
      <w:pPr>
        <w:spacing w:before="120"/>
        <w:ind w:left="1418" w:hanging="1418"/>
      </w:pPr>
      <w:r w:rsidRPr="00580EE1">
        <w:t>Clause x.2</w:t>
      </w:r>
      <w:r w:rsidRPr="00580EE1">
        <w:tab/>
        <w:t xml:space="preserve">Parties to this Code recognise that two or more individual participants will, as provided for under the </w:t>
      </w:r>
      <w:r>
        <w:rPr>
          <w:i/>
        </w:rPr>
        <w:t>Competition and Consumer Act 2010</w:t>
      </w:r>
      <w:r w:rsidRPr="00580EE1">
        <w:rPr>
          <w:i/>
        </w:rPr>
        <w:t>[or other relevant statute]</w:t>
      </w:r>
      <w:r w:rsidRPr="00580EE1">
        <w:t xml:space="preserve"> enter into bilateral agreements in relation to matters covered by this Code.</w:t>
      </w:r>
      <w:r w:rsidR="001B2C9D">
        <w:t xml:space="preserve"> </w:t>
      </w:r>
      <w:r w:rsidRPr="00580EE1">
        <w:t xml:space="preserve">However such arrangements much not diminish the minimum requirements in this Code or the </w:t>
      </w:r>
      <w:r>
        <w:rPr>
          <w:i/>
          <w:iCs/>
        </w:rPr>
        <w:t>Competition and Consumer Act 2010</w:t>
      </w:r>
      <w:r w:rsidRPr="00580EE1">
        <w:t xml:space="preserve"> </w:t>
      </w:r>
      <w:r w:rsidRPr="00580EE1">
        <w:rPr>
          <w:i/>
        </w:rPr>
        <w:t>[or other relevant statute]</w:t>
      </w:r>
      <w:r w:rsidRPr="00580EE1">
        <w:t>.</w:t>
      </w:r>
    </w:p>
    <w:p w14:paraId="7AEBF44B" w14:textId="77777777" w:rsidR="00622275" w:rsidRPr="00580EE1" w:rsidRDefault="00622275" w:rsidP="00622275">
      <w:pPr>
        <w:spacing w:before="120"/>
        <w:ind w:left="1418" w:hanging="1418"/>
      </w:pPr>
      <w:r w:rsidRPr="00580EE1">
        <w:t>Clause x.3</w:t>
      </w:r>
      <w:r w:rsidRPr="00580EE1">
        <w:tab/>
        <w:t>Parties to this Code recognise that such bilateral agreements should include, but are not li</w:t>
      </w:r>
      <w:r>
        <w:t>mited to, the following matter:...</w:t>
      </w:r>
    </w:p>
    <w:p w14:paraId="4B3ECE88" w14:textId="77777777" w:rsidR="00622275" w:rsidRPr="00580EE1" w:rsidRDefault="00622275" w:rsidP="00B25703">
      <w:pPr>
        <w:tabs>
          <w:tab w:val="left" w:pos="567"/>
        </w:tabs>
        <w:rPr>
          <w:b/>
        </w:rPr>
      </w:pPr>
      <w:r w:rsidRPr="00580EE1">
        <w:rPr>
          <w:b/>
        </w:rPr>
        <w:t>2.</w:t>
      </w:r>
      <w:r w:rsidRPr="00580EE1">
        <w:rPr>
          <w:b/>
        </w:rPr>
        <w:tab/>
        <w:t>Where bilaterals are not required under statute</w:t>
      </w:r>
    </w:p>
    <w:p w14:paraId="43860FAC" w14:textId="03469727" w:rsidR="00622275" w:rsidRPr="00580EE1" w:rsidRDefault="00622275" w:rsidP="00622275">
      <w:pPr>
        <w:spacing w:before="120"/>
        <w:ind w:left="1418" w:hanging="1418"/>
      </w:pPr>
      <w:r w:rsidRPr="00580EE1">
        <w:t>Clause x.1</w:t>
      </w:r>
      <w:r w:rsidRPr="00580EE1">
        <w:tab/>
        <w:t>This Code sets minimum acceptable practices, which do not unnecessarily limit industry’s ability to improve on the minimum level.</w:t>
      </w:r>
      <w:r w:rsidR="001B2C9D">
        <w:t xml:space="preserve"> </w:t>
      </w:r>
      <w:r w:rsidRPr="00580EE1">
        <w:t>This Code does not constrain two or more individual industry participants agreeing to different arrangements provided that those arrangements meet the minimum level defined in this Code.</w:t>
      </w:r>
    </w:p>
    <w:p w14:paraId="09141247" w14:textId="462162E6" w:rsidR="00622275" w:rsidRPr="00580EE1" w:rsidRDefault="00622275" w:rsidP="00622275">
      <w:pPr>
        <w:spacing w:before="120"/>
        <w:ind w:left="1418" w:hanging="1418"/>
      </w:pPr>
      <w:r w:rsidRPr="00580EE1">
        <w:t>Clause x.2</w:t>
      </w:r>
      <w:r w:rsidRPr="00580EE1">
        <w:tab/>
        <w:t>Parties to this Code recognise that two or more individual participants may enter into bilateral agreements in relation to matters covered by this Code.</w:t>
      </w:r>
      <w:r w:rsidR="001B2C9D">
        <w:t xml:space="preserve"> </w:t>
      </w:r>
      <w:r w:rsidRPr="00580EE1">
        <w:t>However such arrangements must not diminish the minimum requirements in this Code.</w:t>
      </w:r>
    </w:p>
    <w:p w14:paraId="4AEF3592" w14:textId="09DBE016" w:rsidR="00622275" w:rsidRPr="00580EE1" w:rsidRDefault="00622275" w:rsidP="00E370DD">
      <w:pPr>
        <w:spacing w:before="120"/>
        <w:ind w:left="1418" w:hanging="1418"/>
      </w:pPr>
      <w:r w:rsidRPr="00580EE1">
        <w:t>Clause x.3</w:t>
      </w:r>
      <w:r w:rsidRPr="00580EE1">
        <w:tab/>
        <w:t>Parties to this Code recognise that such bilateral agreements should include, but are not limited to, the following matters:…</w:t>
      </w:r>
    </w:p>
    <w:p w14:paraId="55E71162" w14:textId="018EF2FC" w:rsidR="007427C5" w:rsidRDefault="008262C5" w:rsidP="008262C5">
      <w:pPr>
        <w:pStyle w:val="Heading1"/>
      </w:pPr>
      <w:bookmarkStart w:id="537" w:name="_Toc428450713"/>
      <w:r>
        <w:lastRenderedPageBreak/>
        <w:t xml:space="preserve">Appendix </w:t>
      </w:r>
      <w:r w:rsidR="00343367">
        <w:t>E—</w:t>
      </w:r>
      <w:r>
        <w:t>Template for explanatory statement for an industry code</w:t>
      </w:r>
      <w:bookmarkEnd w:id="537"/>
    </w:p>
    <w:p w14:paraId="250E5445" w14:textId="640C6A63" w:rsidR="00343367" w:rsidRDefault="008262C5" w:rsidP="008262C5">
      <w:r w:rsidRPr="00580EE1">
        <w:t xml:space="preserve">The </w:t>
      </w:r>
      <w:r>
        <w:t>e</w:t>
      </w:r>
      <w:r w:rsidRPr="00580EE1">
        <w:t xml:space="preserve">xplanatory </w:t>
      </w:r>
      <w:r>
        <w:t>s</w:t>
      </w:r>
      <w:r w:rsidRPr="00580EE1">
        <w:t>tatement performs a number of important functions in a code.</w:t>
      </w:r>
      <w:r w:rsidR="001B2C9D">
        <w:t xml:space="preserve"> </w:t>
      </w:r>
      <w:r w:rsidRPr="00580EE1">
        <w:t>It explains the purpose and intention of the code</w:t>
      </w:r>
      <w:r w:rsidR="00343367">
        <w:t>,</w:t>
      </w:r>
      <w:r w:rsidRPr="00580EE1">
        <w:t xml:space="preserve"> and provides </w:t>
      </w:r>
      <w:r w:rsidRPr="003F3E7A">
        <w:t>the</w:t>
      </w:r>
      <w:r>
        <w:t xml:space="preserve"> </w:t>
      </w:r>
      <w:r w:rsidRPr="00580EE1">
        <w:t>ACMA with evidence on which it can assess whether the code meets the public interest balance test and whether it satisfies the requirements of the Office of Best Practice Regulation (OBPR).</w:t>
      </w:r>
    </w:p>
    <w:p w14:paraId="42F52428" w14:textId="5424C646" w:rsidR="008262C5" w:rsidRPr="00580EE1" w:rsidRDefault="008262C5" w:rsidP="008262C5">
      <w:pPr>
        <w:rPr>
          <w:i/>
        </w:rPr>
      </w:pPr>
      <w:r w:rsidRPr="00580EE1">
        <w:t xml:space="preserve">In particular, the </w:t>
      </w:r>
      <w:r>
        <w:t>e</w:t>
      </w:r>
      <w:r w:rsidRPr="00580EE1">
        <w:t xml:space="preserve">xplanatory </w:t>
      </w:r>
      <w:r>
        <w:t>s</w:t>
      </w:r>
      <w:r w:rsidRPr="00580EE1">
        <w:t xml:space="preserve">tatement should contain sufficient information on which </w:t>
      </w:r>
      <w:r w:rsidRPr="003F3E7A">
        <w:t>the</w:t>
      </w:r>
      <w:r>
        <w:t xml:space="preserve"> </w:t>
      </w:r>
      <w:r w:rsidRPr="00580EE1">
        <w:t>ACMA will be able to base a Business Cost Calculator (BCC) or Regulat</w:t>
      </w:r>
      <w:r>
        <w:t>ion</w:t>
      </w:r>
      <w:r w:rsidRPr="00580EE1">
        <w:t xml:space="preserve"> Impact Statement (RIS).</w:t>
      </w:r>
      <w:r w:rsidR="001B2C9D">
        <w:t xml:space="preserve"> </w:t>
      </w:r>
      <w:r w:rsidRPr="00580EE1">
        <w:t>For further information on the requirements of a BCC or RIS please refer to the OBPR</w:t>
      </w:r>
      <w:r w:rsidR="00173F89">
        <w:t>’s</w:t>
      </w:r>
      <w:r>
        <w:t xml:space="preserve"> </w:t>
      </w:r>
      <w:r w:rsidR="00173F89">
        <w:rPr>
          <w:i/>
        </w:rPr>
        <w:t xml:space="preserve">The Australian Government Guide to Regulation (2014) </w:t>
      </w:r>
      <w:hyperlink r:id="rId41" w:history="1">
        <w:r w:rsidR="00173F89" w:rsidRPr="00604033">
          <w:rPr>
            <w:rStyle w:val="Hyperlink"/>
            <w:i/>
          </w:rPr>
          <w:t>http://cuttingredtape.gov.au/handbook/australian-government-guide-regulation</w:t>
        </w:r>
      </w:hyperlink>
      <w:r w:rsidRPr="00580EE1">
        <w:rPr>
          <w:i/>
        </w:rPr>
        <w:t>.</w:t>
      </w:r>
    </w:p>
    <w:p w14:paraId="5178D930" w14:textId="77777777" w:rsidR="008262C5" w:rsidRPr="00580EE1" w:rsidRDefault="008262C5" w:rsidP="008262C5">
      <w:r w:rsidRPr="003F3E7A">
        <w:t>The</w:t>
      </w:r>
      <w:r w:rsidR="00173F89">
        <w:t xml:space="preserve"> ACMA </w:t>
      </w:r>
      <w:r w:rsidRPr="00580EE1">
        <w:t xml:space="preserve">suggests that industry bodies use the following headings when drafting code </w:t>
      </w:r>
      <w:r>
        <w:t>e</w:t>
      </w:r>
      <w:r w:rsidRPr="00580EE1">
        <w:t xml:space="preserve">xplanatory </w:t>
      </w:r>
      <w:r>
        <w:t>s</w:t>
      </w:r>
      <w:r w:rsidRPr="00580EE1">
        <w:t>tatements.</w:t>
      </w:r>
    </w:p>
    <w:p w14:paraId="2430EB4B" w14:textId="21D760FF" w:rsidR="008262C5" w:rsidRPr="00580EE1" w:rsidRDefault="008262C5" w:rsidP="008262C5">
      <w:pPr>
        <w:rPr>
          <w:b/>
          <w:sz w:val="28"/>
        </w:rPr>
      </w:pPr>
      <w:r w:rsidRPr="00580EE1">
        <w:rPr>
          <w:b/>
          <w:sz w:val="28"/>
        </w:rPr>
        <w:t xml:space="preserve">Explanatory </w:t>
      </w:r>
      <w:r w:rsidR="00343367">
        <w:rPr>
          <w:b/>
          <w:sz w:val="28"/>
        </w:rPr>
        <w:t>s</w:t>
      </w:r>
      <w:r w:rsidRPr="00580EE1">
        <w:rPr>
          <w:b/>
          <w:sz w:val="28"/>
        </w:rPr>
        <w:t>tatement</w:t>
      </w:r>
    </w:p>
    <w:p w14:paraId="03BF6275" w14:textId="5EB0C9E3" w:rsidR="008262C5" w:rsidRPr="008262C5" w:rsidRDefault="008262C5" w:rsidP="008262C5">
      <w:pPr>
        <w:pStyle w:val="ListNumber"/>
        <w:numPr>
          <w:ilvl w:val="0"/>
          <w:numId w:val="17"/>
        </w:numPr>
      </w:pPr>
      <w:bookmarkStart w:id="538" w:name="_Toc456165513"/>
      <w:bookmarkStart w:id="539" w:name="_Toc456165842"/>
      <w:bookmarkStart w:id="540" w:name="_Toc457357981"/>
      <w:bookmarkStart w:id="541" w:name="_Toc457384418"/>
      <w:r w:rsidRPr="008262C5">
        <w:t>Background</w:t>
      </w:r>
      <w:r w:rsidR="00343367">
        <w:t>—</w:t>
      </w:r>
      <w:r w:rsidRPr="008262C5">
        <w:t>statement of the problem or issue</w:t>
      </w:r>
      <w:bookmarkEnd w:id="538"/>
      <w:bookmarkEnd w:id="539"/>
      <w:bookmarkEnd w:id="540"/>
      <w:bookmarkEnd w:id="541"/>
      <w:r w:rsidRPr="008262C5">
        <w:t xml:space="preserve"> </w:t>
      </w:r>
    </w:p>
    <w:p w14:paraId="6030DD8C" w14:textId="77777777" w:rsidR="008262C5" w:rsidRPr="008262C5" w:rsidRDefault="008262C5" w:rsidP="008262C5">
      <w:pPr>
        <w:pStyle w:val="ListNumber"/>
        <w:numPr>
          <w:ilvl w:val="0"/>
          <w:numId w:val="17"/>
        </w:numPr>
      </w:pPr>
      <w:bookmarkStart w:id="542" w:name="_Toc457384419"/>
      <w:bookmarkStart w:id="543" w:name="_Toc456165514"/>
      <w:bookmarkStart w:id="544" w:name="_Toc456165843"/>
      <w:bookmarkStart w:id="545" w:name="_Toc457357982"/>
      <w:r w:rsidRPr="008262C5">
        <w:t>Current regulatory arrangements</w:t>
      </w:r>
      <w:bookmarkEnd w:id="542"/>
    </w:p>
    <w:p w14:paraId="4DB022CB" w14:textId="77777777" w:rsidR="008262C5" w:rsidRPr="008262C5" w:rsidRDefault="008262C5" w:rsidP="008262C5">
      <w:pPr>
        <w:pStyle w:val="ListNumber"/>
        <w:numPr>
          <w:ilvl w:val="0"/>
          <w:numId w:val="17"/>
        </w:numPr>
      </w:pPr>
      <w:bookmarkStart w:id="546" w:name="_Toc457384420"/>
      <w:r w:rsidRPr="008262C5">
        <w:t>Why current regulatory arrangements are inadequate</w:t>
      </w:r>
      <w:bookmarkEnd w:id="543"/>
      <w:bookmarkEnd w:id="544"/>
      <w:bookmarkEnd w:id="545"/>
      <w:bookmarkEnd w:id="546"/>
    </w:p>
    <w:p w14:paraId="7933A4E7" w14:textId="77777777" w:rsidR="008262C5" w:rsidRPr="008262C5" w:rsidRDefault="008262C5" w:rsidP="008262C5">
      <w:pPr>
        <w:pStyle w:val="ListNumber"/>
        <w:numPr>
          <w:ilvl w:val="0"/>
          <w:numId w:val="17"/>
        </w:numPr>
      </w:pPr>
      <w:bookmarkStart w:id="547" w:name="_Toc456165515"/>
      <w:bookmarkStart w:id="548" w:name="_Toc456165844"/>
      <w:bookmarkStart w:id="549" w:name="_Toc457357983"/>
      <w:bookmarkStart w:id="550" w:name="_Toc457384421"/>
      <w:r w:rsidRPr="008262C5">
        <w:t>How the code builds on and enhances the current regulatory arrangements</w:t>
      </w:r>
      <w:bookmarkEnd w:id="547"/>
      <w:bookmarkEnd w:id="548"/>
      <w:bookmarkEnd w:id="549"/>
      <w:bookmarkEnd w:id="550"/>
    </w:p>
    <w:p w14:paraId="4D4A25FB" w14:textId="77777777" w:rsidR="008262C5" w:rsidRPr="008262C5" w:rsidRDefault="008262C5" w:rsidP="008262C5">
      <w:pPr>
        <w:pStyle w:val="ListNumber"/>
        <w:numPr>
          <w:ilvl w:val="0"/>
          <w:numId w:val="17"/>
        </w:numPr>
      </w:pPr>
      <w:bookmarkStart w:id="551" w:name="_Toc456165516"/>
      <w:bookmarkStart w:id="552" w:name="_Toc456165845"/>
      <w:bookmarkStart w:id="553" w:name="_Toc457357984"/>
      <w:bookmarkStart w:id="554" w:name="_Toc457384422"/>
      <w:r w:rsidRPr="008262C5">
        <w:t>What the code will accomplish</w:t>
      </w:r>
      <w:bookmarkEnd w:id="551"/>
      <w:bookmarkEnd w:id="552"/>
      <w:bookmarkEnd w:id="553"/>
      <w:bookmarkEnd w:id="554"/>
    </w:p>
    <w:p w14:paraId="309FF5F6" w14:textId="77777777" w:rsidR="008262C5" w:rsidRPr="008262C5" w:rsidRDefault="008262C5" w:rsidP="008262C5">
      <w:pPr>
        <w:pStyle w:val="ListNumber"/>
        <w:numPr>
          <w:ilvl w:val="0"/>
          <w:numId w:val="17"/>
        </w:numPr>
      </w:pPr>
      <w:bookmarkStart w:id="555" w:name="_Toc456165517"/>
      <w:bookmarkStart w:id="556" w:name="_Toc456165846"/>
      <w:bookmarkStart w:id="557" w:name="_Toc457357985"/>
      <w:bookmarkStart w:id="558" w:name="_Toc457384423"/>
      <w:r w:rsidRPr="008262C5">
        <w:t>How the objectives will be achieved</w:t>
      </w:r>
      <w:bookmarkEnd w:id="555"/>
      <w:bookmarkEnd w:id="556"/>
      <w:bookmarkEnd w:id="557"/>
      <w:bookmarkEnd w:id="558"/>
    </w:p>
    <w:p w14:paraId="03ABA7CD" w14:textId="77777777" w:rsidR="008262C5" w:rsidRPr="008262C5" w:rsidRDefault="008262C5" w:rsidP="008262C5">
      <w:pPr>
        <w:pStyle w:val="ListNumber"/>
        <w:numPr>
          <w:ilvl w:val="0"/>
          <w:numId w:val="17"/>
        </w:numPr>
      </w:pPr>
      <w:bookmarkStart w:id="559" w:name="_Toc456165518"/>
      <w:bookmarkStart w:id="560" w:name="_Toc456165847"/>
      <w:bookmarkStart w:id="561" w:name="_Toc457357986"/>
      <w:bookmarkStart w:id="562" w:name="_Toc457384424"/>
      <w:r w:rsidRPr="008262C5">
        <w:t>Anticipated benefits to consumers</w:t>
      </w:r>
      <w:bookmarkEnd w:id="559"/>
      <w:bookmarkEnd w:id="560"/>
      <w:bookmarkEnd w:id="561"/>
      <w:bookmarkEnd w:id="562"/>
    </w:p>
    <w:p w14:paraId="6B51173F" w14:textId="77777777" w:rsidR="008262C5" w:rsidRPr="008262C5" w:rsidRDefault="008262C5" w:rsidP="008262C5">
      <w:pPr>
        <w:pStyle w:val="ListNumber"/>
        <w:numPr>
          <w:ilvl w:val="0"/>
          <w:numId w:val="17"/>
        </w:numPr>
      </w:pPr>
      <w:r w:rsidRPr="008262C5">
        <w:t>Anticipated benefits to industry</w:t>
      </w:r>
    </w:p>
    <w:p w14:paraId="20F5B96F" w14:textId="77777777" w:rsidR="008262C5" w:rsidRPr="008262C5" w:rsidRDefault="008262C5" w:rsidP="008262C5">
      <w:pPr>
        <w:pStyle w:val="ListNumber"/>
        <w:numPr>
          <w:ilvl w:val="0"/>
          <w:numId w:val="17"/>
        </w:numPr>
      </w:pPr>
      <w:r w:rsidRPr="008262C5">
        <w:t>Anticipated costs to industry</w:t>
      </w:r>
    </w:p>
    <w:p w14:paraId="0DD7A062" w14:textId="45AA68F9" w:rsidR="008262C5" w:rsidRPr="008262C5" w:rsidRDefault="008262C5" w:rsidP="008262C5">
      <w:pPr>
        <w:pStyle w:val="ListNumber"/>
        <w:numPr>
          <w:ilvl w:val="0"/>
          <w:numId w:val="17"/>
        </w:numPr>
      </w:pPr>
      <w:r w:rsidRPr="008262C5">
        <w:t>(For codes with delayed implementation provisions) Burdens to industry if the code commences immediately</w:t>
      </w:r>
      <w:r w:rsidR="00343367">
        <w:t>—</w:t>
      </w:r>
      <w:r w:rsidRPr="008262C5">
        <w:t>including estimates of costs</w:t>
      </w:r>
      <w:r w:rsidR="00343367">
        <w:t>—</w:t>
      </w:r>
      <w:r w:rsidRPr="008262C5">
        <w:t>and how these burdens are undue</w:t>
      </w:r>
    </w:p>
    <w:p w14:paraId="243086E7" w14:textId="77777777" w:rsidR="008262C5" w:rsidRPr="008262C5" w:rsidRDefault="008262C5" w:rsidP="008262C5">
      <w:pPr>
        <w:pStyle w:val="ListNumber"/>
        <w:numPr>
          <w:ilvl w:val="0"/>
          <w:numId w:val="17"/>
        </w:numPr>
      </w:pPr>
      <w:r w:rsidRPr="008262C5">
        <w:t>Other public interest benefits or considerations</w:t>
      </w:r>
    </w:p>
    <w:p w14:paraId="60B04BDA" w14:textId="77777777" w:rsidR="00DA6383" w:rsidRDefault="00DA6383" w:rsidP="008262C5">
      <w:pPr>
        <w:sectPr w:rsidR="00DA6383" w:rsidSect="00C77380">
          <w:headerReference w:type="even" r:id="rId42"/>
          <w:headerReference w:type="default" r:id="rId43"/>
          <w:footerReference w:type="even" r:id="rId44"/>
          <w:footerReference w:type="default" r:id="rId45"/>
          <w:pgSz w:w="11906" w:h="16838" w:code="9"/>
          <w:pgMar w:top="1945" w:right="3101" w:bottom="1134" w:left="1134" w:header="709" w:footer="119" w:gutter="0"/>
          <w:pgNumType w:start="1"/>
          <w:cols w:space="708"/>
          <w:docGrid w:linePitch="360"/>
        </w:sectPr>
      </w:pPr>
    </w:p>
    <w:p w14:paraId="151BD95D" w14:textId="06387545" w:rsidR="00DA6383" w:rsidRDefault="00DA6383" w:rsidP="00DA6383">
      <w:pPr>
        <w:pStyle w:val="Heading1"/>
      </w:pPr>
      <w:bookmarkStart w:id="563" w:name="_Toc428450714"/>
      <w:r>
        <w:lastRenderedPageBreak/>
        <w:t xml:space="preserve">Appendix </w:t>
      </w:r>
      <w:r w:rsidR="00FC58B2">
        <w:t>F</w:t>
      </w:r>
      <w:r w:rsidR="00071CD8">
        <w:t>—</w:t>
      </w:r>
      <w:r>
        <w:t>Framework for planning code development</w:t>
      </w:r>
      <w:bookmarkEnd w:id="563"/>
    </w:p>
    <w:p w14:paraId="65BCE757" w14:textId="6A11047E" w:rsidR="009D5A5E" w:rsidRPr="009D5A5E" w:rsidRDefault="009D5A5E" w:rsidP="009D5A5E">
      <w:r w:rsidRPr="009D5A5E">
        <w:t xml:space="preserve">This </w:t>
      </w:r>
      <w:r w:rsidR="00E11756">
        <w:t xml:space="preserve">guide </w:t>
      </w:r>
      <w:r w:rsidRPr="009D5A5E">
        <w:t xml:space="preserve">suggests a pathway to help efficiently manage the co-regulatory processes of code review, development or variation, including the handling of contentious issues or situations that may arise during these processes. The guide is for industry codes submitted under Part 6 of the </w:t>
      </w:r>
      <w:r w:rsidRPr="009D5A5E">
        <w:rPr>
          <w:i/>
        </w:rPr>
        <w:t>Telecommunications Act 1997</w:t>
      </w:r>
      <w:r w:rsidRPr="009D5A5E">
        <w:t xml:space="preserve">. </w:t>
      </w:r>
    </w:p>
    <w:tbl>
      <w:tblPr>
        <w:tblStyle w:val="TableGrid"/>
        <w:tblpPr w:leftFromText="180" w:rightFromText="180" w:vertAnchor="text" w:tblpXSpec="right" w:tblpY="1"/>
        <w:tblOverlap w:val="never"/>
        <w:tblW w:w="14312" w:type="dxa"/>
        <w:tblLayout w:type="fixed"/>
        <w:tblLook w:val="04A0" w:firstRow="1" w:lastRow="0" w:firstColumn="1" w:lastColumn="0" w:noHBand="0" w:noVBand="1"/>
        <w:tblDescription w:val="Description of text in table form. All information is contained in this document."/>
      </w:tblPr>
      <w:tblGrid>
        <w:gridCol w:w="936"/>
        <w:gridCol w:w="1611"/>
        <w:gridCol w:w="1843"/>
        <w:gridCol w:w="9922"/>
      </w:tblGrid>
      <w:tr w:rsidR="009D5A5E" w:rsidRPr="009D5A5E" w14:paraId="5CD1AC53" w14:textId="77777777" w:rsidTr="00E370DD">
        <w:trPr>
          <w:tblHeader/>
        </w:trPr>
        <w:tc>
          <w:tcPr>
            <w:tcW w:w="936" w:type="dxa"/>
          </w:tcPr>
          <w:p w14:paraId="1B03D57E" w14:textId="77777777" w:rsidR="009D5A5E" w:rsidRPr="009D5A5E" w:rsidRDefault="009D5A5E" w:rsidP="00E370DD">
            <w:pPr>
              <w:pStyle w:val="TableHeading"/>
            </w:pPr>
          </w:p>
        </w:tc>
        <w:tc>
          <w:tcPr>
            <w:tcW w:w="1611" w:type="dxa"/>
          </w:tcPr>
          <w:p w14:paraId="7D21F0ED" w14:textId="77777777" w:rsidR="009D5A5E" w:rsidRPr="009D5A5E" w:rsidRDefault="009D5A5E" w:rsidP="00E370DD">
            <w:pPr>
              <w:pStyle w:val="TableHeading"/>
            </w:pPr>
            <w:r w:rsidRPr="009D5A5E">
              <w:t>Task/Activity</w:t>
            </w:r>
          </w:p>
        </w:tc>
        <w:tc>
          <w:tcPr>
            <w:tcW w:w="1843" w:type="dxa"/>
          </w:tcPr>
          <w:p w14:paraId="1A24B01B" w14:textId="77777777" w:rsidR="009D5A5E" w:rsidRPr="009D5A5E" w:rsidRDefault="009D5A5E" w:rsidP="00E370DD">
            <w:pPr>
              <w:pStyle w:val="TableHeading"/>
            </w:pPr>
            <w:r w:rsidRPr="009D5A5E">
              <w:t>Stakeholders</w:t>
            </w:r>
          </w:p>
        </w:tc>
        <w:tc>
          <w:tcPr>
            <w:tcW w:w="9922" w:type="dxa"/>
          </w:tcPr>
          <w:p w14:paraId="0C84C6F7" w14:textId="77777777" w:rsidR="009D5A5E" w:rsidRPr="009D5A5E" w:rsidRDefault="009D5A5E" w:rsidP="00E370DD">
            <w:pPr>
              <w:pStyle w:val="TableHeading"/>
            </w:pPr>
            <w:r w:rsidRPr="009D5A5E">
              <w:t>Commentary/Description</w:t>
            </w:r>
          </w:p>
        </w:tc>
      </w:tr>
      <w:tr w:rsidR="009D5A5E" w:rsidRPr="009D5A5E" w14:paraId="1B722152" w14:textId="77777777" w:rsidTr="00E370DD">
        <w:tc>
          <w:tcPr>
            <w:tcW w:w="936" w:type="dxa"/>
          </w:tcPr>
          <w:p w14:paraId="72CCC7A3" w14:textId="77777777" w:rsidR="009D5A5E" w:rsidRPr="009D5A5E" w:rsidRDefault="009D5A5E">
            <w:pPr>
              <w:numPr>
                <w:ilvl w:val="0"/>
                <w:numId w:val="41"/>
              </w:numPr>
            </w:pPr>
          </w:p>
        </w:tc>
        <w:tc>
          <w:tcPr>
            <w:tcW w:w="1611" w:type="dxa"/>
          </w:tcPr>
          <w:p w14:paraId="3513B01A" w14:textId="77777777" w:rsidR="009D5A5E" w:rsidRPr="009D5A5E" w:rsidRDefault="009D5A5E">
            <w:r w:rsidRPr="009D5A5E">
              <w:t>Decision to review, create or vary a code</w:t>
            </w:r>
          </w:p>
        </w:tc>
        <w:tc>
          <w:tcPr>
            <w:tcW w:w="1843" w:type="dxa"/>
          </w:tcPr>
          <w:p w14:paraId="4F57A0E6" w14:textId="77777777" w:rsidR="009D5A5E" w:rsidRPr="009D5A5E" w:rsidRDefault="009D5A5E">
            <w:r w:rsidRPr="009D5A5E">
              <w:t>Relevant industry body</w:t>
            </w:r>
          </w:p>
        </w:tc>
        <w:tc>
          <w:tcPr>
            <w:tcW w:w="9922" w:type="dxa"/>
          </w:tcPr>
          <w:p w14:paraId="6FC46E05" w14:textId="77777777" w:rsidR="009D5A5E" w:rsidRPr="009D5A5E" w:rsidRDefault="009D5A5E" w:rsidP="00E370DD">
            <w:pPr>
              <w:spacing w:after="120"/>
            </w:pPr>
            <w:r w:rsidRPr="009D5A5E">
              <w:t>Notify the ACMA of decision to Review</w:t>
            </w:r>
          </w:p>
          <w:p w14:paraId="5DBDA72E" w14:textId="77777777" w:rsidR="009D5A5E" w:rsidRPr="009D5A5E" w:rsidRDefault="009D5A5E" w:rsidP="00E370DD">
            <w:pPr>
              <w:spacing w:after="120"/>
            </w:pPr>
            <w:r w:rsidRPr="009D5A5E">
              <w:t xml:space="preserve">If it is a decision to create a code or revise ahead of schedule there will be other stakeholders, including the ACMA, involved at this stage or earlier. </w:t>
            </w:r>
          </w:p>
          <w:p w14:paraId="4FC3892B" w14:textId="77777777" w:rsidR="009D5A5E" w:rsidRPr="009D5A5E" w:rsidRDefault="009D5A5E" w:rsidP="00E370DD">
            <w:pPr>
              <w:spacing w:after="120"/>
            </w:pPr>
            <w:r w:rsidRPr="009D5A5E">
              <w:t xml:space="preserve">Alternatively, the ACMA may request a representative industry body to develop a Code. </w:t>
            </w:r>
          </w:p>
        </w:tc>
      </w:tr>
      <w:tr w:rsidR="009D5A5E" w:rsidRPr="009D5A5E" w14:paraId="3FFF4F48" w14:textId="77777777" w:rsidTr="00E370DD">
        <w:tc>
          <w:tcPr>
            <w:tcW w:w="936" w:type="dxa"/>
          </w:tcPr>
          <w:p w14:paraId="04751372" w14:textId="77777777" w:rsidR="009D5A5E" w:rsidRPr="009D5A5E" w:rsidRDefault="009D5A5E">
            <w:pPr>
              <w:numPr>
                <w:ilvl w:val="0"/>
                <w:numId w:val="41"/>
              </w:numPr>
            </w:pPr>
          </w:p>
        </w:tc>
        <w:tc>
          <w:tcPr>
            <w:tcW w:w="1611" w:type="dxa"/>
          </w:tcPr>
          <w:p w14:paraId="1A77A8ED" w14:textId="77777777" w:rsidR="009D5A5E" w:rsidRPr="009D5A5E" w:rsidRDefault="009D5A5E">
            <w:r w:rsidRPr="009D5A5E">
              <w:t>Initial discussion with the ACMA following decision to review, create or vary a code</w:t>
            </w:r>
          </w:p>
        </w:tc>
        <w:tc>
          <w:tcPr>
            <w:tcW w:w="1843" w:type="dxa"/>
          </w:tcPr>
          <w:p w14:paraId="7B983B86" w14:textId="77777777" w:rsidR="009D5A5E" w:rsidRPr="009D5A5E" w:rsidRDefault="009D5A5E">
            <w:r w:rsidRPr="009D5A5E">
              <w:t>Relevant industry body and the ACMA</w:t>
            </w:r>
          </w:p>
        </w:tc>
        <w:tc>
          <w:tcPr>
            <w:tcW w:w="9922" w:type="dxa"/>
          </w:tcPr>
          <w:p w14:paraId="1A30830F" w14:textId="77777777" w:rsidR="009D5A5E" w:rsidRPr="009D5A5E" w:rsidRDefault="009D5A5E" w:rsidP="00E370DD">
            <w:pPr>
              <w:spacing w:after="120"/>
            </w:pPr>
            <w:r w:rsidRPr="009D5A5E">
              <w:t>Industry body shares first-cut of their project plan regarding code development and jointly identify:</w:t>
            </w:r>
          </w:p>
          <w:p w14:paraId="5220A832" w14:textId="77777777" w:rsidR="009D5A5E" w:rsidRPr="009D5A5E" w:rsidRDefault="009D5A5E" w:rsidP="00E370DD">
            <w:pPr>
              <w:numPr>
                <w:ilvl w:val="0"/>
                <w:numId w:val="42"/>
              </w:numPr>
              <w:spacing w:after="120"/>
            </w:pPr>
            <w:r w:rsidRPr="009D5A5E">
              <w:t>Anticipated timeline</w:t>
            </w:r>
          </w:p>
          <w:p w14:paraId="49E16686" w14:textId="63651D8D" w:rsidR="009D5A5E" w:rsidRPr="009D5A5E" w:rsidRDefault="009D5A5E" w:rsidP="00E370DD">
            <w:pPr>
              <w:numPr>
                <w:ilvl w:val="0"/>
                <w:numId w:val="42"/>
              </w:numPr>
              <w:spacing w:after="120"/>
            </w:pPr>
            <w:r w:rsidRPr="009D5A5E">
              <w:t>Objectives, scale of review and substantive issues</w:t>
            </w:r>
            <w:r w:rsidR="001B2C9D">
              <w:t xml:space="preserve"> </w:t>
            </w:r>
          </w:p>
          <w:p w14:paraId="6726ECC8" w14:textId="77777777" w:rsidR="009D5A5E" w:rsidRPr="009D5A5E" w:rsidRDefault="009D5A5E" w:rsidP="00E370DD">
            <w:pPr>
              <w:numPr>
                <w:ilvl w:val="0"/>
                <w:numId w:val="42"/>
              </w:numPr>
              <w:spacing w:after="120"/>
            </w:pPr>
            <w:r w:rsidRPr="009D5A5E">
              <w:t>Key stakeholders and known sensitivities (including any known perspectives of the ACMA)</w:t>
            </w:r>
          </w:p>
          <w:p w14:paraId="5B56A725" w14:textId="77777777" w:rsidR="009D5A5E" w:rsidRPr="009D5A5E" w:rsidRDefault="009D5A5E" w:rsidP="00E370DD">
            <w:pPr>
              <w:numPr>
                <w:ilvl w:val="0"/>
                <w:numId w:val="42"/>
              </w:numPr>
              <w:spacing w:after="120"/>
            </w:pPr>
            <w:r w:rsidRPr="009D5A5E">
              <w:t>Planned structure (e.g. an industry steering committee, composition, Chair etc.)</w:t>
            </w:r>
          </w:p>
          <w:p w14:paraId="26572543" w14:textId="77777777" w:rsidR="009D5A5E" w:rsidRPr="009D5A5E" w:rsidRDefault="009D5A5E" w:rsidP="00E370DD">
            <w:pPr>
              <w:numPr>
                <w:ilvl w:val="0"/>
                <w:numId w:val="42"/>
              </w:numPr>
              <w:spacing w:after="120"/>
            </w:pPr>
            <w:r w:rsidRPr="009D5A5E">
              <w:t>Channels for stakeholder input</w:t>
            </w:r>
          </w:p>
          <w:p w14:paraId="783D479D" w14:textId="77777777" w:rsidR="009D5A5E" w:rsidRPr="009D5A5E" w:rsidRDefault="009D5A5E" w:rsidP="00E370DD">
            <w:pPr>
              <w:numPr>
                <w:ilvl w:val="0"/>
                <w:numId w:val="42"/>
              </w:numPr>
              <w:spacing w:after="120"/>
            </w:pPr>
            <w:r w:rsidRPr="009D5A5E">
              <w:t>Stakeholder engagement and public communications strategies</w:t>
            </w:r>
          </w:p>
          <w:p w14:paraId="61F14ECA" w14:textId="392B9898" w:rsidR="009D5A5E" w:rsidRPr="009D5A5E" w:rsidRDefault="009D5A5E" w:rsidP="00E370DD">
            <w:pPr>
              <w:numPr>
                <w:ilvl w:val="0"/>
                <w:numId w:val="42"/>
              </w:numPr>
              <w:spacing w:after="120"/>
            </w:pPr>
            <w:r w:rsidRPr="009D5A5E">
              <w:t>Whether the ACMA should be an observer on the</w:t>
            </w:r>
            <w:r w:rsidR="001B2C9D">
              <w:t xml:space="preserve"> </w:t>
            </w:r>
            <w:r w:rsidRPr="009D5A5E">
              <w:t>industry steering committee and at what level</w:t>
            </w:r>
          </w:p>
          <w:p w14:paraId="016885DC" w14:textId="77777777" w:rsidR="009D5A5E" w:rsidRPr="009D5A5E" w:rsidRDefault="009D5A5E" w:rsidP="00E370DD">
            <w:pPr>
              <w:numPr>
                <w:ilvl w:val="0"/>
                <w:numId w:val="42"/>
              </w:numPr>
              <w:spacing w:after="120"/>
            </w:pPr>
            <w:r w:rsidRPr="009D5A5E">
              <w:t>Whether pre-public comment consultation is desirable</w:t>
            </w:r>
          </w:p>
          <w:p w14:paraId="21E400AC" w14:textId="77777777" w:rsidR="009D5A5E" w:rsidRPr="009D5A5E" w:rsidRDefault="009D5A5E" w:rsidP="00E370DD">
            <w:pPr>
              <w:numPr>
                <w:ilvl w:val="0"/>
                <w:numId w:val="42"/>
              </w:numPr>
              <w:spacing w:after="120"/>
              <w:rPr>
                <w:i/>
              </w:rPr>
            </w:pPr>
            <w:r w:rsidRPr="009D5A5E">
              <w:t xml:space="preserve">Whether a Regulation Impact Statement (RIS) is likely to be necessary </w:t>
            </w:r>
          </w:p>
          <w:p w14:paraId="42FA7F5B" w14:textId="77777777" w:rsidR="009D5A5E" w:rsidRPr="009D5A5E" w:rsidRDefault="009D5A5E" w:rsidP="00E370DD">
            <w:pPr>
              <w:numPr>
                <w:ilvl w:val="0"/>
                <w:numId w:val="42"/>
              </w:numPr>
              <w:spacing w:after="120"/>
            </w:pPr>
            <w:r w:rsidRPr="009D5A5E">
              <w:t>Relevant industry body management and ACMA management leads</w:t>
            </w:r>
          </w:p>
          <w:p w14:paraId="1EF4A63B" w14:textId="77777777" w:rsidR="009D5A5E" w:rsidRPr="009D5A5E" w:rsidRDefault="009D5A5E" w:rsidP="00E370DD">
            <w:pPr>
              <w:numPr>
                <w:ilvl w:val="0"/>
                <w:numId w:val="42"/>
              </w:numPr>
              <w:spacing w:after="120"/>
            </w:pPr>
            <w:r w:rsidRPr="009D5A5E">
              <w:lastRenderedPageBreak/>
              <w:t>Timing/milestones for ongoing discussion with the ACMA</w:t>
            </w:r>
          </w:p>
          <w:p w14:paraId="2A99F143" w14:textId="77777777" w:rsidR="009D5A5E" w:rsidRPr="009D5A5E" w:rsidRDefault="009D5A5E" w:rsidP="00E370DD">
            <w:pPr>
              <w:numPr>
                <w:ilvl w:val="0"/>
                <w:numId w:val="42"/>
              </w:numPr>
              <w:spacing w:after="120"/>
            </w:pPr>
            <w:r w:rsidRPr="009D5A5E">
              <w:t>Whether the costs of code development could be eligible for reimbursement</w:t>
            </w:r>
          </w:p>
          <w:p w14:paraId="6EC96A48" w14:textId="77777777" w:rsidR="009D5A5E" w:rsidRPr="009D5A5E" w:rsidRDefault="009D5A5E" w:rsidP="00E370DD">
            <w:pPr>
              <w:spacing w:after="120"/>
            </w:pPr>
            <w:r w:rsidRPr="009D5A5E">
              <w:t>Agree any changes to the plan and amend accordingly</w:t>
            </w:r>
          </w:p>
        </w:tc>
      </w:tr>
      <w:tr w:rsidR="009D5A5E" w:rsidRPr="009D5A5E" w14:paraId="00931003" w14:textId="77777777" w:rsidTr="00E370DD">
        <w:tc>
          <w:tcPr>
            <w:tcW w:w="936" w:type="dxa"/>
          </w:tcPr>
          <w:p w14:paraId="40915233" w14:textId="77777777" w:rsidR="009D5A5E" w:rsidRPr="009D5A5E" w:rsidRDefault="009D5A5E">
            <w:pPr>
              <w:numPr>
                <w:ilvl w:val="0"/>
                <w:numId w:val="41"/>
              </w:numPr>
            </w:pPr>
          </w:p>
        </w:tc>
        <w:tc>
          <w:tcPr>
            <w:tcW w:w="1611" w:type="dxa"/>
          </w:tcPr>
          <w:p w14:paraId="220B4E96" w14:textId="77777777" w:rsidR="009D5A5E" w:rsidRPr="009D5A5E" w:rsidRDefault="009D5A5E" w:rsidP="00E370DD">
            <w:pPr>
              <w:spacing w:after="120"/>
            </w:pPr>
            <w:r w:rsidRPr="009D5A5E">
              <w:t>Create appropriate structure to develop or vary a code</w:t>
            </w:r>
          </w:p>
        </w:tc>
        <w:tc>
          <w:tcPr>
            <w:tcW w:w="1843" w:type="dxa"/>
          </w:tcPr>
          <w:p w14:paraId="26D2A517" w14:textId="5889C80C" w:rsidR="009D5A5E" w:rsidRPr="009D5A5E" w:rsidRDefault="009D5A5E">
            <w:r w:rsidRPr="009D5A5E">
              <w:t>Relevant industry body and</w:t>
            </w:r>
            <w:r w:rsidR="001B2C9D">
              <w:t xml:space="preserve"> </w:t>
            </w:r>
            <w:r w:rsidRPr="009D5A5E">
              <w:t>involved stakeholders</w:t>
            </w:r>
          </w:p>
        </w:tc>
        <w:tc>
          <w:tcPr>
            <w:tcW w:w="9922" w:type="dxa"/>
          </w:tcPr>
          <w:p w14:paraId="7A14199A" w14:textId="38CC637B" w:rsidR="009D5A5E" w:rsidRPr="009D5A5E" w:rsidRDefault="009D5A5E" w:rsidP="00E370DD">
            <w:pPr>
              <w:numPr>
                <w:ilvl w:val="0"/>
                <w:numId w:val="42"/>
              </w:numPr>
              <w:spacing w:after="120"/>
            </w:pPr>
            <w:r w:rsidRPr="009D5A5E">
              <w:t>Create planning structure (e.g. set up industry steering committee) and</w:t>
            </w:r>
            <w:r w:rsidR="001B2C9D">
              <w:t xml:space="preserve"> </w:t>
            </w:r>
            <w:r w:rsidRPr="009D5A5E">
              <w:t xml:space="preserve">establish terms of reference (ToR) for project </w:t>
            </w:r>
          </w:p>
          <w:p w14:paraId="70271643" w14:textId="77777777" w:rsidR="009D5A5E" w:rsidRPr="009D5A5E" w:rsidRDefault="009D5A5E" w:rsidP="00E370DD">
            <w:pPr>
              <w:numPr>
                <w:ilvl w:val="0"/>
                <w:numId w:val="42"/>
              </w:numPr>
              <w:spacing w:after="120"/>
            </w:pPr>
            <w:r w:rsidRPr="009D5A5E">
              <w:t>Appoint Chair and (if agreed), appoint ACMA observer representative</w:t>
            </w:r>
          </w:p>
          <w:p w14:paraId="32018D36" w14:textId="712412DD" w:rsidR="009D5A5E" w:rsidRPr="009D5A5E" w:rsidRDefault="009D5A5E" w:rsidP="00E370DD">
            <w:pPr>
              <w:numPr>
                <w:ilvl w:val="0"/>
                <w:numId w:val="42"/>
              </w:numPr>
              <w:spacing w:after="120"/>
            </w:pPr>
            <w:r w:rsidRPr="009D5A5E">
              <w:t>Initiate stakeholder engagement and public communications activities</w:t>
            </w:r>
          </w:p>
        </w:tc>
      </w:tr>
      <w:tr w:rsidR="009D5A5E" w:rsidRPr="009D5A5E" w14:paraId="51429338" w14:textId="77777777" w:rsidTr="00E370DD">
        <w:tc>
          <w:tcPr>
            <w:tcW w:w="936" w:type="dxa"/>
          </w:tcPr>
          <w:p w14:paraId="24D9E9D4" w14:textId="77777777" w:rsidR="009D5A5E" w:rsidRPr="009D5A5E" w:rsidRDefault="009D5A5E">
            <w:pPr>
              <w:numPr>
                <w:ilvl w:val="0"/>
                <w:numId w:val="41"/>
              </w:numPr>
            </w:pPr>
          </w:p>
        </w:tc>
        <w:tc>
          <w:tcPr>
            <w:tcW w:w="1611" w:type="dxa"/>
          </w:tcPr>
          <w:p w14:paraId="56EC4055" w14:textId="77777777" w:rsidR="009D5A5E" w:rsidRPr="009D5A5E" w:rsidRDefault="009D5A5E">
            <w:r w:rsidRPr="009D5A5E">
              <w:t xml:space="preserve">Code drafting </w:t>
            </w:r>
          </w:p>
        </w:tc>
        <w:tc>
          <w:tcPr>
            <w:tcW w:w="1843" w:type="dxa"/>
          </w:tcPr>
          <w:p w14:paraId="406CEBCF" w14:textId="77777777" w:rsidR="009D5A5E" w:rsidRPr="009D5A5E" w:rsidRDefault="009D5A5E">
            <w:r w:rsidRPr="009D5A5E">
              <w:t>All identified</w:t>
            </w:r>
          </w:p>
        </w:tc>
        <w:tc>
          <w:tcPr>
            <w:tcW w:w="9922" w:type="dxa"/>
          </w:tcPr>
          <w:p w14:paraId="2D9F4E26" w14:textId="77777777" w:rsidR="009D5A5E" w:rsidRPr="009D5A5E" w:rsidRDefault="009D5A5E" w:rsidP="00E370DD">
            <w:pPr>
              <w:spacing w:after="120"/>
            </w:pPr>
            <w:r w:rsidRPr="009D5A5E">
              <w:t>Representative industry body is responsible for preparing a draft Code</w:t>
            </w:r>
          </w:p>
          <w:p w14:paraId="5385DB80" w14:textId="77777777" w:rsidR="009D5A5E" w:rsidRPr="009D5A5E" w:rsidRDefault="009D5A5E" w:rsidP="00E370DD">
            <w:pPr>
              <w:spacing w:after="120"/>
            </w:pPr>
            <w:r w:rsidRPr="009D5A5E">
              <w:t>Stakeholder inputs to be considered during drafting</w:t>
            </w:r>
          </w:p>
        </w:tc>
      </w:tr>
      <w:tr w:rsidR="009D5A5E" w:rsidRPr="009D5A5E" w14:paraId="15C9418B" w14:textId="77777777" w:rsidTr="00E370DD">
        <w:tc>
          <w:tcPr>
            <w:tcW w:w="936" w:type="dxa"/>
          </w:tcPr>
          <w:p w14:paraId="02169D65" w14:textId="77777777" w:rsidR="009D5A5E" w:rsidRPr="009D5A5E" w:rsidRDefault="009D5A5E">
            <w:pPr>
              <w:numPr>
                <w:ilvl w:val="0"/>
                <w:numId w:val="41"/>
              </w:numPr>
            </w:pPr>
            <w:r w:rsidRPr="009D5A5E">
              <w:t xml:space="preserve"> </w:t>
            </w:r>
          </w:p>
        </w:tc>
        <w:tc>
          <w:tcPr>
            <w:tcW w:w="1611" w:type="dxa"/>
          </w:tcPr>
          <w:p w14:paraId="38A0DB32" w14:textId="77777777" w:rsidR="009D5A5E" w:rsidRPr="009D5A5E" w:rsidRDefault="009D5A5E">
            <w:r w:rsidRPr="009D5A5E">
              <w:t>Pre-public comment stakeholder liaison</w:t>
            </w:r>
          </w:p>
        </w:tc>
        <w:tc>
          <w:tcPr>
            <w:tcW w:w="1843" w:type="dxa"/>
          </w:tcPr>
          <w:p w14:paraId="0E05ED27" w14:textId="77777777" w:rsidR="009D5A5E" w:rsidRPr="009D5A5E" w:rsidRDefault="009D5A5E">
            <w:r w:rsidRPr="009D5A5E">
              <w:t>Relevant industry body, ACMA and other key stakeholders</w:t>
            </w:r>
          </w:p>
        </w:tc>
        <w:tc>
          <w:tcPr>
            <w:tcW w:w="9922" w:type="dxa"/>
          </w:tcPr>
          <w:p w14:paraId="1467AF70" w14:textId="77777777" w:rsidR="009D5A5E" w:rsidRPr="009D5A5E" w:rsidRDefault="009D5A5E" w:rsidP="00E370DD">
            <w:pPr>
              <w:spacing w:after="120"/>
            </w:pPr>
            <w:r w:rsidRPr="009D5A5E">
              <w:t>Industry body drafting the code approves the public consultation version of the draft code.</w:t>
            </w:r>
          </w:p>
          <w:p w14:paraId="68C20CFD" w14:textId="77777777" w:rsidR="009D5A5E" w:rsidRPr="009D5A5E" w:rsidRDefault="009D5A5E" w:rsidP="00E370DD">
            <w:pPr>
              <w:spacing w:after="120"/>
            </w:pPr>
            <w:r w:rsidRPr="009D5A5E">
              <w:t>Pre-public consultation (PPC) with ACMA (if agreed desirable) and seek to agree targeted maximum duration of PPC</w:t>
            </w:r>
          </w:p>
          <w:p w14:paraId="777933AD" w14:textId="77777777" w:rsidR="009D5A5E" w:rsidRPr="009D5A5E" w:rsidRDefault="009D5A5E" w:rsidP="00E370DD">
            <w:pPr>
              <w:spacing w:after="120"/>
            </w:pPr>
            <w:r w:rsidRPr="009D5A5E">
              <w:t>Industry body briefs key stakeholders, as required</w:t>
            </w:r>
          </w:p>
          <w:p w14:paraId="7FC07805" w14:textId="77777777" w:rsidR="009D5A5E" w:rsidRPr="009D5A5E" w:rsidRDefault="009D5A5E" w:rsidP="00E370DD">
            <w:pPr>
              <w:spacing w:after="120"/>
            </w:pPr>
            <w:r w:rsidRPr="009D5A5E">
              <w:t>Preparation of Privacy Impact Assessment, if required</w:t>
            </w:r>
          </w:p>
        </w:tc>
      </w:tr>
      <w:tr w:rsidR="009D5A5E" w:rsidRPr="009D5A5E" w14:paraId="2C968D12" w14:textId="77777777" w:rsidTr="00E370DD">
        <w:tc>
          <w:tcPr>
            <w:tcW w:w="936" w:type="dxa"/>
          </w:tcPr>
          <w:p w14:paraId="64E4305C" w14:textId="77777777" w:rsidR="009D5A5E" w:rsidRPr="009D5A5E" w:rsidRDefault="009D5A5E">
            <w:pPr>
              <w:numPr>
                <w:ilvl w:val="0"/>
                <w:numId w:val="41"/>
              </w:numPr>
            </w:pPr>
          </w:p>
        </w:tc>
        <w:tc>
          <w:tcPr>
            <w:tcW w:w="1611" w:type="dxa"/>
          </w:tcPr>
          <w:p w14:paraId="21202279" w14:textId="0FF4942F" w:rsidR="009D5A5E" w:rsidRPr="009D5A5E" w:rsidRDefault="009D5A5E" w:rsidP="00E370DD">
            <w:pPr>
              <w:spacing w:after="120"/>
            </w:pPr>
            <w:r w:rsidRPr="009D5A5E">
              <w:t xml:space="preserve">Public </w:t>
            </w:r>
            <w:r w:rsidR="00343367">
              <w:t>c</w:t>
            </w:r>
            <w:r w:rsidRPr="009D5A5E">
              <w:t>omment</w:t>
            </w:r>
          </w:p>
        </w:tc>
        <w:tc>
          <w:tcPr>
            <w:tcW w:w="1843" w:type="dxa"/>
          </w:tcPr>
          <w:p w14:paraId="68D748C2" w14:textId="77777777" w:rsidR="009D5A5E" w:rsidRPr="009D5A5E" w:rsidRDefault="009D5A5E">
            <w:r w:rsidRPr="009D5A5E">
              <w:t>CA &amp; Public</w:t>
            </w:r>
          </w:p>
        </w:tc>
        <w:tc>
          <w:tcPr>
            <w:tcW w:w="9922" w:type="dxa"/>
          </w:tcPr>
          <w:p w14:paraId="260F1B49" w14:textId="77777777" w:rsidR="009D5A5E" w:rsidRPr="009D5A5E" w:rsidRDefault="009D5A5E">
            <w:r w:rsidRPr="009D5A5E">
              <w:t>Mandatory public consultation period of at least 30 days</w:t>
            </w:r>
          </w:p>
        </w:tc>
      </w:tr>
      <w:tr w:rsidR="009D5A5E" w:rsidRPr="009D5A5E" w14:paraId="06A688C6" w14:textId="77777777" w:rsidTr="00E370DD">
        <w:tc>
          <w:tcPr>
            <w:tcW w:w="936" w:type="dxa"/>
          </w:tcPr>
          <w:p w14:paraId="26AEC54E" w14:textId="77777777" w:rsidR="009D5A5E" w:rsidRPr="009D5A5E" w:rsidRDefault="009D5A5E">
            <w:pPr>
              <w:numPr>
                <w:ilvl w:val="0"/>
                <w:numId w:val="41"/>
              </w:numPr>
            </w:pPr>
          </w:p>
        </w:tc>
        <w:tc>
          <w:tcPr>
            <w:tcW w:w="1611" w:type="dxa"/>
          </w:tcPr>
          <w:p w14:paraId="19D40C0B" w14:textId="34E59821" w:rsidR="009D5A5E" w:rsidRPr="009D5A5E" w:rsidRDefault="009D5A5E">
            <w:r w:rsidRPr="009D5A5E">
              <w:t xml:space="preserve">Consideration of </w:t>
            </w:r>
            <w:r w:rsidR="00343367">
              <w:t>p</w:t>
            </w:r>
            <w:r w:rsidRPr="009D5A5E">
              <w:t xml:space="preserve">ublic submissions </w:t>
            </w:r>
          </w:p>
        </w:tc>
        <w:tc>
          <w:tcPr>
            <w:tcW w:w="1843" w:type="dxa"/>
          </w:tcPr>
          <w:p w14:paraId="76DEB924" w14:textId="77777777" w:rsidR="009D5A5E" w:rsidRPr="009D5A5E" w:rsidRDefault="009D5A5E"/>
        </w:tc>
        <w:tc>
          <w:tcPr>
            <w:tcW w:w="9922" w:type="dxa"/>
          </w:tcPr>
          <w:p w14:paraId="59718E4A" w14:textId="77777777" w:rsidR="009D5A5E" w:rsidRPr="009D5A5E" w:rsidRDefault="009D5A5E" w:rsidP="00E370DD">
            <w:pPr>
              <w:spacing w:after="120"/>
            </w:pPr>
            <w:r w:rsidRPr="009D5A5E">
              <w:t>Industry body considers public comments received and, where appropriate, revises draft Code</w:t>
            </w:r>
          </w:p>
          <w:p w14:paraId="746CA298" w14:textId="77777777" w:rsidR="009D5A5E" w:rsidRPr="009D5A5E" w:rsidRDefault="009D5A5E" w:rsidP="00E370DD">
            <w:pPr>
              <w:spacing w:after="120"/>
            </w:pPr>
            <w:r w:rsidRPr="009D5A5E">
              <w:t>Industry body briefs ACMA on changes made and any contentious issues, then considers feedback from the ACMA</w:t>
            </w:r>
          </w:p>
        </w:tc>
      </w:tr>
      <w:tr w:rsidR="009D5A5E" w:rsidRPr="009D5A5E" w14:paraId="09686883" w14:textId="77777777" w:rsidTr="00E370DD">
        <w:tc>
          <w:tcPr>
            <w:tcW w:w="936" w:type="dxa"/>
          </w:tcPr>
          <w:p w14:paraId="3DD9C89B" w14:textId="77777777" w:rsidR="009D5A5E" w:rsidRPr="009D5A5E" w:rsidRDefault="009D5A5E">
            <w:pPr>
              <w:numPr>
                <w:ilvl w:val="0"/>
                <w:numId w:val="41"/>
              </w:numPr>
            </w:pPr>
          </w:p>
        </w:tc>
        <w:tc>
          <w:tcPr>
            <w:tcW w:w="1611" w:type="dxa"/>
          </w:tcPr>
          <w:p w14:paraId="66F1B062" w14:textId="77777777" w:rsidR="009D5A5E" w:rsidRPr="009D5A5E" w:rsidRDefault="009D5A5E" w:rsidP="00E370DD">
            <w:pPr>
              <w:spacing w:after="120"/>
            </w:pPr>
            <w:r w:rsidRPr="009D5A5E">
              <w:t>Response to public comments</w:t>
            </w:r>
          </w:p>
        </w:tc>
        <w:tc>
          <w:tcPr>
            <w:tcW w:w="1843" w:type="dxa"/>
          </w:tcPr>
          <w:p w14:paraId="610883C7" w14:textId="77777777" w:rsidR="009D5A5E" w:rsidRPr="009D5A5E" w:rsidRDefault="009D5A5E" w:rsidP="00E370DD">
            <w:pPr>
              <w:spacing w:after="120"/>
            </w:pPr>
            <w:r w:rsidRPr="009D5A5E">
              <w:t>Relevant industry body and respondents</w:t>
            </w:r>
          </w:p>
        </w:tc>
        <w:tc>
          <w:tcPr>
            <w:tcW w:w="9922" w:type="dxa"/>
          </w:tcPr>
          <w:p w14:paraId="1EB463E1" w14:textId="77777777" w:rsidR="009D5A5E" w:rsidRPr="009D5A5E" w:rsidRDefault="009D5A5E" w:rsidP="00E370DD">
            <w:pPr>
              <w:spacing w:after="120"/>
            </w:pPr>
            <w:r w:rsidRPr="009D5A5E">
              <w:t>Industry body responds to individuals and organisation who provided submissions during public consultation period</w:t>
            </w:r>
          </w:p>
        </w:tc>
      </w:tr>
      <w:tr w:rsidR="009D5A5E" w:rsidRPr="009D5A5E" w14:paraId="350F3A11" w14:textId="77777777" w:rsidTr="00E370DD">
        <w:tc>
          <w:tcPr>
            <w:tcW w:w="936" w:type="dxa"/>
          </w:tcPr>
          <w:p w14:paraId="057E1ECB" w14:textId="77777777" w:rsidR="009D5A5E" w:rsidRPr="009D5A5E" w:rsidRDefault="009D5A5E">
            <w:pPr>
              <w:numPr>
                <w:ilvl w:val="0"/>
                <w:numId w:val="41"/>
              </w:numPr>
            </w:pPr>
          </w:p>
        </w:tc>
        <w:tc>
          <w:tcPr>
            <w:tcW w:w="1611" w:type="dxa"/>
          </w:tcPr>
          <w:p w14:paraId="527003DF" w14:textId="06D44718" w:rsidR="009D5A5E" w:rsidRPr="009D5A5E" w:rsidRDefault="009D5A5E" w:rsidP="00E370DD">
            <w:pPr>
              <w:spacing w:after="120"/>
            </w:pPr>
            <w:r w:rsidRPr="009D5A5E">
              <w:t xml:space="preserve">Certificates of </w:t>
            </w:r>
            <w:r w:rsidR="00FC58B2">
              <w:t>m</w:t>
            </w:r>
            <w:r w:rsidRPr="009D5A5E">
              <w:t xml:space="preserve">andatory </w:t>
            </w:r>
            <w:r w:rsidR="00FC58B2">
              <w:t>c</w:t>
            </w:r>
            <w:r w:rsidRPr="009D5A5E">
              <w:t>onsultation</w:t>
            </w:r>
          </w:p>
        </w:tc>
        <w:tc>
          <w:tcPr>
            <w:tcW w:w="1843" w:type="dxa"/>
          </w:tcPr>
          <w:p w14:paraId="2E516FB5" w14:textId="77777777" w:rsidR="009D5A5E" w:rsidRPr="009D5A5E" w:rsidRDefault="009D5A5E" w:rsidP="00E370DD">
            <w:pPr>
              <w:spacing w:after="120"/>
            </w:pPr>
            <w:r w:rsidRPr="009D5A5E">
              <w:t>Relevant industry body</w:t>
            </w:r>
          </w:p>
        </w:tc>
        <w:tc>
          <w:tcPr>
            <w:tcW w:w="9922" w:type="dxa"/>
          </w:tcPr>
          <w:p w14:paraId="0537499A" w14:textId="77777777" w:rsidR="009D5A5E" w:rsidRPr="009D5A5E" w:rsidRDefault="009D5A5E" w:rsidP="00E370DD">
            <w:pPr>
              <w:spacing w:after="120"/>
            </w:pPr>
            <w:r w:rsidRPr="009D5A5E">
              <w:t xml:space="preserve">Industry body obtains certificates of mandatory consultation from the ACCC, TIO, OAIC and ACCAN (or other appropriate consumer representative body) that the required consultation under Part 6 of the Telecommunications Act has occurred. </w:t>
            </w:r>
          </w:p>
        </w:tc>
      </w:tr>
      <w:tr w:rsidR="009D5A5E" w:rsidRPr="009D5A5E" w14:paraId="41A958F3" w14:textId="77777777" w:rsidTr="00E370DD">
        <w:trPr>
          <w:trHeight w:val="877"/>
        </w:trPr>
        <w:tc>
          <w:tcPr>
            <w:tcW w:w="936" w:type="dxa"/>
          </w:tcPr>
          <w:p w14:paraId="24335C98" w14:textId="77777777" w:rsidR="009D5A5E" w:rsidRPr="009D5A5E" w:rsidRDefault="009D5A5E">
            <w:pPr>
              <w:numPr>
                <w:ilvl w:val="0"/>
                <w:numId w:val="41"/>
              </w:numPr>
            </w:pPr>
          </w:p>
        </w:tc>
        <w:tc>
          <w:tcPr>
            <w:tcW w:w="1611" w:type="dxa"/>
          </w:tcPr>
          <w:p w14:paraId="6173F275" w14:textId="77777777" w:rsidR="009D5A5E" w:rsidRPr="009D5A5E" w:rsidRDefault="009D5A5E" w:rsidP="00E370DD">
            <w:pPr>
              <w:spacing w:after="120"/>
            </w:pPr>
            <w:r w:rsidRPr="009D5A5E">
              <w:t>Pre-submission check</w:t>
            </w:r>
          </w:p>
        </w:tc>
        <w:tc>
          <w:tcPr>
            <w:tcW w:w="1843" w:type="dxa"/>
          </w:tcPr>
          <w:p w14:paraId="38295808" w14:textId="77777777" w:rsidR="009D5A5E" w:rsidRPr="009D5A5E" w:rsidRDefault="009D5A5E" w:rsidP="00E370DD">
            <w:pPr>
              <w:spacing w:after="120"/>
            </w:pPr>
            <w:r w:rsidRPr="009D5A5E">
              <w:t>Industry body and the ACMA</w:t>
            </w:r>
          </w:p>
        </w:tc>
        <w:tc>
          <w:tcPr>
            <w:tcW w:w="9922" w:type="dxa"/>
          </w:tcPr>
          <w:p w14:paraId="25230978" w14:textId="77777777" w:rsidR="009D5A5E" w:rsidRPr="009D5A5E" w:rsidRDefault="009D5A5E" w:rsidP="00E370DD">
            <w:pPr>
              <w:spacing w:after="120"/>
            </w:pPr>
            <w:r w:rsidRPr="009D5A5E">
              <w:t>Final discussion to check whether any issues remain that require further action and/or impinge on decision to submit code for registration (or variation).</w:t>
            </w:r>
          </w:p>
          <w:p w14:paraId="4C2EFCE9" w14:textId="77777777" w:rsidR="009D5A5E" w:rsidRPr="009D5A5E" w:rsidRDefault="009D5A5E" w:rsidP="00E370DD">
            <w:pPr>
              <w:spacing w:after="120"/>
            </w:pPr>
            <w:r w:rsidRPr="009D5A5E">
              <w:t>In the case of an industry code that deals with issues that relate to the Australian Privacy Principles, then the industry body should also check with the OAIC that the Privacy Commissioner is satisfied with the way the code addresses those issues.</w:t>
            </w:r>
          </w:p>
        </w:tc>
      </w:tr>
      <w:tr w:rsidR="009D5A5E" w:rsidRPr="009D5A5E" w14:paraId="0A5BDC93" w14:textId="77777777" w:rsidTr="00E370DD">
        <w:tc>
          <w:tcPr>
            <w:tcW w:w="936" w:type="dxa"/>
          </w:tcPr>
          <w:p w14:paraId="18C6481C" w14:textId="77777777" w:rsidR="009D5A5E" w:rsidRPr="009D5A5E" w:rsidRDefault="009D5A5E">
            <w:pPr>
              <w:numPr>
                <w:ilvl w:val="0"/>
                <w:numId w:val="41"/>
              </w:numPr>
            </w:pPr>
          </w:p>
        </w:tc>
        <w:tc>
          <w:tcPr>
            <w:tcW w:w="1611" w:type="dxa"/>
          </w:tcPr>
          <w:p w14:paraId="004014F0" w14:textId="6C4CE914" w:rsidR="009D5A5E" w:rsidRPr="009D5A5E" w:rsidRDefault="009D5A5E">
            <w:r w:rsidRPr="009D5A5E">
              <w:t xml:space="preserve">Submit </w:t>
            </w:r>
            <w:r w:rsidR="00343367">
              <w:t>c</w:t>
            </w:r>
            <w:r w:rsidRPr="009D5A5E">
              <w:t>ode</w:t>
            </w:r>
          </w:p>
        </w:tc>
        <w:tc>
          <w:tcPr>
            <w:tcW w:w="1843" w:type="dxa"/>
          </w:tcPr>
          <w:p w14:paraId="356FF8A1" w14:textId="77777777" w:rsidR="009D5A5E" w:rsidRPr="009D5A5E" w:rsidRDefault="009D5A5E">
            <w:r w:rsidRPr="009D5A5E">
              <w:t>Industry body and the ACMA</w:t>
            </w:r>
          </w:p>
        </w:tc>
        <w:tc>
          <w:tcPr>
            <w:tcW w:w="9922" w:type="dxa"/>
          </w:tcPr>
          <w:p w14:paraId="23A2103C" w14:textId="77777777" w:rsidR="009D5A5E" w:rsidRPr="009D5A5E" w:rsidRDefault="009D5A5E" w:rsidP="00E370DD">
            <w:pPr>
              <w:spacing w:after="120"/>
            </w:pPr>
            <w:r w:rsidRPr="009D5A5E">
              <w:t>Industry body gives final approval of the Code and submits it to the ACMA for consideration for registration (or variation)</w:t>
            </w:r>
          </w:p>
          <w:p w14:paraId="1B558433" w14:textId="77777777" w:rsidR="009D5A5E" w:rsidRPr="009D5A5E" w:rsidRDefault="009D5A5E" w:rsidP="00E370DD">
            <w:pPr>
              <w:spacing w:after="120"/>
            </w:pPr>
            <w:r w:rsidRPr="009D5A5E">
              <w:t>Industry body finalises claim for code reimbursement (where relevant)</w:t>
            </w:r>
          </w:p>
          <w:p w14:paraId="3ABD470F" w14:textId="77777777" w:rsidR="009D5A5E" w:rsidRPr="009D5A5E" w:rsidRDefault="009D5A5E" w:rsidP="00E370DD">
            <w:pPr>
              <w:spacing w:after="120"/>
            </w:pPr>
            <w:r w:rsidRPr="009D5A5E">
              <w:t>Industry body issues public communications as appropriate</w:t>
            </w:r>
          </w:p>
        </w:tc>
      </w:tr>
      <w:tr w:rsidR="009D5A5E" w:rsidRPr="009D5A5E" w14:paraId="4D766CD6" w14:textId="77777777" w:rsidTr="00E370DD">
        <w:tc>
          <w:tcPr>
            <w:tcW w:w="936" w:type="dxa"/>
          </w:tcPr>
          <w:p w14:paraId="0129A9E1" w14:textId="77777777" w:rsidR="009D5A5E" w:rsidRPr="009D5A5E" w:rsidRDefault="009D5A5E">
            <w:pPr>
              <w:numPr>
                <w:ilvl w:val="0"/>
                <w:numId w:val="41"/>
              </w:numPr>
            </w:pPr>
          </w:p>
        </w:tc>
        <w:tc>
          <w:tcPr>
            <w:tcW w:w="1611" w:type="dxa"/>
          </w:tcPr>
          <w:p w14:paraId="3666D23D" w14:textId="77777777" w:rsidR="009D5A5E" w:rsidRPr="009D5A5E" w:rsidRDefault="009D5A5E">
            <w:r w:rsidRPr="009D5A5E">
              <w:t>RIS</w:t>
            </w:r>
          </w:p>
        </w:tc>
        <w:tc>
          <w:tcPr>
            <w:tcW w:w="1843" w:type="dxa"/>
          </w:tcPr>
          <w:p w14:paraId="219C3C2A" w14:textId="77777777" w:rsidR="009D5A5E" w:rsidRPr="009D5A5E" w:rsidRDefault="009D5A5E">
            <w:r w:rsidRPr="009D5A5E">
              <w:t>Industry body and the ACMA</w:t>
            </w:r>
          </w:p>
        </w:tc>
        <w:tc>
          <w:tcPr>
            <w:tcW w:w="9922" w:type="dxa"/>
          </w:tcPr>
          <w:p w14:paraId="01BCD993" w14:textId="77777777" w:rsidR="009D5A5E" w:rsidRPr="009D5A5E" w:rsidRDefault="009D5A5E" w:rsidP="00E370DD">
            <w:pPr>
              <w:spacing w:after="120"/>
            </w:pPr>
            <w:r w:rsidRPr="009D5A5E">
              <w:t>Industry body coordinates industry input to the ACMA to prepare RIS (if required)</w:t>
            </w:r>
          </w:p>
          <w:p w14:paraId="44F3865D" w14:textId="77777777" w:rsidR="009D5A5E" w:rsidRPr="009D5A5E" w:rsidRDefault="009D5A5E" w:rsidP="00E370DD">
            <w:pPr>
              <w:spacing w:after="120"/>
            </w:pPr>
            <w:r w:rsidRPr="009D5A5E">
              <w:t>ACMA to submit RIS to the Office of Best Practice Regulation (OBPR) consideration and liaise with the industry body on any OBPR advice or comments that need to be addressed in a resubmitted RIS</w:t>
            </w:r>
          </w:p>
        </w:tc>
      </w:tr>
      <w:tr w:rsidR="009D5A5E" w:rsidRPr="009D5A5E" w14:paraId="3C01B7C1" w14:textId="77777777" w:rsidTr="00E370DD">
        <w:tc>
          <w:tcPr>
            <w:tcW w:w="936" w:type="dxa"/>
          </w:tcPr>
          <w:p w14:paraId="533A306C" w14:textId="77777777" w:rsidR="009D5A5E" w:rsidRPr="009D5A5E" w:rsidRDefault="009D5A5E">
            <w:pPr>
              <w:numPr>
                <w:ilvl w:val="0"/>
                <w:numId w:val="41"/>
              </w:numPr>
            </w:pPr>
          </w:p>
        </w:tc>
        <w:tc>
          <w:tcPr>
            <w:tcW w:w="1611" w:type="dxa"/>
          </w:tcPr>
          <w:p w14:paraId="7A608189" w14:textId="5D96A298" w:rsidR="009D5A5E" w:rsidRPr="009D5A5E" w:rsidRDefault="009D5A5E">
            <w:r w:rsidRPr="009D5A5E">
              <w:t xml:space="preserve">ACMA </w:t>
            </w:r>
            <w:r w:rsidR="00343367">
              <w:t>d</w:t>
            </w:r>
            <w:r w:rsidRPr="009D5A5E">
              <w:t>ecision</w:t>
            </w:r>
          </w:p>
        </w:tc>
        <w:tc>
          <w:tcPr>
            <w:tcW w:w="1843" w:type="dxa"/>
          </w:tcPr>
          <w:p w14:paraId="635670F5" w14:textId="77777777" w:rsidR="009D5A5E" w:rsidRPr="009D5A5E" w:rsidRDefault="009D5A5E">
            <w:r w:rsidRPr="009D5A5E">
              <w:t>ACMA and others</w:t>
            </w:r>
          </w:p>
        </w:tc>
        <w:tc>
          <w:tcPr>
            <w:tcW w:w="9922" w:type="dxa"/>
          </w:tcPr>
          <w:p w14:paraId="06386184" w14:textId="77777777" w:rsidR="009D5A5E" w:rsidRPr="009D5A5E" w:rsidRDefault="009D5A5E" w:rsidP="00E370DD">
            <w:pPr>
              <w:spacing w:after="120"/>
            </w:pPr>
            <w:r w:rsidRPr="009D5A5E">
              <w:t>Ideally the project plan should target a timeframe for a decision, while recognising that many variable may impact on this. The timeframe also need to take account of the frequency and scheduling of Authority meetings. However, ACMA assessment of less complex code registration or variation applications should take approximately two months.</w:t>
            </w:r>
          </w:p>
        </w:tc>
      </w:tr>
    </w:tbl>
    <w:p w14:paraId="74B40157" w14:textId="0EA18AEE" w:rsidR="008262C5" w:rsidRPr="008262C5" w:rsidRDefault="00343367" w:rsidP="008262C5">
      <w:r>
        <w:br w:type="textWrapping" w:clear="all"/>
      </w:r>
    </w:p>
    <w:sectPr w:rsidR="008262C5" w:rsidRPr="008262C5" w:rsidSect="00E11756">
      <w:headerReference w:type="even" r:id="rId46"/>
      <w:headerReference w:type="default" r:id="rId47"/>
      <w:footerReference w:type="even" r:id="rId48"/>
      <w:pgSz w:w="16838" w:h="11906" w:orient="landscape" w:code="9"/>
      <w:pgMar w:top="1134" w:right="1945" w:bottom="3101" w:left="113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710DC" w14:textId="77777777" w:rsidR="003935D8" w:rsidRDefault="003935D8">
      <w:r>
        <w:separator/>
      </w:r>
    </w:p>
  </w:endnote>
  <w:endnote w:type="continuationSeparator" w:id="0">
    <w:p w14:paraId="546672C3" w14:textId="77777777" w:rsidR="003935D8" w:rsidRDefault="0039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Times New Roma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0D8A" w14:textId="77777777" w:rsidR="003935D8" w:rsidRPr="00A5474E" w:rsidRDefault="003935D8" w:rsidP="00A5474E">
    <w:pPr>
      <w:pStyle w:val="Footer"/>
    </w:pPr>
    <w:r>
      <w:rPr>
        <w:noProof/>
      </w:rPr>
      <w:drawing>
        <wp:inline distT="0" distB="0" distL="0" distR="0" wp14:anchorId="2DF59298" wp14:editId="4105A417">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460B" w14:textId="77777777" w:rsidR="003935D8" w:rsidRDefault="00393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9E9AE" w14:textId="77777777" w:rsidR="003935D8" w:rsidRDefault="003935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E821" w14:textId="77777777" w:rsidR="003935D8" w:rsidRPr="00622A3B" w:rsidRDefault="003935D8" w:rsidP="002613C7">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666500">
      <w:rPr>
        <w:noProof/>
        <w:color w:val="505050"/>
      </w:rPr>
      <w:t>vi</w:t>
    </w:r>
    <w:r w:rsidRPr="002E4DDC">
      <w:rPr>
        <w:color w:val="505050"/>
      </w:rPr>
      <w:fldChar w:fldCharType="end"/>
    </w:r>
  </w:p>
  <w:p w14:paraId="3D294EE0" w14:textId="77777777" w:rsidR="003935D8" w:rsidRPr="00A5474E" w:rsidRDefault="003935D8"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2357D" w14:textId="77777777" w:rsidR="003935D8" w:rsidRPr="00622A3B" w:rsidRDefault="003935D8" w:rsidP="001B2C9D">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666500">
      <w:rPr>
        <w:noProof/>
        <w:color w:val="505050"/>
      </w:rPr>
      <w:t>v</w:t>
    </w:r>
    <w:r w:rsidRPr="002E4DDC">
      <w:rPr>
        <w:color w:val="505050"/>
      </w:rPr>
      <w:fldChar w:fldCharType="end"/>
    </w:r>
  </w:p>
  <w:p w14:paraId="13E0F7C7" w14:textId="77777777" w:rsidR="003935D8" w:rsidRPr="00A5474E" w:rsidRDefault="003935D8"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083D" w14:textId="77777777" w:rsidR="003935D8" w:rsidRPr="00622A3B" w:rsidRDefault="003935D8"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666500">
      <w:rPr>
        <w:noProof/>
        <w:color w:val="505050"/>
      </w:rPr>
      <w:t>iii</w:t>
    </w:r>
    <w:r w:rsidRPr="002E4DDC">
      <w:rPr>
        <w:color w:val="505050"/>
      </w:rPr>
      <w:fldChar w:fldCharType="end"/>
    </w:r>
  </w:p>
  <w:p w14:paraId="6739D3DD" w14:textId="77777777" w:rsidR="003935D8" w:rsidRPr="00A5474E" w:rsidRDefault="003935D8"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ACA6" w14:textId="77777777" w:rsidR="003935D8" w:rsidRPr="00622A3B" w:rsidRDefault="003935D8" w:rsidP="00E11756">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666500">
      <w:rPr>
        <w:noProof/>
      </w:rPr>
      <w:t>14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171346C" w14:textId="77777777" w:rsidR="003935D8" w:rsidRPr="00A5474E" w:rsidRDefault="003935D8"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DD72" w14:textId="77777777" w:rsidR="003935D8" w:rsidRPr="00622A3B" w:rsidRDefault="003935D8"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666500">
      <w:rPr>
        <w:noProof/>
        <w:color w:val="505050"/>
      </w:rPr>
      <w:t>13</w:t>
    </w:r>
    <w:r w:rsidRPr="00575AC5">
      <w:rPr>
        <w:color w:val="505050"/>
      </w:rPr>
      <w:fldChar w:fldCharType="end"/>
    </w:r>
  </w:p>
  <w:p w14:paraId="2053FDA9" w14:textId="77777777" w:rsidR="003935D8" w:rsidRPr="00A5474E" w:rsidRDefault="003935D8"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458A6" w14:textId="77777777" w:rsidR="003935D8" w:rsidRPr="00622A3B" w:rsidRDefault="003935D8" w:rsidP="00E11756">
    <w:pPr>
      <w:pStyle w:val="FooterLeft"/>
      <w:framePr w:wrap="around" w:x="7516" w:y="11446"/>
      <w:tabs>
        <w:tab w:val="clear" w:pos="113"/>
        <w:tab w:val="right" w:pos="397"/>
      </w:tabs>
      <w:jc w:val="center"/>
    </w:pPr>
    <w:r w:rsidRPr="00575AC5">
      <w:fldChar w:fldCharType="begin"/>
    </w:r>
    <w:r w:rsidRPr="00575AC5">
      <w:instrText xml:space="preserve"> PAGE  \* Arabic  \* MERGEFORMAT </w:instrText>
    </w:r>
    <w:r w:rsidRPr="00575AC5">
      <w:fldChar w:fldCharType="separate"/>
    </w:r>
    <w:r w:rsidR="00666500">
      <w:rPr>
        <w:noProof/>
      </w:rPr>
      <w:t>78</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FE9D61C" w14:textId="77777777" w:rsidR="003935D8" w:rsidRPr="00A5474E" w:rsidRDefault="003935D8"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4A481" w14:textId="77777777" w:rsidR="003935D8" w:rsidRDefault="003935D8">
      <w:r>
        <w:separator/>
      </w:r>
    </w:p>
  </w:footnote>
  <w:footnote w:type="continuationSeparator" w:id="0">
    <w:p w14:paraId="709C5494" w14:textId="77777777" w:rsidR="003935D8" w:rsidRDefault="003935D8">
      <w:r>
        <w:continuationSeparator/>
      </w:r>
    </w:p>
  </w:footnote>
  <w:footnote w:id="1">
    <w:p w14:paraId="7B3ED285" w14:textId="48DC2AD1" w:rsidR="003935D8" w:rsidRDefault="003935D8" w:rsidP="00E370DD">
      <w:pPr>
        <w:pStyle w:val="FootnoteText"/>
        <w:spacing w:after="0"/>
      </w:pPr>
      <w:r>
        <w:rPr>
          <w:rStyle w:val="FootnoteReference"/>
        </w:rPr>
        <w:footnoteRef/>
      </w:r>
      <w:r>
        <w:t xml:space="preserve"> </w:t>
      </w:r>
      <w:hyperlink r:id="rId1" w:history="1">
        <w:r w:rsidRPr="00DE6D49">
          <w:rPr>
            <w:rStyle w:val="Hyperlink"/>
          </w:rPr>
          <w:t>www.accc.gov.au/business/applying-for-exemptions/authorisations</w:t>
        </w:r>
      </w:hyperlink>
    </w:p>
  </w:footnote>
  <w:footnote w:id="2">
    <w:p w14:paraId="6BBF55FC" w14:textId="34F55535" w:rsidR="003935D8" w:rsidRDefault="003935D8" w:rsidP="00AC46B0">
      <w:pPr>
        <w:pStyle w:val="ListBullet2"/>
        <w:numPr>
          <w:ilvl w:val="0"/>
          <w:numId w:val="0"/>
        </w:numPr>
        <w:spacing w:after="0"/>
      </w:pPr>
      <w:r>
        <w:rPr>
          <w:rStyle w:val="FootnoteReference"/>
        </w:rPr>
        <w:footnoteRef/>
      </w:r>
      <w:r>
        <w:t xml:space="preserve"> </w:t>
      </w:r>
      <w:r w:rsidRPr="00FE60A0">
        <w:rPr>
          <w:i/>
          <w:sz w:val="16"/>
          <w:szCs w:val="16"/>
        </w:rPr>
        <w:t xml:space="preserve">The Australian Government Guide to Regulation (2014), </w:t>
      </w:r>
      <w:hyperlink r:id="rId2" w:history="1">
        <w:r w:rsidRPr="00FE60A0">
          <w:rPr>
            <w:rStyle w:val="Hyperlink"/>
            <w:i/>
            <w:sz w:val="16"/>
            <w:szCs w:val="16"/>
          </w:rPr>
          <w:t>http://cuttingredtape.gov.au/handbook/australian-government-guide-regulation</w:t>
        </w:r>
      </w:hyperlink>
      <w:r w:rsidRPr="00FE60A0">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7AC5" w14:textId="7E9633F9" w:rsidR="003935D8" w:rsidRPr="00A5474E" w:rsidRDefault="003935D8" w:rsidP="00A5474E">
    <w:pPr>
      <w:pStyle w:val="Header"/>
    </w:pPr>
    <w:r>
      <w:rPr>
        <w:noProof/>
      </w:rPr>
      <w:drawing>
        <wp:inline distT="0" distB="0" distL="0" distR="0" wp14:anchorId="1DAD969B" wp14:editId="27777CA5">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5CCF" w14:textId="77777777" w:rsidR="003935D8" w:rsidRPr="00A5474E" w:rsidRDefault="003935D8" w:rsidP="00A54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72B4B" w14:textId="77777777" w:rsidR="003935D8" w:rsidRPr="00A5474E" w:rsidRDefault="003935D8"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9E2D" w14:textId="77777777" w:rsidR="003935D8" w:rsidRDefault="003935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6843" w14:textId="77777777" w:rsidR="003935D8" w:rsidRDefault="003935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3935D8" w14:paraId="000F3C79" w14:textId="77777777" w:rsidTr="002613C7">
      <w:trPr>
        <w:trHeight w:hRule="exact" w:val="988"/>
      </w:trPr>
      <w:tc>
        <w:tcPr>
          <w:tcW w:w="7678" w:type="dxa"/>
          <w:shd w:val="clear" w:color="auto" w:fill="auto"/>
        </w:tcPr>
        <w:p w14:paraId="6626F844" w14:textId="77777777" w:rsidR="003935D8" w:rsidRDefault="003935D8" w:rsidP="002613C7">
          <w:pPr>
            <w:pStyle w:val="Header"/>
          </w:pPr>
        </w:p>
      </w:tc>
    </w:tr>
    <w:tr w:rsidR="003935D8" w14:paraId="17CF3566" w14:textId="77777777" w:rsidTr="002613C7">
      <w:tc>
        <w:tcPr>
          <w:tcW w:w="7678" w:type="dxa"/>
          <w:shd w:val="clear" w:color="auto" w:fill="auto"/>
        </w:tcPr>
        <w:p w14:paraId="638F9EE2" w14:textId="77777777" w:rsidR="003935D8" w:rsidRDefault="003935D8" w:rsidP="002613C7">
          <w:pPr>
            <w:pStyle w:val="GridTable31"/>
          </w:pPr>
          <w:r>
            <w:t xml:space="preserve">Contents </w:t>
          </w:r>
          <w:r w:rsidRPr="00915B1C">
            <w:rPr>
              <w:b w:val="0"/>
              <w:spacing w:val="0"/>
              <w:sz w:val="28"/>
              <w:szCs w:val="28"/>
            </w:rPr>
            <w:t>(Continued)</w:t>
          </w:r>
        </w:p>
      </w:tc>
    </w:tr>
    <w:tr w:rsidR="003935D8" w14:paraId="527F9C56" w14:textId="77777777" w:rsidTr="002613C7">
      <w:trPr>
        <w:trHeight w:val="1220"/>
      </w:trPr>
      <w:tc>
        <w:tcPr>
          <w:tcW w:w="7678" w:type="dxa"/>
          <w:shd w:val="clear" w:color="auto" w:fill="auto"/>
        </w:tcPr>
        <w:p w14:paraId="03403D62" w14:textId="77777777" w:rsidR="003935D8" w:rsidRDefault="003935D8" w:rsidP="002613C7"/>
      </w:tc>
    </w:tr>
  </w:tbl>
  <w:p w14:paraId="0D0C69D1" w14:textId="77777777" w:rsidR="003935D8" w:rsidRPr="00A5474E" w:rsidRDefault="003935D8" w:rsidP="00A54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3935D8" w14:paraId="755BFD00" w14:textId="77777777" w:rsidTr="002613C7">
      <w:trPr>
        <w:trHeight w:hRule="exact" w:val="988"/>
      </w:trPr>
      <w:tc>
        <w:tcPr>
          <w:tcW w:w="7678" w:type="dxa"/>
          <w:shd w:val="clear" w:color="auto" w:fill="auto"/>
        </w:tcPr>
        <w:p w14:paraId="358CCB32" w14:textId="77777777" w:rsidR="003935D8" w:rsidRDefault="003935D8" w:rsidP="002613C7">
          <w:pPr>
            <w:pStyle w:val="Header"/>
          </w:pPr>
        </w:p>
      </w:tc>
    </w:tr>
    <w:tr w:rsidR="003935D8" w14:paraId="2D6BD1AD" w14:textId="77777777" w:rsidTr="002613C7">
      <w:tc>
        <w:tcPr>
          <w:tcW w:w="7678" w:type="dxa"/>
          <w:shd w:val="clear" w:color="auto" w:fill="auto"/>
        </w:tcPr>
        <w:p w14:paraId="6505DFE9" w14:textId="77777777" w:rsidR="003935D8" w:rsidRDefault="003935D8" w:rsidP="002613C7">
          <w:pPr>
            <w:pStyle w:val="GridTable31"/>
          </w:pPr>
          <w:r>
            <w:t xml:space="preserve">Contents </w:t>
          </w:r>
          <w:r w:rsidRPr="00915B1C">
            <w:rPr>
              <w:b w:val="0"/>
              <w:spacing w:val="0"/>
              <w:sz w:val="28"/>
              <w:szCs w:val="28"/>
            </w:rPr>
            <w:t>(Continued)</w:t>
          </w:r>
        </w:p>
      </w:tc>
    </w:tr>
    <w:tr w:rsidR="003935D8" w14:paraId="68A6FA5C" w14:textId="77777777" w:rsidTr="002613C7">
      <w:trPr>
        <w:trHeight w:val="1220"/>
      </w:trPr>
      <w:tc>
        <w:tcPr>
          <w:tcW w:w="7678" w:type="dxa"/>
          <w:shd w:val="clear" w:color="auto" w:fill="auto"/>
        </w:tcPr>
        <w:p w14:paraId="1C57A022" w14:textId="77777777" w:rsidR="003935D8" w:rsidRDefault="003935D8" w:rsidP="002613C7"/>
      </w:tc>
    </w:tr>
  </w:tbl>
  <w:p w14:paraId="40BCD2DE" w14:textId="77777777" w:rsidR="003935D8" w:rsidRPr="00A5474E" w:rsidRDefault="003935D8"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0954" w14:textId="77777777" w:rsidR="003935D8" w:rsidRDefault="003935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77D8D" w14:textId="77777777" w:rsidR="003935D8" w:rsidRDefault="003935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137E3" w14:textId="77777777" w:rsidR="003935D8" w:rsidRPr="00A5474E" w:rsidRDefault="003935D8" w:rsidP="00A54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CAC1CC"/>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9">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2">
    <w:nsid w:val="063F3F8D"/>
    <w:multiLevelType w:val="hybridMultilevel"/>
    <w:tmpl w:val="3B4AE868"/>
    <w:lvl w:ilvl="0" w:tplc="E0C6B67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410B0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1F792961"/>
    <w:multiLevelType w:val="hybridMultilevel"/>
    <w:tmpl w:val="2D600E42"/>
    <w:lvl w:ilvl="0" w:tplc="08F61454">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2AAD5C02"/>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nsid w:val="2EAB1202"/>
    <w:multiLevelType w:val="hybridMultilevel"/>
    <w:tmpl w:val="65306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62A09C0"/>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3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3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04757A2"/>
    <w:multiLevelType w:val="multilevel"/>
    <w:tmpl w:val="0C09001D"/>
    <w:numStyleLink w:val="1ai"/>
  </w:abstractNum>
  <w:abstractNum w:abstractNumId="35">
    <w:nsid w:val="61D45CA9"/>
    <w:multiLevelType w:val="hybridMultilevel"/>
    <w:tmpl w:val="294EEB4A"/>
    <w:lvl w:ilvl="0" w:tplc="08F61454">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A894772"/>
    <w:multiLevelType w:val="hybridMultilevel"/>
    <w:tmpl w:val="52DE7A3A"/>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6C10763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455E3"/>
    <w:multiLevelType w:val="multilevel"/>
    <w:tmpl w:val="0C09001D"/>
    <w:numStyleLink w:val="1ai"/>
  </w:abstractNum>
  <w:num w:numId="1">
    <w:abstractNumId w:val="9"/>
  </w:num>
  <w:num w:numId="2">
    <w:abstractNumId w:val="7"/>
  </w:num>
  <w:num w:numId="3">
    <w:abstractNumId w:val="8"/>
  </w:num>
  <w:num w:numId="4">
    <w:abstractNumId w:val="3"/>
  </w:num>
  <w:num w:numId="5">
    <w:abstractNumId w:val="24"/>
  </w:num>
  <w:num w:numId="6">
    <w:abstractNumId w:val="37"/>
  </w:num>
  <w:num w:numId="7">
    <w:abstractNumId w:val="31"/>
  </w:num>
  <w:num w:numId="8">
    <w:abstractNumId w:val="36"/>
  </w:num>
  <w:num w:numId="9">
    <w:abstractNumId w:val="41"/>
  </w:num>
  <w:num w:numId="10">
    <w:abstractNumId w:val="14"/>
  </w:num>
  <w:num w:numId="11">
    <w:abstractNumId w:val="10"/>
  </w:num>
  <w:num w:numId="12">
    <w:abstractNumId w:val="40"/>
  </w:num>
  <w:num w:numId="13">
    <w:abstractNumId w:val="23"/>
  </w:num>
  <w:num w:numId="14">
    <w:abstractNumId w:val="15"/>
  </w:num>
  <w:num w:numId="15">
    <w:abstractNumId w:val="0"/>
  </w:num>
  <w:num w:numId="16">
    <w:abstractNumId w:val="28"/>
  </w:num>
  <w:num w:numId="17">
    <w:abstractNumId w:val="8"/>
    <w:lvlOverride w:ilvl="0">
      <w:startOverride w:val="1"/>
    </w:lvlOverride>
  </w:num>
  <w:num w:numId="18">
    <w:abstractNumId w:val="6"/>
  </w:num>
  <w:num w:numId="19">
    <w:abstractNumId w:val="5"/>
  </w:num>
  <w:num w:numId="20">
    <w:abstractNumId w:val="4"/>
  </w:num>
  <w:num w:numId="21">
    <w:abstractNumId w:val="2"/>
  </w:num>
  <w:num w:numId="22">
    <w:abstractNumId w:val="1"/>
  </w:num>
  <w:num w:numId="23">
    <w:abstractNumId w:val="30"/>
  </w:num>
  <w:num w:numId="24">
    <w:abstractNumId w:val="38"/>
  </w:num>
  <w:num w:numId="25">
    <w:abstractNumId w:val="17"/>
  </w:num>
  <w:num w:numId="26">
    <w:abstractNumId w:val="18"/>
  </w:num>
  <w:num w:numId="27">
    <w:abstractNumId w:val="29"/>
  </w:num>
  <w:num w:numId="28">
    <w:abstractNumId w:val="32"/>
  </w:num>
  <w:num w:numId="29">
    <w:abstractNumId w:val="16"/>
  </w:num>
  <w:num w:numId="30">
    <w:abstractNumId w:val="27"/>
  </w:num>
  <w:num w:numId="31">
    <w:abstractNumId w:val="42"/>
  </w:num>
  <w:num w:numId="32">
    <w:abstractNumId w:val="20"/>
  </w:num>
  <w:num w:numId="33">
    <w:abstractNumId w:val="34"/>
  </w:num>
  <w:num w:numId="34">
    <w:abstractNumId w:val="22"/>
  </w:num>
  <w:num w:numId="35">
    <w:abstractNumId w:val="13"/>
  </w:num>
  <w:num w:numId="36">
    <w:abstractNumId w:val="33"/>
  </w:num>
  <w:num w:numId="37">
    <w:abstractNumId w:val="21"/>
  </w:num>
  <w:num w:numId="38">
    <w:abstractNumId w:val="11"/>
  </w:num>
  <w:num w:numId="39">
    <w:abstractNumId w:val="26"/>
  </w:num>
  <w:num w:numId="40">
    <w:abstractNumId w:val="19"/>
  </w:num>
  <w:num w:numId="41">
    <w:abstractNumId w:val="25"/>
  </w:num>
  <w:num w:numId="42">
    <w:abstractNumId w:val="12"/>
  </w:num>
  <w:num w:numId="43">
    <w:abstractNumId w:val="39"/>
  </w:num>
  <w:num w:numId="44">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51201">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10667"/>
    <w:rsid w:val="000129D5"/>
    <w:rsid w:val="0001317D"/>
    <w:rsid w:val="00015AE7"/>
    <w:rsid w:val="00016E21"/>
    <w:rsid w:val="0001719C"/>
    <w:rsid w:val="000234DC"/>
    <w:rsid w:val="00026F91"/>
    <w:rsid w:val="00041614"/>
    <w:rsid w:val="00041969"/>
    <w:rsid w:val="0005011A"/>
    <w:rsid w:val="0005045A"/>
    <w:rsid w:val="00051C1E"/>
    <w:rsid w:val="000539F9"/>
    <w:rsid w:val="00054C27"/>
    <w:rsid w:val="00055EC3"/>
    <w:rsid w:val="000563CE"/>
    <w:rsid w:val="000659B6"/>
    <w:rsid w:val="0006722A"/>
    <w:rsid w:val="00071CD8"/>
    <w:rsid w:val="000732CF"/>
    <w:rsid w:val="00075B96"/>
    <w:rsid w:val="0008196A"/>
    <w:rsid w:val="000915ED"/>
    <w:rsid w:val="0009209D"/>
    <w:rsid w:val="000969BD"/>
    <w:rsid w:val="000969BF"/>
    <w:rsid w:val="00097480"/>
    <w:rsid w:val="000A0550"/>
    <w:rsid w:val="000A0C22"/>
    <w:rsid w:val="000A3C43"/>
    <w:rsid w:val="000A4A51"/>
    <w:rsid w:val="000A5D2B"/>
    <w:rsid w:val="000A5D5E"/>
    <w:rsid w:val="000A600C"/>
    <w:rsid w:val="000A682D"/>
    <w:rsid w:val="000B2129"/>
    <w:rsid w:val="000B4CE4"/>
    <w:rsid w:val="000B5DE3"/>
    <w:rsid w:val="000C0A57"/>
    <w:rsid w:val="000C230C"/>
    <w:rsid w:val="000D1127"/>
    <w:rsid w:val="000D5835"/>
    <w:rsid w:val="000D71D9"/>
    <w:rsid w:val="000D76E0"/>
    <w:rsid w:val="000D7E8B"/>
    <w:rsid w:val="000E2BBC"/>
    <w:rsid w:val="000E4449"/>
    <w:rsid w:val="000E4DB6"/>
    <w:rsid w:val="000E6097"/>
    <w:rsid w:val="000E615E"/>
    <w:rsid w:val="000F1E41"/>
    <w:rsid w:val="000F7117"/>
    <w:rsid w:val="00102DC2"/>
    <w:rsid w:val="00103829"/>
    <w:rsid w:val="00111FCE"/>
    <w:rsid w:val="001133A9"/>
    <w:rsid w:val="001229A5"/>
    <w:rsid w:val="0012489B"/>
    <w:rsid w:val="00130017"/>
    <w:rsid w:val="001304A1"/>
    <w:rsid w:val="00130F91"/>
    <w:rsid w:val="00131C76"/>
    <w:rsid w:val="00137424"/>
    <w:rsid w:val="00140318"/>
    <w:rsid w:val="00140E6F"/>
    <w:rsid w:val="00141AD9"/>
    <w:rsid w:val="0014443E"/>
    <w:rsid w:val="00146CE6"/>
    <w:rsid w:val="00152903"/>
    <w:rsid w:val="0015614F"/>
    <w:rsid w:val="001577C2"/>
    <w:rsid w:val="001633C4"/>
    <w:rsid w:val="00171591"/>
    <w:rsid w:val="00173981"/>
    <w:rsid w:val="00173F89"/>
    <w:rsid w:val="0017719D"/>
    <w:rsid w:val="00185CAB"/>
    <w:rsid w:val="001875B7"/>
    <w:rsid w:val="00187CB3"/>
    <w:rsid w:val="0019050A"/>
    <w:rsid w:val="001910D4"/>
    <w:rsid w:val="001976E3"/>
    <w:rsid w:val="001A44EC"/>
    <w:rsid w:val="001A548C"/>
    <w:rsid w:val="001A7374"/>
    <w:rsid w:val="001B2C9D"/>
    <w:rsid w:val="001B58AA"/>
    <w:rsid w:val="001B7E48"/>
    <w:rsid w:val="001C17CE"/>
    <w:rsid w:val="001C35F7"/>
    <w:rsid w:val="001C36CA"/>
    <w:rsid w:val="001C44D1"/>
    <w:rsid w:val="001C6AEE"/>
    <w:rsid w:val="001C7630"/>
    <w:rsid w:val="001D6D15"/>
    <w:rsid w:val="001F0843"/>
    <w:rsid w:val="001F123F"/>
    <w:rsid w:val="001F7558"/>
    <w:rsid w:val="00205B57"/>
    <w:rsid w:val="002157E0"/>
    <w:rsid w:val="00216A57"/>
    <w:rsid w:val="0022334F"/>
    <w:rsid w:val="00226125"/>
    <w:rsid w:val="00226819"/>
    <w:rsid w:val="00233101"/>
    <w:rsid w:val="00233817"/>
    <w:rsid w:val="0023487C"/>
    <w:rsid w:val="002367FF"/>
    <w:rsid w:val="00240CE9"/>
    <w:rsid w:val="002434BA"/>
    <w:rsid w:val="00245932"/>
    <w:rsid w:val="00246089"/>
    <w:rsid w:val="00246093"/>
    <w:rsid w:val="00246702"/>
    <w:rsid w:val="00246E47"/>
    <w:rsid w:val="00247C59"/>
    <w:rsid w:val="00247F2E"/>
    <w:rsid w:val="00250ADC"/>
    <w:rsid w:val="00250B07"/>
    <w:rsid w:val="00250C7E"/>
    <w:rsid w:val="00257553"/>
    <w:rsid w:val="00260FB2"/>
    <w:rsid w:val="002613C7"/>
    <w:rsid w:val="00262128"/>
    <w:rsid w:val="0027165D"/>
    <w:rsid w:val="00273CEB"/>
    <w:rsid w:val="002816DD"/>
    <w:rsid w:val="00281C89"/>
    <w:rsid w:val="0028282F"/>
    <w:rsid w:val="002856A8"/>
    <w:rsid w:val="0029593B"/>
    <w:rsid w:val="00296878"/>
    <w:rsid w:val="00297FC5"/>
    <w:rsid w:val="002A0417"/>
    <w:rsid w:val="002A16D8"/>
    <w:rsid w:val="002A1BC8"/>
    <w:rsid w:val="002A3EF2"/>
    <w:rsid w:val="002B0DED"/>
    <w:rsid w:val="002B19A2"/>
    <w:rsid w:val="002B381A"/>
    <w:rsid w:val="002B4FCC"/>
    <w:rsid w:val="002B7408"/>
    <w:rsid w:val="002B7CFD"/>
    <w:rsid w:val="002C210F"/>
    <w:rsid w:val="002D3600"/>
    <w:rsid w:val="002D4BAC"/>
    <w:rsid w:val="002E4DDC"/>
    <w:rsid w:val="00302480"/>
    <w:rsid w:val="00304B3B"/>
    <w:rsid w:val="003165E6"/>
    <w:rsid w:val="003221CF"/>
    <w:rsid w:val="003233ED"/>
    <w:rsid w:val="00324D9F"/>
    <w:rsid w:val="00326885"/>
    <w:rsid w:val="00327948"/>
    <w:rsid w:val="0033000F"/>
    <w:rsid w:val="00332011"/>
    <w:rsid w:val="00332518"/>
    <w:rsid w:val="00332925"/>
    <w:rsid w:val="003332ED"/>
    <w:rsid w:val="003368DC"/>
    <w:rsid w:val="00343367"/>
    <w:rsid w:val="00345927"/>
    <w:rsid w:val="00350467"/>
    <w:rsid w:val="00350584"/>
    <w:rsid w:val="00351857"/>
    <w:rsid w:val="003526ED"/>
    <w:rsid w:val="003610E1"/>
    <w:rsid w:val="003661B9"/>
    <w:rsid w:val="003671BE"/>
    <w:rsid w:val="00372485"/>
    <w:rsid w:val="00373200"/>
    <w:rsid w:val="00374392"/>
    <w:rsid w:val="00375EF5"/>
    <w:rsid w:val="003767A5"/>
    <w:rsid w:val="00385254"/>
    <w:rsid w:val="00386998"/>
    <w:rsid w:val="0039359B"/>
    <w:rsid w:val="003935D8"/>
    <w:rsid w:val="00396F96"/>
    <w:rsid w:val="003A0496"/>
    <w:rsid w:val="003A5F5B"/>
    <w:rsid w:val="003A789A"/>
    <w:rsid w:val="003B12EC"/>
    <w:rsid w:val="003C77E0"/>
    <w:rsid w:val="003D17D7"/>
    <w:rsid w:val="003D2678"/>
    <w:rsid w:val="003D71A3"/>
    <w:rsid w:val="003E2B8A"/>
    <w:rsid w:val="003E6C52"/>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7AB"/>
    <w:rsid w:val="0043297A"/>
    <w:rsid w:val="00432EB2"/>
    <w:rsid w:val="004353B9"/>
    <w:rsid w:val="0043714F"/>
    <w:rsid w:val="004438B5"/>
    <w:rsid w:val="0044486C"/>
    <w:rsid w:val="00447037"/>
    <w:rsid w:val="0045124D"/>
    <w:rsid w:val="00453F58"/>
    <w:rsid w:val="00454596"/>
    <w:rsid w:val="0045605D"/>
    <w:rsid w:val="0046135B"/>
    <w:rsid w:val="004718CC"/>
    <w:rsid w:val="00481695"/>
    <w:rsid w:val="00481B69"/>
    <w:rsid w:val="00495A96"/>
    <w:rsid w:val="00495BB3"/>
    <w:rsid w:val="004A0F5A"/>
    <w:rsid w:val="004A1477"/>
    <w:rsid w:val="004A56BB"/>
    <w:rsid w:val="004A672C"/>
    <w:rsid w:val="004B1751"/>
    <w:rsid w:val="004C0253"/>
    <w:rsid w:val="004D56FF"/>
    <w:rsid w:val="004E39D3"/>
    <w:rsid w:val="004E508A"/>
    <w:rsid w:val="004E616D"/>
    <w:rsid w:val="004F1BDE"/>
    <w:rsid w:val="004F2CEE"/>
    <w:rsid w:val="004F556E"/>
    <w:rsid w:val="004F7F44"/>
    <w:rsid w:val="00502737"/>
    <w:rsid w:val="005037B4"/>
    <w:rsid w:val="005079BF"/>
    <w:rsid w:val="00512B5D"/>
    <w:rsid w:val="005219E7"/>
    <w:rsid w:val="00531B9A"/>
    <w:rsid w:val="00531D15"/>
    <w:rsid w:val="00533DA6"/>
    <w:rsid w:val="0053710F"/>
    <w:rsid w:val="00537604"/>
    <w:rsid w:val="00542377"/>
    <w:rsid w:val="005476EB"/>
    <w:rsid w:val="00551782"/>
    <w:rsid w:val="00563EF1"/>
    <w:rsid w:val="00566AB4"/>
    <w:rsid w:val="005716E9"/>
    <w:rsid w:val="00575AC5"/>
    <w:rsid w:val="0057605D"/>
    <w:rsid w:val="00581347"/>
    <w:rsid w:val="00581AC9"/>
    <w:rsid w:val="005849F8"/>
    <w:rsid w:val="005938DF"/>
    <w:rsid w:val="00594E9C"/>
    <w:rsid w:val="005A099B"/>
    <w:rsid w:val="005A2D9C"/>
    <w:rsid w:val="005A4268"/>
    <w:rsid w:val="005A55FE"/>
    <w:rsid w:val="005A6A11"/>
    <w:rsid w:val="005B5C48"/>
    <w:rsid w:val="005B6267"/>
    <w:rsid w:val="005C2329"/>
    <w:rsid w:val="005C369E"/>
    <w:rsid w:val="005D2502"/>
    <w:rsid w:val="005D47F3"/>
    <w:rsid w:val="005D49BF"/>
    <w:rsid w:val="005D6F4E"/>
    <w:rsid w:val="005E051D"/>
    <w:rsid w:val="005E3ACD"/>
    <w:rsid w:val="005E5F89"/>
    <w:rsid w:val="005E7226"/>
    <w:rsid w:val="005E7A57"/>
    <w:rsid w:val="005F24B0"/>
    <w:rsid w:val="005F551A"/>
    <w:rsid w:val="00604315"/>
    <w:rsid w:val="00604E26"/>
    <w:rsid w:val="006052CF"/>
    <w:rsid w:val="0060531B"/>
    <w:rsid w:val="00607280"/>
    <w:rsid w:val="00607B8D"/>
    <w:rsid w:val="00611F5C"/>
    <w:rsid w:val="00616E09"/>
    <w:rsid w:val="00617AAD"/>
    <w:rsid w:val="00621936"/>
    <w:rsid w:val="00622275"/>
    <w:rsid w:val="00622A3B"/>
    <w:rsid w:val="00622EEA"/>
    <w:rsid w:val="0062396C"/>
    <w:rsid w:val="00623FF9"/>
    <w:rsid w:val="00627D4E"/>
    <w:rsid w:val="00633C70"/>
    <w:rsid w:val="00633F18"/>
    <w:rsid w:val="00634478"/>
    <w:rsid w:val="0064276F"/>
    <w:rsid w:val="00644373"/>
    <w:rsid w:val="00645915"/>
    <w:rsid w:val="006519C3"/>
    <w:rsid w:val="00652B30"/>
    <w:rsid w:val="00656345"/>
    <w:rsid w:val="00656DC6"/>
    <w:rsid w:val="00664110"/>
    <w:rsid w:val="00664D17"/>
    <w:rsid w:val="00666500"/>
    <w:rsid w:val="00666520"/>
    <w:rsid w:val="00666729"/>
    <w:rsid w:val="00667C5B"/>
    <w:rsid w:val="00681CA8"/>
    <w:rsid w:val="00692CDE"/>
    <w:rsid w:val="00693073"/>
    <w:rsid w:val="006977FF"/>
    <w:rsid w:val="006A01FA"/>
    <w:rsid w:val="006A0E9E"/>
    <w:rsid w:val="006A25C7"/>
    <w:rsid w:val="006A4A87"/>
    <w:rsid w:val="006A4AAD"/>
    <w:rsid w:val="006A5477"/>
    <w:rsid w:val="006A6DA2"/>
    <w:rsid w:val="006A7AB2"/>
    <w:rsid w:val="006B0A7D"/>
    <w:rsid w:val="006B5717"/>
    <w:rsid w:val="006B582F"/>
    <w:rsid w:val="006C0CEB"/>
    <w:rsid w:val="006C3B1E"/>
    <w:rsid w:val="006C47FD"/>
    <w:rsid w:val="006C5BEE"/>
    <w:rsid w:val="006C70A0"/>
    <w:rsid w:val="006D27CB"/>
    <w:rsid w:val="006D2F08"/>
    <w:rsid w:val="006D35A1"/>
    <w:rsid w:val="006D576C"/>
    <w:rsid w:val="006D5865"/>
    <w:rsid w:val="006E27D2"/>
    <w:rsid w:val="006E4B1B"/>
    <w:rsid w:val="006E5445"/>
    <w:rsid w:val="006E7D93"/>
    <w:rsid w:val="007029A3"/>
    <w:rsid w:val="00706E4E"/>
    <w:rsid w:val="0070791C"/>
    <w:rsid w:val="0071383C"/>
    <w:rsid w:val="007141A7"/>
    <w:rsid w:val="00715A8F"/>
    <w:rsid w:val="00715E78"/>
    <w:rsid w:val="00721032"/>
    <w:rsid w:val="00721B55"/>
    <w:rsid w:val="0072565A"/>
    <w:rsid w:val="00726CE4"/>
    <w:rsid w:val="00734143"/>
    <w:rsid w:val="00737E47"/>
    <w:rsid w:val="00740EAC"/>
    <w:rsid w:val="007427C5"/>
    <w:rsid w:val="00744956"/>
    <w:rsid w:val="00745A5C"/>
    <w:rsid w:val="0074605F"/>
    <w:rsid w:val="00747E94"/>
    <w:rsid w:val="007505A2"/>
    <w:rsid w:val="0076617A"/>
    <w:rsid w:val="00766749"/>
    <w:rsid w:val="00767C1B"/>
    <w:rsid w:val="007714A9"/>
    <w:rsid w:val="00774F88"/>
    <w:rsid w:val="00774FDB"/>
    <w:rsid w:val="00777BA2"/>
    <w:rsid w:val="00781408"/>
    <w:rsid w:val="00784F7F"/>
    <w:rsid w:val="00796F25"/>
    <w:rsid w:val="007A2E98"/>
    <w:rsid w:val="007A3BA3"/>
    <w:rsid w:val="007A4A37"/>
    <w:rsid w:val="007A6CC0"/>
    <w:rsid w:val="007A7FEC"/>
    <w:rsid w:val="007B1499"/>
    <w:rsid w:val="007B1BBF"/>
    <w:rsid w:val="007B2960"/>
    <w:rsid w:val="007B2BA6"/>
    <w:rsid w:val="007B355D"/>
    <w:rsid w:val="007B7980"/>
    <w:rsid w:val="007C5D5A"/>
    <w:rsid w:val="007C607F"/>
    <w:rsid w:val="007C79DD"/>
    <w:rsid w:val="007D1A97"/>
    <w:rsid w:val="007D2CD6"/>
    <w:rsid w:val="007D3063"/>
    <w:rsid w:val="007D3CEB"/>
    <w:rsid w:val="007E7683"/>
    <w:rsid w:val="007F0C6E"/>
    <w:rsid w:val="007F49FA"/>
    <w:rsid w:val="007F54C4"/>
    <w:rsid w:val="007F6E9A"/>
    <w:rsid w:val="008044D4"/>
    <w:rsid w:val="00810AB4"/>
    <w:rsid w:val="008127B6"/>
    <w:rsid w:val="00817B56"/>
    <w:rsid w:val="00820CF1"/>
    <w:rsid w:val="00821499"/>
    <w:rsid w:val="00821A88"/>
    <w:rsid w:val="0082495D"/>
    <w:rsid w:val="00825976"/>
    <w:rsid w:val="00825DCD"/>
    <w:rsid w:val="008262C5"/>
    <w:rsid w:val="00831AC3"/>
    <w:rsid w:val="008408FF"/>
    <w:rsid w:val="00851F3F"/>
    <w:rsid w:val="00856EDC"/>
    <w:rsid w:val="008614E2"/>
    <w:rsid w:val="008623B5"/>
    <w:rsid w:val="00870ABA"/>
    <w:rsid w:val="008710E1"/>
    <w:rsid w:val="00871580"/>
    <w:rsid w:val="008716E5"/>
    <w:rsid w:val="00876594"/>
    <w:rsid w:val="008767E4"/>
    <w:rsid w:val="00881CA9"/>
    <w:rsid w:val="00883628"/>
    <w:rsid w:val="00885544"/>
    <w:rsid w:val="0088634E"/>
    <w:rsid w:val="00893AB8"/>
    <w:rsid w:val="008A04C8"/>
    <w:rsid w:val="008A6913"/>
    <w:rsid w:val="008B01A5"/>
    <w:rsid w:val="008B33DD"/>
    <w:rsid w:val="008B4671"/>
    <w:rsid w:val="008B70F3"/>
    <w:rsid w:val="008B76DF"/>
    <w:rsid w:val="008C10F4"/>
    <w:rsid w:val="008C5836"/>
    <w:rsid w:val="008C65F7"/>
    <w:rsid w:val="008E4767"/>
    <w:rsid w:val="008E5006"/>
    <w:rsid w:val="008E7A8C"/>
    <w:rsid w:val="00903285"/>
    <w:rsid w:val="00906F40"/>
    <w:rsid w:val="0090731E"/>
    <w:rsid w:val="00910E4F"/>
    <w:rsid w:val="00915B1C"/>
    <w:rsid w:val="009174F3"/>
    <w:rsid w:val="0091797D"/>
    <w:rsid w:val="00923CBA"/>
    <w:rsid w:val="00926703"/>
    <w:rsid w:val="00927691"/>
    <w:rsid w:val="00927A5F"/>
    <w:rsid w:val="009319B2"/>
    <w:rsid w:val="00935B63"/>
    <w:rsid w:val="0094078F"/>
    <w:rsid w:val="00940FA3"/>
    <w:rsid w:val="00941FB0"/>
    <w:rsid w:val="009426D4"/>
    <w:rsid w:val="00947F25"/>
    <w:rsid w:val="00950159"/>
    <w:rsid w:val="009543AE"/>
    <w:rsid w:val="0095490B"/>
    <w:rsid w:val="00955FE3"/>
    <w:rsid w:val="00964D54"/>
    <w:rsid w:val="00966169"/>
    <w:rsid w:val="00974363"/>
    <w:rsid w:val="00974D2E"/>
    <w:rsid w:val="00975E74"/>
    <w:rsid w:val="00981898"/>
    <w:rsid w:val="0099577C"/>
    <w:rsid w:val="009B4E9E"/>
    <w:rsid w:val="009C12BD"/>
    <w:rsid w:val="009C1690"/>
    <w:rsid w:val="009C240C"/>
    <w:rsid w:val="009C26A8"/>
    <w:rsid w:val="009C6881"/>
    <w:rsid w:val="009C7759"/>
    <w:rsid w:val="009D043D"/>
    <w:rsid w:val="009D1652"/>
    <w:rsid w:val="009D5A5E"/>
    <w:rsid w:val="009D6C71"/>
    <w:rsid w:val="009E0631"/>
    <w:rsid w:val="009E16D0"/>
    <w:rsid w:val="009E2AC9"/>
    <w:rsid w:val="009E38FD"/>
    <w:rsid w:val="009F13D6"/>
    <w:rsid w:val="009F4C6B"/>
    <w:rsid w:val="009F6ADD"/>
    <w:rsid w:val="009F78A8"/>
    <w:rsid w:val="00A02AD6"/>
    <w:rsid w:val="00A07096"/>
    <w:rsid w:val="00A07318"/>
    <w:rsid w:val="00A11370"/>
    <w:rsid w:val="00A21D2B"/>
    <w:rsid w:val="00A224CE"/>
    <w:rsid w:val="00A22522"/>
    <w:rsid w:val="00A24AFD"/>
    <w:rsid w:val="00A24F5C"/>
    <w:rsid w:val="00A32F96"/>
    <w:rsid w:val="00A40871"/>
    <w:rsid w:val="00A410F0"/>
    <w:rsid w:val="00A412AB"/>
    <w:rsid w:val="00A4193E"/>
    <w:rsid w:val="00A440E0"/>
    <w:rsid w:val="00A442EF"/>
    <w:rsid w:val="00A51D1A"/>
    <w:rsid w:val="00A5418D"/>
    <w:rsid w:val="00A5474E"/>
    <w:rsid w:val="00A70ADF"/>
    <w:rsid w:val="00A71466"/>
    <w:rsid w:val="00A74B5E"/>
    <w:rsid w:val="00A77AE7"/>
    <w:rsid w:val="00A81BED"/>
    <w:rsid w:val="00A81EC4"/>
    <w:rsid w:val="00A84861"/>
    <w:rsid w:val="00A86C91"/>
    <w:rsid w:val="00A967FD"/>
    <w:rsid w:val="00AA6C19"/>
    <w:rsid w:val="00AB156C"/>
    <w:rsid w:val="00AB6814"/>
    <w:rsid w:val="00AC04BA"/>
    <w:rsid w:val="00AC0E39"/>
    <w:rsid w:val="00AC46B0"/>
    <w:rsid w:val="00AC5F57"/>
    <w:rsid w:val="00AD3082"/>
    <w:rsid w:val="00AD4AD0"/>
    <w:rsid w:val="00AD5436"/>
    <w:rsid w:val="00AD60CD"/>
    <w:rsid w:val="00AD6C8C"/>
    <w:rsid w:val="00AE091D"/>
    <w:rsid w:val="00AE3B60"/>
    <w:rsid w:val="00AE53A1"/>
    <w:rsid w:val="00AF2484"/>
    <w:rsid w:val="00AF2D7D"/>
    <w:rsid w:val="00AF63E7"/>
    <w:rsid w:val="00B007E2"/>
    <w:rsid w:val="00B0165D"/>
    <w:rsid w:val="00B031F3"/>
    <w:rsid w:val="00B052A4"/>
    <w:rsid w:val="00B07980"/>
    <w:rsid w:val="00B125DE"/>
    <w:rsid w:val="00B13FDD"/>
    <w:rsid w:val="00B21A9A"/>
    <w:rsid w:val="00B22EB2"/>
    <w:rsid w:val="00B25703"/>
    <w:rsid w:val="00B27442"/>
    <w:rsid w:val="00B31167"/>
    <w:rsid w:val="00B329D8"/>
    <w:rsid w:val="00B32BB9"/>
    <w:rsid w:val="00B33AE1"/>
    <w:rsid w:val="00B3573E"/>
    <w:rsid w:val="00B37C38"/>
    <w:rsid w:val="00B4288C"/>
    <w:rsid w:val="00B43262"/>
    <w:rsid w:val="00B44100"/>
    <w:rsid w:val="00B46CBA"/>
    <w:rsid w:val="00B46F94"/>
    <w:rsid w:val="00B57A82"/>
    <w:rsid w:val="00B61F03"/>
    <w:rsid w:val="00B626E4"/>
    <w:rsid w:val="00B6650C"/>
    <w:rsid w:val="00B679DF"/>
    <w:rsid w:val="00B72F4A"/>
    <w:rsid w:val="00B80E63"/>
    <w:rsid w:val="00B83C27"/>
    <w:rsid w:val="00B84BC3"/>
    <w:rsid w:val="00B84BDD"/>
    <w:rsid w:val="00B92812"/>
    <w:rsid w:val="00BA4D60"/>
    <w:rsid w:val="00BB45A1"/>
    <w:rsid w:val="00BB7686"/>
    <w:rsid w:val="00BC23F9"/>
    <w:rsid w:val="00BC3421"/>
    <w:rsid w:val="00BC732C"/>
    <w:rsid w:val="00BE08E1"/>
    <w:rsid w:val="00BE2580"/>
    <w:rsid w:val="00BE266D"/>
    <w:rsid w:val="00BE3938"/>
    <w:rsid w:val="00BE4C11"/>
    <w:rsid w:val="00BE53A9"/>
    <w:rsid w:val="00BE71C0"/>
    <w:rsid w:val="00BF31F3"/>
    <w:rsid w:val="00BF610C"/>
    <w:rsid w:val="00BF63DC"/>
    <w:rsid w:val="00C0060B"/>
    <w:rsid w:val="00C01CBD"/>
    <w:rsid w:val="00C0277D"/>
    <w:rsid w:val="00C02F28"/>
    <w:rsid w:val="00C053A1"/>
    <w:rsid w:val="00C16198"/>
    <w:rsid w:val="00C2083D"/>
    <w:rsid w:val="00C24A53"/>
    <w:rsid w:val="00C37BF0"/>
    <w:rsid w:val="00C4032F"/>
    <w:rsid w:val="00C44047"/>
    <w:rsid w:val="00C44F93"/>
    <w:rsid w:val="00C45155"/>
    <w:rsid w:val="00C534CB"/>
    <w:rsid w:val="00C5498F"/>
    <w:rsid w:val="00C55235"/>
    <w:rsid w:val="00C56C1B"/>
    <w:rsid w:val="00C56E17"/>
    <w:rsid w:val="00C64CD0"/>
    <w:rsid w:val="00C6684F"/>
    <w:rsid w:val="00C70E70"/>
    <w:rsid w:val="00C75F8D"/>
    <w:rsid w:val="00C77380"/>
    <w:rsid w:val="00C81125"/>
    <w:rsid w:val="00C81BA5"/>
    <w:rsid w:val="00C97736"/>
    <w:rsid w:val="00CA345A"/>
    <w:rsid w:val="00CA5F87"/>
    <w:rsid w:val="00CB1E82"/>
    <w:rsid w:val="00CB4BA8"/>
    <w:rsid w:val="00CB52D7"/>
    <w:rsid w:val="00CC1AF1"/>
    <w:rsid w:val="00CC38F8"/>
    <w:rsid w:val="00CC6732"/>
    <w:rsid w:val="00CD06E1"/>
    <w:rsid w:val="00CD7072"/>
    <w:rsid w:val="00CE3C96"/>
    <w:rsid w:val="00CE51A8"/>
    <w:rsid w:val="00CF369B"/>
    <w:rsid w:val="00D00E28"/>
    <w:rsid w:val="00D0269E"/>
    <w:rsid w:val="00D11DEA"/>
    <w:rsid w:val="00D15810"/>
    <w:rsid w:val="00D16D4E"/>
    <w:rsid w:val="00D16FE3"/>
    <w:rsid w:val="00D17131"/>
    <w:rsid w:val="00D200EA"/>
    <w:rsid w:val="00D21FE3"/>
    <w:rsid w:val="00D27F41"/>
    <w:rsid w:val="00D33D94"/>
    <w:rsid w:val="00D36441"/>
    <w:rsid w:val="00D4064E"/>
    <w:rsid w:val="00D40780"/>
    <w:rsid w:val="00D44E9B"/>
    <w:rsid w:val="00D47AEB"/>
    <w:rsid w:val="00D50DB9"/>
    <w:rsid w:val="00D52C43"/>
    <w:rsid w:val="00D5780A"/>
    <w:rsid w:val="00D613A5"/>
    <w:rsid w:val="00D61427"/>
    <w:rsid w:val="00D6507F"/>
    <w:rsid w:val="00D730BC"/>
    <w:rsid w:val="00D73912"/>
    <w:rsid w:val="00D755B7"/>
    <w:rsid w:val="00D85226"/>
    <w:rsid w:val="00D85647"/>
    <w:rsid w:val="00D87B94"/>
    <w:rsid w:val="00D90E6C"/>
    <w:rsid w:val="00D92D49"/>
    <w:rsid w:val="00D92EC1"/>
    <w:rsid w:val="00D96860"/>
    <w:rsid w:val="00D96DEA"/>
    <w:rsid w:val="00DA4E41"/>
    <w:rsid w:val="00DA6383"/>
    <w:rsid w:val="00DB117A"/>
    <w:rsid w:val="00DB5173"/>
    <w:rsid w:val="00DB7873"/>
    <w:rsid w:val="00DC187B"/>
    <w:rsid w:val="00DD73C2"/>
    <w:rsid w:val="00DE22D1"/>
    <w:rsid w:val="00DE319B"/>
    <w:rsid w:val="00DE6D49"/>
    <w:rsid w:val="00DE7C37"/>
    <w:rsid w:val="00DF34FE"/>
    <w:rsid w:val="00DF4D0D"/>
    <w:rsid w:val="00DF56AA"/>
    <w:rsid w:val="00DF78E7"/>
    <w:rsid w:val="00E110E0"/>
    <w:rsid w:val="00E11756"/>
    <w:rsid w:val="00E15371"/>
    <w:rsid w:val="00E24104"/>
    <w:rsid w:val="00E302BA"/>
    <w:rsid w:val="00E302D0"/>
    <w:rsid w:val="00E303B8"/>
    <w:rsid w:val="00E33155"/>
    <w:rsid w:val="00E35707"/>
    <w:rsid w:val="00E36AA1"/>
    <w:rsid w:val="00E370DD"/>
    <w:rsid w:val="00E37505"/>
    <w:rsid w:val="00E41ECB"/>
    <w:rsid w:val="00E44BFF"/>
    <w:rsid w:val="00E54FDB"/>
    <w:rsid w:val="00E55AF6"/>
    <w:rsid w:val="00E5617D"/>
    <w:rsid w:val="00E563D7"/>
    <w:rsid w:val="00E65359"/>
    <w:rsid w:val="00E663F4"/>
    <w:rsid w:val="00E666F2"/>
    <w:rsid w:val="00E66DD4"/>
    <w:rsid w:val="00E710E9"/>
    <w:rsid w:val="00E748CC"/>
    <w:rsid w:val="00E75415"/>
    <w:rsid w:val="00E775B1"/>
    <w:rsid w:val="00E8152A"/>
    <w:rsid w:val="00E826EB"/>
    <w:rsid w:val="00E93629"/>
    <w:rsid w:val="00E93B5C"/>
    <w:rsid w:val="00E94CEC"/>
    <w:rsid w:val="00E97D01"/>
    <w:rsid w:val="00EA04EF"/>
    <w:rsid w:val="00EA60D8"/>
    <w:rsid w:val="00EA6F19"/>
    <w:rsid w:val="00EB7090"/>
    <w:rsid w:val="00EC12DE"/>
    <w:rsid w:val="00EC1BBE"/>
    <w:rsid w:val="00EC5CD7"/>
    <w:rsid w:val="00ED568C"/>
    <w:rsid w:val="00ED6A2E"/>
    <w:rsid w:val="00EE5FB3"/>
    <w:rsid w:val="00EE7F79"/>
    <w:rsid w:val="00EF0B80"/>
    <w:rsid w:val="00EF715A"/>
    <w:rsid w:val="00F06E14"/>
    <w:rsid w:val="00F1490F"/>
    <w:rsid w:val="00F179D4"/>
    <w:rsid w:val="00F23438"/>
    <w:rsid w:val="00F331FC"/>
    <w:rsid w:val="00F33C56"/>
    <w:rsid w:val="00F347C7"/>
    <w:rsid w:val="00F34848"/>
    <w:rsid w:val="00F4238B"/>
    <w:rsid w:val="00F42D46"/>
    <w:rsid w:val="00F4496C"/>
    <w:rsid w:val="00F44F3A"/>
    <w:rsid w:val="00F51419"/>
    <w:rsid w:val="00F51F10"/>
    <w:rsid w:val="00F529A5"/>
    <w:rsid w:val="00F56129"/>
    <w:rsid w:val="00F60F00"/>
    <w:rsid w:val="00F614C0"/>
    <w:rsid w:val="00F675CD"/>
    <w:rsid w:val="00F83848"/>
    <w:rsid w:val="00F87511"/>
    <w:rsid w:val="00F90D63"/>
    <w:rsid w:val="00F975E9"/>
    <w:rsid w:val="00FA1B7D"/>
    <w:rsid w:val="00FA2F9D"/>
    <w:rsid w:val="00FA5242"/>
    <w:rsid w:val="00FB37AD"/>
    <w:rsid w:val="00FB5BE6"/>
    <w:rsid w:val="00FC07B9"/>
    <w:rsid w:val="00FC4E21"/>
    <w:rsid w:val="00FC5340"/>
    <w:rsid w:val="00FC58B2"/>
    <w:rsid w:val="00FC5F6D"/>
    <w:rsid w:val="00FD0107"/>
    <w:rsid w:val="00FD2C2F"/>
    <w:rsid w:val="00FD3B31"/>
    <w:rsid w:val="00FE1823"/>
    <w:rsid w:val="00FE3991"/>
    <w:rsid w:val="00FE487A"/>
    <w:rsid w:val="00FE60A0"/>
    <w:rsid w:val="00FF0338"/>
    <w:rsid w:val="00FF0569"/>
    <w:rsid w:val="00FF206E"/>
    <w:rsid w:val="00FF34E3"/>
    <w:rsid w:val="00FF39B6"/>
    <w:rsid w:val="00FF3C69"/>
    <w:rsid w:val="00FF58F8"/>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51201">
      <o:colormru v:ext="edit" colors="red,#4d4d4f"/>
    </o:shapedefaults>
    <o:shapelayout v:ext="edit">
      <o:idmap v:ext="edit" data="1"/>
    </o:shapelayout>
  </w:shapeDefaults>
  <w:decimalSymbol w:val="."/>
  <w:listSeparator w:val=","/>
  <w14:docId w14:val="7F48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aliases w:val="c,ActHead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aliases w:val="d,ActHead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link w:val="Heading4Char"/>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aliases w:val="s,5,ActHead 5"/>
    <w:basedOn w:val="Normal"/>
    <w:next w:val="Normal"/>
    <w:link w:val="Heading5Char"/>
    <w:qFormat/>
    <w:rsid w:val="00D755B7"/>
    <w:pPr>
      <w:tabs>
        <w:tab w:val="left" w:pos="567"/>
      </w:tabs>
      <w:spacing w:before="240" w:after="60"/>
      <w:ind w:left="567" w:hanging="567"/>
      <w:outlineLvl w:val="4"/>
    </w:pPr>
    <w:rPr>
      <w:rFonts w:ascii="Times New Roman" w:hAnsi="Times New Roman"/>
      <w:b/>
      <w:bCs/>
      <w:iCs/>
      <w:sz w:val="24"/>
      <w:szCs w:val="26"/>
    </w:rPr>
  </w:style>
  <w:style w:type="paragraph" w:styleId="Heading6">
    <w:name w:val="heading 6"/>
    <w:basedOn w:val="Normal"/>
    <w:next w:val="Normal"/>
    <w:link w:val="Heading6Char"/>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rsid w:val="00542377"/>
  </w:style>
  <w:style w:type="paragraph" w:styleId="BalloonText">
    <w:name w:val="Balloon Text"/>
    <w:basedOn w:val="Normal"/>
    <w:link w:val="BalloonTextChar"/>
    <w:uiPriority w:val="99"/>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qFormat/>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basedOn w:val="Normal"/>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rsid w:val="00EE7F79"/>
    <w:rPr>
      <w:sz w:val="16"/>
      <w:szCs w:val="16"/>
    </w:rPr>
  </w:style>
  <w:style w:type="paragraph" w:styleId="CommentText">
    <w:name w:val="annotation text"/>
    <w:basedOn w:val="Normal"/>
    <w:link w:val="CommentTextChar"/>
    <w:rsid w:val="00EE7F79"/>
    <w:pPr>
      <w:spacing w:line="240" w:lineRule="auto"/>
    </w:pPr>
    <w:rPr>
      <w:szCs w:val="20"/>
    </w:rPr>
  </w:style>
  <w:style w:type="character" w:customStyle="1" w:styleId="CommentTextChar">
    <w:name w:val="Comment Text Char"/>
    <w:basedOn w:val="DefaultParagraphFont"/>
    <w:link w:val="CommentText"/>
    <w:rsid w:val="00EE7F79"/>
    <w:rPr>
      <w:rFonts w:ascii="Arial" w:hAnsi="Arial"/>
    </w:rPr>
  </w:style>
  <w:style w:type="paragraph" w:styleId="CommentSubject">
    <w:name w:val="annotation subject"/>
    <w:basedOn w:val="CommentText"/>
    <w:next w:val="CommentText"/>
    <w:link w:val="CommentSubjectChar"/>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BodySubHeader2">
    <w:name w:val="BodySubHeader2"/>
    <w:basedOn w:val="BodySubHeader"/>
    <w:rsid w:val="000F1E41"/>
    <w:pPr>
      <w:spacing w:after="120"/>
    </w:pPr>
    <w:rPr>
      <w:b w:val="0"/>
    </w:rPr>
  </w:style>
  <w:style w:type="paragraph" w:styleId="Index3">
    <w:name w:val="index 3"/>
    <w:basedOn w:val="Normal"/>
    <w:next w:val="Normal"/>
    <w:autoRedefine/>
    <w:rsid w:val="001C35F7"/>
    <w:pPr>
      <w:spacing w:after="0" w:line="240" w:lineRule="auto"/>
      <w:ind w:left="600" w:hanging="200"/>
    </w:pPr>
  </w:style>
  <w:style w:type="paragraph" w:customStyle="1" w:styleId="subsection2">
    <w:name w:val="subsection2"/>
    <w:aliases w:val="ss2"/>
    <w:basedOn w:val="Normal"/>
    <w:rsid w:val="009C26A8"/>
    <w:pPr>
      <w:spacing w:before="40" w:after="0" w:line="260" w:lineRule="atLeast"/>
      <w:ind w:left="1134"/>
    </w:pPr>
    <w:rPr>
      <w:rFonts w:ascii="Helvetica" w:hAnsi="Helvetica"/>
      <w:noProof/>
      <w:sz w:val="22"/>
      <w:szCs w:val="20"/>
    </w:rPr>
  </w:style>
  <w:style w:type="paragraph" w:customStyle="1" w:styleId="Paragraph">
    <w:name w:val="Paragraph"/>
    <w:basedOn w:val="Normal"/>
    <w:rsid w:val="00C81125"/>
    <w:pPr>
      <w:spacing w:before="240" w:after="0" w:line="240" w:lineRule="auto"/>
    </w:pPr>
    <w:rPr>
      <w:rFonts w:ascii="Times New Roman" w:hAnsi="Times New Roman"/>
      <w:sz w:val="24"/>
    </w:rPr>
  </w:style>
  <w:style w:type="paragraph" w:styleId="ListParagraph">
    <w:name w:val="List Paragraph"/>
    <w:basedOn w:val="Normal"/>
    <w:uiPriority w:val="34"/>
    <w:qFormat/>
    <w:rsid w:val="005C2329"/>
    <w:pPr>
      <w:spacing w:after="0" w:line="240" w:lineRule="auto"/>
      <w:ind w:left="720"/>
    </w:pPr>
    <w:rPr>
      <w:rFonts w:ascii="Times New Roman" w:hAnsi="Times New Roman"/>
      <w:sz w:val="24"/>
      <w:szCs w:val="20"/>
    </w:rPr>
  </w:style>
  <w:style w:type="paragraph" w:styleId="NoSpacing">
    <w:name w:val="No Spacing"/>
    <w:rsid w:val="00820CF1"/>
    <w:rPr>
      <w:rFonts w:ascii="Arial" w:hAnsi="Arial"/>
      <w:sz w:val="20"/>
    </w:rPr>
  </w:style>
  <w:style w:type="character" w:customStyle="1" w:styleId="HeaderChar">
    <w:name w:val="Header Char"/>
    <w:link w:val="Header"/>
    <w:rsid w:val="00CD06E1"/>
    <w:rPr>
      <w:rFonts w:ascii="Arial" w:hAnsi="Arial"/>
      <w:sz w:val="16"/>
    </w:rPr>
  </w:style>
  <w:style w:type="character" w:styleId="SubtleReference">
    <w:name w:val="Subtle Reference"/>
    <w:basedOn w:val="DefaultParagraphFont"/>
    <w:rsid w:val="008B4671"/>
    <w:rPr>
      <w:smallCaps/>
      <w:color w:val="5A5A5A" w:themeColor="text1" w:themeTint="A5"/>
    </w:rPr>
  </w:style>
  <w:style w:type="character" w:styleId="SubtleEmphasis">
    <w:name w:val="Subtle Emphasis"/>
    <w:basedOn w:val="DefaultParagraphFont"/>
    <w:rsid w:val="008B4671"/>
    <w:rPr>
      <w:i/>
      <w:iCs/>
      <w:color w:val="404040" w:themeColor="text1" w:themeTint="BF"/>
    </w:rPr>
  </w:style>
  <w:style w:type="character" w:customStyle="1" w:styleId="Heading1Char">
    <w:name w:val="Heading 1 Char"/>
    <w:aliases w:val="c Char,ActHead 1 Char"/>
    <w:basedOn w:val="DefaultParagraphFont"/>
    <w:link w:val="Heading1"/>
    <w:rsid w:val="002D4BAC"/>
    <w:rPr>
      <w:rFonts w:ascii="Arial" w:hAnsi="Arial" w:cs="Arial"/>
      <w:bCs/>
      <w:color w:val="323232"/>
      <w:kern w:val="32"/>
      <w:sz w:val="53"/>
      <w:szCs w:val="32"/>
    </w:rPr>
  </w:style>
  <w:style w:type="character" w:customStyle="1" w:styleId="Heading3Char">
    <w:name w:val="Heading 3 Char"/>
    <w:aliases w:val="d Char,ActHead 3 Char"/>
    <w:basedOn w:val="DefaultParagraphFont"/>
    <w:link w:val="Heading3"/>
    <w:rsid w:val="002D4BAC"/>
    <w:rPr>
      <w:rFonts w:ascii="Arial" w:hAnsi="Arial" w:cs="Arial"/>
      <w:b/>
      <w:bCs/>
      <w:sz w:val="20"/>
      <w:szCs w:val="26"/>
    </w:rPr>
  </w:style>
  <w:style w:type="character" w:customStyle="1" w:styleId="Heading5Char">
    <w:name w:val="Heading 5 Char"/>
    <w:aliases w:val="s Char,5 Char,ActHead 5 Char"/>
    <w:basedOn w:val="DefaultParagraphFont"/>
    <w:link w:val="Heading5"/>
    <w:rsid w:val="00D755B7"/>
    <w:rPr>
      <w:b/>
      <w:bCs/>
      <w:iCs/>
      <w:szCs w:val="26"/>
    </w:rPr>
  </w:style>
  <w:style w:type="paragraph" w:customStyle="1" w:styleId="subsection">
    <w:name w:val="subsection"/>
    <w:aliases w:val="ss"/>
    <w:basedOn w:val="Normal"/>
    <w:link w:val="subsectionChar"/>
    <w:rsid w:val="002D4BAC"/>
    <w:pPr>
      <w:tabs>
        <w:tab w:val="right" w:pos="1021"/>
      </w:tabs>
      <w:spacing w:before="180" w:after="0" w:line="260" w:lineRule="atLeast"/>
      <w:ind w:left="1134" w:hanging="1134"/>
    </w:pPr>
    <w:rPr>
      <w:rFonts w:ascii="Helvetica" w:hAnsi="Helvetica"/>
      <w:noProof/>
      <w:sz w:val="22"/>
      <w:szCs w:val="20"/>
    </w:rPr>
  </w:style>
  <w:style w:type="paragraph" w:customStyle="1" w:styleId="BoxList">
    <w:name w:val="BoxList"/>
    <w:aliases w:val="bl"/>
    <w:basedOn w:val="Normal"/>
    <w:qFormat/>
    <w:rsid w:val="002D4BAC"/>
    <w:pPr>
      <w:pBdr>
        <w:top w:val="single" w:sz="6" w:space="0" w:color="auto"/>
        <w:left w:val="single" w:sz="6" w:space="0" w:color="auto"/>
        <w:bottom w:val="single" w:sz="6" w:space="0" w:color="auto"/>
        <w:right w:val="single" w:sz="6" w:space="0" w:color="auto"/>
      </w:pBdr>
      <w:spacing w:before="240" w:after="0" w:line="260" w:lineRule="atLeast"/>
      <w:ind w:left="1560" w:hanging="426"/>
    </w:pPr>
    <w:rPr>
      <w:rFonts w:ascii="Helvetica" w:hAnsi="Helvetica"/>
      <w:noProof/>
      <w:sz w:val="22"/>
      <w:szCs w:val="20"/>
    </w:rPr>
  </w:style>
  <w:style w:type="paragraph" w:customStyle="1" w:styleId="indenta">
    <w:name w:val="indent(a)"/>
    <w:aliases w:val="a,paragraph"/>
    <w:basedOn w:val="Normal"/>
    <w:link w:val="paragraphChar"/>
    <w:rsid w:val="002D4BAC"/>
    <w:pPr>
      <w:tabs>
        <w:tab w:val="right" w:pos="1531"/>
      </w:tabs>
      <w:spacing w:before="40" w:after="0" w:line="260" w:lineRule="atLeast"/>
      <w:ind w:left="1644" w:hanging="1644"/>
    </w:pPr>
    <w:rPr>
      <w:rFonts w:ascii="Helvetica" w:hAnsi="Helvetica"/>
      <w:noProof/>
      <w:sz w:val="22"/>
      <w:szCs w:val="20"/>
    </w:rPr>
  </w:style>
  <w:style w:type="paragraph" w:customStyle="1" w:styleId="Definition">
    <w:name w:val="Definition"/>
    <w:aliases w:val="dd"/>
    <w:basedOn w:val="subsection"/>
    <w:rsid w:val="002D4BAC"/>
    <w:pPr>
      <w:tabs>
        <w:tab w:val="clear" w:pos="1021"/>
      </w:tabs>
      <w:ind w:firstLine="0"/>
    </w:pPr>
  </w:style>
  <w:style w:type="character" w:customStyle="1" w:styleId="CharDivNo">
    <w:name w:val="CharDivNo"/>
    <w:basedOn w:val="DefaultParagraphFont"/>
    <w:qFormat/>
    <w:rsid w:val="00D755B7"/>
    <w:rPr>
      <w:rFonts w:ascii="Times New Roman" w:hAnsi="Times New Roman"/>
      <w:i/>
      <w:sz w:val="24"/>
    </w:rPr>
  </w:style>
  <w:style w:type="character" w:customStyle="1" w:styleId="CharDivText">
    <w:name w:val="CharDivText"/>
    <w:basedOn w:val="DefaultParagraphFont"/>
    <w:qFormat/>
    <w:rsid w:val="002D4BAC"/>
  </w:style>
  <w:style w:type="character" w:customStyle="1" w:styleId="CharPartNo">
    <w:name w:val="CharPartNo"/>
    <w:basedOn w:val="DefaultParagraphFont"/>
    <w:qFormat/>
    <w:rsid w:val="002D4BAC"/>
  </w:style>
  <w:style w:type="character" w:customStyle="1" w:styleId="CharPartText">
    <w:name w:val="CharPartText"/>
    <w:basedOn w:val="DefaultParagraphFont"/>
    <w:qFormat/>
    <w:rsid w:val="002D4BAC"/>
  </w:style>
  <w:style w:type="character" w:customStyle="1" w:styleId="CharSectno">
    <w:name w:val="CharSectno"/>
    <w:basedOn w:val="DefaultParagraphFont"/>
    <w:qFormat/>
    <w:rsid w:val="002D4BAC"/>
  </w:style>
  <w:style w:type="character" w:customStyle="1" w:styleId="subsectionChar">
    <w:name w:val="subsection Char"/>
    <w:aliases w:val="ss Char"/>
    <w:link w:val="subsection"/>
    <w:rsid w:val="002D4BAC"/>
    <w:rPr>
      <w:rFonts w:ascii="Helvetica" w:hAnsi="Helvetica"/>
      <w:noProof/>
      <w:sz w:val="22"/>
      <w:szCs w:val="20"/>
    </w:rPr>
  </w:style>
  <w:style w:type="character" w:customStyle="1" w:styleId="paragraphChar">
    <w:name w:val="paragraph Char"/>
    <w:aliases w:val="a Char"/>
    <w:link w:val="indenta"/>
    <w:rsid w:val="002D4BAC"/>
    <w:rPr>
      <w:rFonts w:ascii="Helvetica" w:hAnsi="Helvetica"/>
      <w:noProof/>
      <w:sz w:val="22"/>
      <w:szCs w:val="20"/>
    </w:rPr>
  </w:style>
  <w:style w:type="paragraph" w:customStyle="1" w:styleId="indentii">
    <w:name w:val="indent(ii)"/>
    <w:aliases w:val="aa,paragraph(sub)"/>
    <w:basedOn w:val="indenta"/>
    <w:rsid w:val="000A600C"/>
    <w:pPr>
      <w:tabs>
        <w:tab w:val="clear" w:pos="1531"/>
        <w:tab w:val="right" w:pos="1985"/>
      </w:tabs>
      <w:ind w:left="2098" w:hanging="2098"/>
    </w:pPr>
  </w:style>
  <w:style w:type="paragraph" w:customStyle="1" w:styleId="notetext">
    <w:name w:val="note(text)"/>
    <w:aliases w:val="n"/>
    <w:basedOn w:val="Normal"/>
    <w:rsid w:val="000A600C"/>
    <w:pPr>
      <w:spacing w:before="122" w:after="0" w:line="198" w:lineRule="atLeast"/>
      <w:ind w:left="1985" w:hanging="851"/>
    </w:pPr>
    <w:rPr>
      <w:rFonts w:ascii="Helvetica" w:hAnsi="Helvetica"/>
      <w:noProof/>
      <w:sz w:val="18"/>
      <w:szCs w:val="20"/>
    </w:rPr>
  </w:style>
  <w:style w:type="paragraph" w:customStyle="1" w:styleId="SubsectionHead">
    <w:name w:val="SubsectionHead"/>
    <w:aliases w:val="ssh"/>
    <w:basedOn w:val="subsection"/>
    <w:next w:val="subsection"/>
    <w:rsid w:val="000A600C"/>
    <w:pPr>
      <w:keepNext/>
      <w:keepLines/>
      <w:tabs>
        <w:tab w:val="clear" w:pos="1021"/>
      </w:tabs>
      <w:spacing w:before="240" w:line="240" w:lineRule="auto"/>
      <w:ind w:firstLine="0"/>
    </w:pPr>
    <w:rPr>
      <w:rFonts w:ascii="Times New Roman" w:hAnsi="Times New Roman"/>
      <w:i/>
      <w:noProof w:val="0"/>
      <w:szCs w:val="24"/>
    </w:rPr>
  </w:style>
  <w:style w:type="paragraph" w:customStyle="1" w:styleId="Style1">
    <w:name w:val="Style1"/>
    <w:basedOn w:val="Normal"/>
    <w:qFormat/>
    <w:rsid w:val="00871580"/>
    <w:pPr>
      <w:keepNext/>
      <w:keepLines/>
      <w:spacing w:before="280" w:after="0" w:line="240" w:lineRule="auto"/>
      <w:ind w:left="1134" w:hanging="1134"/>
      <w:outlineLvl w:val="4"/>
    </w:pPr>
    <w:rPr>
      <w:rFonts w:ascii="Times New Roman" w:hAnsi="Times New Roman"/>
      <w:b/>
      <w:kern w:val="28"/>
      <w:sz w:val="24"/>
      <w:szCs w:val="20"/>
    </w:rPr>
  </w:style>
  <w:style w:type="numbering" w:customStyle="1" w:styleId="NoList1">
    <w:name w:val="No List1"/>
    <w:next w:val="NoList"/>
    <w:uiPriority w:val="99"/>
    <w:semiHidden/>
    <w:unhideWhenUsed/>
    <w:rsid w:val="00041614"/>
  </w:style>
  <w:style w:type="character" w:customStyle="1" w:styleId="CharSubPartTextCASA">
    <w:name w:val="CharSubPartText(CASA)"/>
    <w:basedOn w:val="OPCCharBase"/>
    <w:uiPriority w:val="1"/>
    <w:rsid w:val="00041614"/>
  </w:style>
  <w:style w:type="character" w:customStyle="1" w:styleId="CharSubPartNoCASA">
    <w:name w:val="CharSubPartNo(CASA)"/>
    <w:basedOn w:val="OPCCharBase"/>
    <w:uiPriority w:val="1"/>
    <w:rsid w:val="00041614"/>
  </w:style>
  <w:style w:type="paragraph" w:customStyle="1" w:styleId="ENoteTTIndentHeadingSub">
    <w:name w:val="ENoteTTIndentHeadingSub"/>
    <w:aliases w:val="enTTHis"/>
    <w:basedOn w:val="OPCParaBase"/>
    <w:rsid w:val="00041614"/>
    <w:pPr>
      <w:keepNext/>
      <w:spacing w:before="60" w:line="240" w:lineRule="atLeast"/>
      <w:ind w:left="340"/>
    </w:pPr>
    <w:rPr>
      <w:b/>
      <w:sz w:val="16"/>
    </w:rPr>
  </w:style>
  <w:style w:type="paragraph" w:customStyle="1" w:styleId="ENoteTTiSub">
    <w:name w:val="ENoteTTiSub"/>
    <w:aliases w:val="enttis"/>
    <w:basedOn w:val="OPCParaBase"/>
    <w:rsid w:val="00041614"/>
    <w:pPr>
      <w:keepNext/>
      <w:spacing w:before="60" w:line="240" w:lineRule="atLeast"/>
      <w:ind w:left="340"/>
    </w:pPr>
    <w:rPr>
      <w:sz w:val="16"/>
    </w:rPr>
  </w:style>
  <w:style w:type="paragraph" w:customStyle="1" w:styleId="SubDivisionMigration">
    <w:name w:val="SubDivisionMigration"/>
    <w:aliases w:val="sdm"/>
    <w:basedOn w:val="OPCParaBase"/>
    <w:rsid w:val="000416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1614"/>
    <w:pPr>
      <w:keepNext/>
      <w:keepLines/>
      <w:spacing w:before="240" w:line="240" w:lineRule="auto"/>
      <w:ind w:left="1134" w:hanging="1134"/>
    </w:pPr>
    <w:rPr>
      <w:b/>
      <w:sz w:val="28"/>
    </w:rPr>
  </w:style>
  <w:style w:type="paragraph" w:customStyle="1" w:styleId="BoxText">
    <w:name w:val="BoxText"/>
    <w:aliases w:val="bt"/>
    <w:basedOn w:val="OPCParaBase"/>
    <w:qFormat/>
    <w:rsid w:val="000416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1614"/>
    <w:rPr>
      <w:b/>
    </w:rPr>
  </w:style>
  <w:style w:type="paragraph" w:customStyle="1" w:styleId="BoxHeadItalic">
    <w:name w:val="BoxHeadItalic"/>
    <w:aliases w:val="bhi"/>
    <w:basedOn w:val="BoxText"/>
    <w:next w:val="BoxStep"/>
    <w:qFormat/>
    <w:rsid w:val="00041614"/>
    <w:rPr>
      <w:i/>
    </w:rPr>
  </w:style>
  <w:style w:type="paragraph" w:customStyle="1" w:styleId="BoxNote">
    <w:name w:val="BoxNote"/>
    <w:aliases w:val="bn"/>
    <w:basedOn w:val="BoxText"/>
    <w:qFormat/>
    <w:rsid w:val="00041614"/>
    <w:pPr>
      <w:tabs>
        <w:tab w:val="left" w:pos="1985"/>
      </w:tabs>
      <w:spacing w:before="122" w:line="198" w:lineRule="exact"/>
      <w:ind w:left="2948" w:hanging="1814"/>
    </w:pPr>
    <w:rPr>
      <w:sz w:val="18"/>
    </w:rPr>
  </w:style>
  <w:style w:type="paragraph" w:customStyle="1" w:styleId="BoxPara">
    <w:name w:val="BoxPara"/>
    <w:aliases w:val="bp"/>
    <w:basedOn w:val="BoxText"/>
    <w:qFormat/>
    <w:rsid w:val="00041614"/>
    <w:pPr>
      <w:tabs>
        <w:tab w:val="right" w:pos="2268"/>
      </w:tabs>
      <w:ind w:left="2552" w:hanging="1418"/>
    </w:pPr>
  </w:style>
  <w:style w:type="paragraph" w:customStyle="1" w:styleId="BoxStep">
    <w:name w:val="BoxStep"/>
    <w:aliases w:val="bs"/>
    <w:basedOn w:val="BoxText"/>
    <w:qFormat/>
    <w:rsid w:val="00041614"/>
    <w:pPr>
      <w:ind w:left="1985" w:hanging="851"/>
    </w:pPr>
  </w:style>
  <w:style w:type="character" w:customStyle="1" w:styleId="CharAmPartNo">
    <w:name w:val="CharAmPartNo"/>
    <w:basedOn w:val="OPCCharBase"/>
    <w:uiPriority w:val="1"/>
    <w:qFormat/>
    <w:rsid w:val="00041614"/>
  </w:style>
  <w:style w:type="character" w:customStyle="1" w:styleId="CharAmPartText">
    <w:name w:val="CharAmPartText"/>
    <w:basedOn w:val="OPCCharBase"/>
    <w:uiPriority w:val="1"/>
    <w:qFormat/>
    <w:rsid w:val="00041614"/>
  </w:style>
  <w:style w:type="character" w:customStyle="1" w:styleId="CharAmSchNo">
    <w:name w:val="CharAmSchNo"/>
    <w:basedOn w:val="OPCCharBase"/>
    <w:uiPriority w:val="1"/>
    <w:qFormat/>
    <w:rsid w:val="00041614"/>
  </w:style>
  <w:style w:type="character" w:customStyle="1" w:styleId="CharAmSchText">
    <w:name w:val="CharAmSchText"/>
    <w:basedOn w:val="OPCCharBase"/>
    <w:uiPriority w:val="1"/>
    <w:qFormat/>
    <w:rsid w:val="00041614"/>
  </w:style>
  <w:style w:type="character" w:customStyle="1" w:styleId="CharChapNo">
    <w:name w:val="CharChapNo"/>
    <w:basedOn w:val="OPCCharBase"/>
    <w:qFormat/>
    <w:rsid w:val="00041614"/>
  </w:style>
  <w:style w:type="character" w:customStyle="1" w:styleId="CharChapText">
    <w:name w:val="CharChapText"/>
    <w:basedOn w:val="OPCCharBase"/>
    <w:qFormat/>
    <w:rsid w:val="00041614"/>
  </w:style>
  <w:style w:type="character" w:customStyle="1" w:styleId="CharSubdNo">
    <w:name w:val="CharSubdNo"/>
    <w:basedOn w:val="OPCCharBase"/>
    <w:uiPriority w:val="1"/>
    <w:qFormat/>
    <w:rsid w:val="00041614"/>
  </w:style>
  <w:style w:type="character" w:customStyle="1" w:styleId="CharSubdText">
    <w:name w:val="CharSubdText"/>
    <w:basedOn w:val="OPCCharBase"/>
    <w:uiPriority w:val="1"/>
    <w:qFormat/>
    <w:rsid w:val="00041614"/>
  </w:style>
  <w:style w:type="paragraph" w:styleId="BodyTextIndent">
    <w:name w:val="Body Text Indent"/>
    <w:link w:val="BodyTextIndentChar"/>
    <w:rsid w:val="00041614"/>
    <w:pPr>
      <w:spacing w:after="120"/>
      <w:ind w:left="283"/>
    </w:pPr>
    <w:rPr>
      <w:sz w:val="22"/>
    </w:rPr>
  </w:style>
  <w:style w:type="character" w:customStyle="1" w:styleId="BodyTextIndentChar">
    <w:name w:val="Body Text Indent Char"/>
    <w:basedOn w:val="DefaultParagraphFont"/>
    <w:link w:val="BodyTextIndent"/>
    <w:rsid w:val="00041614"/>
    <w:rPr>
      <w:sz w:val="22"/>
    </w:rPr>
  </w:style>
  <w:style w:type="character" w:customStyle="1" w:styleId="OPCCharBase">
    <w:name w:val="OPCCharBase"/>
    <w:uiPriority w:val="1"/>
    <w:qFormat/>
    <w:rsid w:val="00041614"/>
  </w:style>
  <w:style w:type="paragraph" w:customStyle="1" w:styleId="Formula">
    <w:name w:val="Formula"/>
    <w:basedOn w:val="OPCParaBase"/>
    <w:rsid w:val="00041614"/>
    <w:pPr>
      <w:spacing w:line="240" w:lineRule="auto"/>
      <w:ind w:left="1134"/>
    </w:pPr>
    <w:rPr>
      <w:sz w:val="20"/>
    </w:rPr>
  </w:style>
  <w:style w:type="paragraph" w:customStyle="1" w:styleId="paragraphsub-sub">
    <w:name w:val="paragraph(sub-sub)"/>
    <w:aliases w:val="aaa"/>
    <w:basedOn w:val="OPCParaBase"/>
    <w:rsid w:val="00041614"/>
    <w:pPr>
      <w:tabs>
        <w:tab w:val="right" w:pos="2722"/>
      </w:tabs>
      <w:spacing w:before="40" w:line="240" w:lineRule="auto"/>
      <w:ind w:left="2835" w:hanging="2835"/>
    </w:pPr>
  </w:style>
  <w:style w:type="character" w:styleId="LineNumber">
    <w:name w:val="line number"/>
    <w:basedOn w:val="OPCCharBase"/>
    <w:uiPriority w:val="99"/>
    <w:unhideWhenUsed/>
    <w:rsid w:val="00041614"/>
    <w:rPr>
      <w:sz w:val="16"/>
    </w:rPr>
  </w:style>
  <w:style w:type="paragraph" w:customStyle="1" w:styleId="ItemHead">
    <w:name w:val="ItemHead"/>
    <w:aliases w:val="ih"/>
    <w:basedOn w:val="OPCParaBase"/>
    <w:next w:val="Item"/>
    <w:link w:val="ItemHeadChar"/>
    <w:rsid w:val="00041614"/>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41614"/>
    <w:pPr>
      <w:keepLines/>
      <w:spacing w:before="80" w:line="240" w:lineRule="auto"/>
      <w:ind w:left="709"/>
    </w:pPr>
  </w:style>
  <w:style w:type="paragraph" w:customStyle="1" w:styleId="LongT">
    <w:name w:val="LongT"/>
    <w:basedOn w:val="OPCParaBase"/>
    <w:rsid w:val="00041614"/>
    <w:pPr>
      <w:spacing w:line="240" w:lineRule="auto"/>
    </w:pPr>
    <w:rPr>
      <w:b/>
      <w:sz w:val="32"/>
    </w:rPr>
  </w:style>
  <w:style w:type="paragraph" w:customStyle="1" w:styleId="OPCParaBase">
    <w:name w:val="OPCParaBase"/>
    <w:qFormat/>
    <w:rsid w:val="00041614"/>
    <w:pPr>
      <w:spacing w:line="260" w:lineRule="atLeast"/>
    </w:pPr>
    <w:rPr>
      <w:sz w:val="22"/>
      <w:szCs w:val="20"/>
    </w:rPr>
  </w:style>
  <w:style w:type="paragraph" w:customStyle="1" w:styleId="notedraft">
    <w:name w:val="note(draft)"/>
    <w:aliases w:val="nd"/>
    <w:basedOn w:val="OPCParaBase"/>
    <w:rsid w:val="00041614"/>
    <w:pPr>
      <w:spacing w:before="240" w:line="240" w:lineRule="auto"/>
      <w:ind w:left="284" w:hanging="284"/>
    </w:pPr>
    <w:rPr>
      <w:i/>
      <w:sz w:val="24"/>
    </w:rPr>
  </w:style>
  <w:style w:type="paragraph" w:customStyle="1" w:styleId="notemargin">
    <w:name w:val="note(margin)"/>
    <w:aliases w:val="nm"/>
    <w:basedOn w:val="OPCParaBase"/>
    <w:rsid w:val="00041614"/>
    <w:pPr>
      <w:tabs>
        <w:tab w:val="left" w:pos="709"/>
      </w:tabs>
      <w:spacing w:before="122" w:line="198" w:lineRule="exact"/>
      <w:ind w:left="709" w:hanging="709"/>
    </w:pPr>
    <w:rPr>
      <w:sz w:val="18"/>
    </w:rPr>
  </w:style>
  <w:style w:type="paragraph" w:customStyle="1" w:styleId="notepara">
    <w:name w:val="note(para)"/>
    <w:aliases w:val="na"/>
    <w:basedOn w:val="OPCParaBase"/>
    <w:rsid w:val="00041614"/>
    <w:pPr>
      <w:spacing w:before="40" w:line="198" w:lineRule="exact"/>
      <w:ind w:left="2354" w:hanging="369"/>
    </w:pPr>
    <w:rPr>
      <w:sz w:val="18"/>
    </w:rPr>
  </w:style>
  <w:style w:type="paragraph" w:customStyle="1" w:styleId="noteParlAmend">
    <w:name w:val="note(ParlAmend)"/>
    <w:aliases w:val="npp"/>
    <w:basedOn w:val="OPCParaBase"/>
    <w:next w:val="ParlAmend"/>
    <w:rsid w:val="00041614"/>
    <w:pPr>
      <w:spacing w:line="240" w:lineRule="auto"/>
      <w:jc w:val="right"/>
    </w:pPr>
    <w:rPr>
      <w:rFonts w:ascii="Arial" w:hAnsi="Arial"/>
      <w:b/>
      <w:i/>
    </w:rPr>
  </w:style>
  <w:style w:type="paragraph" w:customStyle="1" w:styleId="Page1">
    <w:name w:val="Page1"/>
    <w:basedOn w:val="OPCParaBase"/>
    <w:rsid w:val="00041614"/>
    <w:pPr>
      <w:spacing w:before="5600" w:line="240" w:lineRule="auto"/>
    </w:pPr>
    <w:rPr>
      <w:b/>
      <w:sz w:val="32"/>
    </w:rPr>
  </w:style>
  <w:style w:type="paragraph" w:customStyle="1" w:styleId="PageBreak">
    <w:name w:val="PageBreak"/>
    <w:aliases w:val="pb"/>
    <w:basedOn w:val="OPCParaBase"/>
    <w:rsid w:val="00041614"/>
    <w:pPr>
      <w:spacing w:line="240" w:lineRule="auto"/>
    </w:pPr>
    <w:rPr>
      <w:sz w:val="20"/>
    </w:rPr>
  </w:style>
  <w:style w:type="paragraph" w:customStyle="1" w:styleId="ParlAmend">
    <w:name w:val="ParlAmend"/>
    <w:aliases w:val="pp"/>
    <w:basedOn w:val="OPCParaBase"/>
    <w:rsid w:val="00041614"/>
    <w:pPr>
      <w:spacing w:before="240" w:line="240" w:lineRule="atLeast"/>
      <w:ind w:hanging="567"/>
    </w:pPr>
    <w:rPr>
      <w:sz w:val="24"/>
    </w:rPr>
  </w:style>
  <w:style w:type="paragraph" w:customStyle="1" w:styleId="Penalty">
    <w:name w:val="Penalty"/>
    <w:basedOn w:val="OPCParaBase"/>
    <w:rsid w:val="00041614"/>
    <w:pPr>
      <w:tabs>
        <w:tab w:val="left" w:pos="2977"/>
      </w:tabs>
      <w:spacing w:before="180" w:line="240" w:lineRule="auto"/>
      <w:ind w:left="1985" w:hanging="851"/>
    </w:pPr>
  </w:style>
  <w:style w:type="paragraph" w:customStyle="1" w:styleId="Preamble">
    <w:name w:val="Preamble"/>
    <w:basedOn w:val="OPCParaBase"/>
    <w:next w:val="Normal"/>
    <w:rsid w:val="0004161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4161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041614"/>
    <w:pPr>
      <w:spacing w:line="240" w:lineRule="auto"/>
    </w:pPr>
    <w:rPr>
      <w:b/>
      <w:sz w:val="40"/>
    </w:rPr>
  </w:style>
  <w:style w:type="paragraph" w:customStyle="1" w:styleId="Subitem">
    <w:name w:val="Subitem"/>
    <w:aliases w:val="iss"/>
    <w:basedOn w:val="OPCParaBase"/>
    <w:rsid w:val="00041614"/>
    <w:pPr>
      <w:spacing w:before="180" w:line="240" w:lineRule="auto"/>
      <w:ind w:left="709" w:hanging="709"/>
    </w:pPr>
  </w:style>
  <w:style w:type="paragraph" w:customStyle="1" w:styleId="SubitemHead">
    <w:name w:val="SubitemHead"/>
    <w:aliases w:val="issh"/>
    <w:basedOn w:val="OPCParaBase"/>
    <w:rsid w:val="00041614"/>
    <w:pPr>
      <w:keepNext/>
      <w:keepLines/>
      <w:spacing w:before="220" w:line="240" w:lineRule="auto"/>
      <w:ind w:left="709"/>
    </w:pPr>
    <w:rPr>
      <w:rFonts w:ascii="Arial" w:hAnsi="Arial"/>
      <w:i/>
      <w:kern w:val="28"/>
    </w:rPr>
  </w:style>
  <w:style w:type="paragraph" w:customStyle="1" w:styleId="Tablei">
    <w:name w:val="Table(i)"/>
    <w:aliases w:val="taa"/>
    <w:basedOn w:val="OPCParaBase"/>
    <w:rsid w:val="0004161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41614"/>
    <w:pPr>
      <w:spacing w:before="60" w:line="240" w:lineRule="auto"/>
      <w:ind w:left="284" w:hanging="284"/>
    </w:pPr>
    <w:rPr>
      <w:sz w:val="20"/>
    </w:rPr>
  </w:style>
  <w:style w:type="paragraph" w:customStyle="1" w:styleId="TableAA">
    <w:name w:val="Table(AA)"/>
    <w:aliases w:val="taaa"/>
    <w:basedOn w:val="OPCParaBase"/>
    <w:rsid w:val="0004161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416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1614"/>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1614"/>
    <w:pPr>
      <w:spacing w:before="122" w:line="198" w:lineRule="exact"/>
      <w:ind w:left="1985" w:hanging="851"/>
      <w:jc w:val="right"/>
    </w:pPr>
    <w:rPr>
      <w:sz w:val="18"/>
    </w:rPr>
  </w:style>
  <w:style w:type="paragraph" w:customStyle="1" w:styleId="TLPTableBullet">
    <w:name w:val="TLPTableBullet"/>
    <w:aliases w:val="ttb"/>
    <w:basedOn w:val="OPCParaBase"/>
    <w:rsid w:val="00041614"/>
    <w:pPr>
      <w:spacing w:line="240" w:lineRule="exact"/>
      <w:ind w:left="284" w:hanging="284"/>
    </w:pPr>
    <w:rPr>
      <w:sz w:val="20"/>
    </w:rPr>
  </w:style>
  <w:style w:type="paragraph" w:styleId="TOC4">
    <w:name w:val="toc 4"/>
    <w:basedOn w:val="OPCParaBase"/>
    <w:next w:val="Normal"/>
    <w:uiPriority w:val="39"/>
    <w:unhideWhenUsed/>
    <w:rsid w:val="000416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41614"/>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0416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416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4161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41614"/>
    <w:pPr>
      <w:keepLines/>
      <w:spacing w:before="80" w:line="240" w:lineRule="auto"/>
      <w:ind w:left="1588" w:hanging="794"/>
    </w:pPr>
    <w:rPr>
      <w:kern w:val="28"/>
    </w:rPr>
  </w:style>
  <w:style w:type="paragraph" w:customStyle="1" w:styleId="TofSectsSection">
    <w:name w:val="TofSects(Section)"/>
    <w:basedOn w:val="OPCParaBase"/>
    <w:rsid w:val="00041614"/>
    <w:pPr>
      <w:keepLines/>
      <w:spacing w:before="40" w:line="240" w:lineRule="auto"/>
      <w:ind w:left="1588" w:hanging="794"/>
    </w:pPr>
    <w:rPr>
      <w:kern w:val="28"/>
      <w:sz w:val="18"/>
    </w:rPr>
  </w:style>
  <w:style w:type="paragraph" w:customStyle="1" w:styleId="TofSectsHeading">
    <w:name w:val="TofSects(Heading)"/>
    <w:basedOn w:val="OPCParaBase"/>
    <w:rsid w:val="00041614"/>
    <w:pPr>
      <w:spacing w:before="240" w:after="120" w:line="240" w:lineRule="auto"/>
    </w:pPr>
    <w:rPr>
      <w:b/>
      <w:sz w:val="24"/>
    </w:rPr>
  </w:style>
  <w:style w:type="paragraph" w:customStyle="1" w:styleId="TofSectsGroupHeading">
    <w:name w:val="TofSects(GroupHeading)"/>
    <w:basedOn w:val="OPCParaBase"/>
    <w:next w:val="TofSectsSection"/>
    <w:rsid w:val="00041614"/>
    <w:pPr>
      <w:keepLines/>
      <w:spacing w:before="240" w:after="120" w:line="240" w:lineRule="auto"/>
      <w:ind w:left="794"/>
    </w:pPr>
    <w:rPr>
      <w:b/>
      <w:kern w:val="28"/>
      <w:sz w:val="20"/>
    </w:rPr>
  </w:style>
  <w:style w:type="paragraph" w:customStyle="1" w:styleId="Actno">
    <w:name w:val="Actno"/>
    <w:basedOn w:val="ShortT"/>
    <w:next w:val="Normal"/>
    <w:qFormat/>
    <w:rsid w:val="00041614"/>
  </w:style>
  <w:style w:type="numbering" w:styleId="111111">
    <w:name w:val="Outline List 2"/>
    <w:basedOn w:val="NoList"/>
    <w:rsid w:val="00041614"/>
    <w:pPr>
      <w:numPr>
        <w:numId w:val="36"/>
      </w:numPr>
    </w:pPr>
  </w:style>
  <w:style w:type="numbering" w:styleId="1ai">
    <w:name w:val="Outline List 1"/>
    <w:basedOn w:val="NoList"/>
    <w:rsid w:val="00041614"/>
    <w:pPr>
      <w:numPr>
        <w:numId w:val="24"/>
      </w:numPr>
    </w:pPr>
  </w:style>
  <w:style w:type="numbering" w:styleId="ArticleSection">
    <w:name w:val="Outline List 3"/>
    <w:basedOn w:val="NoList"/>
    <w:rsid w:val="00041614"/>
    <w:pPr>
      <w:numPr>
        <w:numId w:val="37"/>
      </w:numPr>
    </w:pPr>
  </w:style>
  <w:style w:type="paragraph" w:styleId="BlockText">
    <w:name w:val="Block Text"/>
    <w:rsid w:val="00041614"/>
    <w:pPr>
      <w:spacing w:after="120"/>
      <w:ind w:left="1440" w:right="1440"/>
    </w:pPr>
    <w:rPr>
      <w:sz w:val="22"/>
    </w:rPr>
  </w:style>
  <w:style w:type="paragraph" w:styleId="BodyText">
    <w:name w:val="Body Text"/>
    <w:link w:val="BodyTextChar"/>
    <w:rsid w:val="00041614"/>
    <w:pPr>
      <w:spacing w:after="120"/>
    </w:pPr>
    <w:rPr>
      <w:sz w:val="22"/>
    </w:rPr>
  </w:style>
  <w:style w:type="character" w:customStyle="1" w:styleId="BodyTextChar">
    <w:name w:val="Body Text Char"/>
    <w:basedOn w:val="DefaultParagraphFont"/>
    <w:link w:val="BodyText"/>
    <w:rsid w:val="00041614"/>
    <w:rPr>
      <w:sz w:val="22"/>
    </w:rPr>
  </w:style>
  <w:style w:type="paragraph" w:styleId="BodyText2">
    <w:name w:val="Body Text 2"/>
    <w:link w:val="BodyText2Char"/>
    <w:rsid w:val="00041614"/>
    <w:pPr>
      <w:spacing w:after="120" w:line="480" w:lineRule="auto"/>
    </w:pPr>
    <w:rPr>
      <w:sz w:val="22"/>
    </w:rPr>
  </w:style>
  <w:style w:type="character" w:customStyle="1" w:styleId="BodyText2Char">
    <w:name w:val="Body Text 2 Char"/>
    <w:basedOn w:val="DefaultParagraphFont"/>
    <w:link w:val="BodyText2"/>
    <w:rsid w:val="00041614"/>
    <w:rPr>
      <w:sz w:val="22"/>
    </w:rPr>
  </w:style>
  <w:style w:type="paragraph" w:styleId="BodyText3">
    <w:name w:val="Body Text 3"/>
    <w:link w:val="BodyText3Char"/>
    <w:rsid w:val="00041614"/>
    <w:pPr>
      <w:spacing w:after="120"/>
    </w:pPr>
    <w:rPr>
      <w:sz w:val="16"/>
      <w:szCs w:val="16"/>
    </w:rPr>
  </w:style>
  <w:style w:type="character" w:customStyle="1" w:styleId="BodyText3Char">
    <w:name w:val="Body Text 3 Char"/>
    <w:basedOn w:val="DefaultParagraphFont"/>
    <w:link w:val="BodyText3"/>
    <w:rsid w:val="00041614"/>
    <w:rPr>
      <w:sz w:val="16"/>
      <w:szCs w:val="16"/>
    </w:rPr>
  </w:style>
  <w:style w:type="paragraph" w:styleId="BodyTextFirstIndent">
    <w:name w:val="Body Text First Indent"/>
    <w:basedOn w:val="BodyText"/>
    <w:link w:val="BodyTextFirstIndentChar"/>
    <w:rsid w:val="00041614"/>
    <w:pPr>
      <w:ind w:firstLine="210"/>
    </w:pPr>
  </w:style>
  <w:style w:type="character" w:customStyle="1" w:styleId="BodyTextFirstIndentChar">
    <w:name w:val="Body Text First Indent Char"/>
    <w:basedOn w:val="BodyTextChar"/>
    <w:link w:val="BodyTextFirstIndent"/>
    <w:rsid w:val="00041614"/>
    <w:rPr>
      <w:sz w:val="22"/>
    </w:rPr>
  </w:style>
  <w:style w:type="paragraph" w:styleId="BodyTextFirstIndent2">
    <w:name w:val="Body Text First Indent 2"/>
    <w:basedOn w:val="BodyTextIndent"/>
    <w:link w:val="BodyTextFirstIndent2Char"/>
    <w:rsid w:val="00041614"/>
    <w:pPr>
      <w:ind w:firstLine="210"/>
    </w:pPr>
  </w:style>
  <w:style w:type="character" w:customStyle="1" w:styleId="BodyTextFirstIndent2Char">
    <w:name w:val="Body Text First Indent 2 Char"/>
    <w:basedOn w:val="BodyTextIndentChar"/>
    <w:link w:val="BodyTextFirstIndent2"/>
    <w:rsid w:val="00041614"/>
    <w:rPr>
      <w:sz w:val="22"/>
    </w:rPr>
  </w:style>
  <w:style w:type="paragraph" w:styleId="BodyTextIndent2">
    <w:name w:val="Body Text Indent 2"/>
    <w:link w:val="BodyTextIndent2Char"/>
    <w:rsid w:val="00041614"/>
    <w:pPr>
      <w:spacing w:after="120" w:line="480" w:lineRule="auto"/>
      <w:ind w:left="283"/>
    </w:pPr>
    <w:rPr>
      <w:sz w:val="22"/>
    </w:rPr>
  </w:style>
  <w:style w:type="character" w:customStyle="1" w:styleId="BodyTextIndent2Char">
    <w:name w:val="Body Text Indent 2 Char"/>
    <w:basedOn w:val="DefaultParagraphFont"/>
    <w:link w:val="BodyTextIndent2"/>
    <w:rsid w:val="00041614"/>
    <w:rPr>
      <w:sz w:val="22"/>
    </w:rPr>
  </w:style>
  <w:style w:type="paragraph" w:styleId="BodyTextIndent3">
    <w:name w:val="Body Text Indent 3"/>
    <w:link w:val="BodyTextIndent3Char"/>
    <w:rsid w:val="00041614"/>
    <w:pPr>
      <w:spacing w:after="120"/>
      <w:ind w:left="283"/>
    </w:pPr>
    <w:rPr>
      <w:sz w:val="16"/>
      <w:szCs w:val="16"/>
    </w:rPr>
  </w:style>
  <w:style w:type="character" w:customStyle="1" w:styleId="BodyTextIndent3Char">
    <w:name w:val="Body Text Indent 3 Char"/>
    <w:basedOn w:val="DefaultParagraphFont"/>
    <w:link w:val="BodyTextIndent3"/>
    <w:rsid w:val="00041614"/>
    <w:rPr>
      <w:sz w:val="16"/>
      <w:szCs w:val="16"/>
    </w:rPr>
  </w:style>
  <w:style w:type="paragraph" w:styleId="Closing">
    <w:name w:val="Closing"/>
    <w:link w:val="ClosingChar"/>
    <w:rsid w:val="00041614"/>
    <w:pPr>
      <w:ind w:left="4252"/>
    </w:pPr>
    <w:rPr>
      <w:sz w:val="22"/>
    </w:rPr>
  </w:style>
  <w:style w:type="character" w:customStyle="1" w:styleId="ClosingChar">
    <w:name w:val="Closing Char"/>
    <w:basedOn w:val="DefaultParagraphFont"/>
    <w:link w:val="Closing"/>
    <w:rsid w:val="00041614"/>
    <w:rPr>
      <w:sz w:val="22"/>
    </w:rPr>
  </w:style>
  <w:style w:type="paragraph" w:styleId="Date">
    <w:name w:val="Date"/>
    <w:next w:val="Normal"/>
    <w:link w:val="DateChar"/>
    <w:rsid w:val="00041614"/>
    <w:rPr>
      <w:sz w:val="22"/>
    </w:rPr>
  </w:style>
  <w:style w:type="character" w:customStyle="1" w:styleId="DateChar">
    <w:name w:val="Date Char"/>
    <w:basedOn w:val="DefaultParagraphFont"/>
    <w:link w:val="Date"/>
    <w:rsid w:val="00041614"/>
    <w:rPr>
      <w:sz w:val="22"/>
    </w:rPr>
  </w:style>
  <w:style w:type="paragraph" w:styleId="E-mailSignature">
    <w:name w:val="E-mail Signature"/>
    <w:link w:val="E-mailSignatureChar"/>
    <w:rsid w:val="00041614"/>
    <w:rPr>
      <w:sz w:val="22"/>
    </w:rPr>
  </w:style>
  <w:style w:type="character" w:customStyle="1" w:styleId="E-mailSignatureChar">
    <w:name w:val="E-mail Signature Char"/>
    <w:basedOn w:val="DefaultParagraphFont"/>
    <w:link w:val="E-mailSignature"/>
    <w:rsid w:val="00041614"/>
    <w:rPr>
      <w:sz w:val="22"/>
    </w:rPr>
  </w:style>
  <w:style w:type="paragraph" w:styleId="EnvelopeAddress">
    <w:name w:val="envelope address"/>
    <w:rsid w:val="00041614"/>
    <w:pPr>
      <w:framePr w:w="7920" w:h="1980" w:hRule="exact" w:hSpace="180" w:wrap="auto" w:hAnchor="page" w:xAlign="center" w:yAlign="bottom"/>
      <w:ind w:left="2880"/>
    </w:pPr>
    <w:rPr>
      <w:rFonts w:ascii="Arial" w:hAnsi="Arial" w:cs="Arial"/>
    </w:rPr>
  </w:style>
  <w:style w:type="paragraph" w:styleId="EnvelopeReturn">
    <w:name w:val="envelope return"/>
    <w:rsid w:val="00041614"/>
    <w:rPr>
      <w:rFonts w:ascii="Arial" w:hAnsi="Arial" w:cs="Arial"/>
      <w:sz w:val="20"/>
      <w:szCs w:val="20"/>
    </w:rPr>
  </w:style>
  <w:style w:type="character" w:styleId="HTMLAcronym">
    <w:name w:val="HTML Acronym"/>
    <w:basedOn w:val="DefaultParagraphFont"/>
    <w:rsid w:val="00041614"/>
  </w:style>
  <w:style w:type="paragraph" w:styleId="HTMLAddress">
    <w:name w:val="HTML Address"/>
    <w:link w:val="HTMLAddressChar"/>
    <w:rsid w:val="00041614"/>
    <w:rPr>
      <w:i/>
      <w:iCs/>
      <w:sz w:val="22"/>
    </w:rPr>
  </w:style>
  <w:style w:type="character" w:customStyle="1" w:styleId="HTMLAddressChar">
    <w:name w:val="HTML Address Char"/>
    <w:basedOn w:val="DefaultParagraphFont"/>
    <w:link w:val="HTMLAddress"/>
    <w:rsid w:val="00041614"/>
    <w:rPr>
      <w:i/>
      <w:iCs/>
      <w:sz w:val="22"/>
    </w:rPr>
  </w:style>
  <w:style w:type="character" w:styleId="HTMLCite">
    <w:name w:val="HTML Cite"/>
    <w:basedOn w:val="DefaultParagraphFont"/>
    <w:rsid w:val="00041614"/>
    <w:rPr>
      <w:i/>
      <w:iCs/>
    </w:rPr>
  </w:style>
  <w:style w:type="character" w:styleId="HTMLCode">
    <w:name w:val="HTML Code"/>
    <w:basedOn w:val="DefaultParagraphFont"/>
    <w:rsid w:val="00041614"/>
    <w:rPr>
      <w:rFonts w:ascii="Courier New" w:hAnsi="Courier New" w:cs="Courier New"/>
      <w:sz w:val="20"/>
      <w:szCs w:val="20"/>
    </w:rPr>
  </w:style>
  <w:style w:type="character" w:styleId="HTMLDefinition">
    <w:name w:val="HTML Definition"/>
    <w:basedOn w:val="DefaultParagraphFont"/>
    <w:rsid w:val="00041614"/>
    <w:rPr>
      <w:i/>
      <w:iCs/>
    </w:rPr>
  </w:style>
  <w:style w:type="character" w:styleId="HTMLKeyboard">
    <w:name w:val="HTML Keyboard"/>
    <w:basedOn w:val="DefaultParagraphFont"/>
    <w:rsid w:val="00041614"/>
    <w:rPr>
      <w:rFonts w:ascii="Courier New" w:hAnsi="Courier New" w:cs="Courier New"/>
      <w:sz w:val="20"/>
      <w:szCs w:val="20"/>
    </w:rPr>
  </w:style>
  <w:style w:type="paragraph" w:styleId="HTMLPreformatted">
    <w:name w:val="HTML Preformatted"/>
    <w:link w:val="HTMLPreformattedChar"/>
    <w:rsid w:val="00041614"/>
    <w:rPr>
      <w:rFonts w:ascii="Courier New" w:hAnsi="Courier New" w:cs="Courier New"/>
      <w:sz w:val="20"/>
      <w:szCs w:val="20"/>
    </w:rPr>
  </w:style>
  <w:style w:type="character" w:customStyle="1" w:styleId="HTMLPreformattedChar">
    <w:name w:val="HTML Preformatted Char"/>
    <w:basedOn w:val="DefaultParagraphFont"/>
    <w:link w:val="HTMLPreformatted"/>
    <w:rsid w:val="00041614"/>
    <w:rPr>
      <w:rFonts w:ascii="Courier New" w:hAnsi="Courier New" w:cs="Courier New"/>
      <w:sz w:val="20"/>
      <w:szCs w:val="20"/>
    </w:rPr>
  </w:style>
  <w:style w:type="character" w:styleId="HTMLSample">
    <w:name w:val="HTML Sample"/>
    <w:basedOn w:val="DefaultParagraphFont"/>
    <w:rsid w:val="00041614"/>
    <w:rPr>
      <w:rFonts w:ascii="Courier New" w:hAnsi="Courier New" w:cs="Courier New"/>
    </w:rPr>
  </w:style>
  <w:style w:type="character" w:styleId="HTMLTypewriter">
    <w:name w:val="HTML Typewriter"/>
    <w:basedOn w:val="DefaultParagraphFont"/>
    <w:rsid w:val="00041614"/>
    <w:rPr>
      <w:rFonts w:ascii="Courier New" w:hAnsi="Courier New" w:cs="Courier New"/>
      <w:sz w:val="20"/>
      <w:szCs w:val="20"/>
    </w:rPr>
  </w:style>
  <w:style w:type="character" w:styleId="HTMLVariable">
    <w:name w:val="HTML Variable"/>
    <w:basedOn w:val="DefaultParagraphFont"/>
    <w:rsid w:val="00041614"/>
    <w:rPr>
      <w:i/>
      <w:iCs/>
    </w:rPr>
  </w:style>
  <w:style w:type="paragraph" w:styleId="List">
    <w:name w:val="List"/>
    <w:rsid w:val="00041614"/>
    <w:pPr>
      <w:ind w:left="283" w:hanging="283"/>
    </w:pPr>
    <w:rPr>
      <w:sz w:val="22"/>
    </w:rPr>
  </w:style>
  <w:style w:type="paragraph" w:styleId="List2">
    <w:name w:val="List 2"/>
    <w:rsid w:val="00041614"/>
    <w:pPr>
      <w:ind w:left="566" w:hanging="283"/>
    </w:pPr>
    <w:rPr>
      <w:sz w:val="22"/>
    </w:rPr>
  </w:style>
  <w:style w:type="paragraph" w:styleId="List3">
    <w:name w:val="List 3"/>
    <w:rsid w:val="00041614"/>
    <w:pPr>
      <w:ind w:left="849" w:hanging="283"/>
    </w:pPr>
    <w:rPr>
      <w:sz w:val="22"/>
    </w:rPr>
  </w:style>
  <w:style w:type="paragraph" w:styleId="List4">
    <w:name w:val="List 4"/>
    <w:rsid w:val="00041614"/>
    <w:pPr>
      <w:ind w:left="1132" w:hanging="283"/>
    </w:pPr>
    <w:rPr>
      <w:sz w:val="22"/>
    </w:rPr>
  </w:style>
  <w:style w:type="paragraph" w:styleId="List5">
    <w:name w:val="List 5"/>
    <w:rsid w:val="00041614"/>
    <w:pPr>
      <w:ind w:left="1415" w:hanging="283"/>
    </w:pPr>
    <w:rPr>
      <w:sz w:val="22"/>
    </w:rPr>
  </w:style>
  <w:style w:type="paragraph" w:styleId="ListBullet3">
    <w:name w:val="List Bullet 3"/>
    <w:rsid w:val="00041614"/>
    <w:pPr>
      <w:numPr>
        <w:numId w:val="18"/>
      </w:numPr>
      <w:tabs>
        <w:tab w:val="clear" w:pos="926"/>
        <w:tab w:val="num" w:pos="360"/>
      </w:tabs>
      <w:ind w:left="360"/>
    </w:pPr>
    <w:rPr>
      <w:sz w:val="22"/>
    </w:rPr>
  </w:style>
  <w:style w:type="paragraph" w:styleId="ListBullet4">
    <w:name w:val="List Bullet 4"/>
    <w:rsid w:val="00041614"/>
    <w:pPr>
      <w:numPr>
        <w:numId w:val="19"/>
      </w:numPr>
      <w:tabs>
        <w:tab w:val="clear" w:pos="1209"/>
        <w:tab w:val="num" w:pos="926"/>
      </w:tabs>
      <w:ind w:left="926"/>
    </w:pPr>
    <w:rPr>
      <w:sz w:val="22"/>
    </w:rPr>
  </w:style>
  <w:style w:type="paragraph" w:styleId="ListBullet5">
    <w:name w:val="List Bullet 5"/>
    <w:rsid w:val="00041614"/>
    <w:pPr>
      <w:numPr>
        <w:numId w:val="20"/>
      </w:numPr>
    </w:pPr>
    <w:rPr>
      <w:sz w:val="22"/>
    </w:rPr>
  </w:style>
  <w:style w:type="paragraph" w:styleId="ListContinue">
    <w:name w:val="List Continue"/>
    <w:rsid w:val="00041614"/>
    <w:pPr>
      <w:spacing w:after="120"/>
      <w:ind w:left="283"/>
    </w:pPr>
    <w:rPr>
      <w:sz w:val="22"/>
    </w:rPr>
  </w:style>
  <w:style w:type="paragraph" w:styleId="ListContinue2">
    <w:name w:val="List Continue 2"/>
    <w:rsid w:val="00041614"/>
    <w:pPr>
      <w:spacing w:after="120"/>
      <w:ind w:left="566"/>
    </w:pPr>
    <w:rPr>
      <w:sz w:val="22"/>
    </w:rPr>
  </w:style>
  <w:style w:type="paragraph" w:styleId="ListContinue3">
    <w:name w:val="List Continue 3"/>
    <w:rsid w:val="00041614"/>
    <w:pPr>
      <w:spacing w:after="120"/>
      <w:ind w:left="849"/>
    </w:pPr>
    <w:rPr>
      <w:sz w:val="22"/>
    </w:rPr>
  </w:style>
  <w:style w:type="paragraph" w:styleId="ListContinue4">
    <w:name w:val="List Continue 4"/>
    <w:rsid w:val="00041614"/>
    <w:pPr>
      <w:spacing w:after="120"/>
      <w:ind w:left="1132"/>
    </w:pPr>
    <w:rPr>
      <w:sz w:val="22"/>
    </w:rPr>
  </w:style>
  <w:style w:type="paragraph" w:styleId="ListContinue5">
    <w:name w:val="List Continue 5"/>
    <w:rsid w:val="00041614"/>
    <w:pPr>
      <w:spacing w:after="120"/>
      <w:ind w:left="1415"/>
    </w:pPr>
    <w:rPr>
      <w:sz w:val="22"/>
    </w:rPr>
  </w:style>
  <w:style w:type="paragraph" w:styleId="ListNumber3">
    <w:name w:val="List Number 3"/>
    <w:rsid w:val="00041614"/>
    <w:pPr>
      <w:numPr>
        <w:numId w:val="21"/>
      </w:numPr>
      <w:tabs>
        <w:tab w:val="clear" w:pos="926"/>
        <w:tab w:val="num" w:pos="360"/>
      </w:tabs>
      <w:ind w:left="360"/>
    </w:pPr>
    <w:rPr>
      <w:sz w:val="22"/>
    </w:rPr>
  </w:style>
  <w:style w:type="paragraph" w:styleId="ListNumber4">
    <w:name w:val="List Number 4"/>
    <w:rsid w:val="00041614"/>
    <w:pPr>
      <w:numPr>
        <w:numId w:val="22"/>
      </w:numPr>
      <w:tabs>
        <w:tab w:val="clear" w:pos="1209"/>
        <w:tab w:val="num" w:pos="360"/>
      </w:tabs>
      <w:ind w:left="360"/>
    </w:pPr>
    <w:rPr>
      <w:sz w:val="22"/>
    </w:rPr>
  </w:style>
  <w:style w:type="paragraph" w:styleId="ListNumber5">
    <w:name w:val="List Number 5"/>
    <w:rsid w:val="00041614"/>
    <w:pPr>
      <w:tabs>
        <w:tab w:val="num" w:pos="1440"/>
      </w:tabs>
    </w:pPr>
    <w:rPr>
      <w:sz w:val="22"/>
    </w:rPr>
  </w:style>
  <w:style w:type="paragraph" w:styleId="MessageHeader">
    <w:name w:val="Message Header"/>
    <w:link w:val="MessageHeaderChar"/>
    <w:rsid w:val="000416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41614"/>
    <w:rPr>
      <w:rFonts w:ascii="Arial" w:hAnsi="Arial" w:cs="Arial"/>
      <w:shd w:val="pct20" w:color="auto" w:fill="auto"/>
    </w:rPr>
  </w:style>
  <w:style w:type="paragraph" w:styleId="NormalWeb">
    <w:name w:val="Normal (Web)"/>
    <w:rsid w:val="00041614"/>
  </w:style>
  <w:style w:type="paragraph" w:styleId="NormalIndent">
    <w:name w:val="Normal Indent"/>
    <w:rsid w:val="00041614"/>
    <w:pPr>
      <w:ind w:left="720"/>
    </w:pPr>
    <w:rPr>
      <w:sz w:val="22"/>
    </w:rPr>
  </w:style>
  <w:style w:type="paragraph" w:styleId="NoteHeading">
    <w:name w:val="Note Heading"/>
    <w:next w:val="Normal"/>
    <w:link w:val="NoteHeadingChar"/>
    <w:rsid w:val="00041614"/>
    <w:rPr>
      <w:sz w:val="22"/>
    </w:rPr>
  </w:style>
  <w:style w:type="character" w:customStyle="1" w:styleId="NoteHeadingChar">
    <w:name w:val="Note Heading Char"/>
    <w:basedOn w:val="DefaultParagraphFont"/>
    <w:link w:val="NoteHeading"/>
    <w:rsid w:val="00041614"/>
    <w:rPr>
      <w:sz w:val="22"/>
    </w:rPr>
  </w:style>
  <w:style w:type="paragraph" w:styleId="PlainText">
    <w:name w:val="Plain Text"/>
    <w:link w:val="PlainTextChar"/>
    <w:rsid w:val="00041614"/>
    <w:rPr>
      <w:rFonts w:ascii="Courier New" w:hAnsi="Courier New" w:cs="Courier New"/>
      <w:sz w:val="22"/>
      <w:szCs w:val="20"/>
    </w:rPr>
  </w:style>
  <w:style w:type="character" w:customStyle="1" w:styleId="PlainTextChar">
    <w:name w:val="Plain Text Char"/>
    <w:basedOn w:val="DefaultParagraphFont"/>
    <w:link w:val="PlainText"/>
    <w:rsid w:val="00041614"/>
    <w:rPr>
      <w:rFonts w:ascii="Courier New" w:hAnsi="Courier New" w:cs="Courier New"/>
      <w:sz w:val="22"/>
      <w:szCs w:val="20"/>
    </w:rPr>
  </w:style>
  <w:style w:type="paragraph" w:styleId="Salutation">
    <w:name w:val="Salutation"/>
    <w:next w:val="Normal"/>
    <w:link w:val="SalutationChar"/>
    <w:rsid w:val="00041614"/>
    <w:rPr>
      <w:sz w:val="22"/>
    </w:rPr>
  </w:style>
  <w:style w:type="character" w:customStyle="1" w:styleId="SalutationChar">
    <w:name w:val="Salutation Char"/>
    <w:basedOn w:val="DefaultParagraphFont"/>
    <w:link w:val="Salutation"/>
    <w:rsid w:val="00041614"/>
    <w:rPr>
      <w:sz w:val="22"/>
    </w:rPr>
  </w:style>
  <w:style w:type="paragraph" w:styleId="Signature">
    <w:name w:val="Signature"/>
    <w:link w:val="SignatureChar"/>
    <w:rsid w:val="00041614"/>
    <w:pPr>
      <w:ind w:left="4252"/>
    </w:pPr>
    <w:rPr>
      <w:sz w:val="22"/>
    </w:rPr>
  </w:style>
  <w:style w:type="character" w:customStyle="1" w:styleId="SignatureChar">
    <w:name w:val="Signature Char"/>
    <w:basedOn w:val="DefaultParagraphFont"/>
    <w:link w:val="Signature"/>
    <w:rsid w:val="00041614"/>
    <w:rPr>
      <w:sz w:val="22"/>
    </w:rPr>
  </w:style>
  <w:style w:type="paragraph" w:styleId="Subtitle">
    <w:name w:val="Subtitle"/>
    <w:link w:val="SubtitleChar"/>
    <w:qFormat/>
    <w:rsid w:val="00041614"/>
    <w:pPr>
      <w:spacing w:after="60"/>
      <w:jc w:val="center"/>
    </w:pPr>
    <w:rPr>
      <w:rFonts w:ascii="Arial" w:hAnsi="Arial" w:cs="Arial"/>
    </w:rPr>
  </w:style>
  <w:style w:type="character" w:customStyle="1" w:styleId="SubtitleChar">
    <w:name w:val="Subtitle Char"/>
    <w:basedOn w:val="DefaultParagraphFont"/>
    <w:link w:val="Subtitle"/>
    <w:rsid w:val="00041614"/>
    <w:rPr>
      <w:rFonts w:ascii="Arial" w:hAnsi="Arial" w:cs="Arial"/>
    </w:rPr>
  </w:style>
  <w:style w:type="table" w:styleId="Table3Deffects1">
    <w:name w:val="Table 3D effects 1"/>
    <w:basedOn w:val="TableNormal"/>
    <w:rsid w:val="00041614"/>
    <w:pPr>
      <w:spacing w:line="260" w:lineRule="atLeast"/>
    </w:pPr>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614"/>
    <w:pPr>
      <w:spacing w:line="260" w:lineRule="atLeas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1614"/>
    <w:pPr>
      <w:spacing w:line="260" w:lineRule="atLeast"/>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41614"/>
    <w:pPr>
      <w:spacing w:line="26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1614"/>
    <w:pPr>
      <w:spacing w:line="26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1614"/>
    <w:pPr>
      <w:spacing w:line="260" w:lineRule="atLeas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1614"/>
    <w:pPr>
      <w:spacing w:line="260" w:lineRule="atLeas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1614"/>
    <w:pPr>
      <w:spacing w:line="260" w:lineRule="atLeas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614"/>
    <w:pPr>
      <w:spacing w:line="260" w:lineRule="atLeas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614"/>
    <w:pPr>
      <w:spacing w:line="260" w:lineRule="atLeas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614"/>
    <w:pPr>
      <w:spacing w:line="260" w:lineRule="atLeas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1614"/>
    <w:pPr>
      <w:spacing w:line="260" w:lineRule="atLeast"/>
    </w:pPr>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1614"/>
    <w:pPr>
      <w:spacing w:line="260" w:lineRule="atLeas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1614"/>
    <w:pPr>
      <w:spacing w:line="260" w:lineRule="atLeast"/>
    </w:pPr>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1614"/>
    <w:pPr>
      <w:spacing w:line="260" w:lineRule="atLeas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41614"/>
    <w:pPr>
      <w:spacing w:line="260" w:lineRule="atLeas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614"/>
    <w:pPr>
      <w:spacing w:line="260" w:lineRule="atLeas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41614"/>
    <w:rPr>
      <w:rFonts w:eastAsia="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041614"/>
    <w:pPr>
      <w:spacing w:line="26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1614"/>
    <w:pPr>
      <w:spacing w:line="260" w:lineRule="atLeas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1614"/>
    <w:pPr>
      <w:spacing w:line="260" w:lineRule="atLeas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1614"/>
    <w:pPr>
      <w:spacing w:line="260" w:lineRule="atLeas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1614"/>
    <w:pPr>
      <w:spacing w:line="26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1614"/>
    <w:pPr>
      <w:spacing w:line="26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1614"/>
    <w:pPr>
      <w:spacing w:line="260" w:lineRule="atLeas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1614"/>
    <w:pPr>
      <w:spacing w:line="260" w:lineRule="atLeas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1614"/>
    <w:pPr>
      <w:spacing w:line="260" w:lineRule="atLeas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1614"/>
    <w:pPr>
      <w:spacing w:line="260" w:lineRule="atLeas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1614"/>
    <w:pPr>
      <w:spacing w:line="260" w:lineRule="atLeas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1614"/>
    <w:pPr>
      <w:spacing w:line="26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614"/>
    <w:pPr>
      <w:spacing w:line="26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1614"/>
    <w:pPr>
      <w:spacing w:line="26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614"/>
    <w:pPr>
      <w:spacing w:line="260" w:lineRule="atLeas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614"/>
    <w:pPr>
      <w:spacing w:line="26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614"/>
    <w:pPr>
      <w:spacing w:line="26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614"/>
    <w:pPr>
      <w:spacing w:line="260" w:lineRule="atLeas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614"/>
    <w:pPr>
      <w:spacing w:line="260" w:lineRule="atLeast"/>
    </w:pPr>
    <w:rPr>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614"/>
    <w:pPr>
      <w:spacing w:line="260" w:lineRule="atLeas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614"/>
    <w:pPr>
      <w:spacing w:line="260" w:lineRule="atLeast"/>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1614"/>
    <w:pPr>
      <w:spacing w:line="260" w:lineRule="atLeas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41614"/>
    <w:pPr>
      <w:spacing w:line="26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41614"/>
    <w:pPr>
      <w:spacing w:line="260" w:lineRule="atLeas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1614"/>
    <w:pPr>
      <w:spacing w:line="260" w:lineRule="atLeas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1614"/>
    <w:pPr>
      <w:spacing w:line="260" w:lineRule="atLeas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041614"/>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041614"/>
    <w:rPr>
      <w:rFonts w:ascii="Arial" w:hAnsi="Arial" w:cs="Arial"/>
      <w:b/>
      <w:bCs/>
      <w:kern w:val="28"/>
      <w:sz w:val="32"/>
      <w:szCs w:val="32"/>
    </w:rPr>
  </w:style>
  <w:style w:type="paragraph" w:styleId="TOAHeading">
    <w:name w:val="toa heading"/>
    <w:next w:val="Normal"/>
    <w:rsid w:val="00041614"/>
    <w:pPr>
      <w:spacing w:before="120"/>
    </w:pPr>
    <w:rPr>
      <w:rFonts w:ascii="Arial" w:hAnsi="Arial" w:cs="Arial"/>
      <w:b/>
      <w:bCs/>
    </w:rPr>
  </w:style>
  <w:style w:type="paragraph" w:styleId="DocumentMap">
    <w:name w:val="Document Map"/>
    <w:link w:val="DocumentMapChar"/>
    <w:rsid w:val="00041614"/>
    <w:pPr>
      <w:shd w:val="clear" w:color="auto" w:fill="000080"/>
    </w:pPr>
    <w:rPr>
      <w:rFonts w:ascii="Tahoma" w:hAnsi="Tahoma" w:cs="Tahoma"/>
      <w:sz w:val="22"/>
    </w:rPr>
  </w:style>
  <w:style w:type="character" w:customStyle="1" w:styleId="DocumentMapChar">
    <w:name w:val="Document Map Char"/>
    <w:basedOn w:val="DefaultParagraphFont"/>
    <w:link w:val="DocumentMap"/>
    <w:rsid w:val="00041614"/>
    <w:rPr>
      <w:rFonts w:ascii="Tahoma" w:hAnsi="Tahoma" w:cs="Tahoma"/>
      <w:sz w:val="22"/>
      <w:shd w:val="clear" w:color="auto" w:fill="000080"/>
    </w:rPr>
  </w:style>
  <w:style w:type="character" w:styleId="EndnoteReference">
    <w:name w:val="endnote reference"/>
    <w:basedOn w:val="DefaultParagraphFont"/>
    <w:rsid w:val="00041614"/>
    <w:rPr>
      <w:vertAlign w:val="superscript"/>
    </w:rPr>
  </w:style>
  <w:style w:type="paragraph" w:styleId="EndnoteText">
    <w:name w:val="endnote text"/>
    <w:link w:val="EndnoteTextChar"/>
    <w:rsid w:val="00041614"/>
    <w:rPr>
      <w:sz w:val="20"/>
      <w:szCs w:val="20"/>
    </w:rPr>
  </w:style>
  <w:style w:type="character" w:customStyle="1" w:styleId="EndnoteTextChar">
    <w:name w:val="Endnote Text Char"/>
    <w:basedOn w:val="DefaultParagraphFont"/>
    <w:link w:val="EndnoteText"/>
    <w:rsid w:val="00041614"/>
    <w:rPr>
      <w:sz w:val="20"/>
      <w:szCs w:val="20"/>
    </w:rPr>
  </w:style>
  <w:style w:type="paragraph" w:styleId="Index1">
    <w:name w:val="index 1"/>
    <w:next w:val="Normal"/>
    <w:rsid w:val="00041614"/>
    <w:pPr>
      <w:ind w:left="220" w:hanging="220"/>
    </w:pPr>
    <w:rPr>
      <w:sz w:val="22"/>
    </w:rPr>
  </w:style>
  <w:style w:type="paragraph" w:styleId="Index2">
    <w:name w:val="index 2"/>
    <w:next w:val="Normal"/>
    <w:rsid w:val="00041614"/>
    <w:pPr>
      <w:ind w:left="440" w:hanging="220"/>
    </w:pPr>
    <w:rPr>
      <w:sz w:val="22"/>
    </w:rPr>
  </w:style>
  <w:style w:type="paragraph" w:styleId="Index4">
    <w:name w:val="index 4"/>
    <w:next w:val="Normal"/>
    <w:rsid w:val="00041614"/>
    <w:pPr>
      <w:ind w:left="880" w:hanging="220"/>
    </w:pPr>
    <w:rPr>
      <w:sz w:val="22"/>
    </w:rPr>
  </w:style>
  <w:style w:type="paragraph" w:styleId="Index5">
    <w:name w:val="index 5"/>
    <w:next w:val="Normal"/>
    <w:rsid w:val="00041614"/>
    <w:pPr>
      <w:ind w:left="1100" w:hanging="220"/>
    </w:pPr>
    <w:rPr>
      <w:sz w:val="22"/>
    </w:rPr>
  </w:style>
  <w:style w:type="paragraph" w:styleId="Index6">
    <w:name w:val="index 6"/>
    <w:next w:val="Normal"/>
    <w:rsid w:val="00041614"/>
    <w:pPr>
      <w:ind w:left="1320" w:hanging="220"/>
    </w:pPr>
    <w:rPr>
      <w:sz w:val="22"/>
    </w:rPr>
  </w:style>
  <w:style w:type="paragraph" w:styleId="Index7">
    <w:name w:val="index 7"/>
    <w:next w:val="Normal"/>
    <w:rsid w:val="00041614"/>
    <w:pPr>
      <w:ind w:left="1540" w:hanging="220"/>
    </w:pPr>
    <w:rPr>
      <w:sz w:val="22"/>
    </w:rPr>
  </w:style>
  <w:style w:type="paragraph" w:styleId="Index8">
    <w:name w:val="index 8"/>
    <w:next w:val="Normal"/>
    <w:rsid w:val="00041614"/>
    <w:pPr>
      <w:ind w:left="1760" w:hanging="220"/>
    </w:pPr>
    <w:rPr>
      <w:sz w:val="22"/>
    </w:rPr>
  </w:style>
  <w:style w:type="paragraph" w:styleId="Index9">
    <w:name w:val="index 9"/>
    <w:next w:val="Normal"/>
    <w:rsid w:val="00041614"/>
    <w:pPr>
      <w:ind w:left="1980" w:hanging="220"/>
    </w:pPr>
    <w:rPr>
      <w:sz w:val="22"/>
    </w:rPr>
  </w:style>
  <w:style w:type="paragraph" w:styleId="IndexHeading">
    <w:name w:val="index heading"/>
    <w:next w:val="Index1"/>
    <w:rsid w:val="00041614"/>
    <w:rPr>
      <w:rFonts w:ascii="Arial" w:hAnsi="Arial" w:cs="Arial"/>
      <w:b/>
      <w:bCs/>
      <w:sz w:val="22"/>
    </w:rPr>
  </w:style>
  <w:style w:type="paragraph" w:styleId="MacroText">
    <w:name w:val="macro"/>
    <w:link w:val="MacroTextChar"/>
    <w:rsid w:val="0004161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20"/>
      <w:szCs w:val="20"/>
    </w:rPr>
  </w:style>
  <w:style w:type="character" w:customStyle="1" w:styleId="MacroTextChar">
    <w:name w:val="Macro Text Char"/>
    <w:basedOn w:val="DefaultParagraphFont"/>
    <w:link w:val="MacroText"/>
    <w:rsid w:val="00041614"/>
    <w:rPr>
      <w:rFonts w:ascii="Courier New" w:hAnsi="Courier New" w:cs="Courier New"/>
      <w:sz w:val="20"/>
      <w:szCs w:val="20"/>
    </w:rPr>
  </w:style>
  <w:style w:type="paragraph" w:styleId="TableofAuthorities">
    <w:name w:val="table of authorities"/>
    <w:next w:val="Normal"/>
    <w:rsid w:val="00041614"/>
    <w:pPr>
      <w:ind w:left="220" w:hanging="220"/>
    </w:pPr>
    <w:rPr>
      <w:sz w:val="22"/>
    </w:rPr>
  </w:style>
  <w:style w:type="paragraph" w:customStyle="1" w:styleId="noteToPara">
    <w:name w:val="noteToPara"/>
    <w:aliases w:val="ntp"/>
    <w:basedOn w:val="OPCParaBase"/>
    <w:rsid w:val="00041614"/>
    <w:pPr>
      <w:spacing w:before="122" w:line="198" w:lineRule="exact"/>
      <w:ind w:left="2353" w:hanging="709"/>
    </w:pPr>
    <w:rPr>
      <w:sz w:val="18"/>
    </w:rPr>
  </w:style>
  <w:style w:type="paragraph" w:customStyle="1" w:styleId="Tabletext">
    <w:name w:val="Tabletext"/>
    <w:aliases w:val="tt"/>
    <w:basedOn w:val="OPCParaBase"/>
    <w:rsid w:val="00041614"/>
    <w:pPr>
      <w:spacing w:before="60" w:line="240" w:lineRule="atLeast"/>
    </w:pPr>
    <w:rPr>
      <w:sz w:val="20"/>
    </w:rPr>
  </w:style>
  <w:style w:type="paragraph" w:customStyle="1" w:styleId="WRStyle">
    <w:name w:val="WR Style"/>
    <w:aliases w:val="WR"/>
    <w:basedOn w:val="OPCParaBase"/>
    <w:rsid w:val="00041614"/>
    <w:pPr>
      <w:spacing w:before="240" w:line="240" w:lineRule="auto"/>
      <w:ind w:left="284" w:hanging="284"/>
    </w:pPr>
    <w:rPr>
      <w:b/>
      <w:i/>
      <w:kern w:val="28"/>
      <w:sz w:val="24"/>
    </w:rPr>
  </w:style>
  <w:style w:type="paragraph" w:customStyle="1" w:styleId="ActHead2">
    <w:name w:val="ActHead 2"/>
    <w:aliases w:val="p"/>
    <w:basedOn w:val="OPCParaBase"/>
    <w:next w:val="Heading3"/>
    <w:qFormat/>
    <w:rsid w:val="00041614"/>
    <w:pPr>
      <w:keepNext/>
      <w:keepLines/>
      <w:spacing w:before="280" w:line="240" w:lineRule="auto"/>
      <w:ind w:left="1134" w:hanging="1134"/>
      <w:outlineLvl w:val="1"/>
    </w:pPr>
    <w:rPr>
      <w:b/>
      <w:kern w:val="28"/>
      <w:sz w:val="32"/>
    </w:rPr>
  </w:style>
  <w:style w:type="paragraph" w:customStyle="1" w:styleId="ActHead4">
    <w:name w:val="ActHead 4"/>
    <w:aliases w:val="sd"/>
    <w:basedOn w:val="OPCParaBase"/>
    <w:next w:val="Heading5"/>
    <w:qFormat/>
    <w:rsid w:val="00041614"/>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0416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16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16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161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041614"/>
    <w:pPr>
      <w:spacing w:line="240" w:lineRule="auto"/>
    </w:pPr>
    <w:rPr>
      <w:sz w:val="24"/>
    </w:rPr>
  </w:style>
  <w:style w:type="character" w:customStyle="1" w:styleId="CharBoldItalic">
    <w:name w:val="CharBoldItalic"/>
    <w:basedOn w:val="OPCCharBase"/>
    <w:uiPriority w:val="1"/>
    <w:qFormat/>
    <w:rsid w:val="00041614"/>
    <w:rPr>
      <w:b/>
      <w:i/>
    </w:rPr>
  </w:style>
  <w:style w:type="character" w:customStyle="1" w:styleId="CharItalic">
    <w:name w:val="CharItalic"/>
    <w:basedOn w:val="OPCCharBase"/>
    <w:uiPriority w:val="1"/>
    <w:qFormat/>
    <w:rsid w:val="00041614"/>
    <w:rPr>
      <w:i/>
    </w:rPr>
  </w:style>
  <w:style w:type="paragraph" w:customStyle="1" w:styleId="CTA-">
    <w:name w:val="CTA -"/>
    <w:basedOn w:val="OPCParaBase"/>
    <w:rsid w:val="00041614"/>
    <w:pPr>
      <w:spacing w:before="60" w:line="240" w:lineRule="atLeast"/>
      <w:ind w:left="85" w:hanging="85"/>
    </w:pPr>
    <w:rPr>
      <w:sz w:val="20"/>
    </w:rPr>
  </w:style>
  <w:style w:type="paragraph" w:customStyle="1" w:styleId="CTA--">
    <w:name w:val="CTA --"/>
    <w:basedOn w:val="OPCParaBase"/>
    <w:next w:val="Normal"/>
    <w:rsid w:val="00041614"/>
    <w:pPr>
      <w:spacing w:before="60" w:line="240" w:lineRule="atLeast"/>
      <w:ind w:left="142" w:hanging="142"/>
    </w:pPr>
    <w:rPr>
      <w:sz w:val="20"/>
    </w:rPr>
  </w:style>
  <w:style w:type="paragraph" w:customStyle="1" w:styleId="CTA---">
    <w:name w:val="CTA ---"/>
    <w:basedOn w:val="OPCParaBase"/>
    <w:next w:val="Normal"/>
    <w:rsid w:val="00041614"/>
    <w:pPr>
      <w:spacing w:before="60" w:line="240" w:lineRule="atLeast"/>
      <w:ind w:left="198" w:hanging="198"/>
    </w:pPr>
    <w:rPr>
      <w:sz w:val="20"/>
    </w:rPr>
  </w:style>
  <w:style w:type="paragraph" w:customStyle="1" w:styleId="CTA----">
    <w:name w:val="CTA ----"/>
    <w:basedOn w:val="OPCParaBase"/>
    <w:next w:val="Normal"/>
    <w:rsid w:val="00041614"/>
    <w:pPr>
      <w:spacing w:before="60" w:line="240" w:lineRule="atLeast"/>
      <w:ind w:left="255" w:hanging="255"/>
    </w:pPr>
    <w:rPr>
      <w:sz w:val="20"/>
    </w:rPr>
  </w:style>
  <w:style w:type="paragraph" w:customStyle="1" w:styleId="CTA1a">
    <w:name w:val="CTA 1(a)"/>
    <w:basedOn w:val="OPCParaBase"/>
    <w:rsid w:val="00041614"/>
    <w:pPr>
      <w:tabs>
        <w:tab w:val="right" w:pos="414"/>
      </w:tabs>
      <w:spacing w:before="40" w:line="240" w:lineRule="atLeast"/>
      <w:ind w:left="675" w:hanging="675"/>
    </w:pPr>
    <w:rPr>
      <w:sz w:val="20"/>
    </w:rPr>
  </w:style>
  <w:style w:type="paragraph" w:customStyle="1" w:styleId="CTA1ai">
    <w:name w:val="CTA 1(a)(i)"/>
    <w:basedOn w:val="OPCParaBase"/>
    <w:rsid w:val="00041614"/>
    <w:pPr>
      <w:tabs>
        <w:tab w:val="right" w:pos="1004"/>
      </w:tabs>
      <w:spacing w:before="40" w:line="240" w:lineRule="atLeast"/>
      <w:ind w:left="1253" w:hanging="1253"/>
    </w:pPr>
    <w:rPr>
      <w:sz w:val="20"/>
    </w:rPr>
  </w:style>
  <w:style w:type="paragraph" w:customStyle="1" w:styleId="CTA2a">
    <w:name w:val="CTA 2(a)"/>
    <w:basedOn w:val="OPCParaBase"/>
    <w:rsid w:val="00041614"/>
    <w:pPr>
      <w:tabs>
        <w:tab w:val="right" w:pos="482"/>
      </w:tabs>
      <w:spacing w:before="40" w:line="240" w:lineRule="atLeast"/>
      <w:ind w:left="748" w:hanging="748"/>
    </w:pPr>
    <w:rPr>
      <w:sz w:val="20"/>
    </w:rPr>
  </w:style>
  <w:style w:type="paragraph" w:customStyle="1" w:styleId="CTA2ai">
    <w:name w:val="CTA 2(a)(i)"/>
    <w:basedOn w:val="OPCParaBase"/>
    <w:rsid w:val="00041614"/>
    <w:pPr>
      <w:tabs>
        <w:tab w:val="right" w:pos="1089"/>
      </w:tabs>
      <w:spacing w:before="40" w:line="240" w:lineRule="atLeast"/>
      <w:ind w:left="1327" w:hanging="1327"/>
    </w:pPr>
    <w:rPr>
      <w:sz w:val="20"/>
    </w:rPr>
  </w:style>
  <w:style w:type="paragraph" w:customStyle="1" w:styleId="CTA3a">
    <w:name w:val="CTA 3(a)"/>
    <w:basedOn w:val="OPCParaBase"/>
    <w:rsid w:val="00041614"/>
    <w:pPr>
      <w:tabs>
        <w:tab w:val="right" w:pos="556"/>
      </w:tabs>
      <w:spacing w:before="40" w:line="240" w:lineRule="atLeast"/>
      <w:ind w:left="805" w:hanging="805"/>
    </w:pPr>
    <w:rPr>
      <w:sz w:val="20"/>
    </w:rPr>
  </w:style>
  <w:style w:type="paragraph" w:customStyle="1" w:styleId="CTA3ai">
    <w:name w:val="CTA 3(a)(i)"/>
    <w:basedOn w:val="OPCParaBase"/>
    <w:rsid w:val="00041614"/>
    <w:pPr>
      <w:tabs>
        <w:tab w:val="right" w:pos="1140"/>
      </w:tabs>
      <w:spacing w:before="40" w:line="240" w:lineRule="atLeast"/>
      <w:ind w:left="1361" w:hanging="1361"/>
    </w:pPr>
    <w:rPr>
      <w:sz w:val="20"/>
    </w:rPr>
  </w:style>
  <w:style w:type="paragraph" w:customStyle="1" w:styleId="CTA4a">
    <w:name w:val="CTA 4(a)"/>
    <w:basedOn w:val="OPCParaBase"/>
    <w:rsid w:val="00041614"/>
    <w:pPr>
      <w:tabs>
        <w:tab w:val="right" w:pos="624"/>
      </w:tabs>
      <w:spacing w:before="40" w:line="240" w:lineRule="atLeast"/>
      <w:ind w:left="873" w:hanging="873"/>
    </w:pPr>
    <w:rPr>
      <w:sz w:val="20"/>
    </w:rPr>
  </w:style>
  <w:style w:type="paragraph" w:customStyle="1" w:styleId="CTA4ai">
    <w:name w:val="CTA 4(a)(i)"/>
    <w:basedOn w:val="OPCParaBase"/>
    <w:rsid w:val="00041614"/>
    <w:pPr>
      <w:tabs>
        <w:tab w:val="right" w:pos="1213"/>
      </w:tabs>
      <w:spacing w:before="40" w:line="240" w:lineRule="atLeast"/>
      <w:ind w:left="1452" w:hanging="1452"/>
    </w:pPr>
    <w:rPr>
      <w:sz w:val="20"/>
    </w:rPr>
  </w:style>
  <w:style w:type="paragraph" w:customStyle="1" w:styleId="CTACAPS">
    <w:name w:val="CTA CAPS"/>
    <w:basedOn w:val="OPCParaBase"/>
    <w:rsid w:val="00041614"/>
    <w:pPr>
      <w:spacing w:before="60" w:line="240" w:lineRule="atLeast"/>
    </w:pPr>
    <w:rPr>
      <w:sz w:val="20"/>
    </w:rPr>
  </w:style>
  <w:style w:type="paragraph" w:customStyle="1" w:styleId="CTAright">
    <w:name w:val="CTA right"/>
    <w:basedOn w:val="OPCParaBase"/>
    <w:rsid w:val="00041614"/>
    <w:pPr>
      <w:spacing w:before="60" w:line="240" w:lineRule="auto"/>
      <w:jc w:val="right"/>
    </w:pPr>
    <w:rPr>
      <w:sz w:val="20"/>
    </w:rPr>
  </w:style>
  <w:style w:type="paragraph" w:customStyle="1" w:styleId="House">
    <w:name w:val="House"/>
    <w:basedOn w:val="OPCParaBase"/>
    <w:rsid w:val="00041614"/>
    <w:pPr>
      <w:spacing w:line="240" w:lineRule="auto"/>
    </w:pPr>
    <w:rPr>
      <w:sz w:val="28"/>
    </w:rPr>
  </w:style>
  <w:style w:type="paragraph" w:customStyle="1" w:styleId="Portfolio">
    <w:name w:val="Portfolio"/>
    <w:basedOn w:val="OPCParaBase"/>
    <w:rsid w:val="00041614"/>
    <w:pPr>
      <w:spacing w:line="240" w:lineRule="auto"/>
    </w:pPr>
    <w:rPr>
      <w:i/>
      <w:sz w:val="20"/>
    </w:rPr>
  </w:style>
  <w:style w:type="paragraph" w:customStyle="1" w:styleId="Reading">
    <w:name w:val="Reading"/>
    <w:basedOn w:val="OPCParaBase"/>
    <w:rsid w:val="00041614"/>
    <w:pPr>
      <w:spacing w:line="240" w:lineRule="auto"/>
    </w:pPr>
    <w:rPr>
      <w:i/>
      <w:sz w:val="20"/>
    </w:rPr>
  </w:style>
  <w:style w:type="paragraph" w:customStyle="1" w:styleId="Session">
    <w:name w:val="Session"/>
    <w:basedOn w:val="OPCParaBase"/>
    <w:rsid w:val="00041614"/>
    <w:pPr>
      <w:spacing w:line="240" w:lineRule="auto"/>
    </w:pPr>
    <w:rPr>
      <w:sz w:val="28"/>
    </w:rPr>
  </w:style>
  <w:style w:type="paragraph" w:customStyle="1" w:styleId="Sponsor">
    <w:name w:val="Sponsor"/>
    <w:basedOn w:val="OPCParaBase"/>
    <w:rsid w:val="00041614"/>
    <w:pPr>
      <w:spacing w:line="240" w:lineRule="auto"/>
    </w:pPr>
    <w:rPr>
      <w:i/>
    </w:rPr>
  </w:style>
  <w:style w:type="character" w:customStyle="1" w:styleId="Heading2Char">
    <w:name w:val="Heading 2 Char"/>
    <w:basedOn w:val="DefaultParagraphFont"/>
    <w:link w:val="Heading2"/>
    <w:rsid w:val="00041614"/>
    <w:rPr>
      <w:rFonts w:ascii="Arial" w:hAnsi="Arial" w:cs="Arial"/>
      <w:b/>
      <w:bCs/>
      <w:iCs/>
      <w:sz w:val="28"/>
      <w:szCs w:val="28"/>
    </w:rPr>
  </w:style>
  <w:style w:type="character" w:customStyle="1" w:styleId="Heading4Char">
    <w:name w:val="Heading 4 Char"/>
    <w:basedOn w:val="DefaultParagraphFont"/>
    <w:link w:val="Heading4"/>
    <w:rsid w:val="00041614"/>
    <w:rPr>
      <w:b/>
      <w:bCs/>
      <w:sz w:val="28"/>
      <w:szCs w:val="28"/>
    </w:rPr>
  </w:style>
  <w:style w:type="character" w:customStyle="1" w:styleId="Heading6Char">
    <w:name w:val="Heading 6 Char"/>
    <w:basedOn w:val="DefaultParagraphFont"/>
    <w:link w:val="Heading6"/>
    <w:rsid w:val="00041614"/>
    <w:rPr>
      <w:b/>
      <w:bCs/>
      <w:sz w:val="22"/>
      <w:szCs w:val="22"/>
    </w:rPr>
  </w:style>
  <w:style w:type="character" w:customStyle="1" w:styleId="Heading7Char">
    <w:name w:val="Heading 7 Char"/>
    <w:basedOn w:val="DefaultParagraphFont"/>
    <w:link w:val="Heading7"/>
    <w:rsid w:val="00041614"/>
  </w:style>
  <w:style w:type="character" w:customStyle="1" w:styleId="Heading8Char">
    <w:name w:val="Heading 8 Char"/>
    <w:basedOn w:val="DefaultParagraphFont"/>
    <w:link w:val="Heading8"/>
    <w:rsid w:val="00041614"/>
    <w:rPr>
      <w:i/>
      <w:iCs/>
    </w:rPr>
  </w:style>
  <w:style w:type="character" w:customStyle="1" w:styleId="Heading9Char">
    <w:name w:val="Heading 9 Char"/>
    <w:basedOn w:val="DefaultParagraphFont"/>
    <w:link w:val="Heading9"/>
    <w:rsid w:val="00041614"/>
    <w:rPr>
      <w:rFonts w:ascii="Arial" w:hAnsi="Arial" w:cs="Arial"/>
      <w:sz w:val="22"/>
      <w:szCs w:val="22"/>
    </w:rPr>
  </w:style>
  <w:style w:type="character" w:customStyle="1" w:styleId="ItemHeadChar">
    <w:name w:val="ItemHead Char"/>
    <w:aliases w:val="ih Char"/>
    <w:basedOn w:val="DefaultParagraphFont"/>
    <w:link w:val="ItemHead"/>
    <w:rsid w:val="00041614"/>
    <w:rPr>
      <w:rFonts w:ascii="Arial" w:hAnsi="Arial"/>
      <w:b/>
      <w:kern w:val="28"/>
      <w:szCs w:val="20"/>
    </w:rPr>
  </w:style>
  <w:style w:type="table" w:customStyle="1" w:styleId="CFlag">
    <w:name w:val="CFlag"/>
    <w:basedOn w:val="TableNormal"/>
    <w:uiPriority w:val="99"/>
    <w:rsid w:val="00041614"/>
    <w:rPr>
      <w:sz w:val="20"/>
      <w:szCs w:val="20"/>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416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1614"/>
    <w:pPr>
      <w:pBdr>
        <w:top w:val="single" w:sz="4" w:space="1" w:color="auto"/>
      </w:pBdr>
      <w:spacing w:before="360"/>
      <w:ind w:right="397"/>
      <w:jc w:val="both"/>
    </w:pPr>
  </w:style>
  <w:style w:type="paragraph" w:customStyle="1" w:styleId="ENotesHeading1">
    <w:name w:val="ENotesHeading 1"/>
    <w:aliases w:val="Enh1"/>
    <w:basedOn w:val="OPCParaBase"/>
    <w:next w:val="Normal"/>
    <w:rsid w:val="00041614"/>
    <w:pPr>
      <w:spacing w:before="120"/>
      <w:outlineLvl w:val="1"/>
    </w:pPr>
    <w:rPr>
      <w:b/>
      <w:sz w:val="28"/>
      <w:szCs w:val="28"/>
    </w:rPr>
  </w:style>
  <w:style w:type="paragraph" w:customStyle="1" w:styleId="ENotesHeading2">
    <w:name w:val="ENotesHeading 2"/>
    <w:aliases w:val="Enh2"/>
    <w:basedOn w:val="OPCParaBase"/>
    <w:next w:val="Normal"/>
    <w:rsid w:val="00041614"/>
    <w:pPr>
      <w:spacing w:before="120" w:after="120"/>
      <w:outlineLvl w:val="2"/>
    </w:pPr>
    <w:rPr>
      <w:b/>
      <w:sz w:val="24"/>
      <w:szCs w:val="28"/>
    </w:rPr>
  </w:style>
  <w:style w:type="paragraph" w:customStyle="1" w:styleId="CompiledActNo">
    <w:name w:val="CompiledActNo"/>
    <w:basedOn w:val="OPCParaBase"/>
    <w:next w:val="Normal"/>
    <w:rsid w:val="00041614"/>
    <w:rPr>
      <w:b/>
      <w:sz w:val="24"/>
      <w:szCs w:val="24"/>
    </w:rPr>
  </w:style>
  <w:style w:type="paragraph" w:customStyle="1" w:styleId="ENotesText">
    <w:name w:val="ENotesText"/>
    <w:aliases w:val="Ent,ENt"/>
    <w:basedOn w:val="OPCParaBase"/>
    <w:next w:val="Normal"/>
    <w:rsid w:val="00041614"/>
    <w:pPr>
      <w:spacing w:before="120"/>
    </w:pPr>
  </w:style>
  <w:style w:type="paragraph" w:customStyle="1" w:styleId="CompiledMadeUnder">
    <w:name w:val="CompiledMadeUnder"/>
    <w:basedOn w:val="OPCParaBase"/>
    <w:next w:val="Normal"/>
    <w:rsid w:val="00041614"/>
    <w:rPr>
      <w:i/>
      <w:sz w:val="24"/>
      <w:szCs w:val="24"/>
    </w:rPr>
  </w:style>
  <w:style w:type="paragraph" w:customStyle="1" w:styleId="Paragraphsub-sub-sub">
    <w:name w:val="Paragraph(sub-sub-sub)"/>
    <w:aliases w:val="aaaa"/>
    <w:basedOn w:val="OPCParaBase"/>
    <w:rsid w:val="000416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416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16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16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16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41614"/>
    <w:pPr>
      <w:spacing w:before="60" w:after="0" w:line="240" w:lineRule="auto"/>
    </w:pPr>
    <w:rPr>
      <w:rFonts w:ascii="Times New Roman" w:eastAsia="Calibri" w:hAnsi="Times New Roman" w:cs="Arial"/>
      <w:szCs w:val="22"/>
      <w:lang w:eastAsia="en-US"/>
    </w:rPr>
  </w:style>
  <w:style w:type="paragraph" w:customStyle="1" w:styleId="ActHead10">
    <w:name w:val="ActHead 10"/>
    <w:aliases w:val="sp"/>
    <w:basedOn w:val="OPCParaBase"/>
    <w:next w:val="Heading3"/>
    <w:rsid w:val="00041614"/>
    <w:pPr>
      <w:keepNext/>
      <w:spacing w:before="280" w:line="240" w:lineRule="auto"/>
      <w:outlineLvl w:val="1"/>
    </w:pPr>
    <w:rPr>
      <w:b/>
      <w:sz w:val="32"/>
      <w:szCs w:val="30"/>
    </w:rPr>
  </w:style>
  <w:style w:type="paragraph" w:customStyle="1" w:styleId="TableHeading0">
    <w:name w:val="TableHeading"/>
    <w:aliases w:val="th"/>
    <w:basedOn w:val="OPCParaBase"/>
    <w:next w:val="Tabletext"/>
    <w:rsid w:val="00041614"/>
    <w:pPr>
      <w:keepNext/>
      <w:spacing w:before="60" w:line="240" w:lineRule="atLeast"/>
    </w:pPr>
    <w:rPr>
      <w:b/>
      <w:sz w:val="20"/>
    </w:rPr>
  </w:style>
  <w:style w:type="paragraph" w:customStyle="1" w:styleId="NoteToSubpara">
    <w:name w:val="NoteToSubpara"/>
    <w:aliases w:val="nts"/>
    <w:basedOn w:val="OPCParaBase"/>
    <w:rsid w:val="00041614"/>
    <w:pPr>
      <w:spacing w:before="40" w:line="198" w:lineRule="exact"/>
      <w:ind w:left="2835" w:hanging="709"/>
    </w:pPr>
    <w:rPr>
      <w:sz w:val="18"/>
    </w:rPr>
  </w:style>
  <w:style w:type="paragraph" w:customStyle="1" w:styleId="ENoteTableHeading">
    <w:name w:val="ENoteTableHeading"/>
    <w:aliases w:val="enth"/>
    <w:basedOn w:val="OPCParaBase"/>
    <w:rsid w:val="00041614"/>
    <w:pPr>
      <w:keepNext/>
      <w:spacing w:before="60" w:line="240" w:lineRule="atLeast"/>
    </w:pPr>
    <w:rPr>
      <w:rFonts w:ascii="Arial" w:hAnsi="Arial"/>
      <w:b/>
      <w:sz w:val="16"/>
    </w:rPr>
  </w:style>
  <w:style w:type="paragraph" w:customStyle="1" w:styleId="ENoteTTi">
    <w:name w:val="ENoteTTi"/>
    <w:aliases w:val="entti"/>
    <w:basedOn w:val="OPCParaBase"/>
    <w:rsid w:val="00041614"/>
    <w:pPr>
      <w:keepNext/>
      <w:spacing w:before="60" w:line="240" w:lineRule="atLeast"/>
      <w:ind w:left="170"/>
    </w:pPr>
    <w:rPr>
      <w:sz w:val="16"/>
    </w:rPr>
  </w:style>
  <w:style w:type="paragraph" w:customStyle="1" w:styleId="ENoteTTIndentHeading">
    <w:name w:val="ENoteTTIndentHeading"/>
    <w:aliases w:val="enTTHi"/>
    <w:basedOn w:val="OPCParaBase"/>
    <w:rsid w:val="000416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1614"/>
    <w:pPr>
      <w:spacing w:before="60" w:line="240" w:lineRule="atLeast"/>
    </w:pPr>
    <w:rPr>
      <w:sz w:val="16"/>
    </w:rPr>
  </w:style>
  <w:style w:type="paragraph" w:customStyle="1" w:styleId="MadeunderText">
    <w:name w:val="MadeunderText"/>
    <w:basedOn w:val="OPCParaBase"/>
    <w:next w:val="CompiledMadeUnder"/>
    <w:rsid w:val="00041614"/>
    <w:pPr>
      <w:spacing w:before="240"/>
    </w:pPr>
    <w:rPr>
      <w:sz w:val="24"/>
      <w:szCs w:val="24"/>
    </w:rPr>
  </w:style>
  <w:style w:type="paragraph" w:customStyle="1" w:styleId="ENotesHeading3">
    <w:name w:val="ENotesHeading 3"/>
    <w:aliases w:val="Enh3"/>
    <w:basedOn w:val="OPCParaBase"/>
    <w:next w:val="Normal"/>
    <w:rsid w:val="00041614"/>
    <w:pPr>
      <w:keepNext/>
      <w:spacing w:before="120" w:line="240" w:lineRule="auto"/>
      <w:outlineLvl w:val="4"/>
    </w:pPr>
    <w:rPr>
      <w:b/>
      <w:szCs w:val="24"/>
    </w:rPr>
  </w:style>
  <w:style w:type="paragraph" w:customStyle="1" w:styleId="SubPartCASA">
    <w:name w:val="SubPart(CASA)"/>
    <w:aliases w:val="csp"/>
    <w:basedOn w:val="OPCParaBase"/>
    <w:next w:val="Heading3"/>
    <w:rsid w:val="00041614"/>
    <w:pPr>
      <w:keepNext/>
      <w:keepLines/>
      <w:spacing w:before="280"/>
      <w:outlineLvl w:val="1"/>
    </w:pPr>
    <w:rPr>
      <w:b/>
      <w:kern w:val="28"/>
      <w:sz w:val="32"/>
    </w:rPr>
  </w:style>
  <w:style w:type="paragraph" w:customStyle="1" w:styleId="SOText">
    <w:name w:val="SO Text"/>
    <w:aliases w:val="sot"/>
    <w:link w:val="SOTextChar"/>
    <w:rsid w:val="00041614"/>
    <w:pPr>
      <w:pBdr>
        <w:top w:val="single" w:sz="6" w:space="5" w:color="auto"/>
        <w:left w:val="single" w:sz="6" w:space="5" w:color="auto"/>
        <w:bottom w:val="single" w:sz="6" w:space="5" w:color="auto"/>
        <w:right w:val="single" w:sz="6" w:space="5" w:color="auto"/>
      </w:pBdr>
      <w:spacing w:before="240"/>
      <w:ind w:left="1134"/>
    </w:pPr>
    <w:rPr>
      <w:rFonts w:eastAsia="Calibri"/>
      <w:sz w:val="22"/>
      <w:szCs w:val="20"/>
      <w:lang w:eastAsia="en-US"/>
    </w:rPr>
  </w:style>
  <w:style w:type="character" w:customStyle="1" w:styleId="SOTextChar">
    <w:name w:val="SO Text Char"/>
    <w:aliases w:val="sot Char"/>
    <w:basedOn w:val="DefaultParagraphFont"/>
    <w:link w:val="SOText"/>
    <w:rsid w:val="00041614"/>
    <w:rPr>
      <w:rFonts w:eastAsia="Calibri"/>
      <w:sz w:val="22"/>
      <w:szCs w:val="20"/>
      <w:lang w:eastAsia="en-US"/>
    </w:rPr>
  </w:style>
  <w:style w:type="paragraph" w:customStyle="1" w:styleId="SOTextNote">
    <w:name w:val="SO TextNote"/>
    <w:aliases w:val="sont"/>
    <w:basedOn w:val="SOText"/>
    <w:qFormat/>
    <w:rsid w:val="00041614"/>
    <w:pPr>
      <w:spacing w:before="122" w:line="198" w:lineRule="exact"/>
      <w:ind w:left="1843" w:hanging="709"/>
    </w:pPr>
    <w:rPr>
      <w:sz w:val="18"/>
    </w:rPr>
  </w:style>
  <w:style w:type="paragraph" w:customStyle="1" w:styleId="SOPara">
    <w:name w:val="SO Para"/>
    <w:aliases w:val="soa"/>
    <w:basedOn w:val="SOText"/>
    <w:link w:val="SOParaChar"/>
    <w:qFormat/>
    <w:rsid w:val="00041614"/>
    <w:pPr>
      <w:tabs>
        <w:tab w:val="right" w:pos="1786"/>
      </w:tabs>
      <w:spacing w:before="40"/>
      <w:ind w:left="2070" w:hanging="936"/>
    </w:pPr>
  </w:style>
  <w:style w:type="character" w:customStyle="1" w:styleId="SOParaChar">
    <w:name w:val="SO Para Char"/>
    <w:aliases w:val="soa Char"/>
    <w:basedOn w:val="DefaultParagraphFont"/>
    <w:link w:val="SOPara"/>
    <w:rsid w:val="00041614"/>
    <w:rPr>
      <w:rFonts w:eastAsia="Calibri"/>
      <w:sz w:val="22"/>
      <w:szCs w:val="20"/>
      <w:lang w:eastAsia="en-US"/>
    </w:rPr>
  </w:style>
  <w:style w:type="paragraph" w:customStyle="1" w:styleId="FileName">
    <w:name w:val="FileName"/>
    <w:basedOn w:val="Normal"/>
    <w:rsid w:val="00041614"/>
    <w:pPr>
      <w:spacing w:after="0" w:line="260" w:lineRule="atLeast"/>
    </w:pPr>
    <w:rPr>
      <w:rFonts w:ascii="Times New Roman" w:eastAsia="Calibri" w:hAnsi="Times New Roman"/>
      <w:sz w:val="22"/>
      <w:szCs w:val="20"/>
      <w:lang w:eastAsia="en-US"/>
    </w:rPr>
  </w:style>
  <w:style w:type="paragraph" w:customStyle="1" w:styleId="SOHeadBold">
    <w:name w:val="SO HeadBold"/>
    <w:aliases w:val="sohb"/>
    <w:basedOn w:val="SOText"/>
    <w:next w:val="SOText"/>
    <w:link w:val="SOHeadBoldChar"/>
    <w:qFormat/>
    <w:rsid w:val="00041614"/>
    <w:rPr>
      <w:b/>
    </w:rPr>
  </w:style>
  <w:style w:type="character" w:customStyle="1" w:styleId="SOHeadBoldChar">
    <w:name w:val="SO HeadBold Char"/>
    <w:aliases w:val="sohb Char"/>
    <w:basedOn w:val="DefaultParagraphFont"/>
    <w:link w:val="SOHeadBold"/>
    <w:rsid w:val="00041614"/>
    <w:rPr>
      <w:rFonts w:eastAsia="Calibri"/>
      <w:b/>
      <w:sz w:val="22"/>
      <w:szCs w:val="20"/>
      <w:lang w:eastAsia="en-US"/>
    </w:rPr>
  </w:style>
  <w:style w:type="paragraph" w:customStyle="1" w:styleId="SOHeadItalic">
    <w:name w:val="SO HeadItalic"/>
    <w:aliases w:val="sohi"/>
    <w:basedOn w:val="SOText"/>
    <w:next w:val="SOText"/>
    <w:link w:val="SOHeadItalicChar"/>
    <w:qFormat/>
    <w:rsid w:val="00041614"/>
    <w:rPr>
      <w:i/>
    </w:rPr>
  </w:style>
  <w:style w:type="character" w:customStyle="1" w:styleId="SOHeadItalicChar">
    <w:name w:val="SO HeadItalic Char"/>
    <w:aliases w:val="sohi Char"/>
    <w:basedOn w:val="DefaultParagraphFont"/>
    <w:link w:val="SOHeadItalic"/>
    <w:rsid w:val="00041614"/>
    <w:rPr>
      <w:rFonts w:eastAsia="Calibri"/>
      <w:i/>
      <w:sz w:val="22"/>
      <w:szCs w:val="20"/>
      <w:lang w:eastAsia="en-US"/>
    </w:rPr>
  </w:style>
  <w:style w:type="paragraph" w:customStyle="1" w:styleId="SOBullet">
    <w:name w:val="SO Bullet"/>
    <w:aliases w:val="sotb"/>
    <w:basedOn w:val="SOText"/>
    <w:link w:val="SOBulletChar"/>
    <w:qFormat/>
    <w:rsid w:val="00041614"/>
    <w:pPr>
      <w:ind w:left="1559" w:hanging="425"/>
    </w:pPr>
  </w:style>
  <w:style w:type="character" w:customStyle="1" w:styleId="SOBulletChar">
    <w:name w:val="SO Bullet Char"/>
    <w:aliases w:val="sotb Char"/>
    <w:basedOn w:val="DefaultParagraphFont"/>
    <w:link w:val="SOBullet"/>
    <w:rsid w:val="00041614"/>
    <w:rPr>
      <w:rFonts w:eastAsia="Calibri"/>
      <w:sz w:val="22"/>
      <w:szCs w:val="20"/>
      <w:lang w:eastAsia="en-US"/>
    </w:rPr>
  </w:style>
  <w:style w:type="paragraph" w:customStyle="1" w:styleId="SOBulletNote">
    <w:name w:val="SO BulletNote"/>
    <w:aliases w:val="sonb"/>
    <w:basedOn w:val="SOTextNote"/>
    <w:link w:val="SOBulletNoteChar"/>
    <w:qFormat/>
    <w:rsid w:val="00041614"/>
    <w:pPr>
      <w:tabs>
        <w:tab w:val="left" w:pos="1560"/>
      </w:tabs>
      <w:ind w:left="2268" w:hanging="1134"/>
    </w:pPr>
  </w:style>
  <w:style w:type="character" w:customStyle="1" w:styleId="SOBulletNoteChar">
    <w:name w:val="SO BulletNote Char"/>
    <w:aliases w:val="sonb Char"/>
    <w:basedOn w:val="DefaultParagraphFont"/>
    <w:link w:val="SOBulletNote"/>
    <w:rsid w:val="00041614"/>
    <w:rPr>
      <w:rFonts w:eastAsia="Calibri"/>
      <w:sz w:val="18"/>
      <w:szCs w:val="20"/>
      <w:lang w:eastAsia="en-US"/>
    </w:rPr>
  </w:style>
  <w:style w:type="paragraph" w:customStyle="1" w:styleId="FreeForm">
    <w:name w:val="FreeForm"/>
    <w:rsid w:val="00041614"/>
    <w:rPr>
      <w:rFonts w:ascii="Arial" w:eastAsia="Calibri" w:hAnsi="Arial"/>
      <w:sz w:val="22"/>
      <w:szCs w:val="20"/>
      <w:lang w:eastAsia="en-US"/>
    </w:rPr>
  </w:style>
  <w:style w:type="character" w:customStyle="1" w:styleId="ACMABodyTextChar">
    <w:name w:val="ACMA Body Text Char"/>
    <w:link w:val="ACMABodyText"/>
    <w:locked/>
    <w:rsid w:val="00964D54"/>
    <w:rPr>
      <w:lang w:eastAsia="en-US"/>
    </w:rPr>
  </w:style>
  <w:style w:type="paragraph" w:customStyle="1" w:styleId="ACMABodyText">
    <w:name w:val="ACMA Body Text"/>
    <w:link w:val="ACMABodyTextChar"/>
    <w:rsid w:val="00964D54"/>
    <w:pPr>
      <w:suppressAutoHyphens/>
      <w:snapToGrid w:val="0"/>
      <w:spacing w:before="80" w:after="120" w:line="280" w:lineRule="atLeast"/>
    </w:pPr>
    <w:rPr>
      <w:lang w:eastAsia="en-US"/>
    </w:rPr>
  </w:style>
  <w:style w:type="paragraph" w:styleId="Revision">
    <w:name w:val="Revision"/>
    <w:hidden/>
    <w:semiHidden/>
    <w:rsid w:val="002613C7"/>
    <w:rPr>
      <w:rFonts w:ascii="Arial" w:hAnsi="Arial"/>
      <w:sz w:val="20"/>
    </w:rPr>
  </w:style>
  <w:style w:type="paragraph" w:customStyle="1" w:styleId="GridTable31">
    <w:name w:val="Grid Table 31"/>
    <w:basedOn w:val="Normal"/>
    <w:qFormat/>
    <w:rsid w:val="002613C7"/>
    <w:pPr>
      <w:spacing w:after="0" w:line="240" w:lineRule="auto"/>
    </w:pPr>
    <w:rPr>
      <w:b/>
      <w:color w:val="4D4D4F"/>
      <w:spacing w:val="-28"/>
      <w:sz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8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26" Type="http://schemas.openxmlformats.org/officeDocument/2006/relationships/hyperlink" Target="http://www.acma.gov.au/theACMA/guides-for-code-development" TargetMode="External"/><Relationship Id="rId39" Type="http://schemas.openxmlformats.org/officeDocument/2006/relationships/hyperlink" Target="mailto:tio@tio.com.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acma.gov.au/theACMA/Library/Corporate-library/Forms-and-registers/register-of-telecommunications-industry-codes-and-standards" TargetMode="External"/><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acma.gov.au/theACMA/Library/Corporate-library/Forms-and-registers/register-of-telecommunications-industry-codes-and-standards" TargetMode="External"/><Relationship Id="rId33" Type="http://schemas.openxmlformats.org/officeDocument/2006/relationships/hyperlink" Target="http://www.acma.gov.au" TargetMode="External"/><Relationship Id="rId38" Type="http://schemas.openxmlformats.org/officeDocument/2006/relationships/hyperlink" Target="http://www.oaic.gov.au" TargetMode="Externa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ombudsman.gov.au/pages/publications-and-media/better-practice-guides/complaint-handling.php" TargetMode="External"/><Relationship Id="rId41" Type="http://schemas.openxmlformats.org/officeDocument/2006/relationships/hyperlink" Target="http://cuttingredtape.gov.au/handbook/australian-government-guide-regu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acma.gov.au/" TargetMode="External"/><Relationship Id="rId32" Type="http://schemas.openxmlformats.org/officeDocument/2006/relationships/hyperlink" Target="http://www.acma.gov.au" TargetMode="External"/><Relationship Id="rId37" Type="http://schemas.openxmlformats.org/officeDocument/2006/relationships/hyperlink" Target="http://www.accc.gov.au" TargetMode="External"/><Relationship Id="rId40" Type="http://schemas.openxmlformats.org/officeDocument/2006/relationships/hyperlink" Target="file:///C:\Users\dmcclel\AppData\Local\Microsoft\Windows\Temporary%20Internet%20Files\Content.Outlook\EW8LMP87\www.tio.com.au"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accc.gov.au/publications/benchmarks-for-dispute-avoidance-resolution" TargetMode="External"/><Relationship Id="rId36" Type="http://schemas.openxmlformats.org/officeDocument/2006/relationships/hyperlink" Target="http://www.acma.gov.au"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acma.gov.au/Industry/Telco/Carriers-and-service-providers/Obligations/reimbursement-of-telecommunications-code-development-costs-i-acma"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ndinfo@acma.gov.au" TargetMode="External"/><Relationship Id="rId22" Type="http://schemas.openxmlformats.org/officeDocument/2006/relationships/footer" Target="footer5.xml"/><Relationship Id="rId27" Type="http://schemas.openxmlformats.org/officeDocument/2006/relationships/hyperlink" Target="http://www.accc.gov.au" TargetMode="External"/><Relationship Id="rId30" Type="http://schemas.openxmlformats.org/officeDocument/2006/relationships/hyperlink" Target="http://www.acma.gov.au/theACMA/Library/Corporate-library/Forms-and-registers/register-of-telecommunications-industry-codes-and-standards" TargetMode="External"/><Relationship Id="rId35" Type="http://schemas.openxmlformats.org/officeDocument/2006/relationships/hyperlink" Target="mailto:industry.codes@acma.gov.au" TargetMode="External"/><Relationship Id="rId43" Type="http://schemas.openxmlformats.org/officeDocument/2006/relationships/header" Target="header8.xml"/><Relationship Id="rId48" Type="http://schemas.openxmlformats.org/officeDocument/2006/relationships/footer" Target="footer9.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cuttingredtape.gov.au/handbook/australian-government-guide-regulation" TargetMode="External"/><Relationship Id="rId1" Type="http://schemas.openxmlformats.org/officeDocument/2006/relationships/hyperlink" Target="http://www.accc.gov.au/business/applying-for-exemptions/authoris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0F2C-1211-4722-8239-92D4E304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28861</Words>
  <Characters>164513</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192989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2015-08-31T04:18:00Z</dcterms:created>
  <dcterms:modified xsi:type="dcterms:W3CDTF">2015-09-07T01:45:00Z</dcterms:modified>
  <cp:category/>
</cp:coreProperties>
</file>