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8C0A3" w14:textId="53F052B4" w:rsidR="00B72519" w:rsidRPr="00DC70B6" w:rsidRDefault="00B72519" w:rsidP="00B72519">
      <w:pPr>
        <w:pStyle w:val="EmbargoHeading"/>
      </w:pPr>
      <w:r w:rsidRPr="002778A3">
        <w:t xml:space="preserve">EMBARGO </w:t>
      </w:r>
      <w:r w:rsidR="00E52789">
        <w:t>42</w:t>
      </w:r>
    </w:p>
    <w:p w14:paraId="56131FDB" w14:textId="77777777" w:rsidR="00B72519" w:rsidRDefault="00B72519" w:rsidP="00B72519">
      <w:pPr>
        <w:rPr>
          <w:lang w:val="en-GB"/>
        </w:rPr>
      </w:pPr>
    </w:p>
    <w:p w14:paraId="6FA4EFA6" w14:textId="47158930" w:rsidR="007F4783" w:rsidRPr="00B2745E" w:rsidRDefault="00B72519" w:rsidP="00440994">
      <w:pPr>
        <w:pStyle w:val="embheader"/>
      </w:pPr>
      <w:r w:rsidRPr="00B2745E">
        <w:rPr>
          <w:b/>
        </w:rPr>
        <w:t>FREQUENCY RANGE:</w:t>
      </w:r>
      <w:r w:rsidRPr="00B2745E">
        <w:tab/>
      </w:r>
      <w:r w:rsidR="00440994" w:rsidRPr="00B2745E">
        <w:t>3</w:t>
      </w:r>
      <w:r w:rsidR="00E52789" w:rsidRPr="00B2745E">
        <w:t>575</w:t>
      </w:r>
      <w:r w:rsidRPr="00B2745E">
        <w:t>–</w:t>
      </w:r>
      <w:r w:rsidR="00440994" w:rsidRPr="00B2745E">
        <w:t>3</w:t>
      </w:r>
      <w:r w:rsidR="00E52789" w:rsidRPr="00B2745E">
        <w:t>710</w:t>
      </w:r>
      <w:r w:rsidR="00440994" w:rsidRPr="00B2745E">
        <w:t xml:space="preserve"> </w:t>
      </w:r>
      <w:r w:rsidRPr="00B2745E">
        <w:t>MHz</w:t>
      </w:r>
    </w:p>
    <w:p w14:paraId="157756AE" w14:textId="7186DDF1" w:rsidR="00B72519" w:rsidRPr="00B2745E" w:rsidRDefault="00B72519" w:rsidP="00B72519">
      <w:pPr>
        <w:pStyle w:val="embheader"/>
      </w:pPr>
      <w:r w:rsidRPr="00B2745E">
        <w:rPr>
          <w:b/>
        </w:rPr>
        <w:t>SUBJECT:</w:t>
      </w:r>
      <w:r w:rsidRPr="00B2745E">
        <w:tab/>
        <w:t xml:space="preserve">Embargo on </w:t>
      </w:r>
      <w:r w:rsidR="00440994" w:rsidRPr="00B2745E">
        <w:t xml:space="preserve">all </w:t>
      </w:r>
      <w:r w:rsidRPr="00B2745E">
        <w:t xml:space="preserve">new </w:t>
      </w:r>
      <w:r w:rsidR="00440994" w:rsidRPr="00B2745E">
        <w:t xml:space="preserve">frequency assignments to support </w:t>
      </w:r>
      <w:r w:rsidR="00E52789" w:rsidRPr="00B2745E">
        <w:t>future re-planning options.</w:t>
      </w:r>
    </w:p>
    <w:p w14:paraId="1E4501FE" w14:textId="0198C31F" w:rsidR="00B72519" w:rsidRPr="00B2745E" w:rsidRDefault="00B72519" w:rsidP="00B72519">
      <w:pPr>
        <w:pStyle w:val="embheader"/>
      </w:pPr>
      <w:r w:rsidRPr="00B2745E">
        <w:rPr>
          <w:b/>
        </w:rPr>
        <w:t>DATE OF EFFECT:</w:t>
      </w:r>
      <w:r w:rsidRPr="00B2745E">
        <w:tab/>
      </w:r>
      <w:r w:rsidR="00E52789" w:rsidRPr="00B2745E">
        <w:t xml:space="preserve">26 May 2005 (last revised </w:t>
      </w:r>
      <w:r w:rsidR="00B2745E" w:rsidRPr="00B2745E">
        <w:t xml:space="preserve">15 </w:t>
      </w:r>
      <w:r w:rsidR="00E52789" w:rsidRPr="00B2745E">
        <w:t>November 201</w:t>
      </w:r>
      <w:r w:rsidR="00B2745E" w:rsidRPr="00B2745E">
        <w:t>9</w:t>
      </w:r>
      <w:r w:rsidR="00E52789" w:rsidRPr="00B2745E">
        <w:t>)</w:t>
      </w:r>
    </w:p>
    <w:p w14:paraId="77056464" w14:textId="06D2B9ED" w:rsidR="00D040E4" w:rsidRPr="00B2745E" w:rsidRDefault="00B72519" w:rsidP="00B72519">
      <w:pPr>
        <w:pStyle w:val="embheader"/>
      </w:pPr>
      <w:r w:rsidRPr="00B2745E">
        <w:rPr>
          <w:b/>
        </w:rPr>
        <w:t>COVERAGE:</w:t>
      </w:r>
      <w:r w:rsidRPr="00B2745E">
        <w:tab/>
      </w:r>
      <w:r w:rsidR="00D040E4" w:rsidRPr="00B2745E">
        <w:t>Metropolitan and regional areas as specified in Attachment 1 for point to multipoint licences.</w:t>
      </w:r>
    </w:p>
    <w:p w14:paraId="5D336202" w14:textId="5FD0A167" w:rsidR="00D040E4" w:rsidRPr="00B2745E" w:rsidRDefault="00D040E4" w:rsidP="00B72519">
      <w:pPr>
        <w:pStyle w:val="embheader"/>
      </w:pPr>
      <w:r w:rsidRPr="00B2745E">
        <w:tab/>
        <w:t>Australia-wide for all other services.</w:t>
      </w:r>
    </w:p>
    <w:p w14:paraId="7BE446FE" w14:textId="2A883D26" w:rsidR="00B72519" w:rsidRPr="00DC70B6" w:rsidRDefault="00B72519" w:rsidP="00B72519">
      <w:pPr>
        <w:pStyle w:val="embheader"/>
      </w:pPr>
      <w:r w:rsidRPr="00B2745E">
        <w:rPr>
          <w:b/>
        </w:rPr>
        <w:t>TIME FRAME:</w:t>
      </w:r>
      <w:r w:rsidRPr="00B2745E">
        <w:tab/>
      </w:r>
      <w:r w:rsidR="00D040E4" w:rsidRPr="00B2745E">
        <w:t>Until further notice.</w:t>
      </w:r>
    </w:p>
    <w:p w14:paraId="7F848BBC" w14:textId="77777777" w:rsidR="00B72519" w:rsidRPr="00DC70B6" w:rsidRDefault="00B72519" w:rsidP="00B72519">
      <w:pPr>
        <w:rPr>
          <w:lang w:val="en-GB"/>
        </w:rPr>
      </w:pPr>
    </w:p>
    <w:p w14:paraId="1AF1A91B" w14:textId="34D62498" w:rsidR="00B72519" w:rsidRDefault="00B72519" w:rsidP="00440994">
      <w:pPr>
        <w:pStyle w:val="embsechead"/>
      </w:pPr>
      <w:r w:rsidRPr="00DC70B6">
        <w:t>INSTRUCTIONS</w:t>
      </w:r>
    </w:p>
    <w:p w14:paraId="1646A8FF" w14:textId="6A9BE5CA" w:rsidR="0061309C" w:rsidRDefault="0061309C" w:rsidP="0061309C">
      <w:pPr>
        <w:pStyle w:val="embbody"/>
      </w:pPr>
      <w:r>
        <w:t>No assignments are to be made for point to multipoint licences in the frequency range 3</w:t>
      </w:r>
      <w:r w:rsidR="00440AAB">
        <w:t>575</w:t>
      </w:r>
      <w:r>
        <w:t>–3</w:t>
      </w:r>
      <w:r w:rsidR="00440AAB">
        <w:t>710</w:t>
      </w:r>
      <w:r>
        <w:t> MHz inside the metropolitan and regional areas as specified in Attachment 1.</w:t>
      </w:r>
    </w:p>
    <w:p w14:paraId="6D98A30E" w14:textId="17C3EF0B" w:rsidR="0061309C" w:rsidRDefault="00D03EC7" w:rsidP="0061309C">
      <w:pPr>
        <w:pStyle w:val="embbody"/>
      </w:pPr>
      <w:r>
        <w:t>For all other services, no assignments are to be made Australia-wide in the frequency range 3</w:t>
      </w:r>
      <w:r w:rsidR="00440AAB">
        <w:t>575</w:t>
      </w:r>
      <w:r>
        <w:t>–3</w:t>
      </w:r>
      <w:r w:rsidR="00440AAB">
        <w:t>710</w:t>
      </w:r>
      <w:r>
        <w:t> MHz.  This includes assignments for existing licensees seeking to expand or modify their radiocommunications systems in this frequency range.</w:t>
      </w:r>
    </w:p>
    <w:p w14:paraId="10C0C4D8" w14:textId="3F4F8517" w:rsidR="006912F2" w:rsidRDefault="006912F2" w:rsidP="0061309C">
      <w:pPr>
        <w:pStyle w:val="embbody"/>
      </w:pPr>
      <w:r>
        <w:t>Licences may only be issued or re-issued in the frequency range 3575–3710 MHz (Australia-wide) for a maximum one-year period at a time until further notice.  This includes point to multipoint licences issued in remote areas.</w:t>
      </w:r>
    </w:p>
    <w:p w14:paraId="68B19207" w14:textId="59B2A4F5" w:rsidR="00DC0656" w:rsidRDefault="00DC0656" w:rsidP="0061309C">
      <w:pPr>
        <w:pStyle w:val="embbody"/>
      </w:pPr>
      <w:r>
        <w:t>The restrictions of Embargo 42 do not apply to new or existing satellite earth stations located inside the Earth Station Protection Zones defined in Appendix C of RALI MS44.</w:t>
      </w:r>
    </w:p>
    <w:p w14:paraId="0DED3042" w14:textId="1D1ADC2A" w:rsidR="0061309C" w:rsidRDefault="00FE1FA9" w:rsidP="0061309C">
      <w:pPr>
        <w:pStyle w:val="embbody"/>
      </w:pPr>
      <w:r>
        <w:t>Any applications for case-by-case exemptions are to be referred to the Manager, Spectrum Engineering Section for consideration.</w:t>
      </w:r>
    </w:p>
    <w:p w14:paraId="40D6A0EA" w14:textId="77777777" w:rsidR="0086713F" w:rsidRDefault="0086713F" w:rsidP="00FE1FA9">
      <w:pPr>
        <w:pStyle w:val="embsechead"/>
        <w:rPr>
          <w:lang w:val="en-GB"/>
        </w:rPr>
      </w:pPr>
    </w:p>
    <w:p w14:paraId="195A707B" w14:textId="4B92265D" w:rsidR="003B4001" w:rsidRDefault="00B72519" w:rsidP="00FE1FA9">
      <w:pPr>
        <w:pStyle w:val="embsechead"/>
        <w:rPr>
          <w:lang w:val="en-GB"/>
        </w:rPr>
      </w:pPr>
      <w:r w:rsidRPr="00DC70B6">
        <w:rPr>
          <w:lang w:val="en-GB"/>
        </w:rPr>
        <w:t>REASONS</w:t>
      </w:r>
    </w:p>
    <w:p w14:paraId="158C6171" w14:textId="7A748E81" w:rsidR="008D0743" w:rsidRDefault="00FE1FA9" w:rsidP="00FE1FA9">
      <w:pPr>
        <w:pStyle w:val="embbody"/>
        <w:rPr>
          <w:lang w:val="en-GB"/>
        </w:rPr>
      </w:pPr>
      <w:r>
        <w:rPr>
          <w:lang w:val="en-GB"/>
        </w:rPr>
        <w:t xml:space="preserve">The </w:t>
      </w:r>
      <w:r w:rsidR="006912F2">
        <w:rPr>
          <w:lang w:val="en-GB"/>
        </w:rPr>
        <w:t xml:space="preserve">ACMA is currently reviewing arrangements in the 3575–3700 MHz band.  </w:t>
      </w:r>
      <w:r w:rsidR="008D0743">
        <w:rPr>
          <w:lang w:val="en-GB"/>
        </w:rPr>
        <w:t>The purpose of this embargo is to preserve future planning options and minimise the effect that any future possible change in use might cause.  The current restrictions will be reconsidered once the outcomes of the 3575–3700 MHz band review are known.</w:t>
      </w:r>
    </w:p>
    <w:p w14:paraId="6EC51224" w14:textId="77777777" w:rsidR="00FE1FA9" w:rsidRPr="00FE1FA9" w:rsidRDefault="00FE1FA9" w:rsidP="00FE1FA9">
      <w:pPr>
        <w:pStyle w:val="embbody"/>
        <w:rPr>
          <w:lang w:val="en-GB"/>
        </w:rPr>
      </w:pPr>
    </w:p>
    <w:p w14:paraId="27AE9352" w14:textId="1CD531E2" w:rsidR="00B72519" w:rsidRDefault="00B72519" w:rsidP="00B72519">
      <w:pPr>
        <w:pStyle w:val="embsechead"/>
        <w:rPr>
          <w:lang w:val="en-GB"/>
        </w:rPr>
      </w:pPr>
      <w:r w:rsidRPr="00DC70B6">
        <w:rPr>
          <w:lang w:val="en-GB"/>
        </w:rPr>
        <w:t>COMMENTS</w:t>
      </w:r>
    </w:p>
    <w:p w14:paraId="1ECF1550" w14:textId="259494E0" w:rsidR="001D6E85" w:rsidRDefault="008D0743" w:rsidP="00673934">
      <w:pPr>
        <w:pStyle w:val="embbody"/>
        <w:rPr>
          <w:lang w:val="en-GB"/>
        </w:rPr>
      </w:pPr>
      <w:r w:rsidRPr="008D0743">
        <w:rPr>
          <w:lang w:val="en-GB"/>
        </w:rPr>
        <w:t>Interest in the 3.6</w:t>
      </w:r>
      <w:r>
        <w:rPr>
          <w:lang w:val="en-GB"/>
        </w:rPr>
        <w:t> </w:t>
      </w:r>
      <w:r w:rsidRPr="008D0743">
        <w:rPr>
          <w:lang w:val="en-GB"/>
        </w:rPr>
        <w:t>GHz band for fixed/mobile broadband has progressed due to spectrum harmonisation developments in the International Telecommunication Union</w:t>
      </w:r>
      <w:r w:rsidR="00601F96">
        <w:rPr>
          <w:lang w:val="en-GB"/>
        </w:rPr>
        <w:t xml:space="preserve"> </w:t>
      </w:r>
      <w:r w:rsidRPr="008D0743">
        <w:rPr>
          <w:lang w:val="en-GB"/>
        </w:rPr>
        <w:t>Radiocommunication Sector (ITU-R) and Asia</w:t>
      </w:r>
      <w:r w:rsidR="00601F96">
        <w:rPr>
          <w:lang w:val="en-GB"/>
        </w:rPr>
        <w:t>-</w:t>
      </w:r>
      <w:r w:rsidRPr="008D0743">
        <w:rPr>
          <w:lang w:val="en-GB"/>
        </w:rPr>
        <w:t xml:space="preserve">Pacific </w:t>
      </w:r>
      <w:proofErr w:type="spellStart"/>
      <w:r w:rsidRPr="008D0743">
        <w:rPr>
          <w:lang w:val="en-GB"/>
        </w:rPr>
        <w:t>Telecommunity</w:t>
      </w:r>
      <w:proofErr w:type="spellEnd"/>
      <w:r w:rsidRPr="008D0743">
        <w:rPr>
          <w:lang w:val="en-GB"/>
        </w:rPr>
        <w:t xml:space="preserve"> (APT), technology standardisation progress in industry bodies such as 3GPP and considerations within individual countries leading to potential economies of scale.  The progress of this consideration means it is timely to consider the potential re-planning of this band in Australia.</w:t>
      </w:r>
    </w:p>
    <w:p w14:paraId="462A9D97" w14:textId="77777777" w:rsidR="008D0743" w:rsidRPr="001D6E85" w:rsidRDefault="008D0743" w:rsidP="00673934">
      <w:pPr>
        <w:pStyle w:val="embbody"/>
        <w:rPr>
          <w:lang w:val="en-GB"/>
        </w:rPr>
      </w:pPr>
    </w:p>
    <w:p w14:paraId="35E19D24" w14:textId="44B63638" w:rsidR="00AA1D5A" w:rsidRDefault="001D6E85" w:rsidP="001D6E85">
      <w:pPr>
        <w:pStyle w:val="embsechead"/>
      </w:pPr>
      <w:r>
        <w:t>HISTORY</w:t>
      </w:r>
    </w:p>
    <w:p w14:paraId="38F7FDED" w14:textId="4BBD349D" w:rsidR="001D6E85" w:rsidRDefault="0075619D" w:rsidP="001D6E85">
      <w:pPr>
        <w:pStyle w:val="embbody"/>
      </w:pPr>
      <w:r>
        <w:t>In September 2007 Embargo 42 was revised to include minor editorial changes.</w:t>
      </w:r>
    </w:p>
    <w:p w14:paraId="34984BB2" w14:textId="354DC62B" w:rsidR="0075619D" w:rsidRDefault="0075619D" w:rsidP="001D6E85">
      <w:pPr>
        <w:pStyle w:val="embbody"/>
      </w:pPr>
      <w:r>
        <w:t>In September 2099 Embargo 42 was revised to allow point to multipoint services to be licenced in regional and remote areas of Australia.</w:t>
      </w:r>
    </w:p>
    <w:p w14:paraId="57B660F2" w14:textId="653BF45C" w:rsidR="0075619D" w:rsidRDefault="0075619D" w:rsidP="001D6E85">
      <w:pPr>
        <w:pStyle w:val="embbody"/>
      </w:pPr>
      <w:r>
        <w:t>In November 2016 Embargo 42 as revised to restrict access to the 3575–3710 MHz band for point to multipoint services in metropolitan and regional areas.</w:t>
      </w:r>
    </w:p>
    <w:p w14:paraId="481A6528" w14:textId="00794A66" w:rsidR="00DC0656" w:rsidRDefault="00DC0656" w:rsidP="001D6E85">
      <w:pPr>
        <w:pStyle w:val="embbody"/>
      </w:pPr>
      <w:r w:rsidRPr="00DC0656">
        <w:t>In September 2019 Embargo 42 was revised to allow satellite earth stations to be licenced inside the Earth Station Protection Zones defined in RALI MS44.</w:t>
      </w:r>
    </w:p>
    <w:p w14:paraId="7ABDC54F" w14:textId="77777777" w:rsidR="00601F96" w:rsidRPr="001D6E85" w:rsidRDefault="00601F96" w:rsidP="001D6E85">
      <w:pPr>
        <w:pStyle w:val="embbody"/>
      </w:pPr>
    </w:p>
    <w:p w14:paraId="50AB2CC0" w14:textId="77777777" w:rsidR="00C02983" w:rsidRDefault="00B72519" w:rsidP="00356F2C">
      <w:pPr>
        <w:pStyle w:val="embsechead"/>
        <w:keepNext/>
        <w:rPr>
          <w:lang w:val="en-GB"/>
        </w:rPr>
      </w:pPr>
      <w:bookmarkStart w:id="0" w:name="_GoBack"/>
      <w:r w:rsidRPr="00D11509">
        <w:rPr>
          <w:lang w:val="en-GB"/>
        </w:rPr>
        <w:lastRenderedPageBreak/>
        <w:t>EMBARGO AUTHORISATION:</w:t>
      </w:r>
    </w:p>
    <w:p w14:paraId="1F09B086" w14:textId="6457F767" w:rsidR="00C02983" w:rsidRDefault="00220B55" w:rsidP="00B72519">
      <w:pPr>
        <w:pStyle w:val="embbody"/>
        <w:rPr>
          <w:lang w:val="en-GB"/>
        </w:rPr>
      </w:pPr>
      <w:r>
        <w:rPr>
          <w:highlight w:val="yellow"/>
          <w:lang w:val="en-GB"/>
        </w:rPr>
        <w:br/>
      </w:r>
      <w:r w:rsidR="00B72519" w:rsidRPr="00B2745E">
        <w:rPr>
          <w:lang w:val="en-GB"/>
        </w:rPr>
        <w:t xml:space="preserve">Approved </w:t>
      </w:r>
      <w:r w:rsidR="00B72519" w:rsidRPr="00B2745E">
        <w:rPr>
          <w:lang w:val="en-GB"/>
        </w:rPr>
        <w:tab/>
      </w:r>
      <w:r w:rsidR="00B2745E" w:rsidRPr="00B2745E">
        <w:rPr>
          <w:lang w:val="en-GB"/>
        </w:rPr>
        <w:t>15</w:t>
      </w:r>
      <w:r w:rsidR="00B72519" w:rsidRPr="00B2745E">
        <w:rPr>
          <w:lang w:val="en-GB"/>
        </w:rPr>
        <w:t>/</w:t>
      </w:r>
      <w:r w:rsidR="00B2745E" w:rsidRPr="00B2745E">
        <w:rPr>
          <w:lang w:val="en-GB"/>
        </w:rPr>
        <w:t>11</w:t>
      </w:r>
      <w:r w:rsidR="00B72519" w:rsidRPr="00B2745E">
        <w:rPr>
          <w:lang w:val="en-GB"/>
        </w:rPr>
        <w:t>/2019</w:t>
      </w:r>
    </w:p>
    <w:p w14:paraId="1A27B95B" w14:textId="592E6376" w:rsidR="00A0340D" w:rsidRDefault="00030B9E" w:rsidP="00B72519">
      <w:pPr>
        <w:pStyle w:val="embbody"/>
        <w:rPr>
          <w:lang w:val="en-GB"/>
        </w:rPr>
      </w:pPr>
      <w:r>
        <w:rPr>
          <w:lang w:val="en-GB"/>
        </w:rPr>
        <w:t xml:space="preserve">Zarko </w:t>
      </w:r>
      <w:r w:rsidR="00396B0B">
        <w:rPr>
          <w:lang w:val="en-GB"/>
        </w:rPr>
        <w:t>Krusevac</w:t>
      </w:r>
    </w:p>
    <w:p w14:paraId="255E8EC3" w14:textId="3BDDFA7B" w:rsidR="008872F3" w:rsidRDefault="00396B0B" w:rsidP="005260F0">
      <w:pPr>
        <w:pStyle w:val="embbody"/>
        <w:rPr>
          <w:lang w:val="en-GB"/>
        </w:rPr>
      </w:pPr>
      <w:r>
        <w:rPr>
          <w:lang w:val="en-GB"/>
        </w:rPr>
        <w:t xml:space="preserve">Acting </w:t>
      </w:r>
      <w:r w:rsidR="00B72519" w:rsidRPr="00DC70B6">
        <w:rPr>
          <w:lang w:val="en-GB"/>
        </w:rPr>
        <w:t>Manager</w:t>
      </w:r>
      <w:r w:rsidR="00B72519">
        <w:rPr>
          <w:lang w:val="en-GB"/>
        </w:rPr>
        <w:br/>
      </w:r>
      <w:r w:rsidR="00B72519" w:rsidRPr="00DC70B6">
        <w:rPr>
          <w:lang w:val="en-GB"/>
        </w:rPr>
        <w:t>Spectrum Engineering</w:t>
      </w:r>
      <w:r w:rsidR="00A0340D">
        <w:rPr>
          <w:lang w:val="en-GB"/>
        </w:rPr>
        <w:t xml:space="preserve"> </w:t>
      </w:r>
      <w:r w:rsidR="00B72519" w:rsidRPr="00DC70B6">
        <w:rPr>
          <w:lang w:val="en-GB"/>
        </w:rPr>
        <w:t>Section</w:t>
      </w:r>
      <w:r w:rsidR="00C02983">
        <w:rPr>
          <w:lang w:val="en-GB"/>
        </w:rPr>
        <w:br/>
      </w:r>
      <w:r w:rsidR="00A0340D" w:rsidRPr="00A0340D">
        <w:rPr>
          <w:lang w:val="en-GB"/>
        </w:rPr>
        <w:t>Spectrum Planning &amp; Engineering Branch</w:t>
      </w:r>
      <w:r w:rsidR="00C02983">
        <w:rPr>
          <w:lang w:val="en-GB"/>
        </w:rPr>
        <w:br/>
      </w:r>
      <w:bookmarkEnd w:id="0"/>
      <w:r w:rsidR="00A0340D" w:rsidRPr="00A0340D">
        <w:rPr>
          <w:lang w:val="en-GB"/>
        </w:rPr>
        <w:t>Communications Infrastructure Division</w:t>
      </w:r>
      <w:r w:rsidR="00B72519">
        <w:rPr>
          <w:lang w:val="en-GB"/>
        </w:rPr>
        <w:br/>
      </w:r>
      <w:r w:rsidR="00B72519" w:rsidRPr="00DC70B6">
        <w:rPr>
          <w:lang w:val="en-GB"/>
        </w:rPr>
        <w:t>Australian Communications &amp; Media Authority</w:t>
      </w:r>
      <w:r w:rsidR="00C02983">
        <w:rPr>
          <w:lang w:val="en-GB"/>
        </w:rPr>
        <w:br/>
      </w:r>
    </w:p>
    <w:p w14:paraId="4DDF1547" w14:textId="77777777" w:rsidR="00220B55" w:rsidRDefault="00220B55" w:rsidP="005260F0">
      <w:pPr>
        <w:pStyle w:val="embbody"/>
        <w:rPr>
          <w:lang w:val="en-GB"/>
        </w:rPr>
      </w:pPr>
    </w:p>
    <w:p w14:paraId="30032255" w14:textId="72D3CB03" w:rsidR="009E7E3A" w:rsidRDefault="009E7E3A" w:rsidP="008872F3">
      <w:pPr>
        <w:pStyle w:val="embsechead"/>
        <w:rPr>
          <w:rFonts w:ascii="HelveticaNeueLT Std Lt" w:hAnsi="HelveticaNeueLT Std Lt"/>
        </w:rPr>
      </w:pPr>
      <w:r>
        <w:rPr>
          <w:lang w:val="en-GB"/>
        </w:rPr>
        <w:t>ATTACHMENT 1:</w:t>
      </w:r>
    </w:p>
    <w:p w14:paraId="008CAE30" w14:textId="2885B9F1" w:rsidR="009E7E3A" w:rsidRDefault="008872F3" w:rsidP="008872F3">
      <w:pPr>
        <w:pStyle w:val="embbody"/>
      </w:pPr>
      <w:r>
        <w:t xml:space="preserve">For the purposes of Embargo </w:t>
      </w:r>
      <w:r w:rsidR="0075619D">
        <w:t>42</w:t>
      </w:r>
      <w:r>
        <w:t xml:space="preserve">, metropolitan and regional areas are </w:t>
      </w:r>
      <w:r w:rsidR="00D855CA">
        <w:t xml:space="preserve">defined </w:t>
      </w:r>
      <w:r>
        <w:t xml:space="preserve">by the following </w:t>
      </w:r>
      <w:r w:rsidR="00D855CA">
        <w:t>HCIS area description</w:t>
      </w:r>
      <w:r>
        <w:t>:</w:t>
      </w:r>
    </w:p>
    <w:p w14:paraId="2D3B1D2E" w14:textId="77777777" w:rsidR="00925594" w:rsidRDefault="00925594" w:rsidP="008872F3">
      <w:pPr>
        <w:pStyle w:val="embbody"/>
      </w:pPr>
    </w:p>
    <w:p w14:paraId="154F04D3" w14:textId="375F5991" w:rsidR="00263EA8" w:rsidRDefault="00263EA8" w:rsidP="008872F3">
      <w:pPr>
        <w:pStyle w:val="embbody"/>
      </w:pPr>
      <w:r w:rsidRPr="00263EA8">
        <w:t>BV, CV, DV, IV, IW, JV, JW, KQ, KV, KW, LR, LV, LW, LX, LY, MS, MT, MU, MV, MW, NT, NU, AV9, AW3, BV3, BV6, BV7, BV8, BV9, BW1, BW2, BW3, BW5, BW6, CW1, CW2, CW3, CW4, DW1, DW2, DW3, EV1, EV2, EV3, EV4, EV5, EV6, EV7, FV1, FV2, FV3, FV4, FV5, GV1, GV2, GV3, GV6, HV1, HV2, HV3, HV4, HV5, HV6, HV8, HV9, HW3, HW6, IW1, IW2, IW4, IW5, IW7, IW8, IW9, JW2, JW3, JW4, JW5, JW6, JW7, JW8, JW9, JX1, JX2, JX3, JX5, JX6, KO1, KO4, KO5, KO7, KO8, KP1, KP2, KP4, KP5, KP6, KP7, KP8, KP9, KX1, KX2, KX3, KX4, KX5, KX6, KX8, KX9, KY2, KY3, KY6, LP4, LP7, LQ1, LQ2, LQ4, LQ5, LQ7, LQ8, LZ1, LZ2, LZ3, MR1, MR4, MR5, MR7, MR8, MR9, MV1, MV2, MV3, MV4, MV5, MV6, MV7, MV8, MW1, MW2, MW6, MW7, MW8, MW9, MX1, MX2, MX3, MX4, MX7, MY1, MY4, MY7, MZ1, NS4, NS7, NS8, NS9, NT1, NT2, NT3, NT4, NT7, NU1, NU4, NU5, NU6, NU7, NU8, NU9, NV1, NV2, NV3, NV4, NV5, NV7, NW1</w:t>
      </w:r>
    </w:p>
    <w:p w14:paraId="5AB9426D" w14:textId="77777777" w:rsidR="008872F3" w:rsidRDefault="008872F3" w:rsidP="008872F3">
      <w:pPr>
        <w:pStyle w:val="embbody"/>
      </w:pPr>
    </w:p>
    <w:p w14:paraId="25B95961" w14:textId="1F54622A" w:rsidR="00CA5F13" w:rsidRPr="00CA5F13" w:rsidRDefault="00CA5F13" w:rsidP="00CA5F13">
      <w:pPr>
        <w:pStyle w:val="embbody"/>
      </w:pPr>
      <w:bookmarkStart w:id="1" w:name="_Hlk23427499"/>
      <w:r w:rsidRPr="00CA5F13">
        <w:t xml:space="preserve">HCIS area descriptions can be converted into a Placemark file (viewable in Google Earth) through the </w:t>
      </w:r>
      <w:hyperlink r:id="rId12" w:history="1">
        <w:r w:rsidRPr="00CA5F13">
          <w:rPr>
            <w:rStyle w:val="Hyperlink"/>
            <w:i/>
            <w:iCs/>
          </w:rPr>
          <w:t>Convert HCIS area description to Placemark</w:t>
        </w:r>
      </w:hyperlink>
      <w:r w:rsidRPr="00CA5F13">
        <w:t xml:space="preserve"> facility on the ACMA website.</w:t>
      </w:r>
    </w:p>
    <w:p w14:paraId="096AA259" w14:textId="7A8938C7" w:rsidR="00E26E8A" w:rsidRDefault="00CA5F13" w:rsidP="00CA5F13">
      <w:pPr>
        <w:pStyle w:val="embbody"/>
      </w:pPr>
      <w:r w:rsidRPr="003F1C2C">
        <w:rPr>
          <w:bCs/>
          <w:szCs w:val="22"/>
        </w:rPr>
        <w:t xml:space="preserve">The HCIS is described in the </w:t>
      </w:r>
      <w:hyperlink r:id="rId13" w:history="1">
        <w:r w:rsidRPr="00CA5F13">
          <w:rPr>
            <w:rStyle w:val="Hyperlink"/>
            <w:bCs/>
            <w:i/>
            <w:iCs/>
            <w:szCs w:val="22"/>
          </w:rPr>
          <w:t>Australian Spectrum Map Grid 2012</w:t>
        </w:r>
      </w:hyperlink>
      <w:r w:rsidRPr="003F1C2C">
        <w:rPr>
          <w:bCs/>
          <w:szCs w:val="22"/>
        </w:rPr>
        <w:t>.</w:t>
      </w:r>
      <w:bookmarkEnd w:id="1"/>
    </w:p>
    <w:sectPr w:rsidR="00E26E8A" w:rsidSect="00C51F98">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86F7" w14:textId="77777777" w:rsidR="00BA10D3" w:rsidRDefault="00BA10D3" w:rsidP="00D208C5">
      <w:pPr>
        <w:spacing w:line="240" w:lineRule="auto"/>
      </w:pPr>
      <w:r>
        <w:separator/>
      </w:r>
    </w:p>
  </w:endnote>
  <w:endnote w:type="continuationSeparator" w:id="0">
    <w:p w14:paraId="71F1965E" w14:textId="77777777" w:rsidR="00BA10D3" w:rsidRDefault="00BA10D3" w:rsidP="00D208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0137C" w14:textId="77777777" w:rsidR="00C51F98" w:rsidRDefault="00C51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3566" w14:textId="77777777" w:rsidR="00C51F98" w:rsidRDefault="00C51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C5B79" w14:textId="77777777" w:rsidR="00BA10D3" w:rsidRDefault="00BA10D3" w:rsidP="00D208C5">
      <w:pPr>
        <w:spacing w:line="240" w:lineRule="auto"/>
      </w:pPr>
      <w:r>
        <w:separator/>
      </w:r>
    </w:p>
  </w:footnote>
  <w:footnote w:type="continuationSeparator" w:id="0">
    <w:p w14:paraId="599F355F" w14:textId="77777777" w:rsidR="00BA10D3" w:rsidRDefault="00BA10D3" w:rsidP="00D208C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ADE5D84"/>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7CF1BEB"/>
    <w:multiLevelType w:val="hybridMultilevel"/>
    <w:tmpl w:val="DF625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AA21F0"/>
    <w:multiLevelType w:val="hybridMultilevel"/>
    <w:tmpl w:val="F39E9976"/>
    <w:lvl w:ilvl="0" w:tplc="CE0AD192">
      <w:start w:val="1"/>
      <w:numFmt w:val="decimal"/>
      <w:pStyle w:val="ACMATableHeader"/>
      <w:lvlText w:val="Table %1:"/>
      <w:lvlJc w:val="left"/>
      <w:pPr>
        <w:tabs>
          <w:tab w:val="num" w:pos="964"/>
        </w:tabs>
        <w:ind w:left="964" w:hanging="964"/>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14D1C59"/>
    <w:multiLevelType w:val="hybridMultilevel"/>
    <w:tmpl w:val="54F01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5071478"/>
    <w:multiLevelType w:val="hybridMultilevel"/>
    <w:tmpl w:val="FC6EAB70"/>
    <w:lvl w:ilvl="0" w:tplc="5FA0D590">
      <w:start w:val="1"/>
      <w:numFmt w:val="decimal"/>
      <w:pStyle w:val="ACMAFigureHeader"/>
      <w:lvlText w:val="Figure %1: "/>
      <w:lvlJc w:val="left"/>
      <w:pPr>
        <w:tabs>
          <w:tab w:val="num" w:pos="1021"/>
        </w:tabs>
        <w:ind w:left="1021" w:hanging="1021"/>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20"/>
  <w:evenAndOddHeaders/>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519"/>
    <w:rsid w:val="00030B9E"/>
    <w:rsid w:val="0004366E"/>
    <w:rsid w:val="000C44EF"/>
    <w:rsid w:val="000F012B"/>
    <w:rsid w:val="000F42E8"/>
    <w:rsid w:val="0016162B"/>
    <w:rsid w:val="00191942"/>
    <w:rsid w:val="001D6E85"/>
    <w:rsid w:val="00220B55"/>
    <w:rsid w:val="00263EA8"/>
    <w:rsid w:val="00272723"/>
    <w:rsid w:val="002778A3"/>
    <w:rsid w:val="003525A8"/>
    <w:rsid w:val="00356F2C"/>
    <w:rsid w:val="00360788"/>
    <w:rsid w:val="00383059"/>
    <w:rsid w:val="00396B0B"/>
    <w:rsid w:val="003B4001"/>
    <w:rsid w:val="003B6188"/>
    <w:rsid w:val="003E6CB9"/>
    <w:rsid w:val="00402EF8"/>
    <w:rsid w:val="0042439F"/>
    <w:rsid w:val="00440994"/>
    <w:rsid w:val="00440AAB"/>
    <w:rsid w:val="004771E2"/>
    <w:rsid w:val="004D5B7B"/>
    <w:rsid w:val="005260F0"/>
    <w:rsid w:val="005A6FE2"/>
    <w:rsid w:val="005A7D11"/>
    <w:rsid w:val="005D24CF"/>
    <w:rsid w:val="005F27B9"/>
    <w:rsid w:val="00601F96"/>
    <w:rsid w:val="0061309C"/>
    <w:rsid w:val="00636643"/>
    <w:rsid w:val="00673934"/>
    <w:rsid w:val="006912F2"/>
    <w:rsid w:val="00704DA4"/>
    <w:rsid w:val="00730B47"/>
    <w:rsid w:val="0075619D"/>
    <w:rsid w:val="00756B70"/>
    <w:rsid w:val="007B5A99"/>
    <w:rsid w:val="007C3478"/>
    <w:rsid w:val="007F4783"/>
    <w:rsid w:val="00801A84"/>
    <w:rsid w:val="008107B2"/>
    <w:rsid w:val="00823C77"/>
    <w:rsid w:val="0086713F"/>
    <w:rsid w:val="00876397"/>
    <w:rsid w:val="008872F3"/>
    <w:rsid w:val="008D0743"/>
    <w:rsid w:val="00925594"/>
    <w:rsid w:val="00927DB7"/>
    <w:rsid w:val="009602D8"/>
    <w:rsid w:val="00981326"/>
    <w:rsid w:val="009A779C"/>
    <w:rsid w:val="009E7E3A"/>
    <w:rsid w:val="00A0340D"/>
    <w:rsid w:val="00A05F0C"/>
    <w:rsid w:val="00A179EA"/>
    <w:rsid w:val="00A43128"/>
    <w:rsid w:val="00A4729A"/>
    <w:rsid w:val="00A80875"/>
    <w:rsid w:val="00A86E5C"/>
    <w:rsid w:val="00AA1D5A"/>
    <w:rsid w:val="00B14309"/>
    <w:rsid w:val="00B2745E"/>
    <w:rsid w:val="00B72519"/>
    <w:rsid w:val="00B80B4B"/>
    <w:rsid w:val="00B850C9"/>
    <w:rsid w:val="00B87FE3"/>
    <w:rsid w:val="00BA10D3"/>
    <w:rsid w:val="00C02983"/>
    <w:rsid w:val="00C51F98"/>
    <w:rsid w:val="00C63B5F"/>
    <w:rsid w:val="00CA5F13"/>
    <w:rsid w:val="00CA69F1"/>
    <w:rsid w:val="00CC3787"/>
    <w:rsid w:val="00CE132E"/>
    <w:rsid w:val="00CE2E2B"/>
    <w:rsid w:val="00D03EC7"/>
    <w:rsid w:val="00D040E4"/>
    <w:rsid w:val="00D208C5"/>
    <w:rsid w:val="00D6373E"/>
    <w:rsid w:val="00D855CA"/>
    <w:rsid w:val="00D8782C"/>
    <w:rsid w:val="00D94C00"/>
    <w:rsid w:val="00D97360"/>
    <w:rsid w:val="00DA22A8"/>
    <w:rsid w:val="00DA35B5"/>
    <w:rsid w:val="00DC025B"/>
    <w:rsid w:val="00DC0656"/>
    <w:rsid w:val="00E26E8A"/>
    <w:rsid w:val="00E52789"/>
    <w:rsid w:val="00E52A3F"/>
    <w:rsid w:val="00E7747B"/>
    <w:rsid w:val="00E87C37"/>
    <w:rsid w:val="00EF3E8F"/>
    <w:rsid w:val="00F763D0"/>
    <w:rsid w:val="00FC5824"/>
    <w:rsid w:val="00FD6B2C"/>
    <w:rsid w:val="00FE1F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44B49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7DB7"/>
    <w:pPr>
      <w:spacing w:after="0" w:line="240" w:lineRule="atLeast"/>
    </w:pPr>
    <w:rPr>
      <w:rFonts w:ascii="Arial" w:eastAsia="Times New Roman" w:hAnsi="Arial" w:cs="Times New Roman"/>
      <w:sz w:val="20"/>
      <w:szCs w:val="24"/>
      <w:lang w:eastAsia="en-AU"/>
    </w:rPr>
  </w:style>
  <w:style w:type="paragraph" w:styleId="Heading1">
    <w:name w:val="heading 1"/>
    <w:aliases w:val="RIS Heading 1"/>
    <w:basedOn w:val="Normal"/>
    <w:next w:val="Normal"/>
    <w:link w:val="Heading1Char"/>
    <w:qFormat/>
    <w:rsid w:val="00E26E8A"/>
    <w:pPr>
      <w:keepNext/>
      <w:pageBreakBefore/>
      <w:widowControl w:val="0"/>
      <w:spacing w:after="360" w:line="240" w:lineRule="auto"/>
      <w:outlineLvl w:val="0"/>
    </w:pPr>
    <w:rPr>
      <w:rFonts w:cs="Arial"/>
      <w:bCs/>
      <w:color w:val="323232"/>
      <w:kern w:val="32"/>
      <w:sz w:val="53"/>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bargoHeading">
    <w:name w:val="Embargo Heading"/>
    <w:basedOn w:val="Normal"/>
    <w:qFormat/>
    <w:rsid w:val="00B72519"/>
    <w:pPr>
      <w:pBdr>
        <w:top w:val="single" w:sz="12" w:space="1" w:color="auto"/>
        <w:left w:val="single" w:sz="12" w:space="4" w:color="auto"/>
        <w:bottom w:val="single" w:sz="12" w:space="1" w:color="auto"/>
        <w:right w:val="single" w:sz="12" w:space="4" w:color="auto"/>
      </w:pBdr>
      <w:shd w:val="clear" w:color="auto" w:fill="D9D9D9" w:themeFill="background1" w:themeFillShade="D9"/>
      <w:jc w:val="center"/>
    </w:pPr>
    <w:rPr>
      <w:b/>
      <w:sz w:val="24"/>
    </w:rPr>
  </w:style>
  <w:style w:type="paragraph" w:customStyle="1" w:styleId="embheader">
    <w:name w:val="emb_header"/>
    <w:basedOn w:val="Normal"/>
    <w:link w:val="embheaderChar"/>
    <w:qFormat/>
    <w:rsid w:val="00B72519"/>
    <w:pPr>
      <w:widowControl w:val="0"/>
      <w:tabs>
        <w:tab w:val="left" w:pos="3544"/>
      </w:tabs>
      <w:spacing w:after="120" w:line="240" w:lineRule="auto"/>
      <w:ind w:left="3544" w:hanging="3544"/>
    </w:pPr>
    <w:rPr>
      <w:rFonts w:cs="Calibri"/>
      <w:szCs w:val="20"/>
      <w:lang w:val="en-GB"/>
    </w:rPr>
  </w:style>
  <w:style w:type="paragraph" w:customStyle="1" w:styleId="embbody">
    <w:name w:val="emb_body"/>
    <w:basedOn w:val="Normal"/>
    <w:link w:val="embbodyChar"/>
    <w:qFormat/>
    <w:rsid w:val="00B72519"/>
    <w:pPr>
      <w:spacing w:after="120" w:line="240" w:lineRule="auto"/>
    </w:pPr>
    <w:rPr>
      <w:rFonts w:cs="Calibri"/>
      <w:szCs w:val="20"/>
    </w:rPr>
  </w:style>
  <w:style w:type="character" w:customStyle="1" w:styleId="embheaderChar">
    <w:name w:val="emb_header Char"/>
    <w:basedOn w:val="DefaultParagraphFont"/>
    <w:link w:val="embheader"/>
    <w:rsid w:val="00B72519"/>
    <w:rPr>
      <w:rFonts w:ascii="HelveticaNeueLT Std Lt" w:eastAsia="Times New Roman" w:hAnsi="HelveticaNeueLT Std Lt" w:cs="Calibri"/>
      <w:sz w:val="20"/>
      <w:szCs w:val="20"/>
      <w:lang w:val="en-GB" w:eastAsia="en-AU"/>
    </w:rPr>
  </w:style>
  <w:style w:type="character" w:customStyle="1" w:styleId="embbodyChar">
    <w:name w:val="emb_body Char"/>
    <w:basedOn w:val="DefaultParagraphFont"/>
    <w:link w:val="embbody"/>
    <w:rsid w:val="00B72519"/>
    <w:rPr>
      <w:rFonts w:ascii="HelveticaNeueLT Std Lt" w:eastAsia="Times New Roman" w:hAnsi="HelveticaNeueLT Std Lt" w:cs="Calibri"/>
      <w:sz w:val="20"/>
      <w:szCs w:val="20"/>
      <w:lang w:eastAsia="en-AU"/>
    </w:rPr>
  </w:style>
  <w:style w:type="paragraph" w:customStyle="1" w:styleId="embsechead">
    <w:name w:val="emb_sec_head"/>
    <w:basedOn w:val="embbody"/>
    <w:next w:val="embbody"/>
    <w:link w:val="embsecheadChar"/>
    <w:qFormat/>
    <w:rsid w:val="00B72519"/>
    <w:pPr>
      <w:spacing w:after="0"/>
    </w:pPr>
    <w:rPr>
      <w:b/>
    </w:rPr>
  </w:style>
  <w:style w:type="character" w:customStyle="1" w:styleId="embsecheadChar">
    <w:name w:val="emb_sec_head Char"/>
    <w:basedOn w:val="embbodyChar"/>
    <w:link w:val="embsechead"/>
    <w:rsid w:val="00B72519"/>
    <w:rPr>
      <w:rFonts w:ascii="HelveticaNeueLT Std Lt" w:eastAsia="Times New Roman" w:hAnsi="HelveticaNeueLT Std Lt" w:cs="Calibri"/>
      <w:b/>
      <w:sz w:val="20"/>
      <w:szCs w:val="20"/>
      <w:lang w:eastAsia="en-AU"/>
    </w:rPr>
  </w:style>
  <w:style w:type="character" w:styleId="CommentReference">
    <w:name w:val="annotation reference"/>
    <w:basedOn w:val="DefaultParagraphFont"/>
    <w:uiPriority w:val="99"/>
    <w:semiHidden/>
    <w:unhideWhenUsed/>
    <w:rsid w:val="00FC5824"/>
    <w:rPr>
      <w:sz w:val="16"/>
      <w:szCs w:val="16"/>
    </w:rPr>
  </w:style>
  <w:style w:type="paragraph" w:styleId="CommentText">
    <w:name w:val="annotation text"/>
    <w:basedOn w:val="Normal"/>
    <w:link w:val="CommentTextChar"/>
    <w:uiPriority w:val="99"/>
    <w:unhideWhenUsed/>
    <w:rsid w:val="00FC5824"/>
    <w:pPr>
      <w:spacing w:line="240" w:lineRule="auto"/>
    </w:pPr>
    <w:rPr>
      <w:szCs w:val="20"/>
    </w:rPr>
  </w:style>
  <w:style w:type="character" w:customStyle="1" w:styleId="CommentTextChar">
    <w:name w:val="Comment Text Char"/>
    <w:basedOn w:val="DefaultParagraphFont"/>
    <w:link w:val="CommentText"/>
    <w:uiPriority w:val="99"/>
    <w:rsid w:val="00FC5824"/>
    <w:rPr>
      <w:rFonts w:ascii="HelveticaNeueLT Std Lt" w:eastAsia="Times New Roman" w:hAnsi="HelveticaNeueLT Std Lt"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C5824"/>
    <w:rPr>
      <w:b/>
      <w:bCs/>
    </w:rPr>
  </w:style>
  <w:style w:type="character" w:customStyle="1" w:styleId="CommentSubjectChar">
    <w:name w:val="Comment Subject Char"/>
    <w:basedOn w:val="CommentTextChar"/>
    <w:link w:val="CommentSubject"/>
    <w:uiPriority w:val="99"/>
    <w:semiHidden/>
    <w:rsid w:val="00FC5824"/>
    <w:rPr>
      <w:rFonts w:ascii="HelveticaNeueLT Std Lt" w:eastAsia="Times New Roman" w:hAnsi="HelveticaNeueLT Std Lt" w:cs="Times New Roman"/>
      <w:b/>
      <w:bCs/>
      <w:sz w:val="20"/>
      <w:szCs w:val="20"/>
      <w:lang w:eastAsia="en-AU"/>
    </w:rPr>
  </w:style>
  <w:style w:type="paragraph" w:styleId="BalloonText">
    <w:name w:val="Balloon Text"/>
    <w:basedOn w:val="Normal"/>
    <w:link w:val="BalloonTextChar"/>
    <w:uiPriority w:val="99"/>
    <w:semiHidden/>
    <w:unhideWhenUsed/>
    <w:rsid w:val="00FC582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824"/>
    <w:rPr>
      <w:rFonts w:ascii="Segoe UI" w:eastAsia="Times New Roman" w:hAnsi="Segoe UI" w:cs="Segoe UI"/>
      <w:sz w:val="18"/>
      <w:szCs w:val="18"/>
      <w:lang w:eastAsia="en-AU"/>
    </w:rPr>
  </w:style>
  <w:style w:type="character" w:styleId="Hyperlink">
    <w:name w:val="Hyperlink"/>
    <w:basedOn w:val="DefaultParagraphFont"/>
    <w:uiPriority w:val="99"/>
    <w:unhideWhenUsed/>
    <w:rsid w:val="00D97360"/>
    <w:rPr>
      <w:color w:val="0563C1" w:themeColor="hyperlink"/>
      <w:u w:val="single"/>
    </w:rPr>
  </w:style>
  <w:style w:type="character" w:styleId="UnresolvedMention">
    <w:name w:val="Unresolved Mention"/>
    <w:basedOn w:val="DefaultParagraphFont"/>
    <w:uiPriority w:val="99"/>
    <w:semiHidden/>
    <w:unhideWhenUsed/>
    <w:rsid w:val="00D97360"/>
    <w:rPr>
      <w:color w:val="605E5C"/>
      <w:shd w:val="clear" w:color="auto" w:fill="E1DFDD"/>
    </w:rPr>
  </w:style>
  <w:style w:type="paragraph" w:styleId="Revision">
    <w:name w:val="Revision"/>
    <w:hidden/>
    <w:uiPriority w:val="99"/>
    <w:semiHidden/>
    <w:rsid w:val="002778A3"/>
    <w:pPr>
      <w:spacing w:after="0" w:line="240" w:lineRule="auto"/>
    </w:pPr>
    <w:rPr>
      <w:rFonts w:ascii="Arial" w:eastAsia="Times New Roman" w:hAnsi="Arial" w:cs="Times New Roman"/>
      <w:sz w:val="20"/>
      <w:szCs w:val="24"/>
      <w:lang w:eastAsia="en-AU"/>
    </w:rPr>
  </w:style>
  <w:style w:type="character" w:customStyle="1" w:styleId="Heading1Char">
    <w:name w:val="Heading 1 Char"/>
    <w:aliases w:val="RIS Heading 1 Char"/>
    <w:basedOn w:val="DefaultParagraphFont"/>
    <w:link w:val="Heading1"/>
    <w:rsid w:val="00E26E8A"/>
    <w:rPr>
      <w:rFonts w:ascii="Arial" w:eastAsia="Times New Roman" w:hAnsi="Arial" w:cs="Arial"/>
      <w:bCs/>
      <w:color w:val="323232"/>
      <w:kern w:val="32"/>
      <w:sz w:val="53"/>
      <w:szCs w:val="32"/>
      <w:lang w:eastAsia="en-AU"/>
    </w:rPr>
  </w:style>
  <w:style w:type="character" w:customStyle="1" w:styleId="ListBulletChar">
    <w:name w:val="List Bullet Char"/>
    <w:aliases w:val="List Bullet 1 Char"/>
    <w:basedOn w:val="DefaultParagraphFont"/>
    <w:link w:val="ListBullet"/>
    <w:semiHidden/>
    <w:locked/>
    <w:rsid w:val="00E26E8A"/>
    <w:rPr>
      <w:rFonts w:ascii="Arial" w:hAnsi="Arial" w:cs="Arial"/>
      <w:sz w:val="20"/>
    </w:rPr>
  </w:style>
  <w:style w:type="paragraph" w:styleId="ListBullet">
    <w:name w:val="List Bullet"/>
    <w:aliases w:val="List Bullet 1"/>
    <w:basedOn w:val="Normal"/>
    <w:link w:val="ListBulletChar"/>
    <w:semiHidden/>
    <w:unhideWhenUsed/>
    <w:qFormat/>
    <w:rsid w:val="00E26E8A"/>
    <w:pPr>
      <w:numPr>
        <w:numId w:val="1"/>
      </w:numPr>
      <w:spacing w:after="80" w:line="240" w:lineRule="auto"/>
    </w:pPr>
    <w:rPr>
      <w:rFonts w:eastAsiaTheme="minorHAnsi" w:cs="Arial"/>
      <w:szCs w:val="22"/>
      <w:lang w:eastAsia="en-US"/>
    </w:rPr>
  </w:style>
  <w:style w:type="paragraph" w:customStyle="1" w:styleId="TableHeading">
    <w:name w:val="Table Heading"/>
    <w:basedOn w:val="Normal"/>
    <w:qFormat/>
    <w:rsid w:val="00E26E8A"/>
    <w:rPr>
      <w:b/>
    </w:rPr>
  </w:style>
  <w:style w:type="paragraph" w:customStyle="1" w:styleId="TableBody">
    <w:name w:val="Table Body"/>
    <w:basedOn w:val="Normal"/>
    <w:qFormat/>
    <w:rsid w:val="00E26E8A"/>
    <w:pPr>
      <w:spacing w:line="240" w:lineRule="auto"/>
    </w:pPr>
  </w:style>
  <w:style w:type="paragraph" w:customStyle="1" w:styleId="ListBulletLast">
    <w:name w:val="List Bullet Last"/>
    <w:basedOn w:val="ListBullet"/>
    <w:qFormat/>
    <w:rsid w:val="00E26E8A"/>
    <w:pPr>
      <w:spacing w:after="240"/>
    </w:pPr>
  </w:style>
  <w:style w:type="paragraph" w:customStyle="1" w:styleId="ACMATableHeader">
    <w:name w:val="ACMA_TableHeader"/>
    <w:qFormat/>
    <w:rsid w:val="00E26E8A"/>
    <w:pPr>
      <w:numPr>
        <w:numId w:val="2"/>
      </w:numPr>
      <w:spacing w:line="240" w:lineRule="auto"/>
    </w:pPr>
    <w:rPr>
      <w:rFonts w:ascii="Arial" w:eastAsia="Times New Roman" w:hAnsi="Arial" w:cs="Times New Roman"/>
      <w:b/>
      <w:bCs/>
      <w:color w:val="323232"/>
      <w:sz w:val="20"/>
      <w:szCs w:val="20"/>
      <w:lang w:eastAsia="en-AU"/>
    </w:rPr>
  </w:style>
  <w:style w:type="paragraph" w:customStyle="1" w:styleId="ACMAFigureHeader">
    <w:name w:val="ACMA_FigureHeader"/>
    <w:qFormat/>
    <w:rsid w:val="00E26E8A"/>
    <w:pPr>
      <w:numPr>
        <w:numId w:val="3"/>
      </w:numPr>
      <w:spacing w:line="240" w:lineRule="auto"/>
    </w:pPr>
    <w:rPr>
      <w:rFonts w:ascii="Arial" w:eastAsia="Times New Roman" w:hAnsi="Arial" w:cs="Times New Roman"/>
      <w:b/>
      <w:bCs/>
      <w:color w:val="323232"/>
      <w:sz w:val="20"/>
      <w:szCs w:val="20"/>
      <w:lang w:eastAsia="en-AU"/>
    </w:rPr>
  </w:style>
  <w:style w:type="table" w:styleId="TableGrid">
    <w:name w:val="Table Grid"/>
    <w:basedOn w:val="TableNormal"/>
    <w:rsid w:val="00E26E8A"/>
    <w:pPr>
      <w:spacing w:after="0" w:line="240" w:lineRule="atLeast"/>
    </w:pPr>
    <w:rPr>
      <w:rFonts w:ascii="Times New Roman" w:eastAsia="Times New Roman" w:hAnsi="Times New Roman" w:cs="Times New Roman"/>
      <w:sz w:val="24"/>
      <w:szCs w:val="24"/>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8C5"/>
    <w:rPr>
      <w:color w:val="954F72" w:themeColor="followedHyperlink"/>
      <w:u w:val="single"/>
    </w:rPr>
  </w:style>
  <w:style w:type="paragraph" w:styleId="FootnoteText">
    <w:name w:val="footnote text"/>
    <w:basedOn w:val="Normal"/>
    <w:link w:val="FootnoteTextChar"/>
    <w:uiPriority w:val="99"/>
    <w:semiHidden/>
    <w:unhideWhenUsed/>
    <w:rsid w:val="00D208C5"/>
    <w:pPr>
      <w:spacing w:line="240" w:lineRule="auto"/>
    </w:pPr>
    <w:rPr>
      <w:szCs w:val="20"/>
    </w:rPr>
  </w:style>
  <w:style w:type="character" w:customStyle="1" w:styleId="FootnoteTextChar">
    <w:name w:val="Footnote Text Char"/>
    <w:basedOn w:val="DefaultParagraphFont"/>
    <w:link w:val="FootnoteText"/>
    <w:uiPriority w:val="99"/>
    <w:semiHidden/>
    <w:rsid w:val="00D208C5"/>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D208C5"/>
    <w:rPr>
      <w:vertAlign w:val="superscript"/>
    </w:rPr>
  </w:style>
  <w:style w:type="paragraph" w:styleId="Header">
    <w:name w:val="header"/>
    <w:basedOn w:val="Normal"/>
    <w:link w:val="HeaderChar"/>
    <w:uiPriority w:val="99"/>
    <w:unhideWhenUsed/>
    <w:rsid w:val="00A80875"/>
    <w:pPr>
      <w:tabs>
        <w:tab w:val="center" w:pos="4513"/>
        <w:tab w:val="right" w:pos="9026"/>
      </w:tabs>
      <w:spacing w:line="240" w:lineRule="auto"/>
    </w:pPr>
  </w:style>
  <w:style w:type="character" w:customStyle="1" w:styleId="HeaderChar">
    <w:name w:val="Header Char"/>
    <w:basedOn w:val="DefaultParagraphFont"/>
    <w:link w:val="Header"/>
    <w:uiPriority w:val="99"/>
    <w:rsid w:val="00A80875"/>
    <w:rPr>
      <w:rFonts w:ascii="Arial" w:eastAsia="Times New Roman" w:hAnsi="Arial" w:cs="Times New Roman"/>
      <w:sz w:val="20"/>
      <w:szCs w:val="24"/>
      <w:lang w:eastAsia="en-AU"/>
    </w:rPr>
  </w:style>
  <w:style w:type="paragraph" w:styleId="Footer">
    <w:name w:val="footer"/>
    <w:basedOn w:val="Normal"/>
    <w:link w:val="FooterChar"/>
    <w:unhideWhenUsed/>
    <w:rsid w:val="00A80875"/>
    <w:pPr>
      <w:tabs>
        <w:tab w:val="center" w:pos="4513"/>
        <w:tab w:val="right" w:pos="9026"/>
      </w:tabs>
      <w:spacing w:line="240" w:lineRule="auto"/>
    </w:pPr>
  </w:style>
  <w:style w:type="character" w:customStyle="1" w:styleId="FooterChar">
    <w:name w:val="Footer Char"/>
    <w:basedOn w:val="DefaultParagraphFont"/>
    <w:link w:val="Footer"/>
    <w:uiPriority w:val="99"/>
    <w:rsid w:val="00A80875"/>
    <w:rPr>
      <w:rFonts w:ascii="Arial" w:eastAsia="Times New Roman" w:hAnsi="Arial" w:cs="Times New Roman"/>
      <w:sz w:val="20"/>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3199">
      <w:bodyDiv w:val="1"/>
      <w:marLeft w:val="0"/>
      <w:marRight w:val="0"/>
      <w:marTop w:val="0"/>
      <w:marBottom w:val="0"/>
      <w:divBdr>
        <w:top w:val="none" w:sz="0" w:space="0" w:color="auto"/>
        <w:left w:val="none" w:sz="0" w:space="0" w:color="auto"/>
        <w:bottom w:val="none" w:sz="0" w:space="0" w:color="auto"/>
        <w:right w:val="none" w:sz="0" w:space="0" w:color="auto"/>
      </w:divBdr>
    </w:div>
    <w:div w:id="1056591951">
      <w:bodyDiv w:val="1"/>
      <w:marLeft w:val="0"/>
      <w:marRight w:val="0"/>
      <w:marTop w:val="0"/>
      <w:marBottom w:val="0"/>
      <w:divBdr>
        <w:top w:val="none" w:sz="0" w:space="0" w:color="auto"/>
        <w:left w:val="none" w:sz="0" w:space="0" w:color="auto"/>
        <w:bottom w:val="none" w:sz="0" w:space="0" w:color="auto"/>
        <w:right w:val="none" w:sz="0" w:space="0" w:color="auto"/>
      </w:divBdr>
    </w:div>
    <w:div w:id="1401365248">
      <w:bodyDiv w:val="1"/>
      <w:marLeft w:val="0"/>
      <w:marRight w:val="0"/>
      <w:marTop w:val="0"/>
      <w:marBottom w:val="0"/>
      <w:divBdr>
        <w:top w:val="none" w:sz="0" w:space="0" w:color="auto"/>
        <w:left w:val="none" w:sz="0" w:space="0" w:color="auto"/>
        <w:bottom w:val="none" w:sz="0" w:space="0" w:color="auto"/>
        <w:right w:val="none" w:sz="0" w:space="0" w:color="auto"/>
      </w:divBdr>
    </w:div>
    <w:div w:id="154031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cma.gov.au/sites/default/files/2019-10/The%20Australian%20spectrum%20map%20grid%202012.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cma.gov.au/convert-hcis-area-description-placemark-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15313929FB9D469410FF08E667FCD8" ma:contentTypeVersion="3" ma:contentTypeDescription="Create a new document." ma:contentTypeScope="" ma:versionID="f3600d08cb691c33d5eeac32cb7d671f">
  <xsd:schema xmlns:xsd="http://www.w3.org/2001/XMLSchema" xmlns:xs="http://www.w3.org/2001/XMLSchema" xmlns:p="http://schemas.microsoft.com/office/2006/metadata/properties" xmlns:ns1="http://schemas.microsoft.com/sharepoint/v3" xmlns:ns2="1d983eb4-33f7-44b0-aea1-cbdcf0c55136" targetNamespace="http://schemas.microsoft.com/office/2006/metadata/properties" ma:root="true" ma:fieldsID="ef8e850d9333b98a3583982f2308fe43" ns1:_="" ns2:_="">
    <xsd:import namespace="http://schemas.microsoft.com/sharepoint/v3"/>
    <xsd:import namespace="1d983eb4-33f7-44b0-aea1-cbdcf0c55136"/>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ma:readOnly="fals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983eb4-33f7-44b0-aea1-cbdcf0c55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d983eb4-33f7-44b0-aea1-cbdcf0c55136">3NE2HDV7HD6D-1320529529-124</_dlc_DocId>
    <_dlc_DocIdUrl xmlns="1d983eb4-33f7-44b0-aea1-cbdcf0c55136">
      <Url>http://collaboration/organisation/cid/speb/wb/_layouts/15/DocIdRedir.aspx?ID=3NE2HDV7HD6D-1320529529-124</Url>
      <Description>3NE2HDV7HD6D-1320529529-124</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8FD4-CB9D-498D-9BF7-5BAF91317C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983eb4-33f7-44b0-aea1-cbdcf0c55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DA0EE9-EB22-4C75-AC67-5C8CE9847695}">
  <ds:schemaRefs>
    <ds:schemaRef ds:uri="http://schemas.microsoft.com/sharepoint/v3/contenttype/forms"/>
  </ds:schemaRefs>
</ds:datastoreItem>
</file>

<file path=customXml/itemProps3.xml><?xml version="1.0" encoding="utf-8"?>
<ds:datastoreItem xmlns:ds="http://schemas.openxmlformats.org/officeDocument/2006/customXml" ds:itemID="{AB4103C4-6F2B-4165-BEAB-DB3798D77C05}">
  <ds:schemaRefs>
    <ds:schemaRef ds:uri="http://schemas.microsoft.com/sharepoint/events"/>
  </ds:schemaRefs>
</ds:datastoreItem>
</file>

<file path=customXml/itemProps4.xml><?xml version="1.0" encoding="utf-8"?>
<ds:datastoreItem xmlns:ds="http://schemas.openxmlformats.org/officeDocument/2006/customXml" ds:itemID="{D7A16EEB-AEAB-4F13-9F72-A77EEE3FF490}">
  <ds:schemaRefs>
    <ds:schemaRef ds:uri="http://schemas.microsoft.com/office/2006/metadata/properties"/>
    <ds:schemaRef ds:uri="http://schemas.microsoft.com/sharepoint/v3"/>
    <ds:schemaRef ds:uri="http://purl.org/dc/terms/"/>
    <ds:schemaRef ds:uri="http://schemas.microsoft.com/office/2006/documentManagement/types"/>
    <ds:schemaRef ds:uri="1d983eb4-33f7-44b0-aea1-cbdcf0c55136"/>
    <ds:schemaRef ds:uri="http://purl.org/dc/dcmitype/"/>
    <ds:schemaRef ds:uri="http://schemas.microsoft.com/office/infopath/2007/PartnerControls"/>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9741A86C-12AD-47B4-844C-2D223FBB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2019-11-07T23:44:00Z</dcterms:created>
  <dcterms:modified xsi:type="dcterms:W3CDTF">2019-11-07T23:44:00Z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0x0101005815313929FB9D469410FF08E667FCD8</vt:lpwstr>
  </property>
  <property fmtid="{D5CDD505-2E9C-101B-9397-08002B2CF9AE}" pid="3" name="_dlc_DocIdItemGuid">
    <vt:lpwstr>bb19a6c0-fa42-406f-a8d1-b0bebd5550fc</vt:lpwstr>
  </property>
</Properties>
</file>