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23A1" w14:textId="77777777" w:rsidR="005820C9" w:rsidRDefault="005820C9" w:rsidP="0009317A">
      <w:pPr>
        <w:spacing w:after="0"/>
        <w:sectPr w:rsidR="005820C9" w:rsidSect="00002D94">
          <w:headerReference w:type="default" r:id="rId12"/>
          <w:footerReference w:type="default" r:id="rId13"/>
          <w:type w:val="continuous"/>
          <w:pgSz w:w="11906" w:h="16838" w:code="9"/>
          <w:pgMar w:top="1824" w:right="707" w:bottom="567" w:left="1134" w:header="567" w:footer="1474" w:gutter="0"/>
          <w:cols w:space="708"/>
          <w:docGrid w:linePitch="360"/>
        </w:sectPr>
      </w:pPr>
    </w:p>
    <w:p w14:paraId="51BC23A2" w14:textId="77777777" w:rsidR="00DD1B6E" w:rsidRPr="007166DA" w:rsidRDefault="004C423A" w:rsidP="0009317A">
      <w:pPr>
        <w:spacing w:after="0"/>
        <w:rPr>
          <w:rFonts w:ascii="Arial" w:hAnsi="Arial" w:cs="Arial"/>
        </w:rPr>
      </w:pPr>
      <w:r w:rsidRPr="007166DA">
        <w:rPr>
          <w:rFonts w:ascii="Arial" w:hAnsi="Arial" w:cs="Arial"/>
        </w:rPr>
        <w:t>14 June 2019</w:t>
      </w:r>
    </w:p>
    <w:p w14:paraId="51BC23A3" w14:textId="77777777" w:rsidR="00DD1B6E" w:rsidRPr="00921B3E" w:rsidRDefault="00DD1B6E" w:rsidP="0009317A">
      <w:pPr>
        <w:spacing w:after="0"/>
        <w:rPr>
          <w:rFonts w:cstheme="minorHAnsi"/>
        </w:rPr>
      </w:pPr>
    </w:p>
    <w:p w14:paraId="51BC23A4" w14:textId="77777777" w:rsidR="00DD1B6E" w:rsidRPr="007166DA" w:rsidRDefault="00141BA8" w:rsidP="007166DA">
      <w:pPr>
        <w:pStyle w:val="BodyText1"/>
      </w:pPr>
      <w:r>
        <w:t>Order Applications</w:t>
      </w:r>
      <w:r>
        <w:br/>
        <w:t>Diversity Localism and Accessibility Section</w:t>
      </w:r>
      <w:r>
        <w:br/>
        <w:t>ACMA</w:t>
      </w:r>
      <w:r>
        <w:br/>
        <w:t>PO Box Q500</w:t>
      </w:r>
      <w:r>
        <w:br/>
        <w:t>QVB NSW 1230</w:t>
      </w:r>
    </w:p>
    <w:p w14:paraId="51BC23A5" w14:textId="77777777" w:rsidR="00FA240A" w:rsidRPr="00C766BE" w:rsidRDefault="00DD1B6E" w:rsidP="0009317A">
      <w:pPr>
        <w:rPr>
          <w:rStyle w:val="Strong"/>
          <w:rFonts w:ascii="Arial" w:hAnsi="Arial" w:cs="Arial"/>
          <w:lang w:val="en"/>
        </w:rPr>
      </w:pPr>
      <w:r w:rsidRPr="00C766BE">
        <w:rPr>
          <w:rFonts w:ascii="Arial" w:hAnsi="Arial" w:cs="Arial"/>
        </w:rPr>
        <w:t>Via email:</w:t>
      </w:r>
      <w:r w:rsidR="00FA240A" w:rsidRPr="00C766BE">
        <w:rPr>
          <w:rFonts w:ascii="Arial" w:hAnsi="Arial" w:cs="Arial"/>
        </w:rPr>
        <w:t xml:space="preserve"> </w:t>
      </w:r>
      <w:hyperlink r:id="rId14" w:history="1">
        <w:r w:rsidR="00FA240A" w:rsidRPr="00C766BE">
          <w:rPr>
            <w:rStyle w:val="Hyperlink"/>
            <w:rFonts w:ascii="Arial" w:hAnsi="Arial" w:cs="Arial"/>
            <w:lang w:val="en"/>
          </w:rPr>
          <w:t>captioning@acma.gov.au</w:t>
        </w:r>
      </w:hyperlink>
    </w:p>
    <w:p w14:paraId="51BC23A6" w14:textId="77777777" w:rsidR="00DD1B6E" w:rsidRPr="00921B3E" w:rsidRDefault="00DD1B6E" w:rsidP="0009317A">
      <w:pPr>
        <w:spacing w:after="0"/>
        <w:rPr>
          <w:rFonts w:cstheme="minorHAnsi"/>
        </w:rPr>
      </w:pPr>
    </w:p>
    <w:p w14:paraId="51BC23A7" w14:textId="77777777" w:rsidR="005C6CFF" w:rsidRPr="007166DA" w:rsidRDefault="00DD1B6E" w:rsidP="0009317A">
      <w:pPr>
        <w:pStyle w:val="BodyText1"/>
      </w:pPr>
      <w:r w:rsidRPr="007166DA">
        <w:t xml:space="preserve">ACCAN thanks the </w:t>
      </w:r>
      <w:r w:rsidR="00D9026A" w:rsidRPr="007166DA">
        <w:t xml:space="preserve">Australian Communications and Media Authority (ACMA) </w:t>
      </w:r>
      <w:r w:rsidRPr="007166DA">
        <w:t xml:space="preserve">for the opportunity to </w:t>
      </w:r>
      <w:r w:rsidR="00D9026A" w:rsidRPr="007166DA">
        <w:t xml:space="preserve">comment on the </w:t>
      </w:r>
      <w:r w:rsidR="00D9026A" w:rsidRPr="00623720">
        <w:rPr>
          <w:color w:val="auto"/>
        </w:rPr>
        <w:t>caption exemption draft order for</w:t>
      </w:r>
      <w:r w:rsidR="007630D3" w:rsidRPr="00623720">
        <w:rPr>
          <w:color w:val="auto"/>
        </w:rPr>
        <w:t xml:space="preserve"> Telstra Pay TV Pty Ltd, (STV/EO-364).</w:t>
      </w:r>
      <w:r w:rsidR="0010269E" w:rsidRPr="00623720">
        <w:rPr>
          <w:color w:val="auto"/>
        </w:rPr>
        <w:t xml:space="preserve"> </w:t>
      </w:r>
    </w:p>
    <w:p w14:paraId="51BC23A8" w14:textId="77777777" w:rsidR="00D9026A" w:rsidRPr="00921B3E" w:rsidRDefault="00F573F8" w:rsidP="0009317A">
      <w:pPr>
        <w:pStyle w:val="BodyText1"/>
        <w:rPr>
          <w:rFonts w:asciiTheme="minorHAnsi" w:hAnsiTheme="minorHAnsi" w:cstheme="minorHAnsi"/>
        </w:rPr>
      </w:pPr>
      <w:r>
        <w:t>ACCAN’s long</w:t>
      </w:r>
      <w:r w:rsidR="009947DF">
        <w:t xml:space="preserve"> held </w:t>
      </w:r>
      <w:r>
        <w:t xml:space="preserve">concern </w:t>
      </w:r>
      <w:r w:rsidR="00D9026A" w:rsidRPr="007166DA">
        <w:t xml:space="preserve">that Australian consumers who rely on closed captions struggle to have the same functional access to </w:t>
      </w:r>
      <w:r w:rsidR="0070721D">
        <w:t xml:space="preserve">television </w:t>
      </w:r>
      <w:r w:rsidR="00D9026A" w:rsidRPr="007166DA">
        <w:t>services as other Australians</w:t>
      </w:r>
      <w:r>
        <w:t xml:space="preserve"> has not changed since we last submitted to </w:t>
      </w:r>
      <w:r w:rsidR="009947DF">
        <w:t xml:space="preserve">the ACMA’s </w:t>
      </w:r>
      <w:r>
        <w:t>draft exemption orders</w:t>
      </w:r>
      <w:r w:rsidR="00D9026A" w:rsidRPr="007166DA">
        <w:t xml:space="preserve">. Deaf and hearing impaired </w:t>
      </w:r>
      <w:r w:rsidR="005F43D9" w:rsidRPr="007166DA">
        <w:t xml:space="preserve">Australians continue to be </w:t>
      </w:r>
      <w:r w:rsidR="00D9026A" w:rsidRPr="007166DA">
        <w:t xml:space="preserve">excluded from </w:t>
      </w:r>
      <w:r w:rsidR="00CE7065">
        <w:t xml:space="preserve">full </w:t>
      </w:r>
      <w:r w:rsidR="00D9026A" w:rsidRPr="007166DA">
        <w:t xml:space="preserve">access to any television service in Australia, </w:t>
      </w:r>
      <w:r w:rsidR="00CE7065">
        <w:t xml:space="preserve">despite </w:t>
      </w:r>
      <w:r w:rsidR="00D9026A" w:rsidRPr="007166DA">
        <w:t xml:space="preserve">this issue of inequality </w:t>
      </w:r>
      <w:r w:rsidR="00CE7065">
        <w:t>being</w:t>
      </w:r>
      <w:r w:rsidR="0053145A">
        <w:t xml:space="preserve"> </w:t>
      </w:r>
      <w:r w:rsidR="00D9026A" w:rsidRPr="007166DA">
        <w:t>debated in our public policy discussions</w:t>
      </w:r>
      <w:r w:rsidR="00CE7065">
        <w:t xml:space="preserve"> for decades</w:t>
      </w:r>
      <w:r w:rsidR="00D9026A" w:rsidRPr="007166DA">
        <w:t>.</w:t>
      </w:r>
      <w:r w:rsidR="0010269E" w:rsidRPr="007166DA">
        <w:t xml:space="preserve"> In </w:t>
      </w:r>
      <w:r w:rsidR="0087523D" w:rsidRPr="007166DA">
        <w:t xml:space="preserve">2012 </w:t>
      </w:r>
      <w:r w:rsidR="0010269E" w:rsidRPr="007166DA">
        <w:t xml:space="preserve">the Australian </w:t>
      </w:r>
      <w:r w:rsidR="00D3039A" w:rsidRPr="007166DA">
        <w:t>P</w:t>
      </w:r>
      <w:r w:rsidR="0010269E" w:rsidRPr="007166DA">
        <w:t xml:space="preserve">arliament </w:t>
      </w:r>
      <w:r w:rsidR="0087523D" w:rsidRPr="007166DA">
        <w:t xml:space="preserve">passed legislation mandating greater captioning of subscription television with an expectation that </w:t>
      </w:r>
      <w:r w:rsidR="0070721D">
        <w:t xml:space="preserve">subscription television services </w:t>
      </w:r>
      <w:r w:rsidR="0087523D" w:rsidRPr="007166DA">
        <w:t xml:space="preserve">would meet increasing </w:t>
      </w:r>
      <w:r w:rsidR="001951BA" w:rsidRPr="007166DA">
        <w:t>annual</w:t>
      </w:r>
      <w:r w:rsidR="0087523D" w:rsidRPr="007166DA">
        <w:t xml:space="preserve"> caption targets</w:t>
      </w:r>
      <w:r w:rsidR="007166DA">
        <w:t>.</w:t>
      </w:r>
      <w:r w:rsidR="009F5E50">
        <w:rPr>
          <w:rStyle w:val="FootnoteReference"/>
        </w:rPr>
        <w:footnoteReference w:id="1"/>
      </w:r>
    </w:p>
    <w:p w14:paraId="51BC23A9" w14:textId="77777777" w:rsidR="009322D0" w:rsidRDefault="00D35515" w:rsidP="0009317A">
      <w:pPr>
        <w:pStyle w:val="BodyText1"/>
        <w:rPr>
          <w:rFonts w:asciiTheme="minorHAnsi" w:hAnsiTheme="minorHAnsi" w:cstheme="minorHAnsi"/>
        </w:rPr>
      </w:pPr>
      <w:r w:rsidRPr="007C6710">
        <w:t>Australian subscription television market predictions forecast increased take up of services with significant revenue growth over the next 5 years</w:t>
      </w:r>
      <w:r w:rsidR="007166DA">
        <w:t>.</w:t>
      </w:r>
      <w:r w:rsidR="0093425E">
        <w:rPr>
          <w:rStyle w:val="FootnoteReference"/>
        </w:rPr>
        <w:footnoteReference w:id="2"/>
      </w:r>
      <w:r w:rsidR="007166DA">
        <w:t xml:space="preserve"> Australian</w:t>
      </w:r>
      <w:r w:rsidR="00CC7FF9">
        <w:t>s with disability need to be able to benefit and enjoy these new services in the same ways as their families, friends and colleagues.</w:t>
      </w:r>
      <w:r>
        <w:t xml:space="preserve"> </w:t>
      </w:r>
    </w:p>
    <w:p w14:paraId="51BC23AA" w14:textId="77777777" w:rsidR="00EB2969" w:rsidRDefault="00616356" w:rsidP="0009317A">
      <w:pPr>
        <w:pStyle w:val="BodyText1"/>
        <w:rPr>
          <w:rFonts w:asciiTheme="minorHAnsi" w:hAnsiTheme="minorHAnsi" w:cstheme="minorHAnsi"/>
        </w:rPr>
      </w:pPr>
      <w:r w:rsidRPr="007166DA">
        <w:t xml:space="preserve">Closed caption </w:t>
      </w:r>
      <w:r w:rsidR="00D35515" w:rsidRPr="007166DA">
        <w:t xml:space="preserve">requirements </w:t>
      </w:r>
      <w:r w:rsidRPr="007166DA">
        <w:t xml:space="preserve">have been part of the Australian subscription television market legislative framework since </w:t>
      </w:r>
      <w:r w:rsidR="00D35515" w:rsidRPr="007166DA">
        <w:t>2012</w:t>
      </w:r>
      <w:r w:rsidR="00197D12">
        <w:t>.</w:t>
      </w:r>
      <w:r w:rsidR="00296E12">
        <w:rPr>
          <w:rStyle w:val="FootnoteReference"/>
        </w:rPr>
        <w:footnoteReference w:id="3"/>
      </w:r>
      <w:r w:rsidRPr="007166DA">
        <w:t xml:space="preserve"> </w:t>
      </w:r>
      <w:r w:rsidR="00E22F9D" w:rsidRPr="007166DA">
        <w:t xml:space="preserve">Under the previous model, in which the Australian Human Rights Commission presided over the exemption process, </w:t>
      </w:r>
      <w:r w:rsidR="0070721D">
        <w:t xml:space="preserve">subscription services </w:t>
      </w:r>
      <w:r w:rsidR="00E22F9D" w:rsidRPr="007166DA">
        <w:t xml:space="preserve">needed to provide tangible evidence that they were working towards meeting their legislative obligations; legislation designed to ameliorate disability discrimination. </w:t>
      </w:r>
      <w:r w:rsidR="009947DF">
        <w:t xml:space="preserve">ACCAN urges the </w:t>
      </w:r>
      <w:r w:rsidR="00E22F9D" w:rsidRPr="007166DA">
        <w:t>ACMA to apply this principle to the current exemption process</w:t>
      </w:r>
      <w:r w:rsidR="00E22F9D" w:rsidRPr="00921B3E">
        <w:rPr>
          <w:rFonts w:asciiTheme="minorHAnsi" w:hAnsiTheme="minorHAnsi" w:cstheme="minorHAnsi"/>
        </w:rPr>
        <w:t>.</w:t>
      </w:r>
      <w:r w:rsidR="00681B6B">
        <w:rPr>
          <w:rFonts w:asciiTheme="minorHAnsi" w:hAnsiTheme="minorHAnsi" w:cstheme="minorHAnsi"/>
        </w:rPr>
        <w:t xml:space="preserve"> </w:t>
      </w:r>
    </w:p>
    <w:p w14:paraId="51BC23AB" w14:textId="77777777" w:rsidR="002236F9" w:rsidRDefault="002236F9" w:rsidP="0009317A">
      <w:pPr>
        <w:pStyle w:val="BodyText1"/>
      </w:pPr>
      <w:r>
        <w:t xml:space="preserve">ACCAN </w:t>
      </w:r>
      <w:r w:rsidR="00CC7FF9">
        <w:t xml:space="preserve">reiterates our recommendation </w:t>
      </w:r>
      <w:r>
        <w:t xml:space="preserve">that the adoption of an exemption process based on setting a revenue percentage benchmark, similar to that used in the UK, should be evaluated </w:t>
      </w:r>
      <w:r>
        <w:lastRenderedPageBreak/>
        <w:t xml:space="preserve">by all </w:t>
      </w:r>
      <w:r w:rsidR="00CC7FF9">
        <w:t xml:space="preserve">Australian </w:t>
      </w:r>
      <w:r>
        <w:t>access service stakeholders; industry, service providers, consumers, regulator and government</w:t>
      </w:r>
      <w:r w:rsidR="00BE24FD">
        <w:t>.</w:t>
      </w:r>
      <w:r w:rsidR="00314238">
        <w:rPr>
          <w:rStyle w:val="FootnoteReference"/>
        </w:rPr>
        <w:footnoteReference w:id="4"/>
      </w:r>
      <w:r>
        <w:t xml:space="preserve"> </w:t>
      </w:r>
    </w:p>
    <w:p w14:paraId="51BC23AC" w14:textId="77777777" w:rsidR="00D9026A" w:rsidRPr="007166DA" w:rsidRDefault="00D24588" w:rsidP="0009317A">
      <w:pPr>
        <w:pStyle w:val="BodyText1"/>
      </w:pPr>
      <w:r w:rsidRPr="007166DA">
        <w:t>I</w:t>
      </w:r>
      <w:r w:rsidR="00D9026A" w:rsidRPr="007166DA">
        <w:t xml:space="preserve">n the </w:t>
      </w:r>
      <w:r w:rsidR="001951BA" w:rsidRPr="007166DA">
        <w:t>interest</w:t>
      </w:r>
      <w:r w:rsidR="00D9026A" w:rsidRPr="007166DA">
        <w:t xml:space="preserve"> of providing access for all Australians to our changing media environment</w:t>
      </w:r>
      <w:r w:rsidR="00D3039A" w:rsidRPr="007166DA">
        <w:t>,</w:t>
      </w:r>
      <w:r w:rsidRPr="007166DA">
        <w:t xml:space="preserve"> ACCAN strongly recommends that the ACMA deny </w:t>
      </w:r>
      <w:r w:rsidR="004C0299">
        <w:t xml:space="preserve">this </w:t>
      </w:r>
      <w:r w:rsidRPr="007166DA">
        <w:t>exemption</w:t>
      </w:r>
      <w:r w:rsidR="004C0299">
        <w:t xml:space="preserve">. </w:t>
      </w:r>
      <w:r w:rsidR="00D871E8" w:rsidRPr="007166DA">
        <w:t xml:space="preserve">ACCAN asserts </w:t>
      </w:r>
      <w:r w:rsidR="00CE7065">
        <w:t>i</w:t>
      </w:r>
      <w:r w:rsidR="00D9026A" w:rsidRPr="007166DA">
        <w:t xml:space="preserve">t is unacceptable that after decades of advocacy and lobbying for </w:t>
      </w:r>
      <w:r w:rsidR="005F43D9" w:rsidRPr="007166DA">
        <w:t xml:space="preserve">increased </w:t>
      </w:r>
      <w:r w:rsidR="00D9026A" w:rsidRPr="007166DA">
        <w:t xml:space="preserve">access </w:t>
      </w:r>
      <w:r w:rsidR="005F43D9" w:rsidRPr="007166DA">
        <w:t xml:space="preserve">to </w:t>
      </w:r>
      <w:r w:rsidR="00CE7065" w:rsidRPr="00FD225F">
        <w:t xml:space="preserve">both publicly funded and subscription </w:t>
      </w:r>
      <w:r w:rsidR="00D9026A" w:rsidRPr="007166DA">
        <w:t>broadcast television</w:t>
      </w:r>
      <w:r w:rsidR="00CE7065" w:rsidRPr="00CE7065">
        <w:t xml:space="preserve"> </w:t>
      </w:r>
      <w:r w:rsidR="00CE7065" w:rsidRPr="00FD225F">
        <w:t>services</w:t>
      </w:r>
      <w:r w:rsidR="00D9026A" w:rsidRPr="007166DA">
        <w:t xml:space="preserve">, Australians who rely on </w:t>
      </w:r>
      <w:r w:rsidR="005F43D9" w:rsidRPr="007166DA">
        <w:t xml:space="preserve">captions </w:t>
      </w:r>
      <w:r w:rsidR="00D871E8" w:rsidRPr="007166DA">
        <w:t>continue to find themselves excluded from equitable access to subscription television services</w:t>
      </w:r>
      <w:r w:rsidR="005F43D9" w:rsidRPr="007166DA">
        <w:t>.</w:t>
      </w:r>
      <w:r w:rsidRPr="007166DA">
        <w:t xml:space="preserve"> </w:t>
      </w:r>
    </w:p>
    <w:p w14:paraId="51BC23AD" w14:textId="77777777" w:rsidR="00A10A3C" w:rsidRPr="00921B3E" w:rsidRDefault="00A10A3C" w:rsidP="0009317A">
      <w:pPr>
        <w:pStyle w:val="BodyText1"/>
        <w:rPr>
          <w:rFonts w:asciiTheme="minorHAnsi" w:hAnsiTheme="minorHAnsi" w:cstheme="minorHAnsi"/>
        </w:rPr>
      </w:pPr>
      <w:r w:rsidRPr="007166DA">
        <w:t xml:space="preserve">International best-practice mandates the provision of captions irrespective of the </w:t>
      </w:r>
      <w:r w:rsidR="006A1B69" w:rsidRPr="007166DA">
        <w:t xml:space="preserve">broadcast platform. Section 203 of the U.S. </w:t>
      </w:r>
      <w:r w:rsidR="00AD3F36" w:rsidRPr="007166DA">
        <w:rPr>
          <w:i/>
        </w:rPr>
        <w:t>Twenty-First Century Communications and Video Accessibility Act</w:t>
      </w:r>
      <w:r w:rsidR="00AD3F36" w:rsidRPr="007166DA">
        <w:t xml:space="preserve"> </w:t>
      </w:r>
      <w:r w:rsidR="006A1B69" w:rsidRPr="007166DA">
        <w:t xml:space="preserve">requires all </w:t>
      </w:r>
      <w:r w:rsidR="00744AC9" w:rsidRPr="007166DA">
        <w:t xml:space="preserve">devices </w:t>
      </w:r>
      <w:r w:rsidR="00BE24FD">
        <w:t>that</w:t>
      </w:r>
      <w:r w:rsidR="0031743B" w:rsidRPr="007166DA">
        <w:t xml:space="preserve"> can receive or play back video programming </w:t>
      </w:r>
      <w:r w:rsidR="00BE24FD">
        <w:t>to</w:t>
      </w:r>
      <w:r w:rsidR="0031743B" w:rsidRPr="007166DA">
        <w:t xml:space="preserve"> be capable of displaying and passing through closed captioned conten</w:t>
      </w:r>
      <w:r w:rsidR="0031743B" w:rsidRPr="00BE24FD">
        <w:t>t</w:t>
      </w:r>
      <w:r w:rsidR="00BE24FD" w:rsidRPr="00BE24FD">
        <w:t>.</w:t>
      </w:r>
      <w:r w:rsidR="00AD3F36" w:rsidRPr="00BE24FD">
        <w:rPr>
          <w:rStyle w:val="FootnoteReference"/>
        </w:rPr>
        <w:footnoteReference w:id="5"/>
      </w:r>
      <w:r w:rsidR="006A1B69" w:rsidRPr="00921B3E">
        <w:rPr>
          <w:rFonts w:asciiTheme="minorHAnsi" w:hAnsiTheme="minorHAnsi" w:cstheme="minorHAnsi"/>
        </w:rPr>
        <w:t xml:space="preserve"> </w:t>
      </w:r>
      <w:r w:rsidR="006A1B69" w:rsidRPr="007166DA">
        <w:t xml:space="preserve">In addition, the Federal Communications Commission has created </w:t>
      </w:r>
      <w:r w:rsidR="00A9052F" w:rsidRPr="007166DA">
        <w:t>a</w:t>
      </w:r>
      <w:r w:rsidR="00AD3F36" w:rsidRPr="007166DA">
        <w:t>n</w:t>
      </w:r>
      <w:r w:rsidR="00A9052F" w:rsidRPr="007166DA">
        <w:t xml:space="preserve"> </w:t>
      </w:r>
      <w:r w:rsidR="009E1C10" w:rsidRPr="007166DA">
        <w:t>Accessibility Clearing</w:t>
      </w:r>
      <w:r w:rsidR="00AD3F36" w:rsidRPr="007166DA">
        <w:t>h</w:t>
      </w:r>
      <w:r w:rsidR="009E1C10" w:rsidRPr="007166DA">
        <w:t>ouse</w:t>
      </w:r>
      <w:r w:rsidR="00A9052F" w:rsidRPr="007166DA">
        <w:t xml:space="preserve"> listing mobile devices with </w:t>
      </w:r>
      <w:r w:rsidR="0031743B" w:rsidRPr="007166DA">
        <w:t xml:space="preserve">closed </w:t>
      </w:r>
      <w:r w:rsidR="00A9052F" w:rsidRPr="00BE24FD">
        <w:t>caption capability</w:t>
      </w:r>
      <w:r w:rsidR="007166DA" w:rsidRPr="00BE24FD">
        <w:t>.</w:t>
      </w:r>
      <w:r w:rsidR="00AD3F36" w:rsidRPr="00BE24FD">
        <w:rPr>
          <w:rStyle w:val="FootnoteReference"/>
        </w:rPr>
        <w:footnoteReference w:id="6"/>
      </w:r>
      <w:bookmarkStart w:id="0" w:name="_GoBack"/>
      <w:bookmarkEnd w:id="0"/>
    </w:p>
    <w:p w14:paraId="51BC23AE" w14:textId="77777777" w:rsidR="00C32DD1" w:rsidRPr="007166DA" w:rsidRDefault="005F3A3C" w:rsidP="0009317A">
      <w:pPr>
        <w:pStyle w:val="BodyText1"/>
      </w:pPr>
      <w:r w:rsidRPr="007166DA">
        <w:t>In conclusion, t</w:t>
      </w:r>
      <w:r w:rsidR="00E45644" w:rsidRPr="007166DA">
        <w:t xml:space="preserve">he technology exists to provide captioned video programming, legislation is in place to promote greater access to video programming and no </w:t>
      </w:r>
      <w:r w:rsidR="00CC7FF9">
        <w:t xml:space="preserve">transparent </w:t>
      </w:r>
      <w:r w:rsidR="00D871E8" w:rsidRPr="007166DA">
        <w:t xml:space="preserve">evidential </w:t>
      </w:r>
      <w:r w:rsidR="00E45644" w:rsidRPr="007166DA">
        <w:t>claim of ‘</w:t>
      </w:r>
      <w:r w:rsidR="00D031AC" w:rsidRPr="007166DA">
        <w:t>unjustifiable</w:t>
      </w:r>
      <w:r w:rsidR="00E45644" w:rsidRPr="007166DA">
        <w:t xml:space="preserve"> hardship’ or exceptional circumstances have been provided in the exemption draft order</w:t>
      </w:r>
      <w:r w:rsidRPr="007166DA">
        <w:t xml:space="preserve">. For these reasons </w:t>
      </w:r>
      <w:r w:rsidR="00E45644" w:rsidRPr="007166DA">
        <w:t>ACCAN recommends that the ACMA</w:t>
      </w:r>
      <w:r w:rsidR="001951BA" w:rsidRPr="007166DA">
        <w:t xml:space="preserve"> deny the exemption application.</w:t>
      </w:r>
    </w:p>
    <w:p w14:paraId="51BC23AF" w14:textId="77777777" w:rsidR="00C32DD1" w:rsidRPr="00921B3E" w:rsidRDefault="00C32DD1" w:rsidP="0009317A">
      <w:pPr>
        <w:pStyle w:val="BodyText1"/>
        <w:spacing w:after="0" w:line="240" w:lineRule="auto"/>
        <w:rPr>
          <w:rFonts w:asciiTheme="minorHAnsi" w:hAnsiTheme="minorHAnsi" w:cstheme="minorHAnsi"/>
        </w:rPr>
      </w:pPr>
    </w:p>
    <w:p w14:paraId="51BC23B0" w14:textId="77777777" w:rsidR="00DD1B6E" w:rsidRPr="007166DA" w:rsidRDefault="00DD1B6E" w:rsidP="0009317A">
      <w:pPr>
        <w:pStyle w:val="BodyText1"/>
        <w:spacing w:after="0" w:line="240" w:lineRule="auto"/>
      </w:pPr>
      <w:r w:rsidRPr="007166DA">
        <w:t>Sincerely</w:t>
      </w:r>
      <w:r w:rsidR="00D031AC" w:rsidRPr="007166DA">
        <w:t>,</w:t>
      </w:r>
    </w:p>
    <w:p w14:paraId="51BC23B1" w14:textId="77777777" w:rsidR="00921B3E" w:rsidRPr="007166DA" w:rsidRDefault="00921B3E" w:rsidP="0009317A">
      <w:pPr>
        <w:pStyle w:val="BodyText1"/>
        <w:spacing w:after="0" w:line="240" w:lineRule="auto"/>
      </w:pPr>
    </w:p>
    <w:p w14:paraId="51BC23B2" w14:textId="77777777" w:rsidR="00DD1B6E" w:rsidRPr="007166DA" w:rsidRDefault="00A275D7" w:rsidP="0009317A">
      <w:pPr>
        <w:pStyle w:val="BodyText1"/>
        <w:spacing w:after="0" w:line="240" w:lineRule="auto"/>
      </w:pPr>
      <w:r w:rsidRPr="007166DA">
        <w:t xml:space="preserve">Wayne Hawkins </w:t>
      </w:r>
    </w:p>
    <w:p w14:paraId="51BC23B3" w14:textId="77777777" w:rsidR="00A275D7" w:rsidRPr="007166DA" w:rsidRDefault="00F573F8" w:rsidP="0009317A">
      <w:pPr>
        <w:pStyle w:val="BodyText1"/>
        <w:spacing w:after="0" w:line="240" w:lineRule="auto"/>
      </w:pPr>
      <w:r>
        <w:t xml:space="preserve">Director of Inclusion </w:t>
      </w:r>
    </w:p>
    <w:p w14:paraId="51BC23B4" w14:textId="77777777" w:rsidR="00BE24FD" w:rsidRDefault="008E2E48" w:rsidP="00171A64">
      <w:pPr>
        <w:pStyle w:val="BodyText1"/>
        <w:spacing w:after="0" w:line="240" w:lineRule="auto"/>
      </w:pPr>
      <w:hyperlink r:id="rId15" w:history="1">
        <w:r w:rsidR="00C766BE" w:rsidRPr="00BD7A38">
          <w:rPr>
            <w:rStyle w:val="Hyperlink"/>
          </w:rPr>
          <w:t>Wayne.Hawkins@accan.org.au</w:t>
        </w:r>
      </w:hyperlink>
    </w:p>
    <w:sectPr w:rsidR="00BE24FD" w:rsidSect="00084A5B">
      <w:headerReference w:type="default" r:id="rId16"/>
      <w:footerReference w:type="default" r:id="rId17"/>
      <w:type w:val="continuous"/>
      <w:pgSz w:w="11906" w:h="16838" w:code="9"/>
      <w:pgMar w:top="1440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C23B7" w14:textId="77777777" w:rsidR="00215A07" w:rsidRDefault="00215A07" w:rsidP="005820C9">
      <w:pPr>
        <w:spacing w:after="0" w:line="240" w:lineRule="auto"/>
      </w:pPr>
      <w:r>
        <w:separator/>
      </w:r>
    </w:p>
  </w:endnote>
  <w:endnote w:type="continuationSeparator" w:id="0">
    <w:p w14:paraId="51BC23B8" w14:textId="77777777" w:rsidR="00215A07" w:rsidRDefault="00215A07" w:rsidP="0058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3BA" w14:textId="77777777" w:rsidR="00215A07" w:rsidRDefault="00215A07" w:rsidP="00002D94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BC23C0" wp14:editId="51BC23C1">
              <wp:simplePos x="0" y="0"/>
              <wp:positionH relativeFrom="column">
                <wp:posOffset>-363830</wp:posOffset>
              </wp:positionH>
              <wp:positionV relativeFrom="paragraph">
                <wp:posOffset>-73190</wp:posOffset>
              </wp:positionV>
              <wp:extent cx="6971664" cy="132408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1664" cy="1324082"/>
                        <a:chOff x="-49543" y="-26356"/>
                        <a:chExt cx="6971664" cy="124266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9543" y="-26356"/>
                          <a:ext cx="6971664" cy="12426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23C8" w14:textId="77777777" w:rsidR="00215A07" w:rsidRDefault="00215A07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</w:p>
                          <w:p w14:paraId="51BC23C9" w14:textId="77777777" w:rsidR="00215A07" w:rsidRPr="00002D94" w:rsidRDefault="00215A07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Australian Communications Consumer Action Network (ACCAN)</w:t>
                            </w:r>
                          </w:p>
                          <w:p w14:paraId="51BC23CA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  <w:t>Australia’s peak telecommunications consumer advocacy organisation</w:t>
                            </w:r>
                          </w:p>
                          <w:p w14:paraId="51BC23CB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Suite 4.02, 55 Mountain St, Ultimo NSW 2007</w:t>
                            </w:r>
                          </w:p>
                          <w:p w14:paraId="51BC23CC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Tel: (02) 9288 4000 | TTY: (02) 9281 5322 | Fax: (02) 9288 4019</w:t>
                            </w:r>
                          </w:p>
                          <w:p w14:paraId="51BC23CD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www.accan.org.au | info@accan.org.au | twitter: @ACCAN_AU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0738" y="316628"/>
                          <a:ext cx="670105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3B0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BC23C0" id="Group 3" o:spid="_x0000_s1026" style="position:absolute;margin-left:-28.65pt;margin-top:-5.75pt;width:548.95pt;height:104.25pt;z-index:-251657216;mso-width-relative:margin;mso-height-relative:margin" coordorigin="-495,-263" coordsize="69716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-495;top:-263;width:69716;height:1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1BC23C8" w14:textId="77777777" w:rsidR="00215A07" w:rsidRDefault="00215A07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</w:p>
                    <w:p w14:paraId="51BC23C9" w14:textId="77777777" w:rsidR="00215A07" w:rsidRPr="00002D94" w:rsidRDefault="00215A07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Australian Communications Consumer Action Network (ACCAN)</w:t>
                      </w:r>
                    </w:p>
                    <w:p w14:paraId="51BC23CA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i/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i/>
                          <w:color w:val="23B0E6"/>
                          <w:sz w:val="20"/>
                          <w:szCs w:val="20"/>
                        </w:rPr>
                        <w:t>Australia’s peak telecommunications consumer advocacy organisation</w:t>
                      </w:r>
                    </w:p>
                    <w:p w14:paraId="51BC23CB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Suite 4.02, 55 Mountain St, Ultimo NSW 2007</w:t>
                      </w:r>
                    </w:p>
                    <w:p w14:paraId="51BC23CC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Tel: (02) 9288 4000 | TTY: (02) 9281 5322 | Fax: (02) 9288 4019</w:t>
                      </w:r>
                    </w:p>
                    <w:p w14:paraId="51BC23CD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www.accan.org.au | info@accan.org.au | twitter: @ACCAN_AU</w:t>
                      </w:r>
                    </w:p>
                  </w:txbxContent>
                </v:textbox>
              </v:shape>
              <v:line id="Straight Connector 1" o:spid="_x0000_s1028" style="position:absolute;visibility:visible;mso-wrap-style:square" from="307,3166" to="67317,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" strokecolor="#23b0e6" strokeweight="3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3BC" w14:textId="77777777" w:rsidR="00215A07" w:rsidRPr="00E05115" w:rsidRDefault="00215A07" w:rsidP="00C4251E">
    <w:pPr>
      <w:spacing w:after="0" w:line="240" w:lineRule="auto"/>
      <w:rPr>
        <w:color w:val="23B0E6"/>
      </w:rPr>
    </w:pPr>
    <w:r w:rsidRPr="00E05115">
      <w:rPr>
        <w:color w:val="23B0E6"/>
      </w:rPr>
      <w:t>www.accan.org.au | info@accan.org.au | twitter: @ACCAN_AU</w:t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 w:rsidRPr="00C4251E">
      <w:fldChar w:fldCharType="begin"/>
    </w:r>
    <w:r w:rsidRPr="00C4251E">
      <w:instrText xml:space="preserve"> PAGE   \* MERGEFORMAT </w:instrText>
    </w:r>
    <w:r w:rsidRPr="00C4251E">
      <w:fldChar w:fldCharType="separate"/>
    </w:r>
    <w:r w:rsidR="00171A64">
      <w:rPr>
        <w:noProof/>
      </w:rPr>
      <w:t>2</w:t>
    </w:r>
    <w:r w:rsidRPr="00C4251E">
      <w:rPr>
        <w:noProof/>
      </w:rPr>
      <w:fldChar w:fldCharType="end"/>
    </w:r>
  </w:p>
  <w:p w14:paraId="51BC23BD" w14:textId="77777777" w:rsidR="00215A07" w:rsidRDefault="00215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23B5" w14:textId="77777777" w:rsidR="00215A07" w:rsidRDefault="00215A07" w:rsidP="005820C9">
      <w:pPr>
        <w:spacing w:after="0" w:line="240" w:lineRule="auto"/>
      </w:pPr>
      <w:r>
        <w:separator/>
      </w:r>
    </w:p>
  </w:footnote>
  <w:footnote w:type="continuationSeparator" w:id="0">
    <w:p w14:paraId="51BC23B6" w14:textId="77777777" w:rsidR="00215A07" w:rsidRDefault="00215A07" w:rsidP="005820C9">
      <w:pPr>
        <w:spacing w:after="0" w:line="240" w:lineRule="auto"/>
      </w:pPr>
      <w:r>
        <w:continuationSeparator/>
      </w:r>
    </w:p>
  </w:footnote>
  <w:footnote w:id="1">
    <w:p w14:paraId="51BC23C2" w14:textId="77777777" w:rsidR="00215A07" w:rsidRPr="00BE24FD" w:rsidRDefault="00215A07" w:rsidP="00BE24FD">
      <w:pPr>
        <w:rPr>
          <w:rFonts w:ascii="Arial" w:hAnsi="Arial" w:cs="Arial"/>
          <w:iCs/>
          <w:sz w:val="20"/>
          <w:szCs w:val="18"/>
        </w:rPr>
      </w:pPr>
      <w:r w:rsidRPr="00BE24FD">
        <w:rPr>
          <w:rStyle w:val="FootnoteReference"/>
          <w:rFonts w:ascii="Arial" w:hAnsi="Arial" w:cs="Arial"/>
          <w:sz w:val="20"/>
          <w:szCs w:val="18"/>
        </w:rPr>
        <w:footnoteRef/>
      </w:r>
      <w:r w:rsidRPr="00BE24FD">
        <w:rPr>
          <w:rFonts w:ascii="Arial" w:hAnsi="Arial" w:cs="Arial"/>
          <w:sz w:val="20"/>
          <w:szCs w:val="18"/>
        </w:rPr>
        <w:t xml:space="preserve"> </w:t>
      </w:r>
      <w:r w:rsidR="007166DA" w:rsidRPr="00BE24FD">
        <w:rPr>
          <w:rFonts w:ascii="Arial" w:hAnsi="Arial" w:cs="Arial"/>
          <w:sz w:val="20"/>
          <w:szCs w:val="18"/>
        </w:rPr>
        <w:t>T</w:t>
      </w:r>
      <w:r w:rsidRPr="00BE24FD">
        <w:rPr>
          <w:rFonts w:ascii="Arial" w:hAnsi="Arial" w:cs="Arial"/>
          <w:sz w:val="20"/>
          <w:szCs w:val="18"/>
        </w:rPr>
        <w:t xml:space="preserve">he </w:t>
      </w:r>
      <w:r w:rsidRPr="00BE24FD">
        <w:rPr>
          <w:rFonts w:ascii="Arial" w:hAnsi="Arial" w:cs="Arial"/>
          <w:iCs/>
          <w:sz w:val="20"/>
          <w:szCs w:val="18"/>
        </w:rPr>
        <w:t>Broadcasting Services Amendment (Improved Access to Television Services) Act 2012</w:t>
      </w:r>
      <w:r w:rsidR="007166DA" w:rsidRPr="00BE24FD">
        <w:rPr>
          <w:rFonts w:ascii="Arial" w:hAnsi="Arial" w:cs="Arial"/>
          <w:iCs/>
          <w:sz w:val="20"/>
          <w:szCs w:val="18"/>
        </w:rPr>
        <w:t xml:space="preserve"> </w:t>
      </w:r>
      <w:hyperlink r:id="rId1" w:history="1">
        <w:r w:rsidRPr="00BE24FD">
          <w:rPr>
            <w:rStyle w:val="Hyperlink"/>
            <w:rFonts w:ascii="Arial" w:hAnsi="Arial" w:cs="Arial"/>
            <w:sz w:val="20"/>
            <w:szCs w:val="18"/>
          </w:rPr>
          <w:t>http://www.comlaw.gov.au/Details/C2012A00083</w:t>
        </w:r>
      </w:hyperlink>
    </w:p>
  </w:footnote>
  <w:footnote w:id="2">
    <w:p w14:paraId="51BC23C3" w14:textId="77777777" w:rsidR="00215A07" w:rsidRPr="00BE24FD" w:rsidRDefault="00215A07" w:rsidP="00BE24FD">
      <w:pPr>
        <w:rPr>
          <w:rFonts w:ascii="Arial" w:hAnsi="Arial" w:cs="Arial"/>
          <w:sz w:val="20"/>
          <w:szCs w:val="18"/>
        </w:rPr>
      </w:pPr>
      <w:r w:rsidRPr="00BE24FD">
        <w:rPr>
          <w:rStyle w:val="FootnoteReference"/>
          <w:rFonts w:ascii="Arial" w:hAnsi="Arial" w:cs="Arial"/>
          <w:sz w:val="20"/>
          <w:szCs w:val="18"/>
        </w:rPr>
        <w:footnoteRef/>
      </w:r>
      <w:r w:rsidRPr="00BE24FD">
        <w:rPr>
          <w:rFonts w:ascii="Arial" w:hAnsi="Arial" w:cs="Arial"/>
          <w:sz w:val="20"/>
          <w:szCs w:val="18"/>
        </w:rPr>
        <w:t xml:space="preserve"> See IBIS World’s Pay Television market research report</w:t>
      </w:r>
      <w:r w:rsidR="007166DA" w:rsidRPr="00BE24FD">
        <w:rPr>
          <w:rFonts w:ascii="Arial" w:hAnsi="Arial" w:cs="Arial"/>
          <w:sz w:val="20"/>
          <w:szCs w:val="18"/>
        </w:rPr>
        <w:t xml:space="preserve"> </w:t>
      </w:r>
      <w:r w:rsidRPr="00BE24FD">
        <w:rPr>
          <w:rFonts w:ascii="Arial" w:hAnsi="Arial" w:cs="Arial"/>
          <w:sz w:val="20"/>
          <w:szCs w:val="18"/>
        </w:rPr>
        <w:t xml:space="preserve">2014 </w:t>
      </w:r>
      <w:hyperlink r:id="rId2" w:history="1">
        <w:r w:rsidRPr="00BE24FD">
          <w:rPr>
            <w:rStyle w:val="Hyperlink"/>
            <w:rFonts w:ascii="Arial" w:hAnsi="Arial" w:cs="Arial"/>
            <w:sz w:val="20"/>
            <w:szCs w:val="18"/>
          </w:rPr>
          <w:t>http://www.ibisworld.com.au/industry/default.aspx?indid=1817</w:t>
        </w:r>
      </w:hyperlink>
    </w:p>
  </w:footnote>
  <w:footnote w:id="3">
    <w:p w14:paraId="51BC23C4" w14:textId="77777777" w:rsidR="00215A07" w:rsidRPr="00BE24FD" w:rsidRDefault="00215A07" w:rsidP="00BE24FD">
      <w:pPr>
        <w:pStyle w:val="FootnoteText"/>
        <w:spacing w:after="200" w:line="276" w:lineRule="auto"/>
        <w:rPr>
          <w:rFonts w:ascii="Arial" w:hAnsi="Arial" w:cs="Arial"/>
          <w:szCs w:val="18"/>
        </w:rPr>
      </w:pPr>
      <w:r w:rsidRPr="00BE24FD">
        <w:rPr>
          <w:rStyle w:val="FootnoteReference"/>
          <w:rFonts w:ascii="Arial" w:hAnsi="Arial" w:cs="Arial"/>
          <w:szCs w:val="18"/>
        </w:rPr>
        <w:footnoteRef/>
      </w:r>
      <w:r w:rsidRPr="00BE24FD">
        <w:rPr>
          <w:rFonts w:ascii="Arial" w:hAnsi="Arial" w:cs="Arial"/>
          <w:szCs w:val="18"/>
        </w:rPr>
        <w:t xml:space="preserve"> </w:t>
      </w:r>
      <w:hyperlink r:id="rId3" w:history="1">
        <w:r w:rsidRPr="00BE24FD">
          <w:rPr>
            <w:rStyle w:val="Hyperlink"/>
            <w:rFonts w:ascii="Arial" w:hAnsi="Arial" w:cs="Arial"/>
            <w:szCs w:val="18"/>
          </w:rPr>
          <w:t>http://www.acma.gov.au/Citizen/TV-Radio/Television/Captioning/captioning-1</w:t>
        </w:r>
      </w:hyperlink>
    </w:p>
  </w:footnote>
  <w:footnote w:id="4">
    <w:p w14:paraId="51BC23C5" w14:textId="77777777" w:rsidR="00215A07" w:rsidRPr="00BE24FD" w:rsidRDefault="00215A07" w:rsidP="00BE24FD">
      <w:pPr>
        <w:pStyle w:val="FootnoteText"/>
        <w:spacing w:after="200" w:line="276" w:lineRule="auto"/>
        <w:rPr>
          <w:rFonts w:ascii="Arial" w:hAnsi="Arial" w:cs="Arial"/>
          <w:szCs w:val="18"/>
          <w:lang w:val="en"/>
        </w:rPr>
      </w:pPr>
      <w:r w:rsidRPr="00BE24FD">
        <w:rPr>
          <w:rStyle w:val="FootnoteReference"/>
          <w:rFonts w:ascii="Arial" w:hAnsi="Arial" w:cs="Arial"/>
          <w:szCs w:val="18"/>
        </w:rPr>
        <w:footnoteRef/>
      </w:r>
      <w:r w:rsidRPr="00BE24FD">
        <w:rPr>
          <w:rFonts w:ascii="Arial" w:hAnsi="Arial" w:cs="Arial"/>
          <w:szCs w:val="18"/>
        </w:rPr>
        <w:t xml:space="preserve"> </w:t>
      </w:r>
      <w:r w:rsidRPr="00BE24FD">
        <w:rPr>
          <w:rFonts w:ascii="Arial" w:hAnsi="Arial" w:cs="Arial"/>
          <w:szCs w:val="18"/>
          <w:lang w:val="en-AU"/>
        </w:rPr>
        <w:t xml:space="preserve">see </w:t>
      </w:r>
      <w:hyperlink r:id="rId4" w:history="1">
        <w:r w:rsidRPr="00BE24FD">
          <w:rPr>
            <w:rStyle w:val="Hyperlink"/>
            <w:rFonts w:ascii="Arial" w:hAnsi="Arial" w:cs="Arial"/>
            <w:szCs w:val="18"/>
            <w:lang w:val="en"/>
          </w:rPr>
          <w:t>http://accan.org.au/our-work/submissions/1152-</w:t>
        </w:r>
      </w:hyperlink>
    </w:p>
  </w:footnote>
  <w:footnote w:id="5">
    <w:p w14:paraId="51BC23C6" w14:textId="77777777" w:rsidR="00215A07" w:rsidRPr="00BE24FD" w:rsidRDefault="00215A07" w:rsidP="00BE24FD">
      <w:pPr>
        <w:pStyle w:val="FootnoteText"/>
        <w:spacing w:after="200" w:line="276" w:lineRule="auto"/>
        <w:rPr>
          <w:rFonts w:ascii="Arial" w:hAnsi="Arial" w:cs="Arial"/>
          <w:szCs w:val="18"/>
          <w:lang w:val="en-AU"/>
        </w:rPr>
      </w:pPr>
      <w:r w:rsidRPr="00BE24FD">
        <w:rPr>
          <w:rStyle w:val="FootnoteReference"/>
          <w:rFonts w:ascii="Arial" w:hAnsi="Arial" w:cs="Arial"/>
          <w:szCs w:val="18"/>
        </w:rPr>
        <w:footnoteRef/>
      </w:r>
      <w:r w:rsidRPr="00BE24FD">
        <w:rPr>
          <w:rFonts w:ascii="Arial" w:hAnsi="Arial" w:cs="Arial"/>
          <w:szCs w:val="18"/>
        </w:rPr>
        <w:t xml:space="preserve"> see </w:t>
      </w:r>
      <w:hyperlink r:id="rId5" w:history="1">
        <w:r w:rsidRPr="00BE24FD">
          <w:rPr>
            <w:rStyle w:val="Hyperlink"/>
            <w:rFonts w:ascii="Arial" w:hAnsi="Arial" w:cs="Arial"/>
            <w:szCs w:val="18"/>
          </w:rPr>
          <w:t>http://www.fcc.gov/encyclopedia/twenty-first-century-communications-and-video-accessibility-act-0</w:t>
        </w:r>
      </w:hyperlink>
      <w:r w:rsidRPr="00BE24FD">
        <w:rPr>
          <w:rFonts w:ascii="Arial" w:hAnsi="Arial" w:cs="Arial"/>
          <w:szCs w:val="18"/>
        </w:rPr>
        <w:t xml:space="preserve"> </w:t>
      </w:r>
    </w:p>
  </w:footnote>
  <w:footnote w:id="6">
    <w:p w14:paraId="51BC23C7" w14:textId="77777777" w:rsidR="00215A07" w:rsidRPr="00BE24FD" w:rsidRDefault="00215A07" w:rsidP="00BE24FD">
      <w:pPr>
        <w:pStyle w:val="FootnoteText"/>
        <w:spacing w:after="200" w:line="276" w:lineRule="auto"/>
        <w:rPr>
          <w:rFonts w:ascii="Arial" w:hAnsi="Arial" w:cs="Arial"/>
          <w:szCs w:val="18"/>
          <w:lang w:val="en-AU"/>
        </w:rPr>
      </w:pPr>
      <w:r w:rsidRPr="00BE24FD">
        <w:rPr>
          <w:rStyle w:val="FootnoteReference"/>
          <w:rFonts w:ascii="Arial" w:hAnsi="Arial" w:cs="Arial"/>
          <w:szCs w:val="18"/>
        </w:rPr>
        <w:footnoteRef/>
      </w:r>
      <w:r w:rsidRPr="00BE24FD">
        <w:rPr>
          <w:rFonts w:ascii="Arial" w:hAnsi="Arial" w:cs="Arial"/>
          <w:szCs w:val="18"/>
        </w:rPr>
        <w:t xml:space="preserve"> </w:t>
      </w:r>
      <w:r w:rsidRPr="00BE24FD">
        <w:rPr>
          <w:rFonts w:ascii="Arial" w:hAnsi="Arial" w:cs="Arial"/>
          <w:szCs w:val="18"/>
          <w:lang w:val="en-AU"/>
        </w:rPr>
        <w:t xml:space="preserve">See FCC Accessibility Clearing House </w:t>
      </w:r>
      <w:hyperlink r:id="rId6" w:history="1">
        <w:r w:rsidRPr="00BE24FD">
          <w:rPr>
            <w:rStyle w:val="Hyperlink"/>
            <w:rFonts w:ascii="Arial" w:hAnsi="Arial" w:cs="Arial"/>
            <w:szCs w:val="18"/>
            <w:lang w:val="en-AU"/>
          </w:rPr>
          <w:t>http://ach.fcc.gov/products-and-services/mobile-devices/region-na/all-manufacturer/all-blind-features/all-cognitive-features/all-hearing-features/all-mobility-features/all-physical-features/page-1-of-3/show-100/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3B9" w14:textId="77777777" w:rsidR="00215A07" w:rsidRDefault="00215A07" w:rsidP="00DD7C1C">
    <w:pPr>
      <w:pStyle w:val="Header"/>
      <w:tabs>
        <w:tab w:val="clear" w:pos="4513"/>
        <w:tab w:val="clear" w:pos="9026"/>
      </w:tabs>
      <w:ind w:right="-1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51BC23BE" wp14:editId="51BC23BF">
          <wp:simplePos x="0" y="0"/>
          <wp:positionH relativeFrom="column">
            <wp:posOffset>4785812</wp:posOffset>
          </wp:positionH>
          <wp:positionV relativeFrom="paragraph">
            <wp:posOffset>117807</wp:posOffset>
          </wp:positionV>
          <wp:extent cx="1630800" cy="756000"/>
          <wp:effectExtent l="0" t="0" r="762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_logo_BLUE_RGB Standalone 11x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3BB" w14:textId="77777777" w:rsidR="00215A07" w:rsidRDefault="00215A07" w:rsidP="005820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35B"/>
    <w:multiLevelType w:val="hybridMultilevel"/>
    <w:tmpl w:val="46302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spinCount="100000" w:hashValue="yZ4nbOKAD3MU2hZIN5MFk8IHdXId+VlHt2fylykeDso=" w:saltValue="fzmi7p0uVoXv15YBaNYycQ==" w:algorithmName="SHA-256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CB1"/>
    <w:rsid w:val="00002D94"/>
    <w:rsid w:val="00027253"/>
    <w:rsid w:val="00050D67"/>
    <w:rsid w:val="000536C3"/>
    <w:rsid w:val="00057060"/>
    <w:rsid w:val="00084A5B"/>
    <w:rsid w:val="0009317A"/>
    <w:rsid w:val="000D6E5B"/>
    <w:rsid w:val="000F23CF"/>
    <w:rsid w:val="001023C2"/>
    <w:rsid w:val="0010269E"/>
    <w:rsid w:val="001141EE"/>
    <w:rsid w:val="00141BA8"/>
    <w:rsid w:val="001627E8"/>
    <w:rsid w:val="00171A64"/>
    <w:rsid w:val="001951BA"/>
    <w:rsid w:val="00197D12"/>
    <w:rsid w:val="001C28E7"/>
    <w:rsid w:val="001E5449"/>
    <w:rsid w:val="00215A07"/>
    <w:rsid w:val="002236F9"/>
    <w:rsid w:val="002266B3"/>
    <w:rsid w:val="00234042"/>
    <w:rsid w:val="00296E12"/>
    <w:rsid w:val="002E5AFE"/>
    <w:rsid w:val="00307517"/>
    <w:rsid w:val="00314238"/>
    <w:rsid w:val="0031743B"/>
    <w:rsid w:val="003B1499"/>
    <w:rsid w:val="003B2CAF"/>
    <w:rsid w:val="003E6503"/>
    <w:rsid w:val="003F4D21"/>
    <w:rsid w:val="004552EA"/>
    <w:rsid w:val="00472C7E"/>
    <w:rsid w:val="004850E4"/>
    <w:rsid w:val="004971DC"/>
    <w:rsid w:val="004A01EB"/>
    <w:rsid w:val="004B5F63"/>
    <w:rsid w:val="004C0299"/>
    <w:rsid w:val="004C3886"/>
    <w:rsid w:val="004C423A"/>
    <w:rsid w:val="0053145A"/>
    <w:rsid w:val="005405A8"/>
    <w:rsid w:val="005820C9"/>
    <w:rsid w:val="005951AE"/>
    <w:rsid w:val="005A673E"/>
    <w:rsid w:val="005C6CFF"/>
    <w:rsid w:val="005F3A3C"/>
    <w:rsid w:val="005F43D9"/>
    <w:rsid w:val="00616356"/>
    <w:rsid w:val="00623720"/>
    <w:rsid w:val="00635E7D"/>
    <w:rsid w:val="00681B6B"/>
    <w:rsid w:val="00684A52"/>
    <w:rsid w:val="006A1B69"/>
    <w:rsid w:val="0070721D"/>
    <w:rsid w:val="007166DA"/>
    <w:rsid w:val="00744AC9"/>
    <w:rsid w:val="007506AE"/>
    <w:rsid w:val="007630D3"/>
    <w:rsid w:val="00774376"/>
    <w:rsid w:val="007A3E1A"/>
    <w:rsid w:val="007C6710"/>
    <w:rsid w:val="007D3F16"/>
    <w:rsid w:val="007E6874"/>
    <w:rsid w:val="00813813"/>
    <w:rsid w:val="0084499E"/>
    <w:rsid w:val="00874727"/>
    <w:rsid w:val="0087523D"/>
    <w:rsid w:val="00897313"/>
    <w:rsid w:val="008A19E7"/>
    <w:rsid w:val="008E2E48"/>
    <w:rsid w:val="008F7E90"/>
    <w:rsid w:val="00921B3E"/>
    <w:rsid w:val="009322D0"/>
    <w:rsid w:val="0093425E"/>
    <w:rsid w:val="00941451"/>
    <w:rsid w:val="00953275"/>
    <w:rsid w:val="00983BFC"/>
    <w:rsid w:val="009947DF"/>
    <w:rsid w:val="009A227B"/>
    <w:rsid w:val="009E1C10"/>
    <w:rsid w:val="009F5E50"/>
    <w:rsid w:val="00A03CB1"/>
    <w:rsid w:val="00A10A3C"/>
    <w:rsid w:val="00A275D7"/>
    <w:rsid w:val="00A4201F"/>
    <w:rsid w:val="00A4447D"/>
    <w:rsid w:val="00A4540D"/>
    <w:rsid w:val="00A9052F"/>
    <w:rsid w:val="00AA686C"/>
    <w:rsid w:val="00AD3F36"/>
    <w:rsid w:val="00AE2840"/>
    <w:rsid w:val="00AE567A"/>
    <w:rsid w:val="00B4140A"/>
    <w:rsid w:val="00B418A0"/>
    <w:rsid w:val="00B70982"/>
    <w:rsid w:val="00B87233"/>
    <w:rsid w:val="00B903CB"/>
    <w:rsid w:val="00B94449"/>
    <w:rsid w:val="00BC1082"/>
    <w:rsid w:val="00BD02DB"/>
    <w:rsid w:val="00BD06ED"/>
    <w:rsid w:val="00BD4E1B"/>
    <w:rsid w:val="00BE24FD"/>
    <w:rsid w:val="00C32DD1"/>
    <w:rsid w:val="00C4251E"/>
    <w:rsid w:val="00C613FC"/>
    <w:rsid w:val="00C766BE"/>
    <w:rsid w:val="00CC42FF"/>
    <w:rsid w:val="00CC7FF9"/>
    <w:rsid w:val="00CE7065"/>
    <w:rsid w:val="00CF5B31"/>
    <w:rsid w:val="00D031AC"/>
    <w:rsid w:val="00D15D09"/>
    <w:rsid w:val="00D21D22"/>
    <w:rsid w:val="00D24588"/>
    <w:rsid w:val="00D3039A"/>
    <w:rsid w:val="00D35515"/>
    <w:rsid w:val="00D3636E"/>
    <w:rsid w:val="00D66D95"/>
    <w:rsid w:val="00D871E8"/>
    <w:rsid w:val="00D9026A"/>
    <w:rsid w:val="00DD1B6E"/>
    <w:rsid w:val="00DD7C1C"/>
    <w:rsid w:val="00E05115"/>
    <w:rsid w:val="00E22F9D"/>
    <w:rsid w:val="00E45644"/>
    <w:rsid w:val="00E54047"/>
    <w:rsid w:val="00E81ECD"/>
    <w:rsid w:val="00EA4AEA"/>
    <w:rsid w:val="00EB2969"/>
    <w:rsid w:val="00EF2BFD"/>
    <w:rsid w:val="00F14E14"/>
    <w:rsid w:val="00F573F8"/>
    <w:rsid w:val="00F61950"/>
    <w:rsid w:val="00F76853"/>
    <w:rsid w:val="00F860D4"/>
    <w:rsid w:val="00FA240A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BC23A1"/>
  <w15:docId w15:val="{4B315BE2-B56C-4773-A091-7D78D4F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ate/Address"/>
    <w:qFormat/>
    <w:rsid w:val="00B4140A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8F7E90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aps/>
      <w:sz w:val="4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8F7E90"/>
    <w:pPr>
      <w:keepNext/>
      <w:spacing w:after="120" w:line="240" w:lineRule="auto"/>
      <w:outlineLvl w:val="1"/>
    </w:pPr>
    <w:rPr>
      <w:rFonts w:eastAsia="Times New Roman" w:cs="Times New Roman"/>
      <w:b/>
      <w:bCs/>
      <w:iCs/>
      <w:sz w:val="36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rsid w:val="008F7E90"/>
    <w:pPr>
      <w:keepNext/>
      <w:spacing w:after="0" w:line="240" w:lineRule="auto"/>
      <w:outlineLvl w:val="2"/>
    </w:pPr>
    <w:rPr>
      <w:rFonts w:eastAsia="Times New Roman" w:cs="Times New Roman"/>
      <w:b/>
      <w:bCs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F7E90"/>
    <w:pPr>
      <w:keepNext/>
      <w:keepLines/>
      <w:spacing w:before="120" w:after="0" w:line="240" w:lineRule="auto"/>
      <w:outlineLvl w:val="3"/>
    </w:pPr>
    <w:rPr>
      <w:rFonts w:eastAsiaTheme="majorEastAsia" w:cstheme="majorBidi"/>
      <w:bCs/>
      <w:iCs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F7E90"/>
    <w:pPr>
      <w:keepNext/>
      <w:keepLines/>
      <w:spacing w:before="200" w:after="0" w:line="240" w:lineRule="auto"/>
      <w:outlineLvl w:val="4"/>
    </w:pPr>
    <w:rPr>
      <w:rFonts w:eastAsiaTheme="majorEastAsia" w:cstheme="majorBidi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F7E90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90"/>
    <w:rPr>
      <w:rFonts w:eastAsiaTheme="majorEastAsia" w:cstheme="majorBidi"/>
      <w:b/>
      <w:bCs/>
      <w:caps/>
      <w:sz w:val="4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8F7E90"/>
    <w:rPr>
      <w:rFonts w:eastAsia="Times New Roman" w:cs="Times New Roman"/>
      <w:b/>
      <w:bCs/>
      <w:i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F7E90"/>
    <w:rPr>
      <w:rFonts w:eastAsia="Times New Roman" w:cs="Times New Roman"/>
      <w:b/>
      <w:bCs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7E90"/>
    <w:rPr>
      <w:rFonts w:eastAsiaTheme="majorEastAsia" w:cstheme="majorBidi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F7E90"/>
    <w:rPr>
      <w:rFonts w:eastAsiaTheme="majorEastAsia" w:cstheme="majorBidi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F7E90"/>
    <w:rPr>
      <w:rFonts w:eastAsiaTheme="majorEastAsia" w:cstheme="majorBidi"/>
      <w:i/>
      <w:iCs/>
      <w:lang w:val="en-GB"/>
    </w:rPr>
  </w:style>
  <w:style w:type="paragraph" w:customStyle="1" w:styleId="Normal0">
    <w:name w:val="[Normal]"/>
    <w:uiPriority w:val="99"/>
    <w:rsid w:val="008F7E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HSText10ptChar">
    <w:name w:val="DHS Text 10pt Char"/>
    <w:uiPriority w:val="99"/>
    <w:rsid w:val="008F7E90"/>
    <w:rPr>
      <w:rFonts w:ascii="Verdana" w:hAnsi="Verdana"/>
      <w:lang w:val="en-AU" w:eastAsia="en-US"/>
    </w:rPr>
  </w:style>
  <w:style w:type="character" w:customStyle="1" w:styleId="notranslate">
    <w:name w:val="notranslate"/>
    <w:basedOn w:val="DefaultParagraphFont"/>
    <w:rsid w:val="008F7E90"/>
  </w:style>
  <w:style w:type="paragraph" w:customStyle="1" w:styleId="LineLast">
    <w:name w:val="Line Last"/>
    <w:basedOn w:val="Normal"/>
    <w:rsid w:val="008F7E90"/>
    <w:pPr>
      <w:tabs>
        <w:tab w:val="left" w:leader="underscore" w:pos="8640"/>
      </w:tabs>
      <w:spacing w:before="60" w:after="36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SurveyquestionforLines">
    <w:name w:val="Survey question for Lines"/>
    <w:basedOn w:val="Normal"/>
    <w:rsid w:val="008F7E90"/>
    <w:pPr>
      <w:keepNext/>
      <w:spacing w:before="320" w:after="0" w:line="240" w:lineRule="auto"/>
    </w:pPr>
    <w:rPr>
      <w:rFonts w:ascii="Tahoma" w:eastAsia="Times New Roman" w:hAnsi="Tahoma" w:cs="Times New Roman"/>
      <w:b/>
      <w:sz w:val="20"/>
      <w:szCs w:val="24"/>
      <w:lang w:val="en-US" w:eastAsia="en-US"/>
    </w:rPr>
  </w:style>
  <w:style w:type="paragraph" w:customStyle="1" w:styleId="Line">
    <w:name w:val="Line"/>
    <w:basedOn w:val="Normal"/>
    <w:rsid w:val="008F7E90"/>
    <w:pPr>
      <w:tabs>
        <w:tab w:val="left" w:leader="underscore" w:pos="8640"/>
      </w:tabs>
      <w:spacing w:before="60" w:after="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Thankyou">
    <w:name w:val="Thankyou"/>
    <w:basedOn w:val="Normal"/>
    <w:rsid w:val="008F7E90"/>
    <w:pPr>
      <w:keepNext/>
      <w:spacing w:before="240" w:after="0" w:line="240" w:lineRule="auto"/>
      <w:jc w:val="center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maintitle">
    <w:name w:val="maintitle"/>
    <w:basedOn w:val="DefaultParagraphFont"/>
    <w:rsid w:val="008F7E90"/>
  </w:style>
  <w:style w:type="paragraph" w:customStyle="1" w:styleId="Tablecell">
    <w:name w:val="Table cell"/>
    <w:basedOn w:val="Header"/>
    <w:rsid w:val="008F7E90"/>
    <w:pPr>
      <w:keepLines/>
      <w:tabs>
        <w:tab w:val="clear" w:pos="4513"/>
        <w:tab w:val="clear" w:pos="9026"/>
      </w:tabs>
      <w:suppressAutoHyphens/>
      <w:spacing w:before="40" w:after="40"/>
    </w:pPr>
    <w:rPr>
      <w:rFonts w:ascii="Arial" w:eastAsia="Times New Roman" w:hAnsi="Arial" w:cs="Arial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7E90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F7E90"/>
    <w:pPr>
      <w:spacing w:after="100" w:line="240" w:lineRule="auto"/>
    </w:pPr>
    <w:rPr>
      <w:rFonts w:eastAsiaTheme="minorHAnsi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F7E90"/>
    <w:pPr>
      <w:spacing w:after="100" w:line="240" w:lineRule="auto"/>
      <w:ind w:left="220"/>
    </w:pPr>
    <w:rPr>
      <w:rFonts w:eastAsiaTheme="minorHAnsi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F7E90"/>
    <w:pPr>
      <w:spacing w:after="100" w:line="240" w:lineRule="auto"/>
      <w:ind w:left="440"/>
    </w:pPr>
    <w:rPr>
      <w:rFonts w:eastAsiaTheme="minorHAnsi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8F7E90"/>
    <w:pPr>
      <w:spacing w:after="100" w:line="240" w:lineRule="auto"/>
      <w:ind w:left="660"/>
    </w:pPr>
    <w:rPr>
      <w:rFonts w:eastAsiaTheme="minorHAnsi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E90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90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E90"/>
    <w:rPr>
      <w:lang w:val="en-GB"/>
    </w:rPr>
  </w:style>
  <w:style w:type="paragraph" w:styleId="Caption">
    <w:name w:val="caption"/>
    <w:basedOn w:val="Normal"/>
    <w:next w:val="Normal"/>
    <w:uiPriority w:val="35"/>
    <w:unhideWhenUsed/>
    <w:rsid w:val="008F7E9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7E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7E9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8F7E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E90"/>
    <w:rPr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rsid w:val="008F7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rsid w:val="008F7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odyText">
    <w:name w:val="Body Text"/>
    <w:basedOn w:val="Normal"/>
    <w:link w:val="BodyTextChar"/>
    <w:rsid w:val="008F7E9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7E9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E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7E90"/>
    <w:rPr>
      <w:b/>
      <w:bCs/>
    </w:rPr>
  </w:style>
  <w:style w:type="paragraph" w:styleId="NormalWeb">
    <w:name w:val="Normal (Web)"/>
    <w:basedOn w:val="Normal"/>
    <w:uiPriority w:val="99"/>
    <w:unhideWhenUsed/>
    <w:rsid w:val="008F7E90"/>
    <w:pPr>
      <w:spacing w:before="140" w:after="14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E9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0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F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90"/>
    <w:pPr>
      <w:spacing w:after="0" w:line="240" w:lineRule="auto"/>
      <w:ind w:left="720"/>
      <w:contextualSpacing/>
    </w:pPr>
    <w:rPr>
      <w:rFonts w:eastAsiaTheme="minorHAnsi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90"/>
    <w:pPr>
      <w:spacing w:line="276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4047"/>
    <w:rPr>
      <w:color w:val="800080" w:themeColor="followedHyperlink"/>
      <w:u w:val="single"/>
    </w:rPr>
  </w:style>
  <w:style w:type="paragraph" w:styleId="NoSpacing">
    <w:name w:val="No Spacing"/>
    <w:rsid w:val="00084A5B"/>
    <w:rPr>
      <w:rFonts w:ascii="Arial" w:eastAsia="Calibri" w:hAnsi="Arial" w:cs="Times New Roman"/>
      <w:sz w:val="24"/>
    </w:rPr>
  </w:style>
  <w:style w:type="paragraph" w:customStyle="1" w:styleId="BodyText1">
    <w:name w:val="Body Text1"/>
    <w:basedOn w:val="Normal"/>
    <w:qFormat/>
    <w:rsid w:val="00084A5B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82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ayne.Hawkins@accan.org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ma.gov.au/Citizen/TV-Radio/Television/Captioning/captioning-1" TargetMode="External"/><Relationship Id="rId2" Type="http://schemas.openxmlformats.org/officeDocument/2006/relationships/hyperlink" Target="http://www.ibisworld.com.au/industry/default.aspx?indid=1817" TargetMode="External"/><Relationship Id="rId1" Type="http://schemas.openxmlformats.org/officeDocument/2006/relationships/hyperlink" Target="http://www.comlaw.gov.au/Details/C2012A00083" TargetMode="External"/><Relationship Id="rId6" Type="http://schemas.openxmlformats.org/officeDocument/2006/relationships/hyperlink" Target="http://ach.fcc.gov/products-and-services/mobile-devices/region-na/all-manufacturer/all-blind-features/all-cognitive-features/all-hearing-features/all-mobility-features/all-physical-features/page-1-of-3/show-100/" TargetMode="External"/><Relationship Id="rId5" Type="http://schemas.openxmlformats.org/officeDocument/2006/relationships/hyperlink" Target="http://www.fcc.gov/encyclopedia/twenty-first-century-communications-and-video-accessibility-act-0" TargetMode="External"/><Relationship Id="rId4" Type="http://schemas.openxmlformats.org/officeDocument/2006/relationships/hyperlink" Target="http://accan.org.au/our-work/submissions/1152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AM7W7QW6R7VW-674487575-6324</_dlc_DocId>
    <_dlc_DocIdUrl xmlns="d71819ef-55b9-420a-86a4-d36bc037540e">
      <Url>http://collaboration/organisation/cccd/CCB/MOD/_layouts/15/DocIdRedir.aspx?ID=AM7W7QW6R7VW-674487575-6324</Url>
      <Description>AM7W7QW6R7VW-674487575-6324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1B16-78E5-4C40-BD1F-3D3F3058EB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3519CF-6AAB-4F33-A2FF-0581465B6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7D9D9-9808-49BF-BE7C-26B6B92D1C4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5D0A55-CFAD-400D-A488-46029B3AE0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A61502-9738-49F0-A203-F1B2E16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Hawkins</dc:creator>
  <cp:lastModifiedBy>Ryan Wilson</cp:lastModifiedBy>
  <cp:revision>5</cp:revision>
  <cp:lastPrinted>2014-02-18T23:13:00Z</cp:lastPrinted>
  <dcterms:created xsi:type="dcterms:W3CDTF">2019-06-12T05:25:00Z</dcterms:created>
  <dcterms:modified xsi:type="dcterms:W3CDTF">2019-07-19T04:12:00Z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848fe4d7-5981-4429-a6f8-712ee3b00088</vt:lpwstr>
  </property>
  <property fmtid="{D5CDD505-2E9C-101B-9397-08002B2CF9AE}" pid="3" name="ContentTypeId">
    <vt:lpwstr>0x010100C3F99C8C096DCE4E86DD43B0E41819A8</vt:lpwstr>
  </property>
</Properties>
</file>