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90453" w14:textId="77777777" w:rsidR="00F06E14" w:rsidRPr="00A51D1A" w:rsidRDefault="005D6256" w:rsidP="00A51D1A">
      <w:pPr>
        <w:pStyle w:val="ACMAReportTitle"/>
      </w:pPr>
      <w:r>
        <w:t>Managing spectrum in the 400 MHz band</w:t>
      </w:r>
    </w:p>
    <w:p w14:paraId="16990454" w14:textId="77777777" w:rsidR="00F06E14" w:rsidRDefault="003E7601" w:rsidP="00F06E14">
      <w:pPr>
        <w:pStyle w:val="ACMAReportSubTitle"/>
      </w:pPr>
      <w:r>
        <w:t>Response to submissions</w:t>
      </w:r>
    </w:p>
    <w:p w14:paraId="16990455" w14:textId="7A840FD4" w:rsidR="00F06E14" w:rsidRDefault="00570AEA" w:rsidP="00D47AEB">
      <w:pPr>
        <w:pStyle w:val="ACMAReportDate"/>
        <w:spacing w:after="720"/>
      </w:pPr>
      <w:r>
        <w:t xml:space="preserve">MARCH </w:t>
      </w:r>
      <w:r w:rsidR="005D6256">
        <w:t>2018</w:t>
      </w:r>
    </w:p>
    <w:p w14:paraId="16990469" w14:textId="6FCCD654" w:rsidR="00C97736" w:rsidRPr="000D76E0" w:rsidRDefault="00C97736" w:rsidP="0041071D">
      <w:pPr>
        <w:rPr>
          <w:rFonts w:cs="Arial"/>
        </w:rPr>
      </w:pPr>
    </w:p>
    <w:p w14:paraId="1699046A" w14:textId="77777777" w:rsidR="00C97736" w:rsidRPr="000D76E0" w:rsidRDefault="00C97736" w:rsidP="0041071D">
      <w:pPr>
        <w:rPr>
          <w:rFonts w:cs="Arial"/>
        </w:rPr>
        <w:sectPr w:rsidR="00C97736" w:rsidRPr="000D76E0" w:rsidSect="00CC5049">
          <w:headerReference w:type="even" r:id="rId8"/>
          <w:headerReference w:type="default" r:id="rId9"/>
          <w:footerReference w:type="even" r:id="rId10"/>
          <w:footerReference w:type="default" r:id="rId11"/>
          <w:headerReference w:type="first" r:id="rId12"/>
          <w:footerReference w:type="first" r:id="rId13"/>
          <w:pgSz w:w="11906" w:h="16838" w:code="9"/>
          <w:pgMar w:top="3924" w:right="1797" w:bottom="1440" w:left="1134" w:header="709" w:footer="454" w:gutter="0"/>
          <w:cols w:space="708"/>
          <w:docGrid w:linePitch="360"/>
        </w:sectPr>
      </w:pPr>
    </w:p>
    <w:p w14:paraId="1699046B" w14:textId="77777777" w:rsidR="0005011A" w:rsidRPr="00F44F3A" w:rsidRDefault="0005011A" w:rsidP="00FC07B9">
      <w:pPr>
        <w:pStyle w:val="ACMACorporateAddressHeader"/>
      </w:pPr>
      <w:r w:rsidRPr="00F44F3A">
        <w:lastRenderedPageBreak/>
        <w:t>Canberra</w:t>
      </w:r>
    </w:p>
    <w:p w14:paraId="1699046C"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699046D" w14:textId="77777777" w:rsidR="0005011A" w:rsidRPr="00FC07B9" w:rsidRDefault="0005011A" w:rsidP="00FC07B9">
      <w:pPr>
        <w:pStyle w:val="ACMACorporateAddresses"/>
      </w:pPr>
      <w:r w:rsidRPr="00FC07B9">
        <w:t>PO Box 78</w:t>
      </w:r>
      <w:r w:rsidRPr="00FC07B9">
        <w:br/>
        <w:t>Belconnen ACT 2616</w:t>
      </w:r>
    </w:p>
    <w:p w14:paraId="1699046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699046F" w14:textId="77777777" w:rsidR="0005011A" w:rsidRPr="00F44F3A" w:rsidRDefault="0005011A" w:rsidP="00FC07B9">
      <w:pPr>
        <w:pStyle w:val="ACMACorporateAddressHeader"/>
      </w:pPr>
      <w:r w:rsidRPr="00F44F3A">
        <w:t>Melbourne</w:t>
      </w:r>
    </w:p>
    <w:p w14:paraId="16990470"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6990471"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16990472"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16990473" w14:textId="77777777" w:rsidR="0005011A" w:rsidRPr="00F44F3A" w:rsidRDefault="0005011A" w:rsidP="00FC07B9">
      <w:pPr>
        <w:pStyle w:val="ACMACorporateAddressHeader"/>
      </w:pPr>
      <w:r w:rsidRPr="00F44F3A">
        <w:t>Sydney</w:t>
      </w:r>
    </w:p>
    <w:p w14:paraId="16990474"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6990475"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6990476"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6990477" w14:textId="77777777" w:rsidR="00140318" w:rsidRPr="006D46E5" w:rsidRDefault="00140318" w:rsidP="00FC07B9">
      <w:pPr>
        <w:pStyle w:val="ACMACopyrightHeader"/>
      </w:pPr>
      <w:r w:rsidRPr="00140318">
        <w:t>Copyright notice</w:t>
      </w:r>
    </w:p>
    <w:p w14:paraId="16990478" w14:textId="77777777" w:rsidR="00140318" w:rsidRPr="006D46E5" w:rsidRDefault="00623FF9" w:rsidP="00623FF9">
      <w:pPr>
        <w:pStyle w:val="ACMACClogo"/>
      </w:pPr>
      <w:r w:rsidRPr="00623FF9">
        <w:rPr>
          <w:noProof/>
        </w:rPr>
        <w:drawing>
          <wp:inline distT="0" distB="0" distL="0" distR="0" wp14:anchorId="1699050C" wp14:editId="1699050D">
            <wp:extent cx="838200" cy="295275"/>
            <wp:effectExtent l="0" t="0" r="0" b="0"/>
            <wp:docPr id="1" name="Picture 1" title="Creative Common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4"/>
                    </pic:cNvPr>
                    <pic:cNvPicPr>
                      <a:picLocks noChangeAspect="1" noChangeArrowheads="1"/>
                    </pic:cNvPicPr>
                  </pic:nvPicPr>
                  <pic:blipFill>
                    <a:blip r:embed="rId15" cstate="print"/>
                    <a:srcRect/>
                    <a:stretch>
                      <a:fillRect/>
                    </a:stretch>
                  </pic:blipFill>
                  <pic:spPr bwMode="auto">
                    <a:xfrm>
                      <a:off x="0" y="0"/>
                      <a:ext cx="838200" cy="295275"/>
                    </a:xfrm>
                    <a:prstGeom prst="rect">
                      <a:avLst/>
                    </a:prstGeom>
                    <a:noFill/>
                  </pic:spPr>
                </pic:pic>
              </a:graphicData>
            </a:graphic>
          </wp:inline>
        </w:drawing>
      </w:r>
    </w:p>
    <w:p w14:paraId="16990479" w14:textId="65FD38B5" w:rsidR="00140318" w:rsidRPr="00431792" w:rsidRDefault="001E7505" w:rsidP="00FC07B9">
      <w:pPr>
        <w:pStyle w:val="ACMACorporateAddresses"/>
        <w:rPr>
          <w:rStyle w:val="Hyperlink"/>
        </w:rPr>
      </w:pPr>
      <w:hyperlink r:id="rId16" w:history="1">
        <w:r w:rsidR="00D82BCC" w:rsidRPr="00D82BCC">
          <w:rPr>
            <w:rStyle w:val="Hyperlink"/>
          </w:rPr>
          <w:t>https://creativecommons.org/licenses/by/4.0/</w:t>
        </w:r>
        <w:r w:rsidR="00140318" w:rsidRPr="00D82BCC">
          <w:rPr>
            <w:rStyle w:val="Hyperlink"/>
          </w:rPr>
          <w:t>/</w:t>
        </w:r>
      </w:hyperlink>
    </w:p>
    <w:p w14:paraId="1699047A" w14:textId="436A5EF8" w:rsidR="00140318" w:rsidRPr="006D46E5" w:rsidRDefault="00140318" w:rsidP="00FC07B9">
      <w:pPr>
        <w:pStyle w:val="ACMACorporateAddresses"/>
      </w:pPr>
      <w:r w:rsidRPr="006D46E5">
        <w:t>With the exception of coats of arms, logos, emblems, images, other third-party material or devices protected by a trademark, this content is</w:t>
      </w:r>
      <w:r w:rsidR="00D82BCC">
        <w:t xml:space="preserve"> made available</w:t>
      </w:r>
      <w:r w:rsidRPr="006D46E5">
        <w:t xml:space="preserve"> </w:t>
      </w:r>
      <w:r w:rsidR="00D82BCC" w:rsidRPr="00D82BCC">
        <w:t>under the terms of the Creative Commons Attribution 4.0 International (CC BY 4.0) licence</w:t>
      </w:r>
      <w:r w:rsidRPr="006D46E5">
        <w:t xml:space="preserve">. </w:t>
      </w:r>
    </w:p>
    <w:p w14:paraId="1699047B" w14:textId="77777777" w:rsidR="00140318" w:rsidRPr="006D46E5" w:rsidRDefault="00C34A05" w:rsidP="00FC07B9">
      <w:pPr>
        <w:pStyle w:val="ACMACorporateAddresses"/>
      </w:pPr>
      <w:r w:rsidRPr="006872A7">
        <w:t>We request attribution as</w:t>
      </w:r>
      <w:r w:rsidR="00140318" w:rsidRPr="006872A7">
        <w:t xml:space="preserve"> © Commonwealth of Australia (Australian Communic</w:t>
      </w:r>
      <w:r w:rsidR="003215B5" w:rsidRPr="006872A7">
        <w:t>ations and Media Authority) 201</w:t>
      </w:r>
      <w:r w:rsidR="00B757B6" w:rsidRPr="006872A7">
        <w:t>8</w:t>
      </w:r>
      <w:r w:rsidR="00140318" w:rsidRPr="006872A7">
        <w:t>.</w:t>
      </w:r>
    </w:p>
    <w:p w14:paraId="1699047C" w14:textId="77777777" w:rsidR="00140318" w:rsidRPr="006D46E5" w:rsidRDefault="00140318" w:rsidP="00FC07B9">
      <w:pPr>
        <w:pStyle w:val="ACMACorporateAddresses"/>
      </w:pPr>
      <w:r>
        <w:t>All other rights are reserved.</w:t>
      </w:r>
    </w:p>
    <w:p w14:paraId="1699047D"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699047E" w14:textId="77777777" w:rsidR="00140318" w:rsidRPr="006D46E5" w:rsidRDefault="00140318" w:rsidP="00FC07B9">
      <w:pPr>
        <w:pStyle w:val="ACMACorporateAddresses"/>
      </w:pPr>
      <w:r w:rsidRPr="006D46E5">
        <w:t>Written enquiries may be sent to:</w:t>
      </w:r>
    </w:p>
    <w:p w14:paraId="1699047F"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7" w:history="1">
        <w:r w:rsidR="000A1400" w:rsidRPr="00826BEB">
          <w:rPr>
            <w:rStyle w:val="Hyperlink"/>
          </w:rPr>
          <w:t>info@acma.gov.au</w:t>
        </w:r>
      </w:hyperlink>
    </w:p>
    <w:p w14:paraId="16990480" w14:textId="77777777" w:rsidR="00D16FE3" w:rsidRDefault="00D16FE3" w:rsidP="00D16FE3">
      <w:pPr>
        <w:pStyle w:val="ACMACorporateAddresses"/>
        <w:rPr>
          <w:rStyle w:val="Hyperlink"/>
        </w:rPr>
      </w:pPr>
    </w:p>
    <w:p w14:paraId="16990481" w14:textId="77777777" w:rsidR="00D16FE3" w:rsidRPr="00D16FE3" w:rsidRDefault="00D16FE3" w:rsidP="00D16FE3">
      <w:pPr>
        <w:pStyle w:val="ACMACorporateAddresses"/>
        <w:sectPr w:rsidR="00D16FE3" w:rsidRPr="00D16FE3">
          <w:headerReference w:type="even" r:id="rId18"/>
          <w:headerReference w:type="default" r:id="rId19"/>
          <w:footerReference w:type="even" r:id="rId20"/>
          <w:footerReference w:type="default" r:id="rId21"/>
          <w:pgSz w:w="11906" w:h="16838" w:code="9"/>
          <w:pgMar w:top="3924" w:right="1797" w:bottom="697" w:left="1134" w:header="709" w:footer="119" w:gutter="0"/>
          <w:cols w:space="708"/>
          <w:docGrid w:linePitch="360"/>
        </w:sectPr>
      </w:pPr>
    </w:p>
    <w:p w14:paraId="4881094B" w14:textId="6BDECA28" w:rsidR="001E7505" w:rsidRDefault="001E7505">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"ACMA_ExecSummaryHeading,1" </w:instrText>
      </w:r>
      <w:r>
        <w:rPr>
          <w:rFonts w:cs="Arial"/>
        </w:rPr>
        <w:fldChar w:fldCharType="separate"/>
      </w:r>
      <w:hyperlink w:anchor="_Toc508093656" w:history="1">
        <w:r w:rsidRPr="00980294">
          <w:rPr>
            <w:rStyle w:val="Hyperlink"/>
          </w:rPr>
          <w:t>Background</w:t>
        </w:r>
        <w:r>
          <w:rPr>
            <w:webHidden/>
          </w:rPr>
          <w:tab/>
        </w:r>
        <w:r>
          <w:rPr>
            <w:webHidden/>
          </w:rPr>
          <w:fldChar w:fldCharType="begin"/>
        </w:r>
        <w:r>
          <w:rPr>
            <w:webHidden/>
          </w:rPr>
          <w:instrText xml:space="preserve"> PAGEREF _Toc508093656 \h </w:instrText>
        </w:r>
        <w:r>
          <w:rPr>
            <w:webHidden/>
          </w:rPr>
        </w:r>
        <w:r>
          <w:rPr>
            <w:webHidden/>
          </w:rPr>
          <w:fldChar w:fldCharType="separate"/>
        </w:r>
        <w:r>
          <w:rPr>
            <w:webHidden/>
          </w:rPr>
          <w:t>1</w:t>
        </w:r>
        <w:r>
          <w:rPr>
            <w:webHidden/>
          </w:rPr>
          <w:fldChar w:fldCharType="end"/>
        </w:r>
      </w:hyperlink>
    </w:p>
    <w:p w14:paraId="194E64A1" w14:textId="4D9E0A39" w:rsidR="001E7505" w:rsidRDefault="001E7505">
      <w:pPr>
        <w:pStyle w:val="TOC1"/>
        <w:rPr>
          <w:rFonts w:asciiTheme="minorHAnsi" w:eastAsiaTheme="minorEastAsia" w:hAnsiTheme="minorHAnsi" w:cstheme="minorBidi"/>
          <w:b w:val="0"/>
          <w:spacing w:val="0"/>
          <w:sz w:val="22"/>
          <w:szCs w:val="22"/>
        </w:rPr>
      </w:pPr>
      <w:hyperlink w:anchor="_Toc508093657" w:history="1">
        <w:r w:rsidRPr="00980294">
          <w:rPr>
            <w:rStyle w:val="Hyperlink"/>
          </w:rPr>
          <w:t>Monitoring framework</w:t>
        </w:r>
        <w:r>
          <w:rPr>
            <w:webHidden/>
          </w:rPr>
          <w:tab/>
        </w:r>
        <w:r>
          <w:rPr>
            <w:webHidden/>
          </w:rPr>
          <w:fldChar w:fldCharType="begin"/>
        </w:r>
        <w:r>
          <w:rPr>
            <w:webHidden/>
          </w:rPr>
          <w:instrText xml:space="preserve"> PAGEREF _Toc508093657 \h </w:instrText>
        </w:r>
        <w:r>
          <w:rPr>
            <w:webHidden/>
          </w:rPr>
        </w:r>
        <w:r>
          <w:rPr>
            <w:webHidden/>
          </w:rPr>
          <w:fldChar w:fldCharType="separate"/>
        </w:r>
        <w:r>
          <w:rPr>
            <w:webHidden/>
          </w:rPr>
          <w:t>3</w:t>
        </w:r>
        <w:r>
          <w:rPr>
            <w:webHidden/>
          </w:rPr>
          <w:fldChar w:fldCharType="end"/>
        </w:r>
      </w:hyperlink>
    </w:p>
    <w:p w14:paraId="6F773AEB" w14:textId="799617A8" w:rsidR="001E7505" w:rsidRDefault="001E7505">
      <w:pPr>
        <w:pStyle w:val="TOC1"/>
        <w:rPr>
          <w:rFonts w:asciiTheme="minorHAnsi" w:eastAsiaTheme="minorEastAsia" w:hAnsiTheme="minorHAnsi" w:cstheme="minorBidi"/>
          <w:b w:val="0"/>
          <w:spacing w:val="0"/>
          <w:sz w:val="22"/>
          <w:szCs w:val="22"/>
        </w:rPr>
      </w:pPr>
      <w:hyperlink w:anchor="_Toc508093658" w:history="1">
        <w:r w:rsidRPr="00980294">
          <w:rPr>
            <w:rStyle w:val="Hyperlink"/>
          </w:rPr>
          <w:t>Asymmetric consequences</w:t>
        </w:r>
        <w:r>
          <w:rPr>
            <w:webHidden/>
          </w:rPr>
          <w:tab/>
        </w:r>
        <w:r>
          <w:rPr>
            <w:webHidden/>
          </w:rPr>
          <w:fldChar w:fldCharType="begin"/>
        </w:r>
        <w:r>
          <w:rPr>
            <w:webHidden/>
          </w:rPr>
          <w:instrText xml:space="preserve"> PAGEREF _Toc508093658 \h </w:instrText>
        </w:r>
        <w:r>
          <w:rPr>
            <w:webHidden/>
          </w:rPr>
        </w:r>
        <w:r>
          <w:rPr>
            <w:webHidden/>
          </w:rPr>
          <w:fldChar w:fldCharType="separate"/>
        </w:r>
        <w:r>
          <w:rPr>
            <w:webHidden/>
          </w:rPr>
          <w:t>6</w:t>
        </w:r>
        <w:r>
          <w:rPr>
            <w:webHidden/>
          </w:rPr>
          <w:fldChar w:fldCharType="end"/>
        </w:r>
      </w:hyperlink>
    </w:p>
    <w:p w14:paraId="4C1C3FAF" w14:textId="2D99893B" w:rsidR="001E7505" w:rsidRDefault="001E7505">
      <w:pPr>
        <w:pStyle w:val="TOC1"/>
        <w:rPr>
          <w:rFonts w:asciiTheme="minorHAnsi" w:eastAsiaTheme="minorEastAsia" w:hAnsiTheme="minorHAnsi" w:cstheme="minorBidi"/>
          <w:b w:val="0"/>
          <w:spacing w:val="0"/>
          <w:sz w:val="22"/>
          <w:szCs w:val="22"/>
        </w:rPr>
      </w:pPr>
      <w:hyperlink w:anchor="_Toc508093659" w:history="1">
        <w:r w:rsidRPr="00980294">
          <w:rPr>
            <w:rStyle w:val="Hyperlink"/>
          </w:rPr>
          <w:t>Spectrum Pricing Review</w:t>
        </w:r>
        <w:r>
          <w:rPr>
            <w:webHidden/>
          </w:rPr>
          <w:tab/>
        </w:r>
        <w:r>
          <w:rPr>
            <w:webHidden/>
          </w:rPr>
          <w:fldChar w:fldCharType="begin"/>
        </w:r>
        <w:r>
          <w:rPr>
            <w:webHidden/>
          </w:rPr>
          <w:instrText xml:space="preserve"> PAGEREF _Toc508093659 \h </w:instrText>
        </w:r>
        <w:r>
          <w:rPr>
            <w:webHidden/>
          </w:rPr>
        </w:r>
        <w:r>
          <w:rPr>
            <w:webHidden/>
          </w:rPr>
          <w:fldChar w:fldCharType="separate"/>
        </w:r>
        <w:r>
          <w:rPr>
            <w:webHidden/>
          </w:rPr>
          <w:t>7</w:t>
        </w:r>
        <w:r>
          <w:rPr>
            <w:webHidden/>
          </w:rPr>
          <w:fldChar w:fldCharType="end"/>
        </w:r>
      </w:hyperlink>
    </w:p>
    <w:p w14:paraId="1699048F" w14:textId="47ED4DDA" w:rsidR="000A4A51" w:rsidRPr="000D76E0" w:rsidRDefault="001E7505">
      <w:pPr>
        <w:rPr>
          <w:rFonts w:cs="Arial"/>
        </w:rPr>
      </w:pPr>
      <w:r>
        <w:rPr>
          <w:rFonts w:cs="Arial"/>
          <w:noProof/>
          <w:spacing w:val="-14"/>
          <w:sz w:val="28"/>
        </w:rPr>
        <w:fldChar w:fldCharType="end"/>
      </w:r>
      <w:bookmarkStart w:id="0" w:name="_GoBack"/>
      <w:bookmarkEnd w:id="0"/>
    </w:p>
    <w:p w14:paraId="16990490" w14:textId="77777777" w:rsidR="004D56FF" w:rsidRPr="000D76E0" w:rsidRDefault="004D56FF">
      <w:pPr>
        <w:rPr>
          <w:rFonts w:cs="Arial"/>
        </w:rPr>
        <w:sectPr w:rsidR="004D56FF" w:rsidRPr="000D76E0" w:rsidSect="00C77380">
          <w:headerReference w:type="even" r:id="rId22"/>
          <w:headerReference w:type="default" r:id="rId23"/>
          <w:footerReference w:type="even" r:id="rId24"/>
          <w:footerReference w:type="default" r:id="rId25"/>
          <w:footerReference w:type="first" r:id="rId26"/>
          <w:pgSz w:w="11906" w:h="16838" w:code="9"/>
          <w:pgMar w:top="3646" w:right="3101" w:bottom="1134" w:left="1134" w:header="709" w:footer="119" w:gutter="0"/>
          <w:cols w:space="708"/>
          <w:titlePg/>
          <w:docGrid w:linePitch="360"/>
        </w:sectPr>
      </w:pPr>
    </w:p>
    <w:p w14:paraId="16990491" w14:textId="21780158" w:rsidR="009D6C71" w:rsidRDefault="005433FD" w:rsidP="003D04C5">
      <w:pPr>
        <w:pStyle w:val="Heading1"/>
        <w:numPr>
          <w:ilvl w:val="0"/>
          <w:numId w:val="0"/>
        </w:numPr>
      </w:pPr>
      <w:bookmarkStart w:id="1" w:name="_Toc508093656"/>
      <w:r w:rsidRPr="003D04C5">
        <w:t>Background</w:t>
      </w:r>
      <w:bookmarkEnd w:id="1"/>
      <w:r w:rsidR="00A0167D">
        <w:t xml:space="preserve"> </w:t>
      </w:r>
    </w:p>
    <w:p w14:paraId="1C035156" w14:textId="2701FEF8" w:rsidR="005433FD" w:rsidRDefault="005433FD" w:rsidP="005B3955">
      <w:r>
        <w:t xml:space="preserve">Historically, there has </w:t>
      </w:r>
      <w:r w:rsidRPr="00094F7E">
        <w:t xml:space="preserve">been </w:t>
      </w:r>
      <w:r>
        <w:t>strong</w:t>
      </w:r>
      <w:r w:rsidRPr="00094F7E">
        <w:t xml:space="preserve"> demand for </w:t>
      </w:r>
      <w:r>
        <w:t>400 MHz spectrum</w:t>
      </w:r>
      <w:r w:rsidRPr="00094F7E">
        <w:t xml:space="preserve"> in the</w:t>
      </w:r>
      <w:r w:rsidR="009C380E">
        <w:t xml:space="preserve"> high-</w:t>
      </w:r>
      <w:r w:rsidR="006872A7">
        <w:t xml:space="preserve">density areas </w:t>
      </w:r>
      <w:r w:rsidRPr="00094F7E">
        <w:t>of Sydney/Wollongong, Melbourne/Geelong and Brisbane/Gold Coast</w:t>
      </w:r>
      <w:r>
        <w:t>.</w:t>
      </w:r>
      <w:r w:rsidRPr="00094F7E">
        <w:t xml:space="preserve"> Recognising this, the </w:t>
      </w:r>
      <w:r>
        <w:t>ACMA</w:t>
      </w:r>
      <w:r w:rsidRPr="00094F7E">
        <w:t xml:space="preserve"> </w:t>
      </w:r>
      <w:r>
        <w:t xml:space="preserve">has been implementing opportunity cost (OC) principles by progressively increasing </w:t>
      </w:r>
      <w:r w:rsidR="009D2355">
        <w:t>apparatus licence tax</w:t>
      </w:r>
      <w:r>
        <w:t xml:space="preserve"> rates towards an OC-based price estimate to complement other </w:t>
      </w:r>
      <w:r w:rsidRPr="00094F7E">
        <w:t xml:space="preserve">reforms </w:t>
      </w:r>
      <w:r>
        <w:t>designed to</w:t>
      </w:r>
      <w:r w:rsidRPr="00094F7E">
        <w:t xml:space="preserve"> </w:t>
      </w:r>
      <w:r>
        <w:t xml:space="preserve">address congestion and </w:t>
      </w:r>
      <w:r w:rsidRPr="00094F7E">
        <w:t>enable more efficient use of this spectrum</w:t>
      </w:r>
      <w:r>
        <w:t>. The staged introduction of OC-based licence tax rates (potentially five increases</w:t>
      </w:r>
      <w:r w:rsidR="003D0554">
        <w:t>,</w:t>
      </w:r>
      <w:r>
        <w:t xml:space="preserve"> each of 15</w:t>
      </w:r>
      <w:r w:rsidR="003D04C5">
        <w:t xml:space="preserve"> per cent</w:t>
      </w:r>
      <w:r>
        <w:t xml:space="preserve">) is designed to ensure that increases do not unduly disrupt licensees’ business plans or cause an unexpected contraction in demand for the spectrum. </w:t>
      </w:r>
    </w:p>
    <w:p w14:paraId="465406B7" w14:textId="012846A7" w:rsidR="005433FD" w:rsidRDefault="005433FD" w:rsidP="005B3955">
      <w:r>
        <w:t>Two such increases have been implemented, in August 2012 and in April 2016. In August 2012</w:t>
      </w:r>
      <w:r w:rsidR="005C45DC">
        <w:t>,</w:t>
      </w:r>
      <w:r>
        <w:t xml:space="preserve"> the ACMA highlighted that each subsequent increase would only be made after monitoring the impact on the demand for spectrum and licensees</w:t>
      </w:r>
      <w:r w:rsidR="005C45DC">
        <w:t>,</w:t>
      </w:r>
      <w:r>
        <w:t xml:space="preserve"> and consulting with relevant stakeholders</w:t>
      </w:r>
      <w:r w:rsidRPr="00A924A3">
        <w:t xml:space="preserve">.  </w:t>
      </w:r>
    </w:p>
    <w:p w14:paraId="16990493" w14:textId="24543587" w:rsidR="00A0167D" w:rsidRDefault="002C174F" w:rsidP="005B3955">
      <w:r>
        <w:t xml:space="preserve">The ACMA </w:t>
      </w:r>
      <w:r w:rsidR="00E8211B">
        <w:t>has been</w:t>
      </w:r>
      <w:r w:rsidR="00A0167D">
        <w:t xml:space="preserve"> </w:t>
      </w:r>
      <w:r w:rsidR="00A0167D" w:rsidRPr="00A0167D">
        <w:t>considering the need for a third increase.</w:t>
      </w:r>
      <w:r w:rsidR="00A0167D">
        <w:t xml:space="preserve"> T</w:t>
      </w:r>
      <w:r w:rsidR="00A0167D" w:rsidRPr="00A0167D">
        <w:t xml:space="preserve">he decision </w:t>
      </w:r>
      <w:r w:rsidR="003D0554">
        <w:t xml:space="preserve">whether </w:t>
      </w:r>
      <w:r w:rsidR="00A0167D" w:rsidRPr="00A0167D">
        <w:t xml:space="preserve">to implement the third increase </w:t>
      </w:r>
      <w:r w:rsidR="005C45DC">
        <w:t>depends</w:t>
      </w:r>
      <w:r w:rsidR="005C45DC" w:rsidRPr="00A0167D">
        <w:t xml:space="preserve"> </w:t>
      </w:r>
      <w:r w:rsidR="00A0167D" w:rsidRPr="00A0167D">
        <w:t xml:space="preserve">on whether </w:t>
      </w:r>
      <w:r w:rsidR="005C45DC">
        <w:t xml:space="preserve">growth in </w:t>
      </w:r>
      <w:r w:rsidR="00A0167D" w:rsidRPr="00A0167D">
        <w:t xml:space="preserve">demand </w:t>
      </w:r>
      <w:r w:rsidR="005C45DC">
        <w:t xml:space="preserve">results in </w:t>
      </w:r>
      <w:r w:rsidR="00A0167D" w:rsidRPr="00A0167D">
        <w:t xml:space="preserve">a material risk that congestion is likely to re-emerge in the </w:t>
      </w:r>
      <w:r w:rsidR="00287875">
        <w:t>near</w:t>
      </w:r>
      <w:r w:rsidR="00287875" w:rsidRPr="00A0167D">
        <w:t xml:space="preserve"> </w:t>
      </w:r>
      <w:r w:rsidR="00A0167D" w:rsidRPr="00A0167D">
        <w:t>future.</w:t>
      </w:r>
    </w:p>
    <w:p w14:paraId="60FE38C2" w14:textId="02C33863" w:rsidR="005433FD" w:rsidRPr="00F924E2" w:rsidRDefault="005433FD" w:rsidP="00DE5E64">
      <w:pPr>
        <w:spacing w:after="80"/>
        <w:rPr>
          <w:szCs w:val="20"/>
        </w:rPr>
      </w:pPr>
      <w:r w:rsidRPr="003434C1">
        <w:t xml:space="preserve">The monitoring </w:t>
      </w:r>
      <w:r>
        <w:t xml:space="preserve">analysis </w:t>
      </w:r>
      <w:r w:rsidRPr="003434C1">
        <w:t xml:space="preserve">undertaken by the ACMA </w:t>
      </w:r>
      <w:r w:rsidR="00125002">
        <w:t xml:space="preserve">in this context </w:t>
      </w:r>
      <w:r w:rsidRPr="003434C1">
        <w:t xml:space="preserve">has two major aspects. The ACMA is </w:t>
      </w:r>
      <w:r w:rsidRPr="00F924E2">
        <w:rPr>
          <w:szCs w:val="20"/>
        </w:rPr>
        <w:t>concerned that any increase in licence tax rates (already implemented and projected) does not lead to:</w:t>
      </w:r>
    </w:p>
    <w:p w14:paraId="13D44FC8" w14:textId="77777777" w:rsidR="005433FD" w:rsidRPr="00F924E2" w:rsidRDefault="005433FD" w:rsidP="005B3955">
      <w:pPr>
        <w:pStyle w:val="ListBullet"/>
      </w:pPr>
      <w:r w:rsidRPr="00F924E2">
        <w:t xml:space="preserve">an absolute reduction in demand for spectrum; or </w:t>
      </w:r>
    </w:p>
    <w:p w14:paraId="5305754F" w14:textId="162A7447" w:rsidR="005433FD" w:rsidRPr="00F924E2" w:rsidRDefault="005433FD" w:rsidP="005B3955">
      <w:pPr>
        <w:pStyle w:val="ListBulletLast"/>
      </w:pPr>
      <w:r w:rsidRPr="00F924E2">
        <w:t xml:space="preserve">reduced growth in </w:t>
      </w:r>
      <w:r>
        <w:t xml:space="preserve">spectrum </w:t>
      </w:r>
      <w:r w:rsidRPr="00F924E2">
        <w:t xml:space="preserve">demand that prevents, or substantially delays, </w:t>
      </w:r>
      <w:r>
        <w:t xml:space="preserve">efficient </w:t>
      </w:r>
      <w:r w:rsidRPr="00F924E2">
        <w:t xml:space="preserve">use of the additional capacity </w:t>
      </w:r>
      <w:r w:rsidR="00BC27BD">
        <w:t>resulting from</w:t>
      </w:r>
      <w:r w:rsidRPr="00F924E2">
        <w:t xml:space="preserve"> the 400 MHz band</w:t>
      </w:r>
      <w:r>
        <w:t xml:space="preserve"> re-channelisation and the </w:t>
      </w:r>
      <w:r w:rsidR="00D5098A">
        <w:t xml:space="preserve">consolidation of </w:t>
      </w:r>
      <w:r w:rsidR="00BC27BD">
        <w:t xml:space="preserve">government services </w:t>
      </w:r>
      <w:r w:rsidR="00D5098A">
        <w:t>in</w:t>
      </w:r>
      <w:r w:rsidR="00BC27BD">
        <w:t xml:space="preserve"> the </w:t>
      </w:r>
      <w:r>
        <w:t>Harmonised Government Spectrum (HGS)</w:t>
      </w:r>
      <w:r w:rsidR="00D5098A">
        <w:t xml:space="preserve"> band</w:t>
      </w:r>
      <w:r w:rsidRPr="00F924E2">
        <w:t xml:space="preserve">.  </w:t>
      </w:r>
    </w:p>
    <w:p w14:paraId="167D4AA4" w14:textId="4D9639DC" w:rsidR="005433FD" w:rsidRPr="005433FD" w:rsidRDefault="005433FD" w:rsidP="006872A7">
      <w:r w:rsidRPr="00F924E2">
        <w:rPr>
          <w:szCs w:val="20"/>
        </w:rPr>
        <w:t>Such outcomes may indicate that the combination of increases already implemented and the signalled intention for further increases towards OC would result in licence tax rates that were</w:t>
      </w:r>
      <w:r w:rsidRPr="003434C1">
        <w:t xml:space="preserve"> too high and unnecessarily curtailed demand.</w:t>
      </w:r>
    </w:p>
    <w:p w14:paraId="0093BFF3" w14:textId="12F75868" w:rsidR="005433FD" w:rsidRPr="006872A7" w:rsidRDefault="002C174F" w:rsidP="00DE5E64">
      <w:pPr>
        <w:spacing w:after="80"/>
        <w:rPr>
          <w:rFonts w:cs="Arial"/>
          <w:szCs w:val="20"/>
        </w:rPr>
      </w:pPr>
      <w:r>
        <w:t xml:space="preserve">The ACMA released a </w:t>
      </w:r>
      <w:r w:rsidR="00A0167D" w:rsidRPr="00A0167D">
        <w:t>consultation paper in November 2016</w:t>
      </w:r>
      <w:r w:rsidR="00D5098A">
        <w:t xml:space="preserve">. </w:t>
      </w:r>
      <w:r w:rsidR="00D5098A" w:rsidRPr="00B2180D">
        <w:t>Having regard to</w:t>
      </w:r>
      <w:r w:rsidR="00D5098A">
        <w:t xml:space="preserve"> its </w:t>
      </w:r>
      <w:r>
        <w:t>monitoring framework</w:t>
      </w:r>
      <w:r w:rsidR="00D5098A">
        <w:t xml:space="preserve">, the ACMA found </w:t>
      </w:r>
      <w:r w:rsidR="00765BDC">
        <w:t xml:space="preserve">a strong </w:t>
      </w:r>
      <w:r w:rsidR="007621F2">
        <w:t xml:space="preserve">increase </w:t>
      </w:r>
      <w:r w:rsidR="00765BDC">
        <w:t>in measured demand (</w:t>
      </w:r>
      <w:r w:rsidR="007621F2">
        <w:t xml:space="preserve">based on the increase in </w:t>
      </w:r>
      <w:r w:rsidR="00765BDC">
        <w:t>licence</w:t>
      </w:r>
      <w:r w:rsidR="007621F2">
        <w:t>s</w:t>
      </w:r>
      <w:r w:rsidR="00765BDC">
        <w:t xml:space="preserve"> </w:t>
      </w:r>
      <w:r w:rsidR="007621F2">
        <w:t>issued</w:t>
      </w:r>
      <w:r w:rsidR="00765BDC">
        <w:t>)</w:t>
      </w:r>
      <w:r w:rsidR="00EB167E">
        <w:t xml:space="preserve"> and formed an initial view that there was a </w:t>
      </w:r>
      <w:r w:rsidR="002545F7">
        <w:t xml:space="preserve">continuing </w:t>
      </w:r>
      <w:r w:rsidRPr="00A0167D">
        <w:t xml:space="preserve">risk of congestion re-emerging </w:t>
      </w:r>
      <w:r w:rsidR="002545F7">
        <w:t xml:space="preserve">in the </w:t>
      </w:r>
      <w:r w:rsidR="00EB167E">
        <w:t>400 MHz band.</w:t>
      </w:r>
      <w:r w:rsidR="00B45FD8">
        <w:t xml:space="preserve"> </w:t>
      </w:r>
      <w:r>
        <w:t>As a result</w:t>
      </w:r>
      <w:r w:rsidR="00EB167E">
        <w:t>,</w:t>
      </w:r>
      <w:r>
        <w:t xml:space="preserve"> the ACMA </w:t>
      </w:r>
      <w:r w:rsidR="00A0167D" w:rsidRPr="00A0167D">
        <w:t>propos</w:t>
      </w:r>
      <w:r>
        <w:t xml:space="preserve">ed implementing the third </w:t>
      </w:r>
      <w:r w:rsidR="00A0167D" w:rsidRPr="00A0167D">
        <w:t xml:space="preserve">increase </w:t>
      </w:r>
      <w:r w:rsidR="002545F7">
        <w:t xml:space="preserve">in </w:t>
      </w:r>
      <w:r w:rsidR="00A0167D" w:rsidRPr="00A0167D">
        <w:t xml:space="preserve">licence tax rates. </w:t>
      </w:r>
      <w:r>
        <w:t xml:space="preserve">The ACMA sought feedback from interested stakeholders. </w:t>
      </w:r>
      <w:r w:rsidR="005433FD" w:rsidRPr="006872A7">
        <w:rPr>
          <w:rFonts w:cs="Arial"/>
          <w:szCs w:val="20"/>
        </w:rPr>
        <w:t>Submissions were received from two stakeholders</w:t>
      </w:r>
      <w:r w:rsidR="005433FD" w:rsidRPr="006872A7">
        <w:rPr>
          <w:rStyle w:val="FootnoteReference"/>
          <w:rFonts w:cs="Arial"/>
          <w:szCs w:val="20"/>
        </w:rPr>
        <w:footnoteReference w:id="2"/>
      </w:r>
      <w:r w:rsidR="005C45DC">
        <w:rPr>
          <w:rFonts w:cs="Arial"/>
          <w:szCs w:val="20"/>
        </w:rPr>
        <w:t>:</w:t>
      </w:r>
    </w:p>
    <w:p w14:paraId="3F37791C" w14:textId="368324D3" w:rsidR="005433FD" w:rsidRPr="002D730C" w:rsidRDefault="005433FD" w:rsidP="005B3955">
      <w:pPr>
        <w:pStyle w:val="ListBullet"/>
        <w:rPr>
          <w:rFonts w:eastAsiaTheme="majorEastAsia"/>
          <w:color w:val="365F91" w:themeColor="accent1" w:themeShade="BF"/>
        </w:rPr>
      </w:pPr>
      <w:r w:rsidRPr="002D730C">
        <w:t>the Australian Radiocommunications Industry Association (ARCIA)</w:t>
      </w:r>
      <w:r w:rsidR="00ED5A38">
        <w:t>,</w:t>
      </w:r>
      <w:r w:rsidRPr="002D730C">
        <w:t xml:space="preserve"> the peak national industry body representing the two-way and associated wireless radiocommunications industry in Australia. ARCIA represents the interests of a wide </w:t>
      </w:r>
      <w:r>
        <w:t>range</w:t>
      </w:r>
      <w:r w:rsidRPr="002D730C">
        <w:t xml:space="preserve"> of users of</w:t>
      </w:r>
      <w:r>
        <w:t xml:space="preserve"> spectrum in </w:t>
      </w:r>
      <w:r w:rsidRPr="002D730C">
        <w:t>the 400 MHz band</w:t>
      </w:r>
    </w:p>
    <w:p w14:paraId="4E2E0AFA" w14:textId="5AB33D95" w:rsidR="005433FD" w:rsidRPr="002D730C" w:rsidRDefault="005433FD" w:rsidP="005B3955">
      <w:pPr>
        <w:pStyle w:val="ListBulletLast"/>
        <w:rPr>
          <w:rFonts w:eastAsiaTheme="majorEastAsia"/>
          <w:color w:val="365F91" w:themeColor="accent1" w:themeShade="BF"/>
        </w:rPr>
      </w:pPr>
      <w:r w:rsidRPr="002D730C">
        <w:t xml:space="preserve">Telstra, a major user of 400 MHz spectrum in the </w:t>
      </w:r>
      <w:r w:rsidR="009C380E">
        <w:t>high-</w:t>
      </w:r>
      <w:r w:rsidR="000A30FF">
        <w:t>density areas</w:t>
      </w:r>
      <w:r w:rsidR="00E8211B">
        <w:t>.</w:t>
      </w:r>
    </w:p>
    <w:p w14:paraId="3291307E" w14:textId="2C9C8CE5" w:rsidR="005433FD" w:rsidRPr="005433FD" w:rsidRDefault="005433FD" w:rsidP="007D63EA">
      <w:r w:rsidRPr="002D730C">
        <w:t xml:space="preserve">ARCIA and Telstra both raised concerns about the </w:t>
      </w:r>
      <w:r w:rsidR="00D5098A">
        <w:t xml:space="preserve">use of the </w:t>
      </w:r>
      <w:r w:rsidRPr="002D730C">
        <w:t>monitoring framework</w:t>
      </w:r>
      <w:r>
        <w:t xml:space="preserve"> and the conclusion</w:t>
      </w:r>
      <w:r w:rsidR="00D5098A">
        <w:t xml:space="preserve">s drawn from it </w:t>
      </w:r>
      <w:r>
        <w:t>to implement the third increase in licence tax rates</w:t>
      </w:r>
      <w:r w:rsidRPr="002D730C">
        <w:t>. Telstra also queried whether the</w:t>
      </w:r>
      <w:r>
        <w:t xml:space="preserve"> ACMA had considered whether the risks of negative consequences for efficiency associated with increasing licence tax rates were asymmetric</w:t>
      </w:r>
      <w:r w:rsidR="00CA2925">
        <w:t>;</w:t>
      </w:r>
      <w:r w:rsidR="009D2355">
        <w:t xml:space="preserve"> </w:t>
      </w:r>
      <w:r w:rsidR="003A41BC">
        <w:t>that is</w:t>
      </w:r>
      <w:r w:rsidR="009952DD">
        <w:t>,</w:t>
      </w:r>
      <w:r w:rsidR="00CA2925">
        <w:t xml:space="preserve"> they</w:t>
      </w:r>
      <w:r w:rsidR="009D2355">
        <w:t xml:space="preserve"> would be </w:t>
      </w:r>
      <w:r>
        <w:t>more pronounced if licence tax rates were too high than too low. These issues are discussed below.</w:t>
      </w:r>
    </w:p>
    <w:p w14:paraId="16990495" w14:textId="12CD8D50" w:rsidR="00B757B6" w:rsidRDefault="00B757B6" w:rsidP="00DE5E64">
      <w:pPr>
        <w:pStyle w:val="Heading1"/>
        <w:numPr>
          <w:ilvl w:val="0"/>
          <w:numId w:val="0"/>
        </w:numPr>
      </w:pPr>
      <w:bookmarkStart w:id="2" w:name="_Toc508093657"/>
      <w:r>
        <w:t>Monitoring framework</w:t>
      </w:r>
      <w:bookmarkEnd w:id="2"/>
    </w:p>
    <w:p w14:paraId="2F73278B" w14:textId="0B47161E" w:rsidR="00997BEF" w:rsidRDefault="00A0167D" w:rsidP="005B3955">
      <w:r w:rsidRPr="00A0167D">
        <w:t>ARCIA’s main contention was that the monitoring framework did not recognise differen</w:t>
      </w:r>
      <w:r w:rsidR="00765BDC">
        <w:t xml:space="preserve">tial denial characteristics of </w:t>
      </w:r>
      <w:r w:rsidRPr="00A0167D">
        <w:t xml:space="preserve">high-power </w:t>
      </w:r>
      <w:r w:rsidR="003D0554">
        <w:t>devices (licensed on a local basis) and</w:t>
      </w:r>
      <w:r w:rsidRPr="00A0167D">
        <w:t xml:space="preserve"> low</w:t>
      </w:r>
      <w:r w:rsidR="009F3B80">
        <w:t>-</w:t>
      </w:r>
      <w:r w:rsidRPr="00A0167D">
        <w:t>power</w:t>
      </w:r>
      <w:r w:rsidR="00FF111B">
        <w:t xml:space="preserve"> </w:t>
      </w:r>
      <w:r w:rsidR="00B777C3">
        <w:t>devices</w:t>
      </w:r>
      <w:r w:rsidR="003D0554">
        <w:t xml:space="preserve"> (licensed on a sub-local basis)</w:t>
      </w:r>
      <w:r w:rsidRPr="00A0167D">
        <w:t>.</w:t>
      </w:r>
      <w:r w:rsidR="00FD1500">
        <w:rPr>
          <w:rStyle w:val="FootnoteReference"/>
        </w:rPr>
        <w:footnoteReference w:id="3"/>
      </w:r>
      <w:r w:rsidRPr="00A0167D">
        <w:t xml:space="preserve"> </w:t>
      </w:r>
      <w:r w:rsidR="000C20FF">
        <w:t>Telstra also made a similar point.</w:t>
      </w:r>
      <w:r w:rsidR="000C20FF">
        <w:rPr>
          <w:rStyle w:val="FootnoteReference"/>
        </w:rPr>
        <w:footnoteReference w:id="4"/>
      </w:r>
    </w:p>
    <w:p w14:paraId="16990496" w14:textId="747F0EB5" w:rsidR="00A0167D" w:rsidRPr="00A0167D" w:rsidRDefault="00A0167D" w:rsidP="005B3955">
      <w:r w:rsidRPr="00A0167D">
        <w:t>Low</w:t>
      </w:r>
      <w:r w:rsidR="009F3B80">
        <w:t>-</w:t>
      </w:r>
      <w:r w:rsidRPr="00A0167D">
        <w:t>power services interfere with the operation of other services over a significantly smaller geographic area than high</w:t>
      </w:r>
      <w:r w:rsidR="009F3B80">
        <w:t>-</w:t>
      </w:r>
      <w:r w:rsidRPr="00A0167D">
        <w:t xml:space="preserve">power services. This implies that the spectrum </w:t>
      </w:r>
      <w:r w:rsidR="002545F7">
        <w:t xml:space="preserve">band </w:t>
      </w:r>
      <w:r w:rsidR="009F3B80">
        <w:t>‘</w:t>
      </w:r>
      <w:r w:rsidRPr="00A0167D">
        <w:t>used</w:t>
      </w:r>
      <w:r w:rsidR="009F3B80">
        <w:t>’</w:t>
      </w:r>
      <w:r w:rsidRPr="00A0167D">
        <w:t xml:space="preserve"> by low</w:t>
      </w:r>
      <w:r w:rsidR="009F3B80">
        <w:t>-</w:t>
      </w:r>
      <w:r w:rsidRPr="00A0167D">
        <w:t xml:space="preserve">power services can be re-used by other services across the </w:t>
      </w:r>
      <w:r w:rsidR="000A30FF">
        <w:t>high</w:t>
      </w:r>
      <w:r w:rsidR="009C380E">
        <w:t>-</w:t>
      </w:r>
      <w:r w:rsidR="000A30FF">
        <w:t>density area</w:t>
      </w:r>
      <w:r w:rsidRPr="00A0167D">
        <w:t xml:space="preserve"> significantly more </w:t>
      </w:r>
      <w:r w:rsidR="00765BDC">
        <w:t xml:space="preserve">often </w:t>
      </w:r>
      <w:r w:rsidRPr="00A0167D">
        <w:t>than for high</w:t>
      </w:r>
      <w:r w:rsidR="009F3B80">
        <w:t>-</w:t>
      </w:r>
      <w:r w:rsidRPr="00A0167D">
        <w:t xml:space="preserve">power services. </w:t>
      </w:r>
      <w:r w:rsidR="007D63EA">
        <w:t xml:space="preserve">In effect, </w:t>
      </w:r>
      <w:r w:rsidR="002545F7">
        <w:t>there could be many low</w:t>
      </w:r>
      <w:r w:rsidR="009F3B80">
        <w:t>-</w:t>
      </w:r>
      <w:r w:rsidR="002545F7">
        <w:t>power devices deployed in the geographic area occupied by a single high</w:t>
      </w:r>
      <w:r w:rsidR="009F3B80">
        <w:t>-</w:t>
      </w:r>
      <w:r w:rsidR="002545F7">
        <w:t>power service.</w:t>
      </w:r>
    </w:p>
    <w:p w14:paraId="7E53EEC2" w14:textId="41E04E6C" w:rsidR="00997BEF" w:rsidRDefault="002C174F" w:rsidP="005B3955">
      <w:r>
        <w:t xml:space="preserve">The ACMA </w:t>
      </w:r>
      <w:r w:rsidR="00997BEF">
        <w:t>considered this view and</w:t>
      </w:r>
      <w:r w:rsidR="009F3B80">
        <w:t>,</w:t>
      </w:r>
      <w:r w:rsidR="00997BEF">
        <w:t xml:space="preserve"> following further examination of additional information provided by ARCIA on </w:t>
      </w:r>
      <w:r w:rsidR="00B777C3">
        <w:t>relative denial</w:t>
      </w:r>
      <w:r w:rsidR="00ED5A38">
        <w:t xml:space="preserve"> of services operating at different powers</w:t>
      </w:r>
      <w:r w:rsidR="00997BEF">
        <w:t xml:space="preserve">, the </w:t>
      </w:r>
      <w:r w:rsidR="00A0167D">
        <w:t xml:space="preserve">monitoring framework </w:t>
      </w:r>
      <w:r w:rsidR="00997BEF">
        <w:t xml:space="preserve">was modified </w:t>
      </w:r>
      <w:r w:rsidR="00A0167D">
        <w:t>to more accurately capture variable re-use distances</w:t>
      </w:r>
      <w:r w:rsidR="00D31B46">
        <w:rPr>
          <w:rStyle w:val="FootnoteReference"/>
        </w:rPr>
        <w:footnoteReference w:id="5"/>
      </w:r>
      <w:r w:rsidR="00A0167D">
        <w:t xml:space="preserve"> (and hence denial areas) across both </w:t>
      </w:r>
      <w:r w:rsidR="00C371E0">
        <w:t xml:space="preserve">relevant </w:t>
      </w:r>
      <w:r w:rsidR="00A0167D">
        <w:t>service types</w:t>
      </w:r>
      <w:r w:rsidR="00014562">
        <w:t xml:space="preserve">. As a result, </w:t>
      </w:r>
      <w:r w:rsidR="00A0167D">
        <w:t>differential geographic denial</w:t>
      </w:r>
      <w:r w:rsidR="00014562">
        <w:t xml:space="preserve"> is </w:t>
      </w:r>
      <w:r w:rsidR="009F3B80">
        <w:t xml:space="preserve">now </w:t>
      </w:r>
      <w:r w:rsidR="00014562">
        <w:t xml:space="preserve">reflected in the monitoring framework and demand </w:t>
      </w:r>
      <w:r w:rsidR="006872A7">
        <w:t xml:space="preserve">is </w:t>
      </w:r>
      <w:r w:rsidR="00014562">
        <w:t>more accurately measured</w:t>
      </w:r>
      <w:r w:rsidR="00A0167D">
        <w:t xml:space="preserve">.  </w:t>
      </w:r>
    </w:p>
    <w:p w14:paraId="6A39BC66" w14:textId="2C2BED10" w:rsidR="00DB18C6" w:rsidRDefault="00A0167D" w:rsidP="005B3955">
      <w:pPr>
        <w:rPr>
          <w:rFonts w:cs="Arial"/>
          <w:szCs w:val="20"/>
        </w:rPr>
      </w:pPr>
      <w:r>
        <w:t xml:space="preserve">Under this </w:t>
      </w:r>
      <w:r w:rsidR="00997BEF">
        <w:t xml:space="preserve">modified monitoring </w:t>
      </w:r>
      <w:r>
        <w:t xml:space="preserve">approach, </w:t>
      </w:r>
      <w:r w:rsidR="00B777C3">
        <w:t xml:space="preserve">the bandwidth used under </w:t>
      </w:r>
      <w:r>
        <w:t>each licence is weighted by an averaged in</w:t>
      </w:r>
      <w:r w:rsidR="009C380E">
        <w:t>dicator of how much of the high-</w:t>
      </w:r>
      <w:r>
        <w:t xml:space="preserve">density area is </w:t>
      </w:r>
      <w:r w:rsidR="009F3B80">
        <w:t>‘</w:t>
      </w:r>
      <w:r>
        <w:t>used</w:t>
      </w:r>
      <w:r w:rsidR="009F3B80">
        <w:t>’,</w:t>
      </w:r>
      <w:r>
        <w:t xml:space="preserve"> </w:t>
      </w:r>
      <w:r w:rsidR="009F3B80">
        <w:t xml:space="preserve">that is, </w:t>
      </w:r>
      <w:r>
        <w:t>denied to other users.</w:t>
      </w:r>
      <w:r w:rsidR="00491646">
        <w:rPr>
          <w:rStyle w:val="FootnoteReference"/>
        </w:rPr>
        <w:footnoteReference w:id="6"/>
      </w:r>
      <w:r>
        <w:t xml:space="preserve"> </w:t>
      </w:r>
      <w:r w:rsidR="002545F7">
        <w:t xml:space="preserve"> Reflecting the larger denial area of </w:t>
      </w:r>
      <w:r w:rsidR="00F816EE">
        <w:t>high</w:t>
      </w:r>
      <w:r w:rsidR="009F3B80">
        <w:t>-</w:t>
      </w:r>
      <w:r w:rsidR="009D2355">
        <w:t xml:space="preserve">power </w:t>
      </w:r>
      <w:r w:rsidR="002545F7">
        <w:t>services</w:t>
      </w:r>
      <w:r w:rsidR="00E8211B">
        <w:t>,</w:t>
      </w:r>
      <w:r w:rsidR="002545F7">
        <w:t xml:space="preserve"> their denial weight is significantly high</w:t>
      </w:r>
      <w:r w:rsidR="00DB18C6">
        <w:t xml:space="preserve">er than for </w:t>
      </w:r>
      <w:r w:rsidR="00F816EE">
        <w:t>low</w:t>
      </w:r>
      <w:r w:rsidR="009F3B80">
        <w:t>-</w:t>
      </w:r>
      <w:r w:rsidR="009D2355">
        <w:t>power</w:t>
      </w:r>
      <w:r w:rsidR="00DB18C6">
        <w:t xml:space="preserve"> services.</w:t>
      </w:r>
    </w:p>
    <w:p w14:paraId="6CB4AC0F" w14:textId="556971B4" w:rsidR="00DB18C6" w:rsidRPr="00A6337B" w:rsidRDefault="00DB18C6" w:rsidP="005B3955">
      <w:pPr>
        <w:rPr>
          <w:rFonts w:cs="Arial"/>
          <w:szCs w:val="20"/>
        </w:rPr>
      </w:pPr>
      <w:r>
        <w:rPr>
          <w:rFonts w:cs="Arial"/>
          <w:szCs w:val="20"/>
        </w:rPr>
        <w:t>T</w:t>
      </w:r>
      <w:r w:rsidRPr="00A6337B">
        <w:rPr>
          <w:rFonts w:cs="Arial"/>
          <w:szCs w:val="20"/>
        </w:rPr>
        <w:t xml:space="preserve">he amount of spectrum </w:t>
      </w:r>
      <w:r w:rsidR="009F3B80">
        <w:rPr>
          <w:rFonts w:cs="Arial"/>
          <w:szCs w:val="20"/>
        </w:rPr>
        <w:t xml:space="preserve">(bandwidth) </w:t>
      </w:r>
      <w:r w:rsidR="00F42ABF">
        <w:rPr>
          <w:rFonts w:cs="Arial"/>
          <w:szCs w:val="20"/>
        </w:rPr>
        <w:t xml:space="preserve">used </w:t>
      </w:r>
      <w:r w:rsidRPr="00A6337B">
        <w:rPr>
          <w:rFonts w:cs="Arial"/>
          <w:szCs w:val="20"/>
        </w:rPr>
        <w:t xml:space="preserve">by each licensee is then multiplied by </w:t>
      </w:r>
      <w:r w:rsidR="00D31B46">
        <w:rPr>
          <w:rFonts w:cs="Arial"/>
          <w:szCs w:val="20"/>
        </w:rPr>
        <w:t>a factor representing the geographic area over which spectrum is denied</w:t>
      </w:r>
      <w:r w:rsidR="00D31B46">
        <w:rPr>
          <w:rStyle w:val="FootnoteReference"/>
          <w:rFonts w:cs="Arial"/>
          <w:szCs w:val="20"/>
        </w:rPr>
        <w:footnoteReference w:id="7"/>
      </w:r>
      <w:r w:rsidR="009F3B80">
        <w:rPr>
          <w:rFonts w:cs="Arial"/>
          <w:szCs w:val="20"/>
        </w:rPr>
        <w:t>,</w:t>
      </w:r>
      <w:r w:rsidRPr="00A6337B">
        <w:rPr>
          <w:rFonts w:cs="Arial"/>
          <w:szCs w:val="20"/>
        </w:rPr>
        <w:t xml:space="preserve"> to provide an indicative estimate of how much spectrum is geographically denied by each licence. Aggregating across all relevant licensees effectively creates a measure of demand adjusted to allow for differential geo-spatial denial.  </w:t>
      </w:r>
    </w:p>
    <w:p w14:paraId="16990497" w14:textId="4C50E080" w:rsidR="00A0167D" w:rsidRDefault="00A0167D" w:rsidP="005B3955">
      <w:r>
        <w:t>The approach is not a precise measure of actual denial based on actual base station</w:t>
      </w:r>
      <w:r w:rsidR="002C174F">
        <w:t>/</w:t>
      </w:r>
      <w:r>
        <w:t xml:space="preserve">transmitter locations within the </w:t>
      </w:r>
      <w:r w:rsidR="009C380E">
        <w:t>high-</w:t>
      </w:r>
      <w:r w:rsidR="000A30FF">
        <w:t>density area</w:t>
      </w:r>
      <w:r w:rsidR="00DA3335">
        <w:t>,</w:t>
      </w:r>
      <w:r w:rsidR="00717F64">
        <w:t xml:space="preserve"> </w:t>
      </w:r>
      <w:r>
        <w:t>but an averaged approach sufficiently differentiated (in terms of treatment of high</w:t>
      </w:r>
      <w:r w:rsidR="009F3B80">
        <w:t>-</w:t>
      </w:r>
      <w:r>
        <w:t xml:space="preserve"> and low</w:t>
      </w:r>
      <w:r w:rsidR="009F3B80">
        <w:t>-</w:t>
      </w:r>
      <w:r>
        <w:t xml:space="preserve">power </w:t>
      </w:r>
      <w:r w:rsidR="00C371E0">
        <w:t>devices)</w:t>
      </w:r>
      <w:r>
        <w:t xml:space="preserve"> to facilitate identification of broad trends in demand across time.  </w:t>
      </w:r>
    </w:p>
    <w:p w14:paraId="3F2397CC" w14:textId="5D8DE1B4" w:rsidR="00263804" w:rsidRDefault="002C174F" w:rsidP="002E168C">
      <w:pPr>
        <w:keepNext/>
        <w:keepLines/>
        <w:spacing w:after="80"/>
        <w:rPr>
          <w:rFonts w:cs="Arial"/>
          <w:szCs w:val="20"/>
        </w:rPr>
      </w:pPr>
      <w:r>
        <w:t xml:space="preserve">The </w:t>
      </w:r>
      <w:r w:rsidRPr="00AB3C4D">
        <w:rPr>
          <w:rFonts w:cs="Arial"/>
          <w:szCs w:val="20"/>
        </w:rPr>
        <w:t xml:space="preserve">ACMA has also implemented other improvements </w:t>
      </w:r>
      <w:r w:rsidR="00A0167D" w:rsidRPr="00AB3C4D">
        <w:rPr>
          <w:rFonts w:cs="Arial"/>
          <w:szCs w:val="20"/>
        </w:rPr>
        <w:t>to the revised monitoring framework</w:t>
      </w:r>
      <w:r w:rsidR="00E56AE7">
        <w:rPr>
          <w:rFonts w:cs="Arial"/>
          <w:szCs w:val="20"/>
        </w:rPr>
        <w:t xml:space="preserve">, </w:t>
      </w:r>
      <w:r w:rsidR="00055669">
        <w:rPr>
          <w:rFonts w:cs="Arial"/>
          <w:szCs w:val="20"/>
        </w:rPr>
        <w:t>notably</w:t>
      </w:r>
      <w:r w:rsidR="00263804">
        <w:rPr>
          <w:rFonts w:cs="Arial"/>
          <w:szCs w:val="20"/>
        </w:rPr>
        <w:t>:</w:t>
      </w:r>
    </w:p>
    <w:p w14:paraId="0F227F57" w14:textId="2718934E" w:rsidR="00E56AE7" w:rsidRDefault="009D2355" w:rsidP="002E168C">
      <w:pPr>
        <w:pStyle w:val="ListBullet"/>
        <w:keepNext/>
        <w:keepLines/>
      </w:pPr>
      <w:r w:rsidRPr="00B2180D">
        <w:t>including the effect of denying spectrum from services</w:t>
      </w:r>
      <w:r w:rsidR="006C6CF3" w:rsidRPr="00B2180D">
        <w:t xml:space="preserve"> </w:t>
      </w:r>
      <w:r w:rsidR="00C371E0" w:rsidRPr="00B2180D">
        <w:t>into</w:t>
      </w:r>
      <w:r w:rsidR="006C6CF3" w:rsidRPr="00B2180D">
        <w:t xml:space="preserve"> </w:t>
      </w:r>
      <w:r w:rsidR="00752BEC" w:rsidRPr="00B2180D">
        <w:t xml:space="preserve">immediate </w:t>
      </w:r>
      <w:r w:rsidR="006C6CF3" w:rsidRPr="00B2180D">
        <w:t>adjacent channels</w:t>
      </w:r>
    </w:p>
    <w:p w14:paraId="3CB16EC8" w14:textId="16E54FB8" w:rsidR="00263804" w:rsidRPr="00B2180D" w:rsidRDefault="00E56AE7" w:rsidP="002E168C">
      <w:pPr>
        <w:pStyle w:val="ListBullet"/>
        <w:keepNext/>
        <w:keepLines/>
        <w:spacing w:after="240"/>
      </w:pPr>
      <w:r w:rsidRPr="00E56AE7">
        <w:t xml:space="preserve">the </w:t>
      </w:r>
      <w:r w:rsidRPr="009952DD">
        <w:t>inclusion of denial by licences with base stations located in the 100-kilometre</w:t>
      </w:r>
      <w:r w:rsidRPr="009952DD" w:rsidDel="00B2180D">
        <w:t xml:space="preserve"> </w:t>
      </w:r>
      <w:r w:rsidRPr="009952DD">
        <w:t xml:space="preserve">zone immediately surrounding the relevant </w:t>
      </w:r>
      <w:r w:rsidRPr="00B2180D">
        <w:t>high</w:t>
      </w:r>
      <w:r>
        <w:t>-</w:t>
      </w:r>
      <w:r w:rsidRPr="009952DD">
        <w:t>density area</w:t>
      </w:r>
      <w:r>
        <w:t>.</w:t>
      </w:r>
      <w:r w:rsidRPr="009952DD">
        <w:rPr>
          <w:rStyle w:val="FootnoteReference"/>
          <w:rFonts w:cs="Arial"/>
          <w:szCs w:val="20"/>
        </w:rPr>
        <w:footnoteReference w:id="8"/>
      </w:r>
    </w:p>
    <w:p w14:paraId="7921F752" w14:textId="2A0ACF84" w:rsidR="00FF111B" w:rsidRDefault="006C6CF3" w:rsidP="005B3955">
      <w:r w:rsidRPr="00FF111B">
        <w:t>These</w:t>
      </w:r>
      <w:r w:rsidR="00997BEF" w:rsidRPr="00FF111B">
        <w:t xml:space="preserve"> </w:t>
      </w:r>
      <w:r w:rsidR="00D31B46" w:rsidRPr="00FF111B">
        <w:t>improvements</w:t>
      </w:r>
      <w:r w:rsidR="007D63EA" w:rsidRPr="00FF111B">
        <w:t xml:space="preserve"> </w:t>
      </w:r>
      <w:r w:rsidR="00752BEC" w:rsidRPr="00FF111B">
        <w:t xml:space="preserve">effectively </w:t>
      </w:r>
      <w:r w:rsidR="00D31B46" w:rsidRPr="00FF111B">
        <w:t xml:space="preserve">capture </w:t>
      </w:r>
      <w:r w:rsidR="00752BEC" w:rsidRPr="00FF111B">
        <w:t>other</w:t>
      </w:r>
      <w:r w:rsidRPr="00FF111B">
        <w:t xml:space="preserve"> </w:t>
      </w:r>
      <w:r w:rsidR="009F3B80">
        <w:t>‘</w:t>
      </w:r>
      <w:r w:rsidRPr="00FF111B">
        <w:t>use</w:t>
      </w:r>
      <w:r w:rsidR="00752BEC" w:rsidRPr="00FF111B">
        <w:t>s</w:t>
      </w:r>
      <w:r w:rsidR="009F3B80">
        <w:t>’</w:t>
      </w:r>
      <w:r w:rsidRPr="00FF111B">
        <w:t xml:space="preserve"> </w:t>
      </w:r>
      <w:r w:rsidR="00752BEC" w:rsidRPr="00FF111B">
        <w:t xml:space="preserve">of </w:t>
      </w:r>
      <w:r w:rsidRPr="00FF111B">
        <w:t xml:space="preserve">spectrum in the </w:t>
      </w:r>
      <w:r w:rsidR="000A30FF" w:rsidRPr="00FF111B">
        <w:t>high</w:t>
      </w:r>
      <w:r w:rsidR="009C380E">
        <w:t>-</w:t>
      </w:r>
      <w:r w:rsidR="000A30FF" w:rsidRPr="00FF111B">
        <w:t>density area</w:t>
      </w:r>
      <w:r w:rsidR="00B2180D">
        <w:t>,</w:t>
      </w:r>
      <w:r w:rsidR="000A30FF" w:rsidRPr="00FF111B">
        <w:t xml:space="preserve"> </w:t>
      </w:r>
      <w:r w:rsidRPr="00FF111B">
        <w:t xml:space="preserve">and </w:t>
      </w:r>
      <w:r w:rsidR="00B2180D" w:rsidRPr="00FF111B">
        <w:t>th</w:t>
      </w:r>
      <w:r w:rsidR="00B2180D">
        <w:t>erefore</w:t>
      </w:r>
      <w:r w:rsidR="00B2180D" w:rsidRPr="00FF111B">
        <w:t xml:space="preserve"> </w:t>
      </w:r>
      <w:r w:rsidRPr="00FF111B">
        <w:t xml:space="preserve">can contribute to spectrum congestion in the </w:t>
      </w:r>
      <w:r w:rsidR="009C380E" w:rsidRPr="00FF111B">
        <w:t>high-density</w:t>
      </w:r>
      <w:r w:rsidR="000A30FF" w:rsidRPr="00FF111B">
        <w:t xml:space="preserve"> area</w:t>
      </w:r>
      <w:r w:rsidRPr="00FF111B">
        <w:t>.</w:t>
      </w:r>
      <w:r>
        <w:t xml:space="preserve"> </w:t>
      </w:r>
    </w:p>
    <w:p w14:paraId="16990499" w14:textId="5F4C0952" w:rsidR="004077AA" w:rsidRDefault="00A0167D" w:rsidP="005B3955">
      <w:r w:rsidRPr="00AB3C4D">
        <w:rPr>
          <w:rFonts w:cs="Arial"/>
          <w:szCs w:val="20"/>
        </w:rPr>
        <w:t xml:space="preserve">Analysis applying the revised monitoring framework </w:t>
      </w:r>
      <w:r w:rsidR="00997BEF">
        <w:rPr>
          <w:rFonts w:cs="Arial"/>
          <w:szCs w:val="20"/>
        </w:rPr>
        <w:t xml:space="preserve">indicates that there is </w:t>
      </w:r>
      <w:r w:rsidR="00765BDC">
        <w:rPr>
          <w:rFonts w:cs="Arial"/>
          <w:szCs w:val="20"/>
        </w:rPr>
        <w:t>a more gradual</w:t>
      </w:r>
      <w:r w:rsidR="00997BEF">
        <w:rPr>
          <w:rFonts w:cs="Arial"/>
          <w:szCs w:val="20"/>
        </w:rPr>
        <w:t xml:space="preserve"> </w:t>
      </w:r>
      <w:r w:rsidRPr="00AB3C4D">
        <w:rPr>
          <w:rFonts w:cs="Arial"/>
          <w:szCs w:val="20"/>
        </w:rPr>
        <w:t xml:space="preserve">rebound in demand </w:t>
      </w:r>
      <w:r w:rsidR="00765BDC">
        <w:rPr>
          <w:rFonts w:cs="Arial"/>
          <w:szCs w:val="20"/>
        </w:rPr>
        <w:t>than</w:t>
      </w:r>
      <w:r w:rsidRPr="00AB3C4D">
        <w:rPr>
          <w:rFonts w:cs="Arial"/>
          <w:szCs w:val="20"/>
        </w:rPr>
        <w:t xml:space="preserve"> </w:t>
      </w:r>
      <w:r w:rsidR="00997BEF">
        <w:rPr>
          <w:rFonts w:cs="Arial"/>
          <w:szCs w:val="20"/>
        </w:rPr>
        <w:t>identified in earlier analysis</w:t>
      </w:r>
      <w:r w:rsidRPr="00AB3C4D">
        <w:rPr>
          <w:rFonts w:cs="Arial"/>
          <w:szCs w:val="20"/>
        </w:rPr>
        <w:t xml:space="preserve">. </w:t>
      </w:r>
      <w:r w:rsidR="00FF53D6">
        <w:rPr>
          <w:rFonts w:cs="Arial"/>
          <w:szCs w:val="20"/>
        </w:rPr>
        <w:t xml:space="preserve">That is, while there has been an increase in demand for spectrum, the increase is not occurring at a rate that would suggest that congestion within the band </w:t>
      </w:r>
      <w:r w:rsidR="00287875">
        <w:rPr>
          <w:rFonts w:cs="Arial"/>
          <w:szCs w:val="20"/>
        </w:rPr>
        <w:t>would</w:t>
      </w:r>
      <w:r w:rsidR="00FF53D6">
        <w:rPr>
          <w:rFonts w:cs="Arial"/>
          <w:szCs w:val="20"/>
        </w:rPr>
        <w:t xml:space="preserve"> re-emerge in the immediate future. </w:t>
      </w:r>
      <w:r w:rsidRPr="00AB3C4D">
        <w:rPr>
          <w:rFonts w:cs="Arial"/>
          <w:szCs w:val="20"/>
        </w:rPr>
        <w:t>The evolution of demand over the last few years resulting from the previous (orange bars) and revised (light blue bars) monitoring frameworks are contrasted i</w:t>
      </w:r>
      <w:r>
        <w:t xml:space="preserve">n </w:t>
      </w:r>
      <w:r w:rsidR="00B2180D">
        <w:t>Figure 1</w:t>
      </w:r>
      <w:r>
        <w:t xml:space="preserve"> below.</w:t>
      </w:r>
    </w:p>
    <w:p w14:paraId="05B06745" w14:textId="0DB35966" w:rsidR="00B2180D" w:rsidRDefault="00B2180D" w:rsidP="002E168C">
      <w:pPr>
        <w:pStyle w:val="ACMAFigureHeader"/>
      </w:pPr>
      <w:r>
        <w:t>Denial adjusted adjacent and co-channel demand (</w:t>
      </w:r>
      <w:r w:rsidR="00A817EF">
        <w:t xml:space="preserve">denial from within high-density areas only, </w:t>
      </w:r>
      <w:r>
        <w:t xml:space="preserve">aggregate for three </w:t>
      </w:r>
      <w:r w:rsidR="00A817EF">
        <w:t>high-density areas</w:t>
      </w:r>
      <w:r>
        <w:t>)</w:t>
      </w:r>
    </w:p>
    <w:p w14:paraId="705C8D31" w14:textId="688C8DC6" w:rsidR="00B2180D" w:rsidRDefault="007A06E9" w:rsidP="002E168C">
      <w:pPr>
        <w:spacing w:after="0"/>
      </w:pPr>
      <w:r w:rsidRPr="007A06E9">
        <w:rPr>
          <w:noProof/>
        </w:rPr>
        <w:drawing>
          <wp:inline distT="0" distB="0" distL="0" distR="0" wp14:anchorId="602AD1AD" wp14:editId="04AB4068">
            <wp:extent cx="5676900" cy="3563034"/>
            <wp:effectExtent l="0" t="0" r="0" b="0"/>
            <wp:docPr id="7" name="Picture 7" title="Denial adjusted adjacent and co-channel demand (aggregate for three HDAs, denial from within HDA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88099" cy="3570063"/>
                    </a:xfrm>
                    <a:prstGeom prst="rect">
                      <a:avLst/>
                    </a:prstGeom>
                    <a:noFill/>
                    <a:ln>
                      <a:noFill/>
                    </a:ln>
                  </pic:spPr>
                </pic:pic>
              </a:graphicData>
            </a:graphic>
          </wp:inline>
        </w:drawing>
      </w:r>
    </w:p>
    <w:p w14:paraId="419FDBBF" w14:textId="72950140" w:rsidR="00B2180D" w:rsidRDefault="00B2180D" w:rsidP="002E168C">
      <w:pPr>
        <w:pStyle w:val="ACMANotes"/>
        <w:spacing w:before="240" w:after="240"/>
      </w:pPr>
      <w:r w:rsidRPr="00AD35CB">
        <w:t>Source: ACMA analysis</w:t>
      </w:r>
    </w:p>
    <w:p w14:paraId="1699049E" w14:textId="2ED32C74" w:rsidR="00667EC8" w:rsidRDefault="00A0167D" w:rsidP="00B2180D">
      <w:r>
        <w:t>The growth in unadjusted licence numbers (</w:t>
      </w:r>
      <w:r w:rsidR="00EA4733">
        <w:t xml:space="preserve">used </w:t>
      </w:r>
      <w:r w:rsidR="006872A7">
        <w:t xml:space="preserve">previously </w:t>
      </w:r>
      <w:r w:rsidR="005433FD">
        <w:t>as</w:t>
      </w:r>
      <w:r w:rsidR="00EA4733">
        <w:t xml:space="preserve"> the </w:t>
      </w:r>
      <w:r>
        <w:t xml:space="preserve">demand </w:t>
      </w:r>
      <w:r w:rsidR="00D31B46">
        <w:t xml:space="preserve">measure </w:t>
      </w:r>
      <w:r w:rsidR="00EA4733">
        <w:t>for monitoring</w:t>
      </w:r>
      <w:r>
        <w:t>)</w:t>
      </w:r>
      <w:r w:rsidR="00055669">
        <w:t xml:space="preserve"> </w:t>
      </w:r>
      <w:r>
        <w:t xml:space="preserve">was predominantly </w:t>
      </w:r>
      <w:r w:rsidR="00F816EE">
        <w:t>for low</w:t>
      </w:r>
      <w:r w:rsidR="00B2180D">
        <w:t>-</w:t>
      </w:r>
      <w:r w:rsidR="00F816EE">
        <w:t>power devices</w:t>
      </w:r>
      <w:r>
        <w:t xml:space="preserve"> (with small re-use distances and denial circles)</w:t>
      </w:r>
      <w:r w:rsidR="00B61C18">
        <w:t xml:space="preserve">. Because </w:t>
      </w:r>
      <w:r w:rsidR="00F816EE">
        <w:t>low</w:t>
      </w:r>
      <w:r w:rsidR="00B2180D">
        <w:t>-</w:t>
      </w:r>
      <w:r w:rsidR="00F816EE">
        <w:t>power devices</w:t>
      </w:r>
      <w:r w:rsidR="00B61C18">
        <w:t xml:space="preserve"> were treated </w:t>
      </w:r>
      <w:r>
        <w:t xml:space="preserve">equivalently with </w:t>
      </w:r>
      <w:r w:rsidR="00F816EE">
        <w:t>high</w:t>
      </w:r>
      <w:r w:rsidR="00B2180D">
        <w:t>-</w:t>
      </w:r>
      <w:r w:rsidR="00F816EE">
        <w:t xml:space="preserve">power </w:t>
      </w:r>
      <w:r>
        <w:t>services (with</w:t>
      </w:r>
      <w:r w:rsidR="00765BDC">
        <w:t xml:space="preserve"> </w:t>
      </w:r>
      <w:r>
        <w:t>large re-use distances and denial circles)</w:t>
      </w:r>
      <w:r w:rsidR="00B2180D">
        <w:t>,</w:t>
      </w:r>
      <w:r w:rsidR="00B61C18">
        <w:t xml:space="preserve"> the aggregate amount of avai</w:t>
      </w:r>
      <w:r w:rsidR="00765BDC">
        <w:t>lable spectrum used by</w:t>
      </w:r>
      <w:r w:rsidR="002E168C">
        <w:t xml:space="preserve"> licensees</w:t>
      </w:r>
      <w:r w:rsidR="00765BDC">
        <w:t xml:space="preserve"> </w:t>
      </w:r>
      <w:r w:rsidR="00B61C18">
        <w:t>was effectively overstated</w:t>
      </w:r>
      <w:r>
        <w:t>. The new monitoring framework recognises different denial characteristics</w:t>
      </w:r>
      <w:r w:rsidR="00B61C18">
        <w:t xml:space="preserve"> and measures demand to reflect this</w:t>
      </w:r>
      <w:r w:rsidR="00667EC8">
        <w:t>.</w:t>
      </w:r>
    </w:p>
    <w:p w14:paraId="77DD1F8A" w14:textId="7047F4B7" w:rsidR="00EA4733" w:rsidRDefault="00B61C18" w:rsidP="005B3955">
      <w:r>
        <w:t xml:space="preserve">Adjusting demand along these lines </w:t>
      </w:r>
      <w:r w:rsidR="00BB315D">
        <w:t xml:space="preserve">(reflecting the lower denial weight now attached to </w:t>
      </w:r>
      <w:r w:rsidR="00F816EE">
        <w:t>low</w:t>
      </w:r>
      <w:r w:rsidR="00B2180D">
        <w:t>-</w:t>
      </w:r>
      <w:r w:rsidR="00F816EE">
        <w:t>power</w:t>
      </w:r>
      <w:r w:rsidR="00BB315D">
        <w:t xml:space="preserve"> services) </w:t>
      </w:r>
      <w:r w:rsidR="00A0167D">
        <w:t xml:space="preserve">indicates that </w:t>
      </w:r>
      <w:r>
        <w:t>aggregate</w:t>
      </w:r>
      <w:r w:rsidR="00A0167D">
        <w:t xml:space="preserve"> demand is not growing as</w:t>
      </w:r>
      <w:r w:rsidR="00667EC8">
        <w:t xml:space="preserve"> strongly as previously though</w:t>
      </w:r>
      <w:r w:rsidR="00BB315D">
        <w:t xml:space="preserve">t. </w:t>
      </w:r>
      <w:r w:rsidR="001E6D65">
        <w:t>W</w:t>
      </w:r>
      <w:r w:rsidR="00EA4733">
        <w:t xml:space="preserve">ith a </w:t>
      </w:r>
      <w:r w:rsidR="00BB315D">
        <w:t xml:space="preserve">lower </w:t>
      </w:r>
      <w:r w:rsidR="006872A7">
        <w:t xml:space="preserve">likely future </w:t>
      </w:r>
      <w:r w:rsidR="00BB315D">
        <w:t>demand trajectory</w:t>
      </w:r>
      <w:r w:rsidR="002274CA">
        <w:t>,</w:t>
      </w:r>
      <w:r w:rsidR="00BB315D">
        <w:t xml:space="preserve"> </w:t>
      </w:r>
      <w:r w:rsidR="00A0167D">
        <w:t xml:space="preserve">congestion appears unlikely to re-emerge over the </w:t>
      </w:r>
      <w:r w:rsidR="00287875">
        <w:t>near</w:t>
      </w:r>
      <w:r w:rsidR="00A0167D">
        <w:t xml:space="preserve"> future.  </w:t>
      </w:r>
    </w:p>
    <w:p w14:paraId="1699049F" w14:textId="5ACA9065" w:rsidR="00A0167D" w:rsidRDefault="00A0167D" w:rsidP="005B3955">
      <w:r>
        <w:t xml:space="preserve">On this basis, the rationale for further increases in relevant licence tax rates </w:t>
      </w:r>
      <w:r w:rsidR="00176A5B">
        <w:t xml:space="preserve">is </w:t>
      </w:r>
      <w:r w:rsidR="00EA4733">
        <w:t xml:space="preserve">now </w:t>
      </w:r>
      <w:r w:rsidR="00176A5B">
        <w:t>less apparent</w:t>
      </w:r>
      <w:r>
        <w:t xml:space="preserve">. </w:t>
      </w:r>
      <w:r w:rsidR="001E6D65">
        <w:t>For this reason</w:t>
      </w:r>
      <w:r w:rsidR="00EA4733">
        <w:t xml:space="preserve">, </w:t>
      </w:r>
      <w:r w:rsidR="00667EC8">
        <w:t>the ACMA is</w:t>
      </w:r>
      <w:r w:rsidR="00AD7178">
        <w:t xml:space="preserve"> </w:t>
      </w:r>
      <w:r w:rsidR="00667EC8">
        <w:t xml:space="preserve">not intending to implement the third increase in licence tax rates </w:t>
      </w:r>
      <w:r>
        <w:t>at this time.</w:t>
      </w:r>
    </w:p>
    <w:p w14:paraId="26F9E795" w14:textId="3F8F61CD" w:rsidR="00176A5B" w:rsidRDefault="001E6D65" w:rsidP="005B3955">
      <w:r>
        <w:t>T</w:t>
      </w:r>
      <w:r w:rsidR="00014562">
        <w:t xml:space="preserve">he ACMA will continue to monitor </w:t>
      </w:r>
      <w:r w:rsidR="00B2180D">
        <w:t>denial-weighted</w:t>
      </w:r>
      <w:r w:rsidR="00014562">
        <w:t xml:space="preserve"> demand on a semi-regular basis. </w:t>
      </w:r>
      <w:r w:rsidR="00176A5B" w:rsidRPr="00176A5B">
        <w:t>In the future</w:t>
      </w:r>
      <w:r w:rsidR="002274CA">
        <w:t>,</w:t>
      </w:r>
      <w:r w:rsidR="00176A5B" w:rsidRPr="00176A5B">
        <w:t xml:space="preserve"> should the monitoring framework indicate that there is a material increase in demand, then </w:t>
      </w:r>
      <w:r w:rsidR="00176A5B">
        <w:t>additional technical</w:t>
      </w:r>
      <w:r w:rsidR="00176A5B" w:rsidRPr="00176A5B">
        <w:t xml:space="preserve"> studies</w:t>
      </w:r>
      <w:r w:rsidR="00B2180D">
        <w:t>—</w:t>
      </w:r>
      <w:r>
        <w:t xml:space="preserve">together with </w:t>
      </w:r>
      <w:r w:rsidR="00176A5B" w:rsidRPr="00176A5B">
        <w:t>additional consultation with affected parties</w:t>
      </w:r>
      <w:r w:rsidR="00B2180D">
        <w:t>—</w:t>
      </w:r>
      <w:r w:rsidR="00176A5B" w:rsidRPr="00176A5B">
        <w:t xml:space="preserve">can be undertaken to </w:t>
      </w:r>
      <w:r w:rsidR="00EA4733">
        <w:t xml:space="preserve">identify </w:t>
      </w:r>
      <w:r w:rsidR="00176A5B" w:rsidRPr="00176A5B">
        <w:t>whether there is a material risk of congestion</w:t>
      </w:r>
      <w:r w:rsidR="00EA4733">
        <w:t xml:space="preserve"> re-emerging</w:t>
      </w:r>
      <w:r w:rsidR="00176A5B" w:rsidRPr="00176A5B">
        <w:t xml:space="preserve">. </w:t>
      </w:r>
    </w:p>
    <w:p w14:paraId="06C7DB4D" w14:textId="1BB84556" w:rsidR="00176A5B" w:rsidRPr="00176A5B" w:rsidRDefault="00176A5B" w:rsidP="005B3955">
      <w:r w:rsidRPr="00176A5B">
        <w:t>The further analysis could also focus on particular sub-bands (</w:t>
      </w:r>
      <w:r w:rsidR="009952DD">
        <w:t>for example,</w:t>
      </w:r>
      <w:r w:rsidR="009952DD" w:rsidRPr="00176A5B">
        <w:t xml:space="preserve"> </w:t>
      </w:r>
      <w:r w:rsidRPr="00176A5B">
        <w:t>the 450</w:t>
      </w:r>
      <w:r w:rsidR="00B2180D">
        <w:t>–</w:t>
      </w:r>
      <w:r w:rsidRPr="00176A5B">
        <w:t xml:space="preserve">470 MHz sub-band) as well as examining demand in each </w:t>
      </w:r>
      <w:r w:rsidR="000A30FF">
        <w:t>high</w:t>
      </w:r>
      <w:r w:rsidR="009C380E">
        <w:t>-</w:t>
      </w:r>
      <w:r w:rsidR="000A30FF">
        <w:t>density area</w:t>
      </w:r>
      <w:r w:rsidR="000A30FF" w:rsidRPr="00176A5B">
        <w:t xml:space="preserve"> </w:t>
      </w:r>
      <w:r w:rsidRPr="00176A5B">
        <w:t>separately (</w:t>
      </w:r>
      <w:r w:rsidR="00CA2925">
        <w:t>for example,</w:t>
      </w:r>
      <w:r w:rsidR="00CA2925" w:rsidRPr="00176A5B">
        <w:t xml:space="preserve"> </w:t>
      </w:r>
      <w:r w:rsidRPr="00176A5B">
        <w:t xml:space="preserve">demand is relatively higher in the Sydney </w:t>
      </w:r>
      <w:r w:rsidR="009C380E">
        <w:t>high-</w:t>
      </w:r>
      <w:r w:rsidR="000A30FF">
        <w:t>density area</w:t>
      </w:r>
      <w:r w:rsidR="000A30FF" w:rsidRPr="00176A5B">
        <w:t xml:space="preserve"> </w:t>
      </w:r>
      <w:r w:rsidRPr="00176A5B">
        <w:t xml:space="preserve">than the Brisbane </w:t>
      </w:r>
      <w:r w:rsidR="009C380E">
        <w:t>high-</w:t>
      </w:r>
      <w:r w:rsidR="000A30FF">
        <w:t>density area</w:t>
      </w:r>
      <w:r w:rsidRPr="00176A5B">
        <w:t>). If there is a risk of congestion re-emerging</w:t>
      </w:r>
      <w:r w:rsidR="002274CA">
        <w:t>,</w:t>
      </w:r>
      <w:r w:rsidRPr="00176A5B">
        <w:t xml:space="preserve"> then the ACMA can again consider increasing licence tax rates</w:t>
      </w:r>
      <w:r w:rsidR="001E6D65">
        <w:t>, or increasing licence tax rates in some areas or in some sub-bands</w:t>
      </w:r>
      <w:r w:rsidRPr="00176A5B">
        <w:t xml:space="preserve">. </w:t>
      </w:r>
    </w:p>
    <w:p w14:paraId="6196614B" w14:textId="41EEEEB6" w:rsidR="00176A5B" w:rsidRDefault="00176A5B" w:rsidP="005B3955">
      <w:r>
        <w:t xml:space="preserve">The ACMA </w:t>
      </w:r>
      <w:r w:rsidR="00570623">
        <w:t>understands</w:t>
      </w:r>
      <w:r>
        <w:t xml:space="preserve"> that parties may be interested in providing further feedback on the current monitoring framework. Interested stakeholders are invited to contact </w:t>
      </w:r>
      <w:r w:rsidR="00014562">
        <w:t xml:space="preserve">the ACMA </w:t>
      </w:r>
      <w:r>
        <w:t xml:space="preserve">should </w:t>
      </w:r>
      <w:r w:rsidR="00014562">
        <w:t xml:space="preserve">they wish </w:t>
      </w:r>
      <w:r>
        <w:t xml:space="preserve">to discuss </w:t>
      </w:r>
      <w:r w:rsidR="00F27A61">
        <w:t xml:space="preserve">these or related issues </w:t>
      </w:r>
      <w:r>
        <w:t>further.</w:t>
      </w:r>
      <w:r w:rsidR="00570623">
        <w:t xml:space="preserve"> These discussions can also include how frequently the ACMA should monitor demand within the band.</w:t>
      </w:r>
    </w:p>
    <w:p w14:paraId="169904A1" w14:textId="77777777" w:rsidR="00B757B6" w:rsidRPr="00BF4A6A" w:rsidRDefault="00B757B6" w:rsidP="002E168C">
      <w:pPr>
        <w:pStyle w:val="Heading1"/>
        <w:numPr>
          <w:ilvl w:val="0"/>
          <w:numId w:val="0"/>
        </w:numPr>
      </w:pPr>
      <w:bookmarkStart w:id="3" w:name="_Toc508093658"/>
      <w:r w:rsidRPr="00BF4A6A">
        <w:t>Asymmetric consequences</w:t>
      </w:r>
      <w:bookmarkEnd w:id="3"/>
    </w:p>
    <w:p w14:paraId="7FA3F2A7" w14:textId="36366EFC" w:rsidR="000600E7" w:rsidRDefault="00EA4733" w:rsidP="005B3955">
      <w:r>
        <w:t xml:space="preserve">In its submission, </w:t>
      </w:r>
      <w:r w:rsidR="00A0167D">
        <w:t xml:space="preserve">Telstra argued that the ACMA needs to consider whether the consequences of </w:t>
      </w:r>
      <w:r w:rsidR="00CA2925">
        <w:t xml:space="preserve">any </w:t>
      </w:r>
      <w:r w:rsidR="00AD7178">
        <w:t>regulatory error in setting th</w:t>
      </w:r>
      <w:r w:rsidR="00A0167D">
        <w:t xml:space="preserve">e licence tax rate for </w:t>
      </w:r>
      <w:r w:rsidR="009C380E">
        <w:t>high-</w:t>
      </w:r>
      <w:r w:rsidR="000A30FF">
        <w:t xml:space="preserve">density areas </w:t>
      </w:r>
      <w:r w:rsidR="00A0167D">
        <w:t xml:space="preserve">in the 400 MHz band </w:t>
      </w:r>
      <w:r w:rsidR="002274CA">
        <w:t>is</w:t>
      </w:r>
      <w:r w:rsidR="00A0167D">
        <w:t xml:space="preserve"> asymmetric.</w:t>
      </w:r>
      <w:r w:rsidR="00FD1500">
        <w:rPr>
          <w:rStyle w:val="FootnoteReference"/>
        </w:rPr>
        <w:footnoteReference w:id="9"/>
      </w:r>
      <w:r w:rsidR="00A0167D">
        <w:t xml:space="preserve"> Telstra </w:t>
      </w:r>
      <w:r>
        <w:t xml:space="preserve">noted </w:t>
      </w:r>
      <w:r w:rsidR="00A0167D">
        <w:t xml:space="preserve">that if the licence tax rate is set above </w:t>
      </w:r>
      <w:r w:rsidR="00B2180D">
        <w:t>‘</w:t>
      </w:r>
      <w:r w:rsidR="00A0167D">
        <w:t>true</w:t>
      </w:r>
      <w:r w:rsidR="00B2180D">
        <w:t>’</w:t>
      </w:r>
      <w:r w:rsidR="00A0167D">
        <w:t xml:space="preserve"> opportunity cost</w:t>
      </w:r>
      <w:r>
        <w:t>, then</w:t>
      </w:r>
      <w:r w:rsidR="00A0167D">
        <w:t xml:space="preserve"> there is an efficiency loss associated with foregone use and that this is </w:t>
      </w:r>
      <w:r>
        <w:t xml:space="preserve">likely to be </w:t>
      </w:r>
      <w:r w:rsidR="00A0167D">
        <w:t xml:space="preserve">greater than the efficiency loss associated with licence tax rates that are set below </w:t>
      </w:r>
      <w:r w:rsidR="00B2180D">
        <w:t>‘</w:t>
      </w:r>
      <w:r w:rsidR="00A0167D">
        <w:t>true</w:t>
      </w:r>
      <w:r w:rsidR="00B2180D">
        <w:t>’</w:t>
      </w:r>
      <w:r w:rsidR="00A0167D">
        <w:t xml:space="preserve"> </w:t>
      </w:r>
      <w:r w:rsidR="00287875">
        <w:t>OC</w:t>
      </w:r>
      <w:r w:rsidR="00A0167D">
        <w:t xml:space="preserve"> (which caus</w:t>
      </w:r>
      <w:r>
        <w:t>es</w:t>
      </w:r>
      <w:r w:rsidR="00A0167D">
        <w:t xml:space="preserve"> some viable use to be displaced by lower value uses).  </w:t>
      </w:r>
    </w:p>
    <w:p w14:paraId="169904A2" w14:textId="69C36F07" w:rsidR="00A0167D" w:rsidRDefault="00A0167D" w:rsidP="005B3955">
      <w:r>
        <w:t xml:space="preserve">The ACMA </w:t>
      </w:r>
      <w:r w:rsidR="006731A1">
        <w:t xml:space="preserve">generally </w:t>
      </w:r>
      <w:r>
        <w:t>recognises this potential risk</w:t>
      </w:r>
      <w:r w:rsidR="006731A1">
        <w:t xml:space="preserve"> when setting licence tax rates</w:t>
      </w:r>
      <w:r w:rsidR="000600E7">
        <w:t xml:space="preserve">. Given considerable uncertainties around accurately estimating </w:t>
      </w:r>
      <w:r w:rsidR="00B2180D">
        <w:t>OC</w:t>
      </w:r>
      <w:r w:rsidR="000600E7">
        <w:t xml:space="preserve">, the ACMA </w:t>
      </w:r>
      <w:r>
        <w:t>is typically conservative (</w:t>
      </w:r>
      <w:r w:rsidR="005A1812">
        <w:t xml:space="preserve">that is, it </w:t>
      </w:r>
      <w:r>
        <w:t xml:space="preserve">errs on </w:t>
      </w:r>
      <w:r w:rsidR="005A1812">
        <w:t xml:space="preserve">the </w:t>
      </w:r>
      <w:r>
        <w:t xml:space="preserve">low-side) </w:t>
      </w:r>
      <w:r w:rsidR="000600E7">
        <w:t>whe</w:t>
      </w:r>
      <w:r>
        <w:t xml:space="preserve">n setting licence tax rates </w:t>
      </w:r>
      <w:r w:rsidR="000600E7">
        <w:t xml:space="preserve">for spectrum </w:t>
      </w:r>
      <w:r>
        <w:t xml:space="preserve">because of a </w:t>
      </w:r>
      <w:r w:rsidR="00E02F51">
        <w:t xml:space="preserve">concern </w:t>
      </w:r>
      <w:r>
        <w:t>that the negative consequences of mis-estimating licence tax rates may be asymmetric.</w:t>
      </w:r>
    </w:p>
    <w:p w14:paraId="52575067" w14:textId="2B8C6969" w:rsidR="000600E7" w:rsidRDefault="00570623" w:rsidP="005B3955">
      <w:pPr>
        <w:rPr>
          <w:rFonts w:cs="Arial"/>
          <w:szCs w:val="20"/>
        </w:rPr>
      </w:pPr>
      <w:r>
        <w:t xml:space="preserve">In the </w:t>
      </w:r>
      <w:r w:rsidR="005F0C6D">
        <w:t>context</w:t>
      </w:r>
      <w:r>
        <w:t xml:space="preserve"> of the </w:t>
      </w:r>
      <w:r w:rsidR="005F0C6D">
        <w:t xml:space="preserve">introduction of </w:t>
      </w:r>
      <w:r w:rsidR="005F0C6D" w:rsidRPr="00287875">
        <w:t>OC</w:t>
      </w:r>
      <w:r w:rsidR="005F0C6D">
        <w:t xml:space="preserve"> principles in the </w:t>
      </w:r>
      <w:r w:rsidR="009C380E">
        <w:t>high-</w:t>
      </w:r>
      <w:r w:rsidR="000A30FF">
        <w:t xml:space="preserve">density areas </w:t>
      </w:r>
      <w:r w:rsidR="005F0C6D">
        <w:t xml:space="preserve">of </w:t>
      </w:r>
      <w:r>
        <w:t xml:space="preserve">the 400 MHz band, </w:t>
      </w:r>
      <w:r w:rsidR="00A0167D">
        <w:t xml:space="preserve">two factors </w:t>
      </w:r>
      <w:r w:rsidR="00BD625E">
        <w:t>reduc</w:t>
      </w:r>
      <w:r w:rsidR="00A0167D">
        <w:t xml:space="preserve">e the likelihood of licence tax rates </w:t>
      </w:r>
      <w:r w:rsidR="00A0167D" w:rsidRPr="00DD09BB">
        <w:rPr>
          <w:rFonts w:cs="Arial"/>
          <w:szCs w:val="20"/>
        </w:rPr>
        <w:t>becoming too high and causing the larger downside associated with unutilised spectrum</w:t>
      </w:r>
      <w:r w:rsidR="000600E7">
        <w:rPr>
          <w:rFonts w:cs="Arial"/>
          <w:szCs w:val="20"/>
        </w:rPr>
        <w:t>.</w:t>
      </w:r>
    </w:p>
    <w:p w14:paraId="4F7D7F7E" w14:textId="3D722C58" w:rsidR="000600E7" w:rsidRDefault="000600E7" w:rsidP="005B3955">
      <w:pPr>
        <w:rPr>
          <w:rFonts w:cs="Arial"/>
          <w:szCs w:val="20"/>
        </w:rPr>
      </w:pPr>
      <w:r w:rsidRPr="00FF111B">
        <w:t xml:space="preserve">Firstly, the indicative </w:t>
      </w:r>
      <w:r w:rsidR="00B2180D">
        <w:t>OC</w:t>
      </w:r>
      <w:r w:rsidRPr="00FF111B">
        <w:t xml:space="preserve"> target towards which the licence tax rates </w:t>
      </w:r>
      <w:r w:rsidR="00570623" w:rsidRPr="00FF111B">
        <w:t xml:space="preserve">have been </w:t>
      </w:r>
      <w:r w:rsidRPr="00FF111B">
        <w:t xml:space="preserve">progressively moving was based on an independent estimate of the likely optimised deprival value (ODV) of the relevant </w:t>
      </w:r>
      <w:r w:rsidRPr="00FF111B">
        <w:rPr>
          <w:szCs w:val="20"/>
        </w:rPr>
        <w:t>spectrum</w:t>
      </w:r>
      <w:r w:rsidR="005A1812" w:rsidRPr="00FF111B">
        <w:rPr>
          <w:szCs w:val="20"/>
        </w:rPr>
        <w:t xml:space="preserve"> (reflecting the cost to a licensee if deprived of spectrum)</w:t>
      </w:r>
      <w:r w:rsidRPr="00FF111B">
        <w:rPr>
          <w:szCs w:val="20"/>
        </w:rPr>
        <w:t xml:space="preserve">. ODV is </w:t>
      </w:r>
      <w:r w:rsidRPr="00FF111B">
        <w:t xml:space="preserve">widely regarded as a lower bound estimate of </w:t>
      </w:r>
      <w:r w:rsidR="00B2180D">
        <w:t>OC</w:t>
      </w:r>
      <w:r w:rsidRPr="00FF111B">
        <w:t xml:space="preserve"> as it only captures network and/or operational cost impacts associated with deprival of, or access to, incremental spectrum. This simplifying assumption (that only network and/or operational costs are impacted by spectrum deprival) facilitates estimates of </w:t>
      </w:r>
      <w:r w:rsidR="00B2180D">
        <w:t>OC,</w:t>
      </w:r>
      <w:r w:rsidRPr="00FF111B">
        <w:t xml:space="preserve"> but does not recognise other components of the overall value to licensees. </w:t>
      </w:r>
      <w:r w:rsidR="00570623" w:rsidRPr="00FF111B">
        <w:t xml:space="preserve">For example, </w:t>
      </w:r>
      <w:r w:rsidRPr="00FF111B">
        <w:t xml:space="preserve">ODV estimates do not recognise either </w:t>
      </w:r>
      <w:r w:rsidR="002B6AEA" w:rsidRPr="00FF111B">
        <w:t xml:space="preserve">the potential </w:t>
      </w:r>
      <w:r w:rsidR="00570623" w:rsidRPr="00FF111B">
        <w:t xml:space="preserve">increase in </w:t>
      </w:r>
      <w:r w:rsidRPr="00FF111B">
        <w:t xml:space="preserve">revenue or </w:t>
      </w:r>
      <w:r w:rsidR="00FF111B" w:rsidRPr="00FF111B">
        <w:t xml:space="preserve">the </w:t>
      </w:r>
      <w:r w:rsidRPr="00FF111B">
        <w:t>embedded real options</w:t>
      </w:r>
      <w:r w:rsidR="003131AA">
        <w:t>—</w:t>
      </w:r>
      <w:r w:rsidRPr="00FF111B">
        <w:t xml:space="preserve">both of which can be substantial contributors to spectrum value and part of the </w:t>
      </w:r>
      <w:r w:rsidR="00287875">
        <w:t>OC</w:t>
      </w:r>
      <w:r w:rsidRPr="00FF111B">
        <w:t xml:space="preserve"> of spectrum denial.  </w:t>
      </w:r>
    </w:p>
    <w:p w14:paraId="24C66401" w14:textId="27E5F20C" w:rsidR="000600E7" w:rsidRDefault="00A715F5" w:rsidP="005B3955">
      <w:r>
        <w:rPr>
          <w:rFonts w:cs="Arial"/>
          <w:szCs w:val="20"/>
        </w:rPr>
        <w:t xml:space="preserve">Secondly, </w:t>
      </w:r>
      <w:r w:rsidR="00BD625E">
        <w:rPr>
          <w:rFonts w:cs="Arial"/>
          <w:szCs w:val="20"/>
        </w:rPr>
        <w:t xml:space="preserve">the practice of moving tax rates </w:t>
      </w:r>
      <w:r w:rsidR="00A0167D" w:rsidRPr="00DD09BB">
        <w:rPr>
          <w:rFonts w:cs="Arial"/>
          <w:szCs w:val="20"/>
        </w:rPr>
        <w:t>progressively</w:t>
      </w:r>
      <w:r w:rsidR="00A0167D" w:rsidRPr="00DD09BB" w:rsidDel="00BD625E">
        <w:rPr>
          <w:rFonts w:cs="Arial"/>
          <w:szCs w:val="20"/>
        </w:rPr>
        <w:t xml:space="preserve"> </w:t>
      </w:r>
      <w:r w:rsidR="00A0167D" w:rsidRPr="00DD09BB">
        <w:rPr>
          <w:rFonts w:cs="Arial"/>
          <w:szCs w:val="20"/>
        </w:rPr>
        <w:t xml:space="preserve">towards </w:t>
      </w:r>
      <w:r w:rsidR="00581760">
        <w:rPr>
          <w:rFonts w:cs="Arial"/>
          <w:szCs w:val="20"/>
        </w:rPr>
        <w:t xml:space="preserve">the estimated </w:t>
      </w:r>
      <w:r w:rsidR="00287875">
        <w:rPr>
          <w:rFonts w:cs="Arial"/>
          <w:szCs w:val="20"/>
        </w:rPr>
        <w:t>OC</w:t>
      </w:r>
      <w:r w:rsidR="00A0167D" w:rsidRPr="00DD09BB">
        <w:rPr>
          <w:rFonts w:cs="Arial"/>
          <w:szCs w:val="20"/>
        </w:rPr>
        <w:t xml:space="preserve"> also </w:t>
      </w:r>
      <w:r w:rsidR="00F92DBB">
        <w:rPr>
          <w:rFonts w:cs="Arial"/>
          <w:szCs w:val="20"/>
        </w:rPr>
        <w:t>mit</w:t>
      </w:r>
      <w:r w:rsidR="00B04F01">
        <w:rPr>
          <w:rFonts w:cs="Arial"/>
          <w:szCs w:val="20"/>
        </w:rPr>
        <w:t>ig</w:t>
      </w:r>
      <w:r w:rsidR="00F92DBB">
        <w:rPr>
          <w:rFonts w:cs="Arial"/>
          <w:szCs w:val="20"/>
        </w:rPr>
        <w:t xml:space="preserve">ates elements of </w:t>
      </w:r>
      <w:r w:rsidR="00A0167D" w:rsidRPr="00DD09BB">
        <w:rPr>
          <w:rFonts w:cs="Arial"/>
          <w:szCs w:val="20"/>
        </w:rPr>
        <w:t>these asymmetric consequences</w:t>
      </w:r>
      <w:r>
        <w:rPr>
          <w:rFonts w:cs="Arial"/>
          <w:szCs w:val="20"/>
        </w:rPr>
        <w:t>.</w:t>
      </w:r>
      <w:r w:rsidR="00A0167D" w:rsidRPr="00DD09BB">
        <w:rPr>
          <w:rFonts w:cs="Arial"/>
          <w:szCs w:val="20"/>
        </w:rPr>
        <w:t xml:space="preserve"> The rationale for monitoring </w:t>
      </w:r>
      <w:r>
        <w:rPr>
          <w:rFonts w:cs="Arial"/>
          <w:szCs w:val="20"/>
        </w:rPr>
        <w:t xml:space="preserve">demand </w:t>
      </w:r>
      <w:r w:rsidR="00A0167D" w:rsidRPr="00DD09BB">
        <w:rPr>
          <w:rFonts w:cs="Arial"/>
          <w:szCs w:val="20"/>
        </w:rPr>
        <w:t xml:space="preserve">is to ensure that licence tax rates are not increased </w:t>
      </w:r>
      <w:r w:rsidR="00CA2925">
        <w:rPr>
          <w:rFonts w:cs="Arial"/>
          <w:szCs w:val="20"/>
        </w:rPr>
        <w:t xml:space="preserve">by </w:t>
      </w:r>
      <w:r w:rsidR="00A0167D" w:rsidRPr="00DD09BB">
        <w:rPr>
          <w:rFonts w:cs="Arial"/>
          <w:szCs w:val="20"/>
        </w:rPr>
        <w:t xml:space="preserve">too </w:t>
      </w:r>
      <w:r w:rsidR="00CA2925">
        <w:rPr>
          <w:rFonts w:cs="Arial"/>
          <w:szCs w:val="20"/>
        </w:rPr>
        <w:t>much</w:t>
      </w:r>
      <w:r w:rsidR="003131AA">
        <w:rPr>
          <w:rFonts w:cs="Arial"/>
          <w:szCs w:val="20"/>
        </w:rPr>
        <w:t>,</w:t>
      </w:r>
      <w:r w:rsidR="00A0167D" w:rsidRPr="00DD09BB">
        <w:rPr>
          <w:rFonts w:cs="Arial"/>
          <w:szCs w:val="20"/>
        </w:rPr>
        <w:t xml:space="preserve"> given considerable uncertainty around </w:t>
      </w:r>
      <w:r w:rsidR="003131AA">
        <w:rPr>
          <w:rFonts w:cs="Arial"/>
          <w:szCs w:val="20"/>
        </w:rPr>
        <w:t>‘</w:t>
      </w:r>
      <w:r w:rsidR="00A0167D" w:rsidRPr="00DD09BB">
        <w:rPr>
          <w:rFonts w:cs="Arial"/>
          <w:szCs w:val="20"/>
        </w:rPr>
        <w:t>true</w:t>
      </w:r>
      <w:r w:rsidR="003131AA">
        <w:rPr>
          <w:rFonts w:cs="Arial"/>
          <w:szCs w:val="20"/>
        </w:rPr>
        <w:t>’</w:t>
      </w:r>
      <w:r w:rsidR="00A0167D" w:rsidRPr="00DD09BB">
        <w:rPr>
          <w:rFonts w:cs="Arial"/>
          <w:szCs w:val="20"/>
        </w:rPr>
        <w:t xml:space="preserve"> opportunity cost. If licence tax rates </w:t>
      </w:r>
      <w:r w:rsidR="00A0167D" w:rsidRPr="00A715F5">
        <w:rPr>
          <w:rFonts w:cs="Arial"/>
          <w:szCs w:val="20"/>
        </w:rPr>
        <w:t xml:space="preserve">were progressed above </w:t>
      </w:r>
      <w:r w:rsidR="003131AA">
        <w:rPr>
          <w:rFonts w:cs="Arial"/>
          <w:szCs w:val="20"/>
        </w:rPr>
        <w:t>‘</w:t>
      </w:r>
      <w:r w:rsidR="00A0167D" w:rsidRPr="00A715F5">
        <w:rPr>
          <w:rFonts w:cs="Arial"/>
          <w:szCs w:val="20"/>
        </w:rPr>
        <w:t>true</w:t>
      </w:r>
      <w:r w:rsidR="003131AA">
        <w:rPr>
          <w:rFonts w:cs="Arial"/>
          <w:szCs w:val="20"/>
        </w:rPr>
        <w:t>’</w:t>
      </w:r>
      <w:r w:rsidR="00A0167D" w:rsidRPr="00A715F5">
        <w:rPr>
          <w:rFonts w:cs="Arial"/>
          <w:szCs w:val="20"/>
        </w:rPr>
        <w:t xml:space="preserve"> opportunity cost</w:t>
      </w:r>
      <w:r w:rsidR="00F92DBB">
        <w:rPr>
          <w:rFonts w:cs="Arial"/>
          <w:szCs w:val="20"/>
        </w:rPr>
        <w:t>,</w:t>
      </w:r>
      <w:r w:rsidR="00A0167D" w:rsidRPr="00A715F5">
        <w:rPr>
          <w:rFonts w:cs="Arial"/>
          <w:szCs w:val="20"/>
        </w:rPr>
        <w:t xml:space="preserve"> it is likely that demand would decline materially.</w:t>
      </w:r>
      <w:r w:rsidRPr="00A715F5">
        <w:rPr>
          <w:rFonts w:cs="Arial"/>
          <w:szCs w:val="20"/>
        </w:rPr>
        <w:t xml:space="preserve"> </w:t>
      </w:r>
      <w:r w:rsidRPr="00A715F5">
        <w:rPr>
          <w:szCs w:val="20"/>
        </w:rPr>
        <w:t xml:space="preserve">The updated monitoring analysis </w:t>
      </w:r>
      <w:r w:rsidR="00581760">
        <w:rPr>
          <w:szCs w:val="20"/>
        </w:rPr>
        <w:t>suggest</w:t>
      </w:r>
      <w:r w:rsidR="00581760" w:rsidRPr="00A715F5">
        <w:rPr>
          <w:szCs w:val="20"/>
        </w:rPr>
        <w:t xml:space="preserve">s </w:t>
      </w:r>
      <w:r w:rsidRPr="00A715F5">
        <w:rPr>
          <w:szCs w:val="20"/>
        </w:rPr>
        <w:t>that a material decline in demand has not emerged.</w:t>
      </w:r>
      <w:r w:rsidR="007B508B">
        <w:rPr>
          <w:szCs w:val="20"/>
        </w:rPr>
        <w:t xml:space="preserve"> In summary, </w:t>
      </w:r>
      <w:r w:rsidR="000600E7" w:rsidRPr="000600E7">
        <w:t xml:space="preserve">the monitoring framework and the recommended pause in increasing licence tax rates </w:t>
      </w:r>
      <w:r w:rsidR="007B508B">
        <w:t xml:space="preserve">mitigate the </w:t>
      </w:r>
      <w:r w:rsidR="000600E7" w:rsidRPr="000600E7">
        <w:t>potential</w:t>
      </w:r>
      <w:r w:rsidR="007B508B">
        <w:t xml:space="preserve"> for</w:t>
      </w:r>
      <w:r w:rsidR="000600E7" w:rsidRPr="000600E7">
        <w:t xml:space="preserve"> asymmetric risks around the licence tax rate approaching and exceeding an uncertain </w:t>
      </w:r>
      <w:r w:rsidR="003131AA">
        <w:t>‘</w:t>
      </w:r>
      <w:r w:rsidR="000600E7" w:rsidRPr="000600E7">
        <w:t>true</w:t>
      </w:r>
      <w:r w:rsidR="003131AA">
        <w:t>’</w:t>
      </w:r>
      <w:r w:rsidR="000600E7" w:rsidRPr="000600E7">
        <w:t xml:space="preserve"> </w:t>
      </w:r>
      <w:r w:rsidR="00287875">
        <w:t xml:space="preserve">OC </w:t>
      </w:r>
      <w:r w:rsidR="000600E7" w:rsidRPr="000600E7">
        <w:t>level.</w:t>
      </w:r>
    </w:p>
    <w:p w14:paraId="45A0AA22" w14:textId="61F0ADF5" w:rsidR="00F175B4" w:rsidRDefault="00032F19" w:rsidP="002E168C">
      <w:pPr>
        <w:pStyle w:val="Heading1"/>
        <w:numPr>
          <w:ilvl w:val="0"/>
          <w:numId w:val="0"/>
        </w:numPr>
      </w:pPr>
      <w:bookmarkStart w:id="4" w:name="_Toc508093659"/>
      <w:r>
        <w:t xml:space="preserve">Spectrum </w:t>
      </w:r>
      <w:r w:rsidR="00F175B4">
        <w:t>Pricing Review</w:t>
      </w:r>
      <w:bookmarkEnd w:id="4"/>
    </w:p>
    <w:p w14:paraId="444737C0" w14:textId="3B838EA0" w:rsidR="00F175B4" w:rsidRDefault="00F175B4" w:rsidP="005B3955">
      <w:r w:rsidRPr="00F175B4">
        <w:t xml:space="preserve">On </w:t>
      </w:r>
      <w:r w:rsidRPr="00EA13A5">
        <w:t>2 February 2018</w:t>
      </w:r>
      <w:r w:rsidR="00581760">
        <w:t>,</w:t>
      </w:r>
      <w:r w:rsidRPr="00EA13A5">
        <w:t xml:space="preserve"> the </w:t>
      </w:r>
      <w:r w:rsidR="003131AA">
        <w:t xml:space="preserve">Australian </w:t>
      </w:r>
      <w:r w:rsidRPr="00EA13A5">
        <w:t xml:space="preserve">Government announced the outcome of the </w:t>
      </w:r>
      <w:hyperlink r:id="rId28" w:history="1">
        <w:r w:rsidR="007B508B" w:rsidRPr="007B508B">
          <w:rPr>
            <w:rStyle w:val="Hyperlink"/>
          </w:rPr>
          <w:t xml:space="preserve">Spectrum Pricing </w:t>
        </w:r>
        <w:r w:rsidR="007B508B">
          <w:rPr>
            <w:rStyle w:val="Hyperlink"/>
          </w:rPr>
          <w:t>R</w:t>
        </w:r>
        <w:r w:rsidR="007B508B" w:rsidRPr="007B508B">
          <w:rPr>
            <w:rStyle w:val="Hyperlink"/>
          </w:rPr>
          <w:t>eview</w:t>
        </w:r>
      </w:hyperlink>
      <w:r w:rsidR="007B508B">
        <w:t xml:space="preserve"> (the pricing review)</w:t>
      </w:r>
      <w:r>
        <w:t xml:space="preserve">. The </w:t>
      </w:r>
      <w:r w:rsidR="007B508B">
        <w:t>pricing r</w:t>
      </w:r>
      <w:r>
        <w:t>eview includes recommendation</w:t>
      </w:r>
      <w:r w:rsidR="00944ED8">
        <w:t>s</w:t>
      </w:r>
      <w:r w:rsidR="007B508B" w:rsidRPr="007B508B">
        <w:rPr>
          <w:rFonts w:asciiTheme="minorHAnsi" w:eastAsiaTheme="minorHAnsi" w:hAnsiTheme="minorHAnsi" w:cstheme="minorBidi"/>
          <w:sz w:val="22"/>
          <w:szCs w:val="22"/>
          <w:lang w:eastAsia="en-US"/>
        </w:rPr>
        <w:t xml:space="preserve"> </w:t>
      </w:r>
      <w:r w:rsidR="007B508B">
        <w:rPr>
          <w:rFonts w:asciiTheme="minorHAnsi" w:eastAsiaTheme="minorHAnsi" w:hAnsiTheme="minorHAnsi" w:cstheme="minorBidi"/>
          <w:sz w:val="22"/>
          <w:szCs w:val="22"/>
          <w:lang w:eastAsia="en-US"/>
        </w:rPr>
        <w:t xml:space="preserve">7 and 8 </w:t>
      </w:r>
      <w:r w:rsidR="007B508B">
        <w:t xml:space="preserve">that require the ACMA </w:t>
      </w:r>
      <w:r>
        <w:t xml:space="preserve">to review the apparatus licence tax formula and apply </w:t>
      </w:r>
      <w:r w:rsidR="00287875">
        <w:t>OC</w:t>
      </w:r>
      <w:r>
        <w:t xml:space="preserve"> pricing to </w:t>
      </w:r>
      <w:r w:rsidR="00EF1872">
        <w:t xml:space="preserve">a </w:t>
      </w:r>
      <w:r>
        <w:t>greater number of spectrum bands</w:t>
      </w:r>
      <w:r w:rsidR="009952DD">
        <w:t>.</w:t>
      </w:r>
      <w:r w:rsidR="007B508B">
        <w:rPr>
          <w:rStyle w:val="FootnoteReference"/>
        </w:rPr>
        <w:footnoteReference w:id="10"/>
      </w:r>
    </w:p>
    <w:p w14:paraId="660700E8" w14:textId="3ADCBC37" w:rsidR="000600E7" w:rsidRPr="0041233F" w:rsidRDefault="00581760" w:rsidP="002E168C">
      <w:r>
        <w:t>While</w:t>
      </w:r>
      <w:r w:rsidRPr="00EA13A5">
        <w:t xml:space="preserve"> th</w:t>
      </w:r>
      <w:r>
        <w:t xml:space="preserve">e </w:t>
      </w:r>
      <w:r w:rsidR="00956BC6">
        <w:t xml:space="preserve">400 MHz monitoring </w:t>
      </w:r>
      <w:r w:rsidRPr="000841E3">
        <w:t xml:space="preserve">framework </w:t>
      </w:r>
      <w:r w:rsidR="00956BC6">
        <w:t>w</w:t>
      </w:r>
      <w:r w:rsidRPr="000841E3">
        <w:t>as developed largely to monitor indicative trends in demand</w:t>
      </w:r>
      <w:r>
        <w:t>,</w:t>
      </w:r>
      <w:r w:rsidRPr="000841E3">
        <w:t xml:space="preserve"> rather than to estimate actual demand as an input to setting prices</w:t>
      </w:r>
      <w:r w:rsidR="00956BC6">
        <w:t>,</w:t>
      </w:r>
      <w:r>
        <w:t xml:space="preserve"> t</w:t>
      </w:r>
      <w:r w:rsidR="00EA13A5">
        <w:t xml:space="preserve">he ACMA </w:t>
      </w:r>
      <w:r w:rsidR="00956BC6">
        <w:t>expects to</w:t>
      </w:r>
      <w:r w:rsidR="00EA13A5">
        <w:t xml:space="preserve"> c</w:t>
      </w:r>
      <w:r w:rsidR="00F175B4" w:rsidRPr="000841E3">
        <w:t xml:space="preserve">onsider the utility of </w:t>
      </w:r>
      <w:r w:rsidR="00956BC6">
        <w:t xml:space="preserve">something similar or analogous to </w:t>
      </w:r>
      <w:r w:rsidR="00F175B4" w:rsidRPr="000841E3">
        <w:t xml:space="preserve">the monitoring framework </w:t>
      </w:r>
      <w:r w:rsidR="00E137BE">
        <w:t xml:space="preserve">as part of its consideration of how </w:t>
      </w:r>
      <w:r w:rsidR="00F175B4" w:rsidRPr="000841E3">
        <w:t xml:space="preserve">to support the new pricing arrangements. </w:t>
      </w:r>
      <w:r w:rsidR="007B508B">
        <w:t>There will be future opportunities for stakeholders to contribute to the development of the new pricing arrangements</w:t>
      </w:r>
      <w:r w:rsidR="00235D79">
        <w:t xml:space="preserve">, including the </w:t>
      </w:r>
      <w:r w:rsidR="00E137BE">
        <w:t>applic</w:t>
      </w:r>
      <w:r w:rsidR="00235D79">
        <w:t xml:space="preserve">ation of </w:t>
      </w:r>
      <w:r w:rsidR="00287875">
        <w:t>OC</w:t>
      </w:r>
      <w:r w:rsidR="00235D79">
        <w:t xml:space="preserve"> pricing principles to a wider range of spectrum bands.</w:t>
      </w:r>
    </w:p>
    <w:sectPr w:rsidR="000600E7" w:rsidRPr="0041233F" w:rsidSect="00C77380">
      <w:headerReference w:type="even" r:id="rId29"/>
      <w:headerReference w:type="default" r:id="rId30"/>
      <w:footerReference w:type="even" r:id="rId31"/>
      <w:footerReference w:type="default" r:id="rId3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BC43" w14:textId="77777777" w:rsidR="00176324" w:rsidRDefault="00176324">
      <w:r>
        <w:separator/>
      </w:r>
    </w:p>
  </w:endnote>
  <w:endnote w:type="continuationSeparator" w:id="0">
    <w:p w14:paraId="3F88B757" w14:textId="77777777" w:rsidR="00176324" w:rsidRDefault="00176324">
      <w:r>
        <w:continuationSeparator/>
      </w:r>
    </w:p>
  </w:endnote>
  <w:endnote w:type="continuationNotice" w:id="1">
    <w:p w14:paraId="2702FD92" w14:textId="77777777" w:rsidR="00176324" w:rsidRDefault="00176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B4F07" w14:textId="77777777" w:rsidR="00CA72AF" w:rsidRDefault="00CA72A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A" w14:textId="459AA29E" w:rsidR="00176324" w:rsidRPr="00622A3B" w:rsidRDefault="00176324"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E7505">
      <w:rPr>
        <w:noProof/>
        <w:color w:val="505050"/>
      </w:rPr>
      <w:t>1</w:t>
    </w:r>
    <w:r w:rsidRPr="00575AC5">
      <w:rPr>
        <w:color w:val="505050"/>
      </w:rPr>
      <w:fldChar w:fldCharType="end"/>
    </w:r>
  </w:p>
  <w:p w14:paraId="1699053B" w14:textId="77777777" w:rsidR="00176324" w:rsidRPr="00A5474E" w:rsidRDefault="00176324"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1B" w14:textId="77777777" w:rsidR="00176324" w:rsidRPr="00A5474E" w:rsidRDefault="00176324" w:rsidP="00A5474E">
    <w:pPr>
      <w:pStyle w:val="Footer"/>
    </w:pPr>
    <w:r>
      <w:rPr>
        <w:noProof/>
      </w:rPr>
      <w:drawing>
        <wp:inline distT="0" distB="0" distL="0" distR="0" wp14:anchorId="1699053E" wp14:editId="1699053F">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B4E7" w14:textId="77777777" w:rsidR="00CA72AF" w:rsidRDefault="00CA7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20" w14:textId="77777777" w:rsidR="00176324" w:rsidRDefault="001763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21" w14:textId="77777777" w:rsidR="00176324" w:rsidRDefault="001763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0" w14:textId="77777777" w:rsidR="00176324" w:rsidRPr="00622A3B" w:rsidRDefault="0017632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16990531" w14:textId="77777777" w:rsidR="00176324" w:rsidRPr="00A5474E" w:rsidRDefault="00176324"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2" w14:textId="77777777" w:rsidR="00176324" w:rsidRPr="00622A3B" w:rsidRDefault="0017632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16990533" w14:textId="77777777" w:rsidR="00176324" w:rsidRPr="00A5474E" w:rsidRDefault="00176324"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4" w14:textId="20C07F54" w:rsidR="00176324" w:rsidRPr="00622A3B" w:rsidRDefault="00176324"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1E7505">
      <w:rPr>
        <w:noProof/>
        <w:color w:val="505050"/>
      </w:rPr>
      <w:t>iii</w:t>
    </w:r>
    <w:r w:rsidRPr="002E4DDC">
      <w:rPr>
        <w:color w:val="505050"/>
      </w:rPr>
      <w:fldChar w:fldCharType="end"/>
    </w:r>
  </w:p>
  <w:p w14:paraId="16990535" w14:textId="77777777" w:rsidR="00176324" w:rsidRPr="00A5474E" w:rsidRDefault="00176324" w:rsidP="00A5474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8" w14:textId="235461A7" w:rsidR="00176324" w:rsidRPr="00622A3B" w:rsidRDefault="00176324"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1E7505">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6990539" w14:textId="77777777" w:rsidR="00176324" w:rsidRPr="00A5474E" w:rsidRDefault="00176324"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E42B" w14:textId="77777777" w:rsidR="00176324" w:rsidRDefault="00176324">
      <w:r>
        <w:separator/>
      </w:r>
    </w:p>
  </w:footnote>
  <w:footnote w:type="continuationSeparator" w:id="0">
    <w:p w14:paraId="7782AEBB" w14:textId="77777777" w:rsidR="00176324" w:rsidRDefault="00176324">
      <w:r>
        <w:continuationSeparator/>
      </w:r>
    </w:p>
  </w:footnote>
  <w:footnote w:type="continuationNotice" w:id="1">
    <w:p w14:paraId="312A6542" w14:textId="77777777" w:rsidR="00176324" w:rsidRDefault="00176324">
      <w:pPr>
        <w:spacing w:after="0" w:line="240" w:lineRule="auto"/>
      </w:pPr>
    </w:p>
  </w:footnote>
  <w:footnote w:id="2">
    <w:p w14:paraId="66118CE5" w14:textId="412D5057" w:rsidR="00176324" w:rsidRDefault="00176324" w:rsidP="002E168C">
      <w:pPr>
        <w:pStyle w:val="FootnoteText"/>
        <w:spacing w:after="0"/>
      </w:pPr>
      <w:r>
        <w:rPr>
          <w:rStyle w:val="FootnoteReference"/>
        </w:rPr>
        <w:footnoteRef/>
      </w:r>
      <w:r>
        <w:t xml:space="preserve"> More detail about the monitoring framework </w:t>
      </w:r>
      <w:r w:rsidR="005C45DC">
        <w:t xml:space="preserve">is </w:t>
      </w:r>
      <w:r>
        <w:t xml:space="preserve">presented in the </w:t>
      </w:r>
      <w:r w:rsidR="005C45DC">
        <w:t>c</w:t>
      </w:r>
      <w:r>
        <w:t xml:space="preserve">onsultation paper and the submissions can be accessed at </w:t>
      </w:r>
      <w:hyperlink r:id="rId1" w:history="1">
        <w:r w:rsidRPr="00546388">
          <w:rPr>
            <w:rStyle w:val="Hyperlink"/>
          </w:rPr>
          <w:t>https://www.acma.gov.au/theACMA/managing-spectrum-in-the-400-mhz-band-further-steps</w:t>
        </w:r>
      </w:hyperlink>
      <w:r w:rsidR="005C45DC">
        <w:rPr>
          <w:rStyle w:val="Hyperlink"/>
        </w:rPr>
        <w:t>.</w:t>
      </w:r>
    </w:p>
  </w:footnote>
  <w:footnote w:id="3">
    <w:p w14:paraId="16990540" w14:textId="77777777" w:rsidR="00176324" w:rsidRDefault="00176324" w:rsidP="002E168C">
      <w:pPr>
        <w:pStyle w:val="FootnoteText"/>
        <w:spacing w:after="0"/>
      </w:pPr>
      <w:r>
        <w:rPr>
          <w:rStyle w:val="FootnoteReference"/>
        </w:rPr>
        <w:footnoteRef/>
      </w:r>
      <w:r>
        <w:t xml:space="preserve"> See pages 2 and 5 of the ARCIA submission.</w:t>
      </w:r>
    </w:p>
  </w:footnote>
  <w:footnote w:id="4">
    <w:p w14:paraId="75B7EAB7" w14:textId="14E42EB6" w:rsidR="00176324" w:rsidRDefault="00176324" w:rsidP="002E168C">
      <w:pPr>
        <w:pStyle w:val="FootnoteText"/>
        <w:spacing w:after="0"/>
      </w:pPr>
      <w:r>
        <w:rPr>
          <w:rStyle w:val="FootnoteReference"/>
        </w:rPr>
        <w:footnoteRef/>
      </w:r>
      <w:r>
        <w:t xml:space="preserve"> See page 2 of the Telstra submission.</w:t>
      </w:r>
    </w:p>
  </w:footnote>
  <w:footnote w:id="5">
    <w:p w14:paraId="612DD593" w14:textId="3D8CF9E4" w:rsidR="00D31B46" w:rsidRDefault="00D31B46" w:rsidP="002E168C">
      <w:pPr>
        <w:pStyle w:val="FootnoteText"/>
        <w:spacing w:after="0"/>
      </w:pPr>
      <w:r>
        <w:rPr>
          <w:rStyle w:val="FootnoteReference"/>
        </w:rPr>
        <w:footnoteRef/>
      </w:r>
      <w:r>
        <w:t xml:space="preserve"> </w:t>
      </w:r>
      <w:r w:rsidRPr="00D31B46">
        <w:t>Re</w:t>
      </w:r>
      <w:r w:rsidR="009F3B80">
        <w:t>-</w:t>
      </w:r>
      <w:r w:rsidRPr="00D31B46">
        <w:t>use distances define the minimum distance between transmitters using the same radio frequency to cause minimal interference with each other.</w:t>
      </w:r>
    </w:p>
  </w:footnote>
  <w:footnote w:id="6">
    <w:p w14:paraId="3ADA9945" w14:textId="3E5FDF64" w:rsidR="00176324" w:rsidRDefault="00176324" w:rsidP="002E168C">
      <w:pPr>
        <w:pStyle w:val="FootnoteText"/>
        <w:spacing w:after="0"/>
      </w:pPr>
      <w:r>
        <w:rPr>
          <w:rStyle w:val="FootnoteReference"/>
        </w:rPr>
        <w:footnoteRef/>
      </w:r>
      <w:r>
        <w:t xml:space="preserve"> The averaged denial indicator depends on the re-use distances for the relevant service type</w:t>
      </w:r>
      <w:r w:rsidR="009C380E">
        <w:t>; the size of the relevant high-</w:t>
      </w:r>
      <w:r>
        <w:t>density area; and modelled representative base station locations.</w:t>
      </w:r>
    </w:p>
  </w:footnote>
  <w:footnote w:id="7">
    <w:p w14:paraId="2EAFA1E0" w14:textId="7EC6BCF0" w:rsidR="00D31B46" w:rsidRDefault="00D31B46" w:rsidP="002E168C">
      <w:pPr>
        <w:pStyle w:val="FootnoteText"/>
        <w:spacing w:after="0"/>
      </w:pPr>
      <w:r>
        <w:rPr>
          <w:rStyle w:val="FootnoteReference"/>
        </w:rPr>
        <w:footnoteRef/>
      </w:r>
      <w:r>
        <w:t xml:space="preserve"> Re</w:t>
      </w:r>
      <w:r w:rsidR="009C380E">
        <w:t>lative to the size of each high-</w:t>
      </w:r>
      <w:r>
        <w:t>density area.</w:t>
      </w:r>
    </w:p>
  </w:footnote>
  <w:footnote w:id="8">
    <w:p w14:paraId="2CD51395" w14:textId="77777777" w:rsidR="00E56AE7" w:rsidRDefault="00E56AE7" w:rsidP="00E56AE7">
      <w:pPr>
        <w:pStyle w:val="FootnoteText"/>
        <w:spacing w:after="0"/>
      </w:pPr>
      <w:r>
        <w:rPr>
          <w:rStyle w:val="FootnoteReference"/>
        </w:rPr>
        <w:footnoteRef/>
      </w:r>
      <w:r>
        <w:t xml:space="preserve"> Given the re-use distances for some services are up to 120 kilometres, a number of services located in the 100-kilometre zone will cause denial into the relevant high-density area. The 100-kilometre zone is defined as the area extending 100 kilometres</w:t>
      </w:r>
      <w:r w:rsidDel="00B2180D">
        <w:t xml:space="preserve"> </w:t>
      </w:r>
      <w:r>
        <w:t>out from the high-density area boundary.</w:t>
      </w:r>
    </w:p>
  </w:footnote>
  <w:footnote w:id="9">
    <w:p w14:paraId="16990541" w14:textId="77777777" w:rsidR="00176324" w:rsidRDefault="00176324" w:rsidP="002E168C">
      <w:pPr>
        <w:pStyle w:val="FootnoteText"/>
        <w:spacing w:after="0"/>
      </w:pPr>
      <w:r>
        <w:rPr>
          <w:rStyle w:val="FootnoteReference"/>
        </w:rPr>
        <w:footnoteRef/>
      </w:r>
      <w:r>
        <w:t xml:space="preserve"> See pages 1 and 2 of the Telstra submission.</w:t>
      </w:r>
    </w:p>
  </w:footnote>
  <w:footnote w:id="10">
    <w:p w14:paraId="3D80AFF8" w14:textId="2E906C08" w:rsidR="00176324" w:rsidRDefault="00176324" w:rsidP="002E168C">
      <w:pPr>
        <w:pStyle w:val="FootnoteText"/>
        <w:spacing w:after="0"/>
      </w:pPr>
      <w:r>
        <w:rPr>
          <w:rStyle w:val="FootnoteReference"/>
        </w:rPr>
        <w:footnoteRef/>
      </w:r>
      <w:r>
        <w:t xml:space="preserve"> Recommendation 7</w:t>
      </w:r>
      <w:r w:rsidR="00CA2925">
        <w:t xml:space="preserve">: </w:t>
      </w:r>
      <w:r>
        <w:rPr>
          <w:rFonts w:asciiTheme="minorHAnsi" w:eastAsiaTheme="minorHAnsi" w:hAnsiTheme="minorHAnsi" w:cstheme="minorBidi"/>
          <w:sz w:val="22"/>
          <w:szCs w:val="22"/>
          <w:lang w:eastAsia="en-US"/>
        </w:rPr>
        <w:t>t</w:t>
      </w:r>
      <w:r w:rsidRPr="007B508B">
        <w:t>he ACMA should undertake a detailed review of the administrative pricing formula’s parameters, including density areas, the number of pricing bands, and the number of power categories</w:t>
      </w:r>
      <w:r>
        <w:t xml:space="preserve"> and implement </w:t>
      </w:r>
      <w:r w:rsidRPr="007B508B">
        <w:t>regular updates to the location and band weightings to reflect changes in density, demography and demand.</w:t>
      </w:r>
    </w:p>
    <w:p w14:paraId="5EF8DE4F" w14:textId="2EA2D777" w:rsidR="00176324" w:rsidRDefault="00176324" w:rsidP="002E168C">
      <w:pPr>
        <w:pStyle w:val="FootnoteText"/>
        <w:spacing w:after="0"/>
      </w:pPr>
      <w:r>
        <w:t>Recommendation 8</w:t>
      </w:r>
      <w:r w:rsidR="00CA2925">
        <w:t>: t</w:t>
      </w:r>
      <w:r>
        <w:t xml:space="preserve">he ACMA should apply opportunity cost pricing to a greater number of spectrum bands, especially where it is impractical to competitively allocate spectrum. This work should be identified in the ACMA’s annual work program. </w:t>
      </w:r>
      <w:r w:rsidRPr="008D4B89">
        <w:t xml:space="preserve">The ACMA should </w:t>
      </w:r>
      <w:r>
        <w:t xml:space="preserve">consider more time effective approaches to implement these, and </w:t>
      </w:r>
      <w:r w:rsidRPr="008D4B89">
        <w:t>review fees as market conditions change over time</w:t>
      </w:r>
      <w:r w:rsidR="003131A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F02F" w14:textId="77777777" w:rsidR="00CA72AF" w:rsidRDefault="00CA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19" w14:textId="77777777" w:rsidR="00176324" w:rsidRPr="00A5474E" w:rsidRDefault="00176324" w:rsidP="00A5474E">
    <w:pPr>
      <w:pStyle w:val="Header"/>
    </w:pPr>
    <w:r>
      <w:rPr>
        <w:noProof/>
      </w:rPr>
      <w:drawing>
        <wp:inline distT="0" distB="0" distL="0" distR="0" wp14:anchorId="1699053C" wp14:editId="1699053D">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1C" w14:textId="77777777" w:rsidR="00176324" w:rsidRPr="00A5474E" w:rsidRDefault="00176324"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1E" w14:textId="77777777" w:rsidR="00176324" w:rsidRDefault="001763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1F" w14:textId="77777777" w:rsidR="00176324" w:rsidRDefault="001763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176324" w14:paraId="16990523" w14:textId="77777777" w:rsidTr="001175E3">
      <w:trPr>
        <w:trHeight w:hRule="exact" w:val="988"/>
      </w:trPr>
      <w:tc>
        <w:tcPr>
          <w:tcW w:w="7678" w:type="dxa"/>
          <w:shd w:val="clear" w:color="auto" w:fill="auto"/>
        </w:tcPr>
        <w:p w14:paraId="16990522" w14:textId="77777777" w:rsidR="00176324" w:rsidRDefault="00176324" w:rsidP="00971914">
          <w:pPr>
            <w:pStyle w:val="Header"/>
          </w:pPr>
        </w:p>
      </w:tc>
    </w:tr>
    <w:tr w:rsidR="00176324" w14:paraId="16990525" w14:textId="77777777" w:rsidTr="001175E3">
      <w:tc>
        <w:tcPr>
          <w:tcW w:w="7678" w:type="dxa"/>
          <w:shd w:val="clear" w:color="auto" w:fill="auto"/>
        </w:tcPr>
        <w:p w14:paraId="16990524" w14:textId="77777777" w:rsidR="00176324" w:rsidRDefault="00176324" w:rsidP="00971914">
          <w:pPr>
            <w:pStyle w:val="GridTable31"/>
          </w:pPr>
          <w:r>
            <w:t xml:space="preserve">Contents </w:t>
          </w:r>
          <w:r w:rsidRPr="00915B1C">
            <w:rPr>
              <w:b w:val="0"/>
              <w:spacing w:val="0"/>
              <w:sz w:val="28"/>
              <w:szCs w:val="28"/>
            </w:rPr>
            <w:t>(Continued)</w:t>
          </w:r>
        </w:p>
      </w:tc>
    </w:tr>
    <w:tr w:rsidR="00176324" w14:paraId="16990527" w14:textId="77777777" w:rsidTr="001175E3">
      <w:trPr>
        <w:trHeight w:val="1220"/>
      </w:trPr>
      <w:tc>
        <w:tcPr>
          <w:tcW w:w="7678" w:type="dxa"/>
          <w:shd w:val="clear" w:color="auto" w:fill="auto"/>
        </w:tcPr>
        <w:p w14:paraId="16990526" w14:textId="77777777" w:rsidR="00176324" w:rsidRDefault="00176324" w:rsidP="00971914"/>
      </w:tc>
    </w:tr>
  </w:tbl>
  <w:p w14:paraId="16990528" w14:textId="77777777" w:rsidR="00176324" w:rsidRDefault="00176324"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176324" w14:paraId="1699052A" w14:textId="77777777" w:rsidTr="001175E3">
      <w:trPr>
        <w:trHeight w:hRule="exact" w:val="988"/>
      </w:trPr>
      <w:tc>
        <w:tcPr>
          <w:tcW w:w="7678" w:type="dxa"/>
          <w:shd w:val="clear" w:color="auto" w:fill="auto"/>
        </w:tcPr>
        <w:p w14:paraId="16990529" w14:textId="77777777" w:rsidR="00176324" w:rsidRDefault="00176324" w:rsidP="00971914">
          <w:pPr>
            <w:pStyle w:val="Header"/>
          </w:pPr>
        </w:p>
      </w:tc>
    </w:tr>
    <w:tr w:rsidR="00176324" w14:paraId="1699052C" w14:textId="77777777" w:rsidTr="001175E3">
      <w:tc>
        <w:tcPr>
          <w:tcW w:w="7678" w:type="dxa"/>
          <w:shd w:val="clear" w:color="auto" w:fill="auto"/>
        </w:tcPr>
        <w:p w14:paraId="1699052B" w14:textId="77777777" w:rsidR="00176324" w:rsidRDefault="00176324" w:rsidP="00971914">
          <w:pPr>
            <w:pStyle w:val="GridTable31"/>
          </w:pPr>
          <w:r>
            <w:t xml:space="preserve">Contents </w:t>
          </w:r>
          <w:r w:rsidRPr="00915B1C">
            <w:rPr>
              <w:b w:val="0"/>
              <w:spacing w:val="0"/>
              <w:sz w:val="28"/>
              <w:szCs w:val="28"/>
            </w:rPr>
            <w:t>(Continued)</w:t>
          </w:r>
        </w:p>
      </w:tc>
    </w:tr>
    <w:tr w:rsidR="00176324" w14:paraId="1699052E" w14:textId="77777777" w:rsidTr="001175E3">
      <w:trPr>
        <w:trHeight w:val="1220"/>
      </w:trPr>
      <w:tc>
        <w:tcPr>
          <w:tcW w:w="7678" w:type="dxa"/>
          <w:shd w:val="clear" w:color="auto" w:fill="auto"/>
        </w:tcPr>
        <w:p w14:paraId="1699052D" w14:textId="77777777" w:rsidR="00176324" w:rsidRDefault="00176324" w:rsidP="00971914"/>
      </w:tc>
    </w:tr>
  </w:tbl>
  <w:p w14:paraId="1699052F" w14:textId="77777777" w:rsidR="00176324" w:rsidRPr="00A5474E" w:rsidRDefault="00176324"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6" w14:textId="77777777" w:rsidR="00176324" w:rsidRDefault="001763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0537" w14:textId="77777777" w:rsidR="00176324" w:rsidRDefault="00176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9443B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AB2D04"/>
    <w:multiLevelType w:val="hybridMultilevel"/>
    <w:tmpl w:val="7110027C"/>
    <w:lvl w:ilvl="0" w:tplc="A09E7364">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DD14C1"/>
    <w:multiLevelType w:val="hybridMultilevel"/>
    <w:tmpl w:val="A3F218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73854"/>
    <w:multiLevelType w:val="hybridMultilevel"/>
    <w:tmpl w:val="5A0CF9A0"/>
    <w:lvl w:ilvl="0" w:tplc="9BA8E9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00286F"/>
    <w:multiLevelType w:val="hybridMultilevel"/>
    <w:tmpl w:val="A43C22FC"/>
    <w:lvl w:ilvl="0" w:tplc="9BA8E9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376E2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1626706"/>
    <w:multiLevelType w:val="hybridMultilevel"/>
    <w:tmpl w:val="4492F834"/>
    <w:lvl w:ilvl="0" w:tplc="9BA8E9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0F2578"/>
    <w:multiLevelType w:val="hybridMultilevel"/>
    <w:tmpl w:val="550C3A3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0431E"/>
    <w:multiLevelType w:val="hybridMultilevel"/>
    <w:tmpl w:val="E1AAF1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301DD4"/>
    <w:multiLevelType w:val="multilevel"/>
    <w:tmpl w:val="D80E435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5965753"/>
    <w:multiLevelType w:val="hybridMultilevel"/>
    <w:tmpl w:val="831E87A6"/>
    <w:lvl w:ilvl="0" w:tplc="9BA8E9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9C5D6A"/>
    <w:multiLevelType w:val="hybridMultilevel"/>
    <w:tmpl w:val="34807CEE"/>
    <w:lvl w:ilvl="0" w:tplc="23526044">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C6765"/>
    <w:multiLevelType w:val="hybridMultilevel"/>
    <w:tmpl w:val="B5A4C31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22DA7"/>
    <w:multiLevelType w:val="hybridMultilevel"/>
    <w:tmpl w:val="3A7C0C98"/>
    <w:lvl w:ilvl="0" w:tplc="9BA8E93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16"/>
  </w:num>
  <w:num w:numId="6">
    <w:abstractNumId w:val="21"/>
  </w:num>
  <w:num w:numId="7">
    <w:abstractNumId w:val="19"/>
  </w:num>
  <w:num w:numId="8">
    <w:abstractNumId w:val="20"/>
  </w:num>
  <w:num w:numId="9">
    <w:abstractNumId w:val="23"/>
  </w:num>
  <w:num w:numId="10">
    <w:abstractNumId w:val="8"/>
  </w:num>
  <w:num w:numId="11">
    <w:abstractNumId w:val="6"/>
  </w:num>
  <w:num w:numId="12">
    <w:abstractNumId w:val="5"/>
  </w:num>
  <w:num w:numId="13">
    <w:abstractNumId w:val="7"/>
  </w:num>
  <w:num w:numId="14">
    <w:abstractNumId w:val="13"/>
  </w:num>
  <w:num w:numId="15">
    <w:abstractNumId w:val="24"/>
  </w:num>
  <w:num w:numId="16">
    <w:abstractNumId w:val="9"/>
  </w:num>
  <w:num w:numId="17">
    <w:abstractNumId w:val="14"/>
  </w:num>
  <w:num w:numId="18">
    <w:abstractNumId w:val="11"/>
  </w:num>
  <w:num w:numId="19">
    <w:abstractNumId w:val="10"/>
  </w:num>
  <w:num w:numId="20">
    <w:abstractNumId w:val="12"/>
  </w:num>
  <w:num w:numId="21">
    <w:abstractNumId w:val="15"/>
  </w:num>
  <w:num w:numId="22">
    <w:abstractNumId w:val="12"/>
  </w:num>
  <w:num w:numId="23">
    <w:abstractNumId w:val="22"/>
  </w:num>
  <w:num w:numId="24">
    <w:abstractNumId w:val="18"/>
  </w:num>
  <w:num w:numId="25">
    <w:abstractNumId w:val="17"/>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284"/>
  <w:evenAndOddHeaders/>
  <w:drawingGridHorizontalSpacing w:val="100"/>
  <w:displayHorizontalDrawingGridEvery w:val="2"/>
  <w:characterSpacingControl w:val="doNotCompress"/>
  <w:hdrShapeDefaults>
    <o:shapedefaults v:ext="edit" spidmax="8396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56"/>
    <w:rsid w:val="00010667"/>
    <w:rsid w:val="000129D5"/>
    <w:rsid w:val="00014562"/>
    <w:rsid w:val="00015AE7"/>
    <w:rsid w:val="00016E21"/>
    <w:rsid w:val="0001719C"/>
    <w:rsid w:val="0002224E"/>
    <w:rsid w:val="00026F91"/>
    <w:rsid w:val="00032F19"/>
    <w:rsid w:val="00035B0B"/>
    <w:rsid w:val="0004764C"/>
    <w:rsid w:val="0005011A"/>
    <w:rsid w:val="0005045A"/>
    <w:rsid w:val="00051C1E"/>
    <w:rsid w:val="000539F9"/>
    <w:rsid w:val="00054C27"/>
    <w:rsid w:val="00055669"/>
    <w:rsid w:val="00055EC3"/>
    <w:rsid w:val="000563CE"/>
    <w:rsid w:val="000600E7"/>
    <w:rsid w:val="000659B6"/>
    <w:rsid w:val="0006686F"/>
    <w:rsid w:val="0006722A"/>
    <w:rsid w:val="00071B01"/>
    <w:rsid w:val="000732CF"/>
    <w:rsid w:val="000754A6"/>
    <w:rsid w:val="00075B96"/>
    <w:rsid w:val="0008196A"/>
    <w:rsid w:val="000841E3"/>
    <w:rsid w:val="0008582C"/>
    <w:rsid w:val="000915ED"/>
    <w:rsid w:val="0009209D"/>
    <w:rsid w:val="000969BD"/>
    <w:rsid w:val="000969BF"/>
    <w:rsid w:val="000A0C22"/>
    <w:rsid w:val="000A1400"/>
    <w:rsid w:val="000A2477"/>
    <w:rsid w:val="000A30FF"/>
    <w:rsid w:val="000A3C43"/>
    <w:rsid w:val="000A4A51"/>
    <w:rsid w:val="000A5D2B"/>
    <w:rsid w:val="000B5DE3"/>
    <w:rsid w:val="000C0A57"/>
    <w:rsid w:val="000C20FF"/>
    <w:rsid w:val="000C230C"/>
    <w:rsid w:val="000C3A02"/>
    <w:rsid w:val="000C6AB4"/>
    <w:rsid w:val="000D71D9"/>
    <w:rsid w:val="000D76E0"/>
    <w:rsid w:val="000D7E8B"/>
    <w:rsid w:val="000E4449"/>
    <w:rsid w:val="000E6097"/>
    <w:rsid w:val="00103829"/>
    <w:rsid w:val="00111FCE"/>
    <w:rsid w:val="00116A13"/>
    <w:rsid w:val="001175E3"/>
    <w:rsid w:val="001229A5"/>
    <w:rsid w:val="0012489B"/>
    <w:rsid w:val="00125002"/>
    <w:rsid w:val="00130017"/>
    <w:rsid w:val="00130F91"/>
    <w:rsid w:val="001349ED"/>
    <w:rsid w:val="00135F13"/>
    <w:rsid w:val="00136FE8"/>
    <w:rsid w:val="00137424"/>
    <w:rsid w:val="00140318"/>
    <w:rsid w:val="00141AD9"/>
    <w:rsid w:val="00146CE6"/>
    <w:rsid w:val="00152903"/>
    <w:rsid w:val="00153FD5"/>
    <w:rsid w:val="0015614F"/>
    <w:rsid w:val="001577C2"/>
    <w:rsid w:val="001633C4"/>
    <w:rsid w:val="0016425B"/>
    <w:rsid w:val="00164B97"/>
    <w:rsid w:val="00171591"/>
    <w:rsid w:val="00173981"/>
    <w:rsid w:val="00176324"/>
    <w:rsid w:val="00176A5B"/>
    <w:rsid w:val="0017719D"/>
    <w:rsid w:val="00183FD7"/>
    <w:rsid w:val="00185CAB"/>
    <w:rsid w:val="001875B7"/>
    <w:rsid w:val="00187CB3"/>
    <w:rsid w:val="0019050A"/>
    <w:rsid w:val="001910D4"/>
    <w:rsid w:val="00193EE8"/>
    <w:rsid w:val="001976E3"/>
    <w:rsid w:val="001A44EC"/>
    <w:rsid w:val="001B58AA"/>
    <w:rsid w:val="001B7E48"/>
    <w:rsid w:val="001C17CE"/>
    <w:rsid w:val="001C36CA"/>
    <w:rsid w:val="001C44D1"/>
    <w:rsid w:val="001C6AEE"/>
    <w:rsid w:val="001C7630"/>
    <w:rsid w:val="001D6D15"/>
    <w:rsid w:val="001E39D7"/>
    <w:rsid w:val="001E6D65"/>
    <w:rsid w:val="001E7505"/>
    <w:rsid w:val="001F5FBD"/>
    <w:rsid w:val="001F7558"/>
    <w:rsid w:val="00205B57"/>
    <w:rsid w:val="002157E0"/>
    <w:rsid w:val="00216A57"/>
    <w:rsid w:val="0022334F"/>
    <w:rsid w:val="00226819"/>
    <w:rsid w:val="002274CA"/>
    <w:rsid w:val="00233101"/>
    <w:rsid w:val="00233817"/>
    <w:rsid w:val="00235D79"/>
    <w:rsid w:val="002367FF"/>
    <w:rsid w:val="00240CE9"/>
    <w:rsid w:val="0024338D"/>
    <w:rsid w:val="002434BA"/>
    <w:rsid w:val="00246089"/>
    <w:rsid w:val="00246093"/>
    <w:rsid w:val="00246702"/>
    <w:rsid w:val="00247C59"/>
    <w:rsid w:val="00247F2E"/>
    <w:rsid w:val="00250ADC"/>
    <w:rsid w:val="00250B07"/>
    <w:rsid w:val="002545F7"/>
    <w:rsid w:val="00257553"/>
    <w:rsid w:val="00260FB2"/>
    <w:rsid w:val="00262003"/>
    <w:rsid w:val="00262128"/>
    <w:rsid w:val="00263804"/>
    <w:rsid w:val="0026510F"/>
    <w:rsid w:val="0026525E"/>
    <w:rsid w:val="0027165D"/>
    <w:rsid w:val="00273CEB"/>
    <w:rsid w:val="00274DB1"/>
    <w:rsid w:val="00281C89"/>
    <w:rsid w:val="0028282F"/>
    <w:rsid w:val="0028619E"/>
    <w:rsid w:val="00287875"/>
    <w:rsid w:val="0029593B"/>
    <w:rsid w:val="00297FC5"/>
    <w:rsid w:val="002A0417"/>
    <w:rsid w:val="002A16D8"/>
    <w:rsid w:val="002A1BC8"/>
    <w:rsid w:val="002A29D5"/>
    <w:rsid w:val="002A3EF2"/>
    <w:rsid w:val="002B0DED"/>
    <w:rsid w:val="002B19A2"/>
    <w:rsid w:val="002B381A"/>
    <w:rsid w:val="002B4FCC"/>
    <w:rsid w:val="002B5EE1"/>
    <w:rsid w:val="002B6AEA"/>
    <w:rsid w:val="002B7408"/>
    <w:rsid w:val="002B7CFD"/>
    <w:rsid w:val="002C174F"/>
    <w:rsid w:val="002C1D5B"/>
    <w:rsid w:val="002C210F"/>
    <w:rsid w:val="002C791E"/>
    <w:rsid w:val="002D3600"/>
    <w:rsid w:val="002D730C"/>
    <w:rsid w:val="002E168C"/>
    <w:rsid w:val="002E4DDC"/>
    <w:rsid w:val="00302480"/>
    <w:rsid w:val="0031006A"/>
    <w:rsid w:val="003131AA"/>
    <w:rsid w:val="003165E6"/>
    <w:rsid w:val="00317ACE"/>
    <w:rsid w:val="003215B5"/>
    <w:rsid w:val="003221CF"/>
    <w:rsid w:val="003233ED"/>
    <w:rsid w:val="00324D9F"/>
    <w:rsid w:val="00327948"/>
    <w:rsid w:val="0033000F"/>
    <w:rsid w:val="00332011"/>
    <w:rsid w:val="00332518"/>
    <w:rsid w:val="00332925"/>
    <w:rsid w:val="003332ED"/>
    <w:rsid w:val="003368DC"/>
    <w:rsid w:val="00340450"/>
    <w:rsid w:val="00345927"/>
    <w:rsid w:val="00350584"/>
    <w:rsid w:val="00351857"/>
    <w:rsid w:val="003545E8"/>
    <w:rsid w:val="00357D35"/>
    <w:rsid w:val="003610E1"/>
    <w:rsid w:val="003671BE"/>
    <w:rsid w:val="00372485"/>
    <w:rsid w:val="00373200"/>
    <w:rsid w:val="00375EF5"/>
    <w:rsid w:val="003767A5"/>
    <w:rsid w:val="00381D15"/>
    <w:rsid w:val="00385254"/>
    <w:rsid w:val="003A04DB"/>
    <w:rsid w:val="003A1A2D"/>
    <w:rsid w:val="003A41BC"/>
    <w:rsid w:val="003A5F5B"/>
    <w:rsid w:val="003A789A"/>
    <w:rsid w:val="003B12EC"/>
    <w:rsid w:val="003C77E0"/>
    <w:rsid w:val="003D04C5"/>
    <w:rsid w:val="003D0554"/>
    <w:rsid w:val="003D17D7"/>
    <w:rsid w:val="003D2678"/>
    <w:rsid w:val="003D71A3"/>
    <w:rsid w:val="003E2B8A"/>
    <w:rsid w:val="003E46EE"/>
    <w:rsid w:val="003E7601"/>
    <w:rsid w:val="003F05C2"/>
    <w:rsid w:val="003F10EE"/>
    <w:rsid w:val="003F16F6"/>
    <w:rsid w:val="003F4DC7"/>
    <w:rsid w:val="003F5235"/>
    <w:rsid w:val="00400152"/>
    <w:rsid w:val="004027E4"/>
    <w:rsid w:val="004077AA"/>
    <w:rsid w:val="0041071D"/>
    <w:rsid w:val="00414AFC"/>
    <w:rsid w:val="004151A7"/>
    <w:rsid w:val="00415310"/>
    <w:rsid w:val="00421709"/>
    <w:rsid w:val="00423763"/>
    <w:rsid w:val="0042762F"/>
    <w:rsid w:val="00427DC7"/>
    <w:rsid w:val="00431613"/>
    <w:rsid w:val="00431792"/>
    <w:rsid w:val="0043297A"/>
    <w:rsid w:val="00432EB2"/>
    <w:rsid w:val="00435E35"/>
    <w:rsid w:val="0043714F"/>
    <w:rsid w:val="004438B5"/>
    <w:rsid w:val="00447037"/>
    <w:rsid w:val="0045124D"/>
    <w:rsid w:val="00454596"/>
    <w:rsid w:val="0045605D"/>
    <w:rsid w:val="00456AC2"/>
    <w:rsid w:val="0046135B"/>
    <w:rsid w:val="00461D47"/>
    <w:rsid w:val="00466478"/>
    <w:rsid w:val="004718CC"/>
    <w:rsid w:val="00481695"/>
    <w:rsid w:val="00491646"/>
    <w:rsid w:val="00495A96"/>
    <w:rsid w:val="00495BB3"/>
    <w:rsid w:val="004A0074"/>
    <w:rsid w:val="004A3CEC"/>
    <w:rsid w:val="004A56BB"/>
    <w:rsid w:val="004B1751"/>
    <w:rsid w:val="004C0253"/>
    <w:rsid w:val="004D56FF"/>
    <w:rsid w:val="004E39D3"/>
    <w:rsid w:val="004E508A"/>
    <w:rsid w:val="004E616D"/>
    <w:rsid w:val="004F1BDE"/>
    <w:rsid w:val="004F2CEE"/>
    <w:rsid w:val="004F556E"/>
    <w:rsid w:val="004F591C"/>
    <w:rsid w:val="004F7F44"/>
    <w:rsid w:val="005037B4"/>
    <w:rsid w:val="00504FFC"/>
    <w:rsid w:val="00505419"/>
    <w:rsid w:val="005079BF"/>
    <w:rsid w:val="0051269A"/>
    <w:rsid w:val="005219E7"/>
    <w:rsid w:val="005302C5"/>
    <w:rsid w:val="00531B9A"/>
    <w:rsid w:val="00531D15"/>
    <w:rsid w:val="00537604"/>
    <w:rsid w:val="00542377"/>
    <w:rsid w:val="005433FD"/>
    <w:rsid w:val="00543BDC"/>
    <w:rsid w:val="00544BF7"/>
    <w:rsid w:val="005476EB"/>
    <w:rsid w:val="00551782"/>
    <w:rsid w:val="00560CED"/>
    <w:rsid w:val="00563EF1"/>
    <w:rsid w:val="00566AB4"/>
    <w:rsid w:val="00570623"/>
    <w:rsid w:val="00570AEA"/>
    <w:rsid w:val="00575AC5"/>
    <w:rsid w:val="0057605D"/>
    <w:rsid w:val="00580013"/>
    <w:rsid w:val="00581347"/>
    <w:rsid w:val="00581760"/>
    <w:rsid w:val="00581AC9"/>
    <w:rsid w:val="00583D5F"/>
    <w:rsid w:val="005849F8"/>
    <w:rsid w:val="005938DF"/>
    <w:rsid w:val="00594322"/>
    <w:rsid w:val="00594E9C"/>
    <w:rsid w:val="005A099B"/>
    <w:rsid w:val="005A1812"/>
    <w:rsid w:val="005A2C1F"/>
    <w:rsid w:val="005A2D9C"/>
    <w:rsid w:val="005A55FE"/>
    <w:rsid w:val="005A6A11"/>
    <w:rsid w:val="005B3955"/>
    <w:rsid w:val="005C45DC"/>
    <w:rsid w:val="005C7DD9"/>
    <w:rsid w:val="005D1552"/>
    <w:rsid w:val="005D2502"/>
    <w:rsid w:val="005D25F0"/>
    <w:rsid w:val="005D40BB"/>
    <w:rsid w:val="005D47F3"/>
    <w:rsid w:val="005D49BF"/>
    <w:rsid w:val="005D4AA5"/>
    <w:rsid w:val="005D6256"/>
    <w:rsid w:val="005D6F4E"/>
    <w:rsid w:val="005D7805"/>
    <w:rsid w:val="005D7C73"/>
    <w:rsid w:val="005E2557"/>
    <w:rsid w:val="005E3ACD"/>
    <w:rsid w:val="005E4102"/>
    <w:rsid w:val="005E7226"/>
    <w:rsid w:val="005E7A57"/>
    <w:rsid w:val="005F0C6D"/>
    <w:rsid w:val="005F24B0"/>
    <w:rsid w:val="005F4532"/>
    <w:rsid w:val="00601937"/>
    <w:rsid w:val="00604315"/>
    <w:rsid w:val="00604E26"/>
    <w:rsid w:val="006052CF"/>
    <w:rsid w:val="00607B8D"/>
    <w:rsid w:val="00611F5C"/>
    <w:rsid w:val="00614417"/>
    <w:rsid w:val="00616E09"/>
    <w:rsid w:val="00622A3B"/>
    <w:rsid w:val="00622EEA"/>
    <w:rsid w:val="0062396C"/>
    <w:rsid w:val="00623FF9"/>
    <w:rsid w:val="00624420"/>
    <w:rsid w:val="00627D4E"/>
    <w:rsid w:val="00632B89"/>
    <w:rsid w:val="00634478"/>
    <w:rsid w:val="0064330C"/>
    <w:rsid w:val="00644373"/>
    <w:rsid w:val="00645915"/>
    <w:rsid w:val="006519C3"/>
    <w:rsid w:val="00652B30"/>
    <w:rsid w:val="00656345"/>
    <w:rsid w:val="00656DC6"/>
    <w:rsid w:val="00660EC6"/>
    <w:rsid w:val="00664110"/>
    <w:rsid w:val="00664D17"/>
    <w:rsid w:val="00666520"/>
    <w:rsid w:val="00667C5B"/>
    <w:rsid w:val="00667EC8"/>
    <w:rsid w:val="006731A1"/>
    <w:rsid w:val="00677E7D"/>
    <w:rsid w:val="00685A05"/>
    <w:rsid w:val="006872A7"/>
    <w:rsid w:val="00687F52"/>
    <w:rsid w:val="00691EB8"/>
    <w:rsid w:val="00692CDE"/>
    <w:rsid w:val="00693073"/>
    <w:rsid w:val="006977FF"/>
    <w:rsid w:val="006A01FA"/>
    <w:rsid w:val="006A0E9E"/>
    <w:rsid w:val="006A25C7"/>
    <w:rsid w:val="006A4AAD"/>
    <w:rsid w:val="006A6DA2"/>
    <w:rsid w:val="006A7AB2"/>
    <w:rsid w:val="006B0BC4"/>
    <w:rsid w:val="006B5717"/>
    <w:rsid w:val="006B582F"/>
    <w:rsid w:val="006B5A5C"/>
    <w:rsid w:val="006C0CEB"/>
    <w:rsid w:val="006C3B1E"/>
    <w:rsid w:val="006C47FD"/>
    <w:rsid w:val="006C5C19"/>
    <w:rsid w:val="006C6CF3"/>
    <w:rsid w:val="006C70A0"/>
    <w:rsid w:val="006D27CB"/>
    <w:rsid w:val="006D2F08"/>
    <w:rsid w:val="006D5744"/>
    <w:rsid w:val="006D576C"/>
    <w:rsid w:val="006D5865"/>
    <w:rsid w:val="006E4B1B"/>
    <w:rsid w:val="006E5445"/>
    <w:rsid w:val="006E7D93"/>
    <w:rsid w:val="006F30BE"/>
    <w:rsid w:val="007029A3"/>
    <w:rsid w:val="00706E4E"/>
    <w:rsid w:val="0070791C"/>
    <w:rsid w:val="0071383C"/>
    <w:rsid w:val="007141A7"/>
    <w:rsid w:val="00715722"/>
    <w:rsid w:val="00717F64"/>
    <w:rsid w:val="00721032"/>
    <w:rsid w:val="00721B55"/>
    <w:rsid w:val="00726CE4"/>
    <w:rsid w:val="00734143"/>
    <w:rsid w:val="007353B7"/>
    <w:rsid w:val="00737E47"/>
    <w:rsid w:val="00740EAC"/>
    <w:rsid w:val="00744956"/>
    <w:rsid w:val="00745A5C"/>
    <w:rsid w:val="0074605F"/>
    <w:rsid w:val="00747E94"/>
    <w:rsid w:val="00752BEC"/>
    <w:rsid w:val="007534C0"/>
    <w:rsid w:val="00754C83"/>
    <w:rsid w:val="007621F2"/>
    <w:rsid w:val="00765BDC"/>
    <w:rsid w:val="00765DF8"/>
    <w:rsid w:val="00766749"/>
    <w:rsid w:val="00767C1B"/>
    <w:rsid w:val="00770E1A"/>
    <w:rsid w:val="007714A9"/>
    <w:rsid w:val="00774F88"/>
    <w:rsid w:val="00774FDB"/>
    <w:rsid w:val="00777BA2"/>
    <w:rsid w:val="00781408"/>
    <w:rsid w:val="00784F7F"/>
    <w:rsid w:val="007878BD"/>
    <w:rsid w:val="0079164E"/>
    <w:rsid w:val="00796F25"/>
    <w:rsid w:val="007A06E9"/>
    <w:rsid w:val="007A2E98"/>
    <w:rsid w:val="007A3BA3"/>
    <w:rsid w:val="007A6CC0"/>
    <w:rsid w:val="007A7FEC"/>
    <w:rsid w:val="007B1499"/>
    <w:rsid w:val="007B1BBF"/>
    <w:rsid w:val="007B24BB"/>
    <w:rsid w:val="007B2960"/>
    <w:rsid w:val="007B355D"/>
    <w:rsid w:val="007B508B"/>
    <w:rsid w:val="007B6363"/>
    <w:rsid w:val="007B7980"/>
    <w:rsid w:val="007C0DEF"/>
    <w:rsid w:val="007C3DE9"/>
    <w:rsid w:val="007C5D5A"/>
    <w:rsid w:val="007C607F"/>
    <w:rsid w:val="007C6515"/>
    <w:rsid w:val="007C79DD"/>
    <w:rsid w:val="007D1A97"/>
    <w:rsid w:val="007D2868"/>
    <w:rsid w:val="007D2CD6"/>
    <w:rsid w:val="007D3063"/>
    <w:rsid w:val="007D3CEB"/>
    <w:rsid w:val="007D63EA"/>
    <w:rsid w:val="007E7683"/>
    <w:rsid w:val="007F31F1"/>
    <w:rsid w:val="007F49FA"/>
    <w:rsid w:val="007F54C4"/>
    <w:rsid w:val="007F6E9A"/>
    <w:rsid w:val="008044D4"/>
    <w:rsid w:val="00805B6D"/>
    <w:rsid w:val="00810AB4"/>
    <w:rsid w:val="00817B56"/>
    <w:rsid w:val="00821A88"/>
    <w:rsid w:val="0082495D"/>
    <w:rsid w:val="00831AC3"/>
    <w:rsid w:val="008408FF"/>
    <w:rsid w:val="00851F3F"/>
    <w:rsid w:val="008552AA"/>
    <w:rsid w:val="00856EDC"/>
    <w:rsid w:val="008623B5"/>
    <w:rsid w:val="0086435D"/>
    <w:rsid w:val="00866032"/>
    <w:rsid w:val="00870ABA"/>
    <w:rsid w:val="008710E1"/>
    <w:rsid w:val="008716E5"/>
    <w:rsid w:val="00875561"/>
    <w:rsid w:val="00881CA9"/>
    <w:rsid w:val="00883628"/>
    <w:rsid w:val="00885544"/>
    <w:rsid w:val="0088634E"/>
    <w:rsid w:val="00893AB8"/>
    <w:rsid w:val="008A04C8"/>
    <w:rsid w:val="008A6913"/>
    <w:rsid w:val="008B1195"/>
    <w:rsid w:val="008B3AF9"/>
    <w:rsid w:val="008B70F3"/>
    <w:rsid w:val="008B71C4"/>
    <w:rsid w:val="008B76DF"/>
    <w:rsid w:val="008C10F4"/>
    <w:rsid w:val="008C3D96"/>
    <w:rsid w:val="008C65F7"/>
    <w:rsid w:val="008D4179"/>
    <w:rsid w:val="008E1EDC"/>
    <w:rsid w:val="008E4767"/>
    <w:rsid w:val="008E5318"/>
    <w:rsid w:val="008E7A8C"/>
    <w:rsid w:val="00902516"/>
    <w:rsid w:val="00903285"/>
    <w:rsid w:val="00906F40"/>
    <w:rsid w:val="0090731E"/>
    <w:rsid w:val="00914F19"/>
    <w:rsid w:val="00915B1C"/>
    <w:rsid w:val="009174F3"/>
    <w:rsid w:val="0091797D"/>
    <w:rsid w:val="00922C7C"/>
    <w:rsid w:val="00923CBA"/>
    <w:rsid w:val="00926703"/>
    <w:rsid w:val="00927691"/>
    <w:rsid w:val="00927A5F"/>
    <w:rsid w:val="00935B63"/>
    <w:rsid w:val="0094078F"/>
    <w:rsid w:val="00940FA3"/>
    <w:rsid w:val="00941FB0"/>
    <w:rsid w:val="009426D4"/>
    <w:rsid w:val="00944ED8"/>
    <w:rsid w:val="00947F25"/>
    <w:rsid w:val="00950159"/>
    <w:rsid w:val="0095490B"/>
    <w:rsid w:val="00956BC6"/>
    <w:rsid w:val="00960A33"/>
    <w:rsid w:val="00971914"/>
    <w:rsid w:val="00974363"/>
    <w:rsid w:val="00981898"/>
    <w:rsid w:val="009866EA"/>
    <w:rsid w:val="00990863"/>
    <w:rsid w:val="009952DD"/>
    <w:rsid w:val="009953B0"/>
    <w:rsid w:val="0099577C"/>
    <w:rsid w:val="00997BEF"/>
    <w:rsid w:val="009A35EC"/>
    <w:rsid w:val="009A73C6"/>
    <w:rsid w:val="009B2601"/>
    <w:rsid w:val="009B4E9E"/>
    <w:rsid w:val="009C1690"/>
    <w:rsid w:val="009C380E"/>
    <w:rsid w:val="009C6881"/>
    <w:rsid w:val="009C7759"/>
    <w:rsid w:val="009D043D"/>
    <w:rsid w:val="009D07C8"/>
    <w:rsid w:val="009D2355"/>
    <w:rsid w:val="009D6C71"/>
    <w:rsid w:val="009E0631"/>
    <w:rsid w:val="009E16D0"/>
    <w:rsid w:val="009E38FD"/>
    <w:rsid w:val="009E60AE"/>
    <w:rsid w:val="009F13D6"/>
    <w:rsid w:val="009F3B80"/>
    <w:rsid w:val="009F4C6B"/>
    <w:rsid w:val="009F78A8"/>
    <w:rsid w:val="00A0167D"/>
    <w:rsid w:val="00A02AD6"/>
    <w:rsid w:val="00A03214"/>
    <w:rsid w:val="00A07096"/>
    <w:rsid w:val="00A07318"/>
    <w:rsid w:val="00A11370"/>
    <w:rsid w:val="00A224CE"/>
    <w:rsid w:val="00A22522"/>
    <w:rsid w:val="00A24AFD"/>
    <w:rsid w:val="00A24F5C"/>
    <w:rsid w:val="00A314CD"/>
    <w:rsid w:val="00A32F96"/>
    <w:rsid w:val="00A40871"/>
    <w:rsid w:val="00A412AB"/>
    <w:rsid w:val="00A4193E"/>
    <w:rsid w:val="00A440E0"/>
    <w:rsid w:val="00A442EF"/>
    <w:rsid w:val="00A51D1A"/>
    <w:rsid w:val="00A5418D"/>
    <w:rsid w:val="00A5474E"/>
    <w:rsid w:val="00A6337B"/>
    <w:rsid w:val="00A64234"/>
    <w:rsid w:val="00A6578A"/>
    <w:rsid w:val="00A70ADF"/>
    <w:rsid w:val="00A71466"/>
    <w:rsid w:val="00A715F5"/>
    <w:rsid w:val="00A74B5E"/>
    <w:rsid w:val="00A817EF"/>
    <w:rsid w:val="00A81BED"/>
    <w:rsid w:val="00A81EC4"/>
    <w:rsid w:val="00A967FD"/>
    <w:rsid w:val="00AB156C"/>
    <w:rsid w:val="00AB3C4D"/>
    <w:rsid w:val="00AB6814"/>
    <w:rsid w:val="00AC04BA"/>
    <w:rsid w:val="00AC0E39"/>
    <w:rsid w:val="00AD3082"/>
    <w:rsid w:val="00AD32B4"/>
    <w:rsid w:val="00AD35CB"/>
    <w:rsid w:val="00AD4AD0"/>
    <w:rsid w:val="00AD5436"/>
    <w:rsid w:val="00AD60CD"/>
    <w:rsid w:val="00AD6C8C"/>
    <w:rsid w:val="00AD7178"/>
    <w:rsid w:val="00AD7B5C"/>
    <w:rsid w:val="00AE0862"/>
    <w:rsid w:val="00AE091D"/>
    <w:rsid w:val="00AE0C44"/>
    <w:rsid w:val="00AE3B60"/>
    <w:rsid w:val="00AE4EAB"/>
    <w:rsid w:val="00AE53A1"/>
    <w:rsid w:val="00AF2484"/>
    <w:rsid w:val="00AF63E7"/>
    <w:rsid w:val="00AF6E17"/>
    <w:rsid w:val="00B0165D"/>
    <w:rsid w:val="00B01B60"/>
    <w:rsid w:val="00B03006"/>
    <w:rsid w:val="00B031F3"/>
    <w:rsid w:val="00B04F01"/>
    <w:rsid w:val="00B052A4"/>
    <w:rsid w:val="00B125DE"/>
    <w:rsid w:val="00B13FDD"/>
    <w:rsid w:val="00B2180D"/>
    <w:rsid w:val="00B2296B"/>
    <w:rsid w:val="00B22EB2"/>
    <w:rsid w:val="00B27442"/>
    <w:rsid w:val="00B31167"/>
    <w:rsid w:val="00B329D8"/>
    <w:rsid w:val="00B32BB9"/>
    <w:rsid w:val="00B33AE1"/>
    <w:rsid w:val="00B37C38"/>
    <w:rsid w:val="00B4288C"/>
    <w:rsid w:val="00B43262"/>
    <w:rsid w:val="00B44100"/>
    <w:rsid w:val="00B45FD8"/>
    <w:rsid w:val="00B46CBA"/>
    <w:rsid w:val="00B46F94"/>
    <w:rsid w:val="00B551B2"/>
    <w:rsid w:val="00B575A9"/>
    <w:rsid w:val="00B6003C"/>
    <w:rsid w:val="00B61C18"/>
    <w:rsid w:val="00B61F03"/>
    <w:rsid w:val="00B626E4"/>
    <w:rsid w:val="00B72F4A"/>
    <w:rsid w:val="00B757B6"/>
    <w:rsid w:val="00B777C3"/>
    <w:rsid w:val="00B83C27"/>
    <w:rsid w:val="00B84BC3"/>
    <w:rsid w:val="00B84BDD"/>
    <w:rsid w:val="00B90B4C"/>
    <w:rsid w:val="00B92812"/>
    <w:rsid w:val="00B963A1"/>
    <w:rsid w:val="00BA2D22"/>
    <w:rsid w:val="00BA50A6"/>
    <w:rsid w:val="00BB1F86"/>
    <w:rsid w:val="00BB315D"/>
    <w:rsid w:val="00BB45A1"/>
    <w:rsid w:val="00BB7686"/>
    <w:rsid w:val="00BC23F9"/>
    <w:rsid w:val="00BC27BD"/>
    <w:rsid w:val="00BC3421"/>
    <w:rsid w:val="00BC398A"/>
    <w:rsid w:val="00BC732C"/>
    <w:rsid w:val="00BD625E"/>
    <w:rsid w:val="00BD7472"/>
    <w:rsid w:val="00BE2580"/>
    <w:rsid w:val="00BE266D"/>
    <w:rsid w:val="00BE3938"/>
    <w:rsid w:val="00BE4C11"/>
    <w:rsid w:val="00BE71C0"/>
    <w:rsid w:val="00BF4A6A"/>
    <w:rsid w:val="00BF610C"/>
    <w:rsid w:val="00C0060B"/>
    <w:rsid w:val="00C0277D"/>
    <w:rsid w:val="00C053A1"/>
    <w:rsid w:val="00C151A2"/>
    <w:rsid w:val="00C16198"/>
    <w:rsid w:val="00C2083D"/>
    <w:rsid w:val="00C21AEA"/>
    <w:rsid w:val="00C24A53"/>
    <w:rsid w:val="00C34A05"/>
    <w:rsid w:val="00C371E0"/>
    <w:rsid w:val="00C4032F"/>
    <w:rsid w:val="00C44047"/>
    <w:rsid w:val="00C45155"/>
    <w:rsid w:val="00C5498F"/>
    <w:rsid w:val="00C55235"/>
    <w:rsid w:val="00C64CD0"/>
    <w:rsid w:val="00C6684F"/>
    <w:rsid w:val="00C70E70"/>
    <w:rsid w:val="00C75F8D"/>
    <w:rsid w:val="00C77380"/>
    <w:rsid w:val="00C85496"/>
    <w:rsid w:val="00C936FD"/>
    <w:rsid w:val="00C97736"/>
    <w:rsid w:val="00CA2925"/>
    <w:rsid w:val="00CA345A"/>
    <w:rsid w:val="00CA72AF"/>
    <w:rsid w:val="00CB1E82"/>
    <w:rsid w:val="00CB4BA8"/>
    <w:rsid w:val="00CB52D7"/>
    <w:rsid w:val="00CB7AD3"/>
    <w:rsid w:val="00CC431A"/>
    <w:rsid w:val="00CC5049"/>
    <w:rsid w:val="00CC6732"/>
    <w:rsid w:val="00CC6F3A"/>
    <w:rsid w:val="00CD7140"/>
    <w:rsid w:val="00CE3C96"/>
    <w:rsid w:val="00CE51A8"/>
    <w:rsid w:val="00CE52BB"/>
    <w:rsid w:val="00CF19B0"/>
    <w:rsid w:val="00CF369B"/>
    <w:rsid w:val="00D00E28"/>
    <w:rsid w:val="00D0269E"/>
    <w:rsid w:val="00D05983"/>
    <w:rsid w:val="00D05D6C"/>
    <w:rsid w:val="00D13053"/>
    <w:rsid w:val="00D15810"/>
    <w:rsid w:val="00D16D4E"/>
    <w:rsid w:val="00D16FE3"/>
    <w:rsid w:val="00D27F41"/>
    <w:rsid w:val="00D31B46"/>
    <w:rsid w:val="00D36441"/>
    <w:rsid w:val="00D4064E"/>
    <w:rsid w:val="00D42BF3"/>
    <w:rsid w:val="00D44E9B"/>
    <w:rsid w:val="00D47AEB"/>
    <w:rsid w:val="00D5098A"/>
    <w:rsid w:val="00D50DB9"/>
    <w:rsid w:val="00D51302"/>
    <w:rsid w:val="00D52C43"/>
    <w:rsid w:val="00D54346"/>
    <w:rsid w:val="00D6507F"/>
    <w:rsid w:val="00D730BC"/>
    <w:rsid w:val="00D73912"/>
    <w:rsid w:val="00D82BCC"/>
    <w:rsid w:val="00D85226"/>
    <w:rsid w:val="00D87B94"/>
    <w:rsid w:val="00D92D49"/>
    <w:rsid w:val="00D92EC1"/>
    <w:rsid w:val="00D96DEA"/>
    <w:rsid w:val="00DA244A"/>
    <w:rsid w:val="00DA3335"/>
    <w:rsid w:val="00DA4E41"/>
    <w:rsid w:val="00DB0A78"/>
    <w:rsid w:val="00DB117A"/>
    <w:rsid w:val="00DB18C6"/>
    <w:rsid w:val="00DB3ADE"/>
    <w:rsid w:val="00DB5173"/>
    <w:rsid w:val="00DB7873"/>
    <w:rsid w:val="00DC187B"/>
    <w:rsid w:val="00DD09BB"/>
    <w:rsid w:val="00DD0D9C"/>
    <w:rsid w:val="00DD73C2"/>
    <w:rsid w:val="00DE319B"/>
    <w:rsid w:val="00DE5E64"/>
    <w:rsid w:val="00DF34FE"/>
    <w:rsid w:val="00DF56AA"/>
    <w:rsid w:val="00DF56AF"/>
    <w:rsid w:val="00DF78E7"/>
    <w:rsid w:val="00E02F51"/>
    <w:rsid w:val="00E110E0"/>
    <w:rsid w:val="00E137BE"/>
    <w:rsid w:val="00E15371"/>
    <w:rsid w:val="00E24104"/>
    <w:rsid w:val="00E241CB"/>
    <w:rsid w:val="00E27942"/>
    <w:rsid w:val="00E302D0"/>
    <w:rsid w:val="00E35707"/>
    <w:rsid w:val="00E36AA1"/>
    <w:rsid w:val="00E41ECB"/>
    <w:rsid w:val="00E54020"/>
    <w:rsid w:val="00E54FDB"/>
    <w:rsid w:val="00E5617D"/>
    <w:rsid w:val="00E563D7"/>
    <w:rsid w:val="00E56AE7"/>
    <w:rsid w:val="00E663F4"/>
    <w:rsid w:val="00E666F2"/>
    <w:rsid w:val="00E66DD4"/>
    <w:rsid w:val="00E748CC"/>
    <w:rsid w:val="00E75415"/>
    <w:rsid w:val="00E775B1"/>
    <w:rsid w:val="00E8152A"/>
    <w:rsid w:val="00E8211B"/>
    <w:rsid w:val="00E8692E"/>
    <w:rsid w:val="00E93629"/>
    <w:rsid w:val="00E93B5C"/>
    <w:rsid w:val="00E94CEC"/>
    <w:rsid w:val="00EA04EF"/>
    <w:rsid w:val="00EA13A5"/>
    <w:rsid w:val="00EA4733"/>
    <w:rsid w:val="00EA6F19"/>
    <w:rsid w:val="00EB0DA8"/>
    <w:rsid w:val="00EB167E"/>
    <w:rsid w:val="00EB7090"/>
    <w:rsid w:val="00EC1BBE"/>
    <w:rsid w:val="00EC5CD7"/>
    <w:rsid w:val="00ED5A38"/>
    <w:rsid w:val="00EE5FB3"/>
    <w:rsid w:val="00EE7F79"/>
    <w:rsid w:val="00EF1872"/>
    <w:rsid w:val="00EF715A"/>
    <w:rsid w:val="00F06E14"/>
    <w:rsid w:val="00F109F1"/>
    <w:rsid w:val="00F175B4"/>
    <w:rsid w:val="00F179D4"/>
    <w:rsid w:val="00F27A61"/>
    <w:rsid w:val="00F33C56"/>
    <w:rsid w:val="00F347C7"/>
    <w:rsid w:val="00F34848"/>
    <w:rsid w:val="00F42ABF"/>
    <w:rsid w:val="00F42D46"/>
    <w:rsid w:val="00F43E4B"/>
    <w:rsid w:val="00F4496C"/>
    <w:rsid w:val="00F44F3A"/>
    <w:rsid w:val="00F51C64"/>
    <w:rsid w:val="00F51F10"/>
    <w:rsid w:val="00F529A5"/>
    <w:rsid w:val="00F5792E"/>
    <w:rsid w:val="00F60F00"/>
    <w:rsid w:val="00F614C0"/>
    <w:rsid w:val="00F816EE"/>
    <w:rsid w:val="00F81BCA"/>
    <w:rsid w:val="00F83848"/>
    <w:rsid w:val="00F919D9"/>
    <w:rsid w:val="00F91AD0"/>
    <w:rsid w:val="00F92D13"/>
    <w:rsid w:val="00F92DBB"/>
    <w:rsid w:val="00F975E9"/>
    <w:rsid w:val="00FA1B7D"/>
    <w:rsid w:val="00FC07B9"/>
    <w:rsid w:val="00FC218F"/>
    <w:rsid w:val="00FC4E21"/>
    <w:rsid w:val="00FC5F6D"/>
    <w:rsid w:val="00FD0107"/>
    <w:rsid w:val="00FD1500"/>
    <w:rsid w:val="00FD2828"/>
    <w:rsid w:val="00FD2C2F"/>
    <w:rsid w:val="00FD3B31"/>
    <w:rsid w:val="00FE0859"/>
    <w:rsid w:val="00FE1823"/>
    <w:rsid w:val="00FE487A"/>
    <w:rsid w:val="00FF0569"/>
    <w:rsid w:val="00FF111B"/>
    <w:rsid w:val="00FF206E"/>
    <w:rsid w:val="00FF3C69"/>
    <w:rsid w:val="00FF53D6"/>
    <w:rsid w:val="00FF6E0A"/>
    <w:rsid w:val="00FF7E2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colormru v:ext="edit" colors="red,#4d4d4f"/>
    </o:shapedefaults>
    <o:shapelayout v:ext="edit">
      <o:idmap v:ext="edit" data="1"/>
    </o:shapelayout>
  </w:shapeDefaults>
  <w:decimalSymbol w:val="."/>
  <w:listSeparator w:val=","/>
  <w14:docId w14:val="169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numPr>
        <w:numId w:val="20"/>
      </w:numPr>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numPr>
        <w:ilvl w:val="1"/>
        <w:numId w:val="20"/>
      </w:numPr>
      <w:spacing w:before="320" w:after="60"/>
      <w:outlineLvl w:val="1"/>
    </w:pPr>
    <w:rPr>
      <w:rFonts w:cs="Arial"/>
      <w:b/>
      <w:bCs/>
      <w:iCs/>
      <w:sz w:val="28"/>
      <w:szCs w:val="28"/>
    </w:rPr>
  </w:style>
  <w:style w:type="paragraph" w:styleId="Heading3">
    <w:name w:val="heading 3"/>
    <w:basedOn w:val="Normal"/>
    <w:next w:val="Normal"/>
    <w:qFormat/>
    <w:rsid w:val="00C55235"/>
    <w:pPr>
      <w:keepNext/>
      <w:numPr>
        <w:ilvl w:val="2"/>
        <w:numId w:val="20"/>
      </w:numPr>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0"/>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0"/>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0"/>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0"/>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0"/>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ListParagraph">
    <w:name w:val="List Paragraph"/>
    <w:basedOn w:val="Normal"/>
    <w:uiPriority w:val="34"/>
    <w:qFormat/>
    <w:rsid w:val="005D6256"/>
    <w:pPr>
      <w:spacing w:after="0" w:line="240" w:lineRule="auto"/>
      <w:ind w:left="720"/>
    </w:pPr>
    <w:rPr>
      <w:rFonts w:ascii="Calibri" w:eastAsiaTheme="minorHAnsi" w:hAnsi="Calibri"/>
      <w:sz w:val="22"/>
      <w:szCs w:val="22"/>
      <w:lang w:eastAsia="en-US"/>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basedOn w:val="DefaultParagraphFont"/>
    <w:link w:val="FootnoteText"/>
    <w:uiPriority w:val="99"/>
    <w:rsid w:val="005D6256"/>
    <w:rPr>
      <w:rFonts w:ascii="Arial" w:hAnsi="Arial"/>
      <w:sz w:val="16"/>
      <w:szCs w:val="16"/>
    </w:rPr>
  </w:style>
  <w:style w:type="paragraph" w:styleId="NormalWeb">
    <w:name w:val="Normal (Web)"/>
    <w:basedOn w:val="Normal"/>
    <w:uiPriority w:val="99"/>
    <w:rsid w:val="00F175B4"/>
    <w:pPr>
      <w:spacing w:before="100" w:beforeAutospacing="1" w:after="100" w:afterAutospacing="1" w:line="240" w:lineRule="auto"/>
    </w:pPr>
    <w:rPr>
      <w:rFonts w:cs="Arial"/>
      <w:sz w:val="24"/>
    </w:rPr>
  </w:style>
  <w:style w:type="paragraph" w:styleId="Revision">
    <w:name w:val="Revision"/>
    <w:hidden/>
    <w:semiHidden/>
    <w:rsid w:val="00B2180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acma.gov.au" TargetMode="Externa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yperlink" Target="https://www.communications.gov.au/documents/spectrum-pricing-review"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creativecommons.org/l/by/3.0/88x31.png" TargetMode="External"/><Relationship Id="rId22" Type="http://schemas.openxmlformats.org/officeDocument/2006/relationships/header" Target="header6.xml"/><Relationship Id="rId27" Type="http://schemas.openxmlformats.org/officeDocument/2006/relationships/image" Target="media/image4.emf"/><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theACMA/managing-spectrum-in-the-400-mhz-band-further-ste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F1D3-A1E9-4457-BFB8-BFBF0DCA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2018-03-05T22:58:00Z</dcterms:created>
  <dcterms:modified xsi:type="dcterms:W3CDTF">2018-03-05T22:58:00Z</dcterms:modified>
  <cp:category/>
</cp:coreProperties>
</file>